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058C24">
      <w:pPr>
        <w:keepNext w:val="0"/>
        <w:keepLines w:val="0"/>
        <w:pageBreakBefore w:val="0"/>
        <w:widowControl w:val="0"/>
        <w:wordWrap/>
        <w:overflowPunct/>
        <w:topLinePunct w:val="0"/>
        <w:bidi w:val="0"/>
        <w:spacing w:line="240" w:lineRule="atLeast"/>
        <w:jc w:val="center"/>
        <w:rPr>
          <w:rFonts w:hint="eastAsia" w:ascii="仿宋_GB2312" w:hAnsi="仿宋_GB2312" w:eastAsia="仿宋_GB2312" w:cs="仿宋_GB2312"/>
          <w:b/>
          <w:color w:val="000000" w:themeColor="text1"/>
          <w:sz w:val="52"/>
          <w:szCs w:val="52"/>
          <w:highlight w:val="none"/>
          <w14:textFill>
            <w14:solidFill>
              <w14:schemeClr w14:val="tx1"/>
            </w14:solidFill>
          </w14:textFill>
        </w:rPr>
      </w:pPr>
    </w:p>
    <w:p w14:paraId="026D88F1">
      <w:pPr>
        <w:keepNext w:val="0"/>
        <w:keepLines w:val="0"/>
        <w:pageBreakBefore w:val="0"/>
        <w:widowControl w:val="0"/>
        <w:wordWrap/>
        <w:overflowPunct/>
        <w:topLinePunct w:val="0"/>
        <w:bidi w:val="0"/>
        <w:spacing w:line="240" w:lineRule="atLeast"/>
        <w:jc w:val="center"/>
        <w:rPr>
          <w:rFonts w:hint="eastAsia" w:ascii="仿宋_GB2312" w:hAnsi="仿宋_GB2312" w:eastAsia="仿宋_GB2312" w:cs="仿宋_GB2312"/>
          <w:b/>
          <w:color w:val="000000" w:themeColor="text1"/>
          <w:sz w:val="52"/>
          <w:szCs w:val="52"/>
          <w:highlight w:val="none"/>
          <w14:textFill>
            <w14:solidFill>
              <w14:schemeClr w14:val="tx1"/>
            </w14:solidFill>
          </w14:textFill>
        </w:rPr>
      </w:pPr>
      <w:r>
        <w:rPr>
          <w:rFonts w:hint="eastAsia" w:ascii="仿宋_GB2312" w:hAnsi="仿宋_GB2312" w:eastAsia="仿宋_GB2312" w:cs="仿宋_GB2312"/>
          <w:b/>
          <w:color w:val="000000" w:themeColor="text1"/>
          <w:sz w:val="52"/>
          <w:szCs w:val="52"/>
          <w:highlight w:val="none"/>
          <w14:textFill>
            <w14:solidFill>
              <w14:schemeClr w14:val="tx1"/>
            </w14:solidFill>
          </w14:textFill>
        </w:rPr>
        <w:t>伽师县学校办学能力提升项目</w:t>
      </w:r>
    </w:p>
    <w:p w14:paraId="78B18193">
      <w:pPr>
        <w:keepNext w:val="0"/>
        <w:keepLines w:val="0"/>
        <w:pageBreakBefore w:val="0"/>
        <w:widowControl w:val="0"/>
        <w:wordWrap/>
        <w:overflowPunct/>
        <w:topLinePunct w:val="0"/>
        <w:bidi w:val="0"/>
        <w:spacing w:line="240" w:lineRule="atLeast"/>
        <w:jc w:val="center"/>
        <w:rPr>
          <w:rStyle w:val="37"/>
          <w:rFonts w:ascii="仿宋_GB2312" w:hAnsi="仿宋_GB2312" w:eastAsia="仿宋_GB2312"/>
          <w:b/>
          <w:color w:val="000000" w:themeColor="text1"/>
          <w:sz w:val="52"/>
          <w:szCs w:val="52"/>
          <w:highlight w:val="none"/>
          <w14:textFill>
            <w14:solidFill>
              <w14:schemeClr w14:val="tx1"/>
            </w14:solidFill>
          </w14:textFill>
        </w:rPr>
      </w:pPr>
    </w:p>
    <w:p w14:paraId="3D32D942">
      <w:pPr>
        <w:keepNext w:val="0"/>
        <w:keepLines w:val="0"/>
        <w:pageBreakBefore w:val="0"/>
        <w:widowControl w:val="0"/>
        <w:wordWrap/>
        <w:overflowPunct/>
        <w:topLinePunct w:val="0"/>
        <w:bidi w:val="0"/>
        <w:spacing w:line="240" w:lineRule="atLeast"/>
        <w:jc w:val="center"/>
        <w:rPr>
          <w:rStyle w:val="37"/>
          <w:rFonts w:hint="eastAsia" w:ascii="仿宋_GB2312" w:hAnsi="仿宋_GB2312" w:eastAsia="仿宋_GB2312"/>
          <w:b/>
          <w:color w:val="000000" w:themeColor="text1"/>
          <w:sz w:val="52"/>
          <w:szCs w:val="52"/>
          <w:highlight w:val="none"/>
          <w14:textFill>
            <w14:solidFill>
              <w14:schemeClr w14:val="tx1"/>
            </w14:solidFill>
          </w14:textFill>
        </w:rPr>
      </w:pPr>
      <w:r>
        <w:rPr>
          <w:rStyle w:val="37"/>
          <w:rFonts w:ascii="仿宋_GB2312" w:hAnsi="仿宋_GB2312" w:eastAsia="仿宋_GB2312"/>
          <w:b/>
          <w:color w:val="000000" w:themeColor="text1"/>
          <w:sz w:val="52"/>
          <w:szCs w:val="52"/>
          <w:highlight w:val="none"/>
          <w14:textFill>
            <w14:solidFill>
              <w14:schemeClr w14:val="tx1"/>
            </w14:solidFill>
          </w14:textFill>
        </w:rPr>
        <w:t>公开招标</w:t>
      </w:r>
      <w:r>
        <w:rPr>
          <w:rFonts w:hint="eastAsia" w:ascii="仿宋_GB2312" w:hAnsi="仿宋_GB2312" w:eastAsia="仿宋_GB2312" w:cs="仿宋_GB2312"/>
          <w:b/>
          <w:color w:val="000000" w:themeColor="text1"/>
          <w:sz w:val="52"/>
          <w:szCs w:val="52"/>
          <w:highlight w:val="none"/>
          <w14:textFill>
            <w14:solidFill>
              <w14:schemeClr w14:val="tx1"/>
            </w14:solidFill>
          </w14:textFill>
        </w:rPr>
        <w:t>文件</w:t>
      </w:r>
    </w:p>
    <w:p w14:paraId="289D47E6">
      <w:pPr>
        <w:pStyle w:val="62"/>
        <w:keepNext w:val="0"/>
        <w:keepLines w:val="0"/>
        <w:pageBreakBefore w:val="0"/>
        <w:widowControl w:val="0"/>
        <w:wordWrap/>
        <w:overflowPunct/>
        <w:topLinePunct w:val="0"/>
        <w:bidi w:val="0"/>
        <w:rPr>
          <w:rStyle w:val="37"/>
          <w:rFonts w:eastAsia="仿宋_GB2312"/>
          <w:color w:val="000000" w:themeColor="text1"/>
          <w:highlight w:val="none"/>
          <w14:textFill>
            <w14:solidFill>
              <w14:schemeClr w14:val="tx1"/>
            </w14:solidFill>
          </w14:textFill>
        </w:rPr>
      </w:pPr>
    </w:p>
    <w:p w14:paraId="29337C73">
      <w:pPr>
        <w:keepNext w:val="0"/>
        <w:keepLines w:val="0"/>
        <w:pageBreakBefore w:val="0"/>
        <w:widowControl w:val="0"/>
        <w:wordWrap/>
        <w:overflowPunct/>
        <w:topLinePunct w:val="0"/>
        <w:bidi w:val="0"/>
        <w:spacing w:line="240" w:lineRule="atLeast"/>
        <w:ind w:left="1079" w:leftChars="257" w:hanging="540"/>
        <w:jc w:val="left"/>
        <w:rPr>
          <w:rStyle w:val="37"/>
          <w:rFonts w:hint="eastAsia" w:ascii="仿宋_GB2312" w:hAnsi="仿宋_GB2312" w:eastAsia="仿宋_GB2312"/>
          <w:b/>
          <w:color w:val="000000" w:themeColor="text1"/>
          <w:sz w:val="32"/>
          <w:szCs w:val="32"/>
          <w:highlight w:val="none"/>
          <w14:textFill>
            <w14:solidFill>
              <w14:schemeClr w14:val="tx1"/>
            </w14:solidFill>
          </w14:textFill>
        </w:rPr>
      </w:pPr>
    </w:p>
    <w:p w14:paraId="47E8614D">
      <w:pPr>
        <w:keepNext w:val="0"/>
        <w:keepLines w:val="0"/>
        <w:pageBreakBefore w:val="0"/>
        <w:widowControl w:val="0"/>
        <w:wordWrap/>
        <w:overflowPunct/>
        <w:topLinePunct w:val="0"/>
        <w:bidi w:val="0"/>
        <w:spacing w:line="240" w:lineRule="atLeast"/>
        <w:ind w:left="1079" w:leftChars="257" w:hanging="540"/>
        <w:jc w:val="left"/>
        <w:rPr>
          <w:rStyle w:val="37"/>
          <w:rFonts w:hint="eastAsia" w:ascii="仿宋_GB2312" w:hAnsi="仿宋_GB2312" w:eastAsia="仿宋_GB2312"/>
          <w:b/>
          <w:color w:val="000000" w:themeColor="text1"/>
          <w:sz w:val="28"/>
          <w:highlight w:val="none"/>
          <w:lang w:val="en-US" w:eastAsia="zh-CN"/>
          <w14:textFill>
            <w14:solidFill>
              <w14:schemeClr w14:val="tx1"/>
            </w14:solidFill>
          </w14:textFill>
        </w:rPr>
      </w:pPr>
    </w:p>
    <w:p w14:paraId="56C282C9">
      <w:pPr>
        <w:keepNext w:val="0"/>
        <w:keepLines w:val="0"/>
        <w:pageBreakBefore w:val="0"/>
        <w:widowControl w:val="0"/>
        <w:wordWrap/>
        <w:overflowPunct/>
        <w:topLinePunct w:val="0"/>
        <w:bidi w:val="0"/>
        <w:spacing w:line="240" w:lineRule="atLeast"/>
        <w:ind w:left="2095" w:leftChars="998" w:firstLine="1102" w:firstLineChars="212"/>
        <w:jc w:val="left"/>
        <w:rPr>
          <w:rStyle w:val="37"/>
          <w:rFonts w:hint="eastAsia" w:ascii="仿宋_GB2312" w:hAnsi="仿宋_GB2312" w:eastAsia="仿宋_GB2312"/>
          <w:b/>
          <w:color w:val="000000" w:themeColor="text1"/>
          <w:sz w:val="52"/>
          <w:highlight w:val="none"/>
          <w14:textFill>
            <w14:solidFill>
              <w14:schemeClr w14:val="tx1"/>
            </w14:solidFill>
          </w14:textFill>
        </w:rPr>
      </w:pPr>
      <w:r>
        <w:rPr>
          <w:rStyle w:val="37"/>
          <w:rFonts w:ascii="仿宋_GB2312" w:hAnsi="仿宋_GB2312" w:eastAsia="仿宋_GB2312"/>
          <w:b/>
          <w:color w:val="000000" w:themeColor="text1"/>
          <w:sz w:val="52"/>
          <w:highlight w:val="none"/>
          <w14:textFill>
            <w14:solidFill>
              <w14:schemeClr w14:val="tx1"/>
            </w14:solidFill>
          </w14:textFill>
        </w:rPr>
        <w:t>(第一册)</w:t>
      </w:r>
    </w:p>
    <w:p w14:paraId="17C670BF">
      <w:pPr>
        <w:pStyle w:val="20"/>
        <w:keepNext w:val="0"/>
        <w:keepLines w:val="0"/>
        <w:pageBreakBefore w:val="0"/>
        <w:widowControl w:val="0"/>
        <w:wordWrap/>
        <w:overflowPunct/>
        <w:topLinePunct w:val="0"/>
        <w:bidi w:val="0"/>
        <w:rPr>
          <w:highlight w:val="none"/>
        </w:rPr>
      </w:pPr>
    </w:p>
    <w:p w14:paraId="4B9E16C0">
      <w:pPr>
        <w:pStyle w:val="10"/>
        <w:keepNext w:val="0"/>
        <w:keepLines w:val="0"/>
        <w:pageBreakBefore w:val="0"/>
        <w:widowControl w:val="0"/>
        <w:wordWrap/>
        <w:overflowPunct/>
        <w:topLinePunct w:val="0"/>
        <w:bidi w:val="0"/>
        <w:jc w:val="left"/>
        <w:rPr>
          <w:rStyle w:val="37"/>
          <w:rFonts w:hint="eastAsia" w:ascii="仿宋_GB2312" w:hAnsi="仿宋_GB2312" w:eastAsia="仿宋_GB2312"/>
          <w:b/>
          <w:color w:val="000000" w:themeColor="text1"/>
          <w:sz w:val="52"/>
          <w:highlight w:val="none"/>
          <w14:textFill>
            <w14:solidFill>
              <w14:schemeClr w14:val="tx1"/>
            </w14:solidFill>
          </w14:textFill>
        </w:rPr>
      </w:pPr>
    </w:p>
    <w:p w14:paraId="7ADC3409">
      <w:pPr>
        <w:keepNext w:val="0"/>
        <w:keepLines w:val="0"/>
        <w:pageBreakBefore w:val="0"/>
        <w:widowControl w:val="0"/>
        <w:wordWrap/>
        <w:overflowPunct/>
        <w:topLinePunct w:val="0"/>
        <w:bidi w:val="0"/>
        <w:jc w:val="left"/>
        <w:rPr>
          <w:color w:val="000000" w:themeColor="text1"/>
          <w:highlight w:val="none"/>
          <w14:textFill>
            <w14:solidFill>
              <w14:schemeClr w14:val="tx1"/>
            </w14:solidFill>
          </w14:textFill>
        </w:rPr>
      </w:pPr>
    </w:p>
    <w:p w14:paraId="61973C43">
      <w:pPr>
        <w:keepNext w:val="0"/>
        <w:keepLines w:val="0"/>
        <w:pageBreakBefore w:val="0"/>
        <w:widowControl w:val="0"/>
        <w:wordWrap/>
        <w:overflowPunct/>
        <w:topLinePunct w:val="0"/>
        <w:bidi w:val="0"/>
        <w:spacing w:line="560" w:lineRule="exact"/>
        <w:ind w:firstLine="900" w:firstLineChars="300"/>
        <w:jc w:val="left"/>
        <w:rPr>
          <w:rStyle w:val="37"/>
          <w:rFonts w:hint="eastAsia" w:ascii="仿宋_GB2312" w:hAnsi="仿宋_GB2312" w:eastAsia="仿宋_GB2312" w:cs="仿宋_GB2312"/>
          <w:b/>
          <w:bCs/>
          <w:color w:val="000000" w:themeColor="text1"/>
          <w:sz w:val="30"/>
          <w:szCs w:val="30"/>
          <w:highlight w:val="none"/>
          <w:lang w:val="en-US" w:eastAsia="zh-CN"/>
          <w14:textFill>
            <w14:solidFill>
              <w14:schemeClr w14:val="tx1"/>
            </w14:solidFill>
          </w14:textFill>
        </w:rPr>
      </w:pPr>
      <w:r>
        <w:rPr>
          <w:rStyle w:val="37"/>
          <w:rFonts w:ascii="仿宋_GB2312" w:hAnsi="仿宋_GB2312" w:eastAsia="仿宋_GB2312" w:cs="仿宋_GB2312"/>
          <w:b/>
          <w:bCs/>
          <w:color w:val="000000" w:themeColor="text1"/>
          <w:sz w:val="30"/>
          <w:szCs w:val="30"/>
          <w:highlight w:val="none"/>
          <w14:textFill>
            <w14:solidFill>
              <w14:schemeClr w14:val="tx1"/>
            </w14:solidFill>
          </w14:textFill>
        </w:rPr>
        <w:t>项目编号：</w:t>
      </w:r>
      <w:r>
        <w:rPr>
          <w:rStyle w:val="37"/>
          <w:rFonts w:hint="eastAsia" w:ascii="仿宋_GB2312" w:hAnsi="仿宋_GB2312" w:eastAsia="仿宋_GB2312" w:cs="仿宋_GB2312"/>
          <w:b/>
          <w:bCs/>
          <w:color w:val="000000" w:themeColor="text1"/>
          <w:sz w:val="30"/>
          <w:szCs w:val="30"/>
          <w:highlight w:val="none"/>
          <w:lang w:eastAsia="zh-CN"/>
          <w14:textFill>
            <w14:solidFill>
              <w14:schemeClr w14:val="tx1"/>
            </w14:solidFill>
          </w14:textFill>
        </w:rPr>
        <w:t>KSJSX(GK)2026-12</w:t>
      </w:r>
    </w:p>
    <w:p w14:paraId="6C2D252D">
      <w:pPr>
        <w:keepNext w:val="0"/>
        <w:keepLines w:val="0"/>
        <w:pageBreakBefore w:val="0"/>
        <w:widowControl w:val="0"/>
        <w:wordWrap/>
        <w:overflowPunct/>
        <w:topLinePunct w:val="0"/>
        <w:bidi w:val="0"/>
        <w:spacing w:line="360" w:lineRule="auto"/>
        <w:ind w:firstLine="897" w:firstLineChars="299"/>
        <w:jc w:val="left"/>
        <w:rPr>
          <w:rStyle w:val="37"/>
          <w:rFonts w:hint="eastAsia" w:ascii="仿宋_GB2312" w:hAnsi="仿宋_GB2312" w:eastAsia="仿宋_GB2312" w:cs="仿宋_GB2312"/>
          <w:b/>
          <w:bCs/>
          <w:color w:val="000000" w:themeColor="text1"/>
          <w:sz w:val="30"/>
          <w:szCs w:val="30"/>
          <w:highlight w:val="none"/>
          <w:lang w:val="en-US" w:eastAsia="zh-CN"/>
          <w14:textFill>
            <w14:solidFill>
              <w14:schemeClr w14:val="tx1"/>
            </w14:solidFill>
          </w14:textFill>
        </w:rPr>
      </w:pPr>
      <w:r>
        <w:rPr>
          <w:rStyle w:val="37"/>
          <w:rFonts w:ascii="仿宋_GB2312" w:hAnsi="仿宋_GB2312" w:eastAsia="仿宋_GB2312" w:cs="仿宋_GB2312"/>
          <w:b/>
          <w:bCs/>
          <w:color w:val="000000" w:themeColor="text1"/>
          <w:sz w:val="30"/>
          <w:szCs w:val="30"/>
          <w:highlight w:val="none"/>
          <w14:textFill>
            <w14:solidFill>
              <w14:schemeClr w14:val="tx1"/>
            </w14:solidFill>
          </w14:textFill>
        </w:rPr>
        <w:t>采购单位：</w:t>
      </w:r>
      <w:r>
        <w:rPr>
          <w:rFonts w:hint="eastAsia" w:ascii="仿宋_GB2312" w:hAnsi="仿宋_GB2312" w:eastAsia="仿宋_GB2312" w:cs="仿宋_GB2312"/>
          <w:b/>
          <w:bCs/>
          <w:color w:val="000000" w:themeColor="text1"/>
          <w:sz w:val="30"/>
          <w:szCs w:val="30"/>
          <w:highlight w:val="none"/>
          <w:lang w:eastAsia="zh-CN"/>
          <w14:textFill>
            <w14:solidFill>
              <w14:schemeClr w14:val="tx1"/>
            </w14:solidFill>
          </w14:textFill>
        </w:rPr>
        <w:t>伽师县教育局</w:t>
      </w:r>
    </w:p>
    <w:p w14:paraId="68970673">
      <w:pPr>
        <w:keepNext w:val="0"/>
        <w:keepLines w:val="0"/>
        <w:pageBreakBefore w:val="0"/>
        <w:widowControl w:val="0"/>
        <w:wordWrap/>
        <w:overflowPunct/>
        <w:topLinePunct w:val="0"/>
        <w:bidi w:val="0"/>
        <w:spacing w:line="360" w:lineRule="auto"/>
        <w:ind w:firstLine="897" w:firstLineChars="299"/>
        <w:jc w:val="left"/>
        <w:rPr>
          <w:rStyle w:val="37"/>
          <w:rFonts w:hint="eastAsia" w:ascii="仿宋_GB2312" w:hAnsi="仿宋_GB2312" w:eastAsia="仿宋_GB2312" w:cs="仿宋_GB2312"/>
          <w:b/>
          <w:bCs/>
          <w:color w:val="000000" w:themeColor="text1"/>
          <w:sz w:val="30"/>
          <w:szCs w:val="30"/>
          <w:highlight w:val="none"/>
          <w14:textFill>
            <w14:solidFill>
              <w14:schemeClr w14:val="tx1"/>
            </w14:solidFill>
          </w14:textFill>
        </w:rPr>
      </w:pPr>
      <w:r>
        <w:rPr>
          <w:rStyle w:val="37"/>
          <w:rFonts w:ascii="仿宋_GB2312" w:hAnsi="仿宋_GB2312" w:eastAsia="仿宋_GB2312" w:cs="仿宋_GB2312"/>
          <w:b/>
          <w:bCs/>
          <w:color w:val="000000" w:themeColor="text1"/>
          <w:sz w:val="30"/>
          <w:szCs w:val="30"/>
          <w:highlight w:val="none"/>
          <w14:textFill>
            <w14:solidFill>
              <w14:schemeClr w14:val="tx1"/>
            </w14:solidFill>
          </w14:textFill>
        </w:rPr>
        <w:t>采购代理机构：伽师县政府采购中心</w:t>
      </w:r>
    </w:p>
    <w:p w14:paraId="3F7DB8D7">
      <w:pPr>
        <w:keepNext w:val="0"/>
        <w:keepLines w:val="0"/>
        <w:pageBreakBefore w:val="0"/>
        <w:widowControl w:val="0"/>
        <w:wordWrap/>
        <w:overflowPunct/>
        <w:topLinePunct w:val="0"/>
        <w:bidi w:val="0"/>
        <w:spacing w:line="600" w:lineRule="exact"/>
        <w:ind w:firstLine="897" w:firstLineChars="299"/>
        <w:jc w:val="left"/>
        <w:rPr>
          <w:rStyle w:val="37"/>
          <w:rFonts w:hint="eastAsia" w:ascii="仿宋_GB2312" w:hAnsi="仿宋_GB2312" w:eastAsia="仿宋_GB2312" w:cs="仿宋_GB2312"/>
          <w:b/>
          <w:bCs/>
          <w:color w:val="000000" w:themeColor="text1"/>
          <w:sz w:val="30"/>
          <w:szCs w:val="30"/>
          <w:highlight w:val="none"/>
          <w14:textFill>
            <w14:solidFill>
              <w14:schemeClr w14:val="tx1"/>
            </w14:solidFill>
          </w14:textFill>
        </w:rPr>
      </w:pPr>
      <w:r>
        <w:rPr>
          <w:rStyle w:val="37"/>
          <w:rFonts w:ascii="仿宋_GB2312" w:hAnsi="仿宋_GB2312" w:eastAsia="仿宋_GB2312" w:cs="仿宋_GB2312"/>
          <w:b/>
          <w:bCs/>
          <w:color w:val="000000" w:themeColor="text1"/>
          <w:sz w:val="30"/>
          <w:szCs w:val="30"/>
          <w:highlight w:val="none"/>
          <w14:textFill>
            <w14:solidFill>
              <w14:schemeClr w14:val="tx1"/>
            </w14:solidFill>
          </w14:textFill>
        </w:rPr>
        <w:t>发出日期：</w:t>
      </w:r>
      <w:r>
        <w:rPr>
          <w:rStyle w:val="37"/>
          <w:rFonts w:hint="eastAsia" w:ascii="仿宋_GB2312" w:hAnsi="仿宋_GB2312" w:eastAsia="仿宋_GB2312" w:cs="仿宋_GB2312"/>
          <w:b/>
          <w:bCs/>
          <w:color w:val="000000" w:themeColor="text1"/>
          <w:sz w:val="30"/>
          <w:szCs w:val="30"/>
          <w:highlight w:val="none"/>
          <w14:textFill>
            <w14:solidFill>
              <w14:schemeClr w14:val="tx1"/>
            </w14:solidFill>
          </w14:textFill>
        </w:rPr>
        <w:t>202</w:t>
      </w:r>
      <w:r>
        <w:rPr>
          <w:rStyle w:val="37"/>
          <w:rFonts w:hint="eastAsia" w:ascii="仿宋_GB2312" w:hAnsi="仿宋_GB2312" w:eastAsia="仿宋_GB2312" w:cs="仿宋_GB2312"/>
          <w:b/>
          <w:bCs/>
          <w:color w:val="000000" w:themeColor="text1"/>
          <w:sz w:val="30"/>
          <w:szCs w:val="30"/>
          <w:highlight w:val="none"/>
          <w:lang w:val="en-US" w:eastAsia="zh-CN"/>
          <w14:textFill>
            <w14:solidFill>
              <w14:schemeClr w14:val="tx1"/>
            </w14:solidFill>
          </w14:textFill>
        </w:rPr>
        <w:t>6</w:t>
      </w:r>
      <w:r>
        <w:rPr>
          <w:rStyle w:val="37"/>
          <w:rFonts w:hint="eastAsia" w:ascii="仿宋_GB2312" w:hAnsi="仿宋_GB2312" w:eastAsia="仿宋_GB2312" w:cs="仿宋_GB2312"/>
          <w:b/>
          <w:bCs/>
          <w:color w:val="000000" w:themeColor="text1"/>
          <w:sz w:val="30"/>
          <w:szCs w:val="30"/>
          <w:highlight w:val="none"/>
          <w14:textFill>
            <w14:solidFill>
              <w14:schemeClr w14:val="tx1"/>
            </w14:solidFill>
          </w14:textFill>
        </w:rPr>
        <w:t>年</w:t>
      </w:r>
      <w:r>
        <w:rPr>
          <w:rStyle w:val="37"/>
          <w:rFonts w:hint="eastAsia" w:ascii="仿宋_GB2312" w:hAnsi="仿宋_GB2312" w:eastAsia="仿宋_GB2312" w:cs="仿宋_GB2312"/>
          <w:b/>
          <w:bCs/>
          <w:color w:val="000000" w:themeColor="text1"/>
          <w:sz w:val="30"/>
          <w:szCs w:val="30"/>
          <w:highlight w:val="none"/>
          <w:lang w:val="en-US" w:eastAsia="zh-CN"/>
          <w14:textFill>
            <w14:solidFill>
              <w14:schemeClr w14:val="tx1"/>
            </w14:solidFill>
          </w14:textFill>
        </w:rPr>
        <w:t>4</w:t>
      </w:r>
      <w:r>
        <w:rPr>
          <w:rStyle w:val="37"/>
          <w:rFonts w:hint="eastAsia" w:ascii="仿宋_GB2312" w:hAnsi="仿宋_GB2312" w:eastAsia="仿宋_GB2312" w:cs="仿宋_GB2312"/>
          <w:b/>
          <w:bCs/>
          <w:color w:val="000000" w:themeColor="text1"/>
          <w:sz w:val="30"/>
          <w:szCs w:val="30"/>
          <w:highlight w:val="none"/>
          <w14:textFill>
            <w14:solidFill>
              <w14:schemeClr w14:val="tx1"/>
            </w14:solidFill>
          </w14:textFill>
        </w:rPr>
        <w:t>月</w:t>
      </w:r>
    </w:p>
    <w:p w14:paraId="72952707">
      <w:pPr>
        <w:keepNext w:val="0"/>
        <w:keepLines w:val="0"/>
        <w:pageBreakBefore w:val="0"/>
        <w:widowControl w:val="0"/>
        <w:wordWrap/>
        <w:overflowPunct/>
        <w:topLinePunct w:val="0"/>
        <w:bidi w:val="0"/>
        <w:spacing w:line="240" w:lineRule="atLeast"/>
        <w:ind w:left="1079" w:leftChars="257" w:hanging="540"/>
        <w:jc w:val="left"/>
        <w:rPr>
          <w:rStyle w:val="37"/>
          <w:rFonts w:hint="eastAsia" w:ascii="仿宋_GB2312" w:hAnsi="仿宋_GB2312" w:eastAsia="仿宋_GB2312"/>
          <w:b/>
          <w:color w:val="000000" w:themeColor="text1"/>
          <w:szCs w:val="21"/>
          <w:highlight w:val="none"/>
          <w14:textFill>
            <w14:solidFill>
              <w14:schemeClr w14:val="tx1"/>
            </w14:solidFill>
          </w14:textFill>
        </w:rPr>
      </w:pPr>
    </w:p>
    <w:p w14:paraId="62701962">
      <w:pPr>
        <w:keepNext w:val="0"/>
        <w:keepLines w:val="0"/>
        <w:pageBreakBefore w:val="0"/>
        <w:widowControl w:val="0"/>
        <w:wordWrap/>
        <w:overflowPunct/>
        <w:topLinePunct w:val="0"/>
        <w:bidi w:val="0"/>
        <w:spacing w:line="240" w:lineRule="atLeast"/>
        <w:ind w:left="1079" w:leftChars="257" w:hanging="540"/>
        <w:jc w:val="left"/>
        <w:rPr>
          <w:rFonts w:hint="eastAsia" w:ascii="仿宋_GB2312" w:hAnsi="仿宋_GB2312" w:eastAsia="仿宋_GB2312" w:cs="仿宋_GB2312"/>
          <w:b/>
          <w:color w:val="000000" w:themeColor="text1"/>
          <w:sz w:val="32"/>
          <w:highlight w:val="none"/>
          <w14:textFill>
            <w14:solidFill>
              <w14:schemeClr w14:val="tx1"/>
            </w14:solidFill>
          </w14:textFill>
        </w:rPr>
        <w:sectPr>
          <w:headerReference r:id="rId5" w:type="default"/>
          <w:footerReference r:id="rId6" w:type="default"/>
          <w:pgSz w:w="11906" w:h="16838"/>
          <w:pgMar w:top="1440" w:right="1684" w:bottom="1440" w:left="1684" w:header="851" w:footer="992" w:gutter="0"/>
          <w:pgBorders>
            <w:top w:val="none" w:sz="0" w:space="0"/>
            <w:left w:val="none" w:sz="0" w:space="0"/>
            <w:bottom w:val="none" w:sz="0" w:space="0"/>
            <w:right w:val="none" w:sz="0" w:space="0"/>
          </w:pgBorders>
          <w:pgNumType w:start="1"/>
          <w:cols w:space="720" w:num="1"/>
          <w:docGrid w:type="linesAndChars" w:linePitch="312" w:charSpace="0"/>
        </w:sectPr>
      </w:pPr>
      <w:bookmarkStart w:id="0" w:name="_Toc17230"/>
      <w:bookmarkStart w:id="1" w:name="_Toc25817"/>
      <w:bookmarkStart w:id="2" w:name="_Toc216582804"/>
      <w:bookmarkStart w:id="3" w:name="_Toc22782"/>
    </w:p>
    <w:bookmarkEnd w:id="0"/>
    <w:bookmarkEnd w:id="1"/>
    <w:bookmarkEnd w:id="2"/>
    <w:bookmarkEnd w:id="3"/>
    <w:p w14:paraId="3D4E95A4">
      <w:pPr>
        <w:keepNext w:val="0"/>
        <w:keepLines w:val="0"/>
        <w:pageBreakBefore w:val="0"/>
        <w:widowControl w:val="0"/>
        <w:wordWrap/>
        <w:overflowPunct/>
        <w:topLinePunct w:val="0"/>
        <w:bidi w:val="0"/>
        <w:spacing w:line="240" w:lineRule="atLeast"/>
        <w:ind w:left="1079" w:leftChars="257" w:hanging="540"/>
        <w:jc w:val="center"/>
        <w:rPr>
          <w:rFonts w:hint="eastAsia" w:ascii="仿宋_GB2312" w:hAnsi="仿宋_GB2312" w:eastAsia="仿宋_GB2312" w:cs="仿宋_GB2312"/>
          <w:b/>
          <w:sz w:val="32"/>
          <w:highlight w:val="none"/>
        </w:rPr>
      </w:pPr>
      <w:bookmarkStart w:id="4" w:name="_Toc13803"/>
      <w:bookmarkStart w:id="5" w:name="_Toc18867"/>
      <w:bookmarkStart w:id="6" w:name="_Toc5471"/>
      <w:bookmarkStart w:id="7" w:name="_Toc13334"/>
      <w:bookmarkStart w:id="8" w:name="_Toc2510"/>
      <w:bookmarkStart w:id="9" w:name="_Toc31178"/>
      <w:bookmarkStart w:id="10" w:name="_Toc8272"/>
      <w:bookmarkStart w:id="11" w:name="_Toc15055"/>
      <w:bookmarkStart w:id="12" w:name="_Toc26793"/>
      <w:bookmarkStart w:id="13" w:name="_Toc1687"/>
      <w:r>
        <w:rPr>
          <w:rFonts w:hint="eastAsia" w:ascii="仿宋_GB2312" w:hAnsi="仿宋_GB2312" w:eastAsia="仿宋_GB2312" w:cs="仿宋_GB2312"/>
          <w:b/>
          <w:sz w:val="32"/>
          <w:highlight w:val="none"/>
        </w:rPr>
        <w:t>目录</w:t>
      </w:r>
    </w:p>
    <w:p w14:paraId="390614F7">
      <w:pPr>
        <w:pStyle w:val="18"/>
        <w:keepNext w:val="0"/>
        <w:keepLines w:val="0"/>
        <w:pageBreakBefore w:val="0"/>
        <w:widowControl w:val="0"/>
        <w:tabs>
          <w:tab w:val="right" w:leader="dot" w:pos="9786"/>
        </w:tabs>
        <w:wordWrap/>
        <w:overflowPunct/>
        <w:topLinePunct w:val="0"/>
        <w:bidi w:val="0"/>
        <w:rPr>
          <w:highlight w:val="none"/>
        </w:rPr>
      </w:pPr>
      <w:r>
        <w:rPr>
          <w:highlight w:val="none"/>
        </w:rPr>
        <w:fldChar w:fldCharType="begin"/>
      </w:r>
      <w:r>
        <w:rPr>
          <w:highlight w:val="none"/>
        </w:rPr>
        <w:instrText xml:space="preserve">TOC \o "1-3" \h \u </w:instrText>
      </w:r>
      <w:r>
        <w:rPr>
          <w:highlight w:val="none"/>
        </w:rPr>
        <w:fldChar w:fldCharType="separate"/>
      </w:r>
      <w:r>
        <w:rPr>
          <w:highlight w:val="none"/>
        </w:rPr>
        <w:fldChar w:fldCharType="begin"/>
      </w:r>
      <w:r>
        <w:rPr>
          <w:highlight w:val="none"/>
        </w:rPr>
        <w:instrText xml:space="preserve"> HYPERLINK \l _Toc29821 </w:instrText>
      </w:r>
      <w:r>
        <w:rPr>
          <w:highlight w:val="none"/>
        </w:rPr>
        <w:fldChar w:fldCharType="separate"/>
      </w:r>
      <w:r>
        <w:rPr>
          <w:rFonts w:hint="eastAsia" w:ascii="仿宋_GB2312" w:hAnsi="仿宋_GB2312" w:eastAsia="仿宋_GB2312" w:cs="仿宋_GB2312"/>
          <w:kern w:val="0"/>
          <w:szCs w:val="44"/>
          <w:highlight w:val="none"/>
        </w:rPr>
        <w:t>第一章</w:t>
      </w:r>
      <w:r>
        <w:rPr>
          <w:rFonts w:hint="eastAsia" w:ascii="仿宋_GB2312" w:hAnsi="仿宋_GB2312" w:eastAsia="仿宋_GB2312" w:cs="仿宋_GB2312"/>
          <w:szCs w:val="44"/>
          <w:highlight w:val="none"/>
        </w:rPr>
        <w:t>投标人须知</w:t>
      </w:r>
      <w:r>
        <w:rPr>
          <w:highlight w:val="none"/>
        </w:rPr>
        <w:tab/>
      </w:r>
      <w:r>
        <w:rPr>
          <w:highlight w:val="none"/>
        </w:rPr>
        <w:fldChar w:fldCharType="begin"/>
      </w:r>
      <w:r>
        <w:rPr>
          <w:highlight w:val="none"/>
        </w:rPr>
        <w:instrText xml:space="preserve"> PAGEREF _Toc29821 \h </w:instrText>
      </w:r>
      <w:r>
        <w:rPr>
          <w:highlight w:val="none"/>
        </w:rPr>
        <w:fldChar w:fldCharType="separate"/>
      </w:r>
      <w:r>
        <w:rPr>
          <w:highlight w:val="none"/>
        </w:rPr>
        <w:t>1</w:t>
      </w:r>
      <w:r>
        <w:rPr>
          <w:highlight w:val="none"/>
        </w:rPr>
        <w:fldChar w:fldCharType="end"/>
      </w:r>
      <w:r>
        <w:rPr>
          <w:highlight w:val="none"/>
        </w:rPr>
        <w:fldChar w:fldCharType="end"/>
      </w:r>
    </w:p>
    <w:p w14:paraId="782E5075">
      <w:pPr>
        <w:pStyle w:val="14"/>
        <w:keepNext w:val="0"/>
        <w:keepLines w:val="0"/>
        <w:pageBreakBefore w:val="0"/>
        <w:widowControl w:val="0"/>
        <w:tabs>
          <w:tab w:val="right" w:leader="dot" w:pos="9786"/>
        </w:tabs>
        <w:wordWrap/>
        <w:overflowPunct/>
        <w:topLinePunct w:val="0"/>
        <w:bidi w:val="0"/>
        <w:rPr>
          <w:highlight w:val="none"/>
        </w:rPr>
      </w:pPr>
      <w:r>
        <w:rPr>
          <w:highlight w:val="none"/>
        </w:rPr>
        <w:fldChar w:fldCharType="begin"/>
      </w:r>
      <w:r>
        <w:rPr>
          <w:highlight w:val="none"/>
        </w:rPr>
        <w:instrText xml:space="preserve"> HYPERLINK \l _Toc16692 </w:instrText>
      </w:r>
      <w:r>
        <w:rPr>
          <w:highlight w:val="none"/>
        </w:rPr>
        <w:fldChar w:fldCharType="separate"/>
      </w:r>
      <w:r>
        <w:rPr>
          <w:rFonts w:hint="eastAsia" w:ascii="仿宋_GB2312" w:hAnsi="仿宋_GB2312" w:eastAsia="仿宋_GB2312" w:cs="仿宋_GB2312"/>
          <w:highlight w:val="none"/>
        </w:rPr>
        <w:t>一总则</w:t>
      </w:r>
      <w:r>
        <w:rPr>
          <w:highlight w:val="none"/>
        </w:rPr>
        <w:tab/>
      </w:r>
      <w:r>
        <w:rPr>
          <w:highlight w:val="none"/>
        </w:rPr>
        <w:fldChar w:fldCharType="begin"/>
      </w:r>
      <w:r>
        <w:rPr>
          <w:highlight w:val="none"/>
        </w:rPr>
        <w:instrText xml:space="preserve"> PAGEREF _Toc16692 \h </w:instrText>
      </w:r>
      <w:r>
        <w:rPr>
          <w:highlight w:val="none"/>
        </w:rPr>
        <w:fldChar w:fldCharType="separate"/>
      </w:r>
      <w:r>
        <w:rPr>
          <w:highlight w:val="none"/>
        </w:rPr>
        <w:t>1</w:t>
      </w:r>
      <w:r>
        <w:rPr>
          <w:highlight w:val="none"/>
        </w:rPr>
        <w:fldChar w:fldCharType="end"/>
      </w:r>
      <w:r>
        <w:rPr>
          <w:highlight w:val="none"/>
        </w:rPr>
        <w:fldChar w:fldCharType="end"/>
      </w:r>
    </w:p>
    <w:p w14:paraId="53D48418">
      <w:pPr>
        <w:pStyle w:val="12"/>
        <w:keepNext w:val="0"/>
        <w:keepLines w:val="0"/>
        <w:pageBreakBefore w:val="0"/>
        <w:widowControl w:val="0"/>
        <w:tabs>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_Toc28061 </w:instrText>
      </w:r>
      <w:r>
        <w:rPr>
          <w:highlight w:val="none"/>
        </w:rPr>
        <w:fldChar w:fldCharType="separate"/>
      </w:r>
      <w:r>
        <w:rPr>
          <w:rFonts w:hint="eastAsia" w:ascii="仿宋_GB2312" w:hAnsi="仿宋_GB2312" w:eastAsia="仿宋_GB2312" w:cs="仿宋_GB2312"/>
          <w:highlight w:val="none"/>
        </w:rPr>
        <w:t>1.采购人、采购代理机构及投标人</w:t>
      </w:r>
      <w:r>
        <w:rPr>
          <w:highlight w:val="none"/>
        </w:rPr>
        <w:tab/>
      </w:r>
      <w:r>
        <w:rPr>
          <w:highlight w:val="none"/>
        </w:rPr>
        <w:fldChar w:fldCharType="begin"/>
      </w:r>
      <w:r>
        <w:rPr>
          <w:highlight w:val="none"/>
        </w:rPr>
        <w:instrText xml:space="preserve"> PAGEREF _Toc28061 \h </w:instrText>
      </w:r>
      <w:r>
        <w:rPr>
          <w:highlight w:val="none"/>
        </w:rPr>
        <w:fldChar w:fldCharType="separate"/>
      </w:r>
      <w:r>
        <w:rPr>
          <w:highlight w:val="none"/>
        </w:rPr>
        <w:t>1</w:t>
      </w:r>
      <w:r>
        <w:rPr>
          <w:highlight w:val="none"/>
        </w:rPr>
        <w:fldChar w:fldCharType="end"/>
      </w:r>
      <w:r>
        <w:rPr>
          <w:highlight w:val="none"/>
        </w:rPr>
        <w:fldChar w:fldCharType="end"/>
      </w:r>
    </w:p>
    <w:p w14:paraId="3F1E0DA0">
      <w:pPr>
        <w:pStyle w:val="12"/>
        <w:keepNext w:val="0"/>
        <w:keepLines w:val="0"/>
        <w:pageBreakBefore w:val="0"/>
        <w:widowControl w:val="0"/>
        <w:tabs>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_Toc8744 </w:instrText>
      </w:r>
      <w:r>
        <w:rPr>
          <w:highlight w:val="none"/>
        </w:rPr>
        <w:fldChar w:fldCharType="separate"/>
      </w:r>
      <w:r>
        <w:rPr>
          <w:rFonts w:hint="eastAsia" w:ascii="仿宋_GB2312" w:hAnsi="仿宋_GB2312" w:eastAsia="仿宋_GB2312" w:cs="仿宋_GB2312"/>
          <w:highlight w:val="none"/>
        </w:rPr>
        <w:t>2.资金来源</w:t>
      </w:r>
      <w:r>
        <w:rPr>
          <w:highlight w:val="none"/>
        </w:rPr>
        <w:tab/>
      </w:r>
      <w:r>
        <w:rPr>
          <w:highlight w:val="none"/>
        </w:rPr>
        <w:fldChar w:fldCharType="begin"/>
      </w:r>
      <w:r>
        <w:rPr>
          <w:highlight w:val="none"/>
        </w:rPr>
        <w:instrText xml:space="preserve"> PAGEREF _Toc8744 \h </w:instrText>
      </w:r>
      <w:r>
        <w:rPr>
          <w:highlight w:val="none"/>
        </w:rPr>
        <w:fldChar w:fldCharType="separate"/>
      </w:r>
      <w:r>
        <w:rPr>
          <w:highlight w:val="none"/>
        </w:rPr>
        <w:t>2</w:t>
      </w:r>
      <w:r>
        <w:rPr>
          <w:highlight w:val="none"/>
        </w:rPr>
        <w:fldChar w:fldCharType="end"/>
      </w:r>
      <w:r>
        <w:rPr>
          <w:highlight w:val="none"/>
        </w:rPr>
        <w:fldChar w:fldCharType="end"/>
      </w:r>
    </w:p>
    <w:p w14:paraId="4329915C">
      <w:pPr>
        <w:pStyle w:val="12"/>
        <w:keepNext w:val="0"/>
        <w:keepLines w:val="0"/>
        <w:pageBreakBefore w:val="0"/>
        <w:widowControl w:val="0"/>
        <w:tabs>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_Toc17123 </w:instrText>
      </w:r>
      <w:r>
        <w:rPr>
          <w:highlight w:val="none"/>
        </w:rPr>
        <w:fldChar w:fldCharType="separate"/>
      </w:r>
      <w:r>
        <w:rPr>
          <w:rFonts w:hint="eastAsia" w:ascii="仿宋_GB2312" w:hAnsi="仿宋_GB2312" w:eastAsia="仿宋_GB2312" w:cs="仿宋_GB2312"/>
          <w:highlight w:val="none"/>
        </w:rPr>
        <w:t>3.投标费用</w:t>
      </w:r>
      <w:r>
        <w:rPr>
          <w:highlight w:val="none"/>
        </w:rPr>
        <w:tab/>
      </w:r>
      <w:r>
        <w:rPr>
          <w:highlight w:val="none"/>
        </w:rPr>
        <w:fldChar w:fldCharType="begin"/>
      </w:r>
      <w:r>
        <w:rPr>
          <w:highlight w:val="none"/>
        </w:rPr>
        <w:instrText xml:space="preserve"> PAGEREF _Toc17123 \h </w:instrText>
      </w:r>
      <w:r>
        <w:rPr>
          <w:highlight w:val="none"/>
        </w:rPr>
        <w:fldChar w:fldCharType="separate"/>
      </w:r>
      <w:r>
        <w:rPr>
          <w:highlight w:val="none"/>
        </w:rPr>
        <w:t>2</w:t>
      </w:r>
      <w:r>
        <w:rPr>
          <w:highlight w:val="none"/>
        </w:rPr>
        <w:fldChar w:fldCharType="end"/>
      </w:r>
      <w:r>
        <w:rPr>
          <w:highlight w:val="none"/>
        </w:rPr>
        <w:fldChar w:fldCharType="end"/>
      </w:r>
    </w:p>
    <w:p w14:paraId="50FD6758">
      <w:pPr>
        <w:pStyle w:val="12"/>
        <w:keepNext w:val="0"/>
        <w:keepLines w:val="0"/>
        <w:pageBreakBefore w:val="0"/>
        <w:widowControl w:val="0"/>
        <w:tabs>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_Toc8850 </w:instrText>
      </w:r>
      <w:r>
        <w:rPr>
          <w:highlight w:val="none"/>
        </w:rPr>
        <w:fldChar w:fldCharType="separate"/>
      </w:r>
      <w:r>
        <w:rPr>
          <w:rFonts w:hint="eastAsia" w:ascii="仿宋_GB2312" w:hAnsi="仿宋_GB2312" w:eastAsia="仿宋_GB2312" w:cs="仿宋_GB2312"/>
          <w:highlight w:val="none"/>
        </w:rPr>
        <w:t>4.适用法律</w:t>
      </w:r>
      <w:r>
        <w:rPr>
          <w:highlight w:val="none"/>
        </w:rPr>
        <w:tab/>
      </w:r>
      <w:r>
        <w:rPr>
          <w:highlight w:val="none"/>
        </w:rPr>
        <w:fldChar w:fldCharType="begin"/>
      </w:r>
      <w:r>
        <w:rPr>
          <w:highlight w:val="none"/>
        </w:rPr>
        <w:instrText xml:space="preserve"> PAGEREF _Toc8850 \h </w:instrText>
      </w:r>
      <w:r>
        <w:rPr>
          <w:highlight w:val="none"/>
        </w:rPr>
        <w:fldChar w:fldCharType="separate"/>
      </w:r>
      <w:r>
        <w:rPr>
          <w:highlight w:val="none"/>
        </w:rPr>
        <w:t>2</w:t>
      </w:r>
      <w:r>
        <w:rPr>
          <w:highlight w:val="none"/>
        </w:rPr>
        <w:fldChar w:fldCharType="end"/>
      </w:r>
      <w:r>
        <w:rPr>
          <w:highlight w:val="none"/>
        </w:rPr>
        <w:fldChar w:fldCharType="end"/>
      </w:r>
    </w:p>
    <w:p w14:paraId="2CBD73D5">
      <w:pPr>
        <w:pStyle w:val="14"/>
        <w:keepNext w:val="0"/>
        <w:keepLines w:val="0"/>
        <w:pageBreakBefore w:val="0"/>
        <w:widowControl w:val="0"/>
        <w:tabs>
          <w:tab w:val="right" w:leader="dot" w:pos="9786"/>
        </w:tabs>
        <w:wordWrap/>
        <w:overflowPunct/>
        <w:topLinePunct w:val="0"/>
        <w:bidi w:val="0"/>
        <w:rPr>
          <w:highlight w:val="none"/>
        </w:rPr>
      </w:pPr>
      <w:r>
        <w:rPr>
          <w:highlight w:val="none"/>
        </w:rPr>
        <w:fldChar w:fldCharType="begin"/>
      </w:r>
      <w:r>
        <w:rPr>
          <w:highlight w:val="none"/>
        </w:rPr>
        <w:instrText xml:space="preserve"> HYPERLINK \l _Toc1810 </w:instrText>
      </w:r>
      <w:r>
        <w:rPr>
          <w:highlight w:val="none"/>
        </w:rPr>
        <w:fldChar w:fldCharType="separate"/>
      </w:r>
      <w:r>
        <w:rPr>
          <w:rFonts w:hint="eastAsia" w:ascii="仿宋_GB2312" w:hAnsi="仿宋_GB2312" w:eastAsia="仿宋_GB2312" w:cs="仿宋_GB2312"/>
          <w:highlight w:val="none"/>
        </w:rPr>
        <w:t>二招标文件</w:t>
      </w:r>
      <w:r>
        <w:rPr>
          <w:highlight w:val="none"/>
        </w:rPr>
        <w:tab/>
      </w:r>
      <w:r>
        <w:rPr>
          <w:highlight w:val="none"/>
        </w:rPr>
        <w:fldChar w:fldCharType="begin"/>
      </w:r>
      <w:r>
        <w:rPr>
          <w:highlight w:val="none"/>
        </w:rPr>
        <w:instrText xml:space="preserve"> PAGEREF _Toc1810 \h </w:instrText>
      </w:r>
      <w:r>
        <w:rPr>
          <w:highlight w:val="none"/>
        </w:rPr>
        <w:fldChar w:fldCharType="separate"/>
      </w:r>
      <w:r>
        <w:rPr>
          <w:highlight w:val="none"/>
        </w:rPr>
        <w:t>2</w:t>
      </w:r>
      <w:r>
        <w:rPr>
          <w:highlight w:val="none"/>
        </w:rPr>
        <w:fldChar w:fldCharType="end"/>
      </w:r>
      <w:r>
        <w:rPr>
          <w:highlight w:val="none"/>
        </w:rPr>
        <w:fldChar w:fldCharType="end"/>
      </w:r>
    </w:p>
    <w:p w14:paraId="28ED88B1">
      <w:pPr>
        <w:pStyle w:val="12"/>
        <w:keepNext w:val="0"/>
        <w:keepLines w:val="0"/>
        <w:pageBreakBefore w:val="0"/>
        <w:widowControl w:val="0"/>
        <w:tabs>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_Toc13289 </w:instrText>
      </w:r>
      <w:r>
        <w:rPr>
          <w:highlight w:val="none"/>
        </w:rPr>
        <w:fldChar w:fldCharType="separate"/>
      </w:r>
      <w:r>
        <w:rPr>
          <w:rFonts w:hint="eastAsia" w:ascii="仿宋_GB2312" w:hAnsi="仿宋_GB2312" w:eastAsia="仿宋_GB2312" w:cs="仿宋_GB2312"/>
          <w:highlight w:val="none"/>
        </w:rPr>
        <w:t>5.招标文件构成</w:t>
      </w:r>
      <w:r>
        <w:rPr>
          <w:highlight w:val="none"/>
        </w:rPr>
        <w:tab/>
      </w:r>
      <w:r>
        <w:rPr>
          <w:highlight w:val="none"/>
        </w:rPr>
        <w:fldChar w:fldCharType="begin"/>
      </w:r>
      <w:r>
        <w:rPr>
          <w:highlight w:val="none"/>
        </w:rPr>
        <w:instrText xml:space="preserve"> PAGEREF _Toc13289 \h </w:instrText>
      </w:r>
      <w:r>
        <w:rPr>
          <w:highlight w:val="none"/>
        </w:rPr>
        <w:fldChar w:fldCharType="separate"/>
      </w:r>
      <w:r>
        <w:rPr>
          <w:highlight w:val="none"/>
        </w:rPr>
        <w:t>2</w:t>
      </w:r>
      <w:r>
        <w:rPr>
          <w:highlight w:val="none"/>
        </w:rPr>
        <w:fldChar w:fldCharType="end"/>
      </w:r>
      <w:r>
        <w:rPr>
          <w:highlight w:val="none"/>
        </w:rPr>
        <w:fldChar w:fldCharType="end"/>
      </w:r>
    </w:p>
    <w:p w14:paraId="7E6BCCEB">
      <w:pPr>
        <w:pStyle w:val="12"/>
        <w:keepNext w:val="0"/>
        <w:keepLines w:val="0"/>
        <w:pageBreakBefore w:val="0"/>
        <w:widowControl w:val="0"/>
        <w:tabs>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_Toc10751 </w:instrText>
      </w:r>
      <w:r>
        <w:rPr>
          <w:highlight w:val="none"/>
        </w:rPr>
        <w:fldChar w:fldCharType="separate"/>
      </w:r>
      <w:r>
        <w:rPr>
          <w:rFonts w:hint="eastAsia" w:ascii="仿宋_GB2312" w:hAnsi="仿宋_GB2312" w:eastAsia="仿宋_GB2312" w:cs="仿宋_GB2312"/>
          <w:highlight w:val="none"/>
        </w:rPr>
        <w:t>6.招标文件的澄清与修改</w:t>
      </w:r>
      <w:r>
        <w:rPr>
          <w:highlight w:val="none"/>
        </w:rPr>
        <w:tab/>
      </w:r>
      <w:r>
        <w:rPr>
          <w:highlight w:val="none"/>
        </w:rPr>
        <w:fldChar w:fldCharType="begin"/>
      </w:r>
      <w:r>
        <w:rPr>
          <w:highlight w:val="none"/>
        </w:rPr>
        <w:instrText xml:space="preserve"> PAGEREF _Toc10751 \h </w:instrText>
      </w:r>
      <w:r>
        <w:rPr>
          <w:highlight w:val="none"/>
        </w:rPr>
        <w:fldChar w:fldCharType="separate"/>
      </w:r>
      <w:r>
        <w:rPr>
          <w:highlight w:val="none"/>
        </w:rPr>
        <w:t>3</w:t>
      </w:r>
      <w:r>
        <w:rPr>
          <w:highlight w:val="none"/>
        </w:rPr>
        <w:fldChar w:fldCharType="end"/>
      </w:r>
      <w:r>
        <w:rPr>
          <w:highlight w:val="none"/>
        </w:rPr>
        <w:fldChar w:fldCharType="end"/>
      </w:r>
    </w:p>
    <w:p w14:paraId="29BC5577">
      <w:pPr>
        <w:pStyle w:val="12"/>
        <w:keepNext w:val="0"/>
        <w:keepLines w:val="0"/>
        <w:pageBreakBefore w:val="0"/>
        <w:widowControl w:val="0"/>
        <w:tabs>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_Toc2184 </w:instrText>
      </w:r>
      <w:r>
        <w:rPr>
          <w:highlight w:val="none"/>
        </w:rPr>
        <w:fldChar w:fldCharType="separate"/>
      </w:r>
      <w:r>
        <w:rPr>
          <w:rFonts w:hint="eastAsia" w:ascii="仿宋_GB2312" w:hAnsi="仿宋_GB2312" w:eastAsia="仿宋_GB2312" w:cs="仿宋_GB2312"/>
          <w:highlight w:val="none"/>
        </w:rPr>
        <w:t>7.投标截止时间的顺延</w:t>
      </w:r>
      <w:r>
        <w:rPr>
          <w:highlight w:val="none"/>
        </w:rPr>
        <w:tab/>
      </w:r>
      <w:r>
        <w:rPr>
          <w:highlight w:val="none"/>
        </w:rPr>
        <w:fldChar w:fldCharType="begin"/>
      </w:r>
      <w:r>
        <w:rPr>
          <w:highlight w:val="none"/>
        </w:rPr>
        <w:instrText xml:space="preserve"> PAGEREF _Toc2184 \h </w:instrText>
      </w:r>
      <w:r>
        <w:rPr>
          <w:highlight w:val="none"/>
        </w:rPr>
        <w:fldChar w:fldCharType="separate"/>
      </w:r>
      <w:r>
        <w:rPr>
          <w:highlight w:val="none"/>
        </w:rPr>
        <w:t>3</w:t>
      </w:r>
      <w:r>
        <w:rPr>
          <w:highlight w:val="none"/>
        </w:rPr>
        <w:fldChar w:fldCharType="end"/>
      </w:r>
      <w:r>
        <w:rPr>
          <w:highlight w:val="none"/>
        </w:rPr>
        <w:fldChar w:fldCharType="end"/>
      </w:r>
    </w:p>
    <w:p w14:paraId="634ACA60">
      <w:pPr>
        <w:pStyle w:val="14"/>
        <w:keepNext w:val="0"/>
        <w:keepLines w:val="0"/>
        <w:pageBreakBefore w:val="0"/>
        <w:widowControl w:val="0"/>
        <w:tabs>
          <w:tab w:val="right" w:leader="dot" w:pos="9786"/>
        </w:tabs>
        <w:wordWrap/>
        <w:overflowPunct/>
        <w:topLinePunct w:val="0"/>
        <w:bidi w:val="0"/>
        <w:rPr>
          <w:highlight w:val="none"/>
        </w:rPr>
      </w:pPr>
      <w:r>
        <w:rPr>
          <w:highlight w:val="none"/>
        </w:rPr>
        <w:fldChar w:fldCharType="begin"/>
      </w:r>
      <w:r>
        <w:rPr>
          <w:highlight w:val="none"/>
        </w:rPr>
        <w:instrText xml:space="preserve"> HYPERLINK \l _Toc29181 </w:instrText>
      </w:r>
      <w:r>
        <w:rPr>
          <w:highlight w:val="none"/>
        </w:rPr>
        <w:fldChar w:fldCharType="separate"/>
      </w:r>
      <w:r>
        <w:rPr>
          <w:rFonts w:hint="eastAsia" w:ascii="仿宋_GB2312" w:hAnsi="仿宋_GB2312" w:eastAsia="仿宋_GB2312" w:cs="仿宋_GB2312"/>
          <w:highlight w:val="none"/>
        </w:rPr>
        <w:t>三投标文件的编制</w:t>
      </w:r>
      <w:r>
        <w:rPr>
          <w:highlight w:val="none"/>
        </w:rPr>
        <w:tab/>
      </w:r>
      <w:r>
        <w:rPr>
          <w:highlight w:val="none"/>
        </w:rPr>
        <w:fldChar w:fldCharType="begin"/>
      </w:r>
      <w:r>
        <w:rPr>
          <w:highlight w:val="none"/>
        </w:rPr>
        <w:instrText xml:space="preserve"> PAGEREF _Toc29181 \h </w:instrText>
      </w:r>
      <w:r>
        <w:rPr>
          <w:highlight w:val="none"/>
        </w:rPr>
        <w:fldChar w:fldCharType="separate"/>
      </w:r>
      <w:r>
        <w:rPr>
          <w:highlight w:val="none"/>
        </w:rPr>
        <w:t>4</w:t>
      </w:r>
      <w:r>
        <w:rPr>
          <w:highlight w:val="none"/>
        </w:rPr>
        <w:fldChar w:fldCharType="end"/>
      </w:r>
      <w:r>
        <w:rPr>
          <w:highlight w:val="none"/>
        </w:rPr>
        <w:fldChar w:fldCharType="end"/>
      </w:r>
    </w:p>
    <w:p w14:paraId="4234572B">
      <w:pPr>
        <w:pStyle w:val="12"/>
        <w:keepNext w:val="0"/>
        <w:keepLines w:val="0"/>
        <w:pageBreakBefore w:val="0"/>
        <w:widowControl w:val="0"/>
        <w:tabs>
          <w:tab w:val="right" w:pos="2800"/>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_Toc4131 </w:instrText>
      </w:r>
      <w:r>
        <w:rPr>
          <w:highlight w:val="none"/>
        </w:rPr>
        <w:fldChar w:fldCharType="separate"/>
      </w:r>
      <w:r>
        <w:rPr>
          <w:rFonts w:hint="eastAsia" w:ascii="仿宋_GB2312" w:hAnsi="仿宋_GB2312" w:eastAsia="仿宋_GB2312" w:cs="仿宋_GB2312"/>
          <w:highlight w:val="none"/>
        </w:rPr>
        <w:t>8.</w:t>
      </w:r>
      <w:r>
        <w:rPr>
          <w:rFonts w:hint="eastAsia" w:ascii="仿宋_GB2312" w:hAnsi="仿宋_GB2312" w:eastAsia="仿宋_GB2312" w:cs="仿宋_GB2312"/>
          <w:highlight w:val="none"/>
        </w:rPr>
        <w:tab/>
      </w:r>
      <w:r>
        <w:rPr>
          <w:rFonts w:hint="eastAsia" w:ascii="仿宋_GB2312" w:hAnsi="仿宋_GB2312" w:eastAsia="仿宋_GB2312" w:cs="仿宋_GB2312"/>
          <w:highlight w:val="none"/>
        </w:rPr>
        <w:t>投标范围及投标文件中标准和计量单位的使用</w:t>
      </w:r>
      <w:r>
        <w:rPr>
          <w:highlight w:val="none"/>
        </w:rPr>
        <w:tab/>
      </w:r>
      <w:r>
        <w:rPr>
          <w:highlight w:val="none"/>
        </w:rPr>
        <w:fldChar w:fldCharType="begin"/>
      </w:r>
      <w:r>
        <w:rPr>
          <w:highlight w:val="none"/>
        </w:rPr>
        <w:instrText xml:space="preserve"> PAGEREF _Toc4131 \h </w:instrText>
      </w:r>
      <w:r>
        <w:rPr>
          <w:highlight w:val="none"/>
        </w:rPr>
        <w:fldChar w:fldCharType="separate"/>
      </w:r>
      <w:r>
        <w:rPr>
          <w:highlight w:val="none"/>
        </w:rPr>
        <w:t>4</w:t>
      </w:r>
      <w:r>
        <w:rPr>
          <w:highlight w:val="none"/>
        </w:rPr>
        <w:fldChar w:fldCharType="end"/>
      </w:r>
      <w:r>
        <w:rPr>
          <w:highlight w:val="none"/>
        </w:rPr>
        <w:fldChar w:fldCharType="end"/>
      </w:r>
    </w:p>
    <w:p w14:paraId="516AB773">
      <w:pPr>
        <w:pStyle w:val="12"/>
        <w:keepNext w:val="0"/>
        <w:keepLines w:val="0"/>
        <w:pageBreakBefore w:val="0"/>
        <w:widowControl w:val="0"/>
        <w:tabs>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_Toc10515 </w:instrText>
      </w:r>
      <w:r>
        <w:rPr>
          <w:highlight w:val="none"/>
        </w:rPr>
        <w:fldChar w:fldCharType="separate"/>
      </w:r>
      <w:r>
        <w:rPr>
          <w:rFonts w:hint="eastAsia" w:ascii="仿宋_GB2312" w:hAnsi="仿宋_GB2312" w:eastAsia="仿宋_GB2312" w:cs="仿宋_GB2312"/>
          <w:highlight w:val="none"/>
        </w:rPr>
        <w:t>9.投标文件构成</w:t>
      </w:r>
      <w:r>
        <w:rPr>
          <w:highlight w:val="none"/>
        </w:rPr>
        <w:tab/>
      </w:r>
      <w:r>
        <w:rPr>
          <w:highlight w:val="none"/>
        </w:rPr>
        <w:fldChar w:fldCharType="begin"/>
      </w:r>
      <w:r>
        <w:rPr>
          <w:highlight w:val="none"/>
        </w:rPr>
        <w:instrText xml:space="preserve"> PAGEREF _Toc10515 \h </w:instrText>
      </w:r>
      <w:r>
        <w:rPr>
          <w:highlight w:val="none"/>
        </w:rPr>
        <w:fldChar w:fldCharType="separate"/>
      </w:r>
      <w:r>
        <w:rPr>
          <w:highlight w:val="none"/>
        </w:rPr>
        <w:t>4</w:t>
      </w:r>
      <w:r>
        <w:rPr>
          <w:highlight w:val="none"/>
        </w:rPr>
        <w:fldChar w:fldCharType="end"/>
      </w:r>
      <w:r>
        <w:rPr>
          <w:highlight w:val="none"/>
        </w:rPr>
        <w:fldChar w:fldCharType="end"/>
      </w:r>
    </w:p>
    <w:p w14:paraId="7702F966">
      <w:pPr>
        <w:pStyle w:val="12"/>
        <w:keepNext w:val="0"/>
        <w:keepLines w:val="0"/>
        <w:pageBreakBefore w:val="0"/>
        <w:widowControl w:val="0"/>
        <w:tabs>
          <w:tab w:val="right" w:pos="2800"/>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_Toc15174 </w:instrText>
      </w:r>
      <w:r>
        <w:rPr>
          <w:highlight w:val="none"/>
        </w:rPr>
        <w:fldChar w:fldCharType="separate"/>
      </w:r>
      <w:r>
        <w:rPr>
          <w:rFonts w:hint="eastAsia" w:ascii="仿宋_GB2312" w:hAnsi="仿宋_GB2312" w:eastAsia="仿宋_GB2312" w:cs="仿宋_GB2312"/>
          <w:highlight w:val="none"/>
        </w:rPr>
        <w:t>10.</w:t>
      </w:r>
      <w:r>
        <w:rPr>
          <w:rFonts w:hint="eastAsia" w:ascii="仿宋_GB2312" w:hAnsi="仿宋_GB2312" w:eastAsia="仿宋_GB2312" w:cs="仿宋_GB2312"/>
          <w:highlight w:val="none"/>
        </w:rPr>
        <w:tab/>
      </w:r>
      <w:r>
        <w:rPr>
          <w:rFonts w:hint="eastAsia" w:ascii="仿宋_GB2312" w:hAnsi="仿宋_GB2312" w:eastAsia="仿宋_GB2312" w:cs="仿宋_GB2312"/>
          <w:highlight w:val="none"/>
        </w:rPr>
        <w:t>证明投标标的的合格性和符合招标文件规定的技术文件</w:t>
      </w:r>
      <w:r>
        <w:rPr>
          <w:highlight w:val="none"/>
        </w:rPr>
        <w:tab/>
      </w:r>
      <w:r>
        <w:rPr>
          <w:highlight w:val="none"/>
        </w:rPr>
        <w:fldChar w:fldCharType="begin"/>
      </w:r>
      <w:r>
        <w:rPr>
          <w:highlight w:val="none"/>
        </w:rPr>
        <w:instrText xml:space="preserve"> PAGEREF _Toc15174 \h </w:instrText>
      </w:r>
      <w:r>
        <w:rPr>
          <w:highlight w:val="none"/>
        </w:rPr>
        <w:fldChar w:fldCharType="separate"/>
      </w:r>
      <w:r>
        <w:rPr>
          <w:highlight w:val="none"/>
        </w:rPr>
        <w:t>4</w:t>
      </w:r>
      <w:r>
        <w:rPr>
          <w:highlight w:val="none"/>
        </w:rPr>
        <w:fldChar w:fldCharType="end"/>
      </w:r>
      <w:r>
        <w:rPr>
          <w:highlight w:val="none"/>
        </w:rPr>
        <w:fldChar w:fldCharType="end"/>
      </w:r>
    </w:p>
    <w:p w14:paraId="01D1886F">
      <w:pPr>
        <w:pStyle w:val="12"/>
        <w:keepNext w:val="0"/>
        <w:keepLines w:val="0"/>
        <w:pageBreakBefore w:val="0"/>
        <w:widowControl w:val="0"/>
        <w:tabs>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_Toc2066 </w:instrText>
      </w:r>
      <w:r>
        <w:rPr>
          <w:highlight w:val="none"/>
        </w:rPr>
        <w:fldChar w:fldCharType="separate"/>
      </w:r>
      <w:r>
        <w:rPr>
          <w:rFonts w:hint="eastAsia" w:ascii="仿宋_GB2312" w:hAnsi="仿宋_GB2312" w:eastAsia="仿宋_GB2312" w:cs="仿宋_GB2312"/>
          <w:highlight w:val="none"/>
        </w:rPr>
        <w:t>11.投标报价</w:t>
      </w:r>
      <w:r>
        <w:rPr>
          <w:highlight w:val="none"/>
        </w:rPr>
        <w:tab/>
      </w:r>
      <w:r>
        <w:rPr>
          <w:highlight w:val="none"/>
        </w:rPr>
        <w:fldChar w:fldCharType="begin"/>
      </w:r>
      <w:r>
        <w:rPr>
          <w:highlight w:val="none"/>
        </w:rPr>
        <w:instrText xml:space="preserve"> PAGEREF _Toc2066 \h </w:instrText>
      </w:r>
      <w:r>
        <w:rPr>
          <w:highlight w:val="none"/>
        </w:rPr>
        <w:fldChar w:fldCharType="separate"/>
      </w:r>
      <w:r>
        <w:rPr>
          <w:highlight w:val="none"/>
        </w:rPr>
        <w:t>5</w:t>
      </w:r>
      <w:r>
        <w:rPr>
          <w:highlight w:val="none"/>
        </w:rPr>
        <w:fldChar w:fldCharType="end"/>
      </w:r>
      <w:r>
        <w:rPr>
          <w:highlight w:val="none"/>
        </w:rPr>
        <w:fldChar w:fldCharType="end"/>
      </w:r>
    </w:p>
    <w:p w14:paraId="58949D0F">
      <w:pPr>
        <w:pStyle w:val="12"/>
        <w:keepNext w:val="0"/>
        <w:keepLines w:val="0"/>
        <w:pageBreakBefore w:val="0"/>
        <w:widowControl w:val="0"/>
        <w:tabs>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_Toc2097 </w:instrText>
      </w:r>
      <w:r>
        <w:rPr>
          <w:highlight w:val="none"/>
        </w:rPr>
        <w:fldChar w:fldCharType="separate"/>
      </w:r>
      <w:r>
        <w:rPr>
          <w:rFonts w:hint="eastAsia" w:ascii="仿宋_GB2312" w:hAnsi="仿宋_GB2312" w:eastAsia="仿宋_GB2312" w:cs="仿宋_GB2312"/>
          <w:highlight w:val="none"/>
        </w:rPr>
        <w:t>12.投标保证金</w:t>
      </w:r>
      <w:r>
        <w:rPr>
          <w:highlight w:val="none"/>
        </w:rPr>
        <w:tab/>
      </w:r>
      <w:r>
        <w:rPr>
          <w:highlight w:val="none"/>
        </w:rPr>
        <w:fldChar w:fldCharType="begin"/>
      </w:r>
      <w:r>
        <w:rPr>
          <w:highlight w:val="none"/>
        </w:rPr>
        <w:instrText xml:space="preserve"> PAGEREF _Toc2097 \h </w:instrText>
      </w:r>
      <w:r>
        <w:rPr>
          <w:highlight w:val="none"/>
        </w:rPr>
        <w:fldChar w:fldCharType="separate"/>
      </w:r>
      <w:r>
        <w:rPr>
          <w:highlight w:val="none"/>
        </w:rPr>
        <w:t>5</w:t>
      </w:r>
      <w:r>
        <w:rPr>
          <w:highlight w:val="none"/>
        </w:rPr>
        <w:fldChar w:fldCharType="end"/>
      </w:r>
      <w:r>
        <w:rPr>
          <w:highlight w:val="none"/>
        </w:rPr>
        <w:fldChar w:fldCharType="end"/>
      </w:r>
    </w:p>
    <w:p w14:paraId="3F8DC362">
      <w:pPr>
        <w:pStyle w:val="12"/>
        <w:keepNext w:val="0"/>
        <w:keepLines w:val="0"/>
        <w:pageBreakBefore w:val="0"/>
        <w:widowControl w:val="0"/>
        <w:tabs>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_Toc16956 </w:instrText>
      </w:r>
      <w:r>
        <w:rPr>
          <w:highlight w:val="none"/>
        </w:rPr>
        <w:fldChar w:fldCharType="separate"/>
      </w:r>
      <w:r>
        <w:rPr>
          <w:rFonts w:hint="eastAsia" w:ascii="仿宋_GB2312" w:hAnsi="仿宋_GB2312" w:eastAsia="仿宋_GB2312" w:cs="仿宋_GB2312"/>
          <w:highlight w:val="none"/>
        </w:rPr>
        <w:t>13.投标有效期</w:t>
      </w:r>
      <w:r>
        <w:rPr>
          <w:highlight w:val="none"/>
        </w:rPr>
        <w:tab/>
      </w:r>
      <w:r>
        <w:rPr>
          <w:highlight w:val="none"/>
        </w:rPr>
        <w:fldChar w:fldCharType="begin"/>
      </w:r>
      <w:r>
        <w:rPr>
          <w:highlight w:val="none"/>
        </w:rPr>
        <w:instrText xml:space="preserve"> PAGEREF _Toc16956 \h </w:instrText>
      </w:r>
      <w:r>
        <w:rPr>
          <w:highlight w:val="none"/>
        </w:rPr>
        <w:fldChar w:fldCharType="separate"/>
      </w:r>
      <w:r>
        <w:rPr>
          <w:highlight w:val="none"/>
        </w:rPr>
        <w:t>6</w:t>
      </w:r>
      <w:r>
        <w:rPr>
          <w:highlight w:val="none"/>
        </w:rPr>
        <w:fldChar w:fldCharType="end"/>
      </w:r>
      <w:r>
        <w:rPr>
          <w:highlight w:val="none"/>
        </w:rPr>
        <w:fldChar w:fldCharType="end"/>
      </w:r>
    </w:p>
    <w:p w14:paraId="761E8EE6">
      <w:pPr>
        <w:pStyle w:val="12"/>
        <w:keepNext w:val="0"/>
        <w:keepLines w:val="0"/>
        <w:pageBreakBefore w:val="0"/>
        <w:widowControl w:val="0"/>
        <w:tabs>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_Toc16956 </w:instrText>
      </w:r>
      <w:r>
        <w:rPr>
          <w:highlight w:val="none"/>
        </w:rPr>
        <w:fldChar w:fldCharType="separate"/>
      </w:r>
      <w:r>
        <w:rPr>
          <w:rFonts w:hint="eastAsia" w:ascii="仿宋_GB2312" w:hAnsi="仿宋_GB2312" w:eastAsia="仿宋_GB2312" w:cs="仿宋_GB2312"/>
          <w:highlight w:val="none"/>
        </w:rPr>
        <w:t>1</w:t>
      </w:r>
      <w:r>
        <w:rPr>
          <w:rFonts w:hint="eastAsia" w:ascii="仿宋_GB2312" w:hAnsi="仿宋_GB2312" w:eastAsia="仿宋_GB2312" w:cs="仿宋_GB2312"/>
          <w:highlight w:val="none"/>
          <w:lang w:val="en-US" w:eastAsia="zh-CN"/>
        </w:rPr>
        <w:t>4</w:t>
      </w:r>
      <w:r>
        <w:rPr>
          <w:rFonts w:hint="eastAsia" w:ascii="仿宋_GB2312" w:hAnsi="仿宋_GB2312" w:eastAsia="仿宋_GB2312" w:cs="仿宋_GB2312"/>
          <w:highlight w:val="none"/>
        </w:rPr>
        <w:t>.</w:t>
      </w:r>
      <w:r>
        <w:rPr>
          <w:rFonts w:hint="eastAsia" w:ascii="仿宋_GB2312" w:hAnsi="仿宋_GB2312" w:eastAsia="仿宋_GB2312" w:cs="仿宋_GB2312"/>
          <w:highlight w:val="none"/>
          <w:lang w:val="en-US" w:eastAsia="zh-CN"/>
        </w:rPr>
        <w:t>响应文件的签署与规定</w:t>
      </w:r>
      <w:r>
        <w:rPr>
          <w:highlight w:val="none"/>
        </w:rPr>
        <w:tab/>
      </w:r>
      <w:r>
        <w:rPr>
          <w:highlight w:val="none"/>
        </w:rPr>
        <w:fldChar w:fldCharType="begin"/>
      </w:r>
      <w:r>
        <w:rPr>
          <w:highlight w:val="none"/>
        </w:rPr>
        <w:instrText xml:space="preserve"> PAGEREF _Toc16956 \h </w:instrText>
      </w:r>
      <w:r>
        <w:rPr>
          <w:highlight w:val="none"/>
        </w:rPr>
        <w:fldChar w:fldCharType="separate"/>
      </w:r>
      <w:r>
        <w:rPr>
          <w:highlight w:val="none"/>
        </w:rPr>
        <w:t>6</w:t>
      </w:r>
      <w:r>
        <w:rPr>
          <w:highlight w:val="none"/>
        </w:rPr>
        <w:fldChar w:fldCharType="end"/>
      </w:r>
      <w:r>
        <w:rPr>
          <w:highlight w:val="none"/>
        </w:rPr>
        <w:fldChar w:fldCharType="end"/>
      </w:r>
    </w:p>
    <w:p w14:paraId="1B6DF6D2">
      <w:pPr>
        <w:pStyle w:val="14"/>
        <w:keepNext w:val="0"/>
        <w:keepLines w:val="0"/>
        <w:pageBreakBefore w:val="0"/>
        <w:widowControl w:val="0"/>
        <w:tabs>
          <w:tab w:val="right" w:leader="dot" w:pos="9786"/>
        </w:tabs>
        <w:wordWrap/>
        <w:overflowPunct/>
        <w:topLinePunct w:val="0"/>
        <w:bidi w:val="0"/>
        <w:rPr>
          <w:highlight w:val="none"/>
        </w:rPr>
      </w:pPr>
      <w:r>
        <w:rPr>
          <w:highlight w:val="none"/>
        </w:rPr>
        <w:fldChar w:fldCharType="begin"/>
      </w:r>
      <w:r>
        <w:rPr>
          <w:highlight w:val="none"/>
        </w:rPr>
        <w:instrText xml:space="preserve"> HYPERLINK \l _Toc23316 </w:instrText>
      </w:r>
      <w:r>
        <w:rPr>
          <w:highlight w:val="none"/>
        </w:rPr>
        <w:fldChar w:fldCharType="separate"/>
      </w:r>
      <w:r>
        <w:rPr>
          <w:rFonts w:hint="eastAsia" w:ascii="仿宋_GB2312" w:hAnsi="仿宋_GB2312" w:eastAsia="仿宋_GB2312" w:cs="仿宋_GB2312"/>
          <w:highlight w:val="none"/>
        </w:rPr>
        <w:t>四投标文件的递交</w:t>
      </w:r>
      <w:r>
        <w:rPr>
          <w:highlight w:val="none"/>
        </w:rPr>
        <w:tab/>
      </w:r>
      <w:r>
        <w:rPr>
          <w:highlight w:val="none"/>
        </w:rPr>
        <w:fldChar w:fldCharType="begin"/>
      </w:r>
      <w:r>
        <w:rPr>
          <w:highlight w:val="none"/>
        </w:rPr>
        <w:instrText xml:space="preserve"> PAGEREF _Toc23316 \h </w:instrText>
      </w:r>
      <w:r>
        <w:rPr>
          <w:highlight w:val="none"/>
        </w:rPr>
        <w:fldChar w:fldCharType="separate"/>
      </w:r>
      <w:r>
        <w:rPr>
          <w:highlight w:val="none"/>
        </w:rPr>
        <w:t>6</w:t>
      </w:r>
      <w:r>
        <w:rPr>
          <w:highlight w:val="none"/>
        </w:rPr>
        <w:fldChar w:fldCharType="end"/>
      </w:r>
      <w:r>
        <w:rPr>
          <w:highlight w:val="none"/>
        </w:rPr>
        <w:fldChar w:fldCharType="end"/>
      </w:r>
    </w:p>
    <w:p w14:paraId="2407BEF4">
      <w:pPr>
        <w:pStyle w:val="12"/>
        <w:keepNext w:val="0"/>
        <w:keepLines w:val="0"/>
        <w:pageBreakBefore w:val="0"/>
        <w:widowControl w:val="0"/>
        <w:tabs>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_Toc6418 </w:instrText>
      </w:r>
      <w:r>
        <w:rPr>
          <w:highlight w:val="none"/>
        </w:rPr>
        <w:fldChar w:fldCharType="separate"/>
      </w:r>
      <w:r>
        <w:rPr>
          <w:rFonts w:hint="eastAsia" w:ascii="仿宋_GB2312" w:hAnsi="仿宋_GB2312" w:eastAsia="仿宋_GB2312" w:cs="仿宋_GB2312"/>
          <w:highlight w:val="none"/>
        </w:rPr>
        <w:t>15.投标文件的密封和标记</w:t>
      </w:r>
      <w:r>
        <w:rPr>
          <w:highlight w:val="none"/>
        </w:rPr>
        <w:tab/>
      </w:r>
      <w:r>
        <w:rPr>
          <w:highlight w:val="none"/>
        </w:rPr>
        <w:fldChar w:fldCharType="begin"/>
      </w:r>
      <w:r>
        <w:rPr>
          <w:highlight w:val="none"/>
        </w:rPr>
        <w:instrText xml:space="preserve"> PAGEREF _Toc6418 \h </w:instrText>
      </w:r>
      <w:r>
        <w:rPr>
          <w:highlight w:val="none"/>
        </w:rPr>
        <w:fldChar w:fldCharType="separate"/>
      </w:r>
      <w:r>
        <w:rPr>
          <w:highlight w:val="none"/>
        </w:rPr>
        <w:t>6</w:t>
      </w:r>
      <w:r>
        <w:rPr>
          <w:highlight w:val="none"/>
        </w:rPr>
        <w:fldChar w:fldCharType="end"/>
      </w:r>
      <w:r>
        <w:rPr>
          <w:highlight w:val="none"/>
        </w:rPr>
        <w:fldChar w:fldCharType="end"/>
      </w:r>
    </w:p>
    <w:p w14:paraId="1B6B5121">
      <w:pPr>
        <w:pStyle w:val="12"/>
        <w:keepNext w:val="0"/>
        <w:keepLines w:val="0"/>
        <w:pageBreakBefore w:val="0"/>
        <w:widowControl w:val="0"/>
        <w:tabs>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_Toc27959 </w:instrText>
      </w:r>
      <w:r>
        <w:rPr>
          <w:highlight w:val="none"/>
        </w:rPr>
        <w:fldChar w:fldCharType="separate"/>
      </w:r>
      <w:r>
        <w:rPr>
          <w:rFonts w:hint="eastAsia" w:ascii="仿宋_GB2312" w:hAnsi="仿宋_GB2312" w:eastAsia="仿宋_GB2312" w:cs="仿宋_GB2312"/>
          <w:highlight w:val="none"/>
        </w:rPr>
        <w:t>16.投标截止</w:t>
      </w:r>
      <w:r>
        <w:rPr>
          <w:highlight w:val="none"/>
        </w:rPr>
        <w:tab/>
      </w:r>
      <w:r>
        <w:rPr>
          <w:highlight w:val="none"/>
        </w:rPr>
        <w:fldChar w:fldCharType="begin"/>
      </w:r>
      <w:r>
        <w:rPr>
          <w:highlight w:val="none"/>
        </w:rPr>
        <w:instrText xml:space="preserve"> PAGEREF _Toc27959 \h </w:instrText>
      </w:r>
      <w:r>
        <w:rPr>
          <w:highlight w:val="none"/>
        </w:rPr>
        <w:fldChar w:fldCharType="separate"/>
      </w:r>
      <w:r>
        <w:rPr>
          <w:highlight w:val="none"/>
        </w:rPr>
        <w:t>7</w:t>
      </w:r>
      <w:r>
        <w:rPr>
          <w:highlight w:val="none"/>
        </w:rPr>
        <w:fldChar w:fldCharType="end"/>
      </w:r>
      <w:r>
        <w:rPr>
          <w:highlight w:val="none"/>
        </w:rPr>
        <w:fldChar w:fldCharType="end"/>
      </w:r>
    </w:p>
    <w:p w14:paraId="0158E3B5">
      <w:pPr>
        <w:pStyle w:val="12"/>
        <w:keepNext w:val="0"/>
        <w:keepLines w:val="0"/>
        <w:pageBreakBefore w:val="0"/>
        <w:widowControl w:val="0"/>
        <w:tabs>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_Toc3936 </w:instrText>
      </w:r>
      <w:r>
        <w:rPr>
          <w:highlight w:val="none"/>
        </w:rPr>
        <w:fldChar w:fldCharType="separate"/>
      </w:r>
      <w:r>
        <w:rPr>
          <w:rFonts w:hint="eastAsia" w:ascii="仿宋_GB2312" w:hAnsi="仿宋_GB2312" w:eastAsia="仿宋_GB2312" w:cs="仿宋_GB2312"/>
          <w:highlight w:val="none"/>
        </w:rPr>
        <w:t>17.投标文件的接收、修改与撤回</w:t>
      </w:r>
      <w:r>
        <w:rPr>
          <w:highlight w:val="none"/>
        </w:rPr>
        <w:tab/>
      </w:r>
      <w:r>
        <w:rPr>
          <w:highlight w:val="none"/>
        </w:rPr>
        <w:fldChar w:fldCharType="begin"/>
      </w:r>
      <w:r>
        <w:rPr>
          <w:highlight w:val="none"/>
        </w:rPr>
        <w:instrText xml:space="preserve"> PAGEREF _Toc3936 \h </w:instrText>
      </w:r>
      <w:r>
        <w:rPr>
          <w:highlight w:val="none"/>
        </w:rPr>
        <w:fldChar w:fldCharType="separate"/>
      </w:r>
      <w:r>
        <w:rPr>
          <w:highlight w:val="none"/>
        </w:rPr>
        <w:t>7</w:t>
      </w:r>
      <w:r>
        <w:rPr>
          <w:highlight w:val="none"/>
        </w:rPr>
        <w:fldChar w:fldCharType="end"/>
      </w:r>
      <w:r>
        <w:rPr>
          <w:highlight w:val="none"/>
        </w:rPr>
        <w:fldChar w:fldCharType="end"/>
      </w:r>
    </w:p>
    <w:p w14:paraId="054F1EC4">
      <w:pPr>
        <w:pStyle w:val="14"/>
        <w:keepNext w:val="0"/>
        <w:keepLines w:val="0"/>
        <w:pageBreakBefore w:val="0"/>
        <w:widowControl w:val="0"/>
        <w:tabs>
          <w:tab w:val="right" w:leader="dot" w:pos="9786"/>
        </w:tabs>
        <w:wordWrap/>
        <w:overflowPunct/>
        <w:topLinePunct w:val="0"/>
        <w:bidi w:val="0"/>
        <w:rPr>
          <w:highlight w:val="none"/>
        </w:rPr>
      </w:pPr>
      <w:r>
        <w:rPr>
          <w:highlight w:val="none"/>
        </w:rPr>
        <w:fldChar w:fldCharType="begin"/>
      </w:r>
      <w:r>
        <w:rPr>
          <w:highlight w:val="none"/>
        </w:rPr>
        <w:instrText xml:space="preserve"> HYPERLINK \l _Toc12878 </w:instrText>
      </w:r>
      <w:r>
        <w:rPr>
          <w:highlight w:val="none"/>
        </w:rPr>
        <w:fldChar w:fldCharType="separate"/>
      </w:r>
      <w:r>
        <w:rPr>
          <w:rFonts w:hint="eastAsia" w:ascii="仿宋_GB2312" w:hAnsi="仿宋_GB2312" w:eastAsia="仿宋_GB2312" w:cs="仿宋_GB2312"/>
          <w:highlight w:val="none"/>
        </w:rPr>
        <w:t>五开标及评标</w:t>
      </w:r>
      <w:r>
        <w:rPr>
          <w:highlight w:val="none"/>
        </w:rPr>
        <w:tab/>
      </w:r>
      <w:r>
        <w:rPr>
          <w:highlight w:val="none"/>
        </w:rPr>
        <w:fldChar w:fldCharType="begin"/>
      </w:r>
      <w:r>
        <w:rPr>
          <w:highlight w:val="none"/>
        </w:rPr>
        <w:instrText xml:space="preserve"> PAGEREF _Toc12878 \h </w:instrText>
      </w:r>
      <w:r>
        <w:rPr>
          <w:highlight w:val="none"/>
        </w:rPr>
        <w:fldChar w:fldCharType="separate"/>
      </w:r>
      <w:r>
        <w:rPr>
          <w:highlight w:val="none"/>
        </w:rPr>
        <w:t>7</w:t>
      </w:r>
      <w:r>
        <w:rPr>
          <w:highlight w:val="none"/>
        </w:rPr>
        <w:fldChar w:fldCharType="end"/>
      </w:r>
      <w:r>
        <w:rPr>
          <w:highlight w:val="none"/>
        </w:rPr>
        <w:fldChar w:fldCharType="end"/>
      </w:r>
    </w:p>
    <w:p w14:paraId="60E3DD94">
      <w:pPr>
        <w:pStyle w:val="12"/>
        <w:keepNext w:val="0"/>
        <w:keepLines w:val="0"/>
        <w:pageBreakBefore w:val="0"/>
        <w:widowControl w:val="0"/>
        <w:tabs>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_Toc15800 </w:instrText>
      </w:r>
      <w:r>
        <w:rPr>
          <w:highlight w:val="none"/>
        </w:rPr>
        <w:fldChar w:fldCharType="separate"/>
      </w:r>
      <w:r>
        <w:rPr>
          <w:rFonts w:hint="eastAsia" w:ascii="仿宋_GB2312" w:hAnsi="仿宋_GB2312" w:eastAsia="仿宋_GB2312" w:cs="仿宋_GB2312"/>
          <w:highlight w:val="none"/>
        </w:rPr>
        <w:t>18.开标</w:t>
      </w:r>
      <w:r>
        <w:rPr>
          <w:highlight w:val="none"/>
        </w:rPr>
        <w:tab/>
      </w:r>
      <w:r>
        <w:rPr>
          <w:highlight w:val="none"/>
        </w:rPr>
        <w:fldChar w:fldCharType="begin"/>
      </w:r>
      <w:r>
        <w:rPr>
          <w:highlight w:val="none"/>
        </w:rPr>
        <w:instrText xml:space="preserve"> PAGEREF _Toc15800 \h </w:instrText>
      </w:r>
      <w:r>
        <w:rPr>
          <w:highlight w:val="none"/>
        </w:rPr>
        <w:fldChar w:fldCharType="separate"/>
      </w:r>
      <w:r>
        <w:rPr>
          <w:highlight w:val="none"/>
        </w:rPr>
        <w:t>7</w:t>
      </w:r>
      <w:r>
        <w:rPr>
          <w:highlight w:val="none"/>
        </w:rPr>
        <w:fldChar w:fldCharType="end"/>
      </w:r>
      <w:r>
        <w:rPr>
          <w:highlight w:val="none"/>
        </w:rPr>
        <w:fldChar w:fldCharType="end"/>
      </w:r>
    </w:p>
    <w:p w14:paraId="637D08CD">
      <w:pPr>
        <w:pStyle w:val="12"/>
        <w:keepNext w:val="0"/>
        <w:keepLines w:val="0"/>
        <w:pageBreakBefore w:val="0"/>
        <w:widowControl w:val="0"/>
        <w:tabs>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_Toc19853 </w:instrText>
      </w:r>
      <w:r>
        <w:rPr>
          <w:highlight w:val="none"/>
        </w:rPr>
        <w:fldChar w:fldCharType="separate"/>
      </w:r>
      <w:r>
        <w:rPr>
          <w:rFonts w:hint="eastAsia" w:ascii="仿宋_GB2312" w:hAnsi="仿宋_GB2312" w:eastAsia="仿宋_GB2312" w:cs="仿宋_GB2312"/>
          <w:highlight w:val="none"/>
        </w:rPr>
        <w:t>19.资格审查及组建评标委员会</w:t>
      </w:r>
      <w:r>
        <w:rPr>
          <w:highlight w:val="none"/>
        </w:rPr>
        <w:tab/>
      </w:r>
      <w:r>
        <w:rPr>
          <w:highlight w:val="none"/>
        </w:rPr>
        <w:fldChar w:fldCharType="begin"/>
      </w:r>
      <w:r>
        <w:rPr>
          <w:highlight w:val="none"/>
        </w:rPr>
        <w:instrText xml:space="preserve"> PAGEREF _Toc19853 \h </w:instrText>
      </w:r>
      <w:r>
        <w:rPr>
          <w:highlight w:val="none"/>
        </w:rPr>
        <w:fldChar w:fldCharType="separate"/>
      </w:r>
      <w:r>
        <w:rPr>
          <w:highlight w:val="none"/>
        </w:rPr>
        <w:t>8</w:t>
      </w:r>
      <w:r>
        <w:rPr>
          <w:highlight w:val="none"/>
        </w:rPr>
        <w:fldChar w:fldCharType="end"/>
      </w:r>
      <w:r>
        <w:rPr>
          <w:highlight w:val="none"/>
        </w:rPr>
        <w:fldChar w:fldCharType="end"/>
      </w:r>
    </w:p>
    <w:p w14:paraId="3D9D4D91">
      <w:pPr>
        <w:pStyle w:val="12"/>
        <w:keepNext w:val="0"/>
        <w:keepLines w:val="0"/>
        <w:pageBreakBefore w:val="0"/>
        <w:widowControl w:val="0"/>
        <w:tabs>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_Toc7107 </w:instrText>
      </w:r>
      <w:r>
        <w:rPr>
          <w:highlight w:val="none"/>
        </w:rPr>
        <w:fldChar w:fldCharType="separate"/>
      </w:r>
      <w:r>
        <w:rPr>
          <w:rFonts w:hint="eastAsia" w:ascii="仿宋_GB2312" w:hAnsi="仿宋_GB2312" w:eastAsia="仿宋_GB2312" w:cs="仿宋_GB2312"/>
          <w:highlight w:val="none"/>
        </w:rPr>
        <w:t>20.投标文件符合性审查与澄清</w:t>
      </w:r>
      <w:r>
        <w:rPr>
          <w:highlight w:val="none"/>
        </w:rPr>
        <w:tab/>
      </w:r>
      <w:r>
        <w:rPr>
          <w:highlight w:val="none"/>
        </w:rPr>
        <w:fldChar w:fldCharType="begin"/>
      </w:r>
      <w:r>
        <w:rPr>
          <w:highlight w:val="none"/>
        </w:rPr>
        <w:instrText xml:space="preserve"> PAGEREF _Toc7107 \h </w:instrText>
      </w:r>
      <w:r>
        <w:rPr>
          <w:highlight w:val="none"/>
        </w:rPr>
        <w:fldChar w:fldCharType="separate"/>
      </w:r>
      <w:r>
        <w:rPr>
          <w:highlight w:val="none"/>
        </w:rPr>
        <w:t>8</w:t>
      </w:r>
      <w:r>
        <w:rPr>
          <w:highlight w:val="none"/>
        </w:rPr>
        <w:fldChar w:fldCharType="end"/>
      </w:r>
      <w:r>
        <w:rPr>
          <w:highlight w:val="none"/>
        </w:rPr>
        <w:fldChar w:fldCharType="end"/>
      </w:r>
    </w:p>
    <w:p w14:paraId="6AE2F498">
      <w:pPr>
        <w:pStyle w:val="12"/>
        <w:keepNext w:val="0"/>
        <w:keepLines w:val="0"/>
        <w:pageBreakBefore w:val="0"/>
        <w:widowControl w:val="0"/>
        <w:tabs>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_Toc15414 </w:instrText>
      </w:r>
      <w:r>
        <w:rPr>
          <w:highlight w:val="none"/>
        </w:rPr>
        <w:fldChar w:fldCharType="separate"/>
      </w:r>
      <w:r>
        <w:rPr>
          <w:rFonts w:hint="eastAsia" w:ascii="仿宋_GB2312" w:hAnsi="仿宋_GB2312" w:eastAsia="仿宋_GB2312" w:cs="仿宋_GB2312"/>
          <w:highlight w:val="none"/>
        </w:rPr>
        <w:t>21.投标偏离</w:t>
      </w:r>
      <w:r>
        <w:rPr>
          <w:highlight w:val="none"/>
        </w:rPr>
        <w:tab/>
      </w:r>
      <w:r>
        <w:rPr>
          <w:highlight w:val="none"/>
        </w:rPr>
        <w:fldChar w:fldCharType="begin"/>
      </w:r>
      <w:r>
        <w:rPr>
          <w:highlight w:val="none"/>
        </w:rPr>
        <w:instrText xml:space="preserve"> PAGEREF _Toc15414 \h </w:instrText>
      </w:r>
      <w:r>
        <w:rPr>
          <w:highlight w:val="none"/>
        </w:rPr>
        <w:fldChar w:fldCharType="separate"/>
      </w:r>
      <w:r>
        <w:rPr>
          <w:highlight w:val="none"/>
        </w:rPr>
        <w:t>10</w:t>
      </w:r>
      <w:r>
        <w:rPr>
          <w:highlight w:val="none"/>
        </w:rPr>
        <w:fldChar w:fldCharType="end"/>
      </w:r>
      <w:r>
        <w:rPr>
          <w:highlight w:val="none"/>
        </w:rPr>
        <w:fldChar w:fldCharType="end"/>
      </w:r>
    </w:p>
    <w:p w14:paraId="7E30AEA3">
      <w:pPr>
        <w:pStyle w:val="12"/>
        <w:keepNext w:val="0"/>
        <w:keepLines w:val="0"/>
        <w:pageBreakBefore w:val="0"/>
        <w:widowControl w:val="0"/>
        <w:tabs>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_Toc27913 </w:instrText>
      </w:r>
      <w:r>
        <w:rPr>
          <w:highlight w:val="none"/>
        </w:rPr>
        <w:fldChar w:fldCharType="separate"/>
      </w:r>
      <w:r>
        <w:rPr>
          <w:rFonts w:hint="eastAsia" w:ascii="仿宋_GB2312" w:hAnsi="仿宋_GB2312" w:eastAsia="仿宋_GB2312" w:cs="仿宋_GB2312"/>
          <w:highlight w:val="none"/>
        </w:rPr>
        <w:t>22.投标无效</w:t>
      </w:r>
      <w:r>
        <w:rPr>
          <w:highlight w:val="none"/>
        </w:rPr>
        <w:tab/>
      </w:r>
      <w:r>
        <w:rPr>
          <w:highlight w:val="none"/>
        </w:rPr>
        <w:fldChar w:fldCharType="begin"/>
      </w:r>
      <w:r>
        <w:rPr>
          <w:highlight w:val="none"/>
        </w:rPr>
        <w:instrText xml:space="preserve"> PAGEREF _Toc27913 \h </w:instrText>
      </w:r>
      <w:r>
        <w:rPr>
          <w:highlight w:val="none"/>
        </w:rPr>
        <w:fldChar w:fldCharType="separate"/>
      </w:r>
      <w:r>
        <w:rPr>
          <w:highlight w:val="none"/>
        </w:rPr>
        <w:t>10</w:t>
      </w:r>
      <w:r>
        <w:rPr>
          <w:highlight w:val="none"/>
        </w:rPr>
        <w:fldChar w:fldCharType="end"/>
      </w:r>
      <w:r>
        <w:rPr>
          <w:highlight w:val="none"/>
        </w:rPr>
        <w:fldChar w:fldCharType="end"/>
      </w:r>
    </w:p>
    <w:p w14:paraId="0F0E1878">
      <w:pPr>
        <w:pStyle w:val="12"/>
        <w:keepNext w:val="0"/>
        <w:keepLines w:val="0"/>
        <w:pageBreakBefore w:val="0"/>
        <w:widowControl w:val="0"/>
        <w:tabs>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_Toc27913 </w:instrText>
      </w:r>
      <w:r>
        <w:rPr>
          <w:highlight w:val="none"/>
        </w:rPr>
        <w:fldChar w:fldCharType="separate"/>
      </w:r>
      <w:r>
        <w:rPr>
          <w:rFonts w:hint="eastAsia" w:ascii="仿宋_GB2312" w:hAnsi="仿宋_GB2312" w:eastAsia="仿宋_GB2312" w:cs="仿宋_GB2312"/>
          <w:highlight w:val="none"/>
        </w:rPr>
        <w:t>2</w:t>
      </w:r>
      <w:r>
        <w:rPr>
          <w:rFonts w:hint="eastAsia" w:ascii="仿宋_GB2312" w:hAnsi="仿宋_GB2312" w:eastAsia="仿宋_GB2312" w:cs="仿宋_GB2312"/>
          <w:highlight w:val="none"/>
          <w:lang w:val="en-US" w:eastAsia="zh-CN"/>
        </w:rPr>
        <w:t>3</w:t>
      </w:r>
      <w:r>
        <w:rPr>
          <w:rFonts w:hint="eastAsia" w:ascii="仿宋_GB2312" w:hAnsi="仿宋_GB2312" w:eastAsia="仿宋_GB2312" w:cs="仿宋_GB2312"/>
          <w:highlight w:val="none"/>
        </w:rPr>
        <w:t>.</w:t>
      </w:r>
      <w:r>
        <w:rPr>
          <w:rFonts w:hint="eastAsia" w:ascii="仿宋_GB2312" w:hAnsi="仿宋_GB2312" w:eastAsia="仿宋_GB2312" w:cs="仿宋_GB2312"/>
          <w:highlight w:val="none"/>
          <w:lang w:val="en-US" w:eastAsia="zh-CN"/>
        </w:rPr>
        <w:t>比较与评价</w:t>
      </w:r>
      <w:r>
        <w:rPr>
          <w:highlight w:val="none"/>
        </w:rPr>
        <w:tab/>
      </w:r>
      <w:r>
        <w:rPr>
          <w:highlight w:val="none"/>
        </w:rPr>
        <w:fldChar w:fldCharType="begin"/>
      </w:r>
      <w:r>
        <w:rPr>
          <w:highlight w:val="none"/>
        </w:rPr>
        <w:instrText xml:space="preserve"> PAGEREF _Toc27913 \h </w:instrText>
      </w:r>
      <w:r>
        <w:rPr>
          <w:highlight w:val="none"/>
        </w:rPr>
        <w:fldChar w:fldCharType="separate"/>
      </w:r>
      <w:r>
        <w:rPr>
          <w:highlight w:val="none"/>
        </w:rPr>
        <w:t>10</w:t>
      </w:r>
      <w:r>
        <w:rPr>
          <w:highlight w:val="none"/>
        </w:rPr>
        <w:fldChar w:fldCharType="end"/>
      </w:r>
      <w:r>
        <w:rPr>
          <w:highlight w:val="none"/>
        </w:rPr>
        <w:fldChar w:fldCharType="end"/>
      </w:r>
    </w:p>
    <w:p w14:paraId="5E4DFA75">
      <w:pPr>
        <w:pStyle w:val="12"/>
        <w:keepNext w:val="0"/>
        <w:keepLines w:val="0"/>
        <w:pageBreakBefore w:val="0"/>
        <w:widowControl w:val="0"/>
        <w:tabs>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_Toc18871 </w:instrText>
      </w:r>
      <w:r>
        <w:rPr>
          <w:highlight w:val="none"/>
        </w:rPr>
        <w:fldChar w:fldCharType="separate"/>
      </w:r>
      <w:r>
        <w:rPr>
          <w:rFonts w:hint="eastAsia" w:ascii="仿宋_GB2312" w:hAnsi="仿宋_GB2312" w:eastAsia="仿宋_GB2312" w:cs="仿宋_GB2312"/>
          <w:highlight w:val="none"/>
        </w:rPr>
        <w:t>24.废标</w:t>
      </w:r>
      <w:r>
        <w:rPr>
          <w:highlight w:val="none"/>
        </w:rPr>
        <w:tab/>
      </w:r>
      <w:r>
        <w:rPr>
          <w:highlight w:val="none"/>
        </w:rPr>
        <w:fldChar w:fldCharType="begin"/>
      </w:r>
      <w:r>
        <w:rPr>
          <w:highlight w:val="none"/>
        </w:rPr>
        <w:instrText xml:space="preserve"> PAGEREF _Toc18871 \h </w:instrText>
      </w:r>
      <w:r>
        <w:rPr>
          <w:highlight w:val="none"/>
        </w:rPr>
        <w:fldChar w:fldCharType="separate"/>
      </w:r>
      <w:r>
        <w:rPr>
          <w:highlight w:val="none"/>
        </w:rPr>
        <w:t>11</w:t>
      </w:r>
      <w:r>
        <w:rPr>
          <w:highlight w:val="none"/>
        </w:rPr>
        <w:fldChar w:fldCharType="end"/>
      </w:r>
      <w:r>
        <w:rPr>
          <w:highlight w:val="none"/>
        </w:rPr>
        <w:fldChar w:fldCharType="end"/>
      </w:r>
    </w:p>
    <w:p w14:paraId="1F2C8FE2">
      <w:pPr>
        <w:pStyle w:val="12"/>
        <w:keepNext w:val="0"/>
        <w:keepLines w:val="0"/>
        <w:pageBreakBefore w:val="0"/>
        <w:widowControl w:val="0"/>
        <w:tabs>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_Toc13610 </w:instrText>
      </w:r>
      <w:r>
        <w:rPr>
          <w:highlight w:val="none"/>
        </w:rPr>
        <w:fldChar w:fldCharType="separate"/>
      </w:r>
      <w:r>
        <w:rPr>
          <w:rFonts w:hint="eastAsia" w:ascii="仿宋_GB2312" w:hAnsi="仿宋_GB2312" w:eastAsia="仿宋_GB2312" w:cs="仿宋_GB2312"/>
          <w:highlight w:val="none"/>
        </w:rPr>
        <w:t>25.保密原则</w:t>
      </w:r>
      <w:r>
        <w:rPr>
          <w:highlight w:val="none"/>
        </w:rPr>
        <w:tab/>
      </w:r>
      <w:r>
        <w:rPr>
          <w:highlight w:val="none"/>
        </w:rPr>
        <w:fldChar w:fldCharType="begin"/>
      </w:r>
      <w:r>
        <w:rPr>
          <w:highlight w:val="none"/>
        </w:rPr>
        <w:instrText xml:space="preserve"> PAGEREF _Toc13610 \h </w:instrText>
      </w:r>
      <w:r>
        <w:rPr>
          <w:highlight w:val="none"/>
        </w:rPr>
        <w:fldChar w:fldCharType="separate"/>
      </w:r>
      <w:r>
        <w:rPr>
          <w:highlight w:val="none"/>
        </w:rPr>
        <w:t>11</w:t>
      </w:r>
      <w:r>
        <w:rPr>
          <w:highlight w:val="none"/>
        </w:rPr>
        <w:fldChar w:fldCharType="end"/>
      </w:r>
      <w:r>
        <w:rPr>
          <w:highlight w:val="none"/>
        </w:rPr>
        <w:fldChar w:fldCharType="end"/>
      </w:r>
    </w:p>
    <w:p w14:paraId="4E54527D">
      <w:pPr>
        <w:pStyle w:val="14"/>
        <w:keepNext w:val="0"/>
        <w:keepLines w:val="0"/>
        <w:pageBreakBefore w:val="0"/>
        <w:widowControl w:val="0"/>
        <w:tabs>
          <w:tab w:val="right" w:leader="dot" w:pos="9786"/>
        </w:tabs>
        <w:wordWrap/>
        <w:overflowPunct/>
        <w:topLinePunct w:val="0"/>
        <w:bidi w:val="0"/>
        <w:rPr>
          <w:highlight w:val="none"/>
        </w:rPr>
      </w:pPr>
      <w:r>
        <w:rPr>
          <w:highlight w:val="none"/>
        </w:rPr>
        <w:fldChar w:fldCharType="begin"/>
      </w:r>
      <w:r>
        <w:rPr>
          <w:highlight w:val="none"/>
        </w:rPr>
        <w:instrText xml:space="preserve"> HYPERLINK \l _Toc16782 </w:instrText>
      </w:r>
      <w:r>
        <w:rPr>
          <w:highlight w:val="none"/>
        </w:rPr>
        <w:fldChar w:fldCharType="separate"/>
      </w:r>
      <w:r>
        <w:rPr>
          <w:rFonts w:hint="eastAsia" w:ascii="仿宋_GB2312" w:hAnsi="仿宋_GB2312" w:eastAsia="仿宋_GB2312" w:cs="仿宋_GB2312"/>
          <w:highlight w:val="none"/>
        </w:rPr>
        <w:t>六确定中标</w:t>
      </w:r>
      <w:r>
        <w:rPr>
          <w:highlight w:val="none"/>
        </w:rPr>
        <w:tab/>
      </w:r>
      <w:r>
        <w:rPr>
          <w:highlight w:val="none"/>
        </w:rPr>
        <w:fldChar w:fldCharType="begin"/>
      </w:r>
      <w:r>
        <w:rPr>
          <w:highlight w:val="none"/>
        </w:rPr>
        <w:instrText xml:space="preserve"> PAGEREF _Toc16782 \h </w:instrText>
      </w:r>
      <w:r>
        <w:rPr>
          <w:highlight w:val="none"/>
        </w:rPr>
        <w:fldChar w:fldCharType="separate"/>
      </w:r>
      <w:r>
        <w:rPr>
          <w:highlight w:val="none"/>
        </w:rPr>
        <w:t>11</w:t>
      </w:r>
      <w:r>
        <w:rPr>
          <w:highlight w:val="none"/>
        </w:rPr>
        <w:fldChar w:fldCharType="end"/>
      </w:r>
      <w:r>
        <w:rPr>
          <w:highlight w:val="none"/>
        </w:rPr>
        <w:fldChar w:fldCharType="end"/>
      </w:r>
    </w:p>
    <w:p w14:paraId="75554A22">
      <w:pPr>
        <w:pStyle w:val="12"/>
        <w:keepNext w:val="0"/>
        <w:keepLines w:val="0"/>
        <w:pageBreakBefore w:val="0"/>
        <w:widowControl w:val="0"/>
        <w:tabs>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_Toc30357 </w:instrText>
      </w:r>
      <w:r>
        <w:rPr>
          <w:highlight w:val="none"/>
        </w:rPr>
        <w:fldChar w:fldCharType="separate"/>
      </w:r>
      <w:r>
        <w:rPr>
          <w:rFonts w:hint="eastAsia" w:ascii="仿宋_GB2312" w:hAnsi="仿宋_GB2312" w:eastAsia="仿宋_GB2312" w:cs="仿宋_GB2312"/>
          <w:highlight w:val="none"/>
        </w:rPr>
        <w:t>26.中标候选人的确定原则及标准</w:t>
      </w:r>
      <w:r>
        <w:rPr>
          <w:highlight w:val="none"/>
        </w:rPr>
        <w:tab/>
      </w:r>
      <w:r>
        <w:rPr>
          <w:highlight w:val="none"/>
        </w:rPr>
        <w:fldChar w:fldCharType="begin"/>
      </w:r>
      <w:r>
        <w:rPr>
          <w:highlight w:val="none"/>
        </w:rPr>
        <w:instrText xml:space="preserve"> PAGEREF _Toc30357 \h </w:instrText>
      </w:r>
      <w:r>
        <w:rPr>
          <w:highlight w:val="none"/>
        </w:rPr>
        <w:fldChar w:fldCharType="separate"/>
      </w:r>
      <w:r>
        <w:rPr>
          <w:highlight w:val="none"/>
        </w:rPr>
        <w:t>11</w:t>
      </w:r>
      <w:r>
        <w:rPr>
          <w:highlight w:val="none"/>
        </w:rPr>
        <w:fldChar w:fldCharType="end"/>
      </w:r>
      <w:r>
        <w:rPr>
          <w:highlight w:val="none"/>
        </w:rPr>
        <w:fldChar w:fldCharType="end"/>
      </w:r>
    </w:p>
    <w:p w14:paraId="2033D46B">
      <w:pPr>
        <w:pStyle w:val="12"/>
        <w:keepNext w:val="0"/>
        <w:keepLines w:val="0"/>
        <w:pageBreakBefore w:val="0"/>
        <w:widowControl w:val="0"/>
        <w:tabs>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_Toc13719 </w:instrText>
      </w:r>
      <w:r>
        <w:rPr>
          <w:highlight w:val="none"/>
        </w:rPr>
        <w:fldChar w:fldCharType="separate"/>
      </w:r>
      <w:r>
        <w:rPr>
          <w:rFonts w:hint="eastAsia" w:ascii="仿宋_GB2312" w:hAnsi="仿宋_GB2312" w:eastAsia="仿宋_GB2312" w:cs="仿宋_GB2312"/>
          <w:highlight w:val="none"/>
        </w:rPr>
        <w:t>27.确定中标候选人和中标人</w:t>
      </w:r>
      <w:r>
        <w:rPr>
          <w:highlight w:val="none"/>
        </w:rPr>
        <w:tab/>
      </w:r>
      <w:r>
        <w:rPr>
          <w:highlight w:val="none"/>
        </w:rPr>
        <w:fldChar w:fldCharType="begin"/>
      </w:r>
      <w:r>
        <w:rPr>
          <w:highlight w:val="none"/>
        </w:rPr>
        <w:instrText xml:space="preserve"> PAGEREF _Toc13719 \h </w:instrText>
      </w:r>
      <w:r>
        <w:rPr>
          <w:highlight w:val="none"/>
        </w:rPr>
        <w:fldChar w:fldCharType="separate"/>
      </w:r>
      <w:r>
        <w:rPr>
          <w:highlight w:val="none"/>
        </w:rPr>
        <w:t>12</w:t>
      </w:r>
      <w:r>
        <w:rPr>
          <w:highlight w:val="none"/>
        </w:rPr>
        <w:fldChar w:fldCharType="end"/>
      </w:r>
      <w:r>
        <w:rPr>
          <w:highlight w:val="none"/>
        </w:rPr>
        <w:fldChar w:fldCharType="end"/>
      </w:r>
    </w:p>
    <w:p w14:paraId="568F5144">
      <w:pPr>
        <w:pStyle w:val="12"/>
        <w:keepNext w:val="0"/>
        <w:keepLines w:val="0"/>
        <w:pageBreakBefore w:val="0"/>
        <w:widowControl w:val="0"/>
        <w:tabs>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_Toc22593 </w:instrText>
      </w:r>
      <w:r>
        <w:rPr>
          <w:highlight w:val="none"/>
        </w:rPr>
        <w:fldChar w:fldCharType="separate"/>
      </w:r>
      <w:r>
        <w:rPr>
          <w:rFonts w:hint="eastAsia" w:ascii="仿宋_GB2312" w:hAnsi="仿宋_GB2312" w:eastAsia="仿宋_GB2312" w:cs="仿宋_GB2312"/>
          <w:highlight w:val="none"/>
        </w:rPr>
        <w:t>28.采购任务取消</w:t>
      </w:r>
      <w:r>
        <w:rPr>
          <w:highlight w:val="none"/>
        </w:rPr>
        <w:tab/>
      </w:r>
      <w:r>
        <w:rPr>
          <w:highlight w:val="none"/>
        </w:rPr>
        <w:fldChar w:fldCharType="begin"/>
      </w:r>
      <w:r>
        <w:rPr>
          <w:highlight w:val="none"/>
        </w:rPr>
        <w:instrText xml:space="preserve"> PAGEREF _Toc22593 \h </w:instrText>
      </w:r>
      <w:r>
        <w:rPr>
          <w:highlight w:val="none"/>
        </w:rPr>
        <w:fldChar w:fldCharType="separate"/>
      </w:r>
      <w:r>
        <w:rPr>
          <w:highlight w:val="none"/>
        </w:rPr>
        <w:t>12</w:t>
      </w:r>
      <w:r>
        <w:rPr>
          <w:highlight w:val="none"/>
        </w:rPr>
        <w:fldChar w:fldCharType="end"/>
      </w:r>
      <w:r>
        <w:rPr>
          <w:highlight w:val="none"/>
        </w:rPr>
        <w:fldChar w:fldCharType="end"/>
      </w:r>
    </w:p>
    <w:p w14:paraId="5CC61377">
      <w:pPr>
        <w:pStyle w:val="12"/>
        <w:keepNext w:val="0"/>
        <w:keepLines w:val="0"/>
        <w:pageBreakBefore w:val="0"/>
        <w:widowControl w:val="0"/>
        <w:tabs>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_Toc9063 </w:instrText>
      </w:r>
      <w:r>
        <w:rPr>
          <w:highlight w:val="none"/>
        </w:rPr>
        <w:fldChar w:fldCharType="separate"/>
      </w:r>
      <w:r>
        <w:rPr>
          <w:rFonts w:hint="eastAsia" w:ascii="仿宋_GB2312" w:hAnsi="仿宋_GB2312" w:eastAsia="仿宋_GB2312" w:cs="仿宋_GB2312"/>
          <w:highlight w:val="none"/>
        </w:rPr>
        <w:t>29.中标通知书</w:t>
      </w:r>
      <w:r>
        <w:rPr>
          <w:highlight w:val="none"/>
        </w:rPr>
        <w:tab/>
      </w:r>
      <w:r>
        <w:rPr>
          <w:highlight w:val="none"/>
        </w:rPr>
        <w:fldChar w:fldCharType="begin"/>
      </w:r>
      <w:r>
        <w:rPr>
          <w:highlight w:val="none"/>
        </w:rPr>
        <w:instrText xml:space="preserve"> PAGEREF _Toc9063 \h </w:instrText>
      </w:r>
      <w:r>
        <w:rPr>
          <w:highlight w:val="none"/>
        </w:rPr>
        <w:fldChar w:fldCharType="separate"/>
      </w:r>
      <w:r>
        <w:rPr>
          <w:highlight w:val="none"/>
        </w:rPr>
        <w:t>12</w:t>
      </w:r>
      <w:r>
        <w:rPr>
          <w:highlight w:val="none"/>
        </w:rPr>
        <w:fldChar w:fldCharType="end"/>
      </w:r>
      <w:r>
        <w:rPr>
          <w:highlight w:val="none"/>
        </w:rPr>
        <w:fldChar w:fldCharType="end"/>
      </w:r>
    </w:p>
    <w:p w14:paraId="7F67D547">
      <w:pPr>
        <w:pStyle w:val="12"/>
        <w:keepNext w:val="0"/>
        <w:keepLines w:val="0"/>
        <w:pageBreakBefore w:val="0"/>
        <w:widowControl w:val="0"/>
        <w:tabs>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_Toc29178 </w:instrText>
      </w:r>
      <w:r>
        <w:rPr>
          <w:highlight w:val="none"/>
        </w:rPr>
        <w:fldChar w:fldCharType="separate"/>
      </w:r>
      <w:r>
        <w:rPr>
          <w:rFonts w:hint="eastAsia" w:ascii="仿宋_GB2312" w:hAnsi="仿宋_GB2312" w:eastAsia="仿宋_GB2312" w:cs="仿宋_GB2312"/>
          <w:highlight w:val="none"/>
        </w:rPr>
        <w:t>30.签订合同</w:t>
      </w:r>
      <w:r>
        <w:rPr>
          <w:highlight w:val="none"/>
        </w:rPr>
        <w:tab/>
      </w:r>
      <w:r>
        <w:rPr>
          <w:highlight w:val="none"/>
        </w:rPr>
        <w:fldChar w:fldCharType="begin"/>
      </w:r>
      <w:r>
        <w:rPr>
          <w:highlight w:val="none"/>
        </w:rPr>
        <w:instrText xml:space="preserve"> PAGEREF _Toc29178 \h </w:instrText>
      </w:r>
      <w:r>
        <w:rPr>
          <w:highlight w:val="none"/>
        </w:rPr>
        <w:fldChar w:fldCharType="separate"/>
      </w:r>
      <w:r>
        <w:rPr>
          <w:highlight w:val="none"/>
        </w:rPr>
        <w:t>12</w:t>
      </w:r>
      <w:r>
        <w:rPr>
          <w:highlight w:val="none"/>
        </w:rPr>
        <w:fldChar w:fldCharType="end"/>
      </w:r>
      <w:r>
        <w:rPr>
          <w:highlight w:val="none"/>
        </w:rPr>
        <w:fldChar w:fldCharType="end"/>
      </w:r>
    </w:p>
    <w:p w14:paraId="621F1D8D">
      <w:pPr>
        <w:pStyle w:val="12"/>
        <w:keepNext w:val="0"/>
        <w:keepLines w:val="0"/>
        <w:pageBreakBefore w:val="0"/>
        <w:widowControl w:val="0"/>
        <w:tabs>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_Toc23009 </w:instrText>
      </w:r>
      <w:r>
        <w:rPr>
          <w:highlight w:val="none"/>
        </w:rPr>
        <w:fldChar w:fldCharType="separate"/>
      </w:r>
      <w:r>
        <w:rPr>
          <w:rFonts w:hint="eastAsia" w:ascii="仿宋_GB2312" w:hAnsi="仿宋_GB2312" w:eastAsia="仿宋_GB2312" w:cs="仿宋_GB2312"/>
          <w:highlight w:val="none"/>
        </w:rPr>
        <w:t>31.履约保证金</w:t>
      </w:r>
      <w:r>
        <w:rPr>
          <w:highlight w:val="none"/>
        </w:rPr>
        <w:tab/>
      </w:r>
      <w:r>
        <w:rPr>
          <w:highlight w:val="none"/>
        </w:rPr>
        <w:fldChar w:fldCharType="begin"/>
      </w:r>
      <w:r>
        <w:rPr>
          <w:highlight w:val="none"/>
        </w:rPr>
        <w:instrText xml:space="preserve"> PAGEREF _Toc23009 \h </w:instrText>
      </w:r>
      <w:r>
        <w:rPr>
          <w:highlight w:val="none"/>
        </w:rPr>
        <w:fldChar w:fldCharType="separate"/>
      </w:r>
      <w:r>
        <w:rPr>
          <w:highlight w:val="none"/>
        </w:rPr>
        <w:t>12</w:t>
      </w:r>
      <w:r>
        <w:rPr>
          <w:highlight w:val="none"/>
        </w:rPr>
        <w:fldChar w:fldCharType="end"/>
      </w:r>
      <w:r>
        <w:rPr>
          <w:highlight w:val="none"/>
        </w:rPr>
        <w:fldChar w:fldCharType="end"/>
      </w:r>
    </w:p>
    <w:p w14:paraId="4FE1CE6D">
      <w:pPr>
        <w:pStyle w:val="12"/>
        <w:keepNext w:val="0"/>
        <w:keepLines w:val="0"/>
        <w:pageBreakBefore w:val="0"/>
        <w:widowControl w:val="0"/>
        <w:tabs>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_Toc15418 </w:instrText>
      </w:r>
      <w:r>
        <w:rPr>
          <w:highlight w:val="none"/>
        </w:rPr>
        <w:fldChar w:fldCharType="separate"/>
      </w:r>
      <w:r>
        <w:rPr>
          <w:rFonts w:hint="eastAsia" w:ascii="仿宋_GB2312" w:hAnsi="仿宋_GB2312" w:eastAsia="仿宋_GB2312" w:cs="仿宋_GB2312"/>
          <w:highlight w:val="none"/>
        </w:rPr>
        <w:t>32.中标服务费</w:t>
      </w:r>
      <w:r>
        <w:rPr>
          <w:highlight w:val="none"/>
        </w:rPr>
        <w:tab/>
      </w:r>
      <w:r>
        <w:rPr>
          <w:highlight w:val="none"/>
        </w:rPr>
        <w:fldChar w:fldCharType="begin"/>
      </w:r>
      <w:r>
        <w:rPr>
          <w:highlight w:val="none"/>
        </w:rPr>
        <w:instrText xml:space="preserve"> PAGEREF _Toc15418 \h </w:instrText>
      </w:r>
      <w:r>
        <w:rPr>
          <w:highlight w:val="none"/>
        </w:rPr>
        <w:fldChar w:fldCharType="separate"/>
      </w:r>
      <w:r>
        <w:rPr>
          <w:highlight w:val="none"/>
        </w:rPr>
        <w:t>12</w:t>
      </w:r>
      <w:r>
        <w:rPr>
          <w:highlight w:val="none"/>
        </w:rPr>
        <w:fldChar w:fldCharType="end"/>
      </w:r>
      <w:r>
        <w:rPr>
          <w:highlight w:val="none"/>
        </w:rPr>
        <w:fldChar w:fldCharType="end"/>
      </w:r>
    </w:p>
    <w:p w14:paraId="273B1524">
      <w:pPr>
        <w:pStyle w:val="12"/>
        <w:keepNext w:val="0"/>
        <w:keepLines w:val="0"/>
        <w:pageBreakBefore w:val="0"/>
        <w:widowControl w:val="0"/>
        <w:tabs>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_Toc18484 </w:instrText>
      </w:r>
      <w:r>
        <w:rPr>
          <w:highlight w:val="none"/>
        </w:rPr>
        <w:fldChar w:fldCharType="separate"/>
      </w:r>
      <w:r>
        <w:rPr>
          <w:rFonts w:hint="eastAsia" w:ascii="仿宋_GB2312" w:hAnsi="仿宋_GB2312" w:eastAsia="仿宋_GB2312" w:cs="仿宋_GB2312"/>
          <w:highlight w:val="none"/>
        </w:rPr>
        <w:t>33.政府采购信用担保</w:t>
      </w:r>
      <w:r>
        <w:rPr>
          <w:highlight w:val="none"/>
        </w:rPr>
        <w:tab/>
      </w:r>
      <w:r>
        <w:rPr>
          <w:highlight w:val="none"/>
        </w:rPr>
        <w:fldChar w:fldCharType="begin"/>
      </w:r>
      <w:r>
        <w:rPr>
          <w:highlight w:val="none"/>
        </w:rPr>
        <w:instrText xml:space="preserve"> PAGEREF _Toc18484 \h </w:instrText>
      </w:r>
      <w:r>
        <w:rPr>
          <w:highlight w:val="none"/>
        </w:rPr>
        <w:fldChar w:fldCharType="separate"/>
      </w:r>
      <w:r>
        <w:rPr>
          <w:highlight w:val="none"/>
        </w:rPr>
        <w:t>12</w:t>
      </w:r>
      <w:r>
        <w:rPr>
          <w:highlight w:val="none"/>
        </w:rPr>
        <w:fldChar w:fldCharType="end"/>
      </w:r>
      <w:r>
        <w:rPr>
          <w:highlight w:val="none"/>
        </w:rPr>
        <w:fldChar w:fldCharType="end"/>
      </w:r>
    </w:p>
    <w:p w14:paraId="2C7119DA">
      <w:pPr>
        <w:pStyle w:val="12"/>
        <w:keepNext w:val="0"/>
        <w:keepLines w:val="0"/>
        <w:pageBreakBefore w:val="0"/>
        <w:widowControl w:val="0"/>
        <w:tabs>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_Toc18345 </w:instrText>
      </w:r>
      <w:r>
        <w:rPr>
          <w:highlight w:val="none"/>
        </w:rPr>
        <w:fldChar w:fldCharType="separate"/>
      </w:r>
      <w:r>
        <w:rPr>
          <w:rFonts w:hint="eastAsia" w:ascii="仿宋_GB2312" w:hAnsi="仿宋_GB2312" w:eastAsia="仿宋_GB2312" w:cs="仿宋_GB2312"/>
          <w:highlight w:val="none"/>
        </w:rPr>
        <w:t>34.廉洁自律规定</w:t>
      </w:r>
      <w:r>
        <w:rPr>
          <w:highlight w:val="none"/>
        </w:rPr>
        <w:tab/>
      </w:r>
      <w:r>
        <w:rPr>
          <w:highlight w:val="none"/>
        </w:rPr>
        <w:fldChar w:fldCharType="begin"/>
      </w:r>
      <w:r>
        <w:rPr>
          <w:highlight w:val="none"/>
        </w:rPr>
        <w:instrText xml:space="preserve"> PAGEREF _Toc18345 \h </w:instrText>
      </w:r>
      <w:r>
        <w:rPr>
          <w:highlight w:val="none"/>
        </w:rPr>
        <w:fldChar w:fldCharType="separate"/>
      </w:r>
      <w:r>
        <w:rPr>
          <w:highlight w:val="none"/>
        </w:rPr>
        <w:t>13</w:t>
      </w:r>
      <w:r>
        <w:rPr>
          <w:highlight w:val="none"/>
        </w:rPr>
        <w:fldChar w:fldCharType="end"/>
      </w:r>
      <w:r>
        <w:rPr>
          <w:highlight w:val="none"/>
        </w:rPr>
        <w:fldChar w:fldCharType="end"/>
      </w:r>
    </w:p>
    <w:p w14:paraId="37ACAEC9">
      <w:pPr>
        <w:pStyle w:val="12"/>
        <w:keepNext w:val="0"/>
        <w:keepLines w:val="0"/>
        <w:pageBreakBefore w:val="0"/>
        <w:widowControl w:val="0"/>
        <w:tabs>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_Toc27088 </w:instrText>
      </w:r>
      <w:r>
        <w:rPr>
          <w:highlight w:val="none"/>
        </w:rPr>
        <w:fldChar w:fldCharType="separate"/>
      </w:r>
      <w:r>
        <w:rPr>
          <w:rFonts w:hint="eastAsia" w:ascii="仿宋_GB2312" w:hAnsi="仿宋_GB2312" w:eastAsia="仿宋_GB2312" w:cs="仿宋_GB2312"/>
          <w:highlight w:val="none"/>
        </w:rPr>
        <w:t>35.人员回避</w:t>
      </w:r>
      <w:r>
        <w:rPr>
          <w:highlight w:val="none"/>
        </w:rPr>
        <w:tab/>
      </w:r>
      <w:r>
        <w:rPr>
          <w:highlight w:val="none"/>
        </w:rPr>
        <w:fldChar w:fldCharType="begin"/>
      </w:r>
      <w:r>
        <w:rPr>
          <w:highlight w:val="none"/>
        </w:rPr>
        <w:instrText xml:space="preserve"> PAGEREF _Toc27088 \h </w:instrText>
      </w:r>
      <w:r>
        <w:rPr>
          <w:highlight w:val="none"/>
        </w:rPr>
        <w:fldChar w:fldCharType="separate"/>
      </w:r>
      <w:r>
        <w:rPr>
          <w:highlight w:val="none"/>
        </w:rPr>
        <w:t>13</w:t>
      </w:r>
      <w:r>
        <w:rPr>
          <w:highlight w:val="none"/>
        </w:rPr>
        <w:fldChar w:fldCharType="end"/>
      </w:r>
      <w:r>
        <w:rPr>
          <w:highlight w:val="none"/>
        </w:rPr>
        <w:fldChar w:fldCharType="end"/>
      </w:r>
    </w:p>
    <w:p w14:paraId="13418099">
      <w:pPr>
        <w:pStyle w:val="12"/>
        <w:keepNext w:val="0"/>
        <w:keepLines w:val="0"/>
        <w:pageBreakBefore w:val="0"/>
        <w:widowControl w:val="0"/>
        <w:tabs>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_Toc16823 </w:instrText>
      </w:r>
      <w:r>
        <w:rPr>
          <w:highlight w:val="none"/>
        </w:rPr>
        <w:fldChar w:fldCharType="separate"/>
      </w:r>
      <w:r>
        <w:rPr>
          <w:rFonts w:hint="eastAsia" w:ascii="仿宋_GB2312" w:hAnsi="仿宋_GB2312" w:eastAsia="仿宋_GB2312" w:cs="仿宋_GB2312"/>
          <w:szCs w:val="24"/>
          <w:highlight w:val="none"/>
        </w:rPr>
        <w:t>36.质疑与接收</w:t>
      </w:r>
      <w:r>
        <w:rPr>
          <w:highlight w:val="none"/>
        </w:rPr>
        <w:tab/>
      </w:r>
      <w:r>
        <w:rPr>
          <w:highlight w:val="none"/>
        </w:rPr>
        <w:fldChar w:fldCharType="begin"/>
      </w:r>
      <w:r>
        <w:rPr>
          <w:highlight w:val="none"/>
        </w:rPr>
        <w:instrText xml:space="preserve"> PAGEREF _Toc16823 \h </w:instrText>
      </w:r>
      <w:r>
        <w:rPr>
          <w:highlight w:val="none"/>
        </w:rPr>
        <w:fldChar w:fldCharType="separate"/>
      </w:r>
      <w:r>
        <w:rPr>
          <w:highlight w:val="none"/>
        </w:rPr>
        <w:t>13</w:t>
      </w:r>
      <w:r>
        <w:rPr>
          <w:highlight w:val="none"/>
        </w:rPr>
        <w:fldChar w:fldCharType="end"/>
      </w:r>
      <w:r>
        <w:rPr>
          <w:highlight w:val="none"/>
        </w:rPr>
        <w:fldChar w:fldCharType="end"/>
      </w:r>
    </w:p>
    <w:p w14:paraId="7C96E0DF">
      <w:pPr>
        <w:pStyle w:val="18"/>
        <w:keepNext w:val="0"/>
        <w:keepLines w:val="0"/>
        <w:pageBreakBefore w:val="0"/>
        <w:widowControl w:val="0"/>
        <w:tabs>
          <w:tab w:val="right" w:leader="dot" w:pos="9786"/>
        </w:tabs>
        <w:wordWrap/>
        <w:overflowPunct/>
        <w:topLinePunct w:val="0"/>
        <w:bidi w:val="0"/>
        <w:rPr>
          <w:highlight w:val="none"/>
        </w:rPr>
      </w:pPr>
      <w:r>
        <w:rPr>
          <w:highlight w:val="none"/>
        </w:rPr>
        <w:fldChar w:fldCharType="begin"/>
      </w:r>
      <w:r>
        <w:rPr>
          <w:highlight w:val="none"/>
        </w:rPr>
        <w:instrText xml:space="preserve"> HYPERLINK \l _Toc24354 </w:instrText>
      </w:r>
      <w:r>
        <w:rPr>
          <w:highlight w:val="none"/>
        </w:rPr>
        <w:fldChar w:fldCharType="separate"/>
      </w:r>
      <w:r>
        <w:rPr>
          <w:rFonts w:hint="eastAsia" w:ascii="仿宋_GB2312" w:hAnsi="仿宋_GB2312" w:eastAsia="仿宋_GB2312" w:cs="仿宋_GB2312"/>
          <w:kern w:val="0"/>
          <w:szCs w:val="44"/>
          <w:highlight w:val="none"/>
        </w:rPr>
        <w:t>第二章</w:t>
      </w:r>
      <w:r>
        <w:rPr>
          <w:rFonts w:hint="eastAsia" w:ascii="仿宋_GB2312" w:hAnsi="仿宋_GB2312" w:eastAsia="仿宋_GB2312" w:cs="仿宋_GB2312"/>
          <w:szCs w:val="44"/>
          <w:highlight w:val="none"/>
        </w:rPr>
        <w:t>投标文件格式</w:t>
      </w:r>
      <w:r>
        <w:rPr>
          <w:highlight w:val="none"/>
        </w:rPr>
        <w:tab/>
      </w:r>
      <w:r>
        <w:rPr>
          <w:highlight w:val="none"/>
        </w:rPr>
        <w:fldChar w:fldCharType="begin"/>
      </w:r>
      <w:r>
        <w:rPr>
          <w:highlight w:val="none"/>
        </w:rPr>
        <w:instrText xml:space="preserve"> PAGEREF _Toc24354 \h </w:instrText>
      </w:r>
      <w:r>
        <w:rPr>
          <w:highlight w:val="none"/>
        </w:rPr>
        <w:fldChar w:fldCharType="separate"/>
      </w:r>
      <w:r>
        <w:rPr>
          <w:highlight w:val="none"/>
        </w:rPr>
        <w:t>21</w:t>
      </w:r>
      <w:r>
        <w:rPr>
          <w:highlight w:val="none"/>
        </w:rPr>
        <w:fldChar w:fldCharType="end"/>
      </w:r>
      <w:r>
        <w:rPr>
          <w:highlight w:val="none"/>
        </w:rPr>
        <w:fldChar w:fldCharType="end"/>
      </w:r>
    </w:p>
    <w:p w14:paraId="5528E6C5">
      <w:pPr>
        <w:pStyle w:val="14"/>
        <w:keepNext w:val="0"/>
        <w:keepLines w:val="0"/>
        <w:pageBreakBefore w:val="0"/>
        <w:widowControl w:val="0"/>
        <w:tabs>
          <w:tab w:val="right" w:leader="dot" w:pos="9786"/>
        </w:tabs>
        <w:wordWrap/>
        <w:overflowPunct/>
        <w:topLinePunct w:val="0"/>
        <w:bidi w:val="0"/>
        <w:rPr>
          <w:highlight w:val="none"/>
        </w:rPr>
      </w:pPr>
      <w:r>
        <w:rPr>
          <w:highlight w:val="none"/>
        </w:rPr>
        <w:fldChar w:fldCharType="begin"/>
      </w:r>
      <w:r>
        <w:rPr>
          <w:highlight w:val="none"/>
        </w:rPr>
        <w:instrText xml:space="preserve"> HYPERLINK \l _Toc14061 </w:instrText>
      </w:r>
      <w:r>
        <w:rPr>
          <w:highlight w:val="none"/>
        </w:rPr>
        <w:fldChar w:fldCharType="separate"/>
      </w:r>
      <w:r>
        <w:rPr>
          <w:rFonts w:ascii="仿宋_GB2312" w:hAnsi="宋体" w:eastAsia="仿宋_GB2312"/>
          <w:highlight w:val="none"/>
        </w:rPr>
        <w:t>第一部分</w:t>
      </w:r>
      <w:r>
        <w:rPr>
          <w:rFonts w:hint="eastAsia" w:ascii="仿宋_GB2312" w:hAnsi="宋体" w:eastAsia="仿宋_GB2312"/>
          <w:highlight w:val="none"/>
        </w:rPr>
        <w:t>开标一览表及资格证明文件</w:t>
      </w:r>
      <w:r>
        <w:rPr>
          <w:highlight w:val="none"/>
        </w:rPr>
        <w:tab/>
      </w:r>
      <w:r>
        <w:rPr>
          <w:highlight w:val="none"/>
        </w:rPr>
        <w:fldChar w:fldCharType="begin"/>
      </w:r>
      <w:r>
        <w:rPr>
          <w:highlight w:val="none"/>
        </w:rPr>
        <w:instrText xml:space="preserve"> PAGEREF _Toc14061 \h </w:instrText>
      </w:r>
      <w:r>
        <w:rPr>
          <w:highlight w:val="none"/>
        </w:rPr>
        <w:fldChar w:fldCharType="separate"/>
      </w:r>
      <w:r>
        <w:rPr>
          <w:highlight w:val="none"/>
        </w:rPr>
        <w:t>21</w:t>
      </w:r>
      <w:r>
        <w:rPr>
          <w:highlight w:val="none"/>
        </w:rPr>
        <w:fldChar w:fldCharType="end"/>
      </w:r>
      <w:r>
        <w:rPr>
          <w:highlight w:val="none"/>
        </w:rPr>
        <w:fldChar w:fldCharType="end"/>
      </w:r>
    </w:p>
    <w:p w14:paraId="773899D1">
      <w:pPr>
        <w:pStyle w:val="12"/>
        <w:keepNext w:val="0"/>
        <w:keepLines w:val="0"/>
        <w:pageBreakBefore w:val="0"/>
        <w:widowControl w:val="0"/>
        <w:tabs>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_Toc279 </w:instrText>
      </w:r>
      <w:r>
        <w:rPr>
          <w:highlight w:val="none"/>
        </w:rPr>
        <w:fldChar w:fldCharType="separate"/>
      </w:r>
      <w:r>
        <w:rPr>
          <w:rFonts w:hint="eastAsia" w:ascii="仿宋_GB2312" w:hAnsi="仿宋_GB2312" w:eastAsia="仿宋_GB2312" w:cs="仿宋_GB2312"/>
          <w:highlight w:val="none"/>
        </w:rPr>
        <w:t>1开标一览表</w:t>
      </w:r>
      <w:r>
        <w:rPr>
          <w:highlight w:val="none"/>
        </w:rPr>
        <w:tab/>
      </w:r>
      <w:r>
        <w:rPr>
          <w:highlight w:val="none"/>
        </w:rPr>
        <w:fldChar w:fldCharType="begin"/>
      </w:r>
      <w:r>
        <w:rPr>
          <w:highlight w:val="none"/>
        </w:rPr>
        <w:instrText xml:space="preserve"> PAGEREF _Toc279 \h </w:instrText>
      </w:r>
      <w:r>
        <w:rPr>
          <w:highlight w:val="none"/>
        </w:rPr>
        <w:fldChar w:fldCharType="separate"/>
      </w:r>
      <w:r>
        <w:rPr>
          <w:highlight w:val="none"/>
        </w:rPr>
        <w:t>22</w:t>
      </w:r>
      <w:r>
        <w:rPr>
          <w:highlight w:val="none"/>
        </w:rPr>
        <w:fldChar w:fldCharType="end"/>
      </w:r>
      <w:r>
        <w:rPr>
          <w:highlight w:val="none"/>
        </w:rPr>
        <w:fldChar w:fldCharType="end"/>
      </w:r>
    </w:p>
    <w:p w14:paraId="588D2BAD">
      <w:pPr>
        <w:pStyle w:val="12"/>
        <w:keepNext w:val="0"/>
        <w:keepLines w:val="0"/>
        <w:pageBreakBefore w:val="0"/>
        <w:widowControl w:val="0"/>
        <w:tabs>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_Toc18666 </w:instrText>
      </w:r>
      <w:r>
        <w:rPr>
          <w:highlight w:val="none"/>
        </w:rPr>
        <w:fldChar w:fldCharType="separate"/>
      </w:r>
      <w:r>
        <w:rPr>
          <w:rFonts w:hint="eastAsia" w:ascii="仿宋_GB2312" w:hAnsi="仿宋_GB2312" w:eastAsia="仿宋_GB2312" w:cs="仿宋_GB2312"/>
          <w:highlight w:val="none"/>
        </w:rPr>
        <w:t>2法人或者非法人组织的营业执照等证明文件</w:t>
      </w:r>
      <w:r>
        <w:rPr>
          <w:highlight w:val="none"/>
        </w:rPr>
        <w:tab/>
      </w:r>
      <w:r>
        <w:rPr>
          <w:highlight w:val="none"/>
        </w:rPr>
        <w:fldChar w:fldCharType="begin"/>
      </w:r>
      <w:r>
        <w:rPr>
          <w:highlight w:val="none"/>
        </w:rPr>
        <w:instrText xml:space="preserve"> PAGEREF _Toc18666 \h </w:instrText>
      </w:r>
      <w:r>
        <w:rPr>
          <w:highlight w:val="none"/>
        </w:rPr>
        <w:fldChar w:fldCharType="separate"/>
      </w:r>
      <w:r>
        <w:rPr>
          <w:highlight w:val="none"/>
        </w:rPr>
        <w:t>23</w:t>
      </w:r>
      <w:r>
        <w:rPr>
          <w:highlight w:val="none"/>
        </w:rPr>
        <w:fldChar w:fldCharType="end"/>
      </w:r>
      <w:r>
        <w:rPr>
          <w:highlight w:val="none"/>
        </w:rPr>
        <w:fldChar w:fldCharType="end"/>
      </w:r>
    </w:p>
    <w:p w14:paraId="22DDA131">
      <w:pPr>
        <w:pStyle w:val="12"/>
        <w:keepNext w:val="0"/>
        <w:keepLines w:val="0"/>
        <w:pageBreakBefore w:val="0"/>
        <w:widowControl w:val="0"/>
        <w:tabs>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_Toc28076 </w:instrText>
      </w:r>
      <w:r>
        <w:rPr>
          <w:highlight w:val="none"/>
        </w:rPr>
        <w:fldChar w:fldCharType="separate"/>
      </w:r>
      <w:r>
        <w:rPr>
          <w:rFonts w:hint="eastAsia" w:ascii="仿宋_GB2312" w:hAnsi="仿宋_GB2312" w:eastAsia="仿宋_GB2312" w:cs="仿宋_GB2312"/>
          <w:highlight w:val="none"/>
        </w:rPr>
        <w:t>3法定代表人身份证明</w:t>
      </w:r>
      <w:r>
        <w:rPr>
          <w:highlight w:val="none"/>
        </w:rPr>
        <w:tab/>
      </w:r>
      <w:r>
        <w:rPr>
          <w:highlight w:val="none"/>
        </w:rPr>
        <w:fldChar w:fldCharType="begin"/>
      </w:r>
      <w:r>
        <w:rPr>
          <w:highlight w:val="none"/>
        </w:rPr>
        <w:instrText xml:space="preserve"> PAGEREF _Toc28076 \h </w:instrText>
      </w:r>
      <w:r>
        <w:rPr>
          <w:highlight w:val="none"/>
        </w:rPr>
        <w:fldChar w:fldCharType="separate"/>
      </w:r>
      <w:r>
        <w:rPr>
          <w:highlight w:val="none"/>
        </w:rPr>
        <w:t>23</w:t>
      </w:r>
      <w:r>
        <w:rPr>
          <w:highlight w:val="none"/>
        </w:rPr>
        <w:fldChar w:fldCharType="end"/>
      </w:r>
      <w:r>
        <w:rPr>
          <w:highlight w:val="none"/>
        </w:rPr>
        <w:fldChar w:fldCharType="end"/>
      </w:r>
    </w:p>
    <w:p w14:paraId="3895EFFD">
      <w:pPr>
        <w:pStyle w:val="12"/>
        <w:keepNext w:val="0"/>
        <w:keepLines w:val="0"/>
        <w:pageBreakBefore w:val="0"/>
        <w:widowControl w:val="0"/>
        <w:tabs>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_Toc32041 </w:instrText>
      </w:r>
      <w:r>
        <w:rPr>
          <w:highlight w:val="none"/>
        </w:rPr>
        <w:fldChar w:fldCharType="separate"/>
      </w:r>
      <w:r>
        <w:rPr>
          <w:rFonts w:hint="eastAsia" w:ascii="仿宋_GB2312" w:hAnsi="仿宋_GB2312" w:eastAsia="仿宋_GB2312" w:cs="仿宋_GB2312"/>
          <w:highlight w:val="none"/>
        </w:rPr>
        <w:t>4法定代表人授权委托书</w:t>
      </w:r>
      <w:r>
        <w:rPr>
          <w:highlight w:val="none"/>
        </w:rPr>
        <w:tab/>
      </w:r>
      <w:r>
        <w:rPr>
          <w:highlight w:val="none"/>
        </w:rPr>
        <w:fldChar w:fldCharType="begin"/>
      </w:r>
      <w:r>
        <w:rPr>
          <w:highlight w:val="none"/>
        </w:rPr>
        <w:instrText xml:space="preserve"> PAGEREF _Toc32041 \h </w:instrText>
      </w:r>
      <w:r>
        <w:rPr>
          <w:highlight w:val="none"/>
        </w:rPr>
        <w:fldChar w:fldCharType="separate"/>
      </w:r>
      <w:r>
        <w:rPr>
          <w:highlight w:val="none"/>
        </w:rPr>
        <w:t>24</w:t>
      </w:r>
      <w:r>
        <w:rPr>
          <w:highlight w:val="none"/>
        </w:rPr>
        <w:fldChar w:fldCharType="end"/>
      </w:r>
      <w:r>
        <w:rPr>
          <w:highlight w:val="none"/>
        </w:rPr>
        <w:fldChar w:fldCharType="end"/>
      </w:r>
    </w:p>
    <w:p w14:paraId="63FA9E2D">
      <w:pPr>
        <w:pStyle w:val="12"/>
        <w:keepNext w:val="0"/>
        <w:keepLines w:val="0"/>
        <w:pageBreakBefore w:val="0"/>
        <w:widowControl w:val="0"/>
        <w:tabs>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_Toc15899 </w:instrText>
      </w:r>
      <w:r>
        <w:rPr>
          <w:highlight w:val="none"/>
        </w:rPr>
        <w:fldChar w:fldCharType="separate"/>
      </w:r>
      <w:r>
        <w:rPr>
          <w:rFonts w:hint="eastAsia" w:ascii="仿宋_GB2312" w:hAnsi="仿宋_GB2312" w:eastAsia="仿宋_GB2312" w:cs="仿宋_GB2312"/>
          <w:highlight w:val="none"/>
        </w:rPr>
        <w:t>5投标保证金缴纳凭证复印件</w:t>
      </w:r>
      <w:r>
        <w:rPr>
          <w:highlight w:val="none"/>
        </w:rPr>
        <w:tab/>
      </w:r>
      <w:r>
        <w:rPr>
          <w:highlight w:val="none"/>
        </w:rPr>
        <w:fldChar w:fldCharType="begin"/>
      </w:r>
      <w:r>
        <w:rPr>
          <w:highlight w:val="none"/>
        </w:rPr>
        <w:instrText xml:space="preserve"> PAGEREF _Toc15899 \h </w:instrText>
      </w:r>
      <w:r>
        <w:rPr>
          <w:highlight w:val="none"/>
        </w:rPr>
        <w:fldChar w:fldCharType="separate"/>
      </w:r>
      <w:r>
        <w:rPr>
          <w:highlight w:val="none"/>
        </w:rPr>
        <w:t>25</w:t>
      </w:r>
      <w:r>
        <w:rPr>
          <w:highlight w:val="none"/>
        </w:rPr>
        <w:fldChar w:fldCharType="end"/>
      </w:r>
      <w:r>
        <w:rPr>
          <w:highlight w:val="none"/>
        </w:rPr>
        <w:fldChar w:fldCharType="end"/>
      </w:r>
    </w:p>
    <w:p w14:paraId="5EF6E559">
      <w:pPr>
        <w:pStyle w:val="12"/>
        <w:keepNext w:val="0"/>
        <w:keepLines w:val="0"/>
        <w:pageBreakBefore w:val="0"/>
        <w:widowControl w:val="0"/>
        <w:tabs>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_Toc13050 </w:instrText>
      </w:r>
      <w:r>
        <w:rPr>
          <w:highlight w:val="none"/>
        </w:rPr>
        <w:fldChar w:fldCharType="separate"/>
      </w:r>
      <w:r>
        <w:rPr>
          <w:rFonts w:hint="eastAsia" w:ascii="仿宋_GB2312" w:hAnsi="仿宋_GB2312" w:eastAsia="仿宋_GB2312" w:cs="仿宋_GB2312"/>
          <w:highlight w:val="none"/>
        </w:rPr>
        <w:t>6社会保障资金的缴纳记录</w:t>
      </w:r>
      <w:r>
        <w:rPr>
          <w:highlight w:val="none"/>
        </w:rPr>
        <w:tab/>
      </w:r>
      <w:r>
        <w:rPr>
          <w:highlight w:val="none"/>
        </w:rPr>
        <w:fldChar w:fldCharType="begin"/>
      </w:r>
      <w:r>
        <w:rPr>
          <w:highlight w:val="none"/>
        </w:rPr>
        <w:instrText xml:space="preserve"> PAGEREF _Toc13050 \h </w:instrText>
      </w:r>
      <w:r>
        <w:rPr>
          <w:highlight w:val="none"/>
        </w:rPr>
        <w:fldChar w:fldCharType="separate"/>
      </w:r>
      <w:r>
        <w:rPr>
          <w:highlight w:val="none"/>
        </w:rPr>
        <w:t>28</w:t>
      </w:r>
      <w:r>
        <w:rPr>
          <w:highlight w:val="none"/>
        </w:rPr>
        <w:fldChar w:fldCharType="end"/>
      </w:r>
      <w:r>
        <w:rPr>
          <w:highlight w:val="none"/>
        </w:rPr>
        <w:fldChar w:fldCharType="end"/>
      </w:r>
    </w:p>
    <w:p w14:paraId="51F52489">
      <w:pPr>
        <w:pStyle w:val="12"/>
        <w:keepNext w:val="0"/>
        <w:keepLines w:val="0"/>
        <w:pageBreakBefore w:val="0"/>
        <w:widowControl w:val="0"/>
        <w:tabs>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_Toc23401 </w:instrText>
      </w:r>
      <w:r>
        <w:rPr>
          <w:highlight w:val="none"/>
        </w:rPr>
        <w:fldChar w:fldCharType="separate"/>
      </w:r>
      <w:r>
        <w:rPr>
          <w:rFonts w:hint="eastAsia" w:ascii="仿宋_GB2312" w:hAnsi="仿宋_GB2312" w:eastAsia="仿宋_GB2312" w:cs="仿宋_GB2312"/>
          <w:highlight w:val="none"/>
        </w:rPr>
        <w:t>7良好的商业信誉和健全的财务会计制度证明材料</w:t>
      </w:r>
      <w:r>
        <w:rPr>
          <w:highlight w:val="none"/>
        </w:rPr>
        <w:tab/>
      </w:r>
      <w:r>
        <w:rPr>
          <w:highlight w:val="none"/>
        </w:rPr>
        <w:fldChar w:fldCharType="begin"/>
      </w:r>
      <w:r>
        <w:rPr>
          <w:highlight w:val="none"/>
        </w:rPr>
        <w:instrText xml:space="preserve"> PAGEREF _Toc23401 \h </w:instrText>
      </w:r>
      <w:r>
        <w:rPr>
          <w:highlight w:val="none"/>
        </w:rPr>
        <w:fldChar w:fldCharType="separate"/>
      </w:r>
      <w:r>
        <w:rPr>
          <w:highlight w:val="none"/>
        </w:rPr>
        <w:t>28</w:t>
      </w:r>
      <w:r>
        <w:rPr>
          <w:highlight w:val="none"/>
        </w:rPr>
        <w:fldChar w:fldCharType="end"/>
      </w:r>
      <w:r>
        <w:rPr>
          <w:highlight w:val="none"/>
        </w:rPr>
        <w:fldChar w:fldCharType="end"/>
      </w:r>
    </w:p>
    <w:p w14:paraId="0644BBA9">
      <w:pPr>
        <w:pStyle w:val="12"/>
        <w:keepNext w:val="0"/>
        <w:keepLines w:val="0"/>
        <w:pageBreakBefore w:val="0"/>
        <w:widowControl w:val="0"/>
        <w:tabs>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_Toc609 </w:instrText>
      </w:r>
      <w:r>
        <w:rPr>
          <w:highlight w:val="none"/>
        </w:rPr>
        <w:fldChar w:fldCharType="separate"/>
      </w:r>
      <w:r>
        <w:rPr>
          <w:rFonts w:hint="eastAsia" w:ascii="仿宋_GB2312" w:hAnsi="仿宋_GB2312" w:eastAsia="仿宋_GB2312" w:cs="仿宋_GB2312"/>
          <w:highlight w:val="none"/>
        </w:rPr>
        <w:t>8依法缴纳税收的证明</w:t>
      </w:r>
      <w:r>
        <w:rPr>
          <w:highlight w:val="none"/>
        </w:rPr>
        <w:tab/>
      </w:r>
      <w:r>
        <w:rPr>
          <w:highlight w:val="none"/>
        </w:rPr>
        <w:fldChar w:fldCharType="begin"/>
      </w:r>
      <w:r>
        <w:rPr>
          <w:highlight w:val="none"/>
        </w:rPr>
        <w:instrText xml:space="preserve"> PAGEREF _Toc609 \h </w:instrText>
      </w:r>
      <w:r>
        <w:rPr>
          <w:highlight w:val="none"/>
        </w:rPr>
        <w:fldChar w:fldCharType="separate"/>
      </w:r>
      <w:r>
        <w:rPr>
          <w:highlight w:val="none"/>
        </w:rPr>
        <w:t>28</w:t>
      </w:r>
      <w:r>
        <w:rPr>
          <w:highlight w:val="none"/>
        </w:rPr>
        <w:fldChar w:fldCharType="end"/>
      </w:r>
      <w:r>
        <w:rPr>
          <w:highlight w:val="none"/>
        </w:rPr>
        <w:fldChar w:fldCharType="end"/>
      </w:r>
    </w:p>
    <w:p w14:paraId="51EF77E0">
      <w:pPr>
        <w:pStyle w:val="12"/>
        <w:keepNext w:val="0"/>
        <w:keepLines w:val="0"/>
        <w:pageBreakBefore w:val="0"/>
        <w:widowControl w:val="0"/>
        <w:tabs>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_Toc19551 </w:instrText>
      </w:r>
      <w:r>
        <w:rPr>
          <w:highlight w:val="none"/>
        </w:rPr>
        <w:fldChar w:fldCharType="separate"/>
      </w:r>
      <w:r>
        <w:rPr>
          <w:rFonts w:hint="eastAsia" w:ascii="仿宋_GB2312" w:hAnsi="仿宋_GB2312" w:eastAsia="仿宋_GB2312" w:cs="仿宋_GB2312"/>
          <w:highlight w:val="none"/>
        </w:rPr>
        <w:t>9投标人须知资料表要求的其他资格证明文件</w:t>
      </w:r>
      <w:r>
        <w:rPr>
          <w:highlight w:val="none"/>
        </w:rPr>
        <w:tab/>
      </w:r>
      <w:r>
        <w:rPr>
          <w:highlight w:val="none"/>
        </w:rPr>
        <w:fldChar w:fldCharType="begin"/>
      </w:r>
      <w:r>
        <w:rPr>
          <w:highlight w:val="none"/>
        </w:rPr>
        <w:instrText xml:space="preserve"> PAGEREF _Toc19551 \h </w:instrText>
      </w:r>
      <w:r>
        <w:rPr>
          <w:highlight w:val="none"/>
        </w:rPr>
        <w:fldChar w:fldCharType="separate"/>
      </w:r>
      <w:r>
        <w:rPr>
          <w:highlight w:val="none"/>
        </w:rPr>
        <w:t>28</w:t>
      </w:r>
      <w:r>
        <w:rPr>
          <w:highlight w:val="none"/>
        </w:rPr>
        <w:fldChar w:fldCharType="end"/>
      </w:r>
      <w:r>
        <w:rPr>
          <w:highlight w:val="none"/>
        </w:rPr>
        <w:fldChar w:fldCharType="end"/>
      </w:r>
    </w:p>
    <w:p w14:paraId="400807DF">
      <w:pPr>
        <w:pStyle w:val="14"/>
        <w:keepNext w:val="0"/>
        <w:keepLines w:val="0"/>
        <w:pageBreakBefore w:val="0"/>
        <w:widowControl w:val="0"/>
        <w:tabs>
          <w:tab w:val="right" w:leader="dot" w:pos="9786"/>
        </w:tabs>
        <w:wordWrap/>
        <w:overflowPunct/>
        <w:topLinePunct w:val="0"/>
        <w:bidi w:val="0"/>
        <w:rPr>
          <w:highlight w:val="none"/>
        </w:rPr>
      </w:pPr>
      <w:r>
        <w:rPr>
          <w:highlight w:val="none"/>
        </w:rPr>
        <w:fldChar w:fldCharType="begin"/>
      </w:r>
      <w:r>
        <w:rPr>
          <w:highlight w:val="none"/>
        </w:rPr>
        <w:instrText xml:space="preserve"> HYPERLINK \l _Toc4777 </w:instrText>
      </w:r>
      <w:r>
        <w:rPr>
          <w:highlight w:val="none"/>
        </w:rPr>
        <w:fldChar w:fldCharType="separate"/>
      </w:r>
      <w:r>
        <w:rPr>
          <w:rFonts w:ascii="仿宋_GB2312" w:hAnsi="宋体" w:eastAsia="仿宋_GB2312"/>
          <w:highlight w:val="none"/>
        </w:rPr>
        <w:t>第</w:t>
      </w:r>
      <w:r>
        <w:rPr>
          <w:rFonts w:hint="eastAsia" w:ascii="仿宋_GB2312" w:hAnsi="宋体" w:eastAsia="仿宋_GB2312"/>
          <w:highlight w:val="none"/>
        </w:rPr>
        <w:t>二</w:t>
      </w:r>
      <w:r>
        <w:rPr>
          <w:rFonts w:ascii="仿宋_GB2312" w:hAnsi="宋体" w:eastAsia="仿宋_GB2312"/>
          <w:highlight w:val="none"/>
        </w:rPr>
        <w:t>部分</w:t>
      </w:r>
      <w:r>
        <w:rPr>
          <w:rFonts w:hint="eastAsia" w:ascii="仿宋_GB2312" w:hAnsi="宋体" w:eastAsia="仿宋_GB2312"/>
          <w:highlight w:val="none"/>
        </w:rPr>
        <w:t>商务及技术文件</w:t>
      </w:r>
      <w:r>
        <w:rPr>
          <w:highlight w:val="none"/>
        </w:rPr>
        <w:tab/>
      </w:r>
      <w:r>
        <w:rPr>
          <w:highlight w:val="none"/>
        </w:rPr>
        <w:fldChar w:fldCharType="begin"/>
      </w:r>
      <w:r>
        <w:rPr>
          <w:highlight w:val="none"/>
        </w:rPr>
        <w:instrText xml:space="preserve"> PAGEREF _Toc4777 \h </w:instrText>
      </w:r>
      <w:r>
        <w:rPr>
          <w:highlight w:val="none"/>
        </w:rPr>
        <w:fldChar w:fldCharType="separate"/>
      </w:r>
      <w:r>
        <w:rPr>
          <w:highlight w:val="none"/>
        </w:rPr>
        <w:t>29</w:t>
      </w:r>
      <w:r>
        <w:rPr>
          <w:highlight w:val="none"/>
        </w:rPr>
        <w:fldChar w:fldCharType="end"/>
      </w:r>
      <w:r>
        <w:rPr>
          <w:highlight w:val="none"/>
        </w:rPr>
        <w:fldChar w:fldCharType="end"/>
      </w:r>
    </w:p>
    <w:p w14:paraId="66DC335E">
      <w:pPr>
        <w:pStyle w:val="12"/>
        <w:keepNext w:val="0"/>
        <w:keepLines w:val="0"/>
        <w:pageBreakBefore w:val="0"/>
        <w:widowControl w:val="0"/>
        <w:tabs>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_Toc28713 </w:instrText>
      </w:r>
      <w:r>
        <w:rPr>
          <w:highlight w:val="none"/>
        </w:rPr>
        <w:fldChar w:fldCharType="separate"/>
      </w:r>
      <w:r>
        <w:rPr>
          <w:rFonts w:hint="eastAsia" w:ascii="仿宋_GB2312" w:hAnsi="仿宋_GB2312" w:eastAsia="仿宋_GB2312" w:cs="仿宋_GB2312"/>
          <w:highlight w:val="none"/>
        </w:rPr>
        <w:t>1投标书</w:t>
      </w:r>
      <w:r>
        <w:rPr>
          <w:highlight w:val="none"/>
        </w:rPr>
        <w:tab/>
      </w:r>
      <w:r>
        <w:rPr>
          <w:highlight w:val="none"/>
        </w:rPr>
        <w:fldChar w:fldCharType="begin"/>
      </w:r>
      <w:r>
        <w:rPr>
          <w:highlight w:val="none"/>
        </w:rPr>
        <w:instrText xml:space="preserve"> PAGEREF _Toc28713 \h </w:instrText>
      </w:r>
      <w:r>
        <w:rPr>
          <w:highlight w:val="none"/>
        </w:rPr>
        <w:fldChar w:fldCharType="separate"/>
      </w:r>
      <w:r>
        <w:rPr>
          <w:highlight w:val="none"/>
        </w:rPr>
        <w:t>30</w:t>
      </w:r>
      <w:r>
        <w:rPr>
          <w:highlight w:val="none"/>
        </w:rPr>
        <w:fldChar w:fldCharType="end"/>
      </w:r>
      <w:r>
        <w:rPr>
          <w:highlight w:val="none"/>
        </w:rPr>
        <w:fldChar w:fldCharType="end"/>
      </w:r>
    </w:p>
    <w:p w14:paraId="46B982F7">
      <w:pPr>
        <w:pStyle w:val="12"/>
        <w:keepNext w:val="0"/>
        <w:keepLines w:val="0"/>
        <w:pageBreakBefore w:val="0"/>
        <w:widowControl w:val="0"/>
        <w:tabs>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_Toc12027 </w:instrText>
      </w:r>
      <w:r>
        <w:rPr>
          <w:highlight w:val="none"/>
        </w:rPr>
        <w:fldChar w:fldCharType="separate"/>
      </w:r>
      <w:r>
        <w:rPr>
          <w:rFonts w:hint="eastAsia" w:ascii="仿宋_GB2312" w:hAnsi="仿宋_GB2312" w:eastAsia="仿宋_GB2312" w:cs="仿宋_GB2312"/>
          <w:highlight w:val="none"/>
        </w:rPr>
        <w:t>2投标分项报价表</w:t>
      </w:r>
      <w:r>
        <w:rPr>
          <w:highlight w:val="none"/>
        </w:rPr>
        <w:tab/>
      </w:r>
      <w:r>
        <w:rPr>
          <w:highlight w:val="none"/>
        </w:rPr>
        <w:fldChar w:fldCharType="begin"/>
      </w:r>
      <w:r>
        <w:rPr>
          <w:highlight w:val="none"/>
        </w:rPr>
        <w:instrText xml:space="preserve"> PAGEREF _Toc12027 \h </w:instrText>
      </w:r>
      <w:r>
        <w:rPr>
          <w:highlight w:val="none"/>
        </w:rPr>
        <w:fldChar w:fldCharType="separate"/>
      </w:r>
      <w:r>
        <w:rPr>
          <w:highlight w:val="none"/>
        </w:rPr>
        <w:t>32</w:t>
      </w:r>
      <w:r>
        <w:rPr>
          <w:highlight w:val="none"/>
        </w:rPr>
        <w:fldChar w:fldCharType="end"/>
      </w:r>
      <w:r>
        <w:rPr>
          <w:highlight w:val="none"/>
        </w:rPr>
        <w:fldChar w:fldCharType="end"/>
      </w:r>
    </w:p>
    <w:p w14:paraId="582BB545">
      <w:pPr>
        <w:pStyle w:val="12"/>
        <w:keepNext w:val="0"/>
        <w:keepLines w:val="0"/>
        <w:pageBreakBefore w:val="0"/>
        <w:widowControl w:val="0"/>
        <w:tabs>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_Toc29503 </w:instrText>
      </w:r>
      <w:r>
        <w:rPr>
          <w:highlight w:val="none"/>
        </w:rPr>
        <w:fldChar w:fldCharType="separate"/>
      </w:r>
      <w:r>
        <w:rPr>
          <w:rFonts w:hint="eastAsia" w:ascii="仿宋_GB2312" w:hAnsi="仿宋_GB2312" w:eastAsia="仿宋_GB2312" w:cs="仿宋_GB2312"/>
          <w:highlight w:val="none"/>
        </w:rPr>
        <w:t>3货物说明一览表</w:t>
      </w:r>
      <w:r>
        <w:rPr>
          <w:highlight w:val="none"/>
        </w:rPr>
        <w:tab/>
      </w:r>
      <w:r>
        <w:rPr>
          <w:highlight w:val="none"/>
        </w:rPr>
        <w:fldChar w:fldCharType="begin"/>
      </w:r>
      <w:r>
        <w:rPr>
          <w:highlight w:val="none"/>
        </w:rPr>
        <w:instrText xml:space="preserve"> PAGEREF _Toc29503 \h </w:instrText>
      </w:r>
      <w:r>
        <w:rPr>
          <w:highlight w:val="none"/>
        </w:rPr>
        <w:fldChar w:fldCharType="separate"/>
      </w:r>
      <w:r>
        <w:rPr>
          <w:highlight w:val="none"/>
        </w:rPr>
        <w:t>33</w:t>
      </w:r>
      <w:r>
        <w:rPr>
          <w:highlight w:val="none"/>
        </w:rPr>
        <w:fldChar w:fldCharType="end"/>
      </w:r>
      <w:r>
        <w:rPr>
          <w:highlight w:val="none"/>
        </w:rPr>
        <w:fldChar w:fldCharType="end"/>
      </w:r>
    </w:p>
    <w:p w14:paraId="577EBF46">
      <w:pPr>
        <w:pStyle w:val="12"/>
        <w:keepNext w:val="0"/>
        <w:keepLines w:val="0"/>
        <w:pageBreakBefore w:val="0"/>
        <w:widowControl w:val="0"/>
        <w:tabs>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_Toc20533 </w:instrText>
      </w:r>
      <w:r>
        <w:rPr>
          <w:highlight w:val="none"/>
        </w:rPr>
        <w:fldChar w:fldCharType="separate"/>
      </w:r>
      <w:r>
        <w:rPr>
          <w:rFonts w:hint="eastAsia" w:ascii="仿宋_GB2312" w:hAnsi="仿宋_GB2312" w:eastAsia="仿宋_GB2312" w:cs="仿宋_GB2312"/>
          <w:highlight w:val="none"/>
        </w:rPr>
        <w:t>4技术规格偏离表</w:t>
      </w:r>
      <w:r>
        <w:rPr>
          <w:highlight w:val="none"/>
        </w:rPr>
        <w:tab/>
      </w:r>
      <w:r>
        <w:rPr>
          <w:highlight w:val="none"/>
        </w:rPr>
        <w:fldChar w:fldCharType="begin"/>
      </w:r>
      <w:r>
        <w:rPr>
          <w:highlight w:val="none"/>
        </w:rPr>
        <w:instrText xml:space="preserve"> PAGEREF _Toc20533 \h </w:instrText>
      </w:r>
      <w:r>
        <w:rPr>
          <w:highlight w:val="none"/>
        </w:rPr>
        <w:fldChar w:fldCharType="separate"/>
      </w:r>
      <w:r>
        <w:rPr>
          <w:highlight w:val="none"/>
        </w:rPr>
        <w:t>34</w:t>
      </w:r>
      <w:r>
        <w:rPr>
          <w:highlight w:val="none"/>
        </w:rPr>
        <w:fldChar w:fldCharType="end"/>
      </w:r>
      <w:r>
        <w:rPr>
          <w:highlight w:val="none"/>
        </w:rPr>
        <w:fldChar w:fldCharType="end"/>
      </w:r>
    </w:p>
    <w:p w14:paraId="74CD89F8">
      <w:pPr>
        <w:pStyle w:val="12"/>
        <w:keepNext w:val="0"/>
        <w:keepLines w:val="0"/>
        <w:pageBreakBefore w:val="0"/>
        <w:widowControl w:val="0"/>
        <w:tabs>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_Toc30785 </w:instrText>
      </w:r>
      <w:r>
        <w:rPr>
          <w:highlight w:val="none"/>
        </w:rPr>
        <w:fldChar w:fldCharType="separate"/>
      </w:r>
      <w:r>
        <w:rPr>
          <w:rFonts w:hint="eastAsia" w:ascii="仿宋_GB2312" w:hAnsi="仿宋_GB2312" w:eastAsia="仿宋_GB2312" w:cs="仿宋_GB2312"/>
          <w:highlight w:val="none"/>
        </w:rPr>
        <w:t>5商务条款偏离表</w:t>
      </w:r>
      <w:r>
        <w:rPr>
          <w:highlight w:val="none"/>
        </w:rPr>
        <w:tab/>
      </w:r>
      <w:r>
        <w:rPr>
          <w:highlight w:val="none"/>
        </w:rPr>
        <w:fldChar w:fldCharType="begin"/>
      </w:r>
      <w:r>
        <w:rPr>
          <w:highlight w:val="none"/>
        </w:rPr>
        <w:instrText xml:space="preserve"> PAGEREF _Toc30785 \h </w:instrText>
      </w:r>
      <w:r>
        <w:rPr>
          <w:highlight w:val="none"/>
        </w:rPr>
        <w:fldChar w:fldCharType="separate"/>
      </w:r>
      <w:r>
        <w:rPr>
          <w:highlight w:val="none"/>
        </w:rPr>
        <w:t>35</w:t>
      </w:r>
      <w:r>
        <w:rPr>
          <w:highlight w:val="none"/>
        </w:rPr>
        <w:fldChar w:fldCharType="end"/>
      </w:r>
      <w:r>
        <w:rPr>
          <w:highlight w:val="none"/>
        </w:rPr>
        <w:fldChar w:fldCharType="end"/>
      </w:r>
    </w:p>
    <w:p w14:paraId="3B280C24">
      <w:pPr>
        <w:pStyle w:val="12"/>
        <w:keepNext w:val="0"/>
        <w:keepLines w:val="0"/>
        <w:pageBreakBefore w:val="0"/>
        <w:widowControl w:val="0"/>
        <w:tabs>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_Toc20167 </w:instrText>
      </w:r>
      <w:r>
        <w:rPr>
          <w:highlight w:val="none"/>
        </w:rPr>
        <w:fldChar w:fldCharType="separate"/>
      </w:r>
      <w:r>
        <w:rPr>
          <w:rFonts w:hint="eastAsia" w:ascii="仿宋_GB2312" w:hAnsi="仿宋_GB2312" w:eastAsia="仿宋_GB2312" w:cs="仿宋_GB2312"/>
          <w:highlight w:val="none"/>
        </w:rPr>
        <w:t>6-1中小企业声明函（货物）</w:t>
      </w:r>
      <w:r>
        <w:rPr>
          <w:highlight w:val="none"/>
        </w:rPr>
        <w:tab/>
      </w:r>
      <w:r>
        <w:rPr>
          <w:highlight w:val="none"/>
        </w:rPr>
        <w:fldChar w:fldCharType="begin"/>
      </w:r>
      <w:r>
        <w:rPr>
          <w:highlight w:val="none"/>
        </w:rPr>
        <w:instrText xml:space="preserve"> PAGEREF _Toc20167 \h </w:instrText>
      </w:r>
      <w:r>
        <w:rPr>
          <w:highlight w:val="none"/>
        </w:rPr>
        <w:fldChar w:fldCharType="separate"/>
      </w:r>
      <w:r>
        <w:rPr>
          <w:highlight w:val="none"/>
        </w:rPr>
        <w:t>36</w:t>
      </w:r>
      <w:r>
        <w:rPr>
          <w:highlight w:val="none"/>
        </w:rPr>
        <w:fldChar w:fldCharType="end"/>
      </w:r>
      <w:r>
        <w:rPr>
          <w:highlight w:val="none"/>
        </w:rPr>
        <w:fldChar w:fldCharType="end"/>
      </w:r>
    </w:p>
    <w:p w14:paraId="69BD6DBE">
      <w:pPr>
        <w:pStyle w:val="12"/>
        <w:keepNext w:val="0"/>
        <w:keepLines w:val="0"/>
        <w:pageBreakBefore w:val="0"/>
        <w:widowControl w:val="0"/>
        <w:tabs>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_Toc31970 </w:instrText>
      </w:r>
      <w:r>
        <w:rPr>
          <w:highlight w:val="none"/>
        </w:rPr>
        <w:fldChar w:fldCharType="separate"/>
      </w:r>
      <w:r>
        <w:rPr>
          <w:rFonts w:hint="eastAsia" w:ascii="仿宋_GB2312" w:hAnsi="仿宋_GB2312" w:eastAsia="仿宋_GB2312" w:cs="仿宋_GB2312"/>
          <w:highlight w:val="none"/>
        </w:rPr>
        <w:t>6-2残疾人福利性单位声明函</w:t>
      </w:r>
      <w:r>
        <w:rPr>
          <w:highlight w:val="none"/>
        </w:rPr>
        <w:tab/>
      </w:r>
      <w:r>
        <w:rPr>
          <w:highlight w:val="none"/>
        </w:rPr>
        <w:fldChar w:fldCharType="begin"/>
      </w:r>
      <w:r>
        <w:rPr>
          <w:highlight w:val="none"/>
        </w:rPr>
        <w:instrText xml:space="preserve"> PAGEREF _Toc31970 \h </w:instrText>
      </w:r>
      <w:r>
        <w:rPr>
          <w:highlight w:val="none"/>
        </w:rPr>
        <w:fldChar w:fldCharType="separate"/>
      </w:r>
      <w:r>
        <w:rPr>
          <w:highlight w:val="none"/>
        </w:rPr>
        <w:t>41</w:t>
      </w:r>
      <w:r>
        <w:rPr>
          <w:highlight w:val="none"/>
        </w:rPr>
        <w:fldChar w:fldCharType="end"/>
      </w:r>
      <w:r>
        <w:rPr>
          <w:highlight w:val="none"/>
        </w:rPr>
        <w:fldChar w:fldCharType="end"/>
      </w:r>
    </w:p>
    <w:p w14:paraId="0F9ADFB3">
      <w:pPr>
        <w:pStyle w:val="12"/>
        <w:keepNext w:val="0"/>
        <w:keepLines w:val="0"/>
        <w:pageBreakBefore w:val="0"/>
        <w:widowControl w:val="0"/>
        <w:tabs>
          <w:tab w:val="right" w:leader="dot" w:pos="9786"/>
          <w:tab w:val="clear" w:pos="1260"/>
          <w:tab w:val="clear" w:pos="8630"/>
        </w:tabs>
        <w:wordWrap/>
        <w:overflowPunct/>
        <w:topLinePunct w:val="0"/>
        <w:bidi w:val="0"/>
        <w:rPr>
          <w:highlight w:val="none"/>
        </w:rPr>
      </w:pPr>
      <w:r>
        <w:rPr>
          <w:highlight w:val="none"/>
        </w:rPr>
        <w:fldChar w:fldCharType="begin"/>
      </w:r>
      <w:r>
        <w:rPr>
          <w:highlight w:val="none"/>
        </w:rPr>
        <w:instrText xml:space="preserve"> HYPERLINK \l _Toc17531 </w:instrText>
      </w:r>
      <w:r>
        <w:rPr>
          <w:highlight w:val="none"/>
        </w:rPr>
        <w:fldChar w:fldCharType="separate"/>
      </w:r>
      <w:r>
        <w:rPr>
          <w:rFonts w:hint="eastAsia" w:ascii="仿宋_GB2312" w:hAnsi="仿宋_GB2312" w:eastAsia="仿宋_GB2312" w:cs="仿宋_GB2312"/>
          <w:highlight w:val="none"/>
        </w:rPr>
        <w:t>6-3监狱企业声明函</w:t>
      </w:r>
      <w:r>
        <w:rPr>
          <w:highlight w:val="none"/>
        </w:rPr>
        <w:tab/>
      </w:r>
      <w:r>
        <w:rPr>
          <w:highlight w:val="none"/>
        </w:rPr>
        <w:fldChar w:fldCharType="begin"/>
      </w:r>
      <w:r>
        <w:rPr>
          <w:highlight w:val="none"/>
        </w:rPr>
        <w:instrText xml:space="preserve"> PAGEREF _Toc17531 \h </w:instrText>
      </w:r>
      <w:r>
        <w:rPr>
          <w:highlight w:val="none"/>
        </w:rPr>
        <w:fldChar w:fldCharType="separate"/>
      </w:r>
      <w:r>
        <w:rPr>
          <w:highlight w:val="none"/>
        </w:rPr>
        <w:t>41</w:t>
      </w:r>
      <w:r>
        <w:rPr>
          <w:highlight w:val="none"/>
        </w:rPr>
        <w:fldChar w:fldCharType="end"/>
      </w:r>
      <w:r>
        <w:rPr>
          <w:highlight w:val="none"/>
        </w:rPr>
        <w:fldChar w:fldCharType="end"/>
      </w:r>
    </w:p>
    <w:p w14:paraId="2F96F411">
      <w:pPr>
        <w:pStyle w:val="12"/>
        <w:keepNext w:val="0"/>
        <w:keepLines w:val="0"/>
        <w:pageBreakBefore w:val="0"/>
        <w:widowControl w:val="0"/>
        <w:tabs>
          <w:tab w:val="right" w:leader="dot" w:pos="9786"/>
          <w:tab w:val="clear" w:pos="1260"/>
          <w:tab w:val="clear" w:pos="8630"/>
        </w:tabs>
        <w:wordWrap/>
        <w:overflowPunct/>
        <w:topLinePunct w:val="0"/>
        <w:bidi w:val="0"/>
        <w:rPr>
          <w:rFonts w:hint="eastAsia" w:asciiTheme="minorEastAsia" w:hAnsiTheme="minorEastAsia" w:eastAsiaTheme="minorEastAsia" w:cstheme="minorEastAsia"/>
          <w:highlight w:val="none"/>
          <w:lang w:val="en-US" w:eastAsia="zh-CN"/>
        </w:rPr>
      </w:pPr>
      <w:r>
        <w:rPr>
          <w:rFonts w:hint="eastAsia" w:ascii="仿宋_GB2312" w:hAnsi="仿宋_GB2312" w:eastAsia="仿宋_GB2312" w:cs="仿宋_GB2312"/>
          <w:highlight w:val="none"/>
        </w:rPr>
        <w:t>6-</w:t>
      </w:r>
      <w:r>
        <w:rPr>
          <w:rFonts w:hint="eastAsia" w:ascii="仿宋_GB2312" w:hAnsi="仿宋_GB2312" w:eastAsia="仿宋_GB2312" w:cs="仿宋_GB2312"/>
          <w:highlight w:val="none"/>
          <w:lang w:val="en-US" w:eastAsia="zh-CN"/>
        </w:rPr>
        <w:t>4节能、环境标志产品（若本项目采购内容中无以下清单货物，可不填）</w:t>
      </w:r>
      <w:r>
        <w:rPr>
          <w:highlight w:val="none"/>
        </w:rPr>
        <w:tab/>
      </w:r>
      <w:r>
        <w:rPr>
          <w:highlight w:val="none"/>
        </w:rPr>
        <w:fldChar w:fldCharType="begin"/>
      </w:r>
      <w:r>
        <w:rPr>
          <w:highlight w:val="none"/>
        </w:rPr>
        <w:instrText xml:space="preserve"> PAGEREF _Toc17531 \h </w:instrText>
      </w:r>
      <w:r>
        <w:rPr>
          <w:highlight w:val="none"/>
        </w:rPr>
        <w:fldChar w:fldCharType="separate"/>
      </w:r>
      <w:r>
        <w:rPr>
          <w:highlight w:val="none"/>
        </w:rPr>
        <w:t>41</w:t>
      </w:r>
      <w:r>
        <w:rPr>
          <w:highlight w:val="none"/>
        </w:rPr>
        <w:fldChar w:fldCharType="end"/>
      </w:r>
    </w:p>
    <w:p w14:paraId="064AC47A">
      <w:pPr>
        <w:pStyle w:val="12"/>
        <w:keepNext w:val="0"/>
        <w:keepLines w:val="0"/>
        <w:pageBreakBefore w:val="0"/>
        <w:widowControl w:val="0"/>
        <w:tabs>
          <w:tab w:val="right" w:leader="dot" w:pos="9786"/>
          <w:tab w:val="clear" w:pos="1260"/>
          <w:tab w:val="clear" w:pos="8630"/>
        </w:tabs>
        <w:wordWrap/>
        <w:overflowPunct/>
        <w:topLinePunct w:val="0"/>
        <w:bidi w:val="0"/>
        <w:rPr>
          <w:rFonts w:hint="eastAsia" w:eastAsia="宋体"/>
          <w:highlight w:val="none"/>
          <w:lang w:val="en-US" w:eastAsia="zh-CN"/>
        </w:rPr>
      </w:pPr>
      <w:r>
        <w:rPr>
          <w:highlight w:val="none"/>
        </w:rPr>
        <w:fldChar w:fldCharType="begin"/>
      </w:r>
      <w:r>
        <w:rPr>
          <w:highlight w:val="none"/>
        </w:rPr>
        <w:instrText xml:space="preserve"> HYPERLINK \l _Toc803 </w:instrText>
      </w:r>
      <w:r>
        <w:rPr>
          <w:highlight w:val="none"/>
        </w:rPr>
        <w:fldChar w:fldCharType="separate"/>
      </w:r>
      <w:r>
        <w:rPr>
          <w:rFonts w:hint="eastAsia" w:ascii="仿宋_GB2312" w:hAnsi="仿宋_GB2312" w:eastAsia="仿宋_GB2312" w:cs="仿宋_GB2312"/>
          <w:highlight w:val="none"/>
          <w:lang w:val="en-US" w:eastAsia="zh-CN"/>
        </w:rPr>
        <w:t>7投标文件还应包括第五章、综合评分表的所有技术文件</w:t>
      </w:r>
      <w:r>
        <w:rPr>
          <w:highlight w:val="none"/>
        </w:rPr>
        <w:tab/>
      </w:r>
      <w:r>
        <w:rPr>
          <w:rFonts w:hint="eastAsia" w:eastAsia="仿宋_GB2312"/>
          <w:color w:val="0000FF"/>
          <w:highlight w:val="none"/>
          <w:lang w:val="en-US" w:eastAsia="zh-CN"/>
        </w:rPr>
        <w:t>4</w:t>
      </w:r>
      <w:r>
        <w:rPr>
          <w:highlight w:val="none"/>
        </w:rPr>
        <w:fldChar w:fldCharType="end"/>
      </w:r>
      <w:r>
        <w:rPr>
          <w:rFonts w:hint="eastAsia"/>
          <w:highlight w:val="none"/>
          <w:lang w:val="en-US" w:eastAsia="zh-CN"/>
        </w:rPr>
        <w:t>3</w:t>
      </w:r>
    </w:p>
    <w:p w14:paraId="3FF24DA7">
      <w:pPr>
        <w:pStyle w:val="12"/>
        <w:keepNext w:val="0"/>
        <w:keepLines w:val="0"/>
        <w:pageBreakBefore w:val="0"/>
        <w:widowControl w:val="0"/>
        <w:tabs>
          <w:tab w:val="right" w:leader="dot" w:pos="9786"/>
          <w:tab w:val="clear" w:pos="1260"/>
          <w:tab w:val="clear" w:pos="8630"/>
        </w:tabs>
        <w:wordWrap/>
        <w:overflowPunct/>
        <w:topLinePunct w:val="0"/>
        <w:bidi w:val="0"/>
        <w:rPr>
          <w:rFonts w:hint="eastAsia" w:eastAsia="宋体"/>
          <w:highlight w:val="none"/>
          <w:lang w:val="en-US" w:eastAsia="zh-CN"/>
        </w:rPr>
      </w:pPr>
      <w:r>
        <w:rPr>
          <w:highlight w:val="none"/>
        </w:rPr>
        <w:fldChar w:fldCharType="begin"/>
      </w:r>
      <w:r>
        <w:rPr>
          <w:highlight w:val="none"/>
        </w:rPr>
        <w:instrText xml:space="preserve"> HYPERLINK \l _Toc9534 </w:instrText>
      </w:r>
      <w:r>
        <w:rPr>
          <w:highlight w:val="none"/>
        </w:rPr>
        <w:fldChar w:fldCharType="separate"/>
      </w:r>
      <w:r>
        <w:rPr>
          <w:rFonts w:hint="eastAsia" w:ascii="仿宋_GB2312" w:hAnsi="仿宋_GB2312" w:eastAsia="仿宋_GB2312" w:cs="仿宋_GB2312"/>
          <w:highlight w:val="none"/>
        </w:rPr>
        <w:t>8投标人关联单位的说明</w:t>
      </w:r>
      <w:r>
        <w:rPr>
          <w:highlight w:val="none"/>
        </w:rPr>
        <w:tab/>
      </w:r>
      <w:r>
        <w:rPr>
          <w:rFonts w:hint="eastAsia"/>
          <w:highlight w:val="none"/>
          <w:lang w:val="en-US" w:eastAsia="zh-CN"/>
        </w:rPr>
        <w:t>4</w:t>
      </w:r>
      <w:r>
        <w:rPr>
          <w:highlight w:val="none"/>
        </w:rPr>
        <w:fldChar w:fldCharType="end"/>
      </w:r>
      <w:r>
        <w:rPr>
          <w:rFonts w:hint="eastAsia"/>
          <w:highlight w:val="none"/>
          <w:lang w:val="en-US" w:eastAsia="zh-CN"/>
        </w:rPr>
        <w:t>3</w:t>
      </w:r>
    </w:p>
    <w:p w14:paraId="281DCC48">
      <w:pPr>
        <w:pStyle w:val="12"/>
        <w:keepNext w:val="0"/>
        <w:keepLines w:val="0"/>
        <w:pageBreakBefore w:val="0"/>
        <w:widowControl w:val="0"/>
        <w:tabs>
          <w:tab w:val="right" w:leader="dot" w:pos="9786"/>
          <w:tab w:val="clear" w:pos="1260"/>
          <w:tab w:val="clear" w:pos="8630"/>
        </w:tabs>
        <w:wordWrap/>
        <w:overflowPunct/>
        <w:topLinePunct w:val="0"/>
        <w:bidi w:val="0"/>
        <w:rPr>
          <w:rFonts w:hint="eastAsia" w:eastAsia="宋体"/>
          <w:highlight w:val="none"/>
          <w:lang w:val="en-US" w:eastAsia="zh-CN"/>
        </w:rPr>
      </w:pPr>
      <w:r>
        <w:rPr>
          <w:highlight w:val="none"/>
        </w:rPr>
        <w:fldChar w:fldCharType="begin"/>
      </w:r>
      <w:r>
        <w:rPr>
          <w:highlight w:val="none"/>
        </w:rPr>
        <w:instrText xml:space="preserve"> HYPERLINK \l _Toc2410 </w:instrText>
      </w:r>
      <w:r>
        <w:rPr>
          <w:highlight w:val="none"/>
        </w:rPr>
        <w:fldChar w:fldCharType="separate"/>
      </w:r>
      <w:r>
        <w:rPr>
          <w:rFonts w:hint="eastAsia" w:ascii="仿宋_GB2312" w:hAnsi="仿宋_GB2312" w:eastAsia="仿宋_GB2312" w:cs="仿宋_GB2312"/>
          <w:highlight w:val="none"/>
        </w:rPr>
        <w:t>9其他有利于投标人的文件或证明材料</w:t>
      </w:r>
      <w:r>
        <w:rPr>
          <w:highlight w:val="none"/>
        </w:rPr>
        <w:tab/>
      </w:r>
      <w:r>
        <w:rPr>
          <w:rFonts w:hint="eastAsia"/>
          <w:highlight w:val="none"/>
          <w:lang w:val="en-US" w:eastAsia="zh-CN"/>
        </w:rPr>
        <w:t>4</w:t>
      </w:r>
      <w:r>
        <w:rPr>
          <w:highlight w:val="none"/>
        </w:rPr>
        <w:fldChar w:fldCharType="end"/>
      </w:r>
      <w:r>
        <w:rPr>
          <w:rFonts w:hint="eastAsia"/>
          <w:highlight w:val="none"/>
          <w:lang w:val="en-US" w:eastAsia="zh-CN"/>
        </w:rPr>
        <w:t>3</w:t>
      </w:r>
    </w:p>
    <w:p w14:paraId="774C390B">
      <w:pPr>
        <w:pStyle w:val="12"/>
        <w:keepNext w:val="0"/>
        <w:keepLines w:val="0"/>
        <w:pageBreakBefore w:val="0"/>
        <w:widowControl w:val="0"/>
        <w:tabs>
          <w:tab w:val="right" w:leader="dot" w:pos="9786"/>
          <w:tab w:val="clear" w:pos="1260"/>
          <w:tab w:val="clear" w:pos="8630"/>
        </w:tabs>
        <w:wordWrap/>
        <w:overflowPunct/>
        <w:topLinePunct w:val="0"/>
        <w:bidi w:val="0"/>
        <w:rPr>
          <w:rFonts w:hint="eastAsia" w:eastAsia="宋体"/>
          <w:highlight w:val="none"/>
          <w:lang w:val="en-US" w:eastAsia="zh-CN"/>
        </w:rPr>
      </w:pPr>
      <w:r>
        <w:rPr>
          <w:highlight w:val="none"/>
        </w:rPr>
        <w:fldChar w:fldCharType="begin"/>
      </w:r>
      <w:r>
        <w:rPr>
          <w:highlight w:val="none"/>
        </w:rPr>
        <w:instrText xml:space="preserve"> HYPERLINK \l _Toc3938 </w:instrText>
      </w:r>
      <w:r>
        <w:rPr>
          <w:highlight w:val="none"/>
        </w:rPr>
        <w:fldChar w:fldCharType="separate"/>
      </w:r>
      <w:r>
        <w:rPr>
          <w:rFonts w:hint="eastAsia" w:ascii="仿宋_GB2312" w:hAnsi="仿宋_GB2312" w:eastAsia="仿宋_GB2312" w:cs="仿宋_GB2312"/>
          <w:highlight w:val="none"/>
        </w:rPr>
        <w:t>10对本项目投标文件（响应文件）中资料真实性的承诺</w:t>
      </w:r>
      <w:r>
        <w:rPr>
          <w:highlight w:val="none"/>
        </w:rPr>
        <w:tab/>
      </w:r>
      <w:r>
        <w:rPr>
          <w:rFonts w:hint="eastAsia"/>
          <w:highlight w:val="none"/>
          <w:lang w:val="en-US" w:eastAsia="zh-CN"/>
        </w:rPr>
        <w:t>4</w:t>
      </w:r>
      <w:r>
        <w:rPr>
          <w:highlight w:val="none"/>
        </w:rPr>
        <w:fldChar w:fldCharType="end"/>
      </w:r>
      <w:r>
        <w:rPr>
          <w:rFonts w:hint="eastAsia"/>
          <w:highlight w:val="none"/>
          <w:lang w:val="en-US" w:eastAsia="zh-CN"/>
        </w:rPr>
        <w:t>4</w:t>
      </w:r>
    </w:p>
    <w:p w14:paraId="696D2D7F">
      <w:pPr>
        <w:pStyle w:val="18"/>
        <w:keepNext w:val="0"/>
        <w:keepLines w:val="0"/>
        <w:pageBreakBefore w:val="0"/>
        <w:widowControl w:val="0"/>
        <w:tabs>
          <w:tab w:val="right" w:leader="dot" w:pos="9786"/>
        </w:tabs>
        <w:wordWrap/>
        <w:overflowPunct/>
        <w:topLinePunct w:val="0"/>
        <w:bidi w:val="0"/>
        <w:rPr>
          <w:rFonts w:hint="eastAsia" w:eastAsia="宋体"/>
          <w:highlight w:val="none"/>
          <w:lang w:val="en-US" w:eastAsia="zh-CN"/>
        </w:rPr>
      </w:pPr>
      <w:r>
        <w:rPr>
          <w:highlight w:val="none"/>
        </w:rPr>
        <w:fldChar w:fldCharType="begin"/>
      </w:r>
      <w:r>
        <w:rPr>
          <w:highlight w:val="none"/>
        </w:rPr>
        <w:instrText xml:space="preserve"> HYPERLINK \l _Toc28722 </w:instrText>
      </w:r>
      <w:r>
        <w:rPr>
          <w:highlight w:val="none"/>
        </w:rPr>
        <w:fldChar w:fldCharType="separate"/>
      </w:r>
      <w:r>
        <w:rPr>
          <w:rFonts w:hint="eastAsia" w:ascii="仿宋_GB2312" w:hAnsi="仿宋_GB2312" w:eastAsia="仿宋_GB2312" w:cs="仿宋_GB2312"/>
          <w:szCs w:val="44"/>
          <w:highlight w:val="none"/>
        </w:rPr>
        <w:t>第三章投标邀请</w:t>
      </w:r>
      <w:r>
        <w:rPr>
          <w:highlight w:val="none"/>
        </w:rPr>
        <w:tab/>
      </w:r>
      <w:r>
        <w:rPr>
          <w:rFonts w:hint="eastAsia"/>
          <w:highlight w:val="none"/>
          <w:lang w:val="en-US" w:eastAsia="zh-CN"/>
        </w:rPr>
        <w:t>4</w:t>
      </w:r>
      <w:r>
        <w:rPr>
          <w:highlight w:val="none"/>
        </w:rPr>
        <w:fldChar w:fldCharType="end"/>
      </w:r>
      <w:r>
        <w:rPr>
          <w:rFonts w:hint="eastAsia"/>
          <w:highlight w:val="none"/>
          <w:lang w:val="en-US" w:eastAsia="zh-CN"/>
        </w:rPr>
        <w:t>6</w:t>
      </w:r>
    </w:p>
    <w:p w14:paraId="56BF0968">
      <w:pPr>
        <w:pStyle w:val="18"/>
        <w:keepNext w:val="0"/>
        <w:keepLines w:val="0"/>
        <w:pageBreakBefore w:val="0"/>
        <w:widowControl w:val="0"/>
        <w:tabs>
          <w:tab w:val="right" w:leader="dot" w:pos="9786"/>
        </w:tabs>
        <w:wordWrap/>
        <w:overflowPunct/>
        <w:topLinePunct w:val="0"/>
        <w:bidi w:val="0"/>
        <w:rPr>
          <w:rFonts w:hint="eastAsia" w:eastAsia="宋体"/>
          <w:highlight w:val="none"/>
          <w:lang w:val="en-US" w:eastAsia="zh-CN"/>
        </w:rPr>
      </w:pPr>
      <w:r>
        <w:rPr>
          <w:highlight w:val="none"/>
        </w:rPr>
        <w:fldChar w:fldCharType="begin"/>
      </w:r>
      <w:r>
        <w:rPr>
          <w:highlight w:val="none"/>
        </w:rPr>
        <w:instrText xml:space="preserve"> HYPERLINK \l _Toc5895 </w:instrText>
      </w:r>
      <w:r>
        <w:rPr>
          <w:highlight w:val="none"/>
        </w:rPr>
        <w:fldChar w:fldCharType="separate"/>
      </w:r>
      <w:r>
        <w:rPr>
          <w:rFonts w:hint="eastAsia" w:ascii="仿宋_GB2312" w:hAnsi="仿宋_GB2312" w:eastAsia="仿宋_GB2312" w:cs="仿宋_GB2312"/>
          <w:szCs w:val="44"/>
          <w:highlight w:val="none"/>
        </w:rPr>
        <w:t>第四章投标人须知资料表</w:t>
      </w:r>
      <w:r>
        <w:rPr>
          <w:highlight w:val="none"/>
        </w:rPr>
        <w:tab/>
      </w:r>
      <w:r>
        <w:rPr>
          <w:rFonts w:hint="eastAsia"/>
          <w:highlight w:val="none"/>
          <w:lang w:val="en-US" w:eastAsia="zh-CN"/>
        </w:rPr>
        <w:t>4</w:t>
      </w:r>
      <w:r>
        <w:rPr>
          <w:highlight w:val="none"/>
        </w:rPr>
        <w:fldChar w:fldCharType="end"/>
      </w:r>
      <w:r>
        <w:rPr>
          <w:rFonts w:hint="eastAsia"/>
          <w:highlight w:val="none"/>
          <w:lang w:val="en-US" w:eastAsia="zh-CN"/>
        </w:rPr>
        <w:t>9</w:t>
      </w:r>
    </w:p>
    <w:p w14:paraId="3C755C78">
      <w:pPr>
        <w:pStyle w:val="18"/>
        <w:keepNext w:val="0"/>
        <w:keepLines w:val="0"/>
        <w:pageBreakBefore w:val="0"/>
        <w:widowControl w:val="0"/>
        <w:tabs>
          <w:tab w:val="right" w:leader="dot" w:pos="9786"/>
        </w:tabs>
        <w:wordWrap/>
        <w:overflowPunct/>
        <w:topLinePunct w:val="0"/>
        <w:bidi w:val="0"/>
        <w:rPr>
          <w:rFonts w:hint="eastAsia"/>
          <w:highlight w:val="none"/>
          <w:lang w:val="en-US" w:eastAsia="zh-CN"/>
        </w:rPr>
      </w:pPr>
      <w:r>
        <w:rPr>
          <w:highlight w:val="none"/>
        </w:rPr>
        <w:fldChar w:fldCharType="begin"/>
      </w:r>
      <w:r>
        <w:rPr>
          <w:highlight w:val="none"/>
        </w:rPr>
        <w:instrText xml:space="preserve"> HYPERLINK \l _Toc8813 </w:instrText>
      </w:r>
      <w:r>
        <w:rPr>
          <w:highlight w:val="none"/>
        </w:rPr>
        <w:fldChar w:fldCharType="separate"/>
      </w:r>
      <w:r>
        <w:rPr>
          <w:rFonts w:hint="eastAsia" w:ascii="仿宋_GB2312" w:hAnsi="仿宋_GB2312" w:eastAsia="仿宋_GB2312" w:cs="仿宋_GB2312"/>
          <w:szCs w:val="44"/>
          <w:highlight w:val="none"/>
        </w:rPr>
        <w:t>第五章货物需求一览表及技术规格</w:t>
      </w:r>
      <w:r>
        <w:rPr>
          <w:highlight w:val="none"/>
        </w:rPr>
        <w:tab/>
      </w:r>
      <w:r>
        <w:rPr>
          <w:rFonts w:hint="eastAsia"/>
          <w:highlight w:val="none"/>
          <w:lang w:val="en-US" w:eastAsia="zh-CN"/>
        </w:rPr>
        <w:t>5</w:t>
      </w:r>
      <w:r>
        <w:rPr>
          <w:highlight w:val="none"/>
        </w:rPr>
        <w:fldChar w:fldCharType="end"/>
      </w:r>
      <w:r>
        <w:rPr>
          <w:rFonts w:hint="eastAsia"/>
          <w:highlight w:val="none"/>
          <w:lang w:val="en-US" w:eastAsia="zh-CN"/>
        </w:rPr>
        <w:t>3</w:t>
      </w:r>
    </w:p>
    <w:p w14:paraId="0323E97B">
      <w:pPr>
        <w:pStyle w:val="18"/>
        <w:keepNext w:val="0"/>
        <w:keepLines w:val="0"/>
        <w:pageBreakBefore w:val="0"/>
        <w:widowControl w:val="0"/>
        <w:tabs>
          <w:tab w:val="right" w:leader="dot" w:pos="9786"/>
        </w:tabs>
        <w:wordWrap/>
        <w:overflowPunct/>
        <w:topLinePunct w:val="0"/>
        <w:bidi w:val="0"/>
        <w:rPr>
          <w:rFonts w:hint="eastAsia"/>
          <w:highlight w:val="none"/>
          <w:lang w:val="en-US" w:eastAsia="zh-CN"/>
        </w:rPr>
      </w:pPr>
      <w:r>
        <w:rPr>
          <w:highlight w:val="none"/>
        </w:rPr>
        <w:fldChar w:fldCharType="begin"/>
      </w:r>
      <w:r>
        <w:rPr>
          <w:highlight w:val="none"/>
        </w:rPr>
        <w:instrText xml:space="preserve"> HYPERLINK \l _Toc8813 </w:instrText>
      </w:r>
      <w:r>
        <w:rPr>
          <w:highlight w:val="none"/>
        </w:rPr>
        <w:fldChar w:fldCharType="separate"/>
      </w:r>
      <w:r>
        <w:rPr>
          <w:rFonts w:hint="eastAsia" w:ascii="仿宋_GB2312" w:hAnsi="仿宋_GB2312" w:eastAsia="仿宋_GB2312" w:cs="仿宋_GB2312"/>
          <w:szCs w:val="44"/>
          <w:highlight w:val="none"/>
        </w:rPr>
        <w:t>第</w:t>
      </w:r>
      <w:r>
        <w:rPr>
          <w:rFonts w:hint="eastAsia" w:ascii="仿宋_GB2312" w:hAnsi="仿宋_GB2312" w:eastAsia="仿宋_GB2312" w:cs="仿宋_GB2312"/>
          <w:szCs w:val="44"/>
          <w:highlight w:val="none"/>
          <w:lang w:val="en-US" w:eastAsia="zh-CN"/>
        </w:rPr>
        <w:t>六</w:t>
      </w:r>
      <w:r>
        <w:rPr>
          <w:rFonts w:hint="eastAsia" w:ascii="仿宋_GB2312" w:hAnsi="仿宋_GB2312" w:eastAsia="仿宋_GB2312" w:cs="仿宋_GB2312"/>
          <w:szCs w:val="44"/>
          <w:highlight w:val="none"/>
        </w:rPr>
        <w:t>章</w:t>
      </w:r>
      <w:r>
        <w:rPr>
          <w:rFonts w:hint="eastAsia" w:ascii="仿宋_GB2312" w:hAnsi="仿宋_GB2312" w:eastAsia="仿宋_GB2312" w:cs="仿宋_GB2312"/>
          <w:szCs w:val="44"/>
          <w:highlight w:val="none"/>
          <w:lang w:val="en-US" w:eastAsia="zh-CN"/>
        </w:rPr>
        <w:t>评标方法和标准</w:t>
      </w:r>
      <w:r>
        <w:rPr>
          <w:highlight w:val="none"/>
        </w:rPr>
        <w:tab/>
      </w:r>
      <w:r>
        <w:rPr>
          <w:rFonts w:hint="eastAsia"/>
          <w:highlight w:val="none"/>
          <w:lang w:val="en-US" w:eastAsia="zh-CN"/>
        </w:rPr>
        <w:t>5</w:t>
      </w:r>
      <w:r>
        <w:rPr>
          <w:highlight w:val="none"/>
        </w:rPr>
        <w:fldChar w:fldCharType="end"/>
      </w:r>
      <w:r>
        <w:rPr>
          <w:rFonts w:hint="eastAsia"/>
          <w:highlight w:val="none"/>
          <w:lang w:val="en-US" w:eastAsia="zh-CN"/>
        </w:rPr>
        <w:t>5</w:t>
      </w:r>
    </w:p>
    <w:p w14:paraId="566A727B">
      <w:pPr>
        <w:pStyle w:val="18"/>
        <w:keepNext w:val="0"/>
        <w:keepLines w:val="0"/>
        <w:pageBreakBefore w:val="0"/>
        <w:widowControl w:val="0"/>
        <w:tabs>
          <w:tab w:val="right" w:leader="dot" w:pos="9786"/>
        </w:tabs>
        <w:wordWrap/>
        <w:overflowPunct/>
        <w:topLinePunct w:val="0"/>
        <w:bidi w:val="0"/>
        <w:rPr>
          <w:rFonts w:hint="eastAsia" w:eastAsia="宋体"/>
          <w:highlight w:val="none"/>
          <w:lang w:val="en-US" w:eastAsia="zh-CN"/>
        </w:rPr>
      </w:pPr>
      <w:r>
        <w:rPr>
          <w:highlight w:val="none"/>
        </w:rPr>
        <w:fldChar w:fldCharType="begin"/>
      </w:r>
      <w:r>
        <w:rPr>
          <w:highlight w:val="none"/>
        </w:rPr>
        <w:instrText xml:space="preserve"> HYPERLINK \l _Toc3264 </w:instrText>
      </w:r>
      <w:r>
        <w:rPr>
          <w:highlight w:val="none"/>
        </w:rPr>
        <w:fldChar w:fldCharType="separate"/>
      </w:r>
      <w:r>
        <w:rPr>
          <w:rFonts w:hint="eastAsia" w:ascii="仿宋_GB2312" w:hAnsi="仿宋_GB2312" w:eastAsia="仿宋_GB2312" w:cs="仿宋_GB2312"/>
          <w:szCs w:val="44"/>
          <w:highlight w:val="none"/>
        </w:rPr>
        <w:t>第七章政府采购合同</w:t>
      </w:r>
      <w:r>
        <w:rPr>
          <w:highlight w:val="none"/>
        </w:rPr>
        <w:tab/>
      </w:r>
      <w:r>
        <w:rPr>
          <w:rFonts w:hint="eastAsia"/>
          <w:highlight w:val="none"/>
          <w:lang w:val="en-US" w:eastAsia="zh-CN"/>
        </w:rPr>
        <w:t>6</w:t>
      </w:r>
      <w:r>
        <w:rPr>
          <w:highlight w:val="none"/>
        </w:rPr>
        <w:fldChar w:fldCharType="end"/>
      </w:r>
      <w:r>
        <w:rPr>
          <w:rFonts w:hint="eastAsia"/>
          <w:highlight w:val="none"/>
          <w:lang w:val="en-US" w:eastAsia="zh-CN"/>
        </w:rPr>
        <w:t>2</w:t>
      </w:r>
    </w:p>
    <w:p w14:paraId="17EA05F7">
      <w:pPr>
        <w:pStyle w:val="2"/>
        <w:keepNext w:val="0"/>
        <w:keepLines w:val="0"/>
        <w:pageBreakBefore w:val="0"/>
        <w:widowControl w:val="0"/>
        <w:tabs>
          <w:tab w:val="left" w:pos="0"/>
        </w:tabs>
        <w:wordWrap/>
        <w:overflowPunct/>
        <w:topLinePunct w:val="0"/>
        <w:bidi w:val="0"/>
        <w:spacing w:before="0" w:after="0" w:line="240" w:lineRule="atLeast"/>
        <w:rPr>
          <w:rFonts w:hint="eastAsia" w:ascii="仿宋_GB2312" w:hAnsi="仿宋_GB2312" w:eastAsia="仿宋_GB2312" w:cs="仿宋_GB2312"/>
          <w:kern w:val="0"/>
          <w:sz w:val="44"/>
          <w:szCs w:val="44"/>
          <w:highlight w:val="none"/>
        </w:rPr>
      </w:pPr>
      <w:r>
        <w:rPr>
          <w:highlight w:val="none"/>
        </w:rPr>
        <w:fldChar w:fldCharType="end"/>
      </w:r>
    </w:p>
    <w:p w14:paraId="4E8D5080">
      <w:pPr>
        <w:pStyle w:val="2"/>
        <w:keepNext w:val="0"/>
        <w:keepLines w:val="0"/>
        <w:pageBreakBefore w:val="0"/>
        <w:widowControl w:val="0"/>
        <w:tabs>
          <w:tab w:val="left" w:pos="0"/>
        </w:tabs>
        <w:wordWrap/>
        <w:overflowPunct/>
        <w:topLinePunct w:val="0"/>
        <w:bidi w:val="0"/>
        <w:spacing w:before="0" w:after="0" w:line="240" w:lineRule="atLeast"/>
        <w:rPr>
          <w:rFonts w:hint="eastAsia" w:ascii="仿宋_GB2312" w:hAnsi="仿宋_GB2312" w:eastAsia="仿宋_GB2312" w:cs="仿宋_GB2312"/>
          <w:kern w:val="0"/>
          <w:sz w:val="44"/>
          <w:szCs w:val="44"/>
          <w:highlight w:val="none"/>
        </w:rPr>
      </w:pPr>
    </w:p>
    <w:p w14:paraId="25F1C0FD">
      <w:pPr>
        <w:pStyle w:val="2"/>
        <w:keepNext w:val="0"/>
        <w:keepLines w:val="0"/>
        <w:pageBreakBefore w:val="0"/>
        <w:widowControl w:val="0"/>
        <w:tabs>
          <w:tab w:val="left" w:pos="0"/>
        </w:tabs>
        <w:wordWrap/>
        <w:overflowPunct/>
        <w:topLinePunct w:val="0"/>
        <w:bidi w:val="0"/>
        <w:spacing w:before="0" w:after="0" w:line="240" w:lineRule="atLeast"/>
        <w:rPr>
          <w:rFonts w:hint="eastAsia" w:ascii="仿宋_GB2312" w:hAnsi="仿宋_GB2312" w:eastAsia="仿宋_GB2312" w:cs="仿宋_GB2312"/>
          <w:kern w:val="0"/>
          <w:sz w:val="44"/>
          <w:szCs w:val="44"/>
          <w:highlight w:val="none"/>
        </w:rPr>
      </w:pPr>
    </w:p>
    <w:p w14:paraId="7E1D53E9">
      <w:pPr>
        <w:pStyle w:val="2"/>
        <w:keepNext w:val="0"/>
        <w:keepLines w:val="0"/>
        <w:pageBreakBefore w:val="0"/>
        <w:widowControl w:val="0"/>
        <w:tabs>
          <w:tab w:val="left" w:pos="0"/>
        </w:tabs>
        <w:wordWrap/>
        <w:overflowPunct/>
        <w:topLinePunct w:val="0"/>
        <w:bidi w:val="0"/>
        <w:spacing w:before="0" w:after="0" w:line="240" w:lineRule="atLeast"/>
        <w:rPr>
          <w:rFonts w:hint="eastAsia" w:ascii="仿宋_GB2312" w:hAnsi="仿宋_GB2312" w:eastAsia="仿宋_GB2312" w:cs="仿宋_GB2312"/>
          <w:kern w:val="0"/>
          <w:sz w:val="44"/>
          <w:szCs w:val="44"/>
          <w:highlight w:val="none"/>
        </w:rPr>
      </w:pPr>
    </w:p>
    <w:p w14:paraId="258C8550">
      <w:pPr>
        <w:pStyle w:val="2"/>
        <w:keepNext w:val="0"/>
        <w:keepLines w:val="0"/>
        <w:pageBreakBefore w:val="0"/>
        <w:widowControl w:val="0"/>
        <w:tabs>
          <w:tab w:val="left" w:pos="0"/>
        </w:tabs>
        <w:wordWrap/>
        <w:overflowPunct/>
        <w:topLinePunct w:val="0"/>
        <w:bidi w:val="0"/>
        <w:spacing w:before="0" w:after="0" w:line="240" w:lineRule="atLeast"/>
        <w:rPr>
          <w:rFonts w:hint="eastAsia" w:ascii="仿宋_GB2312" w:hAnsi="仿宋_GB2312" w:eastAsia="仿宋_GB2312" w:cs="仿宋_GB2312"/>
          <w:kern w:val="0"/>
          <w:sz w:val="44"/>
          <w:szCs w:val="44"/>
          <w:highlight w:val="none"/>
        </w:rPr>
      </w:pPr>
    </w:p>
    <w:p w14:paraId="6118DF95">
      <w:pPr>
        <w:pStyle w:val="2"/>
        <w:keepNext w:val="0"/>
        <w:keepLines w:val="0"/>
        <w:pageBreakBefore w:val="0"/>
        <w:widowControl w:val="0"/>
        <w:tabs>
          <w:tab w:val="left" w:pos="0"/>
        </w:tabs>
        <w:wordWrap/>
        <w:overflowPunct/>
        <w:topLinePunct w:val="0"/>
        <w:bidi w:val="0"/>
        <w:spacing w:before="0" w:after="0" w:line="240" w:lineRule="atLeast"/>
        <w:rPr>
          <w:rFonts w:hint="eastAsia" w:ascii="仿宋_GB2312" w:hAnsi="仿宋_GB2312" w:eastAsia="仿宋_GB2312" w:cs="仿宋_GB2312"/>
          <w:kern w:val="0"/>
          <w:sz w:val="44"/>
          <w:szCs w:val="44"/>
          <w:highlight w:val="none"/>
        </w:rPr>
      </w:pPr>
    </w:p>
    <w:p w14:paraId="248F7A28">
      <w:pPr>
        <w:pStyle w:val="2"/>
        <w:keepNext w:val="0"/>
        <w:keepLines w:val="0"/>
        <w:pageBreakBefore w:val="0"/>
        <w:widowControl w:val="0"/>
        <w:tabs>
          <w:tab w:val="left" w:pos="0"/>
        </w:tabs>
        <w:wordWrap/>
        <w:overflowPunct/>
        <w:topLinePunct w:val="0"/>
        <w:bidi w:val="0"/>
        <w:spacing w:before="0" w:after="0" w:line="240" w:lineRule="atLeast"/>
        <w:jc w:val="both"/>
        <w:rPr>
          <w:rFonts w:hint="eastAsia" w:ascii="仿宋_GB2312" w:hAnsi="仿宋_GB2312" w:eastAsia="仿宋_GB2312" w:cs="仿宋_GB2312"/>
          <w:kern w:val="0"/>
          <w:sz w:val="44"/>
          <w:szCs w:val="44"/>
          <w:highlight w:val="none"/>
        </w:rPr>
        <w:sectPr>
          <w:headerReference r:id="rId7" w:type="default"/>
          <w:footerReference r:id="rId8" w:type="default"/>
          <w:pgSz w:w="11906" w:h="16838"/>
          <w:pgMar w:top="1043" w:right="1060" w:bottom="1043" w:left="1060" w:header="851" w:footer="992" w:gutter="0"/>
          <w:pgBorders>
            <w:top w:val="none" w:sz="0" w:space="0"/>
            <w:left w:val="none" w:sz="0" w:space="0"/>
            <w:bottom w:val="none" w:sz="0" w:space="0"/>
            <w:right w:val="none" w:sz="0" w:space="0"/>
          </w:pgBorders>
          <w:pgNumType w:start="1"/>
          <w:cols w:space="720" w:num="1"/>
          <w:docGrid w:type="linesAndChars" w:linePitch="312" w:charSpace="0"/>
        </w:sectPr>
      </w:pPr>
      <w:bookmarkStart w:id="14" w:name="_Toc11726"/>
    </w:p>
    <w:bookmarkEnd w:id="4"/>
    <w:bookmarkEnd w:id="14"/>
    <w:p w14:paraId="65E40DC2">
      <w:pPr>
        <w:pStyle w:val="2"/>
        <w:keepNext w:val="0"/>
        <w:keepLines w:val="0"/>
        <w:pageBreakBefore w:val="0"/>
        <w:widowControl w:val="0"/>
        <w:tabs>
          <w:tab w:val="left" w:pos="0"/>
        </w:tabs>
        <w:wordWrap/>
        <w:overflowPunct/>
        <w:topLinePunct w:val="0"/>
        <w:bidi w:val="0"/>
        <w:spacing w:before="0" w:after="0" w:line="240" w:lineRule="atLeast"/>
        <w:rPr>
          <w:rFonts w:hint="eastAsia" w:ascii="仿宋_GB2312" w:hAnsi="仿宋_GB2312" w:eastAsia="仿宋_GB2312" w:cs="仿宋_GB2312"/>
          <w:b w:val="0"/>
          <w:sz w:val="20"/>
          <w:highlight w:val="none"/>
        </w:rPr>
      </w:pPr>
      <w:bookmarkStart w:id="15" w:name="_Toc27266"/>
      <w:bookmarkStart w:id="16" w:name="_Toc25393"/>
      <w:bookmarkStart w:id="17" w:name="_Toc749"/>
      <w:bookmarkStart w:id="18" w:name="_Toc7794"/>
      <w:bookmarkStart w:id="19" w:name="_Toc8923"/>
      <w:bookmarkStart w:id="20" w:name="_Toc29821"/>
      <w:bookmarkStart w:id="21" w:name="_Toc23583"/>
      <w:bookmarkStart w:id="22" w:name="_Toc4823"/>
      <w:r>
        <w:rPr>
          <w:rFonts w:hint="eastAsia" w:ascii="仿宋_GB2312" w:hAnsi="仿宋_GB2312" w:eastAsia="仿宋_GB2312" w:cs="仿宋_GB2312"/>
          <w:kern w:val="0"/>
          <w:sz w:val="44"/>
          <w:szCs w:val="44"/>
          <w:highlight w:val="none"/>
        </w:rPr>
        <w:t>第一章</w:t>
      </w:r>
      <w:bookmarkStart w:id="23" w:name="_Toc515647756"/>
      <w:r>
        <w:rPr>
          <w:rFonts w:hint="eastAsia" w:ascii="仿宋_GB2312" w:hAnsi="仿宋_GB2312" w:eastAsia="仿宋_GB2312" w:cs="仿宋_GB2312"/>
          <w:sz w:val="44"/>
          <w:szCs w:val="44"/>
          <w:highlight w:val="none"/>
        </w:rPr>
        <w:t>投标人须知</w:t>
      </w:r>
      <w:bookmarkEnd w:id="15"/>
      <w:bookmarkEnd w:id="16"/>
      <w:bookmarkEnd w:id="17"/>
      <w:bookmarkEnd w:id="18"/>
      <w:bookmarkEnd w:id="19"/>
      <w:bookmarkEnd w:id="20"/>
      <w:bookmarkEnd w:id="21"/>
      <w:bookmarkEnd w:id="22"/>
      <w:bookmarkEnd w:id="23"/>
    </w:p>
    <w:p w14:paraId="0C4362A3">
      <w:pPr>
        <w:pStyle w:val="3"/>
        <w:keepNext w:val="0"/>
        <w:keepLines w:val="0"/>
        <w:pageBreakBefore w:val="0"/>
        <w:widowControl w:val="0"/>
        <w:wordWrap/>
        <w:overflowPunct/>
        <w:topLinePunct w:val="0"/>
        <w:bidi w:val="0"/>
        <w:spacing w:before="0" w:line="240" w:lineRule="atLeast"/>
        <w:ind w:left="1078" w:leftChars="257" w:hanging="539"/>
        <w:rPr>
          <w:rFonts w:hint="eastAsia" w:ascii="仿宋_GB2312" w:hAnsi="仿宋_GB2312" w:eastAsia="仿宋_GB2312" w:cs="仿宋_GB2312"/>
          <w:b w:val="0"/>
          <w:sz w:val="24"/>
          <w:highlight w:val="none"/>
        </w:rPr>
      </w:pPr>
      <w:bookmarkStart w:id="24" w:name="_Toc520356143"/>
      <w:bookmarkStart w:id="25" w:name="_Toc216582805"/>
      <w:bookmarkStart w:id="26" w:name="_Toc515647757"/>
      <w:bookmarkStart w:id="27" w:name="_Toc22145"/>
      <w:bookmarkStart w:id="28" w:name="_Toc17202"/>
      <w:bookmarkStart w:id="29" w:name="_Toc13870"/>
      <w:bookmarkStart w:id="30" w:name="_Toc21215"/>
      <w:bookmarkStart w:id="31" w:name="_Toc16692"/>
      <w:bookmarkStart w:id="32" w:name="_Toc28131"/>
      <w:bookmarkStart w:id="33" w:name="_Toc18007"/>
      <w:bookmarkStart w:id="34" w:name="_Toc24426"/>
      <w:bookmarkStart w:id="35" w:name="_Toc1988"/>
      <w:bookmarkStart w:id="36" w:name="_Toc21015"/>
      <w:bookmarkStart w:id="37" w:name="_Toc27848"/>
      <w:bookmarkStart w:id="38" w:name="_Toc28649"/>
      <w:bookmarkStart w:id="39" w:name="_Toc28279"/>
      <w:r>
        <w:rPr>
          <w:rFonts w:hint="eastAsia" w:ascii="仿宋_GB2312" w:hAnsi="仿宋_GB2312" w:eastAsia="仿宋_GB2312" w:cs="仿宋_GB2312"/>
          <w:sz w:val="28"/>
          <w:highlight w:val="none"/>
        </w:rPr>
        <w:t>一</w:t>
      </w:r>
      <w:bookmarkEnd w:id="24"/>
      <w:bookmarkEnd w:id="25"/>
      <w:bookmarkEnd w:id="26"/>
      <w:r>
        <w:rPr>
          <w:rFonts w:hint="eastAsia" w:ascii="仿宋_GB2312" w:hAnsi="仿宋_GB2312" w:eastAsia="仿宋_GB2312" w:cs="仿宋_GB2312"/>
          <w:sz w:val="28"/>
          <w:highlight w:val="none"/>
        </w:rPr>
        <w:t>总则</w:t>
      </w:r>
      <w:bookmarkEnd w:id="27"/>
      <w:bookmarkEnd w:id="28"/>
      <w:bookmarkEnd w:id="29"/>
      <w:bookmarkEnd w:id="30"/>
      <w:bookmarkEnd w:id="31"/>
      <w:bookmarkEnd w:id="32"/>
      <w:bookmarkEnd w:id="33"/>
      <w:bookmarkEnd w:id="34"/>
      <w:bookmarkEnd w:id="35"/>
      <w:bookmarkEnd w:id="36"/>
      <w:bookmarkEnd w:id="37"/>
      <w:bookmarkEnd w:id="38"/>
      <w:bookmarkEnd w:id="39"/>
    </w:p>
    <w:p w14:paraId="13C498E9">
      <w:pPr>
        <w:pStyle w:val="4"/>
        <w:keepNext w:val="0"/>
        <w:keepLines w:val="0"/>
        <w:pageBreakBefore w:val="0"/>
        <w:widowControl w:val="0"/>
        <w:wordWrap/>
        <w:overflowPunct/>
        <w:topLinePunct w:val="0"/>
        <w:bidi w:val="0"/>
        <w:spacing w:before="0" w:after="0" w:line="288" w:lineRule="auto"/>
        <w:rPr>
          <w:rFonts w:hint="eastAsia" w:ascii="仿宋_GB2312" w:hAnsi="仿宋_GB2312" w:eastAsia="仿宋_GB2312" w:cs="仿宋_GB2312"/>
          <w:highlight w:val="none"/>
        </w:rPr>
      </w:pPr>
      <w:bookmarkStart w:id="40" w:name="_Toc520356144"/>
      <w:bookmarkStart w:id="41" w:name="_Toc32189"/>
      <w:bookmarkStart w:id="42" w:name="_Toc17376"/>
      <w:bookmarkStart w:id="43" w:name="_Toc5999"/>
      <w:bookmarkStart w:id="44" w:name="_Toc515647758"/>
      <w:bookmarkStart w:id="45" w:name="_Toc16352"/>
      <w:bookmarkStart w:id="46" w:name="_Toc19622"/>
      <w:bookmarkStart w:id="47" w:name="_Toc9357"/>
      <w:bookmarkStart w:id="48" w:name="_Toc14500"/>
      <w:bookmarkStart w:id="49" w:name="_Toc6990"/>
      <w:bookmarkStart w:id="50" w:name="_Toc20172"/>
      <w:bookmarkStart w:id="51" w:name="_Toc568"/>
      <w:bookmarkStart w:id="52" w:name="_Toc28061"/>
      <w:bookmarkStart w:id="53" w:name="_Toc11245"/>
      <w:bookmarkStart w:id="54" w:name="_Toc32623"/>
      <w:r>
        <w:rPr>
          <w:rFonts w:hint="eastAsia" w:ascii="仿宋_GB2312" w:hAnsi="仿宋_GB2312" w:eastAsia="仿宋_GB2312" w:cs="仿宋_GB2312"/>
          <w:highlight w:val="none"/>
        </w:rPr>
        <w:t>1.采购人、采购代理机构及</w:t>
      </w:r>
      <w:bookmarkEnd w:id="40"/>
      <w:r>
        <w:rPr>
          <w:rFonts w:hint="eastAsia" w:ascii="仿宋_GB2312" w:hAnsi="仿宋_GB2312" w:eastAsia="仿宋_GB2312" w:cs="仿宋_GB2312"/>
          <w:highlight w:val="none"/>
        </w:rPr>
        <w:t>投标人</w:t>
      </w:r>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2BEAC202">
      <w:pPr>
        <w:keepNext w:val="0"/>
        <w:keepLines w:val="0"/>
        <w:pageBreakBefore w:val="0"/>
        <w:widowControl w:val="0"/>
        <w:numPr>
          <w:ilvl w:val="1"/>
          <w:numId w:val="3"/>
        </w:numPr>
        <w:tabs>
          <w:tab w:val="left" w:pos="0"/>
        </w:tabs>
        <w:wordWrap/>
        <w:overflowPunct/>
        <w:topLinePunct w:val="0"/>
        <w:bidi w:val="0"/>
        <w:spacing w:line="288" w:lineRule="auto"/>
        <w:ind w:hanging="898"/>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采购人：是指依法开展政府采购活动的国家机关、事业单位、团体组织。</w:t>
      </w:r>
    </w:p>
    <w:p w14:paraId="7AA73F03">
      <w:pPr>
        <w:keepNext w:val="0"/>
        <w:keepLines w:val="0"/>
        <w:pageBreakBefore w:val="0"/>
        <w:widowControl w:val="0"/>
        <w:tabs>
          <w:tab w:val="left" w:pos="0"/>
        </w:tabs>
        <w:wordWrap/>
        <w:overflowPunct/>
        <w:topLinePunct w:val="0"/>
        <w:bidi w:val="0"/>
        <w:spacing w:line="288" w:lineRule="auto"/>
        <w:ind w:left="9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本项目的采购人见</w:t>
      </w:r>
      <w:r>
        <w:rPr>
          <w:rFonts w:hint="eastAsia" w:ascii="仿宋_GB2312" w:hAnsi="仿宋_GB2312" w:eastAsia="仿宋_GB2312" w:cs="仿宋_GB2312"/>
          <w:sz w:val="24"/>
          <w:highlight w:val="none"/>
          <w:u w:val="single" w:color="000000"/>
        </w:rPr>
        <w:t>投标人须知资料表</w:t>
      </w:r>
      <w:r>
        <w:rPr>
          <w:rFonts w:hint="eastAsia" w:ascii="仿宋_GB2312" w:hAnsi="仿宋_GB2312" w:eastAsia="仿宋_GB2312" w:cs="仿宋_GB2312"/>
          <w:sz w:val="24"/>
          <w:highlight w:val="none"/>
        </w:rPr>
        <w:t>。</w:t>
      </w:r>
    </w:p>
    <w:p w14:paraId="2B36B0F2">
      <w:pPr>
        <w:keepNext w:val="0"/>
        <w:keepLines w:val="0"/>
        <w:pageBreakBefore w:val="0"/>
        <w:widowControl w:val="0"/>
        <w:numPr>
          <w:ilvl w:val="1"/>
          <w:numId w:val="3"/>
        </w:numPr>
        <w:tabs>
          <w:tab w:val="left" w:pos="0"/>
        </w:tabs>
        <w:wordWrap/>
        <w:overflowPunct/>
        <w:topLinePunct w:val="0"/>
        <w:bidi w:val="0"/>
        <w:spacing w:line="288" w:lineRule="auto"/>
        <w:ind w:hanging="898"/>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采购代理机构：是指在集中采购机构或从事采购代理业务的社会中介机构。本项目的采购代理机构见</w:t>
      </w:r>
      <w:r>
        <w:rPr>
          <w:rFonts w:hint="eastAsia" w:ascii="仿宋_GB2312" w:hAnsi="仿宋_GB2312" w:eastAsia="仿宋_GB2312" w:cs="仿宋_GB2312"/>
          <w:sz w:val="24"/>
          <w:highlight w:val="none"/>
          <w:u w:val="single" w:color="000000"/>
        </w:rPr>
        <w:t>投标人须知资料表</w:t>
      </w:r>
      <w:r>
        <w:rPr>
          <w:rFonts w:hint="eastAsia" w:ascii="仿宋_GB2312" w:hAnsi="仿宋_GB2312" w:eastAsia="仿宋_GB2312" w:cs="仿宋_GB2312"/>
          <w:sz w:val="24"/>
          <w:highlight w:val="none"/>
        </w:rPr>
        <w:t>。</w:t>
      </w:r>
    </w:p>
    <w:p w14:paraId="174FB7F9">
      <w:pPr>
        <w:keepNext w:val="0"/>
        <w:keepLines w:val="0"/>
        <w:pageBreakBefore w:val="0"/>
        <w:widowControl w:val="0"/>
        <w:numPr>
          <w:ilvl w:val="1"/>
          <w:numId w:val="3"/>
        </w:numPr>
        <w:wordWrap/>
        <w:overflowPunct/>
        <w:topLinePunct w:val="0"/>
        <w:bidi w:val="0"/>
        <w:spacing w:line="288" w:lineRule="auto"/>
        <w:ind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投标人：是指向采购人提供货物、工程或者服务的法人、非法人组织或者自然人。本项目的投标人及其投标货物须满足以下条件：</w:t>
      </w:r>
    </w:p>
    <w:p w14:paraId="53CC22CB">
      <w:pPr>
        <w:keepNext w:val="0"/>
        <w:keepLines w:val="0"/>
        <w:pageBreakBefore w:val="0"/>
        <w:widowControl w:val="0"/>
        <w:wordWrap/>
        <w:overflowPunct/>
        <w:topLinePunct w:val="0"/>
        <w:bidi w:val="0"/>
        <w:spacing w:line="288" w:lineRule="auto"/>
        <w:ind w:left="850" w:hanging="849" w:hangingChars="354"/>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1.3.1</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在中华人民共和国境内注册，能够独立承担民事责任，有生产或供应能力的本国供应商。</w:t>
      </w:r>
    </w:p>
    <w:p w14:paraId="319291B0">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1.3.2具备《中华人民共和国政府采购法》第二十二条关于供应商条件的规定，遵守本项目采购人本级和上级财政部门政府采购的有关规定。</w:t>
      </w:r>
    </w:p>
    <w:p w14:paraId="61A14EC6">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1.3.3以采购代理机构认可的方式获得了本项目的招标文件。</w:t>
      </w:r>
    </w:p>
    <w:p w14:paraId="26D66618">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1.3.4提供符合</w:t>
      </w:r>
      <w:r>
        <w:rPr>
          <w:rFonts w:hint="eastAsia" w:ascii="仿宋_GB2312" w:hAnsi="仿宋_GB2312" w:eastAsia="仿宋_GB2312" w:cs="仿宋_GB2312"/>
          <w:sz w:val="24"/>
          <w:highlight w:val="none"/>
          <w:u w:val="single" w:color="000000"/>
        </w:rPr>
        <w:t>投标人须知资料表</w:t>
      </w:r>
      <w:r>
        <w:rPr>
          <w:rFonts w:hint="eastAsia" w:ascii="仿宋_GB2312" w:hAnsi="仿宋_GB2312" w:eastAsia="仿宋_GB2312" w:cs="仿宋_GB2312"/>
          <w:sz w:val="24"/>
          <w:highlight w:val="none"/>
        </w:rPr>
        <w:t>中规定的资格证明文件。</w:t>
      </w:r>
    </w:p>
    <w:p w14:paraId="15F48683">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1.3.5若</w:t>
      </w:r>
      <w:r>
        <w:rPr>
          <w:rFonts w:hint="eastAsia" w:ascii="仿宋_GB2312" w:hAnsi="仿宋_GB2312" w:eastAsia="仿宋_GB2312" w:cs="仿宋_GB2312"/>
          <w:sz w:val="24"/>
          <w:highlight w:val="none"/>
          <w:u w:val="single" w:color="000000"/>
        </w:rPr>
        <w:t>投标人须知资料表</w:t>
      </w:r>
      <w:r>
        <w:rPr>
          <w:rFonts w:hint="eastAsia" w:ascii="仿宋_GB2312" w:hAnsi="仿宋_GB2312" w:eastAsia="仿宋_GB2312" w:cs="仿宋_GB2312"/>
          <w:sz w:val="24"/>
          <w:highlight w:val="none"/>
        </w:rPr>
        <w:t>中写明允许采购进口产品，投标人应保证所投产品可履行合法报通关手续进入中国关境内。</w:t>
      </w:r>
    </w:p>
    <w:p w14:paraId="110A4DA1">
      <w:pPr>
        <w:keepNext w:val="0"/>
        <w:keepLines w:val="0"/>
        <w:pageBreakBefore w:val="0"/>
        <w:widowControl w:val="0"/>
        <w:wordWrap/>
        <w:overflowPunct/>
        <w:topLinePunct w:val="0"/>
        <w:bidi w:val="0"/>
        <w:spacing w:line="288" w:lineRule="auto"/>
        <w:ind w:left="898" w:leftChars="428"/>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若</w:t>
      </w:r>
      <w:r>
        <w:rPr>
          <w:rFonts w:hint="eastAsia" w:ascii="仿宋_GB2312" w:hAnsi="仿宋_GB2312" w:eastAsia="仿宋_GB2312" w:cs="仿宋_GB2312"/>
          <w:sz w:val="24"/>
          <w:highlight w:val="none"/>
          <w:u w:val="single" w:color="000000"/>
        </w:rPr>
        <w:t>投标人须知资料表</w:t>
      </w:r>
      <w:r>
        <w:rPr>
          <w:rFonts w:hint="eastAsia" w:ascii="仿宋_GB2312" w:hAnsi="仿宋_GB2312" w:eastAsia="仿宋_GB2312" w:cs="仿宋_GB2312"/>
          <w:sz w:val="24"/>
          <w:highlight w:val="none"/>
        </w:rPr>
        <w:t>中未写明允许采购进口产品，如投标人所投产品为进口产品，其投标将被认定为</w:t>
      </w:r>
      <w:r>
        <w:rPr>
          <w:rFonts w:hint="eastAsia" w:ascii="仿宋_GB2312" w:hAnsi="仿宋_GB2312" w:eastAsia="仿宋_GB2312" w:cs="仿宋_GB2312"/>
          <w:b/>
          <w:bCs/>
          <w:sz w:val="24"/>
          <w:highlight w:val="none"/>
        </w:rPr>
        <w:t>投标无效</w:t>
      </w:r>
      <w:r>
        <w:rPr>
          <w:rFonts w:hint="eastAsia" w:ascii="仿宋_GB2312" w:hAnsi="仿宋_GB2312" w:eastAsia="仿宋_GB2312" w:cs="仿宋_GB2312"/>
          <w:sz w:val="24"/>
          <w:highlight w:val="none"/>
        </w:rPr>
        <w:t>。</w:t>
      </w:r>
    </w:p>
    <w:p w14:paraId="2ECC2FA1">
      <w:pPr>
        <w:keepNext w:val="0"/>
        <w:keepLines w:val="0"/>
        <w:pageBreakBefore w:val="0"/>
        <w:widowControl w:val="0"/>
        <w:wordWrap/>
        <w:overflowPunct/>
        <w:topLinePunct w:val="0"/>
        <w:bidi w:val="0"/>
        <w:spacing w:line="288" w:lineRule="auto"/>
        <w:ind w:left="840" w:hanging="840" w:hangingChars="35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1.3.6若</w:t>
      </w:r>
      <w:r>
        <w:rPr>
          <w:rFonts w:hint="eastAsia" w:ascii="仿宋_GB2312" w:hAnsi="仿宋_GB2312" w:eastAsia="仿宋_GB2312" w:cs="仿宋_GB2312"/>
          <w:sz w:val="24"/>
          <w:highlight w:val="none"/>
          <w:u w:val="single" w:color="000000"/>
        </w:rPr>
        <w:t>投标人须知资料表</w:t>
      </w:r>
      <w:r>
        <w:rPr>
          <w:rFonts w:hint="eastAsia" w:ascii="仿宋_GB2312" w:hAnsi="仿宋_GB2312" w:eastAsia="仿宋_GB2312" w:cs="仿宋_GB2312"/>
          <w:sz w:val="24"/>
          <w:highlight w:val="none"/>
        </w:rPr>
        <w:t>中写明专门面向中小企业采购的，如投标人为非中小企业且所投产品为非中小企业产品，其投标将被认定为</w:t>
      </w:r>
      <w:r>
        <w:rPr>
          <w:rFonts w:hint="eastAsia" w:ascii="仿宋_GB2312" w:hAnsi="仿宋_GB2312" w:eastAsia="仿宋_GB2312" w:cs="仿宋_GB2312"/>
          <w:b/>
          <w:bCs/>
          <w:sz w:val="24"/>
          <w:highlight w:val="none"/>
        </w:rPr>
        <w:t>投标无效</w:t>
      </w:r>
      <w:r>
        <w:rPr>
          <w:rFonts w:hint="eastAsia" w:ascii="仿宋_GB2312" w:hAnsi="仿宋_GB2312" w:eastAsia="仿宋_GB2312" w:cs="仿宋_GB2312"/>
          <w:sz w:val="24"/>
          <w:highlight w:val="none"/>
        </w:rPr>
        <w:t>。</w:t>
      </w:r>
    </w:p>
    <w:p w14:paraId="1412A7AD">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1.4如</w:t>
      </w:r>
      <w:r>
        <w:rPr>
          <w:rFonts w:hint="eastAsia" w:ascii="仿宋_GB2312" w:hAnsi="仿宋_GB2312" w:eastAsia="仿宋_GB2312" w:cs="仿宋_GB2312"/>
          <w:sz w:val="24"/>
          <w:highlight w:val="none"/>
          <w:u w:val="single" w:color="000000"/>
        </w:rPr>
        <w:t>投标人须知资料表</w:t>
      </w:r>
      <w:r>
        <w:rPr>
          <w:rFonts w:hint="eastAsia" w:ascii="仿宋_GB2312" w:hAnsi="仿宋_GB2312" w:eastAsia="仿宋_GB2312" w:cs="仿宋_GB2312"/>
          <w:sz w:val="24"/>
          <w:highlight w:val="none"/>
        </w:rPr>
        <w:t>中允许联合体投标，对联合体规定如下：</w:t>
      </w:r>
    </w:p>
    <w:p w14:paraId="63330835">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1.4.1两个以上供应商可以组成一个投标联合体，以一个投标人的身份投标。</w:t>
      </w:r>
    </w:p>
    <w:p w14:paraId="15861D5B">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1.4.2联合体各方均应符合《中华人民共和国政府采购法》第二十二条规定的条件。</w:t>
      </w:r>
    </w:p>
    <w:p w14:paraId="365701D0">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1.4.3采购人根据采购项目对投标人的特殊要求，联合体中至少应当有一方符合相关规定。</w:t>
      </w:r>
    </w:p>
    <w:p w14:paraId="28619708">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1.4.4联合体各方应签订共同投标协议，明确约定联合体各方承担的工作和相应的责任，并将共同投标协议连同作为投标文件第一部分的内容提交。</w:t>
      </w:r>
    </w:p>
    <w:p w14:paraId="676D42CB">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1.4.5大中型企业、其他自然人、法人或者非法人组织与小型、微型企业组成联合体共同参加投标，共同投标协议中应写明小型、微型企业的协议合同金额占到共同投标协议投标总金额的比例。</w:t>
      </w:r>
    </w:p>
    <w:p w14:paraId="51C16D3E">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1.4.6联合体中有同类资质的供应商按照联合体分工承担相同工作的，按照较低的资质等级确定联合体的资质等级。</w:t>
      </w:r>
    </w:p>
    <w:p w14:paraId="21789DE2">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1.4.7以联合体形式参加政府采购活动的，联合体各方不得再单独参加或者与其他供应商另外组成联合体参加本项目投标，否则相关投标将被认定为</w:t>
      </w:r>
      <w:r>
        <w:rPr>
          <w:rFonts w:hint="eastAsia" w:ascii="仿宋_GB2312" w:hAnsi="仿宋_GB2312" w:eastAsia="仿宋_GB2312" w:cs="仿宋_GB2312"/>
          <w:b/>
          <w:bCs/>
          <w:sz w:val="24"/>
          <w:highlight w:val="none"/>
        </w:rPr>
        <w:t>投标无效</w:t>
      </w:r>
      <w:r>
        <w:rPr>
          <w:rFonts w:hint="eastAsia" w:ascii="仿宋_GB2312" w:hAnsi="仿宋_GB2312" w:eastAsia="仿宋_GB2312" w:cs="仿宋_GB2312"/>
          <w:sz w:val="24"/>
          <w:highlight w:val="none"/>
        </w:rPr>
        <w:t>。</w:t>
      </w:r>
    </w:p>
    <w:p w14:paraId="7BC60F97">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1.4.8对联合体投标的其他资格要求见</w:t>
      </w:r>
      <w:r>
        <w:rPr>
          <w:rFonts w:hint="eastAsia" w:ascii="仿宋_GB2312" w:hAnsi="仿宋_GB2312" w:eastAsia="仿宋_GB2312" w:cs="仿宋_GB2312"/>
          <w:sz w:val="24"/>
          <w:highlight w:val="none"/>
          <w:u w:val="single" w:color="000000"/>
        </w:rPr>
        <w:t>投标人须知资料表</w:t>
      </w:r>
      <w:r>
        <w:rPr>
          <w:rFonts w:hint="eastAsia" w:ascii="仿宋_GB2312" w:hAnsi="仿宋_GB2312" w:eastAsia="仿宋_GB2312" w:cs="仿宋_GB2312"/>
          <w:sz w:val="24"/>
          <w:highlight w:val="none"/>
        </w:rPr>
        <w:t>。</w:t>
      </w:r>
    </w:p>
    <w:p w14:paraId="06F8D0D6">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1.5单位负责人为同一人或者存在直接控股、管理关系的不同供应商，其相关投标将被认定为</w:t>
      </w:r>
      <w:r>
        <w:rPr>
          <w:rFonts w:hint="eastAsia" w:ascii="仿宋_GB2312" w:hAnsi="仿宋_GB2312" w:eastAsia="仿宋_GB2312" w:cs="仿宋_GB2312"/>
          <w:b/>
          <w:bCs/>
          <w:sz w:val="24"/>
          <w:highlight w:val="none"/>
        </w:rPr>
        <w:t>投标无效</w:t>
      </w:r>
      <w:r>
        <w:rPr>
          <w:rFonts w:hint="eastAsia" w:ascii="仿宋_GB2312" w:hAnsi="仿宋_GB2312" w:eastAsia="仿宋_GB2312" w:cs="仿宋_GB2312"/>
          <w:sz w:val="24"/>
          <w:highlight w:val="none"/>
        </w:rPr>
        <w:t>。</w:t>
      </w:r>
    </w:p>
    <w:p w14:paraId="5FDDD40C">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1.6为本项目提供过整体设计、规范编制或者项目管理、监理、检测等服务的供应商，不得再参加本项目上述服务以外的其他采购活动。否则其投标将被认定为</w:t>
      </w:r>
      <w:r>
        <w:rPr>
          <w:rFonts w:hint="eastAsia" w:ascii="仿宋_GB2312" w:hAnsi="仿宋_GB2312" w:eastAsia="仿宋_GB2312" w:cs="仿宋_GB2312"/>
          <w:b/>
          <w:bCs/>
          <w:sz w:val="24"/>
          <w:highlight w:val="none"/>
        </w:rPr>
        <w:t>投标无效</w:t>
      </w:r>
      <w:r>
        <w:rPr>
          <w:rFonts w:hint="eastAsia" w:ascii="仿宋_GB2312" w:hAnsi="仿宋_GB2312" w:eastAsia="仿宋_GB2312" w:cs="仿宋_GB2312"/>
          <w:sz w:val="24"/>
          <w:highlight w:val="none"/>
        </w:rPr>
        <w:t>。</w:t>
      </w:r>
    </w:p>
    <w:p w14:paraId="0D907E87">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1.7</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投标人在投标过程中不得向采购人提供、给予任何有价值的物品，影响其正常决策行为。一经发现，其将被认定为</w:t>
      </w:r>
      <w:r>
        <w:rPr>
          <w:rFonts w:hint="eastAsia" w:ascii="仿宋_GB2312" w:hAnsi="仿宋_GB2312" w:eastAsia="仿宋_GB2312" w:cs="仿宋_GB2312"/>
          <w:b/>
          <w:bCs/>
          <w:sz w:val="24"/>
          <w:highlight w:val="none"/>
        </w:rPr>
        <w:t>投标无效</w:t>
      </w:r>
      <w:r>
        <w:rPr>
          <w:rFonts w:hint="eastAsia" w:ascii="仿宋_GB2312" w:hAnsi="仿宋_GB2312" w:eastAsia="仿宋_GB2312" w:cs="仿宋_GB2312"/>
          <w:sz w:val="24"/>
          <w:highlight w:val="none"/>
        </w:rPr>
        <w:t>。</w:t>
      </w:r>
    </w:p>
    <w:p w14:paraId="7C085EDE">
      <w:pPr>
        <w:pStyle w:val="4"/>
        <w:keepNext w:val="0"/>
        <w:keepLines w:val="0"/>
        <w:pageBreakBefore w:val="0"/>
        <w:widowControl w:val="0"/>
        <w:wordWrap/>
        <w:overflowPunct/>
        <w:topLinePunct w:val="0"/>
        <w:bidi w:val="0"/>
        <w:spacing w:before="0" w:after="0" w:line="288" w:lineRule="auto"/>
        <w:rPr>
          <w:rFonts w:hint="eastAsia" w:ascii="仿宋_GB2312" w:hAnsi="仿宋_GB2312" w:eastAsia="仿宋_GB2312" w:cs="仿宋_GB2312"/>
          <w:highlight w:val="none"/>
        </w:rPr>
      </w:pPr>
      <w:bookmarkStart w:id="55" w:name="_Toc8874"/>
      <w:bookmarkStart w:id="56" w:name="_Toc515647759"/>
      <w:bookmarkStart w:id="57" w:name="_Toc21316"/>
      <w:bookmarkStart w:id="58" w:name="_Toc25043"/>
      <w:bookmarkStart w:id="59" w:name="_Toc5286"/>
      <w:bookmarkStart w:id="60" w:name="_Toc12139"/>
      <w:bookmarkStart w:id="61" w:name="_Toc14658"/>
      <w:bookmarkStart w:id="62" w:name="_Toc7361"/>
      <w:bookmarkStart w:id="63" w:name="_Toc4315"/>
      <w:bookmarkStart w:id="64" w:name="_Toc28178"/>
      <w:bookmarkStart w:id="65" w:name="_Toc8744"/>
      <w:bookmarkStart w:id="66" w:name="_Toc14117"/>
      <w:bookmarkStart w:id="67" w:name="_Toc17808"/>
      <w:bookmarkStart w:id="68" w:name="_Toc4322"/>
      <w:r>
        <w:rPr>
          <w:rFonts w:hint="eastAsia" w:ascii="仿宋_GB2312" w:hAnsi="仿宋_GB2312" w:eastAsia="仿宋_GB2312" w:cs="仿宋_GB2312"/>
          <w:highlight w:val="none"/>
        </w:rPr>
        <w:t>2.资金来源</w:t>
      </w:r>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457EECC9">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2.1</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本项目的采购人已获得足以支付本次招标后所签订的合同项下的资金（包括财政性资金和本项目采购中无法与财政性资金分割的非财政性资金）。</w:t>
      </w:r>
    </w:p>
    <w:p w14:paraId="68DBC2AB">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2.2项目预算金额和分项或分包最高限价</w:t>
      </w:r>
      <w:r>
        <w:rPr>
          <w:rFonts w:hint="eastAsia" w:ascii="仿宋_GB2312" w:hAnsi="仿宋_GB2312" w:eastAsia="仿宋_GB2312" w:cs="仿宋_GB2312"/>
          <w:sz w:val="24"/>
          <w:highlight w:val="none"/>
          <w:u w:val="single" w:color="000000"/>
        </w:rPr>
        <w:t>见投标人须知资料表</w:t>
      </w:r>
      <w:r>
        <w:rPr>
          <w:rFonts w:hint="eastAsia" w:ascii="仿宋_GB2312" w:hAnsi="仿宋_GB2312" w:eastAsia="仿宋_GB2312" w:cs="仿宋_GB2312"/>
          <w:sz w:val="24"/>
          <w:highlight w:val="none"/>
        </w:rPr>
        <w:t>。</w:t>
      </w:r>
    </w:p>
    <w:p w14:paraId="38B3E34A">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2.3投标人报价超过招标文件规定的预算金额或者分项、分包最高限价的，其投标将被认定为</w:t>
      </w:r>
      <w:r>
        <w:rPr>
          <w:rFonts w:hint="eastAsia" w:ascii="仿宋_GB2312" w:hAnsi="仿宋_GB2312" w:eastAsia="仿宋_GB2312" w:cs="仿宋_GB2312"/>
          <w:b/>
          <w:bCs/>
          <w:sz w:val="24"/>
          <w:highlight w:val="none"/>
        </w:rPr>
        <w:t>投标无效</w:t>
      </w:r>
      <w:r>
        <w:rPr>
          <w:rFonts w:hint="eastAsia" w:ascii="仿宋_GB2312" w:hAnsi="仿宋_GB2312" w:eastAsia="仿宋_GB2312" w:cs="仿宋_GB2312"/>
          <w:sz w:val="24"/>
          <w:highlight w:val="none"/>
        </w:rPr>
        <w:t>。</w:t>
      </w:r>
    </w:p>
    <w:p w14:paraId="6BF49825">
      <w:pPr>
        <w:pStyle w:val="4"/>
        <w:keepNext w:val="0"/>
        <w:keepLines w:val="0"/>
        <w:pageBreakBefore w:val="0"/>
        <w:widowControl w:val="0"/>
        <w:wordWrap/>
        <w:overflowPunct/>
        <w:topLinePunct w:val="0"/>
        <w:bidi w:val="0"/>
        <w:spacing w:before="0" w:after="0" w:line="288" w:lineRule="auto"/>
        <w:rPr>
          <w:rFonts w:hint="eastAsia" w:ascii="仿宋_GB2312" w:hAnsi="仿宋_GB2312" w:eastAsia="仿宋_GB2312" w:cs="仿宋_GB2312"/>
          <w:highlight w:val="none"/>
        </w:rPr>
      </w:pPr>
      <w:bookmarkStart w:id="69" w:name="_Toc520356145"/>
      <w:bookmarkStart w:id="70" w:name="_Toc17722"/>
      <w:bookmarkStart w:id="71" w:name="_Toc17123"/>
      <w:bookmarkStart w:id="72" w:name="_Toc31923"/>
      <w:bookmarkStart w:id="73" w:name="_Toc12066"/>
      <w:bookmarkStart w:id="74" w:name="_Toc515647760"/>
      <w:bookmarkStart w:id="75" w:name="_Toc245"/>
      <w:bookmarkStart w:id="76" w:name="_Toc13828"/>
      <w:bookmarkStart w:id="77" w:name="_Toc15936"/>
      <w:bookmarkStart w:id="78" w:name="_Toc13235"/>
      <w:bookmarkStart w:id="79" w:name="_Toc26702"/>
      <w:bookmarkStart w:id="80" w:name="_Toc20548"/>
      <w:bookmarkStart w:id="81" w:name="_Toc25643"/>
      <w:bookmarkStart w:id="82" w:name="_Toc26014"/>
      <w:bookmarkStart w:id="83" w:name="_Toc20526"/>
      <w:r>
        <w:rPr>
          <w:rFonts w:hint="eastAsia" w:ascii="仿宋_GB2312" w:hAnsi="仿宋_GB2312" w:eastAsia="仿宋_GB2312" w:cs="仿宋_GB2312"/>
          <w:highlight w:val="none"/>
        </w:rPr>
        <w:t>3.投标费用</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0062EFB4">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不论投标的结果如何，投标人应承担所有与准备和参加投标有关的费用。</w:t>
      </w:r>
    </w:p>
    <w:p w14:paraId="1DBDCC8D">
      <w:pPr>
        <w:pStyle w:val="4"/>
        <w:keepNext w:val="0"/>
        <w:keepLines w:val="0"/>
        <w:pageBreakBefore w:val="0"/>
        <w:widowControl w:val="0"/>
        <w:wordWrap/>
        <w:overflowPunct/>
        <w:topLinePunct w:val="0"/>
        <w:bidi w:val="0"/>
        <w:spacing w:before="0" w:after="0" w:line="288" w:lineRule="auto"/>
        <w:rPr>
          <w:rFonts w:hint="eastAsia" w:ascii="仿宋_GB2312" w:hAnsi="仿宋_GB2312" w:eastAsia="仿宋_GB2312" w:cs="仿宋_GB2312"/>
          <w:highlight w:val="none"/>
        </w:rPr>
      </w:pPr>
      <w:bookmarkStart w:id="84" w:name="_Toc22881"/>
      <w:bookmarkStart w:id="85" w:name="_Toc6116"/>
      <w:bookmarkStart w:id="86" w:name="_Toc3200"/>
      <w:bookmarkStart w:id="87" w:name="_Toc24113"/>
      <w:bookmarkStart w:id="88" w:name="_Toc20058"/>
      <w:bookmarkStart w:id="89" w:name="_Toc3354"/>
      <w:bookmarkStart w:id="90" w:name="_Toc18730"/>
      <w:bookmarkStart w:id="91" w:name="_Toc32665"/>
      <w:bookmarkStart w:id="92" w:name="_Toc4463"/>
      <w:bookmarkStart w:id="93" w:name="_Toc8850"/>
      <w:bookmarkStart w:id="94" w:name="_Toc28041"/>
      <w:bookmarkStart w:id="95" w:name="_Toc515647761"/>
      <w:bookmarkStart w:id="96" w:name="_Toc25102"/>
      <w:bookmarkStart w:id="97" w:name="_Toc31798"/>
      <w:r>
        <w:rPr>
          <w:rFonts w:hint="eastAsia" w:ascii="仿宋_GB2312" w:hAnsi="仿宋_GB2312" w:eastAsia="仿宋_GB2312" w:cs="仿宋_GB2312"/>
          <w:highlight w:val="none"/>
        </w:rPr>
        <w:t>4.适用法律</w:t>
      </w:r>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48A0C5A6">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本项目采购人、采购代理机构、投标人、评标委员会的相关行为均受《中华人民共和国政府采购法》、《中华人民共和国政府采购法实施条例》及本项目本级和上级财政部门政府采购有关规定的约束，其权利受到上述法律法规的保护。</w:t>
      </w:r>
    </w:p>
    <w:p w14:paraId="6CE5093B">
      <w:pPr>
        <w:pStyle w:val="3"/>
        <w:keepNext w:val="0"/>
        <w:keepLines w:val="0"/>
        <w:pageBreakBefore w:val="0"/>
        <w:widowControl w:val="0"/>
        <w:wordWrap/>
        <w:overflowPunct/>
        <w:topLinePunct w:val="0"/>
        <w:bidi w:val="0"/>
        <w:spacing w:before="0" w:line="288" w:lineRule="auto"/>
        <w:ind w:left="1079" w:leftChars="257" w:hanging="540"/>
        <w:rPr>
          <w:rFonts w:hint="eastAsia" w:ascii="仿宋_GB2312" w:hAnsi="仿宋_GB2312" w:eastAsia="仿宋_GB2312" w:cs="仿宋_GB2312"/>
          <w:sz w:val="28"/>
          <w:highlight w:val="none"/>
        </w:rPr>
      </w:pPr>
      <w:bookmarkStart w:id="98" w:name="_Toc30891"/>
      <w:bookmarkStart w:id="99" w:name="_Toc1810"/>
      <w:bookmarkStart w:id="100" w:name="_Toc216582806"/>
      <w:bookmarkStart w:id="101" w:name="_Toc4063"/>
      <w:bookmarkStart w:id="102" w:name="_Toc520356146"/>
      <w:bookmarkStart w:id="103" w:name="_Toc515647762"/>
      <w:bookmarkStart w:id="104" w:name="_Toc6944"/>
      <w:bookmarkStart w:id="105" w:name="_Toc1733"/>
      <w:bookmarkStart w:id="106" w:name="_Toc21566"/>
      <w:bookmarkStart w:id="107" w:name="_Toc19184"/>
      <w:bookmarkStart w:id="108" w:name="_Toc4365"/>
      <w:bookmarkStart w:id="109" w:name="_Toc10643"/>
      <w:bookmarkStart w:id="110" w:name="_Toc28572"/>
      <w:bookmarkStart w:id="111" w:name="_Toc17538"/>
      <w:bookmarkStart w:id="112" w:name="_Toc8117"/>
      <w:r>
        <w:rPr>
          <w:rFonts w:hint="eastAsia" w:ascii="仿宋_GB2312" w:hAnsi="仿宋_GB2312" w:eastAsia="仿宋_GB2312" w:cs="仿宋_GB2312"/>
          <w:sz w:val="28"/>
          <w:highlight w:val="none"/>
        </w:rPr>
        <w:t>二招标文件</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6EBC396A">
      <w:pPr>
        <w:pStyle w:val="6"/>
        <w:keepNext w:val="0"/>
        <w:keepLines w:val="0"/>
        <w:pageBreakBefore w:val="0"/>
        <w:widowControl w:val="0"/>
        <w:wordWrap/>
        <w:overflowPunct/>
        <w:topLinePunct w:val="0"/>
        <w:bidi w:val="0"/>
        <w:spacing w:line="288" w:lineRule="auto"/>
        <w:rPr>
          <w:rFonts w:hint="eastAsia" w:ascii="仿宋_GB2312" w:hAnsi="仿宋_GB2312" w:eastAsia="仿宋_GB2312" w:cs="仿宋_GB2312"/>
          <w:highlight w:val="none"/>
        </w:rPr>
      </w:pPr>
    </w:p>
    <w:p w14:paraId="48A7326D">
      <w:pPr>
        <w:pStyle w:val="4"/>
        <w:keepNext w:val="0"/>
        <w:keepLines w:val="0"/>
        <w:pageBreakBefore w:val="0"/>
        <w:widowControl w:val="0"/>
        <w:wordWrap/>
        <w:overflowPunct/>
        <w:topLinePunct w:val="0"/>
        <w:bidi w:val="0"/>
        <w:spacing w:before="0" w:after="0" w:line="288" w:lineRule="auto"/>
        <w:rPr>
          <w:rFonts w:hint="eastAsia" w:ascii="仿宋_GB2312" w:hAnsi="仿宋_GB2312" w:eastAsia="仿宋_GB2312" w:cs="仿宋_GB2312"/>
          <w:highlight w:val="none"/>
        </w:rPr>
      </w:pPr>
      <w:bookmarkStart w:id="113" w:name="_Toc520356147"/>
      <w:bookmarkStart w:id="114" w:name="_Toc1617"/>
      <w:bookmarkStart w:id="115" w:name="_Toc22748"/>
      <w:bookmarkStart w:id="116" w:name="_Toc515647763"/>
      <w:bookmarkStart w:id="117" w:name="_Toc13289"/>
      <w:bookmarkStart w:id="118" w:name="_Toc5326"/>
      <w:bookmarkStart w:id="119" w:name="_Toc14637"/>
      <w:bookmarkStart w:id="120" w:name="_Toc14084"/>
      <w:bookmarkStart w:id="121" w:name="_Toc25743"/>
      <w:bookmarkStart w:id="122" w:name="_Toc481"/>
      <w:bookmarkStart w:id="123" w:name="_Toc28647"/>
      <w:bookmarkStart w:id="124" w:name="_Toc4671"/>
      <w:bookmarkStart w:id="125" w:name="_Toc17225"/>
      <w:bookmarkStart w:id="126" w:name="_Toc6246"/>
      <w:bookmarkStart w:id="127" w:name="_Toc11582"/>
      <w:r>
        <w:rPr>
          <w:rFonts w:hint="eastAsia" w:ascii="仿宋_GB2312" w:hAnsi="仿宋_GB2312" w:eastAsia="仿宋_GB2312" w:cs="仿宋_GB2312"/>
          <w:highlight w:val="none"/>
        </w:rPr>
        <w:t>5.招标文件构成</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61214707">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5.1</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招标文件分为三册共7章，内容如下：</w:t>
      </w:r>
    </w:p>
    <w:p w14:paraId="4BA4FE91">
      <w:pPr>
        <w:keepNext w:val="0"/>
        <w:keepLines w:val="0"/>
        <w:pageBreakBefore w:val="0"/>
        <w:widowControl w:val="0"/>
        <w:wordWrap/>
        <w:overflowPunct/>
        <w:topLinePunct w:val="0"/>
        <w:bidi w:val="0"/>
        <w:spacing w:line="288" w:lineRule="auto"/>
        <w:ind w:left="1078" w:leftChars="428" w:hanging="180" w:hangingChars="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第一册</w:t>
      </w:r>
    </w:p>
    <w:p w14:paraId="17B309BB">
      <w:pPr>
        <w:keepNext w:val="0"/>
        <w:keepLines w:val="0"/>
        <w:pageBreakBefore w:val="0"/>
        <w:widowControl w:val="0"/>
        <w:numPr>
          <w:ilvl w:val="0"/>
          <w:numId w:val="4"/>
        </w:numPr>
        <w:tabs>
          <w:tab w:val="left" w:pos="0"/>
        </w:tabs>
        <w:wordWrap/>
        <w:overflowPunct/>
        <w:topLinePunct w:val="0"/>
        <w:bidi w:val="0"/>
        <w:spacing w:line="288" w:lineRule="auto"/>
        <w:ind w:hanging="829"/>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投标人须知</w:t>
      </w:r>
    </w:p>
    <w:p w14:paraId="40DA52EA">
      <w:pPr>
        <w:keepNext w:val="0"/>
        <w:keepLines w:val="0"/>
        <w:pageBreakBefore w:val="0"/>
        <w:widowControl w:val="0"/>
        <w:numPr>
          <w:ilvl w:val="0"/>
          <w:numId w:val="4"/>
        </w:numPr>
        <w:wordWrap/>
        <w:overflowPunct/>
        <w:topLinePunct w:val="0"/>
        <w:bidi w:val="0"/>
        <w:spacing w:line="288" w:lineRule="auto"/>
        <w:ind w:left="1080" w:leftChars="429" w:hanging="1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投标文件格式</w:t>
      </w:r>
    </w:p>
    <w:p w14:paraId="4951280E">
      <w:pPr>
        <w:keepNext w:val="0"/>
        <w:keepLines w:val="0"/>
        <w:pageBreakBefore w:val="0"/>
        <w:widowControl w:val="0"/>
        <w:wordWrap/>
        <w:overflowPunct/>
        <w:topLinePunct w:val="0"/>
        <w:bidi w:val="0"/>
        <w:spacing w:line="288" w:lineRule="auto"/>
        <w:ind w:left="1080" w:leftChars="429" w:hanging="1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第二册</w:t>
      </w:r>
    </w:p>
    <w:p w14:paraId="196024B3">
      <w:pPr>
        <w:keepNext w:val="0"/>
        <w:keepLines w:val="0"/>
        <w:pageBreakBefore w:val="0"/>
        <w:widowControl w:val="0"/>
        <w:numPr>
          <w:ilvl w:val="0"/>
          <w:numId w:val="4"/>
        </w:numPr>
        <w:wordWrap/>
        <w:overflowPunct/>
        <w:topLinePunct w:val="0"/>
        <w:bidi w:val="0"/>
        <w:spacing w:line="288" w:lineRule="auto"/>
        <w:ind w:left="1080" w:leftChars="429" w:hanging="1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投标邀请</w:t>
      </w:r>
    </w:p>
    <w:p w14:paraId="70A7DEF4">
      <w:pPr>
        <w:keepNext w:val="0"/>
        <w:keepLines w:val="0"/>
        <w:pageBreakBefore w:val="0"/>
        <w:widowControl w:val="0"/>
        <w:numPr>
          <w:ilvl w:val="0"/>
          <w:numId w:val="4"/>
        </w:numPr>
        <w:wordWrap/>
        <w:overflowPunct/>
        <w:topLinePunct w:val="0"/>
        <w:bidi w:val="0"/>
        <w:spacing w:line="288" w:lineRule="auto"/>
        <w:ind w:left="1080" w:leftChars="429" w:hanging="1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投标人须知资料表</w:t>
      </w:r>
    </w:p>
    <w:p w14:paraId="6347C4C4">
      <w:pPr>
        <w:keepNext w:val="0"/>
        <w:keepLines w:val="0"/>
        <w:pageBreakBefore w:val="0"/>
        <w:widowControl w:val="0"/>
        <w:numPr>
          <w:ilvl w:val="0"/>
          <w:numId w:val="4"/>
        </w:numPr>
        <w:wordWrap/>
        <w:overflowPunct/>
        <w:topLinePunct w:val="0"/>
        <w:bidi w:val="0"/>
        <w:spacing w:line="288" w:lineRule="auto"/>
        <w:ind w:left="1080" w:leftChars="429" w:hanging="1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货物需求一览表及技术规格</w:t>
      </w:r>
    </w:p>
    <w:p w14:paraId="6CB41A7F">
      <w:pPr>
        <w:keepNext w:val="0"/>
        <w:keepLines w:val="0"/>
        <w:pageBreakBefore w:val="0"/>
        <w:widowControl w:val="0"/>
        <w:numPr>
          <w:ilvl w:val="0"/>
          <w:numId w:val="4"/>
        </w:numPr>
        <w:wordWrap/>
        <w:overflowPunct/>
        <w:topLinePunct w:val="0"/>
        <w:bidi w:val="0"/>
        <w:spacing w:line="288" w:lineRule="auto"/>
        <w:ind w:left="1080" w:leftChars="429" w:hanging="1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评标方法和标准</w:t>
      </w:r>
    </w:p>
    <w:p w14:paraId="7CA717AB">
      <w:pPr>
        <w:keepNext w:val="0"/>
        <w:keepLines w:val="0"/>
        <w:pageBreakBefore w:val="0"/>
        <w:widowControl w:val="0"/>
        <w:wordWrap/>
        <w:overflowPunct/>
        <w:topLinePunct w:val="0"/>
        <w:bidi w:val="0"/>
        <w:spacing w:line="288" w:lineRule="auto"/>
        <w:ind w:left="901"/>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第三册</w:t>
      </w:r>
    </w:p>
    <w:p w14:paraId="42667431">
      <w:pPr>
        <w:keepNext w:val="0"/>
        <w:keepLines w:val="0"/>
        <w:pageBreakBefore w:val="0"/>
        <w:widowControl w:val="0"/>
        <w:numPr>
          <w:ilvl w:val="0"/>
          <w:numId w:val="4"/>
        </w:numPr>
        <w:wordWrap/>
        <w:overflowPunct/>
        <w:topLinePunct w:val="0"/>
        <w:bidi w:val="0"/>
        <w:spacing w:line="288" w:lineRule="auto"/>
        <w:ind w:left="718" w:leftChars="342" w:firstLine="240" w:firstLineChars="1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政府采购合同格式</w:t>
      </w:r>
    </w:p>
    <w:p w14:paraId="24AFF37C">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5.2</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如本文件的前后内容不一致，以最后描述为准。</w:t>
      </w:r>
    </w:p>
    <w:p w14:paraId="2D15225E">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5.3投标人应认真阅读招标文件所有的事项、格式、条款和技术规范等。如投标人没有按照招标文件要求提交全部资料，或者投标文件没有对招标文件在各方面都做出实质性响应，可能导致其投标将被认定为</w:t>
      </w:r>
      <w:r>
        <w:rPr>
          <w:rFonts w:hint="eastAsia" w:ascii="仿宋_GB2312" w:hAnsi="仿宋_GB2312" w:eastAsia="仿宋_GB2312" w:cs="仿宋_GB2312"/>
          <w:b/>
          <w:bCs/>
          <w:sz w:val="24"/>
          <w:highlight w:val="none"/>
        </w:rPr>
        <w:t>投标无效</w:t>
      </w:r>
      <w:r>
        <w:rPr>
          <w:rFonts w:hint="eastAsia" w:ascii="仿宋_GB2312" w:hAnsi="仿宋_GB2312" w:eastAsia="仿宋_GB2312" w:cs="仿宋_GB2312"/>
          <w:sz w:val="24"/>
          <w:highlight w:val="none"/>
        </w:rPr>
        <w:t>。</w:t>
      </w:r>
    </w:p>
    <w:p w14:paraId="4203C011">
      <w:pPr>
        <w:pStyle w:val="4"/>
        <w:keepNext w:val="0"/>
        <w:keepLines w:val="0"/>
        <w:pageBreakBefore w:val="0"/>
        <w:widowControl w:val="0"/>
        <w:wordWrap/>
        <w:overflowPunct/>
        <w:topLinePunct w:val="0"/>
        <w:bidi w:val="0"/>
        <w:spacing w:before="0" w:after="0" w:line="288" w:lineRule="auto"/>
        <w:rPr>
          <w:rFonts w:hint="eastAsia" w:ascii="仿宋_GB2312" w:hAnsi="仿宋_GB2312" w:eastAsia="仿宋_GB2312" w:cs="仿宋_GB2312"/>
          <w:highlight w:val="none"/>
        </w:rPr>
      </w:pPr>
      <w:bookmarkStart w:id="128" w:name="_Toc515904805"/>
      <w:bookmarkStart w:id="129" w:name="_Toc520356148"/>
      <w:bookmarkStart w:id="130" w:name="_Toc18688"/>
      <w:bookmarkStart w:id="131" w:name="_Toc27562"/>
      <w:bookmarkStart w:id="132" w:name="_Toc26044"/>
      <w:bookmarkStart w:id="133" w:name="_Toc4118"/>
      <w:bookmarkStart w:id="134" w:name="_Toc20175"/>
      <w:bookmarkStart w:id="135" w:name="_Toc2703"/>
      <w:bookmarkStart w:id="136" w:name="_Toc1925"/>
      <w:bookmarkStart w:id="137" w:name="_Toc3154"/>
      <w:bookmarkStart w:id="138" w:name="_Toc1922"/>
      <w:bookmarkStart w:id="139" w:name="_Toc10751"/>
      <w:bookmarkStart w:id="140" w:name="_Toc4284"/>
      <w:bookmarkStart w:id="141" w:name="_Toc7323"/>
      <w:bookmarkStart w:id="142" w:name="_Toc9232"/>
      <w:r>
        <w:rPr>
          <w:rFonts w:hint="eastAsia" w:ascii="仿宋_GB2312" w:hAnsi="仿宋_GB2312" w:eastAsia="仿宋_GB2312" w:cs="仿宋_GB2312"/>
          <w:highlight w:val="none"/>
        </w:rPr>
        <w:t>6.招标文件的澄清</w:t>
      </w:r>
      <w:bookmarkEnd w:id="128"/>
      <w:bookmarkEnd w:id="129"/>
      <w:r>
        <w:rPr>
          <w:rFonts w:hint="eastAsia" w:ascii="仿宋_GB2312" w:hAnsi="仿宋_GB2312" w:eastAsia="仿宋_GB2312" w:cs="仿宋_GB2312"/>
          <w:highlight w:val="none"/>
        </w:rPr>
        <w:t>与修改</w:t>
      </w:r>
      <w:bookmarkEnd w:id="130"/>
      <w:bookmarkEnd w:id="131"/>
      <w:bookmarkEnd w:id="132"/>
      <w:bookmarkEnd w:id="133"/>
      <w:bookmarkEnd w:id="134"/>
      <w:bookmarkEnd w:id="135"/>
      <w:bookmarkEnd w:id="136"/>
      <w:bookmarkEnd w:id="137"/>
      <w:bookmarkEnd w:id="138"/>
      <w:bookmarkEnd w:id="139"/>
      <w:bookmarkEnd w:id="140"/>
      <w:bookmarkEnd w:id="141"/>
      <w:bookmarkEnd w:id="142"/>
    </w:p>
    <w:p w14:paraId="673A0B6F">
      <w:pPr>
        <w:pStyle w:val="6"/>
        <w:keepNext w:val="0"/>
        <w:keepLines w:val="0"/>
        <w:pageBreakBefore w:val="0"/>
        <w:widowControl w:val="0"/>
        <w:wordWrap/>
        <w:overflowPunct/>
        <w:topLinePunct w:val="0"/>
        <w:bidi w:val="0"/>
        <w:spacing w:line="288" w:lineRule="auto"/>
        <w:ind w:left="840" w:hanging="840" w:hangingChars="350"/>
        <w:rPr>
          <w:rFonts w:hint="eastAsia" w:ascii="仿宋_GB2312" w:hAnsi="仿宋_GB2312" w:eastAsia="仿宋_GB2312" w:cs="仿宋_GB2312"/>
          <w:szCs w:val="24"/>
          <w:highlight w:val="none"/>
        </w:rPr>
      </w:pPr>
      <w:r>
        <w:rPr>
          <w:rFonts w:hint="eastAsia" w:ascii="仿宋_GB2312" w:hAnsi="仿宋_GB2312" w:eastAsia="仿宋_GB2312" w:cs="仿宋_GB2312"/>
          <w:szCs w:val="24"/>
          <w:highlight w:val="none"/>
        </w:rPr>
        <w:t>6.1为了保证对招标文件的澄清和修改满足法律的时限要求，任何要求对招标文件进行澄清的投标人，均应在投标截止期十五日前，以书面形式将澄清要求通知采购人或采购代理机构。</w:t>
      </w:r>
    </w:p>
    <w:p w14:paraId="62805D92">
      <w:pPr>
        <w:pStyle w:val="6"/>
        <w:keepNext w:val="0"/>
        <w:keepLines w:val="0"/>
        <w:pageBreakBefore w:val="0"/>
        <w:widowControl w:val="0"/>
        <w:wordWrap/>
        <w:overflowPunct/>
        <w:topLinePunct w:val="0"/>
        <w:bidi w:val="0"/>
        <w:spacing w:line="288" w:lineRule="auto"/>
        <w:ind w:left="840" w:hanging="840" w:hangingChars="350"/>
        <w:rPr>
          <w:rFonts w:hint="eastAsia" w:ascii="仿宋_GB2312" w:hAnsi="仿宋_GB2312" w:eastAsia="仿宋_GB2312" w:cs="仿宋_GB2312"/>
          <w:szCs w:val="24"/>
          <w:highlight w:val="none"/>
        </w:rPr>
      </w:pPr>
      <w:bookmarkStart w:id="143" w:name="_Toc515904806"/>
      <w:bookmarkStart w:id="144" w:name="_Ref467378678"/>
      <w:bookmarkStart w:id="145" w:name="_Toc520356149"/>
      <w:r>
        <w:rPr>
          <w:rFonts w:hint="eastAsia" w:ascii="仿宋_GB2312" w:hAnsi="仿宋_GB2312" w:eastAsia="仿宋_GB2312" w:cs="仿宋_GB2312"/>
          <w:szCs w:val="24"/>
          <w:highlight w:val="none"/>
        </w:rPr>
        <w:t>6.2</w:t>
      </w:r>
      <w:r>
        <w:rPr>
          <w:rFonts w:hint="eastAsia" w:ascii="仿宋_GB2312" w:hAnsi="仿宋_GB2312" w:eastAsia="仿宋_GB2312" w:cs="仿宋_GB2312"/>
          <w:szCs w:val="24"/>
          <w:highlight w:val="none"/>
        </w:rPr>
        <w:tab/>
      </w:r>
      <w:r>
        <w:rPr>
          <w:rFonts w:hint="eastAsia" w:ascii="仿宋_GB2312" w:hAnsi="仿宋_GB2312" w:eastAsia="仿宋_GB2312" w:cs="仿宋_GB2312"/>
          <w:szCs w:val="24"/>
          <w:highlight w:val="none"/>
        </w:rPr>
        <w:t>采购人可主动地或在解答投标人提出的澄清问题时对招标文件进行澄清或修改。采购代理机构将以发布澄清（更正）公告的方式，澄清或修改招标文件，澄清或修改内容作为招标文件的组成部分。</w:t>
      </w:r>
    </w:p>
    <w:p w14:paraId="17E76948">
      <w:pPr>
        <w:pStyle w:val="6"/>
        <w:keepNext w:val="0"/>
        <w:keepLines w:val="0"/>
        <w:pageBreakBefore w:val="0"/>
        <w:widowControl w:val="0"/>
        <w:wordWrap/>
        <w:overflowPunct/>
        <w:topLinePunct w:val="0"/>
        <w:bidi w:val="0"/>
        <w:spacing w:line="288" w:lineRule="auto"/>
        <w:ind w:left="840" w:hanging="840" w:hangingChars="350"/>
        <w:rPr>
          <w:rFonts w:hint="eastAsia" w:ascii="仿宋_GB2312" w:hAnsi="仿宋_GB2312" w:eastAsia="仿宋_GB2312" w:cs="仿宋_GB2312"/>
          <w:szCs w:val="24"/>
          <w:highlight w:val="none"/>
        </w:rPr>
      </w:pPr>
      <w:r>
        <w:rPr>
          <w:rFonts w:hint="eastAsia" w:ascii="仿宋_GB2312" w:hAnsi="仿宋_GB2312" w:eastAsia="仿宋_GB2312" w:cs="仿宋_GB2312"/>
          <w:szCs w:val="24"/>
          <w:highlight w:val="none"/>
        </w:rPr>
        <w:t>6.3</w:t>
      </w:r>
      <w:r>
        <w:rPr>
          <w:rFonts w:hint="eastAsia" w:ascii="仿宋_GB2312" w:hAnsi="仿宋_GB2312" w:eastAsia="仿宋_GB2312" w:cs="仿宋_GB2312"/>
          <w:szCs w:val="24"/>
          <w:highlight w:val="none"/>
        </w:rPr>
        <w:tab/>
      </w:r>
      <w:r>
        <w:rPr>
          <w:rFonts w:hint="eastAsia" w:ascii="仿宋_GB2312" w:hAnsi="仿宋_GB2312" w:eastAsia="仿宋_GB2312" w:cs="仿宋_GB2312"/>
          <w:szCs w:val="24"/>
          <w:highlight w:val="none"/>
        </w:rPr>
        <w:t>澄清或者修改的内容可能影响投标文件编制的，采购代理机构将以书面形式通知所有购买招标文件的潜在投标人，并对其具有约束力。投标人在收到上述通知后，应及时向采购代理机构回函确认。</w:t>
      </w:r>
    </w:p>
    <w:p w14:paraId="32837704">
      <w:pPr>
        <w:pStyle w:val="4"/>
        <w:keepNext w:val="0"/>
        <w:keepLines w:val="0"/>
        <w:pageBreakBefore w:val="0"/>
        <w:widowControl w:val="0"/>
        <w:tabs>
          <w:tab w:val="left" w:pos="900"/>
        </w:tabs>
        <w:wordWrap/>
        <w:overflowPunct/>
        <w:topLinePunct w:val="0"/>
        <w:bidi w:val="0"/>
        <w:spacing w:before="0" w:after="0" w:line="288" w:lineRule="auto"/>
        <w:rPr>
          <w:rFonts w:hint="eastAsia" w:ascii="仿宋_GB2312" w:hAnsi="仿宋_GB2312" w:eastAsia="仿宋_GB2312" w:cs="仿宋_GB2312"/>
          <w:highlight w:val="none"/>
        </w:rPr>
      </w:pPr>
      <w:bookmarkStart w:id="146" w:name="_Toc19841"/>
      <w:bookmarkStart w:id="147" w:name="_Toc2744"/>
      <w:bookmarkStart w:id="148" w:name="_Toc25461"/>
      <w:bookmarkStart w:id="149" w:name="_Toc330"/>
      <w:bookmarkStart w:id="150" w:name="_Toc21993"/>
      <w:bookmarkStart w:id="151" w:name="_Toc12448"/>
      <w:bookmarkStart w:id="152" w:name="_Toc25416"/>
      <w:bookmarkStart w:id="153" w:name="_Toc4653"/>
      <w:bookmarkStart w:id="154" w:name="_Toc25635"/>
      <w:bookmarkStart w:id="155" w:name="_Toc7775"/>
      <w:bookmarkStart w:id="156" w:name="_Toc14569"/>
      <w:bookmarkStart w:id="157" w:name="_Toc23166"/>
      <w:bookmarkStart w:id="158" w:name="_Toc2184"/>
      <w:r>
        <w:rPr>
          <w:rFonts w:hint="eastAsia" w:ascii="仿宋_GB2312" w:hAnsi="仿宋_GB2312" w:eastAsia="仿宋_GB2312" w:cs="仿宋_GB2312"/>
          <w:highlight w:val="none"/>
        </w:rPr>
        <w:t>7</w:t>
      </w:r>
      <w:bookmarkEnd w:id="143"/>
      <w:bookmarkEnd w:id="144"/>
      <w:bookmarkEnd w:id="145"/>
      <w:r>
        <w:rPr>
          <w:rFonts w:hint="eastAsia" w:ascii="仿宋_GB2312" w:hAnsi="仿宋_GB2312" w:eastAsia="仿宋_GB2312" w:cs="仿宋_GB2312"/>
          <w:highlight w:val="none"/>
        </w:rPr>
        <w:t>.投标截止时间的顺延</w:t>
      </w:r>
      <w:bookmarkEnd w:id="146"/>
      <w:bookmarkEnd w:id="147"/>
      <w:bookmarkEnd w:id="148"/>
      <w:bookmarkEnd w:id="149"/>
      <w:bookmarkEnd w:id="150"/>
      <w:bookmarkEnd w:id="151"/>
      <w:bookmarkEnd w:id="152"/>
      <w:bookmarkEnd w:id="153"/>
      <w:bookmarkEnd w:id="154"/>
      <w:bookmarkEnd w:id="155"/>
      <w:bookmarkEnd w:id="156"/>
      <w:bookmarkEnd w:id="157"/>
      <w:bookmarkEnd w:id="158"/>
    </w:p>
    <w:p w14:paraId="033504E9">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为使投标人准备投标时有足够的时间对招标文件的澄清或者修改部分进行研究，采购人将依法决定是否顺延投标截止时间。</w:t>
      </w:r>
    </w:p>
    <w:p w14:paraId="151CD694">
      <w:pPr>
        <w:pStyle w:val="3"/>
        <w:keepNext w:val="0"/>
        <w:keepLines w:val="0"/>
        <w:pageBreakBefore w:val="0"/>
        <w:widowControl w:val="0"/>
        <w:tabs>
          <w:tab w:val="left" w:pos="900"/>
        </w:tabs>
        <w:wordWrap/>
        <w:overflowPunct/>
        <w:topLinePunct w:val="0"/>
        <w:bidi w:val="0"/>
        <w:spacing w:before="0" w:line="288" w:lineRule="auto"/>
        <w:ind w:left="1079" w:leftChars="257" w:hanging="540"/>
        <w:rPr>
          <w:rFonts w:hint="eastAsia" w:ascii="仿宋_GB2312" w:hAnsi="仿宋_GB2312" w:eastAsia="仿宋_GB2312" w:cs="仿宋_GB2312"/>
          <w:b w:val="0"/>
          <w:sz w:val="24"/>
          <w:highlight w:val="none"/>
        </w:rPr>
      </w:pPr>
      <w:bookmarkStart w:id="159" w:name="_Toc516367020"/>
      <w:bookmarkStart w:id="160" w:name="_Toc520356150"/>
      <w:bookmarkStart w:id="161" w:name="_Toc31039"/>
      <w:bookmarkStart w:id="162" w:name="_Toc25866"/>
      <w:bookmarkStart w:id="163" w:name="_Toc15802"/>
      <w:bookmarkStart w:id="164" w:name="_Toc30808"/>
      <w:bookmarkStart w:id="165" w:name="_Toc29181"/>
      <w:bookmarkStart w:id="166" w:name="_Toc8381"/>
      <w:bookmarkStart w:id="167" w:name="_Toc12340"/>
      <w:bookmarkStart w:id="168" w:name="_Toc515647766"/>
      <w:bookmarkStart w:id="169" w:name="_Toc23336"/>
      <w:bookmarkStart w:id="170" w:name="_Toc19696"/>
      <w:bookmarkStart w:id="171" w:name="_Toc8537"/>
      <w:bookmarkStart w:id="172" w:name="_Toc14530"/>
      <w:bookmarkStart w:id="173" w:name="_Toc7636"/>
      <w:bookmarkStart w:id="174" w:name="_Toc216582807"/>
      <w:bookmarkStart w:id="175" w:name="_Toc22175"/>
      <w:r>
        <w:rPr>
          <w:rFonts w:hint="eastAsia" w:ascii="仿宋_GB2312" w:hAnsi="仿宋_GB2312" w:eastAsia="仿宋_GB2312" w:cs="仿宋_GB2312"/>
          <w:sz w:val="28"/>
          <w:highlight w:val="none"/>
        </w:rPr>
        <w:t>三投标文件</w:t>
      </w:r>
      <w:bookmarkEnd w:id="159"/>
      <w:r>
        <w:rPr>
          <w:rFonts w:hint="eastAsia" w:ascii="仿宋_GB2312" w:hAnsi="仿宋_GB2312" w:eastAsia="仿宋_GB2312" w:cs="仿宋_GB2312"/>
          <w:sz w:val="28"/>
          <w:highlight w:val="none"/>
        </w:rPr>
        <w:t>的编制</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1EFA94DD">
      <w:pPr>
        <w:pStyle w:val="4"/>
        <w:keepNext w:val="0"/>
        <w:keepLines w:val="0"/>
        <w:pageBreakBefore w:val="0"/>
        <w:widowControl w:val="0"/>
        <w:tabs>
          <w:tab w:val="left" w:pos="900"/>
        </w:tabs>
        <w:wordWrap/>
        <w:overflowPunct/>
        <w:topLinePunct w:val="0"/>
        <w:bidi w:val="0"/>
        <w:spacing w:before="0" w:after="0" w:line="288" w:lineRule="auto"/>
        <w:rPr>
          <w:rFonts w:hint="eastAsia" w:ascii="仿宋_GB2312" w:hAnsi="仿宋_GB2312" w:eastAsia="仿宋_GB2312" w:cs="仿宋_GB2312"/>
          <w:highlight w:val="none"/>
        </w:rPr>
      </w:pPr>
      <w:bookmarkStart w:id="176" w:name="_Toc11023"/>
      <w:bookmarkStart w:id="177" w:name="_Toc516367021"/>
      <w:bookmarkStart w:id="178" w:name="_Toc15590"/>
      <w:bookmarkStart w:id="179" w:name="_Toc30570"/>
      <w:bookmarkStart w:id="180" w:name="_Toc515647767"/>
      <w:bookmarkStart w:id="181" w:name="_Toc4131"/>
      <w:bookmarkStart w:id="182" w:name="_Toc15952"/>
      <w:bookmarkStart w:id="183" w:name="_Toc6680"/>
      <w:bookmarkStart w:id="184" w:name="_Toc2259"/>
      <w:bookmarkStart w:id="185" w:name="_Toc7786"/>
      <w:bookmarkStart w:id="186" w:name="_Toc10758"/>
      <w:bookmarkStart w:id="187" w:name="_Toc28725"/>
      <w:bookmarkStart w:id="188" w:name="_Toc3553"/>
      <w:bookmarkStart w:id="189" w:name="_Toc11230"/>
      <w:bookmarkStart w:id="190" w:name="_Toc520356151"/>
      <w:bookmarkStart w:id="191" w:name="_Toc27410"/>
      <w:r>
        <w:rPr>
          <w:rFonts w:hint="eastAsia" w:ascii="仿宋_GB2312" w:hAnsi="仿宋_GB2312" w:eastAsia="仿宋_GB2312" w:cs="仿宋_GB2312"/>
          <w:highlight w:val="none"/>
        </w:rPr>
        <w:t>8.</w:t>
      </w:r>
      <w:r>
        <w:rPr>
          <w:rFonts w:hint="eastAsia" w:ascii="仿宋_GB2312" w:hAnsi="仿宋_GB2312" w:eastAsia="仿宋_GB2312" w:cs="仿宋_GB2312"/>
          <w:highlight w:val="none"/>
        </w:rPr>
        <w:tab/>
      </w:r>
      <w:r>
        <w:rPr>
          <w:rFonts w:hint="eastAsia" w:ascii="仿宋_GB2312" w:hAnsi="仿宋_GB2312" w:eastAsia="仿宋_GB2312" w:cs="仿宋_GB2312"/>
          <w:highlight w:val="none"/>
        </w:rPr>
        <w:t>投标范围及投标文件中标准和计量单位的使用</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1C67BAB5">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8.1</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项目有分包的，投标人可对招标文件其中某一个或几个分包货物进行投标，除非在</w:t>
      </w:r>
      <w:r>
        <w:rPr>
          <w:rFonts w:hint="eastAsia" w:ascii="仿宋_GB2312" w:hAnsi="仿宋_GB2312" w:eastAsia="仿宋_GB2312" w:cs="仿宋_GB2312"/>
          <w:sz w:val="24"/>
          <w:highlight w:val="none"/>
          <w:u w:val="single" w:color="000000"/>
        </w:rPr>
        <w:t>投标人须知资料表</w:t>
      </w:r>
      <w:r>
        <w:rPr>
          <w:rFonts w:hint="eastAsia" w:ascii="仿宋_GB2312" w:hAnsi="仿宋_GB2312" w:eastAsia="仿宋_GB2312" w:cs="仿宋_GB2312"/>
          <w:sz w:val="24"/>
          <w:highlight w:val="none"/>
        </w:rPr>
        <w:t>中另有规定。</w:t>
      </w:r>
    </w:p>
    <w:p w14:paraId="3AACFDAF">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8.2投标人应当对所投分包招标文件中“服务需求”所列的所有内容进行投标，如仅响应某一包中的部分内容，其该包投标将被认定为</w:t>
      </w:r>
      <w:r>
        <w:rPr>
          <w:rFonts w:hint="eastAsia" w:ascii="仿宋_GB2312" w:hAnsi="仿宋_GB2312" w:eastAsia="仿宋_GB2312" w:cs="仿宋_GB2312"/>
          <w:b/>
          <w:bCs/>
          <w:sz w:val="24"/>
          <w:highlight w:val="none"/>
        </w:rPr>
        <w:t>投标无效</w:t>
      </w:r>
      <w:r>
        <w:rPr>
          <w:rFonts w:hint="eastAsia" w:ascii="仿宋_GB2312" w:hAnsi="仿宋_GB2312" w:eastAsia="仿宋_GB2312" w:cs="仿宋_GB2312"/>
          <w:sz w:val="24"/>
          <w:highlight w:val="none"/>
        </w:rPr>
        <w:t>。</w:t>
      </w:r>
    </w:p>
    <w:p w14:paraId="56B63089">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8.3无论招标文件第5章货物需求一览表及技术规格中是否要求，投标人所投货物均应符合国家强制性标准。</w:t>
      </w:r>
    </w:p>
    <w:p w14:paraId="203A3068">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8.4除招标文件中有特殊要求外，投标文件中所使用的计量单位，应采用中华人民共和国法定计量单位。</w:t>
      </w:r>
    </w:p>
    <w:p w14:paraId="19E62334">
      <w:pPr>
        <w:pStyle w:val="4"/>
        <w:keepNext w:val="0"/>
        <w:keepLines w:val="0"/>
        <w:pageBreakBefore w:val="0"/>
        <w:widowControl w:val="0"/>
        <w:tabs>
          <w:tab w:val="left" w:pos="900"/>
        </w:tabs>
        <w:wordWrap/>
        <w:overflowPunct/>
        <w:topLinePunct w:val="0"/>
        <w:bidi w:val="0"/>
        <w:spacing w:before="0" w:after="0" w:line="288" w:lineRule="auto"/>
        <w:rPr>
          <w:rFonts w:hint="eastAsia" w:ascii="仿宋_GB2312" w:hAnsi="仿宋_GB2312" w:eastAsia="仿宋_GB2312" w:cs="仿宋_GB2312"/>
          <w:highlight w:val="none"/>
        </w:rPr>
      </w:pPr>
      <w:bookmarkStart w:id="192" w:name="_Toc516367022"/>
      <w:bookmarkStart w:id="193" w:name="_Ref467306676"/>
      <w:bookmarkStart w:id="194" w:name="_Ref467306195"/>
      <w:bookmarkStart w:id="195" w:name="_Toc10364"/>
      <w:bookmarkStart w:id="196" w:name="_Toc21249"/>
      <w:bookmarkStart w:id="197" w:name="_Toc28307"/>
      <w:bookmarkStart w:id="198" w:name="_Toc22989"/>
      <w:bookmarkStart w:id="199" w:name="_Toc6112"/>
      <w:bookmarkStart w:id="200" w:name="_Toc9237"/>
      <w:bookmarkStart w:id="201" w:name="_Toc515647768"/>
      <w:bookmarkStart w:id="202" w:name="_Toc520356152"/>
      <w:bookmarkStart w:id="203" w:name="_Toc17979"/>
      <w:bookmarkStart w:id="204" w:name="_Toc13854"/>
      <w:bookmarkStart w:id="205" w:name="_Toc18627"/>
      <w:bookmarkStart w:id="206" w:name="_Toc17949"/>
      <w:bookmarkStart w:id="207" w:name="_Toc9389"/>
      <w:bookmarkStart w:id="208" w:name="_Toc10515"/>
      <w:bookmarkStart w:id="209" w:name="_Toc18692"/>
      <w:r>
        <w:rPr>
          <w:rFonts w:hint="eastAsia" w:ascii="仿宋_GB2312" w:hAnsi="仿宋_GB2312" w:eastAsia="仿宋_GB2312" w:cs="仿宋_GB2312"/>
          <w:highlight w:val="none"/>
        </w:rPr>
        <w:t>9.投标文件</w:t>
      </w:r>
      <w:bookmarkEnd w:id="192"/>
      <w:bookmarkEnd w:id="193"/>
      <w:bookmarkEnd w:id="194"/>
      <w:r>
        <w:rPr>
          <w:rFonts w:hint="eastAsia" w:ascii="仿宋_GB2312" w:hAnsi="仿宋_GB2312" w:eastAsia="仿宋_GB2312" w:cs="仿宋_GB2312"/>
          <w:highlight w:val="none"/>
        </w:rPr>
        <w:t>构成</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7356AF72">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9.1投标单位应完整地按招标文件提供的响应文件格式及要求编写响应文件，投标单位须</w:t>
      </w:r>
    </w:p>
    <w:p w14:paraId="4BCB5616">
      <w:pPr>
        <w:keepNext w:val="0"/>
        <w:keepLines w:val="0"/>
        <w:pageBreakBefore w:val="0"/>
        <w:widowControl w:val="0"/>
        <w:wordWrap/>
        <w:overflowPunct/>
        <w:topLinePunct w:val="0"/>
        <w:bidi w:val="0"/>
        <w:spacing w:line="288" w:lineRule="auto"/>
        <w:ind w:left="898" w:leftChars="342" w:hanging="180" w:hangingChars="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在投标截止时间前完成在系统上递交电子响应文件。投标单位的电子响应文件是经</w:t>
      </w:r>
    </w:p>
    <w:p w14:paraId="73B8F285">
      <w:pPr>
        <w:keepNext w:val="0"/>
        <w:keepLines w:val="0"/>
        <w:pageBreakBefore w:val="0"/>
        <w:widowControl w:val="0"/>
        <w:wordWrap/>
        <w:overflowPunct/>
        <w:topLinePunct w:val="0"/>
        <w:bidi w:val="0"/>
        <w:spacing w:line="288" w:lineRule="auto"/>
        <w:ind w:left="898" w:leftChars="342" w:hanging="180" w:hangingChars="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过CA证书加密后上传提交的，任何单位或个人均无法在投标截止时间(即投标时间)</w:t>
      </w:r>
    </w:p>
    <w:p w14:paraId="6D8A5827">
      <w:pPr>
        <w:keepNext w:val="0"/>
        <w:keepLines w:val="0"/>
        <w:pageBreakBefore w:val="0"/>
        <w:widowControl w:val="0"/>
        <w:wordWrap/>
        <w:overflowPunct/>
        <w:topLinePunct w:val="0"/>
        <w:bidi w:val="0"/>
        <w:spacing w:line="288" w:lineRule="auto"/>
        <w:ind w:left="898" w:leftChars="342" w:hanging="180" w:hangingChars="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之前查看或篡改，不存在泄密风险。（严格按照政采云电子投标流程制作并上传电</w:t>
      </w:r>
    </w:p>
    <w:p w14:paraId="6CB48E8F">
      <w:pPr>
        <w:keepNext w:val="0"/>
        <w:keepLines w:val="0"/>
        <w:pageBreakBefore w:val="0"/>
        <w:widowControl w:val="0"/>
        <w:wordWrap/>
        <w:overflowPunct/>
        <w:topLinePunct w:val="0"/>
        <w:bidi w:val="0"/>
        <w:spacing w:line="288" w:lineRule="auto"/>
        <w:ind w:left="898" w:leftChars="342" w:hanging="180" w:hangingChars="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子响应文件）</w:t>
      </w:r>
    </w:p>
    <w:p w14:paraId="6AE0A1E6">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9.2上述文件应按照招标文件规定的格式填写、签署和盖章招标文件中的格式供参考，投标文件中的内容可自行调整但应包括格式内的所有内容。</w:t>
      </w:r>
    </w:p>
    <w:p w14:paraId="4E6C28F7">
      <w:pPr>
        <w:pStyle w:val="4"/>
        <w:keepNext w:val="0"/>
        <w:keepLines w:val="0"/>
        <w:pageBreakBefore w:val="0"/>
        <w:widowControl w:val="0"/>
        <w:tabs>
          <w:tab w:val="left" w:pos="900"/>
        </w:tabs>
        <w:wordWrap/>
        <w:overflowPunct/>
        <w:topLinePunct w:val="0"/>
        <w:bidi w:val="0"/>
        <w:spacing w:before="0" w:after="0" w:line="288" w:lineRule="auto"/>
        <w:rPr>
          <w:rFonts w:hint="eastAsia" w:ascii="仿宋_GB2312" w:hAnsi="仿宋_GB2312" w:eastAsia="仿宋_GB2312" w:cs="仿宋_GB2312"/>
          <w:highlight w:val="none"/>
        </w:rPr>
      </w:pPr>
      <w:bookmarkStart w:id="210" w:name="_Toc5539"/>
      <w:bookmarkStart w:id="211" w:name="_Toc515647769"/>
      <w:bookmarkStart w:id="212" w:name="_Toc4601"/>
      <w:bookmarkStart w:id="213" w:name="_Toc13143"/>
      <w:bookmarkStart w:id="214" w:name="_Toc516367023"/>
      <w:bookmarkStart w:id="215" w:name="_Toc22816"/>
      <w:bookmarkStart w:id="216" w:name="_Toc7354"/>
      <w:bookmarkStart w:id="217" w:name="_Toc30942"/>
      <w:bookmarkStart w:id="218" w:name="_Toc15174"/>
      <w:bookmarkStart w:id="219" w:name="_Toc22144"/>
      <w:bookmarkStart w:id="220" w:name="_Toc3494"/>
      <w:bookmarkStart w:id="221" w:name="_Toc10379"/>
      <w:bookmarkStart w:id="222" w:name="_Toc2871"/>
      <w:bookmarkStart w:id="223" w:name="_Toc6889"/>
      <w:bookmarkStart w:id="224" w:name="_Toc520356153"/>
      <w:bookmarkStart w:id="225" w:name="_Toc21436"/>
      <w:r>
        <w:rPr>
          <w:rFonts w:hint="eastAsia" w:ascii="仿宋_GB2312" w:hAnsi="仿宋_GB2312" w:eastAsia="仿宋_GB2312" w:cs="仿宋_GB2312"/>
          <w:highlight w:val="none"/>
        </w:rPr>
        <w:t>10.</w:t>
      </w:r>
      <w:r>
        <w:rPr>
          <w:rFonts w:hint="eastAsia" w:ascii="仿宋_GB2312" w:hAnsi="仿宋_GB2312" w:eastAsia="仿宋_GB2312" w:cs="仿宋_GB2312"/>
          <w:highlight w:val="none"/>
        </w:rPr>
        <w:tab/>
      </w:r>
      <w:r>
        <w:rPr>
          <w:rFonts w:hint="eastAsia" w:ascii="仿宋_GB2312" w:hAnsi="仿宋_GB2312" w:eastAsia="仿宋_GB2312" w:cs="仿宋_GB2312"/>
          <w:highlight w:val="none"/>
        </w:rPr>
        <w:t>证明投标标的的合格性和符合招标文件规定的技术文件</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3E465099">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10.1</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投标人应提交证明文件，证明其投标内容符合招标文件规定。该证明文件是投标文件的一部分。</w:t>
      </w:r>
    </w:p>
    <w:p w14:paraId="166A8C67">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bookmarkStart w:id="226" w:name="_Ref467306244"/>
      <w:r>
        <w:rPr>
          <w:rFonts w:hint="eastAsia" w:ascii="仿宋_GB2312" w:hAnsi="仿宋_GB2312" w:eastAsia="仿宋_GB2312" w:cs="仿宋_GB2312"/>
          <w:sz w:val="24"/>
          <w:highlight w:val="none"/>
        </w:rPr>
        <w:t>10.2</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上款所述的证明文件，可以是文字资料、图纸和数据，</w:t>
      </w:r>
      <w:bookmarkEnd w:id="226"/>
      <w:r>
        <w:rPr>
          <w:rFonts w:hint="eastAsia" w:ascii="仿宋_GB2312" w:hAnsi="仿宋_GB2312" w:eastAsia="仿宋_GB2312" w:cs="仿宋_GB2312"/>
          <w:sz w:val="24"/>
          <w:highlight w:val="none"/>
        </w:rPr>
        <w:t>它包括：</w:t>
      </w:r>
    </w:p>
    <w:p w14:paraId="37D1BFBF">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10.2.1</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货物主要技术指标和性能的详细说明；</w:t>
      </w:r>
    </w:p>
    <w:p w14:paraId="3FC339B0">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10.2.2</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货物从买方开始使用至招标文件规定的保质期内正常、连续地使用所必须的备件和专用工具清单，包括备件和专用工具的货源及现行价格；</w:t>
      </w:r>
    </w:p>
    <w:p w14:paraId="7DE016E0">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10.2.3</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对照招标文件技术规格，逐条说明所提供货物及伴随的工程和服务已对招标文件的技术规格做出了实质性的响应，或申明与技术规格条文的偏差和例外。</w:t>
      </w:r>
    </w:p>
    <w:p w14:paraId="2C7D1129">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10.3</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投标人应注意采购人在技术规格中指出的工艺、材料和设备的参照品牌型号或分类号仅起说明作用，并没有任何限制性。投标人在投标中可以选用替代牌号或分类号，但这些替代要实质上相当于技术规格的要求。采购人、采购代理机构承诺不以上述参照品牌型号或分类号作为评标时判定其投标是否有效的标准。</w:t>
      </w:r>
    </w:p>
    <w:p w14:paraId="216D5016">
      <w:pPr>
        <w:pStyle w:val="4"/>
        <w:keepNext w:val="0"/>
        <w:keepLines w:val="0"/>
        <w:pageBreakBefore w:val="0"/>
        <w:widowControl w:val="0"/>
        <w:wordWrap/>
        <w:overflowPunct/>
        <w:topLinePunct w:val="0"/>
        <w:bidi w:val="0"/>
        <w:spacing w:before="0" w:after="0" w:line="288" w:lineRule="auto"/>
        <w:rPr>
          <w:rFonts w:hint="eastAsia" w:ascii="仿宋_GB2312" w:hAnsi="仿宋_GB2312" w:eastAsia="仿宋_GB2312" w:cs="仿宋_GB2312"/>
          <w:highlight w:val="none"/>
        </w:rPr>
      </w:pPr>
      <w:bookmarkStart w:id="227" w:name="_Toc21624"/>
      <w:bookmarkStart w:id="228" w:name="_Toc9907"/>
      <w:bookmarkStart w:id="229" w:name="_Toc2248"/>
      <w:bookmarkStart w:id="230" w:name="_Toc6623"/>
      <w:bookmarkStart w:id="231" w:name="_Toc515647770"/>
      <w:bookmarkStart w:id="232" w:name="_Toc2418"/>
      <w:bookmarkStart w:id="233" w:name="_Toc520356155"/>
      <w:bookmarkStart w:id="234" w:name="_Toc28319"/>
      <w:bookmarkStart w:id="235" w:name="_Toc19624"/>
      <w:bookmarkStart w:id="236" w:name="_Toc1082"/>
      <w:bookmarkStart w:id="237" w:name="_Toc2066"/>
      <w:bookmarkStart w:id="238" w:name="_Toc13077"/>
      <w:bookmarkStart w:id="239" w:name="_Toc14959"/>
      <w:bookmarkStart w:id="240" w:name="_Toc1965"/>
      <w:bookmarkStart w:id="241" w:name="_Toc23231"/>
      <w:r>
        <w:rPr>
          <w:rFonts w:hint="eastAsia" w:ascii="仿宋_GB2312" w:hAnsi="仿宋_GB2312" w:eastAsia="仿宋_GB2312" w:cs="仿宋_GB2312"/>
          <w:highlight w:val="none"/>
        </w:rPr>
        <w:t>11.投标报价</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2F7C03F5">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11.1</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所有投标均以人民币报价。投标人的投标报价应遵守《中华人民共和国价格法》。同时，根据《中华人民共和国政府采购法》第二条的规定，为保证公平竞争，如有货物主体部分的赠与行为，其投标将被认定为</w:t>
      </w:r>
      <w:r>
        <w:rPr>
          <w:rFonts w:hint="eastAsia" w:ascii="仿宋_GB2312" w:hAnsi="仿宋_GB2312" w:eastAsia="仿宋_GB2312" w:cs="仿宋_GB2312"/>
          <w:b/>
          <w:bCs/>
          <w:sz w:val="24"/>
          <w:highlight w:val="none"/>
        </w:rPr>
        <w:t>投标无效</w:t>
      </w:r>
      <w:r>
        <w:rPr>
          <w:rFonts w:hint="eastAsia" w:ascii="仿宋_GB2312" w:hAnsi="仿宋_GB2312" w:eastAsia="仿宋_GB2312" w:cs="仿宋_GB2312"/>
          <w:sz w:val="24"/>
          <w:highlight w:val="none"/>
        </w:rPr>
        <w:t>。</w:t>
      </w:r>
    </w:p>
    <w:p w14:paraId="2FC4E463">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11.2</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投标人应在投标分项报价表上标明投标货物及相关服务的单价（如适用）和总价，并由法定代表人或其授权代表签署。</w:t>
      </w:r>
    </w:p>
    <w:p w14:paraId="6953C6C7">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11.3</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投标分项报价表上的价格应按下列方式填写：</w:t>
      </w:r>
    </w:p>
    <w:p w14:paraId="6058144F">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11.3.1投标货物（包括备品备件、专用工具等）的出厂价（包括已在中国国内的进口货物完税后的仓库交货价、展室交货价或货架交货价），投标货物安装、调试、检验、技术服务和培训等费用；</w:t>
      </w:r>
    </w:p>
    <w:p w14:paraId="37F5B99F">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11.3.2货物运至最终目的地的运输费和保险费用。</w:t>
      </w:r>
    </w:p>
    <w:p w14:paraId="62D9EDED">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11.4</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投标人所报的各分项投标单价在合同履行过程中是固定不变的，不得以任何理由予以变更。任何包含价格调整要求的投标，其投标将被认定为</w:t>
      </w:r>
      <w:r>
        <w:rPr>
          <w:rFonts w:hint="eastAsia" w:ascii="仿宋_GB2312" w:hAnsi="仿宋_GB2312" w:eastAsia="仿宋_GB2312" w:cs="仿宋_GB2312"/>
          <w:b/>
          <w:bCs/>
          <w:sz w:val="24"/>
          <w:highlight w:val="none"/>
        </w:rPr>
        <w:t>投标无效</w:t>
      </w:r>
      <w:r>
        <w:rPr>
          <w:rFonts w:hint="eastAsia" w:ascii="仿宋_GB2312" w:hAnsi="仿宋_GB2312" w:eastAsia="仿宋_GB2312" w:cs="仿宋_GB2312"/>
          <w:sz w:val="24"/>
          <w:highlight w:val="none"/>
        </w:rPr>
        <w:t>。</w:t>
      </w:r>
    </w:p>
    <w:p w14:paraId="4DDBF7C0">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11.5</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每种货物只能有一个投标报价。采购人不接受具有附加条件的报价。</w:t>
      </w:r>
    </w:p>
    <w:p w14:paraId="6F53478B">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11.6投标文件中应写明投标产品的产地、数量/面积、养护服务期、供货期，未明确写明的其投标将被认定为</w:t>
      </w:r>
      <w:r>
        <w:rPr>
          <w:rFonts w:hint="eastAsia" w:ascii="仿宋_GB2312" w:hAnsi="仿宋_GB2312" w:eastAsia="仿宋_GB2312" w:cs="仿宋_GB2312"/>
          <w:b/>
          <w:bCs/>
          <w:sz w:val="24"/>
          <w:highlight w:val="none"/>
        </w:rPr>
        <w:t>投标无效</w:t>
      </w:r>
      <w:r>
        <w:rPr>
          <w:rFonts w:hint="eastAsia" w:ascii="仿宋_GB2312" w:hAnsi="仿宋_GB2312" w:eastAsia="仿宋_GB2312" w:cs="仿宋_GB2312"/>
          <w:sz w:val="24"/>
          <w:highlight w:val="none"/>
        </w:rPr>
        <w:t>。</w:t>
      </w:r>
    </w:p>
    <w:p w14:paraId="29D9B806">
      <w:pPr>
        <w:pStyle w:val="4"/>
        <w:keepNext w:val="0"/>
        <w:keepLines w:val="0"/>
        <w:pageBreakBefore w:val="0"/>
        <w:widowControl w:val="0"/>
        <w:wordWrap/>
        <w:overflowPunct/>
        <w:topLinePunct w:val="0"/>
        <w:bidi w:val="0"/>
        <w:spacing w:before="0" w:after="0" w:line="288" w:lineRule="auto"/>
        <w:rPr>
          <w:rFonts w:hint="eastAsia" w:ascii="仿宋_GB2312" w:hAnsi="仿宋_GB2312" w:eastAsia="仿宋_GB2312" w:cs="仿宋_GB2312"/>
          <w:highlight w:val="none"/>
        </w:rPr>
      </w:pPr>
      <w:bookmarkStart w:id="242" w:name="_Toc17068"/>
      <w:bookmarkStart w:id="243" w:name="_Toc8651"/>
      <w:bookmarkStart w:id="244" w:name="_Toc22212"/>
      <w:bookmarkStart w:id="245" w:name="_Toc11514"/>
      <w:bookmarkStart w:id="246" w:name="_Toc17788"/>
      <w:bookmarkStart w:id="247" w:name="_Ref467306513"/>
      <w:bookmarkStart w:id="248" w:name="_Toc31739"/>
      <w:bookmarkStart w:id="249" w:name="_Toc515647771"/>
      <w:bookmarkStart w:id="250" w:name="_Toc17296"/>
      <w:bookmarkStart w:id="251" w:name="_Toc520356156"/>
      <w:bookmarkStart w:id="252" w:name="_Toc2097"/>
      <w:bookmarkStart w:id="253" w:name="_Toc17357"/>
      <w:bookmarkStart w:id="254" w:name="_Toc13084"/>
      <w:bookmarkStart w:id="255" w:name="_Toc29572"/>
      <w:bookmarkStart w:id="256" w:name="_Toc27024"/>
      <w:bookmarkStart w:id="257" w:name="_Toc1823"/>
      <w:r>
        <w:rPr>
          <w:rFonts w:hint="eastAsia" w:ascii="仿宋_GB2312" w:hAnsi="仿宋_GB2312" w:eastAsia="仿宋_GB2312" w:cs="仿宋_GB2312"/>
          <w:highlight w:val="none"/>
        </w:rPr>
        <w:t>12.投标保证金</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13E8ED5C">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bookmarkStart w:id="258" w:name="_Ref467306302"/>
      <w:r>
        <w:rPr>
          <w:rFonts w:hint="eastAsia" w:ascii="仿宋_GB2312" w:hAnsi="仿宋_GB2312" w:eastAsia="仿宋_GB2312" w:cs="仿宋_GB2312"/>
          <w:sz w:val="24"/>
          <w:highlight w:val="none"/>
        </w:rPr>
        <w:t>12.1</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投标人应提交</w:t>
      </w:r>
      <w:r>
        <w:rPr>
          <w:rFonts w:hint="eastAsia" w:ascii="仿宋_GB2312" w:hAnsi="仿宋_GB2312" w:eastAsia="仿宋_GB2312" w:cs="仿宋_GB2312"/>
          <w:sz w:val="24"/>
          <w:highlight w:val="none"/>
          <w:u w:val="single" w:color="000000"/>
        </w:rPr>
        <w:t>投标人须知资料表</w:t>
      </w:r>
      <w:r>
        <w:rPr>
          <w:rFonts w:hint="eastAsia" w:ascii="仿宋_GB2312" w:hAnsi="仿宋_GB2312" w:eastAsia="仿宋_GB2312" w:cs="仿宋_GB2312"/>
          <w:sz w:val="24"/>
          <w:highlight w:val="none"/>
        </w:rPr>
        <w:t>中规定的投标保证金</w:t>
      </w:r>
      <w:bookmarkEnd w:id="258"/>
      <w:r>
        <w:rPr>
          <w:rFonts w:hint="eastAsia" w:ascii="仿宋_GB2312" w:hAnsi="仿宋_GB2312" w:eastAsia="仿宋_GB2312" w:cs="仿宋_GB2312"/>
          <w:sz w:val="24"/>
          <w:highlight w:val="none"/>
        </w:rPr>
        <w:t>，并作为其投标的一部分。</w:t>
      </w:r>
    </w:p>
    <w:p w14:paraId="0C6C308E">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12.2</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投标人存在下列情形的，投标保证金不予退还：</w:t>
      </w:r>
    </w:p>
    <w:p w14:paraId="4D22F146">
      <w:pPr>
        <w:pStyle w:val="13"/>
        <w:keepNext w:val="0"/>
        <w:keepLines w:val="0"/>
        <w:pageBreakBefore w:val="0"/>
        <w:widowControl w:val="0"/>
        <w:tabs>
          <w:tab w:val="left" w:pos="2240"/>
        </w:tabs>
        <w:wordWrap/>
        <w:overflowPunct/>
        <w:topLinePunct w:val="0"/>
        <w:bidi w:val="0"/>
        <w:spacing w:line="288" w:lineRule="auto"/>
        <w:ind w:left="1079" w:leftChars="371" w:hanging="300" w:hangingChars="12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（1）在投标有效期内，撤销投标的；</w:t>
      </w:r>
    </w:p>
    <w:p w14:paraId="2777FC0B">
      <w:pPr>
        <w:pStyle w:val="13"/>
        <w:keepNext w:val="0"/>
        <w:keepLines w:val="0"/>
        <w:pageBreakBefore w:val="0"/>
        <w:widowControl w:val="0"/>
        <w:tabs>
          <w:tab w:val="left" w:pos="2240"/>
        </w:tabs>
        <w:wordWrap/>
        <w:overflowPunct/>
        <w:topLinePunct w:val="0"/>
        <w:bidi w:val="0"/>
        <w:spacing w:line="288" w:lineRule="auto"/>
        <w:ind w:left="1079" w:leftChars="371" w:hanging="300" w:hangingChars="12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（2）中标后不按本须知第30条的规定与采购人签订合同的；</w:t>
      </w:r>
    </w:p>
    <w:p w14:paraId="38AD9EBC">
      <w:pPr>
        <w:pStyle w:val="13"/>
        <w:keepNext w:val="0"/>
        <w:keepLines w:val="0"/>
        <w:pageBreakBefore w:val="0"/>
        <w:widowControl w:val="0"/>
        <w:tabs>
          <w:tab w:val="left" w:pos="2240"/>
        </w:tabs>
        <w:wordWrap/>
        <w:overflowPunct/>
        <w:topLinePunct w:val="0"/>
        <w:bidi w:val="0"/>
        <w:spacing w:line="288" w:lineRule="auto"/>
        <w:ind w:left="1079" w:leftChars="371" w:hanging="300" w:hangingChars="12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（3）中标后不按本须知第31条的规定提交履约保证金的；</w:t>
      </w:r>
    </w:p>
    <w:p w14:paraId="7D050228">
      <w:pPr>
        <w:pStyle w:val="13"/>
        <w:keepNext w:val="0"/>
        <w:keepLines w:val="0"/>
        <w:pageBreakBefore w:val="0"/>
        <w:widowControl w:val="0"/>
        <w:tabs>
          <w:tab w:val="left" w:pos="2240"/>
        </w:tabs>
        <w:wordWrap/>
        <w:overflowPunct/>
        <w:topLinePunct w:val="0"/>
        <w:bidi w:val="0"/>
        <w:spacing w:line="288" w:lineRule="auto"/>
        <w:ind w:left="1079" w:leftChars="371" w:hanging="300" w:hangingChars="12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（4）中标后不按本须知第32条的规定缴纳中标服务费的；</w:t>
      </w:r>
    </w:p>
    <w:p w14:paraId="30C0406C">
      <w:pPr>
        <w:pStyle w:val="13"/>
        <w:keepNext w:val="0"/>
        <w:keepLines w:val="0"/>
        <w:pageBreakBefore w:val="0"/>
        <w:widowControl w:val="0"/>
        <w:tabs>
          <w:tab w:val="left" w:pos="2240"/>
        </w:tabs>
        <w:wordWrap/>
        <w:overflowPunct/>
        <w:topLinePunct w:val="0"/>
        <w:bidi w:val="0"/>
        <w:spacing w:line="288" w:lineRule="auto"/>
        <w:ind w:left="1079" w:leftChars="371" w:hanging="300" w:hangingChars="12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（5）存在其他违法违规行为的。</w:t>
      </w:r>
    </w:p>
    <w:p w14:paraId="70874612">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bookmarkStart w:id="259" w:name="_Ref467306336"/>
      <w:r>
        <w:rPr>
          <w:rFonts w:hint="eastAsia" w:ascii="仿宋_GB2312" w:hAnsi="仿宋_GB2312" w:eastAsia="仿宋_GB2312" w:cs="仿宋_GB2312"/>
          <w:sz w:val="24"/>
          <w:highlight w:val="none"/>
        </w:rPr>
        <w:t>12.3</w:t>
      </w:r>
      <w:r>
        <w:rPr>
          <w:rFonts w:hint="eastAsia" w:ascii="仿宋_GB2312" w:hAnsi="仿宋_GB2312" w:eastAsia="仿宋_GB2312" w:cs="仿宋_GB2312"/>
          <w:sz w:val="24"/>
          <w:highlight w:val="none"/>
        </w:rPr>
        <w:tab/>
      </w:r>
      <w:bookmarkEnd w:id="259"/>
      <w:r>
        <w:rPr>
          <w:rFonts w:hint="eastAsia" w:ascii="仿宋_GB2312" w:hAnsi="仿宋_GB2312" w:eastAsia="仿宋_GB2312" w:cs="仿宋_GB2312"/>
          <w:sz w:val="24"/>
          <w:highlight w:val="none"/>
        </w:rPr>
        <w:t>政府采购信用担保试点范围内的项目，接受符合财政部门规定的政府采购投标担保函原件。</w:t>
      </w:r>
    </w:p>
    <w:p w14:paraId="3B51EEB1">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12.4</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投标人未按本须知规定提交投标保证金的，其投标将被认定为</w:t>
      </w:r>
      <w:r>
        <w:rPr>
          <w:rFonts w:hint="eastAsia" w:ascii="仿宋_GB2312" w:hAnsi="仿宋_GB2312" w:eastAsia="仿宋_GB2312" w:cs="仿宋_GB2312"/>
          <w:b/>
          <w:bCs/>
          <w:sz w:val="24"/>
          <w:highlight w:val="none"/>
        </w:rPr>
        <w:t>投标无效</w:t>
      </w:r>
      <w:r>
        <w:rPr>
          <w:rFonts w:hint="eastAsia" w:ascii="仿宋_GB2312" w:hAnsi="仿宋_GB2312" w:eastAsia="仿宋_GB2312" w:cs="仿宋_GB2312"/>
          <w:sz w:val="24"/>
          <w:highlight w:val="none"/>
        </w:rPr>
        <w:t>。</w:t>
      </w:r>
    </w:p>
    <w:p w14:paraId="5717B27E">
      <w:pPr>
        <w:keepNext w:val="0"/>
        <w:keepLines w:val="0"/>
        <w:pageBreakBefore w:val="0"/>
        <w:widowControl w:val="0"/>
        <w:wordWrap/>
        <w:overflowPunct/>
        <w:topLinePunct w:val="0"/>
        <w:bidi w:val="0"/>
        <w:spacing w:line="288" w:lineRule="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12.4.1采用电汇形式的，一般可以实时入账。</w:t>
      </w:r>
    </w:p>
    <w:p w14:paraId="6FBA2E3B">
      <w:pPr>
        <w:keepNext w:val="0"/>
        <w:keepLines w:val="0"/>
        <w:pageBreakBefore w:val="0"/>
        <w:widowControl w:val="0"/>
        <w:wordWrap/>
        <w:overflowPunct/>
        <w:topLinePunct w:val="0"/>
        <w:bidi w:val="0"/>
        <w:spacing w:line="288" w:lineRule="auto"/>
        <w:ind w:left="960" w:hanging="960" w:hangingChars="4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12.4.2采用支票形式的，投标人则应充分考虑支票入账时间，以确保投标保证金能按时进入指定账户。根据银行信息交换和付款时间，支票从递交至实际入账一般需要4-5个工作日。如投标人未及时提交支票或支票不符合银行委托收款要求（如污损、折叠、胶装等），导致投标保证金不能按时进入指定账户的，将按照招标文件的相关规定处理。</w:t>
      </w:r>
    </w:p>
    <w:p w14:paraId="54DE0257">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12.5联合体投标的，可以由联合体中的一方或者共同提交投标保证金。以一方名义提交投标保证金的，对联合体各方均具有约束力。</w:t>
      </w:r>
    </w:p>
    <w:p w14:paraId="704A4FEC">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12.6</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投标保证金的退还</w:t>
      </w:r>
    </w:p>
    <w:p w14:paraId="443C08D8">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12.6.1中标人应在与采购人签订合同之日起5个工作日内，及时联系保证金收受机构办理投标保证金无息退还手续。</w:t>
      </w:r>
    </w:p>
    <w:p w14:paraId="3DB466EA">
      <w:pPr>
        <w:keepNext w:val="0"/>
        <w:keepLines w:val="0"/>
        <w:pageBreakBefore w:val="0"/>
        <w:widowControl w:val="0"/>
        <w:wordWrap/>
        <w:overflowPunct/>
        <w:topLinePunct w:val="0"/>
        <w:bidi w:val="0"/>
        <w:spacing w:line="288" w:lineRule="auto"/>
        <w:ind w:left="960" w:hanging="960" w:hangingChars="4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12.6.2未中标投标人的投标保证金将在中标通知书发出之日暨中标结果公告公布之日起5个工作日内无息退还。投标人应及时联系保证金收受机构办理退还投标保证金手续。</w:t>
      </w:r>
    </w:p>
    <w:p w14:paraId="101A50BC">
      <w:pPr>
        <w:keepNext w:val="0"/>
        <w:keepLines w:val="0"/>
        <w:pageBreakBefore w:val="0"/>
        <w:widowControl w:val="0"/>
        <w:wordWrap/>
        <w:overflowPunct/>
        <w:topLinePunct w:val="0"/>
        <w:bidi w:val="0"/>
        <w:spacing w:line="288" w:lineRule="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12.6.3政府采购投标担保函不予退回。</w:t>
      </w:r>
    </w:p>
    <w:p w14:paraId="45344DB6">
      <w:pPr>
        <w:keepNext w:val="0"/>
        <w:keepLines w:val="0"/>
        <w:pageBreakBefore w:val="0"/>
        <w:widowControl w:val="0"/>
        <w:wordWrap/>
        <w:overflowPunct/>
        <w:topLinePunct w:val="0"/>
        <w:bidi w:val="0"/>
        <w:spacing w:line="288" w:lineRule="auto"/>
        <w:ind w:left="960" w:right="-121" w:hanging="960" w:hangingChars="4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12.7因投标人自身原因导致无法及时退还的，采购人或采购代理机构将不承担相应责任。</w:t>
      </w:r>
    </w:p>
    <w:p w14:paraId="38A666F6">
      <w:pPr>
        <w:pStyle w:val="4"/>
        <w:keepNext w:val="0"/>
        <w:keepLines w:val="0"/>
        <w:pageBreakBefore w:val="0"/>
        <w:widowControl w:val="0"/>
        <w:wordWrap/>
        <w:overflowPunct/>
        <w:topLinePunct w:val="0"/>
        <w:bidi w:val="0"/>
        <w:spacing w:before="0" w:after="0" w:line="288" w:lineRule="auto"/>
        <w:rPr>
          <w:rFonts w:hint="eastAsia" w:ascii="仿宋_GB2312" w:hAnsi="仿宋_GB2312" w:eastAsia="仿宋_GB2312" w:cs="仿宋_GB2312"/>
          <w:highlight w:val="none"/>
        </w:rPr>
      </w:pPr>
      <w:bookmarkStart w:id="260" w:name="_Toc15069"/>
      <w:bookmarkStart w:id="261" w:name="_Toc14721"/>
      <w:bookmarkStart w:id="262" w:name="_Toc23590"/>
      <w:bookmarkStart w:id="263" w:name="_Toc26844"/>
      <w:bookmarkStart w:id="264" w:name="_Toc15117"/>
      <w:bookmarkStart w:id="265" w:name="_Toc515647772"/>
      <w:bookmarkStart w:id="266" w:name="_Toc32569"/>
      <w:bookmarkStart w:id="267" w:name="_Toc22901"/>
      <w:bookmarkStart w:id="268" w:name="_Toc9445"/>
      <w:bookmarkStart w:id="269" w:name="_Toc17879"/>
      <w:bookmarkStart w:id="270" w:name="_Toc30629"/>
      <w:bookmarkStart w:id="271" w:name="_Toc2130"/>
      <w:bookmarkStart w:id="272" w:name="_Toc520356157"/>
      <w:bookmarkStart w:id="273" w:name="_Toc16956"/>
      <w:bookmarkStart w:id="274" w:name="_Toc19849"/>
      <w:r>
        <w:rPr>
          <w:rFonts w:hint="eastAsia" w:ascii="仿宋_GB2312" w:hAnsi="仿宋_GB2312" w:eastAsia="仿宋_GB2312" w:cs="仿宋_GB2312"/>
          <w:highlight w:val="none"/>
        </w:rPr>
        <w:t>13.投标有效期</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12B616B2">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13.1</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投标应在</w:t>
      </w:r>
      <w:r>
        <w:rPr>
          <w:rFonts w:hint="eastAsia" w:ascii="仿宋_GB2312" w:hAnsi="仿宋_GB2312" w:eastAsia="仿宋_GB2312" w:cs="仿宋_GB2312"/>
          <w:sz w:val="24"/>
          <w:highlight w:val="none"/>
          <w:u w:val="single" w:color="000000"/>
        </w:rPr>
        <w:t>投标人须知资料表</w:t>
      </w:r>
      <w:r>
        <w:rPr>
          <w:rFonts w:hint="eastAsia" w:ascii="仿宋_GB2312" w:hAnsi="仿宋_GB2312" w:eastAsia="仿宋_GB2312" w:cs="仿宋_GB2312"/>
          <w:sz w:val="24"/>
          <w:highlight w:val="none"/>
        </w:rPr>
        <w:t>中规定时间内保持有效。投标有效期不满足要求的投标，其投标将被认定为</w:t>
      </w:r>
      <w:r>
        <w:rPr>
          <w:rFonts w:hint="eastAsia" w:ascii="仿宋_GB2312" w:hAnsi="仿宋_GB2312" w:eastAsia="仿宋_GB2312" w:cs="仿宋_GB2312"/>
          <w:b/>
          <w:bCs/>
          <w:sz w:val="24"/>
          <w:highlight w:val="none"/>
        </w:rPr>
        <w:t>投标无效</w:t>
      </w:r>
      <w:r>
        <w:rPr>
          <w:rFonts w:hint="eastAsia" w:ascii="仿宋_GB2312" w:hAnsi="仿宋_GB2312" w:eastAsia="仿宋_GB2312" w:cs="仿宋_GB2312"/>
          <w:sz w:val="24"/>
          <w:highlight w:val="none"/>
        </w:rPr>
        <w:t>。</w:t>
      </w:r>
    </w:p>
    <w:p w14:paraId="598A73E3">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13.2</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为保证有充分时间签订合同，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可以拒绝延长投标有效期的要求，其投标保证金将及时无息退还。上述要求和答复都应以书面形式提交。</w:t>
      </w:r>
    </w:p>
    <w:p w14:paraId="5168F67F">
      <w:pPr>
        <w:keepNext w:val="0"/>
        <w:keepLines w:val="0"/>
        <w:pageBreakBefore w:val="0"/>
        <w:widowControl w:val="0"/>
        <w:wordWrap/>
        <w:overflowPunct/>
        <w:topLinePunct w:val="0"/>
        <w:bidi w:val="0"/>
        <w:spacing w:line="288" w:lineRule="auto"/>
        <w:ind w:left="904" w:hanging="900" w:hangingChars="375"/>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14.响应文件的签署及规定</w:t>
      </w:r>
    </w:p>
    <w:p w14:paraId="5C449E12">
      <w:pPr>
        <w:keepNext w:val="0"/>
        <w:keepLines w:val="0"/>
        <w:pageBreakBefore w:val="0"/>
        <w:widowControl w:val="0"/>
        <w:wordWrap/>
        <w:overflowPunct/>
        <w:topLinePunct w:val="0"/>
        <w:bidi w:val="0"/>
        <w:spacing w:line="288" w:lineRule="auto"/>
        <w:ind w:left="904" w:hanging="900" w:hangingChars="375"/>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14.1供应商应按供应商须知资料表中的规定，准备和递交（加密上传）电子响应文件。</w:t>
      </w:r>
    </w:p>
    <w:p w14:paraId="7D30F894">
      <w:pPr>
        <w:keepNext w:val="0"/>
        <w:keepLines w:val="0"/>
        <w:pageBreakBefore w:val="0"/>
        <w:widowControl w:val="0"/>
        <w:wordWrap/>
        <w:overflowPunct/>
        <w:topLinePunct w:val="0"/>
        <w:bidi w:val="0"/>
        <w:spacing w:line="288" w:lineRule="auto"/>
        <w:ind w:left="904" w:hanging="900" w:hangingChars="375"/>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14.2所有响应文件应按照招标文件规定的格式填写、签署和盖章。</w:t>
      </w:r>
    </w:p>
    <w:p w14:paraId="3F8862D2">
      <w:pPr>
        <w:keepNext w:val="0"/>
        <w:keepLines w:val="0"/>
        <w:pageBreakBefore w:val="0"/>
        <w:widowControl w:val="0"/>
        <w:wordWrap/>
        <w:overflowPunct/>
        <w:topLinePunct w:val="0"/>
        <w:bidi w:val="0"/>
        <w:spacing w:line="288" w:lineRule="auto"/>
        <w:ind w:left="904" w:hanging="900" w:hangingChars="375"/>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14.3响应文件因字迹潦草、表达不清所引起的后果由供应商负责。</w:t>
      </w:r>
    </w:p>
    <w:p w14:paraId="76B4E21E">
      <w:pPr>
        <w:pStyle w:val="3"/>
        <w:keepNext w:val="0"/>
        <w:keepLines w:val="0"/>
        <w:pageBreakBefore w:val="0"/>
        <w:widowControl w:val="0"/>
        <w:wordWrap/>
        <w:overflowPunct/>
        <w:topLinePunct w:val="0"/>
        <w:bidi w:val="0"/>
        <w:spacing w:before="0" w:line="288" w:lineRule="auto"/>
        <w:ind w:left="1079" w:leftChars="257" w:hanging="540"/>
        <w:rPr>
          <w:rFonts w:hint="eastAsia" w:ascii="仿宋_GB2312" w:hAnsi="仿宋_GB2312" w:eastAsia="仿宋_GB2312" w:cs="仿宋_GB2312"/>
          <w:sz w:val="24"/>
          <w:highlight w:val="none"/>
        </w:rPr>
      </w:pPr>
      <w:bookmarkStart w:id="275" w:name="_Toc25925"/>
      <w:bookmarkStart w:id="276" w:name="_Toc22843"/>
      <w:bookmarkStart w:id="277" w:name="_Toc27533"/>
      <w:bookmarkStart w:id="278" w:name="_Toc31447"/>
      <w:bookmarkStart w:id="279" w:name="_Toc25200"/>
      <w:bookmarkStart w:id="280" w:name="_Toc11483"/>
      <w:bookmarkStart w:id="281" w:name="_Toc22560"/>
      <w:bookmarkStart w:id="282" w:name="_Toc216582808"/>
      <w:bookmarkStart w:id="283" w:name="_Toc11179"/>
      <w:bookmarkStart w:id="284" w:name="_Toc16865"/>
      <w:bookmarkStart w:id="285" w:name="_Toc515647774"/>
      <w:bookmarkStart w:id="286" w:name="_Toc520356159"/>
      <w:bookmarkStart w:id="287" w:name="_Toc9509"/>
      <w:bookmarkStart w:id="288" w:name="_Toc5332"/>
      <w:bookmarkStart w:id="289" w:name="_Toc25700"/>
      <w:bookmarkStart w:id="290" w:name="_Toc23316"/>
      <w:r>
        <w:rPr>
          <w:rFonts w:hint="eastAsia" w:ascii="仿宋_GB2312" w:hAnsi="仿宋_GB2312" w:eastAsia="仿宋_GB2312" w:cs="仿宋_GB2312"/>
          <w:sz w:val="24"/>
          <w:highlight w:val="none"/>
        </w:rPr>
        <w:t>四投标文件的递交</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64896537">
      <w:pPr>
        <w:pStyle w:val="4"/>
        <w:keepNext w:val="0"/>
        <w:keepLines w:val="0"/>
        <w:pageBreakBefore w:val="0"/>
        <w:widowControl w:val="0"/>
        <w:tabs>
          <w:tab w:val="left" w:pos="900"/>
        </w:tabs>
        <w:wordWrap/>
        <w:overflowPunct/>
        <w:topLinePunct w:val="0"/>
        <w:bidi w:val="0"/>
        <w:spacing w:before="0" w:after="0" w:line="288" w:lineRule="auto"/>
        <w:rPr>
          <w:rFonts w:hint="eastAsia" w:ascii="仿宋_GB2312" w:hAnsi="仿宋_GB2312" w:eastAsia="仿宋_GB2312" w:cs="仿宋_GB2312"/>
          <w:highlight w:val="none"/>
        </w:rPr>
      </w:pPr>
      <w:bookmarkStart w:id="291" w:name="_Toc21645"/>
      <w:bookmarkStart w:id="292" w:name="_Toc515647775"/>
      <w:bookmarkStart w:id="293" w:name="_Toc520356160"/>
      <w:bookmarkStart w:id="294" w:name="_Toc26195"/>
      <w:bookmarkStart w:id="295" w:name="_Toc32131"/>
      <w:bookmarkStart w:id="296" w:name="_Toc32337"/>
      <w:bookmarkStart w:id="297" w:name="_Toc6418"/>
      <w:bookmarkStart w:id="298" w:name="_Toc6343"/>
      <w:bookmarkStart w:id="299" w:name="_Toc632"/>
      <w:bookmarkStart w:id="300" w:name="_Toc26374"/>
      <w:r>
        <w:rPr>
          <w:rFonts w:hint="eastAsia" w:ascii="仿宋_GB2312" w:hAnsi="仿宋_GB2312" w:eastAsia="仿宋_GB2312" w:cs="仿宋_GB2312"/>
          <w:highlight w:val="none"/>
        </w:rPr>
        <w:t>15.投标文件的密封和标记</w:t>
      </w:r>
      <w:bookmarkEnd w:id="291"/>
      <w:bookmarkEnd w:id="292"/>
      <w:bookmarkEnd w:id="293"/>
      <w:bookmarkEnd w:id="294"/>
      <w:bookmarkEnd w:id="295"/>
      <w:bookmarkEnd w:id="296"/>
      <w:bookmarkEnd w:id="297"/>
      <w:bookmarkEnd w:id="298"/>
      <w:bookmarkEnd w:id="299"/>
      <w:bookmarkEnd w:id="300"/>
    </w:p>
    <w:p w14:paraId="7CFECAB3">
      <w:pPr>
        <w:keepNext w:val="0"/>
        <w:keepLines w:val="0"/>
        <w:pageBreakBefore w:val="0"/>
        <w:widowControl w:val="0"/>
        <w:tabs>
          <w:tab w:val="left" w:pos="-200"/>
          <w:tab w:val="left" w:pos="5580"/>
        </w:tabs>
        <w:wordWrap/>
        <w:overflowPunct/>
        <w:topLinePunct w:val="0"/>
        <w:bidi w:val="0"/>
        <w:spacing w:line="240" w:lineRule="atLeast"/>
        <w:ind w:left="960" w:hanging="960" w:hangingChars="400"/>
        <w:jc w:val="left"/>
        <w:rPr>
          <w:rFonts w:hint="eastAsia" w:ascii="仿宋_GB2312" w:hAnsi="仿宋_GB2312" w:eastAsia="仿宋_GB2312" w:cs="仿宋_GB2312"/>
          <w:b/>
          <w:bCs/>
          <w:sz w:val="24"/>
          <w:highlight w:val="none"/>
        </w:rPr>
      </w:pPr>
      <w:r>
        <w:rPr>
          <w:rFonts w:hint="eastAsia" w:ascii="宋体" w:hAnsi="宋体" w:cs="宋体"/>
          <w:sz w:val="24"/>
          <w:highlight w:val="none"/>
        </w:rPr>
        <w:t>15.1</w:t>
      </w:r>
      <w:r>
        <w:rPr>
          <w:rFonts w:hint="eastAsia" w:ascii="仿宋_GB2312" w:hAnsi="仿宋_GB2312" w:eastAsia="仿宋_GB2312" w:cs="仿宋_GB2312"/>
          <w:b/>
          <w:bCs/>
          <w:sz w:val="24"/>
          <w:highlight w:val="none"/>
        </w:rPr>
        <w:t>供应商应完整地按招标文件提供的投标文件格式及要求编写投标文件，供应商须在投标截止时间前完成在新疆政采云平台https://www.zcygov.cn 系统上递交电子投标文件。供应商的电子投标文件是经过CA证书加密后上传提交的，任何单位或个人均无法在投标截止时间之前查看或篡改，不存在泄密风险。（严格按照政采云电子投标流程制作并上传电子响应文件）</w:t>
      </w:r>
    </w:p>
    <w:p w14:paraId="1EC04ACD">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bookmarkStart w:id="301" w:name="_Toc28106"/>
      <w:r>
        <w:rPr>
          <w:rFonts w:hint="eastAsia" w:ascii="宋体" w:hAnsi="宋体" w:cs="宋体"/>
          <w:sz w:val="24"/>
          <w:highlight w:val="none"/>
        </w:rPr>
        <w:t>15.2</w:t>
      </w:r>
      <w:bookmarkEnd w:id="301"/>
      <w:r>
        <w:rPr>
          <w:rFonts w:hint="eastAsia" w:ascii="仿宋_GB2312" w:hAnsi="仿宋_GB2312" w:eastAsia="仿宋_GB2312" w:cs="仿宋_GB2312"/>
          <w:sz w:val="24"/>
          <w:highlight w:val="none"/>
        </w:rPr>
        <w:t>供应商因自身原因导致电子投标文件无法导入电子评标系统的，该响应文件视为</w:t>
      </w:r>
      <w:r>
        <w:rPr>
          <w:rFonts w:hint="eastAsia" w:ascii="仿宋_GB2312" w:hAnsi="仿宋_GB2312" w:eastAsia="仿宋_GB2312" w:cs="仿宋_GB2312"/>
          <w:b/>
          <w:bCs/>
          <w:sz w:val="24"/>
          <w:highlight w:val="none"/>
        </w:rPr>
        <w:t>无效文件。</w:t>
      </w:r>
    </w:p>
    <w:p w14:paraId="26466EBC">
      <w:pPr>
        <w:keepNext w:val="0"/>
        <w:keepLines w:val="0"/>
        <w:pageBreakBefore w:val="0"/>
        <w:widowControl w:val="0"/>
        <w:wordWrap/>
        <w:overflowPunct/>
        <w:topLinePunct w:val="0"/>
        <w:bidi w:val="0"/>
        <w:spacing w:line="288" w:lineRule="auto"/>
        <w:ind w:left="900" w:hanging="900" w:hangingChars="375"/>
        <w:rPr>
          <w:rFonts w:hint="eastAsia" w:ascii="宋体" w:hAnsi="宋体" w:cs="宋体"/>
          <w:sz w:val="24"/>
          <w:highlight w:val="none"/>
        </w:rPr>
      </w:pPr>
      <w:r>
        <w:rPr>
          <w:rFonts w:hint="eastAsia" w:ascii="仿宋_GB2312" w:hAnsi="仿宋_GB2312" w:eastAsia="仿宋_GB2312" w:cs="仿宋_GB2312"/>
          <w:sz w:val="24"/>
          <w:highlight w:val="none"/>
        </w:rPr>
        <w:t>15.3电子投标文件具有法律效力,与其他形式的响应文件在内容和格式上等同，若投标文件与招标文件要求不一致，其内容影响成交结果时，责任由供应商自行承担。</w:t>
      </w:r>
    </w:p>
    <w:p w14:paraId="32838949">
      <w:pPr>
        <w:pStyle w:val="4"/>
        <w:keepNext w:val="0"/>
        <w:keepLines w:val="0"/>
        <w:pageBreakBefore w:val="0"/>
        <w:widowControl w:val="0"/>
        <w:tabs>
          <w:tab w:val="left" w:pos="900"/>
        </w:tabs>
        <w:wordWrap/>
        <w:overflowPunct/>
        <w:topLinePunct w:val="0"/>
        <w:bidi w:val="0"/>
        <w:spacing w:before="0" w:after="0" w:line="288" w:lineRule="auto"/>
        <w:rPr>
          <w:rFonts w:hint="eastAsia" w:ascii="仿宋_GB2312" w:hAnsi="仿宋_GB2312" w:eastAsia="仿宋_GB2312" w:cs="仿宋_GB2312"/>
          <w:highlight w:val="none"/>
        </w:rPr>
      </w:pPr>
      <w:bookmarkStart w:id="302" w:name="_Toc520356161"/>
      <w:bookmarkStart w:id="303" w:name="_Toc28170"/>
      <w:bookmarkStart w:id="304" w:name="_Toc1456"/>
      <w:bookmarkStart w:id="305" w:name="_Toc17361"/>
      <w:bookmarkStart w:id="306" w:name="_Toc24017"/>
      <w:bookmarkStart w:id="307" w:name="_Toc515647776"/>
      <w:bookmarkStart w:id="308" w:name="_Toc27547"/>
      <w:bookmarkStart w:id="309" w:name="_Toc12751"/>
      <w:bookmarkStart w:id="310" w:name="_Toc9840"/>
      <w:bookmarkStart w:id="311" w:name="_Toc27959"/>
      <w:r>
        <w:rPr>
          <w:rFonts w:hint="eastAsia" w:ascii="仿宋_GB2312" w:hAnsi="仿宋_GB2312" w:eastAsia="仿宋_GB2312" w:cs="仿宋_GB2312"/>
          <w:highlight w:val="none"/>
        </w:rPr>
        <w:t>16.投标截止</w:t>
      </w:r>
      <w:bookmarkEnd w:id="302"/>
      <w:bookmarkEnd w:id="303"/>
      <w:bookmarkEnd w:id="304"/>
      <w:bookmarkEnd w:id="305"/>
      <w:bookmarkEnd w:id="306"/>
      <w:bookmarkEnd w:id="307"/>
      <w:bookmarkEnd w:id="308"/>
      <w:bookmarkEnd w:id="309"/>
      <w:bookmarkEnd w:id="310"/>
      <w:bookmarkEnd w:id="311"/>
    </w:p>
    <w:p w14:paraId="074FC8E8">
      <w:pPr>
        <w:keepNext w:val="0"/>
        <w:keepLines w:val="0"/>
        <w:pageBreakBefore w:val="0"/>
        <w:widowControl w:val="0"/>
        <w:wordWrap/>
        <w:overflowPunct/>
        <w:topLinePunct w:val="0"/>
        <w:bidi w:val="0"/>
        <w:spacing w:line="240" w:lineRule="atLeast"/>
        <w:ind w:left="900" w:hanging="900" w:hangingChars="375"/>
        <w:rPr>
          <w:rFonts w:hint="eastAsia" w:ascii="宋体" w:hAnsi="宋体" w:cs="宋体"/>
          <w:b/>
          <w:bCs/>
          <w:sz w:val="24"/>
          <w:highlight w:val="none"/>
        </w:rPr>
      </w:pPr>
      <w:r>
        <w:rPr>
          <w:rFonts w:hint="eastAsia" w:ascii="宋体" w:hAnsi="宋体" w:cs="宋体"/>
          <w:sz w:val="24"/>
          <w:highlight w:val="none"/>
        </w:rPr>
        <w:t>16.1</w:t>
      </w:r>
      <w:r>
        <w:rPr>
          <w:rFonts w:hint="eastAsia" w:ascii="宋体" w:hAnsi="宋体" w:cs="宋体"/>
          <w:sz w:val="24"/>
          <w:highlight w:val="none"/>
        </w:rPr>
        <w:tab/>
      </w:r>
      <w:r>
        <w:rPr>
          <w:rFonts w:hint="eastAsia" w:ascii="仿宋_GB2312" w:hAnsi="仿宋_GB2312" w:eastAsia="仿宋_GB2312" w:cs="仿宋_GB2312"/>
          <w:sz w:val="24"/>
          <w:highlight w:val="none"/>
        </w:rPr>
        <w:t>投标人应在</w:t>
      </w:r>
      <w:r>
        <w:rPr>
          <w:rFonts w:hint="eastAsia" w:ascii="宋体" w:hAnsi="宋体" w:cs="宋体"/>
          <w:b/>
          <w:bCs/>
          <w:sz w:val="24"/>
          <w:highlight w:val="none"/>
          <w:u w:val="single"/>
        </w:rPr>
        <w:t>投标人须知资料表</w:t>
      </w:r>
      <w:r>
        <w:rPr>
          <w:rFonts w:hint="eastAsia" w:ascii="仿宋_GB2312" w:hAnsi="仿宋_GB2312" w:eastAsia="仿宋_GB2312" w:cs="仿宋_GB2312"/>
          <w:sz w:val="24"/>
          <w:highlight w:val="none"/>
        </w:rPr>
        <w:t>中规定的截止时间前，将投标文件递交到招标公告中规定的地点。</w:t>
      </w:r>
      <w:r>
        <w:rPr>
          <w:rFonts w:hint="eastAsia" w:ascii="宋体" w:hAnsi="宋体" w:cs="宋体"/>
          <w:b/>
          <w:bCs/>
          <w:sz w:val="24"/>
          <w:highlight w:val="none"/>
        </w:rPr>
        <w:t>解密时间30分钟，逾期未解密的视为投标无效。</w:t>
      </w:r>
    </w:p>
    <w:p w14:paraId="5620539C">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宋体" w:hAnsi="宋体" w:cs="宋体"/>
          <w:sz w:val="24"/>
          <w:highlight w:val="none"/>
        </w:rPr>
        <w:t>16.2</w:t>
      </w:r>
      <w:r>
        <w:rPr>
          <w:rFonts w:hint="eastAsia" w:ascii="宋体" w:hAnsi="宋体" w:cs="宋体"/>
          <w:sz w:val="24"/>
          <w:highlight w:val="none"/>
        </w:rPr>
        <w:tab/>
      </w:r>
      <w:r>
        <w:rPr>
          <w:rFonts w:hint="eastAsia" w:ascii="仿宋_GB2312" w:hAnsi="仿宋_GB2312" w:eastAsia="仿宋_GB2312" w:cs="仿宋_GB2312"/>
          <w:sz w:val="24"/>
          <w:highlight w:val="none"/>
        </w:rPr>
        <w:t>采购人和采购代理机构有权按本须知的规定，延迟投标截止时间。在此情况下，采购人、采购代理机构和投标人受投标截止时间制约的所有权利和义务均应延长至新的截止时间。</w:t>
      </w:r>
    </w:p>
    <w:p w14:paraId="79EA8152">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16.3</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采购人和采购代理机构将拒绝接收在投标截止时间后上传的投标文件</w:t>
      </w:r>
    </w:p>
    <w:p w14:paraId="66B7CCA0">
      <w:pPr>
        <w:pStyle w:val="4"/>
        <w:keepNext w:val="0"/>
        <w:keepLines w:val="0"/>
        <w:pageBreakBefore w:val="0"/>
        <w:widowControl w:val="0"/>
        <w:wordWrap/>
        <w:overflowPunct/>
        <w:topLinePunct w:val="0"/>
        <w:bidi w:val="0"/>
        <w:spacing w:before="0" w:after="0" w:line="240" w:lineRule="atLeast"/>
        <w:rPr>
          <w:rFonts w:hint="eastAsia" w:ascii="仿宋_GB2312" w:hAnsi="仿宋_GB2312" w:eastAsia="仿宋_GB2312" w:cs="仿宋_GB2312"/>
          <w:highlight w:val="none"/>
        </w:rPr>
      </w:pPr>
      <w:bookmarkStart w:id="312" w:name="_Toc9987"/>
      <w:bookmarkStart w:id="313" w:name="_Toc520356162"/>
      <w:bookmarkStart w:id="314" w:name="_Toc21703"/>
      <w:bookmarkStart w:id="315" w:name="_Toc31670"/>
      <w:bookmarkStart w:id="316" w:name="_Toc24785"/>
      <w:bookmarkStart w:id="317" w:name="_Toc18537"/>
      <w:bookmarkStart w:id="318" w:name="_Toc11458"/>
      <w:bookmarkStart w:id="319" w:name="_Toc24275"/>
      <w:bookmarkStart w:id="320" w:name="_Toc3936"/>
      <w:bookmarkStart w:id="321" w:name="_Toc515647777"/>
      <w:r>
        <w:rPr>
          <w:rFonts w:hint="eastAsia" w:ascii="仿宋_GB2312" w:hAnsi="仿宋_GB2312" w:eastAsia="仿宋_GB2312" w:cs="仿宋_GB2312"/>
          <w:highlight w:val="none"/>
        </w:rPr>
        <w:t>17.投标文件的接收、修改与撤回</w:t>
      </w:r>
      <w:bookmarkEnd w:id="312"/>
      <w:bookmarkEnd w:id="313"/>
      <w:bookmarkEnd w:id="314"/>
      <w:bookmarkEnd w:id="315"/>
      <w:bookmarkEnd w:id="316"/>
      <w:bookmarkEnd w:id="317"/>
      <w:bookmarkEnd w:id="318"/>
      <w:bookmarkEnd w:id="319"/>
      <w:bookmarkEnd w:id="320"/>
      <w:bookmarkEnd w:id="321"/>
    </w:p>
    <w:p w14:paraId="51DCD164">
      <w:pPr>
        <w:keepNext w:val="0"/>
        <w:keepLines w:val="0"/>
        <w:pageBreakBefore w:val="0"/>
        <w:widowControl w:val="0"/>
        <w:wordWrap/>
        <w:overflowPunct/>
        <w:topLinePunct w:val="0"/>
        <w:bidi w:val="0"/>
        <w:spacing w:line="240" w:lineRule="atLeast"/>
        <w:ind w:left="900" w:hanging="900" w:hangingChars="375"/>
        <w:rPr>
          <w:rFonts w:hint="eastAsia" w:ascii="宋体" w:hAnsi="宋体" w:cs="宋体"/>
          <w:b/>
          <w:highlight w:val="none"/>
        </w:rPr>
      </w:pPr>
      <w:r>
        <w:rPr>
          <w:rFonts w:hint="eastAsia" w:ascii="宋体" w:hAnsi="宋体" w:cs="宋体"/>
          <w:sz w:val="24"/>
          <w:highlight w:val="none"/>
        </w:rPr>
        <w:t>17.1</w:t>
      </w:r>
      <w:r>
        <w:rPr>
          <w:rFonts w:hint="eastAsia" w:ascii="宋体" w:hAnsi="宋体" w:cs="宋体"/>
          <w:sz w:val="24"/>
          <w:highlight w:val="none"/>
        </w:rPr>
        <w:tab/>
      </w:r>
      <w:r>
        <w:rPr>
          <w:rFonts w:hint="eastAsia" w:ascii="仿宋_GB2312" w:hAnsi="仿宋_GB2312" w:eastAsia="仿宋_GB2312" w:cs="仿宋_GB2312"/>
          <w:sz w:val="24"/>
          <w:highlight w:val="none"/>
        </w:rPr>
        <w:t>在投标截止时间后上传投标文件的，采购人和采购代理机构将</w:t>
      </w:r>
      <w:r>
        <w:rPr>
          <w:rFonts w:hint="eastAsia" w:ascii="宋体" w:hAnsi="宋体" w:cs="宋体"/>
          <w:b/>
          <w:bCs/>
          <w:sz w:val="24"/>
          <w:highlight w:val="none"/>
        </w:rPr>
        <w:t>拒绝接收</w:t>
      </w:r>
      <w:r>
        <w:rPr>
          <w:rFonts w:hint="eastAsia" w:ascii="宋体" w:hAnsi="宋体" w:cs="宋体"/>
          <w:sz w:val="24"/>
          <w:highlight w:val="none"/>
        </w:rPr>
        <w:t>。</w:t>
      </w:r>
    </w:p>
    <w:p w14:paraId="2B924F34">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宋体" w:hAnsi="宋体" w:cs="宋体"/>
          <w:sz w:val="24"/>
          <w:highlight w:val="none"/>
        </w:rPr>
        <w:t>17.2</w:t>
      </w:r>
      <w:r>
        <w:rPr>
          <w:rFonts w:hint="eastAsia" w:ascii="宋体" w:hAnsi="宋体" w:cs="宋体"/>
          <w:sz w:val="24"/>
          <w:highlight w:val="none"/>
        </w:rPr>
        <w:tab/>
      </w:r>
      <w:r>
        <w:rPr>
          <w:rFonts w:hint="eastAsia" w:ascii="仿宋_GB2312" w:hAnsi="仿宋_GB2312" w:eastAsia="仿宋_GB2312" w:cs="仿宋_GB2312"/>
          <w:sz w:val="24"/>
          <w:highlight w:val="none"/>
        </w:rPr>
        <w:t>采购人或者采购代理机构收到投标文件后，应当如实记载投标文件的送达时间和密封情况。</w:t>
      </w:r>
    </w:p>
    <w:p w14:paraId="5969CB4F">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17.3</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递交投标文件以后，如果投标人要进行修改或撤回投标，须提出书面申请并在投标截止时间前上传至</w:t>
      </w:r>
      <w:r>
        <w:rPr>
          <w:rFonts w:hint="eastAsia" w:ascii="宋体" w:hAnsi="宋体" w:cs="宋体"/>
          <w:b/>
          <w:bCs/>
          <w:sz w:val="24"/>
          <w:highlight w:val="none"/>
        </w:rPr>
        <w:t>新疆政采云平台https://www.zcygov.cn</w:t>
      </w:r>
      <w:r>
        <w:rPr>
          <w:rFonts w:hint="eastAsia" w:ascii="宋体" w:hAnsi="宋体" w:cs="宋体"/>
          <w:sz w:val="24"/>
          <w:highlight w:val="none"/>
        </w:rPr>
        <w:t>，</w:t>
      </w:r>
      <w:r>
        <w:rPr>
          <w:rFonts w:hint="eastAsia" w:ascii="仿宋_GB2312" w:hAnsi="仿宋_GB2312" w:eastAsia="仿宋_GB2312" w:cs="仿宋_GB2312"/>
          <w:sz w:val="24"/>
          <w:highlight w:val="none"/>
        </w:rPr>
        <w:t>投标人对投标文件的修改或撤回通知应按本须知规定编制、密封、标记。采购人和采购代理机构将予以接收，并视为投标文件的组成部分。</w:t>
      </w:r>
    </w:p>
    <w:p w14:paraId="2EEC2A71">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17.4</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在投标截止期之后，采购人和采购代理机构不接受投标人主动对其投标文件做任何修改。</w:t>
      </w:r>
    </w:p>
    <w:p w14:paraId="281A9128">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bookmarkStart w:id="322" w:name="_Toc19583"/>
      <w:bookmarkStart w:id="323" w:name="_Toc13495"/>
      <w:bookmarkStart w:id="324" w:name="_Toc26872"/>
      <w:r>
        <w:rPr>
          <w:rFonts w:hint="eastAsia" w:ascii="仿宋_GB2312" w:hAnsi="仿宋_GB2312" w:eastAsia="仿宋_GB2312" w:cs="仿宋_GB2312"/>
          <w:sz w:val="24"/>
          <w:highlight w:val="none"/>
        </w:rPr>
        <w:t>17.5</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采购人和采购代理机构对所接收投标文件概不退回。</w:t>
      </w:r>
      <w:bookmarkEnd w:id="322"/>
      <w:bookmarkEnd w:id="323"/>
      <w:bookmarkEnd w:id="324"/>
    </w:p>
    <w:p w14:paraId="0CC476F0">
      <w:pPr>
        <w:pStyle w:val="3"/>
        <w:keepNext w:val="0"/>
        <w:keepLines w:val="0"/>
        <w:pageBreakBefore w:val="0"/>
        <w:widowControl w:val="0"/>
        <w:wordWrap/>
        <w:overflowPunct/>
        <w:topLinePunct w:val="0"/>
        <w:bidi w:val="0"/>
        <w:spacing w:before="0" w:line="288" w:lineRule="auto"/>
        <w:ind w:left="1079" w:leftChars="257" w:hanging="540"/>
        <w:rPr>
          <w:rFonts w:hint="eastAsia" w:ascii="仿宋_GB2312" w:hAnsi="仿宋_GB2312" w:eastAsia="仿宋_GB2312" w:cs="仿宋_GB2312"/>
          <w:highlight w:val="none"/>
        </w:rPr>
      </w:pPr>
      <w:bookmarkStart w:id="325" w:name="_Toc12878"/>
      <w:bookmarkStart w:id="326" w:name="_Toc520356163"/>
      <w:bookmarkStart w:id="327" w:name="_Toc515647778"/>
      <w:bookmarkStart w:id="328" w:name="_Toc28398"/>
      <w:bookmarkStart w:id="329" w:name="_Toc22638"/>
      <w:bookmarkStart w:id="330" w:name="_Toc26891"/>
      <w:bookmarkStart w:id="331" w:name="_Toc26876"/>
      <w:bookmarkStart w:id="332" w:name="_Toc216582809"/>
      <w:bookmarkStart w:id="333" w:name="_Toc20246"/>
      <w:bookmarkStart w:id="334" w:name="_Toc6326"/>
      <w:bookmarkStart w:id="335" w:name="_Toc25610"/>
      <w:bookmarkStart w:id="336" w:name="_Toc4683"/>
      <w:bookmarkStart w:id="337" w:name="_Toc5077"/>
      <w:bookmarkStart w:id="338" w:name="_Toc12436"/>
      <w:bookmarkStart w:id="339" w:name="_Toc27778"/>
      <w:bookmarkStart w:id="340" w:name="_Toc28581"/>
      <w:bookmarkStart w:id="341" w:name="_Toc19296"/>
      <w:bookmarkStart w:id="342" w:name="_Toc515647780"/>
      <w:bookmarkStart w:id="343" w:name="_Toc21372"/>
      <w:bookmarkStart w:id="344" w:name="_Toc31290"/>
      <w:r>
        <w:rPr>
          <w:rFonts w:hint="eastAsia" w:ascii="仿宋_GB2312" w:hAnsi="仿宋_GB2312" w:eastAsia="仿宋_GB2312" w:cs="仿宋_GB2312"/>
          <w:sz w:val="24"/>
          <w:highlight w:val="none"/>
        </w:rPr>
        <w:t>五开标及评标</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14:paraId="36C47CB9">
      <w:pPr>
        <w:pStyle w:val="4"/>
        <w:keepNext w:val="0"/>
        <w:keepLines w:val="0"/>
        <w:pageBreakBefore w:val="0"/>
        <w:widowControl w:val="0"/>
        <w:numPr>
          <w:ilvl w:val="0"/>
          <w:numId w:val="5"/>
        </w:numPr>
        <w:wordWrap/>
        <w:overflowPunct/>
        <w:topLinePunct w:val="0"/>
        <w:bidi w:val="0"/>
        <w:spacing w:line="288" w:lineRule="auto"/>
        <w:rPr>
          <w:rFonts w:hint="eastAsia" w:ascii="仿宋_GB2312" w:hAnsi="仿宋_GB2312" w:eastAsia="仿宋_GB2312" w:cs="仿宋_GB2312"/>
          <w:highlight w:val="none"/>
        </w:rPr>
      </w:pPr>
      <w:bookmarkStart w:id="345" w:name="_Toc520356164"/>
      <w:bookmarkStart w:id="346" w:name="_Toc25345"/>
      <w:bookmarkStart w:id="347" w:name="_Toc17257"/>
      <w:bookmarkStart w:id="348" w:name="_Toc6310"/>
      <w:bookmarkStart w:id="349" w:name="_Toc7186"/>
      <w:bookmarkStart w:id="350" w:name="_Toc11395"/>
      <w:bookmarkStart w:id="351" w:name="_Toc15800"/>
      <w:bookmarkStart w:id="352" w:name="_Toc28774"/>
      <w:bookmarkStart w:id="353" w:name="_Toc32258"/>
      <w:bookmarkStart w:id="354" w:name="_Toc515647779"/>
      <w:bookmarkStart w:id="355" w:name="_Toc433"/>
      <w:bookmarkStart w:id="356" w:name="_Toc18521"/>
      <w:bookmarkStart w:id="357" w:name="_Toc17235"/>
      <w:bookmarkStart w:id="358" w:name="_Toc21932"/>
      <w:bookmarkStart w:id="359" w:name="_Toc15239"/>
      <w:r>
        <w:rPr>
          <w:rFonts w:hint="eastAsia" w:ascii="仿宋_GB2312" w:hAnsi="仿宋_GB2312" w:eastAsia="仿宋_GB2312" w:cs="仿宋_GB2312"/>
          <w:highlight w:val="none"/>
        </w:rPr>
        <w:t>开标</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14:paraId="2E40217A">
      <w:pPr>
        <w:keepNext w:val="0"/>
        <w:keepLines w:val="0"/>
        <w:pageBreakBefore w:val="0"/>
        <w:widowControl w:val="0"/>
        <w:numPr>
          <w:ilvl w:val="1"/>
          <w:numId w:val="5"/>
        </w:numPr>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采购人和采购代理机构将按</w:t>
      </w:r>
      <w:r>
        <w:rPr>
          <w:rFonts w:hint="eastAsia" w:ascii="仿宋_GB2312" w:hAnsi="仿宋_GB2312" w:eastAsia="仿宋_GB2312" w:cs="仿宋_GB2312"/>
          <w:sz w:val="24"/>
          <w:highlight w:val="none"/>
          <w:u w:val="single" w:color="000000"/>
        </w:rPr>
        <w:t>投标人须知资料表</w:t>
      </w:r>
      <w:r>
        <w:rPr>
          <w:rFonts w:hint="eastAsia" w:ascii="仿宋_GB2312" w:hAnsi="仿宋_GB2312" w:eastAsia="仿宋_GB2312" w:cs="仿宋_GB2312"/>
          <w:sz w:val="24"/>
          <w:highlight w:val="none"/>
        </w:rPr>
        <w:t>中规定的开标时间和地点组织公开开标并邀请所有投标人代表参加。</w:t>
      </w:r>
    </w:p>
    <w:p w14:paraId="72CDFF13">
      <w:pPr>
        <w:keepNext w:val="0"/>
        <w:keepLines w:val="0"/>
        <w:pageBreakBefore w:val="0"/>
        <w:widowControl w:val="0"/>
        <w:wordWrap/>
        <w:overflowPunct/>
        <w:topLinePunct w:val="0"/>
        <w:bidi w:val="0"/>
        <w:spacing w:line="288" w:lineRule="auto"/>
        <w:ind w:left="735" w:leftChars="350" w:firstLine="120" w:firstLineChars="5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投标人不足3家的，不得开标。</w:t>
      </w:r>
    </w:p>
    <w:p w14:paraId="111E8EC3">
      <w:pPr>
        <w:keepNext w:val="0"/>
        <w:keepLines w:val="0"/>
        <w:pageBreakBefore w:val="0"/>
        <w:widowControl w:val="0"/>
        <w:wordWrap/>
        <w:overflowPunct/>
        <w:topLinePunct w:val="0"/>
        <w:bidi w:val="0"/>
        <w:spacing w:line="288" w:lineRule="auto"/>
        <w:ind w:left="960" w:hanging="960" w:hangingChars="4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18.2</w:t>
      </w:r>
      <w:r>
        <w:rPr>
          <w:rFonts w:hint="eastAsia" w:ascii="宋体" w:hAnsi="宋体" w:cs="宋体"/>
          <w:b/>
          <w:bCs/>
          <w:sz w:val="24"/>
          <w:highlight w:val="none"/>
        </w:rPr>
        <w:t>开标时，由代理机构工作人员点击响应文件解密流程，解密时间为30分钟。解密时间截止后经记录，由采购人或采购代理机构开启开标一览表，宣读投标人名称、投标价格及招标文件规定的内容。对于投标人在投标截止期前递交的投标声明，在开标时当众宣读，评标时有效。未宣读投标价格、价格折扣等实质内容，评标时不予承认。逾期未解密的视为投标无效</w:t>
      </w:r>
      <w:r>
        <w:rPr>
          <w:rFonts w:hint="eastAsia" w:ascii="仿宋_GB2312" w:hAnsi="仿宋_GB2312" w:eastAsia="仿宋_GB2312" w:cs="仿宋_GB2312"/>
          <w:sz w:val="24"/>
          <w:highlight w:val="none"/>
        </w:rPr>
        <w:t>。</w:t>
      </w:r>
    </w:p>
    <w:p w14:paraId="6E126CB9">
      <w:pPr>
        <w:keepNext w:val="0"/>
        <w:keepLines w:val="0"/>
        <w:pageBreakBefore w:val="0"/>
        <w:widowControl w:val="0"/>
        <w:wordWrap/>
        <w:overflowPunct/>
        <w:topLinePunct w:val="0"/>
        <w:bidi w:val="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18.3采购人或采购代理机构将对开标过程进行记录，由参加开标的各投标人代表和相关工作人员签字确认，并存档备查。</w:t>
      </w:r>
    </w:p>
    <w:p w14:paraId="78889E6B">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18.4投标人代表对开标过程和开标记录有疑义，以及认为采购人、采购代理机构相关工作人员有需要回避的情形的，应当场提出询问或者回避申请。</w:t>
      </w:r>
    </w:p>
    <w:p w14:paraId="284CAC1E">
      <w:pPr>
        <w:pStyle w:val="4"/>
        <w:keepNext w:val="0"/>
        <w:keepLines w:val="0"/>
        <w:pageBreakBefore w:val="0"/>
        <w:widowControl w:val="0"/>
        <w:wordWrap/>
        <w:overflowPunct/>
        <w:topLinePunct w:val="0"/>
        <w:bidi w:val="0"/>
        <w:spacing w:before="0" w:after="0" w:line="288" w:lineRule="auto"/>
        <w:rPr>
          <w:rFonts w:hint="eastAsia" w:ascii="仿宋_GB2312" w:hAnsi="仿宋_GB2312" w:eastAsia="仿宋_GB2312" w:cs="仿宋_GB2312"/>
          <w:highlight w:val="none"/>
        </w:rPr>
      </w:pPr>
      <w:bookmarkStart w:id="360" w:name="_Toc1719"/>
      <w:bookmarkStart w:id="361" w:name="_Toc1947"/>
      <w:bookmarkStart w:id="362" w:name="_Toc16060"/>
      <w:bookmarkStart w:id="363" w:name="_Toc13177"/>
      <w:bookmarkStart w:id="364" w:name="_Toc30404"/>
      <w:bookmarkStart w:id="365" w:name="_Toc10173"/>
      <w:bookmarkStart w:id="366" w:name="_Toc10635"/>
      <w:bookmarkStart w:id="367" w:name="_Toc19853"/>
      <w:bookmarkStart w:id="368" w:name="_Toc11574"/>
      <w:bookmarkStart w:id="369" w:name="_Toc3739"/>
      <w:r>
        <w:rPr>
          <w:rFonts w:hint="eastAsia" w:ascii="仿宋_GB2312" w:hAnsi="仿宋_GB2312" w:eastAsia="仿宋_GB2312" w:cs="仿宋_GB2312"/>
          <w:highlight w:val="none"/>
        </w:rPr>
        <w:t>19.资格审查及组建评标委员会</w:t>
      </w:r>
      <w:bookmarkEnd w:id="341"/>
      <w:bookmarkEnd w:id="342"/>
      <w:bookmarkEnd w:id="343"/>
      <w:bookmarkEnd w:id="344"/>
      <w:bookmarkEnd w:id="360"/>
      <w:bookmarkEnd w:id="361"/>
      <w:bookmarkEnd w:id="362"/>
      <w:bookmarkEnd w:id="363"/>
      <w:bookmarkEnd w:id="364"/>
      <w:bookmarkEnd w:id="365"/>
      <w:bookmarkEnd w:id="366"/>
      <w:bookmarkEnd w:id="367"/>
      <w:bookmarkEnd w:id="368"/>
      <w:bookmarkEnd w:id="369"/>
    </w:p>
    <w:p w14:paraId="255A2559">
      <w:pPr>
        <w:keepNext w:val="0"/>
        <w:keepLines w:val="0"/>
        <w:pageBreakBefore w:val="0"/>
        <w:widowControl w:val="0"/>
        <w:wordWrap/>
        <w:overflowPunct/>
        <w:topLinePunct w:val="0"/>
        <w:bidi w:val="0"/>
        <w:spacing w:line="288" w:lineRule="auto"/>
        <w:ind w:left="960" w:hanging="960" w:hangingChars="4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19.1采购人或采购代理机构依据法律法规和招标文件中规定的内容，对投标人及其货物的资格进行审查，未通过资格审查的投标人不进入评标；通过资格审查的投标人少于不足三家的，不得评标。</w:t>
      </w:r>
    </w:p>
    <w:p w14:paraId="3F22CB8B">
      <w:pPr>
        <w:keepNext w:val="0"/>
        <w:keepLines w:val="0"/>
        <w:pageBreakBefore w:val="0"/>
        <w:widowControl w:val="0"/>
        <w:wordWrap/>
        <w:overflowPunct/>
        <w:topLinePunct w:val="0"/>
        <w:bidi w:val="0"/>
        <w:spacing w:line="240" w:lineRule="atLeast"/>
        <w:ind w:left="857" w:leftChars="2" w:hanging="853"/>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19.2</w:t>
      </w:r>
      <w:bookmarkStart w:id="370" w:name="_Toc520356166"/>
      <w:r>
        <w:rPr>
          <w:rFonts w:hint="eastAsia" w:ascii="仿宋_GB2312" w:hAnsi="仿宋_GB2312" w:eastAsia="仿宋_GB2312" w:cs="仿宋_GB2312"/>
          <w:sz w:val="24"/>
          <w:highlight w:val="none"/>
        </w:rPr>
        <w:t>采购人或采购代理机构将在开标前1个工作日至投标截止后1小时的期间内查询投标人的信用记录。投标人存在不良信用记录的，其投标将被认定为</w:t>
      </w:r>
      <w:r>
        <w:rPr>
          <w:rFonts w:hint="eastAsia" w:ascii="仿宋_GB2312" w:hAnsi="仿宋_GB2312" w:eastAsia="仿宋_GB2312" w:cs="仿宋_GB2312"/>
          <w:b/>
          <w:bCs/>
          <w:sz w:val="24"/>
          <w:highlight w:val="none"/>
        </w:rPr>
        <w:t>投标无效</w:t>
      </w:r>
      <w:r>
        <w:rPr>
          <w:rFonts w:hint="eastAsia" w:ascii="仿宋_GB2312" w:hAnsi="仿宋_GB2312" w:eastAsia="仿宋_GB2312" w:cs="仿宋_GB2312"/>
          <w:sz w:val="24"/>
          <w:highlight w:val="none"/>
        </w:rPr>
        <w:t>。</w:t>
      </w:r>
    </w:p>
    <w:p w14:paraId="57B24F4A">
      <w:pPr>
        <w:keepNext w:val="0"/>
        <w:keepLines w:val="0"/>
        <w:pageBreakBefore w:val="0"/>
        <w:widowControl w:val="0"/>
        <w:wordWrap/>
        <w:overflowPunct/>
        <w:topLinePunct w:val="0"/>
        <w:bidi w:val="0"/>
        <w:spacing w:line="240" w:lineRule="atLeast"/>
        <w:ind w:left="857" w:leftChars="2" w:hanging="853"/>
        <w:rPr>
          <w:rFonts w:hint="eastAsia" w:ascii="仿宋_GB2312" w:hAnsi="仿宋_GB2312" w:eastAsia="仿宋_GB2312" w:cs="仿宋_GB2312"/>
          <w:sz w:val="24"/>
          <w:highlight w:val="none"/>
        </w:rPr>
      </w:pPr>
      <w:r>
        <w:rPr>
          <w:rFonts w:hint="eastAsia" w:ascii="宋体" w:hAnsi="宋体" w:cs="宋体"/>
          <w:sz w:val="24"/>
          <w:highlight w:val="none"/>
        </w:rPr>
        <w:t>19.2.1</w:t>
      </w:r>
      <w:r>
        <w:rPr>
          <w:rFonts w:hint="eastAsia" w:ascii="仿宋_GB2312" w:hAnsi="仿宋_GB2312" w:eastAsia="仿宋_GB2312" w:cs="仿宋_GB2312"/>
          <w:sz w:val="24"/>
          <w:highlight w:val="none"/>
        </w:rPr>
        <w:t>不良信用记录指：投标人在中国政府采购网（www.ccgp.gov.cn）被列入政府采购严重违法失信行为记录名单，或在“信用中国”网站（www.creditchina.gov.cn）被列入失信被执行人、重大税收违法案件当事人名单，以及存在《中华人民共和国政府采购法实施条例》第十九条规定的行政处罚记录。</w:t>
      </w:r>
    </w:p>
    <w:p w14:paraId="1D2C58A6">
      <w:pPr>
        <w:keepNext w:val="0"/>
        <w:keepLines w:val="0"/>
        <w:pageBreakBefore w:val="0"/>
        <w:widowControl w:val="0"/>
        <w:wordWrap/>
        <w:overflowPunct/>
        <w:topLinePunct w:val="0"/>
        <w:bidi w:val="0"/>
        <w:spacing w:line="240" w:lineRule="atLeast"/>
        <w:ind w:left="857" w:leftChars="2" w:hanging="853"/>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以联合体形式参加投标的，联合体任何成员存在以上不良信用记录的，联合体投标将被认定为</w:t>
      </w:r>
      <w:r>
        <w:rPr>
          <w:rFonts w:hint="eastAsia" w:ascii="仿宋_GB2312" w:hAnsi="仿宋_GB2312" w:eastAsia="仿宋_GB2312" w:cs="仿宋_GB2312"/>
          <w:b/>
          <w:bCs/>
          <w:sz w:val="24"/>
          <w:highlight w:val="none"/>
        </w:rPr>
        <w:t>投标无效</w:t>
      </w:r>
      <w:r>
        <w:rPr>
          <w:rFonts w:hint="eastAsia" w:ascii="仿宋_GB2312" w:hAnsi="仿宋_GB2312" w:eastAsia="仿宋_GB2312" w:cs="仿宋_GB2312"/>
          <w:sz w:val="24"/>
          <w:highlight w:val="none"/>
        </w:rPr>
        <w:t>。</w:t>
      </w:r>
    </w:p>
    <w:p w14:paraId="30C6871A">
      <w:pPr>
        <w:keepNext w:val="0"/>
        <w:keepLines w:val="0"/>
        <w:pageBreakBefore w:val="0"/>
        <w:widowControl w:val="0"/>
        <w:wordWrap/>
        <w:overflowPunct/>
        <w:topLinePunct w:val="0"/>
        <w:bidi w:val="0"/>
        <w:spacing w:line="240" w:lineRule="atLeast"/>
        <w:ind w:left="857" w:leftChars="2" w:hanging="853"/>
        <w:rPr>
          <w:rFonts w:hint="eastAsia" w:ascii="仿宋_GB2312" w:hAnsi="仿宋_GB2312" w:eastAsia="仿宋_GB2312" w:cs="仿宋_GB2312"/>
          <w:sz w:val="24"/>
          <w:highlight w:val="none"/>
        </w:rPr>
      </w:pPr>
      <w:r>
        <w:rPr>
          <w:rFonts w:hint="eastAsia" w:hAnsi="宋体" w:cs="宋体"/>
          <w:highlight w:val="none"/>
        </w:rPr>
        <w:t>19.2.2</w:t>
      </w:r>
      <w:r>
        <w:rPr>
          <w:rFonts w:hint="eastAsia" w:ascii="仿宋_GB2312" w:hAnsi="仿宋_GB2312" w:eastAsia="仿宋_GB2312" w:cs="仿宋_GB2312"/>
          <w:sz w:val="24"/>
          <w:highlight w:val="none"/>
        </w:rPr>
        <w:t>查询及记录方式：采购人或采购代理机构经办人将查询网页打印、签字并存档备查。投标人不良信用记录以采购人或采购代理机构查询结果为准。</w:t>
      </w:r>
    </w:p>
    <w:p w14:paraId="779F25D7">
      <w:pPr>
        <w:keepNext w:val="0"/>
        <w:keepLines w:val="0"/>
        <w:pageBreakBefore w:val="0"/>
        <w:widowControl w:val="0"/>
        <w:wordWrap/>
        <w:overflowPunct/>
        <w:topLinePunct w:val="0"/>
        <w:bidi w:val="0"/>
        <w:spacing w:line="240" w:lineRule="atLeast"/>
        <w:ind w:left="968" w:leftChars="458" w:hanging="7" w:hangingChars="3"/>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在本招标文件规定的查询时间之后，网站信息发生的任何变更均不再作为评标依据。</w:t>
      </w:r>
    </w:p>
    <w:p w14:paraId="05040026">
      <w:pPr>
        <w:keepNext w:val="0"/>
        <w:keepLines w:val="0"/>
        <w:pageBreakBefore w:val="0"/>
        <w:widowControl w:val="0"/>
        <w:wordWrap/>
        <w:overflowPunct/>
        <w:topLinePunct w:val="0"/>
        <w:bidi w:val="0"/>
        <w:spacing w:line="240" w:lineRule="atLeast"/>
        <w:ind w:left="968" w:leftChars="458" w:hanging="7" w:hangingChars="3"/>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投标人自行提供的与网站信息不一致的其他证明材料亦不作为资格审查依据。</w:t>
      </w:r>
    </w:p>
    <w:p w14:paraId="504CB839">
      <w:pPr>
        <w:pStyle w:val="20"/>
        <w:keepNext w:val="0"/>
        <w:keepLines w:val="0"/>
        <w:pageBreakBefore w:val="0"/>
        <w:widowControl w:val="0"/>
        <w:wordWrap/>
        <w:overflowPunct/>
        <w:topLinePunct w:val="0"/>
        <w:bidi w:val="0"/>
        <w:ind w:left="960" w:hanging="960" w:hangingChars="400"/>
        <w:rPr>
          <w:color w:val="auto"/>
          <w:highlight w:val="none"/>
        </w:rPr>
      </w:pPr>
      <w:r>
        <w:rPr>
          <w:rFonts w:hint="eastAsia" w:ascii="宋体" w:hAnsi="宋体" w:cs="宋体"/>
          <w:sz w:val="24"/>
          <w:highlight w:val="none"/>
        </w:rPr>
        <w:t>19.3</w:t>
      </w:r>
      <w:r>
        <w:rPr>
          <w:rFonts w:hint="eastAsia" w:ascii="仿宋_GB2312" w:hAnsi="仿宋_GB2312" w:eastAsia="仿宋_GB2312" w:cs="仿宋_GB2312"/>
          <w:sz w:val="24"/>
          <w:highlight w:val="none"/>
        </w:rPr>
        <w:t>按照《中华人民共和国政府采购法》、《中华人民共和国政府采购法实施条例》及本项目本级和上级财政部门的有关规定依法组建的评标委员会，负责评标工作。</w:t>
      </w:r>
      <w:r>
        <w:rPr>
          <w:rFonts w:hint="eastAsia" w:ascii="仿宋_GB2312" w:hAnsi="仿宋_GB2312" w:eastAsia="仿宋_GB2312" w:cs="仿宋_GB2312"/>
          <w:b/>
          <w:bCs/>
          <w:color w:val="auto"/>
          <w:sz w:val="24"/>
          <w:highlight w:val="none"/>
          <w:u w:val="single"/>
        </w:rPr>
        <w:t>本项目评标委员会由5人单数组成，其中：业主代表</w:t>
      </w:r>
      <w:r>
        <w:rPr>
          <w:rFonts w:hint="eastAsia" w:ascii="仿宋_GB2312" w:hAnsi="仿宋_GB2312" w:eastAsia="仿宋_GB2312" w:cs="仿宋_GB2312"/>
          <w:b/>
          <w:bCs/>
          <w:color w:val="auto"/>
          <w:sz w:val="24"/>
          <w:highlight w:val="none"/>
          <w:u w:val="single"/>
          <w:lang w:val="en-US" w:eastAsia="zh-CN"/>
        </w:rPr>
        <w:t>1</w:t>
      </w:r>
      <w:r>
        <w:rPr>
          <w:rFonts w:hint="eastAsia" w:ascii="仿宋_GB2312" w:hAnsi="仿宋_GB2312" w:eastAsia="仿宋_GB2312" w:cs="仿宋_GB2312"/>
          <w:b/>
          <w:bCs/>
          <w:color w:val="auto"/>
          <w:sz w:val="24"/>
          <w:highlight w:val="none"/>
          <w:u w:val="single"/>
        </w:rPr>
        <w:t>人，评委</w:t>
      </w:r>
      <w:r>
        <w:rPr>
          <w:rFonts w:hint="eastAsia" w:ascii="仿宋_GB2312" w:hAnsi="仿宋_GB2312" w:eastAsia="仿宋_GB2312" w:cs="仿宋_GB2312"/>
          <w:b/>
          <w:bCs/>
          <w:color w:val="auto"/>
          <w:sz w:val="24"/>
          <w:highlight w:val="none"/>
          <w:u w:val="single"/>
          <w:lang w:val="en-US" w:eastAsia="zh-CN"/>
        </w:rPr>
        <w:t>4</w:t>
      </w:r>
      <w:r>
        <w:rPr>
          <w:rFonts w:hint="eastAsia" w:ascii="仿宋_GB2312" w:hAnsi="仿宋_GB2312" w:eastAsia="仿宋_GB2312" w:cs="仿宋_GB2312"/>
          <w:b/>
          <w:bCs/>
          <w:color w:val="auto"/>
          <w:sz w:val="24"/>
          <w:highlight w:val="none"/>
          <w:u w:val="single"/>
        </w:rPr>
        <w:t>人（政采云专家库随机抽取）。</w:t>
      </w:r>
    </w:p>
    <w:p w14:paraId="1FDD0BD7">
      <w:pPr>
        <w:pStyle w:val="20"/>
        <w:keepNext w:val="0"/>
        <w:keepLines w:val="0"/>
        <w:pageBreakBefore w:val="0"/>
        <w:widowControl w:val="0"/>
        <w:wordWrap/>
        <w:overflowPunct/>
        <w:topLinePunct w:val="0"/>
        <w:bidi w:val="0"/>
        <w:rPr>
          <w:highlight w:val="none"/>
        </w:rPr>
      </w:pPr>
    </w:p>
    <w:p w14:paraId="2979A386">
      <w:pPr>
        <w:pStyle w:val="4"/>
        <w:keepNext w:val="0"/>
        <w:keepLines w:val="0"/>
        <w:pageBreakBefore w:val="0"/>
        <w:widowControl w:val="0"/>
        <w:wordWrap/>
        <w:overflowPunct/>
        <w:topLinePunct w:val="0"/>
        <w:bidi w:val="0"/>
        <w:spacing w:before="0" w:after="0" w:line="288" w:lineRule="auto"/>
        <w:rPr>
          <w:rFonts w:hint="eastAsia" w:ascii="仿宋_GB2312" w:hAnsi="仿宋_GB2312" w:eastAsia="仿宋_GB2312" w:cs="仿宋_GB2312"/>
          <w:b w:val="0"/>
          <w:bCs/>
          <w:highlight w:val="none"/>
          <w:bdr w:val="single" w:color="auto" w:sz="4" w:space="0"/>
        </w:rPr>
      </w:pPr>
      <w:bookmarkStart w:id="371" w:name="_Toc28479"/>
      <w:bookmarkStart w:id="372" w:name="_Toc29906"/>
      <w:bookmarkStart w:id="373" w:name="_Toc25418"/>
      <w:bookmarkStart w:id="374" w:name="_Toc515647781"/>
      <w:bookmarkStart w:id="375" w:name="_Toc12297"/>
      <w:bookmarkStart w:id="376" w:name="_Toc13960"/>
      <w:bookmarkStart w:id="377" w:name="_Toc2541"/>
      <w:bookmarkStart w:id="378" w:name="_Toc7107"/>
      <w:bookmarkStart w:id="379" w:name="_Toc19949"/>
      <w:bookmarkStart w:id="380" w:name="_Toc21183"/>
      <w:bookmarkStart w:id="381" w:name="_Toc26332"/>
      <w:bookmarkStart w:id="382" w:name="_Toc23586"/>
      <w:bookmarkStart w:id="383" w:name="_Toc30633"/>
      <w:bookmarkStart w:id="384" w:name="_Toc20899"/>
      <w:r>
        <w:rPr>
          <w:rFonts w:hint="eastAsia" w:ascii="仿宋_GB2312" w:hAnsi="仿宋_GB2312" w:eastAsia="仿宋_GB2312" w:cs="仿宋_GB2312"/>
          <w:highlight w:val="none"/>
        </w:rPr>
        <w:t>20.投标文件</w:t>
      </w:r>
      <w:bookmarkEnd w:id="370"/>
      <w:r>
        <w:rPr>
          <w:rFonts w:hint="eastAsia" w:ascii="仿宋_GB2312" w:hAnsi="仿宋_GB2312" w:eastAsia="仿宋_GB2312" w:cs="仿宋_GB2312"/>
          <w:highlight w:val="none"/>
        </w:rPr>
        <w:t>符合性审查与澄清</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p w14:paraId="770A2FA0">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20.1符合性审查是指依据招标文件的规定，从投标文件的有效性和完整性对招标文件的响应程度进行审查，以确定是否对招标文件的实质性要求做出响应。</w:t>
      </w:r>
      <w:bookmarkStart w:id="385" w:name="_Hlt522424701"/>
      <w:bookmarkEnd w:id="385"/>
      <w:bookmarkStart w:id="386" w:name="_Toc520356167"/>
    </w:p>
    <w:p w14:paraId="567CC3B1">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20.2</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投标文件的澄清</w:t>
      </w:r>
    </w:p>
    <w:p w14:paraId="45FA71B6">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20.2.1在评标期间，评标委员会将以书面方式要求投标人对其投标文件中含义不明确、对同类问题表述不一致或者有明显文字和计算错误的内容，以及评标委员会认为投标人的报价明显低于其他通过符合性检查投标人的报价，有可能影响履约的情况作必要的澄清、说明或补正。投标人的澄清、说明或补正应在评标委员会规定的时间内以书面方式进行，并不得超出投标文件范围或者改变投标文件的实质性内容。</w:t>
      </w:r>
    </w:p>
    <w:p w14:paraId="515D85D5">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20.2.2投标人的的澄清、说明或补正将作为投标文件的一部分。</w:t>
      </w:r>
    </w:p>
    <w:p w14:paraId="52096737">
      <w:pPr>
        <w:keepNext w:val="0"/>
        <w:keepLines w:val="0"/>
        <w:pageBreakBefore w:val="0"/>
        <w:widowControl w:val="0"/>
        <w:wordWrap/>
        <w:overflowPunct/>
        <w:topLinePunct w:val="0"/>
        <w:bidi w:val="0"/>
        <w:spacing w:line="288" w:lineRule="auto"/>
        <w:ind w:left="904" w:hanging="900" w:hangingChars="375"/>
        <w:rPr>
          <w:rFonts w:hint="eastAsia"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20.3投标文件报价出现前后不一致的，按照下列规定修正：</w:t>
      </w:r>
    </w:p>
    <w:p w14:paraId="7D4C21ED">
      <w:pPr>
        <w:keepNext w:val="0"/>
        <w:keepLines w:val="0"/>
        <w:pageBreakBefore w:val="0"/>
        <w:widowControl w:val="0"/>
        <w:wordWrap/>
        <w:overflowPunct/>
        <w:topLinePunct w:val="0"/>
        <w:bidi w:val="0"/>
        <w:spacing w:line="288" w:lineRule="auto"/>
        <w:ind w:left="1020" w:hanging="1020" w:hangingChars="42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　　（一）投标文件中开标一览表（报价表）内容与投标文件中相应内容不一致的，以开标一览表（报价表）为准；</w:t>
      </w:r>
    </w:p>
    <w:p w14:paraId="04EFFFA0">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　　（二）大写金额和小写金额不一致的，以大写金额为准；</w:t>
      </w:r>
    </w:p>
    <w:p w14:paraId="03DE1E3F">
      <w:pPr>
        <w:keepNext w:val="0"/>
        <w:keepLines w:val="0"/>
        <w:pageBreakBefore w:val="0"/>
        <w:widowControl w:val="0"/>
        <w:wordWrap/>
        <w:overflowPunct/>
        <w:topLinePunct w:val="0"/>
        <w:bidi w:val="0"/>
        <w:spacing w:line="288" w:lineRule="auto"/>
        <w:ind w:left="1020" w:hanging="1020" w:hangingChars="42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　　（三）单价金额小数点或者百分比有明显错位的，以开标一览表的总价为准，并修改单价；</w:t>
      </w:r>
    </w:p>
    <w:p w14:paraId="3018B130">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　　（四）总价金额与按单价汇总金额不一致的，以单价金额计算结果为准。</w:t>
      </w:r>
    </w:p>
    <w:p w14:paraId="621CCC6E">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　　同时出现两种以上不一致的，按照前款规定的顺序修正。修正后的报价按照第20.2条的规定经投标人确认后产生约束力，投标人不确认的，其投标将被认定为</w:t>
      </w:r>
      <w:r>
        <w:rPr>
          <w:rFonts w:hint="eastAsia" w:ascii="仿宋_GB2312" w:hAnsi="仿宋_GB2312" w:eastAsia="仿宋_GB2312" w:cs="仿宋_GB2312"/>
          <w:b/>
          <w:bCs/>
          <w:sz w:val="24"/>
          <w:highlight w:val="none"/>
        </w:rPr>
        <w:t>投标无效</w:t>
      </w:r>
      <w:r>
        <w:rPr>
          <w:rFonts w:hint="eastAsia" w:ascii="仿宋_GB2312" w:hAnsi="仿宋_GB2312" w:eastAsia="仿宋_GB2312" w:cs="仿宋_GB2312"/>
          <w:sz w:val="24"/>
          <w:highlight w:val="none"/>
        </w:rPr>
        <w:t>。</w:t>
      </w:r>
    </w:p>
    <w:p w14:paraId="1AC5E85B">
      <w:pPr>
        <w:keepNext w:val="0"/>
        <w:keepLines w:val="0"/>
        <w:pageBreakBefore w:val="0"/>
        <w:widowControl w:val="0"/>
        <w:wordWrap/>
        <w:overflowPunct/>
        <w:topLinePunct w:val="0"/>
        <w:bidi w:val="0"/>
        <w:spacing w:line="288" w:lineRule="auto"/>
        <w:ind w:left="735" w:leftChars="350" w:firstLine="120" w:firstLineChars="5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对不同文字文本投标文件的解释发生异议的，以中文文本为准。</w:t>
      </w:r>
    </w:p>
    <w:p w14:paraId="4D7D813E">
      <w:pPr>
        <w:keepNext w:val="0"/>
        <w:keepLines w:val="0"/>
        <w:pageBreakBefore w:val="0"/>
        <w:widowControl w:val="0"/>
        <w:wordWrap/>
        <w:overflowPunct/>
        <w:topLinePunct w:val="0"/>
        <w:bidi w:val="0"/>
        <w:spacing w:line="288" w:lineRule="auto"/>
        <w:ind w:left="904" w:hanging="900" w:hangingChars="375"/>
        <w:rPr>
          <w:rFonts w:hint="eastAsia"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20.4如一个分包内只有一种产品，不同投标人所投产品为同一品牌的，按如下方式处理：</w:t>
      </w:r>
    </w:p>
    <w:p w14:paraId="29D396DB">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20.4.1如本项目使用最低评标价法，提供相同品牌产品的不同投标人以其中通过资格审查、符合性审查且报价最低的参加评标；报价相同的，由采购人或者采购人委托评标委员会按照招标文件第六章中评标办法规定的方式确定一个参加评标的投标人；未规定的采取随机抽取方式确定，其他投标将被认定为</w:t>
      </w:r>
      <w:r>
        <w:rPr>
          <w:rFonts w:hint="eastAsia" w:ascii="仿宋_GB2312" w:hAnsi="仿宋_GB2312" w:eastAsia="仿宋_GB2312" w:cs="仿宋_GB2312"/>
          <w:b/>
          <w:bCs/>
          <w:sz w:val="24"/>
          <w:highlight w:val="none"/>
        </w:rPr>
        <w:t>投标无效</w:t>
      </w:r>
      <w:r>
        <w:rPr>
          <w:rFonts w:hint="eastAsia" w:ascii="仿宋_GB2312" w:hAnsi="仿宋_GB2312" w:eastAsia="仿宋_GB2312" w:cs="仿宋_GB2312"/>
          <w:sz w:val="24"/>
          <w:highlight w:val="none"/>
        </w:rPr>
        <w:t>。</w:t>
      </w:r>
    </w:p>
    <w:p w14:paraId="31D2AC14">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20.4.2如本项目使用综合评分法，提供相同品牌产品且通过资格审查、符合性审查的不同投标人，按一家投标人计算，评审后得分最高的同品牌投标人获得中标人推荐资格；评审得分相同的，由采购人或者采购人委托评标委员会按照招标文件第六章中评标办法规定的方式确定一个投标人获得中标人推荐资格；未规定的采取随机抽取方式确定，其他同品牌投标人不作为中标候选人。</w:t>
      </w:r>
    </w:p>
    <w:p w14:paraId="382553FD">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b/>
          <w:bCs/>
          <w:sz w:val="24"/>
          <w:highlight w:val="none"/>
        </w:rPr>
      </w:pPr>
      <w:r>
        <w:rPr>
          <w:rFonts w:hint="eastAsia" w:ascii="仿宋_GB2312" w:hAnsi="仿宋_GB2312" w:eastAsia="仿宋_GB2312" w:cs="仿宋_GB2312"/>
          <w:sz w:val="24"/>
          <w:highlight w:val="none"/>
        </w:rPr>
        <w:t>20.5</w:t>
      </w:r>
      <w:r>
        <w:rPr>
          <w:rFonts w:hint="eastAsia" w:ascii="仿宋_GB2312" w:hAnsi="仿宋_GB2312" w:eastAsia="仿宋_GB2312" w:cs="仿宋_GB2312"/>
          <w:b/>
          <w:bCs/>
          <w:sz w:val="24"/>
          <w:highlight w:val="none"/>
        </w:rPr>
        <w:t>如一个分包内包含多种产品的，采购人或采购代理机构将在</w:t>
      </w:r>
      <w:r>
        <w:rPr>
          <w:rFonts w:hint="eastAsia" w:ascii="仿宋_GB2312" w:hAnsi="仿宋_GB2312" w:eastAsia="仿宋_GB2312" w:cs="仿宋_GB2312"/>
          <w:b/>
          <w:bCs/>
          <w:sz w:val="24"/>
          <w:highlight w:val="none"/>
          <w:u w:val="single" w:color="000000"/>
        </w:rPr>
        <w:t>投标人须知资料表</w:t>
      </w:r>
      <w:r>
        <w:rPr>
          <w:rFonts w:hint="eastAsia" w:ascii="仿宋_GB2312" w:hAnsi="仿宋_GB2312" w:eastAsia="仿宋_GB2312" w:cs="仿宋_GB2312"/>
          <w:b/>
          <w:bCs/>
          <w:sz w:val="24"/>
          <w:highlight w:val="none"/>
        </w:rPr>
        <w:t>中载明核心产品，多家投标人提供的核心产品品牌相同的，按第20.4条规定处理。</w:t>
      </w:r>
    </w:p>
    <w:p w14:paraId="3A5D17E0">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20.6投标人所投产品如被列入财政部与国家主管部门颁发的节能产品目录或环境标志产品目录，应提供相关证明，在评标时予以优先采购，具体优先采购办法见第六章评标方法和标准。</w:t>
      </w:r>
    </w:p>
    <w:p w14:paraId="616294AC">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如采购人所采购产品为政府强制采购的节能产品，投标人所投产品的品牌及型号必须为清单中有效期内产品并提供证明文件，否则其投标将被认定为</w:t>
      </w:r>
      <w:r>
        <w:rPr>
          <w:rFonts w:hint="eastAsia" w:ascii="仿宋_GB2312" w:hAnsi="仿宋_GB2312" w:eastAsia="仿宋_GB2312" w:cs="仿宋_GB2312"/>
          <w:b/>
          <w:bCs/>
          <w:sz w:val="24"/>
          <w:highlight w:val="none"/>
        </w:rPr>
        <w:t>投标无效</w:t>
      </w:r>
      <w:r>
        <w:rPr>
          <w:rFonts w:hint="eastAsia" w:ascii="仿宋_GB2312" w:hAnsi="仿宋_GB2312" w:eastAsia="仿宋_GB2312" w:cs="仿宋_GB2312"/>
          <w:sz w:val="24"/>
          <w:highlight w:val="none"/>
        </w:rPr>
        <w:t>。</w:t>
      </w:r>
    </w:p>
    <w:p w14:paraId="2C517150">
      <w:pPr>
        <w:pStyle w:val="4"/>
        <w:keepNext w:val="0"/>
        <w:keepLines w:val="0"/>
        <w:pageBreakBefore w:val="0"/>
        <w:widowControl w:val="0"/>
        <w:wordWrap/>
        <w:overflowPunct/>
        <w:topLinePunct w:val="0"/>
        <w:bidi w:val="0"/>
        <w:spacing w:before="0" w:after="0" w:line="288" w:lineRule="auto"/>
        <w:rPr>
          <w:rFonts w:hint="eastAsia" w:ascii="仿宋_GB2312" w:hAnsi="仿宋_GB2312" w:eastAsia="仿宋_GB2312" w:cs="仿宋_GB2312"/>
          <w:highlight w:val="none"/>
        </w:rPr>
      </w:pPr>
      <w:bookmarkStart w:id="387" w:name="_Toc5230"/>
      <w:bookmarkStart w:id="388" w:name="_Toc12839"/>
      <w:bookmarkStart w:id="389" w:name="_Toc15414"/>
      <w:bookmarkStart w:id="390" w:name="_Toc8063"/>
      <w:bookmarkStart w:id="391" w:name="_Toc15628"/>
      <w:bookmarkStart w:id="392" w:name="_Toc6364"/>
      <w:bookmarkStart w:id="393" w:name="_Toc5986"/>
      <w:bookmarkStart w:id="394" w:name="_Toc9469"/>
      <w:bookmarkStart w:id="395" w:name="_Toc6003"/>
      <w:bookmarkStart w:id="396" w:name="_Toc24227"/>
      <w:bookmarkStart w:id="397" w:name="_Toc515647782"/>
      <w:bookmarkStart w:id="398" w:name="_Toc15064"/>
      <w:bookmarkStart w:id="399" w:name="_Toc25623"/>
      <w:bookmarkStart w:id="400" w:name="_Toc18529"/>
      <w:r>
        <w:rPr>
          <w:rFonts w:hint="eastAsia" w:ascii="仿宋_GB2312" w:hAnsi="仿宋_GB2312" w:eastAsia="仿宋_GB2312" w:cs="仿宋_GB2312"/>
          <w:highlight w:val="none"/>
        </w:rPr>
        <w:t>21.投标偏离</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14:paraId="2F8A6686">
      <w:pPr>
        <w:keepNext w:val="0"/>
        <w:keepLines w:val="0"/>
        <w:pageBreakBefore w:val="0"/>
        <w:widowControl w:val="0"/>
        <w:wordWrap/>
        <w:overflowPunct/>
        <w:topLinePunct w:val="0"/>
        <w:bidi w:val="0"/>
        <w:spacing w:line="288" w:lineRule="auto"/>
        <w:ind w:left="847" w:leftChars="99" w:hanging="640" w:hangingChars="267"/>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评标委员会可以接受投标文件中不构成实质性偏离的不正规或不一致。</w:t>
      </w:r>
    </w:p>
    <w:p w14:paraId="7607681D">
      <w:pPr>
        <w:pStyle w:val="4"/>
        <w:keepNext w:val="0"/>
        <w:keepLines w:val="0"/>
        <w:pageBreakBefore w:val="0"/>
        <w:widowControl w:val="0"/>
        <w:wordWrap/>
        <w:overflowPunct/>
        <w:topLinePunct w:val="0"/>
        <w:bidi w:val="0"/>
        <w:spacing w:before="0" w:after="0" w:line="288" w:lineRule="auto"/>
        <w:rPr>
          <w:rFonts w:hint="eastAsia" w:ascii="仿宋_GB2312" w:hAnsi="仿宋_GB2312" w:eastAsia="仿宋_GB2312" w:cs="仿宋_GB2312"/>
          <w:highlight w:val="none"/>
        </w:rPr>
      </w:pPr>
      <w:bookmarkStart w:id="401" w:name="_Toc515647783"/>
      <w:bookmarkStart w:id="402" w:name="_Toc506"/>
      <w:bookmarkStart w:id="403" w:name="_Toc4950"/>
      <w:bookmarkStart w:id="404" w:name="_Toc21597"/>
      <w:bookmarkStart w:id="405" w:name="_Toc21189"/>
      <w:bookmarkStart w:id="406" w:name="_Toc32270"/>
      <w:bookmarkStart w:id="407" w:name="_Toc18719"/>
      <w:bookmarkStart w:id="408" w:name="_Toc17567"/>
      <w:bookmarkStart w:id="409" w:name="_Toc27913"/>
      <w:bookmarkStart w:id="410" w:name="_Toc21694"/>
      <w:bookmarkStart w:id="411" w:name="_Toc15752"/>
      <w:bookmarkStart w:id="412" w:name="_Toc23936"/>
      <w:bookmarkStart w:id="413" w:name="_Toc6092"/>
      <w:bookmarkStart w:id="414" w:name="_Toc7006"/>
      <w:r>
        <w:rPr>
          <w:rFonts w:hint="eastAsia" w:ascii="仿宋_GB2312" w:hAnsi="仿宋_GB2312" w:eastAsia="仿宋_GB2312" w:cs="仿宋_GB2312"/>
          <w:highlight w:val="none"/>
        </w:rPr>
        <w:t>22.投标</w:t>
      </w:r>
      <w:bookmarkEnd w:id="401"/>
      <w:r>
        <w:rPr>
          <w:rFonts w:hint="eastAsia" w:ascii="仿宋_GB2312" w:hAnsi="仿宋_GB2312" w:eastAsia="仿宋_GB2312" w:cs="仿宋_GB2312"/>
          <w:highlight w:val="none"/>
        </w:rPr>
        <w:t>无效</w:t>
      </w:r>
      <w:bookmarkEnd w:id="402"/>
      <w:bookmarkEnd w:id="403"/>
      <w:bookmarkEnd w:id="404"/>
      <w:bookmarkEnd w:id="405"/>
      <w:bookmarkEnd w:id="406"/>
      <w:bookmarkEnd w:id="407"/>
      <w:bookmarkEnd w:id="408"/>
      <w:bookmarkEnd w:id="409"/>
      <w:bookmarkEnd w:id="410"/>
      <w:bookmarkEnd w:id="411"/>
      <w:bookmarkEnd w:id="412"/>
      <w:bookmarkEnd w:id="413"/>
      <w:bookmarkEnd w:id="414"/>
    </w:p>
    <w:p w14:paraId="5D51DA3B">
      <w:pPr>
        <w:keepNext w:val="0"/>
        <w:keepLines w:val="0"/>
        <w:pageBreakBefore w:val="0"/>
        <w:widowControl w:val="0"/>
        <w:wordWrap/>
        <w:overflowPunct/>
        <w:topLinePunct w:val="0"/>
        <w:bidi w:val="0"/>
        <w:spacing w:line="288" w:lineRule="auto"/>
        <w:ind w:left="852" w:leftChars="-23"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22.1在比较与评价之前，根据本须知的规定，评标委员会要审查每份投标文件是否实质上响应了招标文件的要求。实质上响应的投标应该是与招标文件要求的全部条款、条件和规格相符，没有重大偏离的投标。对关键条款的偏离，将被认定为</w:t>
      </w:r>
      <w:r>
        <w:rPr>
          <w:rFonts w:hint="eastAsia" w:ascii="仿宋_GB2312" w:hAnsi="仿宋_GB2312" w:eastAsia="仿宋_GB2312" w:cs="仿宋_GB2312"/>
          <w:b/>
          <w:bCs/>
          <w:sz w:val="24"/>
          <w:highlight w:val="none"/>
        </w:rPr>
        <w:t>投标无效</w:t>
      </w:r>
      <w:r>
        <w:rPr>
          <w:rFonts w:hint="eastAsia" w:ascii="仿宋_GB2312" w:hAnsi="仿宋_GB2312" w:eastAsia="仿宋_GB2312" w:cs="仿宋_GB2312"/>
          <w:sz w:val="24"/>
          <w:highlight w:val="none"/>
        </w:rPr>
        <w:t>。投标人不得通过修正或撤销不符合要求的偏离，从而使其投标成为实质上响应的投标。</w:t>
      </w:r>
    </w:p>
    <w:p w14:paraId="52AD6322">
      <w:pPr>
        <w:keepNext w:val="0"/>
        <w:keepLines w:val="0"/>
        <w:pageBreakBefore w:val="0"/>
        <w:widowControl w:val="0"/>
        <w:wordWrap/>
        <w:overflowPunct/>
        <w:topLinePunct w:val="0"/>
        <w:bidi w:val="0"/>
        <w:spacing w:line="288" w:lineRule="auto"/>
        <w:ind w:left="791" w:leftChars="377"/>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评标委员会决定投标的响应性只根据招标文件要求、投标文件内容及财政主管部门指定相关信息发布媒体。</w:t>
      </w:r>
    </w:p>
    <w:p w14:paraId="027DDCBB">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b/>
          <w:bCs/>
          <w:sz w:val="24"/>
          <w:highlight w:val="none"/>
        </w:rPr>
      </w:pPr>
      <w:r>
        <w:rPr>
          <w:rFonts w:hint="eastAsia" w:ascii="仿宋_GB2312" w:hAnsi="仿宋_GB2312" w:eastAsia="仿宋_GB2312" w:cs="仿宋_GB2312"/>
          <w:sz w:val="24"/>
          <w:highlight w:val="none"/>
        </w:rPr>
        <w:t>22.2</w:t>
      </w:r>
      <w:r>
        <w:rPr>
          <w:rFonts w:hint="eastAsia" w:ascii="仿宋_GB2312" w:hAnsi="仿宋_GB2312" w:eastAsia="仿宋_GB2312" w:cs="仿宋_GB2312"/>
          <w:sz w:val="24"/>
          <w:highlight w:val="none"/>
        </w:rPr>
        <w:tab/>
      </w:r>
      <w:r>
        <w:rPr>
          <w:rFonts w:hint="eastAsia" w:ascii="仿宋_GB2312" w:hAnsi="仿宋_GB2312" w:eastAsia="仿宋_GB2312" w:cs="仿宋_GB2312"/>
          <w:b/>
          <w:bCs/>
          <w:sz w:val="24"/>
          <w:highlight w:val="none"/>
        </w:rPr>
        <w:t>如发现下列情况之一的，其投标将被认定为投标无效：（以下情形应当在招标文件中规定，并以醒目的方式标明）</w:t>
      </w:r>
    </w:p>
    <w:p w14:paraId="6FB9ECE4">
      <w:pPr>
        <w:keepNext w:val="0"/>
        <w:keepLines w:val="0"/>
        <w:pageBreakBefore w:val="0"/>
        <w:widowControl w:val="0"/>
        <w:numPr>
          <w:ilvl w:val="0"/>
          <w:numId w:val="6"/>
        </w:numPr>
        <w:wordWrap/>
        <w:overflowPunct/>
        <w:topLinePunct w:val="0"/>
        <w:bidi w:val="0"/>
        <w:spacing w:line="288" w:lineRule="auto"/>
        <w:ind w:left="1080" w:leftChars="429" w:hanging="1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未按招标文件规定的形式和金额提交投标保证金的；</w:t>
      </w:r>
    </w:p>
    <w:p w14:paraId="503E5F33">
      <w:pPr>
        <w:keepNext w:val="0"/>
        <w:keepLines w:val="0"/>
        <w:pageBreakBefore w:val="0"/>
        <w:widowControl w:val="0"/>
        <w:numPr>
          <w:ilvl w:val="0"/>
          <w:numId w:val="6"/>
        </w:numPr>
        <w:wordWrap/>
        <w:overflowPunct/>
        <w:topLinePunct w:val="0"/>
        <w:bidi w:val="0"/>
        <w:spacing w:line="288" w:lineRule="auto"/>
        <w:ind w:left="1080" w:leftChars="429" w:hanging="1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未按照招标文件规定要求签署、盖章的；</w:t>
      </w:r>
    </w:p>
    <w:p w14:paraId="1679160E">
      <w:pPr>
        <w:keepNext w:val="0"/>
        <w:keepLines w:val="0"/>
        <w:pageBreakBefore w:val="0"/>
        <w:widowControl w:val="0"/>
        <w:numPr>
          <w:ilvl w:val="0"/>
          <w:numId w:val="6"/>
        </w:numPr>
        <w:wordWrap/>
        <w:overflowPunct/>
        <w:topLinePunct w:val="0"/>
        <w:bidi w:val="0"/>
        <w:spacing w:line="288" w:lineRule="auto"/>
        <w:ind w:left="1080" w:leftChars="429" w:hanging="1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未满足招标文件中技术条款的实质性要求；</w:t>
      </w:r>
    </w:p>
    <w:p w14:paraId="23E16DEF">
      <w:pPr>
        <w:keepNext w:val="0"/>
        <w:keepLines w:val="0"/>
        <w:pageBreakBefore w:val="0"/>
        <w:widowControl w:val="0"/>
        <w:numPr>
          <w:ilvl w:val="0"/>
          <w:numId w:val="6"/>
        </w:numPr>
        <w:wordWrap/>
        <w:overflowPunct/>
        <w:topLinePunct w:val="0"/>
        <w:bidi w:val="0"/>
        <w:spacing w:line="288" w:lineRule="auto"/>
        <w:ind w:left="1080" w:leftChars="429" w:hanging="1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与其他投标人串通投标，或者与招标人串通投标；</w:t>
      </w:r>
    </w:p>
    <w:p w14:paraId="64B921D0">
      <w:pPr>
        <w:keepNext w:val="0"/>
        <w:keepLines w:val="0"/>
        <w:pageBreakBefore w:val="0"/>
        <w:widowControl w:val="0"/>
        <w:numPr>
          <w:ilvl w:val="0"/>
          <w:numId w:val="6"/>
        </w:numPr>
        <w:wordWrap/>
        <w:overflowPunct/>
        <w:topLinePunct w:val="0"/>
        <w:bidi w:val="0"/>
        <w:spacing w:line="288" w:lineRule="auto"/>
        <w:ind w:left="1080" w:leftChars="429" w:hanging="1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属于招标文件规定的其他</w:t>
      </w:r>
      <w:r>
        <w:rPr>
          <w:rFonts w:hint="eastAsia" w:ascii="仿宋_GB2312" w:hAnsi="仿宋_GB2312" w:eastAsia="仿宋_GB2312" w:cs="仿宋_GB2312"/>
          <w:b/>
          <w:bCs/>
          <w:sz w:val="24"/>
          <w:highlight w:val="none"/>
        </w:rPr>
        <w:t>投标无效</w:t>
      </w:r>
      <w:r>
        <w:rPr>
          <w:rFonts w:hint="eastAsia" w:ascii="仿宋_GB2312" w:hAnsi="仿宋_GB2312" w:eastAsia="仿宋_GB2312" w:cs="仿宋_GB2312"/>
          <w:sz w:val="24"/>
          <w:highlight w:val="none"/>
        </w:rPr>
        <w:t>情形；</w:t>
      </w:r>
    </w:p>
    <w:p w14:paraId="722EBC01">
      <w:pPr>
        <w:keepNext w:val="0"/>
        <w:keepLines w:val="0"/>
        <w:pageBreakBefore w:val="0"/>
        <w:widowControl w:val="0"/>
        <w:numPr>
          <w:ilvl w:val="0"/>
          <w:numId w:val="6"/>
        </w:numPr>
        <w:wordWrap/>
        <w:overflowPunct/>
        <w:topLinePunct w:val="0"/>
        <w:bidi w:val="0"/>
        <w:spacing w:line="288" w:lineRule="auto"/>
        <w:ind w:left="1080" w:leftChars="429" w:hanging="1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评标委员会认为投标人的报价明显低于其他通过符合性检查投标人的报价，有可能影响履约的，且投标人未按照规定证明其报价合理性的；</w:t>
      </w:r>
    </w:p>
    <w:p w14:paraId="056A6802">
      <w:pPr>
        <w:keepNext w:val="0"/>
        <w:keepLines w:val="0"/>
        <w:pageBreakBefore w:val="0"/>
        <w:widowControl w:val="0"/>
        <w:numPr>
          <w:ilvl w:val="0"/>
          <w:numId w:val="6"/>
        </w:numPr>
        <w:wordWrap/>
        <w:overflowPunct/>
        <w:topLinePunct w:val="0"/>
        <w:bidi w:val="0"/>
        <w:spacing w:line="288" w:lineRule="auto"/>
        <w:ind w:left="1080" w:leftChars="429" w:hanging="1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投标文件含有采购人不能接受的附加条件的；</w:t>
      </w:r>
    </w:p>
    <w:p w14:paraId="72F5D4BB">
      <w:pPr>
        <w:keepNext w:val="0"/>
        <w:keepLines w:val="0"/>
        <w:pageBreakBefore w:val="0"/>
        <w:widowControl w:val="0"/>
        <w:numPr>
          <w:ilvl w:val="0"/>
          <w:numId w:val="6"/>
        </w:numPr>
        <w:tabs>
          <w:tab w:val="left" w:pos="0"/>
        </w:tabs>
        <w:wordWrap/>
        <w:overflowPunct/>
        <w:topLinePunct w:val="0"/>
        <w:bidi w:val="0"/>
        <w:spacing w:line="288" w:lineRule="auto"/>
        <w:ind w:left="1080" w:leftChars="429" w:hanging="1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不符合法规和招标文件中规定的其他实质性要求的。</w:t>
      </w:r>
    </w:p>
    <w:p w14:paraId="27451B3B">
      <w:pPr>
        <w:keepNext w:val="0"/>
        <w:keepLines w:val="0"/>
        <w:pageBreakBefore w:val="0"/>
        <w:widowControl w:val="0"/>
        <w:tabs>
          <w:tab w:val="left" w:pos="0"/>
        </w:tabs>
        <w:wordWrap/>
        <w:overflowPunct/>
        <w:topLinePunct w:val="0"/>
        <w:bidi w:val="0"/>
        <w:spacing w:line="288" w:lineRule="auto"/>
        <w:rPr>
          <w:rFonts w:hint="eastAsia" w:ascii="仿宋_GB2312" w:hAnsi="仿宋_GB2312" w:eastAsia="仿宋_GB2312" w:cs="仿宋_GB2312"/>
          <w:b/>
          <w:bCs/>
          <w:sz w:val="24"/>
          <w:highlight w:val="none"/>
        </w:rPr>
      </w:pPr>
      <w:bookmarkStart w:id="415" w:name="_Toc22941"/>
      <w:bookmarkStart w:id="416" w:name="_Toc8521"/>
      <w:bookmarkStart w:id="417" w:name="_Toc13652"/>
      <w:bookmarkStart w:id="418" w:name="_Toc515647784"/>
      <w:r>
        <w:rPr>
          <w:rFonts w:hint="eastAsia" w:ascii="仿宋_GB2312" w:hAnsi="仿宋_GB2312" w:eastAsia="仿宋_GB2312" w:cs="仿宋_GB2312"/>
          <w:b/>
          <w:bCs/>
          <w:sz w:val="24"/>
          <w:highlight w:val="none"/>
        </w:rPr>
        <w:t>23.</w:t>
      </w:r>
      <w:bookmarkEnd w:id="386"/>
      <w:r>
        <w:rPr>
          <w:rFonts w:hint="eastAsia" w:ascii="仿宋_GB2312" w:hAnsi="仿宋_GB2312" w:eastAsia="仿宋_GB2312" w:cs="仿宋_GB2312"/>
          <w:b/>
          <w:bCs/>
          <w:sz w:val="24"/>
          <w:highlight w:val="none"/>
        </w:rPr>
        <w:t>比较与评价</w:t>
      </w:r>
      <w:bookmarkEnd w:id="415"/>
      <w:bookmarkEnd w:id="416"/>
      <w:bookmarkEnd w:id="417"/>
      <w:bookmarkEnd w:id="418"/>
    </w:p>
    <w:p w14:paraId="54CA2CC3">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23.1</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经符合性审查合格的投标文件，评标委员会将根据招标文件确定的评标方法和标准，对其投标文件作进一步的比较和评价。</w:t>
      </w:r>
    </w:p>
    <w:p w14:paraId="6E85E7F9">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23.2</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评标严格按照招标文件的要求和条件进行。根据实际情况，在</w:t>
      </w:r>
      <w:r>
        <w:rPr>
          <w:rFonts w:hint="eastAsia" w:ascii="仿宋_GB2312" w:hAnsi="仿宋_GB2312" w:eastAsia="仿宋_GB2312" w:cs="仿宋_GB2312"/>
          <w:sz w:val="24"/>
          <w:highlight w:val="none"/>
          <w:u w:val="single" w:color="000000"/>
        </w:rPr>
        <w:t>投标人须知资料表</w:t>
      </w:r>
      <w:r>
        <w:rPr>
          <w:rFonts w:hint="eastAsia" w:ascii="仿宋_GB2312" w:hAnsi="仿宋_GB2312" w:eastAsia="仿宋_GB2312" w:cs="仿宋_GB2312"/>
          <w:sz w:val="24"/>
          <w:highlight w:val="none"/>
        </w:rPr>
        <w:t>中规定采用下列一种评标方法，详细评标标准见招标文件第六章：</w:t>
      </w:r>
    </w:p>
    <w:p w14:paraId="0713A004">
      <w:pPr>
        <w:pStyle w:val="13"/>
        <w:keepNext w:val="0"/>
        <w:keepLines w:val="0"/>
        <w:pageBreakBefore w:val="0"/>
        <w:widowControl w:val="0"/>
        <w:wordWrap/>
        <w:overflowPunct/>
        <w:topLinePunct w:val="0"/>
        <w:bidi w:val="0"/>
        <w:spacing w:line="288" w:lineRule="auto"/>
        <w:ind w:left="899" w:leftChars="342" w:hanging="181"/>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（1）最低评标价法，是指投标文件满足招标文件全部实质性要求，且投标报价最低的投标人为中标候选人的评标方法。</w:t>
      </w:r>
    </w:p>
    <w:p w14:paraId="25C196BA">
      <w:pPr>
        <w:pStyle w:val="13"/>
        <w:keepNext w:val="0"/>
        <w:keepLines w:val="0"/>
        <w:pageBreakBefore w:val="0"/>
        <w:widowControl w:val="0"/>
        <w:wordWrap/>
        <w:overflowPunct/>
        <w:topLinePunct w:val="0"/>
        <w:bidi w:val="0"/>
        <w:spacing w:line="288" w:lineRule="auto"/>
        <w:ind w:left="898" w:leftChars="342" w:hanging="1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（2）综合评分法，是指投标文件满足招标文件全部实质性要求，且按照评审因素的量化指标评审得分最高的投标人为中标候选人的评标方法。</w:t>
      </w:r>
    </w:p>
    <w:p w14:paraId="52CAC02A">
      <w:pPr>
        <w:pStyle w:val="13"/>
        <w:keepNext w:val="0"/>
        <w:keepLines w:val="0"/>
        <w:pageBreakBefore w:val="0"/>
        <w:widowControl w:val="0"/>
        <w:wordWrap/>
        <w:overflowPunct/>
        <w:topLinePunct w:val="0"/>
        <w:bidi w:val="0"/>
        <w:spacing w:line="288" w:lineRule="auto"/>
        <w:rPr>
          <w:rFonts w:hint="eastAsia" w:ascii="仿宋_GB2312" w:hAnsi="仿宋_GB2312" w:eastAsia="仿宋_GB2312" w:cs="仿宋_GB2312"/>
          <w:sz w:val="24"/>
          <w:szCs w:val="24"/>
          <w:highlight w:val="none"/>
          <w:u w:val="single"/>
        </w:rPr>
      </w:pPr>
      <w:r>
        <w:rPr>
          <w:rFonts w:hint="eastAsia" w:hAnsi="宋体" w:cs="宋体"/>
          <w:sz w:val="24"/>
          <w:szCs w:val="24"/>
          <w:highlight w:val="none"/>
        </w:rPr>
        <w:t>23.3</w:t>
      </w:r>
      <w:r>
        <w:rPr>
          <w:rFonts w:hint="eastAsia" w:ascii="仿宋_GB2312" w:hAnsi="仿宋_GB2312" w:eastAsia="仿宋_GB2312" w:cs="仿宋_GB2312"/>
          <w:sz w:val="24"/>
          <w:szCs w:val="24"/>
          <w:highlight w:val="none"/>
          <w:u w:val="single"/>
        </w:rPr>
        <w:t>根据《政府采购促进中小企业发展管理办法》(财库「2020]46号)、《关</w:t>
      </w:r>
    </w:p>
    <w:p w14:paraId="1BD6BCE2">
      <w:pPr>
        <w:pStyle w:val="13"/>
        <w:keepNext w:val="0"/>
        <w:keepLines w:val="0"/>
        <w:pageBreakBefore w:val="0"/>
        <w:widowControl w:val="0"/>
        <w:wordWrap/>
        <w:overflowPunct/>
        <w:topLinePunct w:val="0"/>
        <w:bidi w:val="0"/>
        <w:spacing w:line="288" w:lineRule="auto"/>
        <w:ind w:left="718" w:leftChars="342"/>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u w:val="single"/>
        </w:rPr>
        <w:t>于进一步加大政府采购支持中小企业力度的通知》(财库[2022]19号)《关于落实好政府采购支持中小企业发展的通知》（新财购〔2022〕22号）、《财政部司法部关于政府采购支持监狱企业发展有关问题的通知》(财库(2014)68号)和《三部门联合发布关于促进残疾人就业政府采购政策的通知》(财库(2017)141号)的规定。对满足价格扣除条件且在投标文件中提交了《投标人企业类型声明函》或省级以上监狱管理局、戒毒管理局(含新疆生产建设兵团)出具的属于监狱企业的证明文件的投标人，其投标报价扣除10-20%后参与评审。具体办法详见招标文件第6章。</w:t>
      </w:r>
    </w:p>
    <w:p w14:paraId="7270524C">
      <w:pPr>
        <w:pStyle w:val="13"/>
        <w:keepNext w:val="0"/>
        <w:keepLines w:val="0"/>
        <w:pageBreakBefore w:val="0"/>
        <w:widowControl w:val="0"/>
        <w:wordWrap/>
        <w:overflowPunct/>
        <w:topLinePunct w:val="0"/>
        <w:bidi w:val="0"/>
        <w:spacing w:line="288" w:lineRule="auto"/>
        <w:ind w:left="898" w:leftChars="342" w:hanging="180"/>
        <w:rPr>
          <w:rFonts w:hint="eastAsia" w:ascii="仿宋_GB2312" w:hAnsi="仿宋_GB2312" w:eastAsia="仿宋_GB2312" w:cs="仿宋_GB2312"/>
          <w:sz w:val="24"/>
          <w:szCs w:val="24"/>
          <w:highlight w:val="none"/>
        </w:rPr>
      </w:pPr>
    </w:p>
    <w:p w14:paraId="08E1226A">
      <w:pPr>
        <w:pStyle w:val="14"/>
        <w:rPr>
          <w:rFonts w:hint="eastAsia"/>
          <w:highlight w:val="none"/>
        </w:rPr>
      </w:pPr>
    </w:p>
    <w:p w14:paraId="50E92081">
      <w:pPr>
        <w:pStyle w:val="4"/>
        <w:keepNext w:val="0"/>
        <w:keepLines w:val="0"/>
        <w:pageBreakBefore w:val="0"/>
        <w:widowControl w:val="0"/>
        <w:wordWrap/>
        <w:overflowPunct/>
        <w:topLinePunct w:val="0"/>
        <w:bidi w:val="0"/>
        <w:spacing w:before="0" w:after="0" w:line="288" w:lineRule="auto"/>
        <w:rPr>
          <w:rFonts w:hint="eastAsia" w:ascii="仿宋_GB2312" w:hAnsi="仿宋_GB2312" w:eastAsia="仿宋_GB2312" w:cs="仿宋_GB2312"/>
          <w:highlight w:val="none"/>
        </w:rPr>
      </w:pPr>
      <w:bookmarkStart w:id="419" w:name="_Toc520356168"/>
      <w:bookmarkStart w:id="420" w:name="_Toc20227"/>
      <w:bookmarkStart w:id="421" w:name="_Toc9378"/>
      <w:bookmarkStart w:id="422" w:name="_Toc8424"/>
      <w:bookmarkStart w:id="423" w:name="_Toc11401"/>
      <w:bookmarkStart w:id="424" w:name="_Toc515647785"/>
      <w:bookmarkStart w:id="425" w:name="_Toc18871"/>
      <w:bookmarkStart w:id="426" w:name="_Toc14242"/>
      <w:bookmarkStart w:id="427" w:name="_Toc31728"/>
      <w:bookmarkStart w:id="428" w:name="_Toc15293"/>
      <w:bookmarkStart w:id="429" w:name="_Toc15050"/>
      <w:bookmarkStart w:id="430" w:name="_Toc23673"/>
      <w:bookmarkStart w:id="431" w:name="_Toc18723"/>
      <w:bookmarkStart w:id="432" w:name="_Toc29670"/>
      <w:bookmarkStart w:id="433" w:name="_Toc17546"/>
      <w:r>
        <w:rPr>
          <w:rFonts w:hint="eastAsia" w:ascii="仿宋_GB2312" w:hAnsi="仿宋_GB2312" w:eastAsia="仿宋_GB2312" w:cs="仿宋_GB2312"/>
          <w:highlight w:val="none"/>
        </w:rPr>
        <w:t>24</w:t>
      </w:r>
      <w:bookmarkEnd w:id="419"/>
      <w:r>
        <w:rPr>
          <w:rFonts w:hint="eastAsia" w:ascii="仿宋_GB2312" w:hAnsi="仿宋_GB2312" w:eastAsia="仿宋_GB2312" w:cs="仿宋_GB2312"/>
          <w:highlight w:val="none"/>
        </w:rPr>
        <w:t>.废标</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14:paraId="3B006820">
      <w:pPr>
        <w:keepNext w:val="0"/>
        <w:keepLines w:val="0"/>
        <w:pageBreakBefore w:val="0"/>
        <w:widowControl w:val="0"/>
        <w:wordWrap/>
        <w:overflowPunct/>
        <w:topLinePunct w:val="0"/>
        <w:bidi w:val="0"/>
        <w:spacing w:line="288" w:lineRule="auto"/>
        <w:ind w:left="897" w:leftChars="399" w:hanging="60" w:hangingChars="25"/>
        <w:rPr>
          <w:rFonts w:hint="eastAsia" w:ascii="仿宋_GB2312" w:hAnsi="仿宋_GB2312" w:eastAsia="仿宋_GB2312" w:cs="仿宋_GB2312"/>
          <w:sz w:val="24"/>
          <w:highlight w:val="none"/>
          <w:lang w:eastAsia="zh-CN"/>
        </w:rPr>
      </w:pPr>
      <w:r>
        <w:rPr>
          <w:rFonts w:hint="eastAsia" w:ascii="仿宋_GB2312" w:hAnsi="仿宋_GB2312" w:eastAsia="仿宋_GB2312" w:cs="仿宋_GB2312"/>
          <w:sz w:val="24"/>
          <w:highlight w:val="none"/>
        </w:rPr>
        <w:t>出现下列情形之一，将导致项目废标：</w:t>
      </w:r>
    </w:p>
    <w:p w14:paraId="0F6BF102">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（1）符合专业条件的供应商或者对招标文件做实质性响应的供应商不足三家；</w:t>
      </w:r>
    </w:p>
    <w:p w14:paraId="288C09AF">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（2）出现影响采购公正的违法、违规行为的；</w:t>
      </w:r>
    </w:p>
    <w:p w14:paraId="65647D77">
      <w:pPr>
        <w:keepNext w:val="0"/>
        <w:keepLines w:val="0"/>
        <w:pageBreakBefore w:val="0"/>
        <w:widowControl w:val="0"/>
        <w:wordWrap/>
        <w:overflowPunct/>
        <w:topLinePunct w:val="0"/>
        <w:bidi w:val="0"/>
        <w:spacing w:line="288" w:lineRule="auto"/>
        <w:ind w:firstLine="840" w:firstLineChars="35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（3）投标人的报价均超过了采购预算，采购人不能支付的；</w:t>
      </w:r>
    </w:p>
    <w:p w14:paraId="1DE42B27">
      <w:pPr>
        <w:keepNext w:val="0"/>
        <w:keepLines w:val="0"/>
        <w:pageBreakBefore w:val="0"/>
        <w:widowControl w:val="0"/>
        <w:wordWrap/>
        <w:overflowPunct/>
        <w:topLinePunct w:val="0"/>
        <w:bidi w:val="0"/>
        <w:spacing w:line="288" w:lineRule="auto"/>
        <w:ind w:firstLine="840" w:firstLineChars="350"/>
        <w:rPr>
          <w:rFonts w:hint="eastAsia" w:ascii="仿宋_GB2312" w:hAnsi="仿宋_GB2312" w:eastAsia="仿宋_GB2312" w:cs="仿宋_GB2312"/>
          <w:sz w:val="24"/>
          <w:highlight w:val="none"/>
          <w:lang w:eastAsia="zh-CN"/>
        </w:rPr>
      </w:pPr>
      <w:r>
        <w:rPr>
          <w:rFonts w:hint="eastAsia" w:ascii="仿宋_GB2312" w:hAnsi="仿宋_GB2312" w:eastAsia="仿宋_GB2312" w:cs="仿宋_GB2312"/>
          <w:sz w:val="24"/>
          <w:highlight w:val="none"/>
        </w:rPr>
        <w:t>（4）因重大变故，采购任务取消的。</w:t>
      </w:r>
    </w:p>
    <w:p w14:paraId="6496ABE2">
      <w:pPr>
        <w:pStyle w:val="4"/>
        <w:keepNext w:val="0"/>
        <w:keepLines w:val="0"/>
        <w:pageBreakBefore w:val="0"/>
        <w:widowControl w:val="0"/>
        <w:wordWrap/>
        <w:overflowPunct/>
        <w:topLinePunct w:val="0"/>
        <w:bidi w:val="0"/>
        <w:spacing w:before="0" w:after="0" w:line="288" w:lineRule="auto"/>
        <w:rPr>
          <w:rFonts w:hint="eastAsia" w:ascii="仿宋_GB2312" w:hAnsi="仿宋_GB2312" w:eastAsia="仿宋_GB2312" w:cs="仿宋_GB2312"/>
          <w:highlight w:val="none"/>
        </w:rPr>
      </w:pPr>
      <w:bookmarkStart w:id="434" w:name="_Toc24972"/>
      <w:bookmarkStart w:id="435" w:name="_Toc515647786"/>
      <w:bookmarkStart w:id="436" w:name="_Toc27384"/>
      <w:bookmarkStart w:id="437" w:name="_Toc16912"/>
      <w:bookmarkStart w:id="438" w:name="_Toc12228"/>
      <w:bookmarkStart w:id="439" w:name="_Toc10707"/>
      <w:bookmarkStart w:id="440" w:name="_Toc11699"/>
      <w:bookmarkStart w:id="441" w:name="_Toc31289"/>
      <w:bookmarkStart w:id="442" w:name="_Toc19908"/>
      <w:bookmarkStart w:id="443" w:name="_Toc13610"/>
      <w:bookmarkStart w:id="444" w:name="_Toc30826"/>
      <w:bookmarkStart w:id="445" w:name="_Toc11175"/>
      <w:bookmarkStart w:id="446" w:name="_Toc30606"/>
      <w:bookmarkStart w:id="447" w:name="_Toc20311"/>
      <w:bookmarkStart w:id="448" w:name="_Toc520356169"/>
      <w:r>
        <w:rPr>
          <w:rFonts w:hint="eastAsia" w:ascii="仿宋_GB2312" w:hAnsi="仿宋_GB2312" w:eastAsia="仿宋_GB2312" w:cs="仿宋_GB2312"/>
          <w:highlight w:val="none"/>
        </w:rPr>
        <w:t>25.保密原则</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14:paraId="1DFA327F">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25.1</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评标将在严格保密的情况下进行。</w:t>
      </w:r>
    </w:p>
    <w:p w14:paraId="789326BE">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25.2</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政府采购评审专家应当遵守评审工作纪律，不得泄露评审文件、评审情况和评审中获悉的商业秘密。</w:t>
      </w:r>
      <w:bookmarkStart w:id="449" w:name="_Toc2153"/>
      <w:bookmarkStart w:id="450" w:name="_Toc23904"/>
      <w:bookmarkStart w:id="451" w:name="_Toc12143"/>
      <w:bookmarkStart w:id="452" w:name="_Toc515647787"/>
      <w:bookmarkStart w:id="453" w:name="_Toc216582810"/>
    </w:p>
    <w:p w14:paraId="1583C727">
      <w:pPr>
        <w:pStyle w:val="3"/>
        <w:keepNext w:val="0"/>
        <w:keepLines w:val="0"/>
        <w:pageBreakBefore w:val="0"/>
        <w:widowControl w:val="0"/>
        <w:wordWrap/>
        <w:overflowPunct/>
        <w:topLinePunct w:val="0"/>
        <w:bidi w:val="0"/>
        <w:spacing w:before="0" w:line="288" w:lineRule="auto"/>
        <w:ind w:left="1257" w:leftChars="599" w:firstLine="2500" w:firstLineChars="1042"/>
        <w:jc w:val="both"/>
        <w:rPr>
          <w:rFonts w:hint="eastAsia" w:ascii="仿宋_GB2312" w:hAnsi="仿宋_GB2312" w:eastAsia="仿宋_GB2312" w:cs="仿宋_GB2312"/>
          <w:sz w:val="24"/>
          <w:highlight w:val="none"/>
        </w:rPr>
      </w:pPr>
      <w:bookmarkStart w:id="454" w:name="_Toc29576"/>
      <w:bookmarkStart w:id="455" w:name="_Toc17670"/>
      <w:bookmarkStart w:id="456" w:name="_Toc2098"/>
      <w:bookmarkStart w:id="457" w:name="_Toc11673"/>
      <w:bookmarkStart w:id="458" w:name="_Toc4031"/>
      <w:bookmarkStart w:id="459" w:name="_Toc13388"/>
      <w:bookmarkStart w:id="460" w:name="_Toc16782"/>
      <w:bookmarkStart w:id="461" w:name="_Toc31174"/>
      <w:bookmarkStart w:id="462" w:name="_Toc31457"/>
      <w:bookmarkStart w:id="463" w:name="_Toc6207"/>
      <w:r>
        <w:rPr>
          <w:rFonts w:hint="eastAsia" w:ascii="仿宋_GB2312" w:hAnsi="仿宋_GB2312" w:eastAsia="仿宋_GB2312" w:cs="仿宋_GB2312"/>
          <w:sz w:val="24"/>
          <w:highlight w:val="none"/>
        </w:rPr>
        <w:t>六</w:t>
      </w:r>
      <w:bookmarkEnd w:id="448"/>
      <w:r>
        <w:rPr>
          <w:rFonts w:hint="eastAsia" w:ascii="仿宋_GB2312" w:hAnsi="仿宋_GB2312" w:eastAsia="仿宋_GB2312" w:cs="仿宋_GB2312"/>
          <w:sz w:val="24"/>
          <w:highlight w:val="none"/>
          <w:lang w:eastAsia="zh-CN"/>
        </w:rPr>
        <w:t>、</w:t>
      </w:r>
      <w:r>
        <w:rPr>
          <w:rFonts w:hint="eastAsia" w:ascii="仿宋_GB2312" w:hAnsi="仿宋_GB2312" w:eastAsia="仿宋_GB2312" w:cs="仿宋_GB2312"/>
          <w:sz w:val="24"/>
          <w:highlight w:val="none"/>
        </w:rPr>
        <w:t>确定中标</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14:paraId="720E663B">
      <w:pPr>
        <w:pStyle w:val="6"/>
        <w:keepNext w:val="0"/>
        <w:keepLines w:val="0"/>
        <w:pageBreakBefore w:val="0"/>
        <w:widowControl w:val="0"/>
        <w:wordWrap/>
        <w:overflowPunct/>
        <w:topLinePunct w:val="0"/>
        <w:bidi w:val="0"/>
        <w:spacing w:line="288" w:lineRule="auto"/>
        <w:rPr>
          <w:rFonts w:hint="eastAsia" w:ascii="仿宋_GB2312" w:hAnsi="仿宋_GB2312" w:eastAsia="仿宋_GB2312" w:cs="仿宋_GB2312"/>
          <w:highlight w:val="none"/>
        </w:rPr>
      </w:pPr>
    </w:p>
    <w:p w14:paraId="0ED22AE6">
      <w:pPr>
        <w:pStyle w:val="4"/>
        <w:keepNext w:val="0"/>
        <w:keepLines w:val="0"/>
        <w:pageBreakBefore w:val="0"/>
        <w:widowControl w:val="0"/>
        <w:wordWrap/>
        <w:overflowPunct/>
        <w:topLinePunct w:val="0"/>
        <w:bidi w:val="0"/>
        <w:spacing w:before="0" w:after="0" w:line="288" w:lineRule="auto"/>
        <w:rPr>
          <w:rFonts w:hint="eastAsia" w:ascii="仿宋_GB2312" w:hAnsi="仿宋_GB2312" w:eastAsia="仿宋_GB2312" w:cs="仿宋_GB2312"/>
          <w:highlight w:val="none"/>
        </w:rPr>
      </w:pPr>
      <w:bookmarkStart w:id="464" w:name="_Ref467307010"/>
      <w:bookmarkStart w:id="465" w:name="_Toc25225"/>
      <w:bookmarkStart w:id="466" w:name="_Toc23762"/>
      <w:bookmarkStart w:id="467" w:name="_Toc515647788"/>
      <w:bookmarkStart w:id="468" w:name="_Toc23538"/>
      <w:bookmarkStart w:id="469" w:name="_Toc11587"/>
      <w:bookmarkStart w:id="470" w:name="_Toc29826"/>
      <w:bookmarkStart w:id="471" w:name="_Toc30357"/>
      <w:bookmarkStart w:id="472" w:name="_Toc30556"/>
      <w:bookmarkStart w:id="473" w:name="_Toc520356170"/>
      <w:bookmarkStart w:id="474" w:name="_Toc28066"/>
      <w:bookmarkStart w:id="475" w:name="_Toc13522"/>
      <w:bookmarkStart w:id="476" w:name="_Toc23617"/>
      <w:bookmarkStart w:id="477" w:name="_Toc286"/>
      <w:bookmarkStart w:id="478" w:name="_Toc30908"/>
      <w:bookmarkStart w:id="479" w:name="_Toc32399"/>
      <w:r>
        <w:rPr>
          <w:rFonts w:hint="eastAsia" w:ascii="仿宋_GB2312" w:hAnsi="仿宋_GB2312" w:eastAsia="仿宋_GB2312" w:cs="仿宋_GB2312"/>
          <w:highlight w:val="none"/>
        </w:rPr>
        <w:t>26.中标候选人的确定原则及标准</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14:paraId="0199CFA2">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除第28条规定外，对实质上响应招标文件的投标人按下列方法进行排序，确定投标候选人：</w:t>
      </w:r>
    </w:p>
    <w:p w14:paraId="4024CD8D">
      <w:pPr>
        <w:keepNext w:val="0"/>
        <w:keepLines w:val="0"/>
        <w:pageBreakBefore w:val="0"/>
        <w:widowControl w:val="0"/>
        <w:wordWrap/>
        <w:overflowPunct/>
        <w:topLinePunct w:val="0"/>
        <w:bidi w:val="0"/>
        <w:spacing w:line="288" w:lineRule="auto"/>
        <w:ind w:left="901"/>
        <w:rPr>
          <w:rFonts w:hint="eastAsia" w:ascii="仿宋_GB2312" w:hAnsi="仿宋_GB2312" w:eastAsia="仿宋_GB2312" w:cs="仿宋_GB2312"/>
          <w:sz w:val="24"/>
          <w:highlight w:val="none"/>
        </w:rPr>
      </w:pPr>
      <w:bookmarkStart w:id="480" w:name="_Toc520356171"/>
      <w:bookmarkStart w:id="481" w:name="_Toc515647789"/>
      <w:r>
        <w:rPr>
          <w:rFonts w:hint="eastAsia" w:ascii="仿宋_GB2312" w:hAnsi="仿宋_GB2312" w:eastAsia="仿宋_GB2312" w:cs="仿宋_GB2312"/>
          <w:sz w:val="24"/>
          <w:highlight w:val="none"/>
        </w:rPr>
        <w:t>（1）采用最低评标价法的，除了算术修正和落实政府采购政策需进行的价格扣除外，不对投标人的投标价格进行任何调整。评标结果按修正和扣除后的投标报价由低到高顺序排列。报价相同的处理方式详见招标文件第6章。</w:t>
      </w:r>
    </w:p>
    <w:p w14:paraId="194B4BE0">
      <w:pPr>
        <w:keepNext w:val="0"/>
        <w:keepLines w:val="0"/>
        <w:pageBreakBefore w:val="0"/>
        <w:widowControl w:val="0"/>
        <w:wordWrap/>
        <w:overflowPunct/>
        <w:topLinePunct w:val="0"/>
        <w:bidi w:val="0"/>
        <w:spacing w:line="288" w:lineRule="auto"/>
        <w:ind w:left="901"/>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（2）采用综合评分法的，评标结果按评审后得分由高到低顺序排列。得分相同的，按修正和扣除后的投标报价由低到高顺序排列。得分与投标报价均相同的处理方式详见招标文件第6章。</w:t>
      </w:r>
    </w:p>
    <w:p w14:paraId="2B33DAC7">
      <w:pPr>
        <w:pStyle w:val="4"/>
        <w:keepNext w:val="0"/>
        <w:keepLines w:val="0"/>
        <w:pageBreakBefore w:val="0"/>
        <w:widowControl w:val="0"/>
        <w:tabs>
          <w:tab w:val="left" w:pos="900"/>
        </w:tabs>
        <w:wordWrap/>
        <w:overflowPunct/>
        <w:topLinePunct w:val="0"/>
        <w:bidi w:val="0"/>
        <w:spacing w:before="0" w:after="0" w:line="288" w:lineRule="auto"/>
        <w:rPr>
          <w:rFonts w:hint="eastAsia" w:ascii="仿宋_GB2312" w:hAnsi="仿宋_GB2312" w:eastAsia="仿宋_GB2312" w:cs="仿宋_GB2312"/>
          <w:highlight w:val="none"/>
        </w:rPr>
      </w:pPr>
      <w:bookmarkStart w:id="482" w:name="_Toc28266"/>
      <w:bookmarkStart w:id="483" w:name="_Toc14469"/>
      <w:bookmarkStart w:id="484" w:name="_Toc1493"/>
      <w:bookmarkStart w:id="485" w:name="_Toc9653"/>
      <w:bookmarkStart w:id="486" w:name="_Toc13719"/>
      <w:bookmarkStart w:id="487" w:name="_Toc10359"/>
      <w:bookmarkStart w:id="488" w:name="_Toc23951"/>
      <w:bookmarkStart w:id="489" w:name="_Toc17755"/>
      <w:bookmarkStart w:id="490" w:name="_Toc15415"/>
      <w:bookmarkStart w:id="491" w:name="_Toc19685"/>
      <w:bookmarkStart w:id="492" w:name="_Toc8300"/>
      <w:bookmarkStart w:id="493" w:name="_Toc22105"/>
      <w:bookmarkStart w:id="494" w:name="_Toc19950"/>
      <w:r>
        <w:rPr>
          <w:rFonts w:hint="eastAsia" w:ascii="仿宋_GB2312" w:hAnsi="仿宋_GB2312" w:eastAsia="仿宋_GB2312" w:cs="仿宋_GB2312"/>
          <w:highlight w:val="none"/>
        </w:rPr>
        <w:t>27</w:t>
      </w:r>
      <w:bookmarkEnd w:id="480"/>
      <w:r>
        <w:rPr>
          <w:rFonts w:hint="eastAsia" w:ascii="仿宋_GB2312" w:hAnsi="仿宋_GB2312" w:eastAsia="仿宋_GB2312" w:cs="仿宋_GB2312"/>
          <w:highlight w:val="none"/>
        </w:rPr>
        <w:t>.确定中标候选人和中标人</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14:paraId="5DEFE17C">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评标委员会将根据评标标准，按</w:t>
      </w:r>
      <w:r>
        <w:rPr>
          <w:rFonts w:hint="eastAsia" w:ascii="仿宋_GB2312" w:hAnsi="仿宋_GB2312" w:eastAsia="仿宋_GB2312" w:cs="仿宋_GB2312"/>
          <w:sz w:val="24"/>
          <w:highlight w:val="none"/>
          <w:u w:val="single" w:color="000000"/>
        </w:rPr>
        <w:t>投标人须知资料表中</w:t>
      </w:r>
      <w:r>
        <w:rPr>
          <w:rFonts w:hint="eastAsia" w:ascii="仿宋_GB2312" w:hAnsi="仿宋_GB2312" w:eastAsia="仿宋_GB2312" w:cs="仿宋_GB2312"/>
          <w:sz w:val="24"/>
          <w:highlight w:val="none"/>
        </w:rPr>
        <w:t>规定数量推荐中标候选人；或根据采购人的委托，直接确定中标人。</w:t>
      </w:r>
    </w:p>
    <w:p w14:paraId="44746884">
      <w:pPr>
        <w:pStyle w:val="4"/>
        <w:keepNext w:val="0"/>
        <w:keepLines w:val="0"/>
        <w:pageBreakBefore w:val="0"/>
        <w:widowControl w:val="0"/>
        <w:tabs>
          <w:tab w:val="left" w:pos="900"/>
        </w:tabs>
        <w:wordWrap/>
        <w:overflowPunct/>
        <w:topLinePunct w:val="0"/>
        <w:bidi w:val="0"/>
        <w:spacing w:before="0" w:after="0" w:line="288" w:lineRule="auto"/>
        <w:rPr>
          <w:rFonts w:hint="eastAsia" w:ascii="仿宋_GB2312" w:hAnsi="仿宋_GB2312" w:eastAsia="仿宋_GB2312" w:cs="仿宋_GB2312"/>
          <w:highlight w:val="none"/>
        </w:rPr>
      </w:pPr>
      <w:bookmarkStart w:id="495" w:name="_Toc520356173"/>
      <w:bookmarkStart w:id="496" w:name="_Ref467306874"/>
      <w:bookmarkStart w:id="497" w:name="_Toc26197"/>
      <w:bookmarkStart w:id="498" w:name="_Toc26160"/>
      <w:bookmarkStart w:id="499" w:name="_Toc22593"/>
      <w:bookmarkStart w:id="500" w:name="_Toc28562"/>
      <w:bookmarkStart w:id="501" w:name="_Toc7783"/>
      <w:bookmarkStart w:id="502" w:name="_Toc28621"/>
      <w:bookmarkStart w:id="503" w:name="_Toc6582"/>
      <w:bookmarkStart w:id="504" w:name="_Toc11867"/>
      <w:bookmarkStart w:id="505" w:name="_Toc8958"/>
      <w:bookmarkStart w:id="506" w:name="_Toc8389"/>
      <w:bookmarkStart w:id="507" w:name="_Toc27049"/>
      <w:bookmarkStart w:id="508" w:name="_Toc515647790"/>
      <w:bookmarkStart w:id="509" w:name="_Toc13782"/>
      <w:bookmarkStart w:id="510" w:name="_Toc19331"/>
      <w:r>
        <w:rPr>
          <w:rFonts w:hint="eastAsia" w:ascii="仿宋_GB2312" w:hAnsi="仿宋_GB2312" w:eastAsia="仿宋_GB2312" w:cs="仿宋_GB2312"/>
          <w:highlight w:val="none"/>
        </w:rPr>
        <w:t>28.</w:t>
      </w:r>
      <w:bookmarkEnd w:id="495"/>
      <w:bookmarkEnd w:id="496"/>
      <w:r>
        <w:rPr>
          <w:rFonts w:hint="eastAsia" w:ascii="仿宋_GB2312" w:hAnsi="仿宋_GB2312" w:eastAsia="仿宋_GB2312" w:cs="仿宋_GB2312"/>
          <w:highlight w:val="none"/>
        </w:rPr>
        <w:t>采购任务取消</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14:paraId="5756FF5F">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因重大变故采购任务取消时，采购人有权拒绝任何投标人中标，且对受影响的投标人不承担任何责任。</w:t>
      </w:r>
      <w:bookmarkStart w:id="511" w:name="_Toc520356174"/>
    </w:p>
    <w:p w14:paraId="758374B8">
      <w:pPr>
        <w:pStyle w:val="4"/>
        <w:keepNext w:val="0"/>
        <w:keepLines w:val="0"/>
        <w:pageBreakBefore w:val="0"/>
        <w:widowControl w:val="0"/>
        <w:wordWrap/>
        <w:overflowPunct/>
        <w:topLinePunct w:val="0"/>
        <w:bidi w:val="0"/>
        <w:spacing w:before="0" w:after="0" w:line="288" w:lineRule="auto"/>
        <w:rPr>
          <w:rFonts w:hint="eastAsia" w:ascii="仿宋_GB2312" w:hAnsi="仿宋_GB2312" w:eastAsia="仿宋_GB2312" w:cs="仿宋_GB2312"/>
          <w:highlight w:val="none"/>
        </w:rPr>
      </w:pPr>
      <w:bookmarkStart w:id="512" w:name="_Toc13508"/>
      <w:bookmarkStart w:id="513" w:name="_Toc31099"/>
      <w:bookmarkStart w:id="514" w:name="_Toc31142"/>
      <w:bookmarkStart w:id="515" w:name="_Toc515647791"/>
      <w:bookmarkStart w:id="516" w:name="_Toc9063"/>
      <w:bookmarkStart w:id="517" w:name="_Toc3276"/>
      <w:bookmarkStart w:id="518" w:name="_Toc22190"/>
      <w:bookmarkStart w:id="519" w:name="_Toc2614"/>
      <w:bookmarkStart w:id="520" w:name="_Toc31992"/>
      <w:bookmarkStart w:id="521" w:name="_Toc25468"/>
      <w:bookmarkStart w:id="522" w:name="_Toc30170"/>
      <w:bookmarkStart w:id="523" w:name="_Toc10164"/>
      <w:bookmarkStart w:id="524" w:name="_Toc31281"/>
      <w:bookmarkStart w:id="525" w:name="_Toc5136"/>
      <w:r>
        <w:rPr>
          <w:rFonts w:hint="eastAsia" w:ascii="仿宋_GB2312" w:hAnsi="仿宋_GB2312" w:eastAsia="仿宋_GB2312" w:cs="仿宋_GB2312"/>
          <w:highlight w:val="none"/>
        </w:rPr>
        <w:t>29.中标通知书</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14:paraId="4BB2A334">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29.1</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在投标有效期内，中标人确定后，采购人或者采购代理机构发布中标公告，公示期后以书面形式向中标人发出中标通知书。</w:t>
      </w:r>
    </w:p>
    <w:p w14:paraId="561CB121">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29.2</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中标通知书是合同的组成部分。</w:t>
      </w:r>
    </w:p>
    <w:p w14:paraId="2DEDBE60">
      <w:pPr>
        <w:pStyle w:val="4"/>
        <w:keepNext w:val="0"/>
        <w:keepLines w:val="0"/>
        <w:pageBreakBefore w:val="0"/>
        <w:widowControl w:val="0"/>
        <w:wordWrap/>
        <w:overflowPunct/>
        <w:topLinePunct w:val="0"/>
        <w:bidi w:val="0"/>
        <w:spacing w:before="0" w:after="0" w:line="288" w:lineRule="auto"/>
        <w:rPr>
          <w:rFonts w:hint="eastAsia" w:ascii="仿宋_GB2312" w:hAnsi="仿宋_GB2312" w:eastAsia="仿宋_GB2312" w:cs="仿宋_GB2312"/>
          <w:highlight w:val="none"/>
        </w:rPr>
      </w:pPr>
      <w:bookmarkStart w:id="526" w:name="_Ref467307062"/>
      <w:bookmarkStart w:id="527" w:name="_Toc17224"/>
      <w:bookmarkStart w:id="528" w:name="_Toc28520"/>
      <w:bookmarkStart w:id="529" w:name="_Toc790"/>
      <w:bookmarkStart w:id="530" w:name="_Toc29178"/>
      <w:bookmarkStart w:id="531" w:name="_Toc19020"/>
      <w:bookmarkStart w:id="532" w:name="_Toc32036"/>
      <w:bookmarkStart w:id="533" w:name="_Toc24763"/>
      <w:bookmarkStart w:id="534" w:name="_Ref467307204"/>
      <w:bookmarkStart w:id="535" w:name="_Toc14795"/>
      <w:bookmarkStart w:id="536" w:name="_Toc7779"/>
      <w:bookmarkStart w:id="537" w:name="_Toc515647792"/>
      <w:bookmarkStart w:id="538" w:name="_Ref467306377"/>
      <w:bookmarkStart w:id="539" w:name="_Toc28367"/>
      <w:bookmarkStart w:id="540" w:name="_Toc520356175"/>
      <w:bookmarkStart w:id="541" w:name="_Toc31080"/>
      <w:bookmarkStart w:id="542" w:name="_Toc10227"/>
      <w:bookmarkStart w:id="543" w:name="_Toc27557"/>
      <w:bookmarkStart w:id="544" w:name="_Ref467306978"/>
      <w:r>
        <w:rPr>
          <w:rFonts w:hint="eastAsia" w:ascii="仿宋_GB2312" w:hAnsi="仿宋_GB2312" w:eastAsia="仿宋_GB2312" w:cs="仿宋_GB2312"/>
          <w:highlight w:val="none"/>
        </w:rPr>
        <w:t>30.签订合同</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14:paraId="71D6ED43">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30.1</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中标人应当自发出中标通知书之日起30日内，与采购人签订合同。</w:t>
      </w:r>
    </w:p>
    <w:p w14:paraId="4FB3BBFF">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30.2</w:t>
      </w:r>
      <w:r>
        <w:rPr>
          <w:rFonts w:hint="eastAsia" w:ascii="仿宋_GB2312" w:hAnsi="仿宋_GB2312" w:eastAsia="仿宋_GB2312" w:cs="仿宋_GB2312"/>
          <w:sz w:val="24"/>
          <w:highlight w:val="none"/>
        </w:rPr>
        <w:tab/>
      </w:r>
      <w:bookmarkStart w:id="545" w:name="_Ref467306425"/>
      <w:bookmarkStart w:id="546" w:name="_Toc520356176"/>
      <w:bookmarkStart w:id="547" w:name="_Ref467307090"/>
      <w:r>
        <w:rPr>
          <w:rFonts w:hint="eastAsia" w:ascii="仿宋_GB2312" w:hAnsi="仿宋_GB2312" w:eastAsia="仿宋_GB2312" w:cs="仿宋_GB2312"/>
          <w:sz w:val="24"/>
          <w:highlight w:val="none"/>
        </w:rPr>
        <w:t>招标文件、中标人的投标文件及其澄清文件等，均为签订合同的依据。</w:t>
      </w:r>
    </w:p>
    <w:p w14:paraId="75017380">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30.3中标人拒绝与采购人签订合同的，采购人可以按照评审报告推荐的中标候选人名单排序，确定下一中标候选人为中标人，也可以重新开展政府采购活动。</w:t>
      </w:r>
    </w:p>
    <w:p w14:paraId="5A61E8E1">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30.4当出现法规规定的</w:t>
      </w:r>
      <w:r>
        <w:rPr>
          <w:rFonts w:hint="eastAsia" w:ascii="仿宋_GB2312" w:hAnsi="仿宋_GB2312" w:eastAsia="仿宋_GB2312" w:cs="仿宋_GB2312"/>
          <w:b/>
          <w:sz w:val="24"/>
          <w:highlight w:val="none"/>
        </w:rPr>
        <w:t>中标无效或中标结果无效</w:t>
      </w:r>
      <w:r>
        <w:rPr>
          <w:rFonts w:hint="eastAsia" w:ascii="仿宋_GB2312" w:hAnsi="仿宋_GB2312" w:eastAsia="仿宋_GB2312" w:cs="仿宋_GB2312"/>
          <w:sz w:val="24"/>
          <w:highlight w:val="none"/>
        </w:rPr>
        <w:t>情形时，采购人可与排名下一位的中标候选人另行签订合同，或依法重新开展采购活动。</w:t>
      </w:r>
    </w:p>
    <w:p w14:paraId="086E42D9">
      <w:pPr>
        <w:pStyle w:val="4"/>
        <w:keepNext w:val="0"/>
        <w:keepLines w:val="0"/>
        <w:pageBreakBefore w:val="0"/>
        <w:widowControl w:val="0"/>
        <w:wordWrap/>
        <w:overflowPunct/>
        <w:topLinePunct w:val="0"/>
        <w:bidi w:val="0"/>
        <w:spacing w:before="0" w:after="0" w:line="288" w:lineRule="auto"/>
        <w:rPr>
          <w:rFonts w:hint="eastAsia" w:ascii="仿宋_GB2312" w:hAnsi="仿宋_GB2312" w:eastAsia="仿宋_GB2312" w:cs="仿宋_GB2312"/>
          <w:highlight w:val="none"/>
        </w:rPr>
      </w:pPr>
      <w:bookmarkStart w:id="548" w:name="_Toc16785"/>
      <w:bookmarkStart w:id="549" w:name="_Toc5487"/>
      <w:bookmarkStart w:id="550" w:name="_Toc7188"/>
      <w:bookmarkStart w:id="551" w:name="_Toc25154"/>
      <w:bookmarkStart w:id="552" w:name="_Toc25751"/>
      <w:bookmarkStart w:id="553" w:name="_Toc27954"/>
      <w:bookmarkStart w:id="554" w:name="_Toc16031"/>
      <w:bookmarkStart w:id="555" w:name="_Toc515647793"/>
      <w:bookmarkStart w:id="556" w:name="_Toc10395"/>
      <w:bookmarkStart w:id="557" w:name="_Toc14080"/>
      <w:bookmarkStart w:id="558" w:name="_Toc22555"/>
      <w:bookmarkStart w:id="559" w:name="_Toc13900"/>
      <w:bookmarkStart w:id="560" w:name="_Toc11523"/>
      <w:bookmarkStart w:id="561" w:name="_Toc23009"/>
      <w:r>
        <w:rPr>
          <w:rFonts w:hint="eastAsia" w:ascii="仿宋_GB2312" w:hAnsi="仿宋_GB2312" w:eastAsia="仿宋_GB2312" w:cs="仿宋_GB2312"/>
          <w:highlight w:val="none"/>
        </w:rPr>
        <w:t>31.履约保证金</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7D3B8A21">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31.1</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中标人应按照</w:t>
      </w:r>
      <w:r>
        <w:rPr>
          <w:rFonts w:hint="eastAsia" w:ascii="仿宋_GB2312" w:hAnsi="仿宋_GB2312" w:eastAsia="仿宋_GB2312" w:cs="仿宋_GB2312"/>
          <w:sz w:val="24"/>
          <w:highlight w:val="none"/>
          <w:u w:val="single" w:color="000000"/>
        </w:rPr>
        <w:t>投标人须知资料表</w:t>
      </w:r>
      <w:r>
        <w:rPr>
          <w:rFonts w:hint="eastAsia" w:ascii="仿宋_GB2312" w:hAnsi="仿宋_GB2312" w:eastAsia="仿宋_GB2312" w:cs="仿宋_GB2312"/>
          <w:sz w:val="24"/>
          <w:highlight w:val="none"/>
        </w:rPr>
        <w:t>规定向采购人缴纳履约保证金。</w:t>
      </w:r>
    </w:p>
    <w:p w14:paraId="6EA1F483">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31.2如果中标人没有按照上述履约保证金的规定执行，将视为放弃中标资格，中标人的投标保证金将不予退还。在此情况下，采购人可确定下一候选人为中标人，也可以重新开展采购活动。</w:t>
      </w:r>
    </w:p>
    <w:p w14:paraId="4260F1D2">
      <w:pPr>
        <w:pStyle w:val="4"/>
        <w:keepNext w:val="0"/>
        <w:keepLines w:val="0"/>
        <w:pageBreakBefore w:val="0"/>
        <w:widowControl w:val="0"/>
        <w:wordWrap/>
        <w:overflowPunct/>
        <w:topLinePunct w:val="0"/>
        <w:bidi w:val="0"/>
        <w:spacing w:before="0" w:after="0" w:line="288" w:lineRule="auto"/>
        <w:rPr>
          <w:rFonts w:hint="eastAsia" w:ascii="仿宋_GB2312" w:hAnsi="仿宋_GB2312" w:eastAsia="仿宋_GB2312" w:cs="仿宋_GB2312"/>
          <w:highlight w:val="none"/>
        </w:rPr>
      </w:pPr>
      <w:bookmarkStart w:id="562" w:name="_Toc29408"/>
      <w:bookmarkStart w:id="563" w:name="_Toc7922"/>
      <w:bookmarkStart w:id="564" w:name="_Toc11875"/>
      <w:bookmarkStart w:id="565" w:name="_Toc10961"/>
      <w:bookmarkStart w:id="566" w:name="_Toc12106"/>
      <w:bookmarkStart w:id="567" w:name="_Toc27777"/>
      <w:bookmarkStart w:id="568" w:name="_Toc15418"/>
      <w:bookmarkStart w:id="569" w:name="_Toc31936"/>
      <w:bookmarkStart w:id="570" w:name="_Toc15895"/>
      <w:bookmarkStart w:id="571" w:name="_Toc3090"/>
      <w:bookmarkStart w:id="572" w:name="_Toc19288"/>
      <w:bookmarkStart w:id="573" w:name="_Toc30049"/>
      <w:bookmarkStart w:id="574" w:name="_Toc515647794"/>
      <w:bookmarkStart w:id="575" w:name="_Toc24667"/>
      <w:r>
        <w:rPr>
          <w:rFonts w:hint="eastAsia" w:ascii="仿宋_GB2312" w:hAnsi="仿宋_GB2312" w:eastAsia="仿宋_GB2312" w:cs="仿宋_GB2312"/>
          <w:highlight w:val="none"/>
        </w:rPr>
        <w:t>32.中标服务费</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14:paraId="2418252B">
      <w:pPr>
        <w:keepNext w:val="0"/>
        <w:keepLines w:val="0"/>
        <w:pageBreakBefore w:val="0"/>
        <w:widowControl w:val="0"/>
        <w:wordWrap/>
        <w:overflowPunct/>
        <w:topLinePunct w:val="0"/>
        <w:bidi w:val="0"/>
        <w:spacing w:line="288" w:lineRule="auto"/>
        <w:ind w:left="840" w:leftChars="200" w:hanging="420" w:hangingChars="1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中标人须按照</w:t>
      </w:r>
      <w:r>
        <w:rPr>
          <w:rFonts w:hint="eastAsia" w:ascii="仿宋_GB2312" w:hAnsi="仿宋_GB2312" w:eastAsia="仿宋_GB2312" w:cs="仿宋_GB2312"/>
          <w:sz w:val="24"/>
          <w:highlight w:val="none"/>
          <w:u w:val="single" w:color="000000"/>
        </w:rPr>
        <w:t>投标须知资料表</w:t>
      </w:r>
      <w:r>
        <w:rPr>
          <w:rFonts w:hint="eastAsia" w:ascii="仿宋_GB2312" w:hAnsi="仿宋_GB2312" w:eastAsia="仿宋_GB2312" w:cs="仿宋_GB2312"/>
          <w:sz w:val="24"/>
          <w:highlight w:val="none"/>
        </w:rPr>
        <w:t>规定，向采购代理机构支付中标服务费。</w:t>
      </w:r>
    </w:p>
    <w:p w14:paraId="6115E3B5">
      <w:pPr>
        <w:pStyle w:val="4"/>
        <w:keepNext w:val="0"/>
        <w:keepLines w:val="0"/>
        <w:pageBreakBefore w:val="0"/>
        <w:widowControl w:val="0"/>
        <w:wordWrap/>
        <w:overflowPunct/>
        <w:topLinePunct w:val="0"/>
        <w:bidi w:val="0"/>
        <w:spacing w:before="0" w:after="0" w:line="288" w:lineRule="auto"/>
        <w:rPr>
          <w:rFonts w:hint="eastAsia" w:ascii="仿宋_GB2312" w:hAnsi="仿宋_GB2312" w:eastAsia="仿宋_GB2312" w:cs="仿宋_GB2312"/>
          <w:highlight w:val="none"/>
        </w:rPr>
      </w:pPr>
      <w:bookmarkStart w:id="576" w:name="_Toc24674"/>
      <w:bookmarkStart w:id="577" w:name="_Toc13588"/>
      <w:bookmarkStart w:id="578" w:name="_Toc30722"/>
      <w:bookmarkStart w:id="579" w:name="_Toc7049"/>
      <w:bookmarkStart w:id="580" w:name="_Toc3954"/>
      <w:bookmarkStart w:id="581" w:name="_Toc515647795"/>
      <w:bookmarkStart w:id="582" w:name="_Toc6923"/>
      <w:bookmarkStart w:id="583" w:name="_Toc18484"/>
      <w:bookmarkStart w:id="584" w:name="_Toc12385"/>
      <w:bookmarkStart w:id="585" w:name="_Toc24553"/>
      <w:bookmarkStart w:id="586" w:name="_Toc28457"/>
      <w:bookmarkStart w:id="587" w:name="_Toc14390"/>
      <w:bookmarkStart w:id="588" w:name="_Toc17196"/>
      <w:bookmarkStart w:id="589" w:name="_Toc16253"/>
      <w:r>
        <w:rPr>
          <w:rFonts w:hint="eastAsia" w:ascii="仿宋_GB2312" w:hAnsi="仿宋_GB2312" w:eastAsia="仿宋_GB2312" w:cs="仿宋_GB2312"/>
          <w:highlight w:val="none"/>
        </w:rPr>
        <w:t>33.政府采购信用担保</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p w14:paraId="263C36C5">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33.1本项目是否属于信用担保试点范围见</w:t>
      </w:r>
      <w:r>
        <w:rPr>
          <w:rFonts w:hint="eastAsia" w:ascii="仿宋_GB2312" w:hAnsi="仿宋_GB2312" w:eastAsia="仿宋_GB2312" w:cs="仿宋_GB2312"/>
          <w:sz w:val="24"/>
          <w:highlight w:val="none"/>
          <w:u w:val="single" w:color="000000"/>
        </w:rPr>
        <w:t>投标人须知资料表</w:t>
      </w:r>
      <w:r>
        <w:rPr>
          <w:rFonts w:hint="eastAsia" w:ascii="仿宋_GB2312" w:hAnsi="仿宋_GB2312" w:eastAsia="仿宋_GB2312" w:cs="仿宋_GB2312"/>
          <w:sz w:val="24"/>
          <w:highlight w:val="none"/>
        </w:rPr>
        <w:t>。</w:t>
      </w:r>
    </w:p>
    <w:p w14:paraId="019B27E1">
      <w:pPr>
        <w:keepNext w:val="0"/>
        <w:keepLines w:val="0"/>
        <w:pageBreakBefore w:val="0"/>
        <w:widowControl w:val="0"/>
        <w:wordWrap/>
        <w:overflowPunct/>
        <w:topLinePunct w:val="0"/>
        <w:bidi w:val="0"/>
        <w:spacing w:line="288" w:lineRule="auto"/>
        <w:ind w:left="850" w:hanging="849" w:hangingChars="354"/>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33.2如属于政府采购信用担保试点范围内，中小型企业投标人可以自由按照财政部门的规定，采用投标担保、履约担保和融资担保。</w:t>
      </w:r>
    </w:p>
    <w:p w14:paraId="41C871F3">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33.2.1投标人递交的投标担保函和履约担保函应符合本招标文件的规定。</w:t>
      </w:r>
    </w:p>
    <w:p w14:paraId="66C39B54">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33.2.2中标人可以采取融资担保的形式为政府采购项目履约进行融资。</w:t>
      </w:r>
    </w:p>
    <w:p w14:paraId="4392DE28">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33.2.3合格的政府采购专业信用担保机构名单见</w:t>
      </w:r>
      <w:r>
        <w:rPr>
          <w:rFonts w:hint="eastAsia" w:ascii="仿宋_GB2312" w:hAnsi="仿宋_GB2312" w:eastAsia="仿宋_GB2312" w:cs="仿宋_GB2312"/>
          <w:sz w:val="24"/>
          <w:highlight w:val="none"/>
          <w:u w:val="single" w:color="000000"/>
        </w:rPr>
        <w:t>投标人须知资料表</w:t>
      </w:r>
      <w:r>
        <w:rPr>
          <w:rFonts w:hint="eastAsia" w:ascii="仿宋_GB2312" w:hAnsi="仿宋_GB2312" w:eastAsia="仿宋_GB2312" w:cs="仿宋_GB2312"/>
          <w:sz w:val="24"/>
          <w:highlight w:val="none"/>
        </w:rPr>
        <w:t>。</w:t>
      </w:r>
    </w:p>
    <w:p w14:paraId="11487D2B">
      <w:pPr>
        <w:pStyle w:val="4"/>
        <w:keepNext w:val="0"/>
        <w:keepLines w:val="0"/>
        <w:pageBreakBefore w:val="0"/>
        <w:widowControl w:val="0"/>
        <w:wordWrap/>
        <w:overflowPunct/>
        <w:topLinePunct w:val="0"/>
        <w:bidi w:val="0"/>
        <w:spacing w:before="0" w:after="0" w:line="288" w:lineRule="auto"/>
        <w:rPr>
          <w:rFonts w:hint="eastAsia" w:ascii="仿宋_GB2312" w:hAnsi="仿宋_GB2312" w:eastAsia="仿宋_GB2312" w:cs="仿宋_GB2312"/>
          <w:highlight w:val="none"/>
        </w:rPr>
      </w:pPr>
      <w:bookmarkStart w:id="590" w:name="_Toc2133"/>
      <w:bookmarkStart w:id="591" w:name="_Toc21223"/>
      <w:bookmarkStart w:id="592" w:name="_Toc22070"/>
      <w:bookmarkStart w:id="593" w:name="_Toc9817"/>
      <w:bookmarkStart w:id="594" w:name="_Toc6716"/>
      <w:bookmarkStart w:id="595" w:name="_Toc27852"/>
      <w:bookmarkStart w:id="596" w:name="_Toc20713"/>
      <w:bookmarkStart w:id="597" w:name="_Toc515647796"/>
      <w:bookmarkStart w:id="598" w:name="_Toc28024"/>
      <w:bookmarkStart w:id="599" w:name="_Toc9688"/>
      <w:bookmarkStart w:id="600" w:name="_Toc7"/>
      <w:bookmarkStart w:id="601" w:name="_Toc27198"/>
      <w:bookmarkStart w:id="602" w:name="_Toc23999"/>
      <w:bookmarkStart w:id="603" w:name="_Toc18345"/>
      <w:r>
        <w:rPr>
          <w:rFonts w:hint="eastAsia" w:ascii="仿宋_GB2312" w:hAnsi="仿宋_GB2312" w:eastAsia="仿宋_GB2312" w:cs="仿宋_GB2312"/>
          <w:highlight w:val="none"/>
        </w:rPr>
        <w:t>34.廉洁自律规定</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14:paraId="3E2A9F87">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34.1采购代理机构工作人员不得以不正当手段获取政府采购代理业务，不得与采购人、供应商恶意串通操纵政府采购活动。</w:t>
      </w:r>
    </w:p>
    <w:p w14:paraId="21B4A39A">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34.2采购代理机构工作人员不得接受采购人或者供应商组织的宴请、旅游、娱乐，不得收受礼品、现金、有价证券等，不得向采购人或者供应商报销应当由个人承担的费用。</w:t>
      </w:r>
    </w:p>
    <w:p w14:paraId="61243BC9">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34.3为强化采购代理机构内部监督机制，供应商可按</w:t>
      </w:r>
      <w:r>
        <w:rPr>
          <w:rFonts w:hint="eastAsia" w:ascii="仿宋_GB2312" w:hAnsi="仿宋_GB2312" w:eastAsia="仿宋_GB2312" w:cs="仿宋_GB2312"/>
          <w:sz w:val="24"/>
          <w:highlight w:val="none"/>
          <w:u w:val="single" w:color="000000"/>
        </w:rPr>
        <w:t>投标人须知资料表中的</w:t>
      </w:r>
      <w:r>
        <w:rPr>
          <w:rFonts w:hint="eastAsia" w:ascii="仿宋_GB2312" w:hAnsi="仿宋_GB2312" w:eastAsia="仿宋_GB2312" w:cs="仿宋_GB2312"/>
          <w:sz w:val="24"/>
          <w:highlight w:val="none"/>
        </w:rPr>
        <w:t>监督电话和邮箱，反映采购代理机构的廉洁自律等问题。</w:t>
      </w:r>
    </w:p>
    <w:p w14:paraId="4FB22171">
      <w:pPr>
        <w:pStyle w:val="4"/>
        <w:keepNext w:val="0"/>
        <w:keepLines w:val="0"/>
        <w:pageBreakBefore w:val="0"/>
        <w:widowControl w:val="0"/>
        <w:wordWrap/>
        <w:overflowPunct/>
        <w:topLinePunct w:val="0"/>
        <w:bidi w:val="0"/>
        <w:spacing w:before="0" w:after="0" w:line="288" w:lineRule="auto"/>
        <w:rPr>
          <w:rFonts w:hint="eastAsia" w:ascii="仿宋_GB2312" w:hAnsi="仿宋_GB2312" w:eastAsia="仿宋_GB2312" w:cs="仿宋_GB2312"/>
          <w:highlight w:val="none"/>
        </w:rPr>
      </w:pPr>
      <w:bookmarkStart w:id="604" w:name="_Toc27088"/>
      <w:bookmarkStart w:id="605" w:name="_Toc25480"/>
      <w:bookmarkStart w:id="606" w:name="_Toc22285"/>
      <w:bookmarkStart w:id="607" w:name="_Toc515647797"/>
      <w:bookmarkStart w:id="608" w:name="_Toc14897"/>
      <w:bookmarkStart w:id="609" w:name="_Toc18027"/>
      <w:bookmarkStart w:id="610" w:name="_Toc1541"/>
      <w:bookmarkStart w:id="611" w:name="_Toc3888"/>
      <w:bookmarkStart w:id="612" w:name="_Toc10376"/>
      <w:bookmarkStart w:id="613" w:name="_Toc11586"/>
      <w:bookmarkStart w:id="614" w:name="_Toc31644"/>
      <w:bookmarkStart w:id="615" w:name="_Toc24038"/>
      <w:bookmarkStart w:id="616" w:name="_Toc6874"/>
      <w:bookmarkStart w:id="617" w:name="_Toc10437"/>
      <w:r>
        <w:rPr>
          <w:rFonts w:hint="eastAsia" w:ascii="仿宋_GB2312" w:hAnsi="仿宋_GB2312" w:eastAsia="仿宋_GB2312" w:cs="仿宋_GB2312"/>
          <w:highlight w:val="none"/>
        </w:rPr>
        <w:t>35.人员回避</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14:paraId="5F7759C8">
      <w:pPr>
        <w:keepNext w:val="0"/>
        <w:keepLines w:val="0"/>
        <w:pageBreakBefore w:val="0"/>
        <w:widowControl w:val="0"/>
        <w:wordWrap/>
        <w:overflowPunct/>
        <w:topLinePunct w:val="0"/>
        <w:bidi w:val="0"/>
        <w:spacing w:line="288" w:lineRule="auto"/>
        <w:ind w:left="900" w:hanging="900" w:hangingChars="375"/>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投标人认为采购人员及其相关人员有法律法规所列与其他供应商有利害关系的，可以向采购人或采购代理机构书面提出回避申请，并说明理由。</w:t>
      </w:r>
    </w:p>
    <w:p w14:paraId="293C707E">
      <w:pPr>
        <w:pStyle w:val="4"/>
        <w:keepNext w:val="0"/>
        <w:keepLines w:val="0"/>
        <w:pageBreakBefore w:val="0"/>
        <w:widowControl w:val="0"/>
        <w:wordWrap/>
        <w:overflowPunct/>
        <w:topLinePunct w:val="0"/>
        <w:bidi w:val="0"/>
        <w:spacing w:before="0" w:after="0" w:line="340" w:lineRule="exact"/>
        <w:rPr>
          <w:rFonts w:hint="eastAsia" w:ascii="仿宋_GB2312" w:hAnsi="仿宋_GB2312" w:eastAsia="仿宋_GB2312" w:cs="仿宋_GB2312"/>
          <w:szCs w:val="24"/>
          <w:highlight w:val="none"/>
          <w:u w:val="none"/>
        </w:rPr>
      </w:pPr>
      <w:bookmarkStart w:id="618" w:name="_Toc16823"/>
      <w:bookmarkStart w:id="619" w:name="_Toc16862"/>
      <w:bookmarkStart w:id="620" w:name="_Toc23883"/>
      <w:bookmarkStart w:id="621" w:name="_Toc3083"/>
      <w:bookmarkStart w:id="622" w:name="_Toc518923103"/>
      <w:bookmarkStart w:id="623" w:name="_Toc30751"/>
      <w:bookmarkStart w:id="624" w:name="_Toc23678"/>
      <w:r>
        <w:rPr>
          <w:rFonts w:hint="eastAsia" w:ascii="仿宋_GB2312" w:hAnsi="仿宋_GB2312" w:eastAsia="仿宋_GB2312" w:cs="仿宋_GB2312"/>
          <w:szCs w:val="24"/>
          <w:highlight w:val="none"/>
          <w:u w:val="none"/>
        </w:rPr>
        <w:t>36.质疑与接收</w:t>
      </w:r>
      <w:bookmarkEnd w:id="618"/>
      <w:bookmarkEnd w:id="619"/>
    </w:p>
    <w:p w14:paraId="3180210C">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36.1供应商认为招标文件、招标过程和成交结果使自己的权益受到损害的，可以根据《中华人民共和国政府采购法》、《中华人民共和国政府采购法实施条例》和《政府采购质疑和投诉办法》的有关规定，依法向采购人或其委托的采购代理机构提出质疑。</w:t>
      </w:r>
    </w:p>
    <w:p w14:paraId="699469EC">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36.2质疑供应商应按照财政部制定的《政府采购质疑函范本》格式（可从财政部官方网站下载）和《政府采购质疑和投诉办法》的要求，在法定质疑期内以纸质形式提出质疑，针对同一采购程序环节的质疑应一次性提出。</w:t>
      </w:r>
    </w:p>
    <w:p w14:paraId="37AFA958">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超出法定质疑期的、重复提出的、分次提出的或内容、形式不符合《政府采购质疑和投诉办法》的，质疑供应商将依法承担不利后果。</w:t>
      </w:r>
    </w:p>
    <w:p w14:paraId="1F72B5B0">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36.3 采购代理机构质疑函接收部门、联系电话和通讯地址,见供应商须知资料表。</w:t>
      </w:r>
    </w:p>
    <w:p w14:paraId="65E9655C">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36.4、质疑的提出</w:t>
      </w:r>
    </w:p>
    <w:p w14:paraId="681BF571">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36.5本采购文件中所称质疑及答复，是指参加本次采购活动的供应商对政府采购活动中的采购文件、采购过程和成交结果向采购方提出质疑，采购方答复质疑的行为。</w:t>
      </w:r>
    </w:p>
    <w:p w14:paraId="601E82E4">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36.6供应商认为采购文件、采购过程和成交结果使自己的权益受到损害的，可以在知道或者应知其权益受到损害之日起7个工作日内，以书面形式向采购方提出质疑。供应商应知其权益受到损害之日，是指：</w:t>
      </w:r>
    </w:p>
    <w:p w14:paraId="6A0C7AC4">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（一）对可以质疑的采购文件提出质疑的，为收到采购文件之日或者采购文件公告期限届满之日；</w:t>
      </w:r>
    </w:p>
    <w:p w14:paraId="3CAEC88D">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（二）对采购过程提出质疑的，为各采购程序环节结束之日；</w:t>
      </w:r>
    </w:p>
    <w:p w14:paraId="2C3B35FE">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（三）对成交结果提出质疑的，为成交结果公告期限届满之日。</w:t>
      </w:r>
    </w:p>
    <w:p w14:paraId="265D419F">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36.7对可以质疑的采购文件提出质疑的，质疑人为参与本项目的报价方或潜在报价方。可质疑的文件为采购公告以及采购文件（包括属于其组成部分的澄清、修改、补充文件和评审标准、合同文本等）。</w:t>
      </w:r>
    </w:p>
    <w:p w14:paraId="57511486">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36.8对采购过程和成交结果提出质疑的，质疑人为直接参与本项目的报价方。采购过程,即从采购项目信息公告发布起到成交结果公告止，包括采购文件的发出、提交响应文件、响应文件开启、评审等各个采购程序环节。</w:t>
      </w:r>
    </w:p>
    <w:p w14:paraId="426555D9">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36.9提出质疑应当符合下列条件：</w:t>
      </w:r>
    </w:p>
    <w:p w14:paraId="33E9EDE9">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（一）质疑主体应当符合有关规定；</w:t>
      </w:r>
    </w:p>
    <w:p w14:paraId="1B20641B">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（二）在质疑法定期限内提出；</w:t>
      </w:r>
    </w:p>
    <w:p w14:paraId="77F35C5E">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（三）属于可以提出质疑的政府采购事项受理范围和本项目采购人的管辖权范围；</w:t>
      </w:r>
    </w:p>
    <w:p w14:paraId="6E6F3C14">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（四）政府采购法律、法规、规章规定的其他条件。</w:t>
      </w:r>
    </w:p>
    <w:p w14:paraId="190A2DC8">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40.提出质疑应当具有明确的请求和提供必要的证明材料。明确的请求,即质疑人在质疑函中提出的，要求采购方对其予以支持的主张。必要的证明材料,即能够证明质疑人的质疑请求成立的必要材料，包括相关证据、依据和其他有关材料。</w:t>
      </w:r>
    </w:p>
    <w:p w14:paraId="7FC2C840">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40.1质疑人所提供的证明材料应当具有真实性、合法性以及与质疑事项的关联性和证明力，否则不能作为认定该质疑事项成立的依据。</w:t>
      </w:r>
    </w:p>
    <w:p w14:paraId="12314965">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40.2质疑人提出质疑时应当提交质疑函。质疑函包括下列内容：</w:t>
      </w:r>
    </w:p>
    <w:p w14:paraId="2754DDDC">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（一）提出质疑的质疑人的名称、地址、邮编、联系人及联系电话等；</w:t>
      </w:r>
    </w:p>
    <w:p w14:paraId="16CCD8F2">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（二）质疑项目的名称、编号；</w:t>
      </w:r>
    </w:p>
    <w:p w14:paraId="22D92050">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（三）质疑事项；</w:t>
      </w:r>
    </w:p>
    <w:p w14:paraId="1F002C98">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（四）事实依据和证明材料；</w:t>
      </w:r>
    </w:p>
    <w:p w14:paraId="2E9B471D">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（五）法律依据；</w:t>
      </w:r>
    </w:p>
    <w:p w14:paraId="1EC8418E">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（六）提出质疑的日期。</w:t>
      </w:r>
    </w:p>
    <w:p w14:paraId="3D106278">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质疑函采用实名制。质疑人为自然人的应当由本人签字，并附有效身份证明文件；质疑人为法人或者非法人组织的应当由法定代表人或者负责人签字并加盖公章，并附有效身份证明文件。</w:t>
      </w:r>
    </w:p>
    <w:p w14:paraId="7E959B15">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40.3质疑人可以委托代理人进行质疑。代理人应当提交授权委托书。授权委托书应当载明委托代理的具体权限、期限和相关事项。</w:t>
      </w:r>
    </w:p>
    <w:p w14:paraId="447DE4D9">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40.4质疑的审查和受理</w:t>
      </w:r>
    </w:p>
    <w:p w14:paraId="02CA04D4">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采购方在收到质疑函后应当及时审查是否符合质疑受理条件，对符合质疑受理条件的，及时予以受理。</w:t>
      </w:r>
    </w:p>
    <w:p w14:paraId="26BA8897">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40.5对不符合质疑受理条件的，分别按照下列不同情形予以处理：</w:t>
      </w:r>
    </w:p>
    <w:p w14:paraId="0F96B981">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（一）质疑函内容不符合规定的，告知质疑人进行修改并重新提出质疑。修改后质疑事项仍不具体、不明确或者最终递交质疑函的时间超过质疑法定期限的，不予受理；</w:t>
      </w:r>
    </w:p>
    <w:p w14:paraId="054285ED">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（二）质疑主体不符合有关规定的，告知质疑人不予受理；</w:t>
      </w:r>
    </w:p>
    <w:p w14:paraId="4F73E521">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（三）超过质疑法定期限提出质疑的，告知质疑人不予受理；</w:t>
      </w:r>
    </w:p>
    <w:p w14:paraId="728CCDA4">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（四）对不属于可以提出质疑的政府采购事项提出质疑的，告知质疑人不予受理；</w:t>
      </w:r>
    </w:p>
    <w:p w14:paraId="425B7E5C">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（五）质疑不属于本项目采购方管辖的，告知质疑人向有管辖权的采购人提出质疑；</w:t>
      </w:r>
    </w:p>
    <w:p w14:paraId="4DBF11A0">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（六）质疑不符合其他条件的，告知质疑人不予受理。</w:t>
      </w:r>
    </w:p>
    <w:p w14:paraId="6DAC5591">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40.6质疑的处理和答复</w:t>
      </w:r>
    </w:p>
    <w:p w14:paraId="2FDE64B9">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40.7采购方受理质疑后，将及时把质疑函发送给被质疑人，并要求其在一定限期内提交书面答复，同时提供有关证据、依据和相关材料。</w:t>
      </w:r>
    </w:p>
    <w:p w14:paraId="5B62459B">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40.8对于质疑事项中涉及的问题较多、情况比较复杂的，为了全面查清事实、取得充分的证据，采购方认为有必要时，可以进行调查取证或者组织质证。</w:t>
      </w:r>
    </w:p>
    <w:p w14:paraId="5972C2E7">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40.9对评审过程、成交结果提出质疑的，采购方可以组织原评审委员会协助答复质疑。</w:t>
      </w:r>
    </w:p>
    <w:p w14:paraId="101E4390">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41.质疑处理过程中，质疑人书面申请撤回质疑的，将终止质疑处理程序。</w:t>
      </w:r>
    </w:p>
    <w:p w14:paraId="6D5B24FB">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41.1质疑人拒绝配合采购方依法对质疑进行调查处理的，采购方将按质疑人自动撤回质疑处理；被质疑人拒绝配合采购方依法对质疑进行调查处理的，采购方将视同其认可质疑事项。</w:t>
      </w:r>
    </w:p>
    <w:p w14:paraId="17A30D62">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41.1质疑人拒绝配合采购方依法对质疑进行调查处理的，采购方将按质疑人自动撤回质疑处理；被质疑人拒绝配合采购方依法对质疑进行调查处理的，采购方将视同其认可质疑事项。</w:t>
      </w:r>
    </w:p>
    <w:p w14:paraId="4D4BD57F">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41.2采购方将在正式受理质疑后7个工作日内作出答复。</w:t>
      </w:r>
    </w:p>
    <w:p w14:paraId="4B70B28B">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41.3质疑答复应当包括下列内容：</w:t>
      </w:r>
    </w:p>
    <w:p w14:paraId="55BBBF42">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（一）质疑人的姓名或者名称；</w:t>
      </w:r>
    </w:p>
    <w:p w14:paraId="6B0189AE">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（二）收到质疑函的日期、质疑项目名称及编号；</w:t>
      </w:r>
    </w:p>
    <w:p w14:paraId="0E87E0EC">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（三）质疑事项、质疑答复的具体内容、事实依据和法律依据；</w:t>
      </w:r>
    </w:p>
    <w:p w14:paraId="3F883B60">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（四）告知质疑供应商依法投诉的权利；</w:t>
      </w:r>
    </w:p>
    <w:p w14:paraId="19CB7EBC">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（五）质疑答复人名称；</w:t>
      </w:r>
    </w:p>
    <w:p w14:paraId="7C66AD44">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（六）答复质疑的日期。</w:t>
      </w:r>
    </w:p>
    <w:p w14:paraId="7CE833BC">
      <w:pPr>
        <w:keepNext w:val="0"/>
        <w:keepLines w:val="0"/>
        <w:pageBreakBefore w:val="0"/>
        <w:widowControl w:val="0"/>
        <w:wordWrap/>
        <w:overflowPunct/>
        <w:topLinePunct w:val="0"/>
        <w:bidi w:val="0"/>
        <w:spacing w:line="340" w:lineRule="exact"/>
        <w:ind w:left="904" w:hanging="900" w:hangingChars="375"/>
        <w:jc w:val="center"/>
        <w:textAlignment w:val="auto"/>
        <w:rPr>
          <w:rFonts w:hint="eastAsia" w:ascii="仿宋_GB2312" w:hAnsi="仿宋_GB2312" w:eastAsia="仿宋_GB2312" w:cs="仿宋_GB2312"/>
          <w:b/>
          <w:bCs/>
          <w:sz w:val="24"/>
          <w:highlight w:val="none"/>
        </w:rPr>
      </w:pPr>
    </w:p>
    <w:p w14:paraId="5B8DEDB3">
      <w:pPr>
        <w:keepNext w:val="0"/>
        <w:keepLines w:val="0"/>
        <w:pageBreakBefore w:val="0"/>
        <w:widowControl w:val="0"/>
        <w:wordWrap/>
        <w:overflowPunct/>
        <w:topLinePunct w:val="0"/>
        <w:bidi w:val="0"/>
        <w:spacing w:line="340" w:lineRule="exact"/>
        <w:ind w:left="904" w:hanging="900" w:hangingChars="375"/>
        <w:jc w:val="center"/>
        <w:textAlignment w:val="auto"/>
        <w:rPr>
          <w:rFonts w:hint="eastAsia" w:ascii="仿宋_GB2312" w:hAnsi="仿宋_GB2312" w:eastAsia="仿宋_GB2312" w:cs="仿宋_GB2312"/>
          <w:b/>
          <w:bCs/>
          <w:sz w:val="24"/>
          <w:highlight w:val="none"/>
        </w:rPr>
      </w:pPr>
    </w:p>
    <w:p w14:paraId="1D6ADDEB">
      <w:pPr>
        <w:rPr>
          <w:rFonts w:hint="eastAsia"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br w:type="page"/>
      </w:r>
    </w:p>
    <w:p w14:paraId="4A14462B">
      <w:pPr>
        <w:keepNext w:val="0"/>
        <w:keepLines w:val="0"/>
        <w:pageBreakBefore w:val="0"/>
        <w:widowControl w:val="0"/>
        <w:wordWrap/>
        <w:overflowPunct/>
        <w:topLinePunct w:val="0"/>
        <w:bidi w:val="0"/>
        <w:spacing w:line="340" w:lineRule="exact"/>
        <w:ind w:left="904" w:hanging="900" w:hangingChars="375"/>
        <w:jc w:val="center"/>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b/>
          <w:bCs/>
          <w:sz w:val="24"/>
          <w:highlight w:val="none"/>
        </w:rPr>
        <w:t>质疑函范本</w:t>
      </w:r>
    </w:p>
    <w:p w14:paraId="7CF97EA7">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一、质疑供应商基本信息</w:t>
      </w:r>
    </w:p>
    <w:p w14:paraId="2B71CC64">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质疑供应商：</w:t>
      </w:r>
    </w:p>
    <w:p w14:paraId="3D2EFFAF">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地址：邮编：</w:t>
      </w:r>
    </w:p>
    <w:p w14:paraId="110C3F1F">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联系人：联系电话：</w:t>
      </w:r>
    </w:p>
    <w:p w14:paraId="22EF3FC0">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授权代表：</w:t>
      </w:r>
    </w:p>
    <w:p w14:paraId="55242082">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p w14:paraId="0BE34F43">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地址：邮编：</w:t>
      </w:r>
    </w:p>
    <w:p w14:paraId="598C32E2">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二、质疑项目基本情况</w:t>
      </w:r>
    </w:p>
    <w:p w14:paraId="736CAE0A">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质疑项目的名称：</w:t>
      </w:r>
    </w:p>
    <w:p w14:paraId="79DBCC2E">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质疑项目的编号：包号：</w:t>
      </w:r>
    </w:p>
    <w:p w14:paraId="268053F2">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采购人名称：</w:t>
      </w:r>
    </w:p>
    <w:p w14:paraId="6937A2A7">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采购文件获取日期：</w:t>
      </w:r>
    </w:p>
    <w:p w14:paraId="483257F1">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三、质疑事项具体内容</w:t>
      </w:r>
    </w:p>
    <w:p w14:paraId="3824BAF8">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质疑事项1：</w:t>
      </w:r>
    </w:p>
    <w:p w14:paraId="6D2639F8">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事实依据：</w:t>
      </w:r>
    </w:p>
    <w:p w14:paraId="01AEB9C4">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p>
    <w:p w14:paraId="4D46FF39">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法律依据：</w:t>
      </w:r>
    </w:p>
    <w:p w14:paraId="2E2CC5AD">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p>
    <w:p w14:paraId="4C9BFA17">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质疑事项2</w:t>
      </w:r>
    </w:p>
    <w:p w14:paraId="3F5C1772">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p w14:paraId="3416793E">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四、与质疑事项相关的质疑请求</w:t>
      </w:r>
    </w:p>
    <w:p w14:paraId="4B66AA8C">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请求：</w:t>
      </w:r>
    </w:p>
    <w:p w14:paraId="066C7C2D">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签字(签章)：公章：</w:t>
      </w:r>
    </w:p>
    <w:p w14:paraId="4909B6AB">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日期：</w:t>
      </w:r>
    </w:p>
    <w:p w14:paraId="47EB3887">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p>
    <w:p w14:paraId="69704B57">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p>
    <w:p w14:paraId="517DCA0A">
      <w:pPr>
        <w:pStyle w:val="20"/>
        <w:keepNext w:val="0"/>
        <w:keepLines w:val="0"/>
        <w:pageBreakBefore w:val="0"/>
        <w:widowControl w:val="0"/>
        <w:wordWrap/>
        <w:overflowPunct/>
        <w:topLinePunct w:val="0"/>
        <w:bidi w:val="0"/>
        <w:rPr>
          <w:highlight w:val="none"/>
        </w:rPr>
      </w:pPr>
    </w:p>
    <w:p w14:paraId="5D53CC47">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质疑函制作说明：</w:t>
      </w:r>
    </w:p>
    <w:p w14:paraId="44B79BBF">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1.供应商提出质疑时，应提交质疑函和必要的证明材料。</w:t>
      </w:r>
    </w:p>
    <w:p w14:paraId="0BFECE75">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74BA25B">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3.质疑供应商若对项目的某一分包进行质疑，质疑函中应列明具体分包号。</w:t>
      </w:r>
    </w:p>
    <w:p w14:paraId="623BE0F1">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4.质疑函的质疑事项应具体、明确，并有必要的事实依据和法律依据。</w:t>
      </w:r>
    </w:p>
    <w:p w14:paraId="780F0FC7">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5.质疑函的质疑请求应与质疑事项相关。</w:t>
      </w:r>
    </w:p>
    <w:p w14:paraId="751C6B23">
      <w:pPr>
        <w:keepNext w:val="0"/>
        <w:keepLines w:val="0"/>
        <w:pageBreakBefore w:val="0"/>
        <w:widowControl w:val="0"/>
        <w:wordWrap/>
        <w:overflowPunct/>
        <w:topLinePunct w:val="0"/>
        <w:bidi w:val="0"/>
        <w:spacing w:line="340" w:lineRule="exact"/>
        <w:ind w:left="900" w:hanging="900" w:hangingChars="375"/>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6.质疑供应商为自然人的，质疑函应由本人签字；质疑供应商为法人或者其他组织的，质疑函应由法定代表人、主要负责人，或者其授权代表签字或者盖章，并加盖公章。</w:t>
      </w:r>
    </w:p>
    <w:p w14:paraId="1E426D6D">
      <w:pPr>
        <w:keepNext w:val="0"/>
        <w:keepLines w:val="0"/>
        <w:pageBreakBefore w:val="0"/>
        <w:widowControl w:val="0"/>
        <w:wordWrap/>
        <w:overflowPunct/>
        <w:topLinePunct w:val="0"/>
        <w:bidi w:val="0"/>
        <w:spacing w:line="240" w:lineRule="atLeast"/>
        <w:ind w:left="1079" w:leftChars="257" w:hanging="540"/>
        <w:rPr>
          <w:rFonts w:hint="eastAsia" w:ascii="宋体" w:hAnsi="宋体" w:cs="宋体"/>
          <w:highlight w:val="none"/>
        </w:rPr>
      </w:pPr>
      <w:r>
        <w:rPr>
          <w:rFonts w:hint="eastAsia" w:ascii="仿宋_GB2312" w:hAnsi="仿宋_GB2312" w:eastAsia="仿宋_GB2312" w:cs="仿宋_GB2312"/>
          <w:sz w:val="24"/>
          <w:highlight w:val="none"/>
        </w:rPr>
        <w:br w:type="page"/>
      </w:r>
      <w:r>
        <w:rPr>
          <w:rFonts w:hint="eastAsia" w:ascii="宋体" w:hAnsi="宋体" w:cs="宋体"/>
          <w:highlight w:val="none"/>
        </w:rPr>
        <w:t>附件1：履约保证金保函（格式）</w:t>
      </w:r>
      <w:bookmarkEnd w:id="620"/>
      <w:bookmarkEnd w:id="621"/>
      <w:bookmarkEnd w:id="622"/>
      <w:bookmarkEnd w:id="623"/>
      <w:bookmarkEnd w:id="624"/>
    </w:p>
    <w:p w14:paraId="396FD584">
      <w:pPr>
        <w:pStyle w:val="13"/>
        <w:keepNext w:val="0"/>
        <w:keepLines w:val="0"/>
        <w:pageBreakBefore w:val="0"/>
        <w:widowControl w:val="0"/>
        <w:wordWrap/>
        <w:overflowPunct/>
        <w:topLinePunct w:val="0"/>
        <w:bidi w:val="0"/>
        <w:spacing w:line="240" w:lineRule="atLeast"/>
        <w:ind w:left="1079" w:leftChars="257" w:hanging="540"/>
        <w:jc w:val="center"/>
        <w:rPr>
          <w:rFonts w:hint="eastAsia" w:hAnsi="宋体" w:cs="宋体"/>
          <w:b/>
          <w:sz w:val="24"/>
          <w:highlight w:val="none"/>
        </w:rPr>
      </w:pPr>
      <w:r>
        <w:rPr>
          <w:rFonts w:hint="eastAsia" w:hAnsi="宋体" w:cs="宋体"/>
          <w:b/>
          <w:sz w:val="24"/>
          <w:highlight w:val="none"/>
        </w:rPr>
        <w:t>（中标后开具）</w:t>
      </w:r>
    </w:p>
    <w:p w14:paraId="747C1EA5">
      <w:pPr>
        <w:pStyle w:val="13"/>
        <w:keepNext w:val="0"/>
        <w:keepLines w:val="0"/>
        <w:pageBreakBefore w:val="0"/>
        <w:widowControl w:val="0"/>
        <w:wordWrap/>
        <w:overflowPunct/>
        <w:topLinePunct w:val="0"/>
        <w:bidi w:val="0"/>
        <w:spacing w:line="240" w:lineRule="atLeast"/>
        <w:ind w:left="1079" w:leftChars="257" w:hanging="540"/>
        <w:rPr>
          <w:rFonts w:hint="eastAsia" w:hAnsi="宋体" w:cs="宋体"/>
          <w:b/>
          <w:sz w:val="24"/>
          <w:highlight w:val="none"/>
        </w:rPr>
      </w:pPr>
    </w:p>
    <w:p w14:paraId="1128173B">
      <w:pPr>
        <w:pStyle w:val="13"/>
        <w:keepNext w:val="0"/>
        <w:keepLines w:val="0"/>
        <w:pageBreakBefore w:val="0"/>
        <w:widowControl w:val="0"/>
        <w:wordWrap/>
        <w:overflowPunct/>
        <w:topLinePunct w:val="0"/>
        <w:bidi w:val="0"/>
        <w:spacing w:line="240" w:lineRule="atLeast"/>
        <w:ind w:left="1079" w:leftChars="257" w:hanging="540"/>
        <w:rPr>
          <w:rFonts w:hint="eastAsia" w:hAnsi="宋体" w:cs="宋体"/>
          <w:b/>
          <w:sz w:val="24"/>
          <w:highlight w:val="none"/>
        </w:rPr>
      </w:pPr>
    </w:p>
    <w:p w14:paraId="2EA15FF6">
      <w:pPr>
        <w:pStyle w:val="13"/>
        <w:keepNext w:val="0"/>
        <w:keepLines w:val="0"/>
        <w:pageBreakBefore w:val="0"/>
        <w:widowControl w:val="0"/>
        <w:wordWrap/>
        <w:overflowPunct/>
        <w:topLinePunct w:val="0"/>
        <w:bidi w:val="0"/>
        <w:spacing w:line="240" w:lineRule="atLeast"/>
        <w:rPr>
          <w:rFonts w:hint="eastAsia" w:hAnsi="宋体" w:cs="宋体"/>
          <w:sz w:val="24"/>
          <w:szCs w:val="24"/>
          <w:highlight w:val="none"/>
        </w:rPr>
      </w:pPr>
      <w:r>
        <w:rPr>
          <w:rFonts w:hint="eastAsia" w:hAnsi="宋体" w:cs="宋体"/>
          <w:sz w:val="24"/>
          <w:szCs w:val="24"/>
          <w:highlight w:val="none"/>
        </w:rPr>
        <w:t>致:(</w:t>
      </w:r>
      <w:r>
        <w:rPr>
          <w:rFonts w:hint="eastAsia" w:hAnsi="宋体" w:cs="宋体"/>
          <w:i/>
          <w:sz w:val="24"/>
          <w:szCs w:val="24"/>
          <w:highlight w:val="none"/>
          <w:u w:val="single"/>
        </w:rPr>
        <w:t>买方名称</w:t>
      </w:r>
      <w:r>
        <w:rPr>
          <w:rFonts w:hint="eastAsia" w:hAnsi="宋体" w:cs="宋体"/>
          <w:sz w:val="24"/>
          <w:szCs w:val="24"/>
          <w:highlight w:val="none"/>
        </w:rPr>
        <w:t>)</w:t>
      </w:r>
    </w:p>
    <w:p w14:paraId="43BCD424">
      <w:pPr>
        <w:pStyle w:val="13"/>
        <w:keepNext w:val="0"/>
        <w:keepLines w:val="0"/>
        <w:pageBreakBefore w:val="0"/>
        <w:widowControl w:val="0"/>
        <w:wordWrap/>
        <w:overflowPunct/>
        <w:topLinePunct w:val="0"/>
        <w:bidi w:val="0"/>
        <w:spacing w:line="240" w:lineRule="atLeast"/>
        <w:ind w:left="1079" w:leftChars="257" w:hanging="540"/>
        <w:jc w:val="center"/>
        <w:rPr>
          <w:rFonts w:hint="eastAsia" w:hAnsi="宋体" w:cs="宋体"/>
          <w:sz w:val="24"/>
          <w:szCs w:val="24"/>
          <w:highlight w:val="none"/>
        </w:rPr>
      </w:pPr>
      <w:r>
        <w:rPr>
          <w:rFonts w:hint="eastAsia" w:hAnsi="宋体" w:cs="宋体"/>
          <w:sz w:val="24"/>
          <w:szCs w:val="24"/>
          <w:highlight w:val="none"/>
        </w:rPr>
        <w:t>合同履约保函</w:t>
      </w:r>
    </w:p>
    <w:p w14:paraId="4A32C7E6">
      <w:pPr>
        <w:pStyle w:val="13"/>
        <w:keepNext w:val="0"/>
        <w:keepLines w:val="0"/>
        <w:pageBreakBefore w:val="0"/>
        <w:widowControl w:val="0"/>
        <w:wordWrap/>
        <w:overflowPunct/>
        <w:topLinePunct w:val="0"/>
        <w:bidi w:val="0"/>
        <w:spacing w:line="240" w:lineRule="atLeast"/>
        <w:ind w:left="1079" w:leftChars="257" w:hanging="540"/>
        <w:jc w:val="center"/>
        <w:rPr>
          <w:rFonts w:hint="eastAsia" w:hAnsi="宋体" w:cs="宋体"/>
          <w:sz w:val="24"/>
          <w:szCs w:val="24"/>
          <w:highlight w:val="none"/>
        </w:rPr>
      </w:pPr>
    </w:p>
    <w:p w14:paraId="58173658">
      <w:pPr>
        <w:pStyle w:val="13"/>
        <w:keepNext w:val="0"/>
        <w:keepLines w:val="0"/>
        <w:pageBreakBefore w:val="0"/>
        <w:widowControl w:val="0"/>
        <w:wordWrap/>
        <w:overflowPunct/>
        <w:topLinePunct w:val="0"/>
        <w:bidi w:val="0"/>
        <w:spacing w:line="240" w:lineRule="atLeast"/>
        <w:ind w:firstLine="600" w:firstLineChars="250"/>
        <w:rPr>
          <w:rFonts w:hint="eastAsia" w:hAnsi="宋体" w:cs="宋体"/>
          <w:sz w:val="24"/>
          <w:szCs w:val="24"/>
          <w:highlight w:val="none"/>
        </w:rPr>
      </w:pPr>
      <w:r>
        <w:rPr>
          <w:rFonts w:hint="eastAsia" w:hAnsi="宋体" w:cs="宋体"/>
          <w:sz w:val="24"/>
          <w:szCs w:val="24"/>
          <w:highlight w:val="none"/>
        </w:rPr>
        <w:t>本保函作为贵方与(</w:t>
      </w:r>
      <w:r>
        <w:rPr>
          <w:rFonts w:hint="eastAsia" w:hAnsi="宋体" w:cs="宋体"/>
          <w:i/>
          <w:sz w:val="24"/>
          <w:szCs w:val="24"/>
          <w:highlight w:val="none"/>
          <w:u w:val="single"/>
        </w:rPr>
        <w:t>卖方名称</w:t>
      </w:r>
      <w:r>
        <w:rPr>
          <w:rFonts w:hint="eastAsia" w:hAnsi="宋体" w:cs="宋体"/>
          <w:sz w:val="24"/>
          <w:szCs w:val="24"/>
          <w:highlight w:val="none"/>
        </w:rPr>
        <w:t>)(以下简称卖方)于年月日就项目(以下简称项目)项下提供(</w:t>
      </w:r>
      <w:r>
        <w:rPr>
          <w:rFonts w:hint="eastAsia" w:hAnsi="宋体" w:cs="宋体"/>
          <w:i/>
          <w:sz w:val="24"/>
          <w:szCs w:val="24"/>
          <w:highlight w:val="none"/>
          <w:u w:val="single"/>
        </w:rPr>
        <w:t>货物名称</w:t>
      </w:r>
      <w:r>
        <w:rPr>
          <w:rFonts w:hint="eastAsia" w:hAnsi="宋体" w:cs="宋体"/>
          <w:sz w:val="24"/>
          <w:szCs w:val="24"/>
          <w:highlight w:val="none"/>
        </w:rPr>
        <w:t>)(以下简称货物)签订的(</w:t>
      </w:r>
      <w:r>
        <w:rPr>
          <w:rFonts w:hint="eastAsia" w:hAnsi="宋体" w:cs="宋体"/>
          <w:i/>
          <w:sz w:val="24"/>
          <w:szCs w:val="24"/>
          <w:highlight w:val="none"/>
          <w:u w:val="single"/>
        </w:rPr>
        <w:t>合同号</w:t>
      </w:r>
      <w:r>
        <w:rPr>
          <w:rFonts w:hint="eastAsia" w:hAnsi="宋体" w:cs="宋体"/>
          <w:sz w:val="24"/>
          <w:szCs w:val="24"/>
          <w:highlight w:val="none"/>
        </w:rPr>
        <w:t>)号合同的履约保函。</w:t>
      </w:r>
    </w:p>
    <w:p w14:paraId="6688FF72">
      <w:pPr>
        <w:pStyle w:val="13"/>
        <w:keepNext w:val="0"/>
        <w:keepLines w:val="0"/>
        <w:pageBreakBefore w:val="0"/>
        <w:widowControl w:val="0"/>
        <w:wordWrap/>
        <w:overflowPunct/>
        <w:topLinePunct w:val="0"/>
        <w:bidi w:val="0"/>
        <w:spacing w:line="240" w:lineRule="atLeast"/>
        <w:ind w:firstLine="540" w:firstLineChars="225"/>
        <w:rPr>
          <w:rFonts w:hint="eastAsia" w:hAnsi="宋体" w:cs="宋体"/>
          <w:sz w:val="24"/>
          <w:szCs w:val="24"/>
          <w:highlight w:val="none"/>
        </w:rPr>
      </w:pPr>
      <w:r>
        <w:rPr>
          <w:rFonts w:hint="eastAsia" w:hAnsi="宋体" w:cs="宋体"/>
          <w:sz w:val="24"/>
          <w:szCs w:val="24"/>
          <w:highlight w:val="none"/>
        </w:rPr>
        <w:t>(</w:t>
      </w:r>
      <w:r>
        <w:rPr>
          <w:rFonts w:hint="eastAsia" w:hAnsi="宋体" w:cs="宋体"/>
          <w:i/>
          <w:sz w:val="24"/>
          <w:szCs w:val="24"/>
          <w:highlight w:val="none"/>
          <w:u w:val="single"/>
        </w:rPr>
        <w:t>出具保函的银行名称</w:t>
      </w:r>
      <w:r>
        <w:rPr>
          <w:rFonts w:hint="eastAsia" w:hAnsi="宋体" w:cs="宋体"/>
          <w:sz w:val="24"/>
          <w:szCs w:val="24"/>
          <w:highlight w:val="none"/>
        </w:rPr>
        <w:t>)(以下简称银行)无条件地、不可撤销地具结保证本行、其继承人和受让人无追索地向贵方以(</w:t>
      </w:r>
      <w:r>
        <w:rPr>
          <w:rFonts w:hint="eastAsia" w:hAnsi="宋体" w:cs="宋体"/>
          <w:i/>
          <w:sz w:val="24"/>
          <w:szCs w:val="24"/>
          <w:highlight w:val="none"/>
          <w:u w:val="single"/>
        </w:rPr>
        <w:t>货币名称</w:t>
      </w:r>
      <w:r>
        <w:rPr>
          <w:rFonts w:hint="eastAsia" w:hAnsi="宋体" w:cs="宋体"/>
          <w:sz w:val="24"/>
          <w:szCs w:val="24"/>
          <w:highlight w:val="none"/>
        </w:rPr>
        <w:t>)支付总额不超过(</w:t>
      </w:r>
      <w:r>
        <w:rPr>
          <w:rFonts w:hint="eastAsia" w:hAnsi="宋体" w:cs="宋体"/>
          <w:i/>
          <w:sz w:val="24"/>
          <w:szCs w:val="24"/>
          <w:highlight w:val="none"/>
          <w:u w:val="single"/>
        </w:rPr>
        <w:t>货币数量</w:t>
      </w:r>
      <w:r>
        <w:rPr>
          <w:rFonts w:hint="eastAsia" w:hAnsi="宋体" w:cs="宋体"/>
          <w:sz w:val="24"/>
          <w:szCs w:val="24"/>
          <w:highlight w:val="none"/>
        </w:rPr>
        <w:t>),即相当于合同价格的%,并以此约定如下:</w:t>
      </w:r>
    </w:p>
    <w:p w14:paraId="1D3D289F">
      <w:pPr>
        <w:pStyle w:val="13"/>
        <w:keepNext w:val="0"/>
        <w:keepLines w:val="0"/>
        <w:pageBreakBefore w:val="0"/>
        <w:widowControl w:val="0"/>
        <w:wordWrap/>
        <w:overflowPunct/>
        <w:topLinePunct w:val="0"/>
        <w:bidi w:val="0"/>
        <w:spacing w:line="240" w:lineRule="atLeast"/>
        <w:ind w:left="539" w:leftChars="257"/>
        <w:rPr>
          <w:rFonts w:hint="eastAsia" w:hAnsi="宋体" w:cs="宋体"/>
          <w:sz w:val="24"/>
          <w:szCs w:val="24"/>
          <w:highlight w:val="none"/>
        </w:rPr>
      </w:pPr>
      <w:r>
        <w:rPr>
          <w:rFonts w:hint="eastAsia" w:hAnsi="宋体" w:cs="宋体"/>
          <w:sz w:val="24"/>
          <w:szCs w:val="24"/>
          <w:highlight w:val="none"/>
        </w:rPr>
        <w:t>1.只要贵方确定卖方未能忠实地履行所有合同文件的规定和双方此后一致同意的修改、补充和变动,包括更改和/或修补贵方认为有缺陷的货物(以下简称违约),无论卖方有任何反对,本行将凭贵方关于卖方违约说明的书面通知,立即按贵方提出的累计总额不超过上述金额的款项和按贵方通知规定的方式付给贵方。</w:t>
      </w:r>
    </w:p>
    <w:p w14:paraId="618F9A0E">
      <w:pPr>
        <w:pStyle w:val="13"/>
        <w:keepNext w:val="0"/>
        <w:keepLines w:val="0"/>
        <w:pageBreakBefore w:val="0"/>
        <w:widowControl w:val="0"/>
        <w:wordWrap/>
        <w:overflowPunct/>
        <w:topLinePunct w:val="0"/>
        <w:bidi w:val="0"/>
        <w:spacing w:line="240" w:lineRule="atLeast"/>
        <w:ind w:left="540"/>
        <w:rPr>
          <w:rFonts w:hint="eastAsia" w:hAnsi="宋体" w:cs="宋体"/>
          <w:sz w:val="24"/>
          <w:szCs w:val="24"/>
          <w:highlight w:val="none"/>
        </w:rPr>
      </w:pPr>
      <w:r>
        <w:rPr>
          <w:rFonts w:hint="eastAsia" w:hAnsi="宋体" w:cs="宋体"/>
          <w:sz w:val="24"/>
          <w:szCs w:val="24"/>
          <w:highlight w:val="none"/>
        </w:rPr>
        <w:t>2.本保函项下的任何支付应为免税和净值。对于现有或将来的税收、关税、收费、费用扣减或预提税款，不论这些款项是何种性质和由谁征收，都不应从本保函项下的支付中扣除。</w:t>
      </w:r>
    </w:p>
    <w:p w14:paraId="7A751DA2">
      <w:pPr>
        <w:pStyle w:val="13"/>
        <w:keepNext w:val="0"/>
        <w:keepLines w:val="0"/>
        <w:pageBreakBefore w:val="0"/>
        <w:widowControl w:val="0"/>
        <w:wordWrap/>
        <w:overflowPunct/>
        <w:topLinePunct w:val="0"/>
        <w:bidi w:val="0"/>
        <w:spacing w:line="240" w:lineRule="atLeast"/>
        <w:ind w:left="540"/>
        <w:rPr>
          <w:rFonts w:hint="eastAsia" w:hAnsi="宋体" w:cs="宋体"/>
          <w:sz w:val="24"/>
          <w:szCs w:val="24"/>
          <w:highlight w:val="none"/>
        </w:rPr>
      </w:pPr>
      <w:r>
        <w:rPr>
          <w:rFonts w:hint="eastAsia" w:hAnsi="宋体" w:cs="宋体"/>
          <w:sz w:val="24"/>
          <w:szCs w:val="24"/>
          <w:highlight w:val="none"/>
        </w:rPr>
        <w:t>3.本保函的条款构成本行无条件的、不可撤销的直接责任。对即将履行的合同条款的任何变更、贵方在时间上的宽限、或由贵方采取的如果没有本款可能免除本行责任的任何其它行为，均不能解除或免除本行在本保函项下的责任。</w:t>
      </w:r>
    </w:p>
    <w:p w14:paraId="641728BC">
      <w:pPr>
        <w:pStyle w:val="13"/>
        <w:keepNext w:val="0"/>
        <w:keepLines w:val="0"/>
        <w:pageBreakBefore w:val="0"/>
        <w:widowControl w:val="0"/>
        <w:wordWrap/>
        <w:overflowPunct/>
        <w:topLinePunct w:val="0"/>
        <w:bidi w:val="0"/>
        <w:spacing w:line="240" w:lineRule="atLeast"/>
        <w:ind w:left="1079" w:leftChars="257" w:hanging="540"/>
        <w:rPr>
          <w:rFonts w:hint="eastAsia" w:hAnsi="宋体" w:cs="宋体"/>
          <w:sz w:val="24"/>
          <w:szCs w:val="24"/>
          <w:highlight w:val="none"/>
        </w:rPr>
      </w:pPr>
      <w:bookmarkStart w:id="625" w:name="_Toc6985"/>
      <w:bookmarkStart w:id="626" w:name="_Toc1076"/>
      <w:r>
        <w:rPr>
          <w:rFonts w:hint="eastAsia" w:hAnsi="宋体" w:cs="宋体"/>
          <w:sz w:val="24"/>
          <w:szCs w:val="24"/>
          <w:highlight w:val="none"/>
        </w:rPr>
        <w:t>4.本保函在本合同规定的保证期期满前完全有效。</w:t>
      </w:r>
      <w:bookmarkEnd w:id="625"/>
      <w:bookmarkEnd w:id="626"/>
    </w:p>
    <w:p w14:paraId="69F36F5E">
      <w:pPr>
        <w:pStyle w:val="13"/>
        <w:keepNext w:val="0"/>
        <w:keepLines w:val="0"/>
        <w:pageBreakBefore w:val="0"/>
        <w:widowControl w:val="0"/>
        <w:wordWrap/>
        <w:overflowPunct/>
        <w:topLinePunct w:val="0"/>
        <w:bidi w:val="0"/>
        <w:spacing w:line="240" w:lineRule="atLeast"/>
        <w:ind w:left="1079" w:leftChars="257" w:hanging="540"/>
        <w:rPr>
          <w:rFonts w:hint="eastAsia" w:hAnsi="宋体" w:cs="宋体"/>
          <w:sz w:val="24"/>
          <w:szCs w:val="24"/>
          <w:highlight w:val="none"/>
        </w:rPr>
      </w:pPr>
    </w:p>
    <w:p w14:paraId="3272671F">
      <w:pPr>
        <w:pStyle w:val="13"/>
        <w:keepNext w:val="0"/>
        <w:keepLines w:val="0"/>
        <w:pageBreakBefore w:val="0"/>
        <w:widowControl w:val="0"/>
        <w:wordWrap/>
        <w:overflowPunct/>
        <w:topLinePunct w:val="0"/>
        <w:bidi w:val="0"/>
        <w:spacing w:line="240" w:lineRule="atLeast"/>
        <w:ind w:left="1079" w:leftChars="257" w:hanging="540"/>
        <w:rPr>
          <w:rFonts w:hint="eastAsia" w:hAnsi="宋体" w:cs="宋体"/>
          <w:sz w:val="24"/>
          <w:szCs w:val="24"/>
          <w:highlight w:val="none"/>
        </w:rPr>
      </w:pPr>
      <w:r>
        <w:rPr>
          <w:rFonts w:hint="eastAsia" w:hAnsi="宋体" w:cs="宋体"/>
          <w:sz w:val="24"/>
          <w:szCs w:val="24"/>
          <w:highlight w:val="none"/>
        </w:rPr>
        <w:t>谨启</w:t>
      </w:r>
    </w:p>
    <w:p w14:paraId="6628AE10">
      <w:pPr>
        <w:pStyle w:val="13"/>
        <w:keepNext w:val="0"/>
        <w:keepLines w:val="0"/>
        <w:pageBreakBefore w:val="0"/>
        <w:widowControl w:val="0"/>
        <w:wordWrap/>
        <w:overflowPunct/>
        <w:topLinePunct w:val="0"/>
        <w:bidi w:val="0"/>
        <w:spacing w:line="240" w:lineRule="atLeast"/>
        <w:ind w:left="1079" w:leftChars="257" w:hanging="540"/>
        <w:rPr>
          <w:rFonts w:hint="eastAsia" w:hAnsi="宋体" w:cs="宋体"/>
          <w:sz w:val="24"/>
          <w:szCs w:val="24"/>
          <w:highlight w:val="none"/>
        </w:rPr>
      </w:pPr>
      <w:r>
        <w:rPr>
          <w:rFonts w:hint="eastAsia" w:hAnsi="宋体" w:cs="宋体"/>
          <w:sz w:val="24"/>
          <w:szCs w:val="24"/>
          <w:highlight w:val="none"/>
        </w:rPr>
        <w:t>出具保函银行名称：</w:t>
      </w:r>
    </w:p>
    <w:p w14:paraId="3076E0F7">
      <w:pPr>
        <w:pStyle w:val="13"/>
        <w:keepNext w:val="0"/>
        <w:keepLines w:val="0"/>
        <w:pageBreakBefore w:val="0"/>
        <w:widowControl w:val="0"/>
        <w:wordWrap/>
        <w:overflowPunct/>
        <w:topLinePunct w:val="0"/>
        <w:bidi w:val="0"/>
        <w:spacing w:line="240" w:lineRule="atLeast"/>
        <w:ind w:left="1079" w:leftChars="257" w:hanging="540"/>
        <w:rPr>
          <w:rFonts w:hint="eastAsia" w:hAnsi="宋体" w:cs="宋体"/>
          <w:sz w:val="24"/>
          <w:szCs w:val="24"/>
          <w:highlight w:val="none"/>
          <w:u w:val="single"/>
        </w:rPr>
      </w:pPr>
      <w:r>
        <w:rPr>
          <w:rFonts w:hint="eastAsia" w:hAnsi="宋体" w:cs="宋体"/>
          <w:sz w:val="24"/>
          <w:szCs w:val="24"/>
          <w:highlight w:val="none"/>
        </w:rPr>
        <w:t>签字人姓名和职务：</w:t>
      </w:r>
    </w:p>
    <w:p w14:paraId="53656C37">
      <w:pPr>
        <w:pStyle w:val="13"/>
        <w:keepNext w:val="0"/>
        <w:keepLines w:val="0"/>
        <w:pageBreakBefore w:val="0"/>
        <w:widowControl w:val="0"/>
        <w:wordWrap/>
        <w:overflowPunct/>
        <w:topLinePunct w:val="0"/>
        <w:bidi w:val="0"/>
        <w:spacing w:line="240" w:lineRule="atLeast"/>
        <w:ind w:left="1079" w:leftChars="257" w:hanging="540"/>
        <w:rPr>
          <w:rFonts w:hint="eastAsia" w:hAnsi="宋体" w:cs="宋体"/>
          <w:sz w:val="24"/>
          <w:szCs w:val="24"/>
          <w:highlight w:val="none"/>
        </w:rPr>
      </w:pPr>
      <w:r>
        <w:rPr>
          <w:rFonts w:hint="eastAsia" w:hAnsi="宋体" w:cs="宋体"/>
          <w:sz w:val="24"/>
          <w:szCs w:val="24"/>
          <w:highlight w:val="none"/>
        </w:rPr>
        <w:t>签字人签名：</w:t>
      </w:r>
    </w:p>
    <w:p w14:paraId="58618B82">
      <w:pPr>
        <w:pStyle w:val="13"/>
        <w:keepNext w:val="0"/>
        <w:keepLines w:val="0"/>
        <w:pageBreakBefore w:val="0"/>
        <w:widowControl w:val="0"/>
        <w:wordWrap/>
        <w:overflowPunct/>
        <w:topLinePunct w:val="0"/>
        <w:bidi w:val="0"/>
        <w:spacing w:line="240" w:lineRule="atLeast"/>
        <w:ind w:left="1079" w:leftChars="257" w:hanging="540"/>
        <w:rPr>
          <w:rFonts w:hint="eastAsia" w:hAnsi="宋体" w:cs="宋体"/>
          <w:sz w:val="24"/>
          <w:szCs w:val="24"/>
          <w:highlight w:val="none"/>
          <w:u w:val="single"/>
        </w:rPr>
      </w:pPr>
      <w:r>
        <w:rPr>
          <w:rFonts w:hint="eastAsia" w:hAnsi="宋体" w:cs="宋体"/>
          <w:sz w:val="24"/>
          <w:szCs w:val="24"/>
          <w:highlight w:val="none"/>
        </w:rPr>
        <w:t>公章：</w:t>
      </w:r>
    </w:p>
    <w:p w14:paraId="55C91C12">
      <w:pPr>
        <w:pStyle w:val="24"/>
        <w:keepNext w:val="0"/>
        <w:keepLines w:val="0"/>
        <w:pageBreakBefore w:val="0"/>
        <w:widowControl w:val="0"/>
        <w:wordWrap/>
        <w:overflowPunct/>
        <w:topLinePunct w:val="0"/>
        <w:bidi w:val="0"/>
        <w:ind w:firstLine="240"/>
        <w:rPr>
          <w:rFonts w:ascii="宋体" w:hAnsi="宋体" w:eastAsia="宋体" w:cs="宋体"/>
          <w:szCs w:val="24"/>
          <w:highlight w:val="none"/>
        </w:rPr>
      </w:pPr>
    </w:p>
    <w:p w14:paraId="46C84F00">
      <w:pPr>
        <w:pStyle w:val="24"/>
        <w:keepNext w:val="0"/>
        <w:keepLines w:val="0"/>
        <w:pageBreakBefore w:val="0"/>
        <w:widowControl w:val="0"/>
        <w:wordWrap/>
        <w:overflowPunct/>
        <w:topLinePunct w:val="0"/>
        <w:bidi w:val="0"/>
        <w:ind w:firstLine="240"/>
        <w:rPr>
          <w:rFonts w:ascii="宋体" w:hAnsi="宋体" w:eastAsia="宋体" w:cs="宋体"/>
          <w:szCs w:val="24"/>
          <w:highlight w:val="none"/>
        </w:rPr>
      </w:pPr>
    </w:p>
    <w:p w14:paraId="665A6CDC">
      <w:pPr>
        <w:pStyle w:val="20"/>
        <w:keepNext w:val="0"/>
        <w:keepLines w:val="0"/>
        <w:pageBreakBefore w:val="0"/>
        <w:widowControl w:val="0"/>
        <w:wordWrap/>
        <w:overflowPunct/>
        <w:topLinePunct w:val="0"/>
        <w:bidi w:val="0"/>
        <w:rPr>
          <w:highlight w:val="none"/>
        </w:rPr>
      </w:pPr>
    </w:p>
    <w:p w14:paraId="26459EA9">
      <w:pPr>
        <w:keepNext w:val="0"/>
        <w:keepLines w:val="0"/>
        <w:pageBreakBefore w:val="0"/>
        <w:widowControl w:val="0"/>
        <w:wordWrap/>
        <w:overflowPunct/>
        <w:topLinePunct w:val="0"/>
        <w:bidi w:val="0"/>
        <w:spacing w:line="240" w:lineRule="atLeast"/>
        <w:ind w:left="1079" w:leftChars="257" w:hanging="540"/>
        <w:rPr>
          <w:rFonts w:hint="eastAsia" w:ascii="宋体" w:hAnsi="宋体" w:cs="宋体"/>
          <w:highlight w:val="none"/>
        </w:rPr>
      </w:pPr>
      <w:bookmarkStart w:id="627" w:name="_Toc22540"/>
      <w:bookmarkStart w:id="628" w:name="_Toc16707"/>
      <w:bookmarkStart w:id="629" w:name="_Toc27788"/>
      <w:bookmarkStart w:id="630" w:name="_Toc21744"/>
      <w:bookmarkStart w:id="631" w:name="_Toc27581"/>
      <w:bookmarkStart w:id="632" w:name="_Toc518923104"/>
    </w:p>
    <w:p w14:paraId="491A93DA">
      <w:pPr>
        <w:keepNext w:val="0"/>
        <w:keepLines w:val="0"/>
        <w:pageBreakBefore w:val="0"/>
        <w:widowControl w:val="0"/>
        <w:wordWrap/>
        <w:overflowPunct/>
        <w:topLinePunct w:val="0"/>
        <w:bidi w:val="0"/>
        <w:spacing w:line="240" w:lineRule="atLeast"/>
        <w:ind w:left="1079" w:leftChars="257" w:hanging="540"/>
        <w:rPr>
          <w:rFonts w:hint="eastAsia" w:ascii="宋体" w:hAnsi="宋体" w:cs="宋体"/>
          <w:highlight w:val="none"/>
        </w:rPr>
      </w:pPr>
      <w:r>
        <w:rPr>
          <w:rFonts w:hint="eastAsia" w:ascii="宋体" w:hAnsi="宋体" w:cs="宋体"/>
          <w:highlight w:val="none"/>
        </w:rPr>
        <w:t>附件2：履约担保函格式</w:t>
      </w:r>
      <w:bookmarkEnd w:id="627"/>
      <w:bookmarkEnd w:id="628"/>
      <w:bookmarkEnd w:id="629"/>
      <w:bookmarkEnd w:id="630"/>
      <w:bookmarkEnd w:id="631"/>
      <w:bookmarkEnd w:id="632"/>
    </w:p>
    <w:p w14:paraId="69C16D54">
      <w:pPr>
        <w:keepNext w:val="0"/>
        <w:keepLines w:val="0"/>
        <w:pageBreakBefore w:val="0"/>
        <w:widowControl w:val="0"/>
        <w:wordWrap/>
        <w:overflowPunct/>
        <w:topLinePunct w:val="0"/>
        <w:bidi w:val="0"/>
        <w:spacing w:line="240" w:lineRule="atLeast"/>
        <w:ind w:left="1079" w:leftChars="257" w:hanging="540"/>
        <w:rPr>
          <w:rFonts w:hint="eastAsia" w:ascii="宋体" w:hAnsi="宋体" w:cs="宋体"/>
          <w:highlight w:val="none"/>
        </w:rPr>
      </w:pPr>
      <w:bookmarkStart w:id="633" w:name="_Toc515647801"/>
      <w:bookmarkStart w:id="634" w:name="_Toc162"/>
      <w:bookmarkStart w:id="635" w:name="_Toc7209"/>
      <w:bookmarkStart w:id="636" w:name="_Toc32574"/>
      <w:bookmarkStart w:id="637" w:name="_Toc9735"/>
      <w:bookmarkStart w:id="638" w:name="_Toc13962"/>
      <w:r>
        <w:rPr>
          <w:rFonts w:hint="eastAsia" w:ascii="宋体" w:hAnsi="宋体" w:cs="宋体"/>
          <w:highlight w:val="none"/>
        </w:rPr>
        <w:t>（采用政府采购信用担保形式时使用）</w:t>
      </w:r>
      <w:bookmarkEnd w:id="633"/>
      <w:bookmarkEnd w:id="634"/>
      <w:bookmarkEnd w:id="635"/>
      <w:bookmarkEnd w:id="636"/>
      <w:bookmarkEnd w:id="637"/>
      <w:bookmarkEnd w:id="638"/>
    </w:p>
    <w:p w14:paraId="7F703D81">
      <w:pPr>
        <w:keepNext w:val="0"/>
        <w:keepLines w:val="0"/>
        <w:pageBreakBefore w:val="0"/>
        <w:widowControl w:val="0"/>
        <w:wordWrap/>
        <w:overflowPunct/>
        <w:topLinePunct w:val="0"/>
        <w:bidi w:val="0"/>
        <w:spacing w:line="240" w:lineRule="atLeast"/>
        <w:ind w:left="1079" w:leftChars="257" w:hanging="540"/>
        <w:rPr>
          <w:rFonts w:hint="eastAsia" w:ascii="宋体" w:hAnsi="宋体" w:cs="宋体"/>
          <w:b/>
          <w:kern w:val="0"/>
          <w:sz w:val="24"/>
          <w:szCs w:val="20"/>
          <w:highlight w:val="none"/>
        </w:rPr>
      </w:pPr>
    </w:p>
    <w:p w14:paraId="1D3D9843">
      <w:pPr>
        <w:keepNext w:val="0"/>
        <w:keepLines w:val="0"/>
        <w:pageBreakBefore w:val="0"/>
        <w:widowControl w:val="0"/>
        <w:wordWrap/>
        <w:overflowPunct/>
        <w:topLinePunct w:val="0"/>
        <w:bidi w:val="0"/>
        <w:jc w:val="center"/>
        <w:rPr>
          <w:rFonts w:hint="eastAsia" w:ascii="宋体" w:hAnsi="宋体" w:cs="宋体"/>
          <w:sz w:val="24"/>
          <w:highlight w:val="none"/>
        </w:rPr>
      </w:pPr>
      <w:r>
        <w:rPr>
          <w:rFonts w:hint="eastAsia" w:ascii="宋体" w:hAnsi="宋体" w:cs="宋体"/>
          <w:sz w:val="24"/>
          <w:highlight w:val="none"/>
        </w:rPr>
        <w:t>政府采购履约担保函（项目用）</w:t>
      </w:r>
    </w:p>
    <w:p w14:paraId="73B9F874">
      <w:pPr>
        <w:keepNext w:val="0"/>
        <w:keepLines w:val="0"/>
        <w:pageBreakBefore w:val="0"/>
        <w:widowControl w:val="0"/>
        <w:wordWrap/>
        <w:overflowPunct/>
        <w:topLinePunct w:val="0"/>
        <w:bidi w:val="0"/>
        <w:rPr>
          <w:rFonts w:hint="eastAsia" w:ascii="宋体" w:hAnsi="宋体" w:cs="宋体"/>
          <w:sz w:val="24"/>
          <w:highlight w:val="none"/>
        </w:rPr>
      </w:pPr>
      <w:r>
        <w:rPr>
          <w:rFonts w:hint="eastAsia" w:ascii="宋体" w:hAnsi="宋体" w:cs="宋体"/>
          <w:sz w:val="24"/>
          <w:highlight w:val="none"/>
        </w:rPr>
        <w:t>编号：</w:t>
      </w:r>
    </w:p>
    <w:p w14:paraId="4CA2C5A9">
      <w:pPr>
        <w:keepNext w:val="0"/>
        <w:keepLines w:val="0"/>
        <w:pageBreakBefore w:val="0"/>
        <w:widowControl w:val="0"/>
        <w:wordWrap/>
        <w:overflowPunct/>
        <w:topLinePunct w:val="0"/>
        <w:bidi w:val="0"/>
        <w:rPr>
          <w:rFonts w:hint="eastAsia" w:ascii="宋体" w:hAnsi="宋体" w:cs="宋体"/>
          <w:sz w:val="24"/>
          <w:highlight w:val="none"/>
        </w:rPr>
      </w:pPr>
      <w:r>
        <w:rPr>
          <w:rFonts w:hint="eastAsia" w:ascii="宋体" w:hAnsi="宋体" w:cs="宋体"/>
          <w:sz w:val="24"/>
          <w:highlight w:val="none"/>
        </w:rPr>
        <w:t>（采购人）：</w:t>
      </w:r>
    </w:p>
    <w:p w14:paraId="6839F0E0">
      <w:pPr>
        <w:keepNext w:val="0"/>
        <w:keepLines w:val="0"/>
        <w:pageBreakBefore w:val="0"/>
        <w:widowControl w:val="0"/>
        <w:wordWrap/>
        <w:overflowPunct/>
        <w:topLinePunct w:val="0"/>
        <w:bidi w:val="0"/>
        <w:ind w:firstLine="480" w:firstLineChars="200"/>
        <w:rPr>
          <w:rFonts w:hint="eastAsia" w:ascii="宋体" w:hAnsi="宋体" w:cs="宋体"/>
          <w:sz w:val="24"/>
          <w:highlight w:val="none"/>
        </w:rPr>
      </w:pPr>
      <w:r>
        <w:rPr>
          <w:rFonts w:hint="eastAsia" w:ascii="宋体" w:hAnsi="宋体" w:cs="宋体"/>
          <w:sz w:val="24"/>
          <w:highlight w:val="none"/>
        </w:rPr>
        <w:t>鉴于你方与（以下简称供应商）于年月日签定编号为的《政府采购合同》（以下简称主合同），且依据该合同的约定，供应商应在年</w:t>
      </w:r>
    </w:p>
    <w:p w14:paraId="444638A1">
      <w:pPr>
        <w:keepNext w:val="0"/>
        <w:keepLines w:val="0"/>
        <w:pageBreakBefore w:val="0"/>
        <w:widowControl w:val="0"/>
        <w:wordWrap/>
        <w:overflowPunct/>
        <w:topLinePunct w:val="0"/>
        <w:bidi w:val="0"/>
        <w:rPr>
          <w:rFonts w:hint="eastAsia" w:ascii="宋体" w:hAnsi="宋体" w:cs="宋体"/>
          <w:sz w:val="24"/>
          <w:highlight w:val="none"/>
        </w:rPr>
      </w:pPr>
      <w:r>
        <w:rPr>
          <w:rFonts w:hint="eastAsia" w:ascii="宋体" w:hAnsi="宋体" w:cs="宋体"/>
          <w:sz w:val="24"/>
          <w:highlight w:val="none"/>
        </w:rPr>
        <w:t>月日前向你方交纳履约保证金，且可以履约担保函的形式交纳履约保证金。应供应商的申请，我方以保证的方式向你方提供如下履约保证金担保：</w:t>
      </w:r>
    </w:p>
    <w:p w14:paraId="7DADCF51">
      <w:pPr>
        <w:keepNext w:val="0"/>
        <w:keepLines w:val="0"/>
        <w:pageBreakBefore w:val="0"/>
        <w:widowControl w:val="0"/>
        <w:wordWrap/>
        <w:overflowPunct/>
        <w:topLinePunct w:val="0"/>
        <w:bidi w:val="0"/>
        <w:ind w:firstLine="480" w:firstLineChars="200"/>
        <w:rPr>
          <w:rFonts w:hint="eastAsia" w:ascii="宋体" w:hAnsi="宋体" w:cs="宋体"/>
          <w:sz w:val="24"/>
          <w:highlight w:val="none"/>
        </w:rPr>
      </w:pPr>
      <w:bookmarkStart w:id="639" w:name="_Toc16807"/>
      <w:r>
        <w:rPr>
          <w:rFonts w:hint="eastAsia" w:ascii="宋体" w:hAnsi="宋体" w:cs="宋体"/>
          <w:sz w:val="24"/>
          <w:highlight w:val="none"/>
        </w:rPr>
        <w:t>一、保证责任的情形及保证金额</w:t>
      </w:r>
      <w:bookmarkEnd w:id="639"/>
    </w:p>
    <w:p w14:paraId="02F1D249">
      <w:pPr>
        <w:keepNext w:val="0"/>
        <w:keepLines w:val="0"/>
        <w:pageBreakBefore w:val="0"/>
        <w:widowControl w:val="0"/>
        <w:wordWrap/>
        <w:overflowPunct/>
        <w:topLinePunct w:val="0"/>
        <w:bidi w:val="0"/>
        <w:ind w:firstLine="480" w:firstLineChars="200"/>
        <w:rPr>
          <w:rFonts w:hint="eastAsia" w:ascii="宋体" w:hAnsi="宋体" w:cs="宋体"/>
          <w:sz w:val="24"/>
          <w:highlight w:val="none"/>
        </w:rPr>
      </w:pPr>
      <w:r>
        <w:rPr>
          <w:rFonts w:hint="eastAsia" w:ascii="宋体" w:hAnsi="宋体" w:cs="宋体"/>
          <w:sz w:val="24"/>
          <w:highlight w:val="none"/>
        </w:rPr>
        <w:t>（一）在供应商出现下列情形之一时，我方承担保证责任：</w:t>
      </w:r>
    </w:p>
    <w:p w14:paraId="027D05F9">
      <w:pPr>
        <w:keepNext w:val="0"/>
        <w:keepLines w:val="0"/>
        <w:pageBreakBefore w:val="0"/>
        <w:widowControl w:val="0"/>
        <w:wordWrap/>
        <w:overflowPunct/>
        <w:topLinePunct w:val="0"/>
        <w:bidi w:val="0"/>
        <w:ind w:firstLine="480" w:firstLineChars="200"/>
        <w:rPr>
          <w:rFonts w:hint="eastAsia" w:ascii="宋体" w:hAnsi="宋体" w:cs="宋体"/>
          <w:sz w:val="24"/>
          <w:highlight w:val="none"/>
        </w:rPr>
      </w:pPr>
      <w:r>
        <w:rPr>
          <w:rFonts w:hint="eastAsia" w:ascii="宋体" w:hAnsi="宋体" w:cs="宋体"/>
          <w:sz w:val="24"/>
          <w:highlight w:val="none"/>
        </w:rPr>
        <w:t>1．将中标项目转让给他人，或者在投标文件中未说明，且未经采购招标机构人同意，将中标项目分包给他人的；</w:t>
      </w:r>
    </w:p>
    <w:p w14:paraId="19206045">
      <w:pPr>
        <w:keepNext w:val="0"/>
        <w:keepLines w:val="0"/>
        <w:pageBreakBefore w:val="0"/>
        <w:widowControl w:val="0"/>
        <w:wordWrap/>
        <w:overflowPunct/>
        <w:topLinePunct w:val="0"/>
        <w:bidi w:val="0"/>
        <w:rPr>
          <w:rFonts w:hint="eastAsia" w:ascii="宋体" w:hAnsi="宋体" w:cs="宋体"/>
          <w:sz w:val="24"/>
          <w:highlight w:val="none"/>
        </w:rPr>
      </w:pPr>
      <w:r>
        <w:rPr>
          <w:rFonts w:hint="eastAsia" w:ascii="宋体" w:hAnsi="宋体" w:cs="宋体"/>
          <w:sz w:val="24"/>
          <w:highlight w:val="none"/>
        </w:rPr>
        <w:t>　　</w:t>
      </w:r>
      <w:bookmarkStart w:id="640" w:name="_Toc2434"/>
      <w:bookmarkStart w:id="641" w:name="_Toc30650"/>
      <w:bookmarkStart w:id="642" w:name="_Toc806"/>
      <w:r>
        <w:rPr>
          <w:rFonts w:hint="eastAsia" w:ascii="宋体" w:hAnsi="宋体" w:cs="宋体"/>
          <w:sz w:val="24"/>
          <w:highlight w:val="none"/>
        </w:rPr>
        <w:t>2．主合同约定的应当缴纳履约保证金的情形:</w:t>
      </w:r>
      <w:bookmarkEnd w:id="640"/>
      <w:bookmarkEnd w:id="641"/>
      <w:bookmarkEnd w:id="642"/>
    </w:p>
    <w:p w14:paraId="12FB6C3B">
      <w:pPr>
        <w:keepNext w:val="0"/>
        <w:keepLines w:val="0"/>
        <w:pageBreakBefore w:val="0"/>
        <w:widowControl w:val="0"/>
        <w:wordWrap/>
        <w:overflowPunct/>
        <w:topLinePunct w:val="0"/>
        <w:bidi w:val="0"/>
        <w:ind w:firstLine="480" w:firstLineChars="200"/>
        <w:rPr>
          <w:rFonts w:hint="eastAsia" w:ascii="宋体" w:hAnsi="宋体" w:cs="宋体"/>
          <w:sz w:val="24"/>
          <w:highlight w:val="none"/>
        </w:rPr>
      </w:pPr>
      <w:r>
        <w:rPr>
          <w:rFonts w:hint="eastAsia" w:ascii="宋体" w:hAnsi="宋体" w:cs="宋体"/>
          <w:sz w:val="24"/>
          <w:highlight w:val="none"/>
        </w:rPr>
        <w:t>（1）未按主合同约定的质量、数量和期限供应货物/提供服务/完成工程的；</w:t>
      </w:r>
    </w:p>
    <w:p w14:paraId="7E2EE9A6">
      <w:pPr>
        <w:keepNext w:val="0"/>
        <w:keepLines w:val="0"/>
        <w:pageBreakBefore w:val="0"/>
        <w:widowControl w:val="0"/>
        <w:wordWrap/>
        <w:overflowPunct/>
        <w:topLinePunct w:val="0"/>
        <w:bidi w:val="0"/>
        <w:ind w:firstLine="480" w:firstLineChars="200"/>
        <w:rPr>
          <w:rFonts w:hint="eastAsia" w:ascii="宋体" w:hAnsi="宋体" w:cs="宋体"/>
          <w:sz w:val="24"/>
          <w:highlight w:val="none"/>
        </w:rPr>
      </w:pPr>
      <w:r>
        <w:rPr>
          <w:rFonts w:hint="eastAsia" w:ascii="宋体" w:hAnsi="宋体" w:cs="宋体"/>
          <w:sz w:val="24"/>
          <w:highlight w:val="none"/>
        </w:rPr>
        <w:t>（二）我方的保证范围是主合同约定的合同价款总额的%数额为元（大写），币种为。（即主合同履约保证金金额）</w:t>
      </w:r>
    </w:p>
    <w:p w14:paraId="1A5C6474">
      <w:pPr>
        <w:keepNext w:val="0"/>
        <w:keepLines w:val="0"/>
        <w:pageBreakBefore w:val="0"/>
        <w:widowControl w:val="0"/>
        <w:wordWrap/>
        <w:overflowPunct/>
        <w:topLinePunct w:val="0"/>
        <w:bidi w:val="0"/>
        <w:ind w:firstLine="480" w:firstLineChars="200"/>
        <w:rPr>
          <w:rFonts w:hint="eastAsia" w:ascii="宋体" w:hAnsi="宋体" w:cs="宋体"/>
          <w:sz w:val="24"/>
          <w:highlight w:val="none"/>
        </w:rPr>
      </w:pPr>
      <w:bookmarkStart w:id="643" w:name="_Toc16733"/>
      <w:r>
        <w:rPr>
          <w:rFonts w:hint="eastAsia" w:ascii="宋体" w:hAnsi="宋体" w:cs="宋体"/>
          <w:sz w:val="24"/>
          <w:highlight w:val="none"/>
        </w:rPr>
        <w:t>二、保证的方式及保证期间</w:t>
      </w:r>
      <w:bookmarkEnd w:id="643"/>
    </w:p>
    <w:p w14:paraId="6536A06B">
      <w:pPr>
        <w:keepNext w:val="0"/>
        <w:keepLines w:val="0"/>
        <w:pageBreakBefore w:val="0"/>
        <w:widowControl w:val="0"/>
        <w:wordWrap/>
        <w:overflowPunct/>
        <w:topLinePunct w:val="0"/>
        <w:bidi w:val="0"/>
        <w:ind w:firstLine="480" w:firstLineChars="200"/>
        <w:rPr>
          <w:rFonts w:hint="eastAsia" w:ascii="宋体" w:hAnsi="宋体" w:cs="宋体"/>
          <w:sz w:val="24"/>
          <w:highlight w:val="none"/>
        </w:rPr>
      </w:pPr>
      <w:r>
        <w:rPr>
          <w:rFonts w:hint="eastAsia" w:ascii="宋体" w:hAnsi="宋体" w:cs="宋体"/>
          <w:sz w:val="24"/>
          <w:highlight w:val="none"/>
        </w:rPr>
        <w:t>我方保证的方式为：连带责任保证。</w:t>
      </w:r>
    </w:p>
    <w:p w14:paraId="14E3C108">
      <w:pPr>
        <w:keepNext w:val="0"/>
        <w:keepLines w:val="0"/>
        <w:pageBreakBefore w:val="0"/>
        <w:widowControl w:val="0"/>
        <w:wordWrap/>
        <w:overflowPunct/>
        <w:topLinePunct w:val="0"/>
        <w:bidi w:val="0"/>
        <w:ind w:firstLine="480" w:firstLineChars="200"/>
        <w:rPr>
          <w:rFonts w:hint="eastAsia" w:ascii="宋体" w:hAnsi="宋体" w:cs="宋体"/>
          <w:sz w:val="24"/>
          <w:highlight w:val="none"/>
        </w:rPr>
      </w:pPr>
      <w:r>
        <w:rPr>
          <w:rFonts w:hint="eastAsia" w:ascii="宋体" w:hAnsi="宋体" w:cs="宋体"/>
          <w:sz w:val="24"/>
          <w:highlight w:val="none"/>
        </w:rPr>
        <w:t>我方保证的期间为：自本合同生效之日起至供应商按照主合同约定的供货/完工期限届满后日内。</w:t>
      </w:r>
    </w:p>
    <w:p w14:paraId="18FE0F3B">
      <w:pPr>
        <w:keepNext w:val="0"/>
        <w:keepLines w:val="0"/>
        <w:pageBreakBefore w:val="0"/>
        <w:widowControl w:val="0"/>
        <w:wordWrap/>
        <w:overflowPunct/>
        <w:topLinePunct w:val="0"/>
        <w:bidi w:val="0"/>
        <w:ind w:firstLine="480" w:firstLineChars="200"/>
        <w:rPr>
          <w:rFonts w:hint="eastAsia" w:ascii="宋体" w:hAnsi="宋体" w:cs="宋体"/>
          <w:sz w:val="24"/>
          <w:highlight w:val="none"/>
        </w:rPr>
      </w:pPr>
      <w:r>
        <w:rPr>
          <w:rFonts w:hint="eastAsia" w:ascii="宋体" w:hAnsi="宋体" w:cs="宋体"/>
          <w:sz w:val="24"/>
          <w:highlight w:val="none"/>
        </w:rPr>
        <w:t>如果供应商未按主合同约定向贵方供应货物/提供服务/完成工程的，由我方在保证金额内向你方支付上述款项。</w:t>
      </w:r>
    </w:p>
    <w:p w14:paraId="3AFF8F5F">
      <w:pPr>
        <w:keepNext w:val="0"/>
        <w:keepLines w:val="0"/>
        <w:pageBreakBefore w:val="0"/>
        <w:widowControl w:val="0"/>
        <w:wordWrap/>
        <w:overflowPunct/>
        <w:topLinePunct w:val="0"/>
        <w:bidi w:val="0"/>
        <w:ind w:firstLine="480" w:firstLineChars="200"/>
        <w:rPr>
          <w:rFonts w:hint="eastAsia" w:ascii="宋体" w:hAnsi="宋体" w:cs="宋体"/>
          <w:sz w:val="24"/>
          <w:highlight w:val="none"/>
        </w:rPr>
      </w:pPr>
      <w:bookmarkStart w:id="644" w:name="_Toc19668"/>
      <w:r>
        <w:rPr>
          <w:rFonts w:hint="eastAsia" w:ascii="宋体" w:hAnsi="宋体" w:cs="宋体"/>
          <w:sz w:val="24"/>
          <w:highlight w:val="none"/>
        </w:rPr>
        <w:t>三、承担保证责任的程序</w:t>
      </w:r>
      <w:bookmarkEnd w:id="644"/>
    </w:p>
    <w:p w14:paraId="2780400A">
      <w:pPr>
        <w:keepNext w:val="0"/>
        <w:keepLines w:val="0"/>
        <w:pageBreakBefore w:val="0"/>
        <w:widowControl w:val="0"/>
        <w:wordWrap/>
        <w:overflowPunct/>
        <w:topLinePunct w:val="0"/>
        <w:bidi w:val="0"/>
        <w:ind w:firstLine="480" w:firstLineChars="200"/>
        <w:rPr>
          <w:rFonts w:hint="eastAsia" w:ascii="宋体" w:hAnsi="宋体" w:cs="宋体"/>
          <w:sz w:val="24"/>
          <w:highlight w:val="none"/>
        </w:rPr>
      </w:pPr>
      <w:r>
        <w:rPr>
          <w:rFonts w:hint="eastAsia" w:ascii="宋体" w:hAnsi="宋体" w:cs="宋体"/>
          <w:sz w:val="24"/>
          <w:highlight w:val="none"/>
        </w:rPr>
        <w:t>1．你方要求我方承担保证责任的，应在本保函保证期间内向我方发出书面索赔通知。索赔通知应写明要求索赔的金额，支付款项应到达的帐号。并附有证明供应商违约事实的证明材料。</w:t>
      </w:r>
    </w:p>
    <w:p w14:paraId="38CCBAFB">
      <w:pPr>
        <w:keepNext w:val="0"/>
        <w:keepLines w:val="0"/>
        <w:pageBreakBefore w:val="0"/>
        <w:widowControl w:val="0"/>
        <w:wordWrap/>
        <w:overflowPunct/>
        <w:topLinePunct w:val="0"/>
        <w:bidi w:val="0"/>
        <w:ind w:firstLine="480" w:firstLineChars="200"/>
        <w:rPr>
          <w:rFonts w:hint="eastAsia" w:ascii="宋体" w:hAnsi="宋体" w:cs="宋体"/>
          <w:sz w:val="24"/>
          <w:highlight w:val="none"/>
        </w:rPr>
      </w:pPr>
      <w:r>
        <w:rPr>
          <w:rFonts w:hint="eastAsia" w:ascii="宋体" w:hAnsi="宋体" w:cs="宋体"/>
          <w:sz w:val="24"/>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14:paraId="3864ED00">
      <w:pPr>
        <w:keepNext w:val="0"/>
        <w:keepLines w:val="0"/>
        <w:pageBreakBefore w:val="0"/>
        <w:widowControl w:val="0"/>
        <w:wordWrap/>
        <w:overflowPunct/>
        <w:topLinePunct w:val="0"/>
        <w:bidi w:val="0"/>
        <w:ind w:firstLine="480" w:firstLineChars="200"/>
        <w:rPr>
          <w:rFonts w:hint="eastAsia" w:ascii="宋体" w:hAnsi="宋体" w:cs="宋体"/>
          <w:sz w:val="24"/>
          <w:highlight w:val="none"/>
        </w:rPr>
      </w:pPr>
      <w:r>
        <w:rPr>
          <w:rFonts w:hint="eastAsia" w:ascii="宋体" w:hAnsi="宋体" w:cs="宋体"/>
          <w:sz w:val="24"/>
          <w:highlight w:val="none"/>
        </w:rPr>
        <w:t>2．我方收到你方的书面索赔通知及相应证明材料，在工作日内进行核定后按照本保函的承诺承担保证责任。</w:t>
      </w:r>
    </w:p>
    <w:p w14:paraId="287C158B">
      <w:pPr>
        <w:keepNext w:val="0"/>
        <w:keepLines w:val="0"/>
        <w:pageBreakBefore w:val="0"/>
        <w:widowControl w:val="0"/>
        <w:wordWrap/>
        <w:overflowPunct/>
        <w:topLinePunct w:val="0"/>
        <w:bidi w:val="0"/>
        <w:ind w:firstLine="480" w:firstLineChars="200"/>
        <w:rPr>
          <w:rFonts w:hint="eastAsia" w:ascii="宋体" w:hAnsi="宋体" w:cs="宋体"/>
          <w:sz w:val="24"/>
          <w:highlight w:val="none"/>
        </w:rPr>
      </w:pPr>
      <w:bookmarkStart w:id="645" w:name="_Toc11641"/>
      <w:r>
        <w:rPr>
          <w:rFonts w:hint="eastAsia" w:ascii="宋体" w:hAnsi="宋体" w:cs="宋体"/>
          <w:sz w:val="24"/>
          <w:highlight w:val="none"/>
        </w:rPr>
        <w:t>四、保证责任的终止</w:t>
      </w:r>
      <w:bookmarkEnd w:id="645"/>
    </w:p>
    <w:p w14:paraId="4627F1D3">
      <w:pPr>
        <w:keepNext w:val="0"/>
        <w:keepLines w:val="0"/>
        <w:pageBreakBefore w:val="0"/>
        <w:widowControl w:val="0"/>
        <w:wordWrap/>
        <w:overflowPunct/>
        <w:topLinePunct w:val="0"/>
        <w:bidi w:val="0"/>
        <w:ind w:firstLine="480" w:firstLineChars="200"/>
        <w:rPr>
          <w:rFonts w:hint="eastAsia" w:ascii="宋体" w:hAnsi="宋体" w:cs="宋体"/>
          <w:sz w:val="24"/>
          <w:highlight w:val="none"/>
        </w:rPr>
      </w:pPr>
      <w:r>
        <w:rPr>
          <w:rFonts w:hint="eastAsia" w:ascii="宋体" w:hAnsi="宋体" w:cs="宋体"/>
          <w:sz w:val="24"/>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372E527F">
      <w:pPr>
        <w:keepNext w:val="0"/>
        <w:keepLines w:val="0"/>
        <w:pageBreakBefore w:val="0"/>
        <w:widowControl w:val="0"/>
        <w:wordWrap/>
        <w:overflowPunct/>
        <w:topLinePunct w:val="0"/>
        <w:bidi w:val="0"/>
        <w:ind w:firstLine="480" w:firstLineChars="200"/>
        <w:rPr>
          <w:rFonts w:hint="eastAsia" w:ascii="宋体" w:hAnsi="宋体" w:cs="宋体"/>
          <w:sz w:val="24"/>
          <w:highlight w:val="none"/>
        </w:rPr>
      </w:pPr>
      <w:r>
        <w:rPr>
          <w:rFonts w:hint="eastAsia" w:ascii="宋体" w:hAnsi="宋体" w:cs="宋体"/>
          <w:sz w:val="24"/>
          <w:highlight w:val="none"/>
        </w:rPr>
        <w:t>2．我方按照本保函向你方履行了保证责任后，自我方向你方支付款项（支付款项从我方账户划出）之日起，保证责任即终止。</w:t>
      </w:r>
    </w:p>
    <w:p w14:paraId="49CB5E7E">
      <w:pPr>
        <w:keepNext w:val="0"/>
        <w:keepLines w:val="0"/>
        <w:pageBreakBefore w:val="0"/>
        <w:widowControl w:val="0"/>
        <w:wordWrap/>
        <w:overflowPunct/>
        <w:topLinePunct w:val="0"/>
        <w:bidi w:val="0"/>
        <w:ind w:firstLine="480" w:firstLineChars="200"/>
        <w:rPr>
          <w:rFonts w:hint="eastAsia" w:ascii="宋体" w:hAnsi="宋体" w:cs="宋体"/>
          <w:sz w:val="24"/>
          <w:highlight w:val="none"/>
        </w:rPr>
      </w:pPr>
      <w:r>
        <w:rPr>
          <w:rFonts w:hint="eastAsia" w:ascii="宋体" w:hAnsi="宋体" w:cs="宋体"/>
          <w:sz w:val="24"/>
          <w:highlight w:val="none"/>
        </w:rPr>
        <w:t>3．按照法律法规的规定或出现应终止我方保证责任的其它情形的，我方在本保函项下的保证责任亦终止。</w:t>
      </w:r>
    </w:p>
    <w:p w14:paraId="682B7522">
      <w:pPr>
        <w:keepNext w:val="0"/>
        <w:keepLines w:val="0"/>
        <w:pageBreakBefore w:val="0"/>
        <w:widowControl w:val="0"/>
        <w:wordWrap/>
        <w:overflowPunct/>
        <w:topLinePunct w:val="0"/>
        <w:bidi w:val="0"/>
        <w:ind w:firstLine="480" w:firstLineChars="200"/>
        <w:rPr>
          <w:rFonts w:hint="eastAsia" w:ascii="宋体" w:hAnsi="宋体" w:cs="宋体"/>
          <w:sz w:val="24"/>
          <w:highlight w:val="none"/>
        </w:rPr>
      </w:pPr>
      <w:r>
        <w:rPr>
          <w:rFonts w:hint="eastAsia" w:ascii="宋体" w:hAnsi="宋体" w:cs="宋体"/>
          <w:sz w:val="24"/>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14:paraId="004112A2">
      <w:pPr>
        <w:keepNext w:val="0"/>
        <w:keepLines w:val="0"/>
        <w:pageBreakBefore w:val="0"/>
        <w:widowControl w:val="0"/>
        <w:wordWrap/>
        <w:overflowPunct/>
        <w:topLinePunct w:val="0"/>
        <w:bidi w:val="0"/>
        <w:ind w:firstLine="480" w:firstLineChars="200"/>
        <w:rPr>
          <w:rFonts w:hint="eastAsia" w:ascii="宋体" w:hAnsi="宋体" w:cs="宋体"/>
          <w:sz w:val="24"/>
          <w:highlight w:val="none"/>
        </w:rPr>
      </w:pPr>
      <w:bookmarkStart w:id="646" w:name="_Toc3542"/>
      <w:r>
        <w:rPr>
          <w:rFonts w:hint="eastAsia" w:ascii="宋体" w:hAnsi="宋体" w:cs="宋体"/>
          <w:sz w:val="24"/>
          <w:highlight w:val="none"/>
        </w:rPr>
        <w:t>五、免责条款</w:t>
      </w:r>
      <w:bookmarkEnd w:id="646"/>
    </w:p>
    <w:p w14:paraId="46561C0E">
      <w:pPr>
        <w:keepNext w:val="0"/>
        <w:keepLines w:val="0"/>
        <w:pageBreakBefore w:val="0"/>
        <w:widowControl w:val="0"/>
        <w:wordWrap/>
        <w:overflowPunct/>
        <w:topLinePunct w:val="0"/>
        <w:bidi w:val="0"/>
        <w:ind w:firstLine="480" w:firstLineChars="200"/>
        <w:rPr>
          <w:rFonts w:hint="eastAsia" w:ascii="宋体" w:hAnsi="宋体" w:cs="宋体"/>
          <w:sz w:val="24"/>
          <w:highlight w:val="none"/>
        </w:rPr>
      </w:pPr>
      <w:r>
        <w:rPr>
          <w:rFonts w:hint="eastAsia" w:ascii="宋体" w:hAnsi="宋体" w:cs="宋体"/>
          <w:sz w:val="24"/>
          <w:highlight w:val="none"/>
        </w:rPr>
        <w:t>1．因你方违反主合同约定致使供应商不能履行义务的，我方不承担保证责任。</w:t>
      </w:r>
    </w:p>
    <w:p w14:paraId="45C5AB00">
      <w:pPr>
        <w:keepNext w:val="0"/>
        <w:keepLines w:val="0"/>
        <w:pageBreakBefore w:val="0"/>
        <w:widowControl w:val="0"/>
        <w:wordWrap/>
        <w:overflowPunct/>
        <w:topLinePunct w:val="0"/>
        <w:bidi w:val="0"/>
        <w:ind w:firstLine="480" w:firstLineChars="200"/>
        <w:rPr>
          <w:rFonts w:hint="eastAsia" w:ascii="宋体" w:hAnsi="宋体" w:cs="宋体"/>
          <w:sz w:val="24"/>
          <w:highlight w:val="none"/>
        </w:rPr>
      </w:pPr>
      <w:r>
        <w:rPr>
          <w:rFonts w:hint="eastAsia" w:ascii="宋体" w:hAnsi="宋体" w:cs="宋体"/>
          <w:sz w:val="24"/>
          <w:highlight w:val="none"/>
        </w:rPr>
        <w:t>2．依照法律法规的规定或你方与供应商的另行约定，全部或者部分免除供应商应缴纳的保证金义务的，我方亦免除相应的保证责任。</w:t>
      </w:r>
    </w:p>
    <w:p w14:paraId="75E59098">
      <w:pPr>
        <w:keepNext w:val="0"/>
        <w:keepLines w:val="0"/>
        <w:pageBreakBefore w:val="0"/>
        <w:widowControl w:val="0"/>
        <w:wordWrap/>
        <w:overflowPunct/>
        <w:topLinePunct w:val="0"/>
        <w:bidi w:val="0"/>
        <w:ind w:firstLine="480" w:firstLineChars="200"/>
        <w:rPr>
          <w:rFonts w:hint="eastAsia" w:ascii="宋体" w:hAnsi="宋体" w:cs="宋体"/>
          <w:sz w:val="24"/>
          <w:highlight w:val="none"/>
        </w:rPr>
      </w:pPr>
      <w:r>
        <w:rPr>
          <w:rFonts w:hint="eastAsia" w:ascii="宋体" w:hAnsi="宋体" w:cs="宋体"/>
          <w:sz w:val="24"/>
          <w:highlight w:val="none"/>
        </w:rPr>
        <w:t>3．因不可抗力造成供应商不能履行供货义务的，我方不承担保证责任。</w:t>
      </w:r>
    </w:p>
    <w:p w14:paraId="376299A5">
      <w:pPr>
        <w:keepNext w:val="0"/>
        <w:keepLines w:val="0"/>
        <w:pageBreakBefore w:val="0"/>
        <w:widowControl w:val="0"/>
        <w:wordWrap/>
        <w:overflowPunct/>
        <w:topLinePunct w:val="0"/>
        <w:bidi w:val="0"/>
        <w:ind w:firstLine="480" w:firstLineChars="200"/>
        <w:rPr>
          <w:rFonts w:hint="eastAsia" w:ascii="宋体" w:hAnsi="宋体" w:cs="宋体"/>
          <w:sz w:val="24"/>
          <w:highlight w:val="none"/>
        </w:rPr>
      </w:pPr>
      <w:bookmarkStart w:id="647" w:name="_Toc908"/>
      <w:r>
        <w:rPr>
          <w:rFonts w:hint="eastAsia" w:ascii="宋体" w:hAnsi="宋体" w:cs="宋体"/>
          <w:sz w:val="24"/>
          <w:highlight w:val="none"/>
        </w:rPr>
        <w:t>六、争议的解决</w:t>
      </w:r>
      <w:bookmarkEnd w:id="647"/>
    </w:p>
    <w:p w14:paraId="15DFBE18">
      <w:pPr>
        <w:keepNext w:val="0"/>
        <w:keepLines w:val="0"/>
        <w:pageBreakBefore w:val="0"/>
        <w:widowControl w:val="0"/>
        <w:wordWrap/>
        <w:overflowPunct/>
        <w:topLinePunct w:val="0"/>
        <w:bidi w:val="0"/>
        <w:ind w:firstLine="480" w:firstLineChars="200"/>
        <w:rPr>
          <w:rFonts w:hint="eastAsia" w:ascii="宋体" w:hAnsi="宋体" w:cs="宋体"/>
          <w:sz w:val="24"/>
          <w:highlight w:val="none"/>
        </w:rPr>
      </w:pPr>
      <w:r>
        <w:rPr>
          <w:rFonts w:hint="eastAsia" w:ascii="宋体" w:hAnsi="宋体" w:cs="宋体"/>
          <w:sz w:val="24"/>
          <w:highlight w:val="none"/>
        </w:rPr>
        <w:t>因本保函发生的纠纷，由你我双方协商解决，协商不成的，通过诉讼程序解决，诉讼管辖地法院为法院。</w:t>
      </w:r>
    </w:p>
    <w:p w14:paraId="406D8218">
      <w:pPr>
        <w:keepNext w:val="0"/>
        <w:keepLines w:val="0"/>
        <w:pageBreakBefore w:val="0"/>
        <w:widowControl w:val="0"/>
        <w:wordWrap/>
        <w:overflowPunct/>
        <w:topLinePunct w:val="0"/>
        <w:bidi w:val="0"/>
        <w:ind w:firstLine="480" w:firstLineChars="200"/>
        <w:rPr>
          <w:rFonts w:hint="eastAsia" w:ascii="宋体" w:hAnsi="宋体" w:cs="宋体"/>
          <w:sz w:val="24"/>
          <w:highlight w:val="none"/>
        </w:rPr>
      </w:pPr>
      <w:bookmarkStart w:id="648" w:name="_Toc17651"/>
      <w:r>
        <w:rPr>
          <w:rFonts w:hint="eastAsia" w:ascii="宋体" w:hAnsi="宋体" w:cs="宋体"/>
          <w:sz w:val="24"/>
          <w:highlight w:val="none"/>
        </w:rPr>
        <w:t>七、保函的生效</w:t>
      </w:r>
      <w:bookmarkEnd w:id="648"/>
    </w:p>
    <w:p w14:paraId="04FCA29E">
      <w:pPr>
        <w:keepNext w:val="0"/>
        <w:keepLines w:val="0"/>
        <w:pageBreakBefore w:val="0"/>
        <w:widowControl w:val="0"/>
        <w:wordWrap/>
        <w:overflowPunct/>
        <w:topLinePunct w:val="0"/>
        <w:bidi w:val="0"/>
        <w:ind w:firstLine="480" w:firstLineChars="200"/>
        <w:rPr>
          <w:rFonts w:hint="eastAsia" w:ascii="宋体" w:hAnsi="宋体" w:cs="宋体"/>
          <w:sz w:val="24"/>
          <w:highlight w:val="none"/>
        </w:rPr>
      </w:pPr>
      <w:r>
        <w:rPr>
          <w:rFonts w:hint="eastAsia" w:ascii="宋体" w:hAnsi="宋体" w:cs="宋体"/>
          <w:sz w:val="24"/>
          <w:highlight w:val="none"/>
        </w:rPr>
        <w:t>本保函自我方加盖公章之日起生效。</w:t>
      </w:r>
    </w:p>
    <w:p w14:paraId="4902C57C">
      <w:pPr>
        <w:keepNext w:val="0"/>
        <w:keepLines w:val="0"/>
        <w:pageBreakBefore w:val="0"/>
        <w:widowControl w:val="0"/>
        <w:wordWrap/>
        <w:overflowPunct/>
        <w:topLinePunct w:val="0"/>
        <w:bidi w:val="0"/>
        <w:rPr>
          <w:rFonts w:hint="eastAsia" w:ascii="宋体" w:hAnsi="宋体" w:cs="宋体"/>
          <w:sz w:val="24"/>
          <w:highlight w:val="none"/>
        </w:rPr>
      </w:pPr>
    </w:p>
    <w:p w14:paraId="5F6DC862">
      <w:pPr>
        <w:keepNext w:val="0"/>
        <w:keepLines w:val="0"/>
        <w:pageBreakBefore w:val="0"/>
        <w:widowControl w:val="0"/>
        <w:wordWrap/>
        <w:overflowPunct/>
        <w:topLinePunct w:val="0"/>
        <w:bidi w:val="0"/>
        <w:rPr>
          <w:rFonts w:hint="eastAsia" w:ascii="宋体" w:hAnsi="宋体" w:cs="宋体"/>
          <w:sz w:val="24"/>
          <w:highlight w:val="none"/>
        </w:rPr>
      </w:pPr>
    </w:p>
    <w:p w14:paraId="6A43205E">
      <w:pPr>
        <w:keepNext w:val="0"/>
        <w:keepLines w:val="0"/>
        <w:pageBreakBefore w:val="0"/>
        <w:widowControl w:val="0"/>
        <w:wordWrap/>
        <w:overflowPunct/>
        <w:topLinePunct w:val="0"/>
        <w:bidi w:val="0"/>
        <w:ind w:firstLine="6120" w:firstLineChars="2550"/>
        <w:rPr>
          <w:rFonts w:hint="eastAsia" w:ascii="宋体" w:hAnsi="宋体" w:cs="宋体"/>
          <w:sz w:val="24"/>
          <w:highlight w:val="none"/>
        </w:rPr>
      </w:pPr>
      <w:r>
        <w:rPr>
          <w:rFonts w:hint="eastAsia" w:ascii="宋体" w:hAnsi="宋体" w:cs="宋体"/>
          <w:sz w:val="24"/>
          <w:highlight w:val="none"/>
        </w:rPr>
        <w:t>保证人：（公章）</w:t>
      </w:r>
    </w:p>
    <w:p w14:paraId="6E71206A">
      <w:pPr>
        <w:keepNext w:val="0"/>
        <w:keepLines w:val="0"/>
        <w:pageBreakBefore w:val="0"/>
        <w:widowControl w:val="0"/>
        <w:wordWrap/>
        <w:overflowPunct/>
        <w:topLinePunct w:val="0"/>
        <w:bidi w:val="0"/>
        <w:rPr>
          <w:rFonts w:hint="eastAsia" w:ascii="宋体" w:hAnsi="宋体" w:cs="宋体"/>
          <w:sz w:val="24"/>
          <w:highlight w:val="none"/>
        </w:rPr>
      </w:pPr>
    </w:p>
    <w:p w14:paraId="40D4D642">
      <w:pPr>
        <w:keepNext w:val="0"/>
        <w:keepLines w:val="0"/>
        <w:pageBreakBefore w:val="0"/>
        <w:widowControl w:val="0"/>
        <w:wordWrap/>
        <w:overflowPunct/>
        <w:topLinePunct w:val="0"/>
        <w:bidi w:val="0"/>
        <w:jc w:val="center"/>
        <w:rPr>
          <w:rFonts w:hint="eastAsia" w:ascii="仿宋_GB2312" w:hAnsi="仿宋_GB2312" w:eastAsia="仿宋_GB2312" w:cs="仿宋_GB2312"/>
          <w:b/>
          <w:sz w:val="44"/>
          <w:szCs w:val="44"/>
          <w:highlight w:val="none"/>
        </w:rPr>
      </w:pPr>
      <w:r>
        <w:rPr>
          <w:rFonts w:hint="eastAsia" w:ascii="宋体" w:hAnsi="宋体" w:cs="宋体"/>
          <w:sz w:val="24"/>
          <w:highlight w:val="none"/>
          <w:lang w:val="en-US" w:eastAsia="zh-CN"/>
        </w:rPr>
        <w:t xml:space="preserve">                                     </w:t>
      </w:r>
      <w:r>
        <w:rPr>
          <w:rFonts w:hint="eastAsia" w:ascii="宋体" w:hAnsi="宋体" w:cs="宋体"/>
          <w:sz w:val="24"/>
          <w:highlight w:val="none"/>
        </w:rPr>
        <w:t>年</w:t>
      </w:r>
      <w:r>
        <w:rPr>
          <w:rFonts w:hint="eastAsia" w:ascii="宋体" w:hAnsi="宋体" w:cs="宋体"/>
          <w:sz w:val="24"/>
          <w:highlight w:val="none"/>
          <w:lang w:val="en-US" w:eastAsia="zh-CN"/>
        </w:rPr>
        <w:t xml:space="preserve">   </w:t>
      </w:r>
      <w:r>
        <w:rPr>
          <w:rFonts w:hint="eastAsia" w:ascii="宋体" w:hAnsi="宋体" w:cs="宋体"/>
          <w:sz w:val="24"/>
          <w:highlight w:val="none"/>
        </w:rPr>
        <w:t>月</w:t>
      </w:r>
      <w:r>
        <w:rPr>
          <w:rFonts w:hint="eastAsia" w:ascii="宋体" w:hAnsi="宋体" w:cs="宋体"/>
          <w:sz w:val="24"/>
          <w:highlight w:val="none"/>
          <w:lang w:val="en-US" w:eastAsia="zh-CN"/>
        </w:rPr>
        <w:t xml:space="preserve">    </w:t>
      </w:r>
      <w:r>
        <w:rPr>
          <w:rFonts w:hint="eastAsia" w:ascii="宋体" w:hAnsi="宋体" w:cs="宋体"/>
          <w:sz w:val="24"/>
          <w:highlight w:val="none"/>
        </w:rPr>
        <w:t>日</w:t>
      </w:r>
    </w:p>
    <w:p w14:paraId="7A0A3426">
      <w:pPr>
        <w:pStyle w:val="2"/>
        <w:keepNext w:val="0"/>
        <w:keepLines w:val="0"/>
        <w:pageBreakBefore w:val="0"/>
        <w:widowControl w:val="0"/>
        <w:tabs>
          <w:tab w:val="left" w:pos="0"/>
        </w:tabs>
        <w:wordWrap/>
        <w:overflowPunct/>
        <w:topLinePunct w:val="0"/>
        <w:bidi w:val="0"/>
        <w:spacing w:before="0" w:after="0" w:line="240" w:lineRule="atLeast"/>
        <w:rPr>
          <w:rFonts w:hint="eastAsia" w:ascii="仿宋_GB2312" w:hAnsi="仿宋_GB2312" w:eastAsia="仿宋_GB2312" w:cs="仿宋_GB2312"/>
          <w:sz w:val="44"/>
          <w:szCs w:val="44"/>
          <w:highlight w:val="none"/>
        </w:rPr>
      </w:pPr>
      <w:bookmarkStart w:id="649" w:name="_Toc24354"/>
      <w:r>
        <w:rPr>
          <w:rFonts w:hint="eastAsia" w:ascii="仿宋_GB2312" w:hAnsi="仿宋_GB2312" w:eastAsia="仿宋_GB2312" w:cs="仿宋_GB2312"/>
          <w:kern w:val="0"/>
          <w:sz w:val="44"/>
          <w:szCs w:val="44"/>
          <w:highlight w:val="none"/>
        </w:rPr>
        <w:t>第二章</w:t>
      </w:r>
      <w:r>
        <w:rPr>
          <w:rFonts w:hint="eastAsia" w:ascii="仿宋_GB2312" w:hAnsi="仿宋_GB2312" w:eastAsia="仿宋_GB2312" w:cs="仿宋_GB2312"/>
          <w:sz w:val="44"/>
          <w:szCs w:val="44"/>
          <w:highlight w:val="none"/>
        </w:rPr>
        <w:t>投标文件格式</w:t>
      </w:r>
      <w:bookmarkEnd w:id="5"/>
      <w:bookmarkEnd w:id="6"/>
      <w:bookmarkEnd w:id="7"/>
      <w:bookmarkEnd w:id="8"/>
      <w:bookmarkEnd w:id="9"/>
      <w:bookmarkEnd w:id="10"/>
      <w:bookmarkEnd w:id="11"/>
      <w:bookmarkEnd w:id="12"/>
      <w:bookmarkEnd w:id="13"/>
      <w:bookmarkEnd w:id="649"/>
    </w:p>
    <w:p w14:paraId="665D816D">
      <w:pPr>
        <w:keepNext w:val="0"/>
        <w:keepLines w:val="0"/>
        <w:pageBreakBefore w:val="0"/>
        <w:widowControl w:val="0"/>
        <w:wordWrap/>
        <w:overflowPunct/>
        <w:topLinePunct w:val="0"/>
        <w:bidi w:val="0"/>
        <w:rPr>
          <w:sz w:val="20"/>
          <w:highlight w:val="none"/>
        </w:rPr>
      </w:pPr>
    </w:p>
    <w:p w14:paraId="6B70A64C">
      <w:pPr>
        <w:pStyle w:val="3"/>
        <w:keepNext w:val="0"/>
        <w:keepLines w:val="0"/>
        <w:pageBreakBefore w:val="0"/>
        <w:widowControl w:val="0"/>
        <w:wordWrap/>
        <w:overflowPunct/>
        <w:topLinePunct w:val="0"/>
        <w:bidi w:val="0"/>
        <w:spacing w:before="0" w:line="240" w:lineRule="atLeast"/>
        <w:ind w:left="1079" w:leftChars="257" w:hanging="540"/>
        <w:rPr>
          <w:rFonts w:hint="eastAsia" w:ascii="仿宋_GB2312" w:hAnsi="宋体" w:eastAsia="仿宋_GB2312"/>
          <w:sz w:val="24"/>
          <w:highlight w:val="none"/>
        </w:rPr>
      </w:pPr>
      <w:bookmarkStart w:id="650" w:name="_Toc15142"/>
      <w:bookmarkStart w:id="651" w:name="_Toc518923107"/>
    </w:p>
    <w:p w14:paraId="3963F959">
      <w:pPr>
        <w:pStyle w:val="3"/>
        <w:keepNext w:val="0"/>
        <w:keepLines w:val="0"/>
        <w:pageBreakBefore w:val="0"/>
        <w:widowControl w:val="0"/>
        <w:wordWrap/>
        <w:overflowPunct/>
        <w:topLinePunct w:val="0"/>
        <w:bidi w:val="0"/>
        <w:spacing w:before="0" w:line="240" w:lineRule="atLeast"/>
        <w:ind w:left="1079" w:leftChars="257" w:hanging="540"/>
        <w:rPr>
          <w:rFonts w:hint="eastAsia" w:ascii="仿宋_GB2312" w:hAnsi="宋体" w:eastAsia="仿宋_GB2312"/>
          <w:sz w:val="24"/>
          <w:highlight w:val="none"/>
        </w:rPr>
      </w:pPr>
      <w:bookmarkStart w:id="652" w:name="_Toc11201"/>
      <w:bookmarkStart w:id="653" w:name="_Toc24822"/>
      <w:bookmarkStart w:id="654" w:name="_Toc10047"/>
      <w:bookmarkStart w:id="655" w:name="_Toc14061"/>
      <w:bookmarkStart w:id="656" w:name="_Toc21312"/>
      <w:bookmarkStart w:id="657" w:name="_Toc11730"/>
      <w:bookmarkStart w:id="658" w:name="_Toc14363"/>
      <w:bookmarkStart w:id="659" w:name="_Toc13309"/>
      <w:bookmarkStart w:id="660" w:name="_Toc7162"/>
      <w:bookmarkStart w:id="661" w:name="_Toc8875"/>
      <w:r>
        <w:rPr>
          <w:rFonts w:ascii="仿宋_GB2312" w:hAnsi="宋体" w:eastAsia="仿宋_GB2312"/>
          <w:sz w:val="24"/>
          <w:highlight w:val="none"/>
        </w:rPr>
        <w:t>第一部分</w:t>
      </w:r>
      <w:r>
        <w:rPr>
          <w:rFonts w:hint="eastAsia" w:ascii="仿宋_GB2312" w:hAnsi="宋体" w:eastAsia="仿宋_GB2312"/>
          <w:sz w:val="24"/>
          <w:highlight w:val="none"/>
        </w:rPr>
        <w:t>开标一览表及资格证明文件</w:t>
      </w:r>
      <w:bookmarkEnd w:id="650"/>
      <w:bookmarkEnd w:id="651"/>
      <w:bookmarkEnd w:id="652"/>
      <w:bookmarkEnd w:id="653"/>
      <w:bookmarkEnd w:id="654"/>
      <w:bookmarkEnd w:id="655"/>
      <w:bookmarkEnd w:id="656"/>
      <w:bookmarkEnd w:id="657"/>
      <w:bookmarkEnd w:id="658"/>
      <w:bookmarkEnd w:id="659"/>
      <w:bookmarkEnd w:id="660"/>
      <w:bookmarkEnd w:id="661"/>
    </w:p>
    <w:p w14:paraId="69F159D5">
      <w:pPr>
        <w:keepNext w:val="0"/>
        <w:keepLines w:val="0"/>
        <w:pageBreakBefore w:val="0"/>
        <w:widowControl w:val="0"/>
        <w:wordWrap/>
        <w:overflowPunct/>
        <w:topLinePunct w:val="0"/>
        <w:bidi w:val="0"/>
        <w:spacing w:line="288" w:lineRule="auto"/>
        <w:rPr>
          <w:rFonts w:hint="eastAsia" w:ascii="仿宋_GB2312" w:hAnsi="仿宋_GB2312" w:eastAsia="仿宋_GB2312" w:cs="仿宋_GB2312"/>
          <w:sz w:val="24"/>
          <w:highlight w:val="none"/>
        </w:rPr>
      </w:pPr>
    </w:p>
    <w:p w14:paraId="265E3135">
      <w:pPr>
        <w:keepNext w:val="0"/>
        <w:keepLines w:val="0"/>
        <w:pageBreakBefore w:val="0"/>
        <w:widowControl w:val="0"/>
        <w:wordWrap/>
        <w:overflowPunct/>
        <w:topLinePunct w:val="0"/>
        <w:bidi w:val="0"/>
        <w:spacing w:line="240" w:lineRule="atLeast"/>
        <w:ind w:left="708" w:hanging="708" w:hangingChars="295"/>
        <w:jc w:val="center"/>
        <w:rPr>
          <w:rFonts w:hint="eastAsia" w:ascii="仿宋_GB2312" w:hAnsi="宋体" w:eastAsia="仿宋_GB2312"/>
          <w:sz w:val="24"/>
          <w:highlight w:val="none"/>
        </w:rPr>
      </w:pPr>
    </w:p>
    <w:p w14:paraId="14884761">
      <w:pPr>
        <w:pStyle w:val="13"/>
        <w:keepNext w:val="0"/>
        <w:keepLines w:val="0"/>
        <w:pageBreakBefore w:val="0"/>
        <w:widowControl w:val="0"/>
        <w:wordWrap/>
        <w:overflowPunct/>
        <w:topLinePunct w:val="0"/>
        <w:bidi w:val="0"/>
        <w:spacing w:line="288" w:lineRule="auto"/>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1、开标一览表</w:t>
      </w:r>
    </w:p>
    <w:p w14:paraId="28B8AEF7">
      <w:pPr>
        <w:pStyle w:val="13"/>
        <w:keepNext w:val="0"/>
        <w:keepLines w:val="0"/>
        <w:pageBreakBefore w:val="0"/>
        <w:widowControl w:val="0"/>
        <w:wordWrap/>
        <w:overflowPunct/>
        <w:topLinePunct w:val="0"/>
        <w:bidi w:val="0"/>
        <w:spacing w:line="288" w:lineRule="auto"/>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2、法人或者非法人组织的营业执照等证明文件</w:t>
      </w:r>
    </w:p>
    <w:p w14:paraId="5774EC0D">
      <w:pPr>
        <w:pStyle w:val="13"/>
        <w:keepNext w:val="0"/>
        <w:keepLines w:val="0"/>
        <w:pageBreakBefore w:val="0"/>
        <w:widowControl w:val="0"/>
        <w:wordWrap/>
        <w:overflowPunct/>
        <w:topLinePunct w:val="0"/>
        <w:bidi w:val="0"/>
        <w:spacing w:line="288" w:lineRule="auto"/>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3、法定代表人身份证明</w:t>
      </w:r>
    </w:p>
    <w:p w14:paraId="5794510C">
      <w:pPr>
        <w:pStyle w:val="13"/>
        <w:keepNext w:val="0"/>
        <w:keepLines w:val="0"/>
        <w:pageBreakBefore w:val="0"/>
        <w:widowControl w:val="0"/>
        <w:wordWrap/>
        <w:overflowPunct/>
        <w:topLinePunct w:val="0"/>
        <w:bidi w:val="0"/>
        <w:spacing w:line="288" w:lineRule="auto"/>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4、法定代表人授权委托书</w:t>
      </w:r>
    </w:p>
    <w:p w14:paraId="692E27AF">
      <w:pPr>
        <w:pStyle w:val="13"/>
        <w:keepNext w:val="0"/>
        <w:keepLines w:val="0"/>
        <w:pageBreakBefore w:val="0"/>
        <w:widowControl w:val="0"/>
        <w:wordWrap/>
        <w:overflowPunct/>
        <w:topLinePunct w:val="0"/>
        <w:bidi w:val="0"/>
        <w:spacing w:line="288" w:lineRule="auto"/>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val="en-US" w:eastAsia="zh-CN"/>
        </w:rPr>
        <w:t>5</w:t>
      </w:r>
      <w:r>
        <w:rPr>
          <w:rFonts w:hint="eastAsia" w:ascii="仿宋_GB2312" w:hAnsi="仿宋_GB2312" w:eastAsia="仿宋_GB2312" w:cs="仿宋_GB2312"/>
          <w:sz w:val="24"/>
          <w:highlight w:val="none"/>
        </w:rPr>
        <w:t>、社会保障资金的缴纳记录</w:t>
      </w:r>
    </w:p>
    <w:p w14:paraId="076C6B46">
      <w:pPr>
        <w:pStyle w:val="13"/>
        <w:keepNext w:val="0"/>
        <w:keepLines w:val="0"/>
        <w:pageBreakBefore w:val="0"/>
        <w:widowControl w:val="0"/>
        <w:wordWrap/>
        <w:overflowPunct/>
        <w:topLinePunct w:val="0"/>
        <w:bidi w:val="0"/>
        <w:spacing w:line="288" w:lineRule="auto"/>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val="en-US" w:eastAsia="zh-CN"/>
        </w:rPr>
        <w:t>6</w:t>
      </w:r>
      <w:r>
        <w:rPr>
          <w:rFonts w:hint="eastAsia" w:ascii="仿宋_GB2312" w:hAnsi="仿宋_GB2312" w:eastAsia="仿宋_GB2312" w:cs="仿宋_GB2312"/>
          <w:sz w:val="24"/>
          <w:highlight w:val="none"/>
        </w:rPr>
        <w:t>、依法缴纳税收的证明</w:t>
      </w:r>
    </w:p>
    <w:p w14:paraId="4024C815">
      <w:pPr>
        <w:pStyle w:val="13"/>
        <w:keepNext w:val="0"/>
        <w:keepLines w:val="0"/>
        <w:pageBreakBefore w:val="0"/>
        <w:widowControl w:val="0"/>
        <w:wordWrap/>
        <w:overflowPunct/>
        <w:topLinePunct w:val="0"/>
        <w:bidi w:val="0"/>
        <w:spacing w:line="288" w:lineRule="auto"/>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val="en-US" w:eastAsia="zh-CN"/>
        </w:rPr>
        <w:t>7</w:t>
      </w:r>
      <w:r>
        <w:rPr>
          <w:rFonts w:hint="eastAsia" w:ascii="仿宋_GB2312" w:hAnsi="仿宋_GB2312" w:eastAsia="仿宋_GB2312" w:cs="仿宋_GB2312"/>
          <w:sz w:val="24"/>
          <w:highlight w:val="none"/>
        </w:rPr>
        <w:t>、良好的商业信誉和健全的财务会计制度证明材料</w:t>
      </w:r>
    </w:p>
    <w:p w14:paraId="35B92A01">
      <w:pPr>
        <w:pStyle w:val="13"/>
        <w:keepNext w:val="0"/>
        <w:keepLines w:val="0"/>
        <w:pageBreakBefore w:val="0"/>
        <w:widowControl w:val="0"/>
        <w:wordWrap/>
        <w:overflowPunct/>
        <w:topLinePunct w:val="0"/>
        <w:bidi w:val="0"/>
        <w:spacing w:line="288" w:lineRule="auto"/>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val="en-US" w:eastAsia="zh-CN"/>
        </w:rPr>
        <w:t>8</w:t>
      </w:r>
      <w:r>
        <w:rPr>
          <w:rFonts w:hint="eastAsia" w:ascii="仿宋_GB2312" w:hAnsi="仿宋_GB2312" w:eastAsia="仿宋_GB2312" w:cs="仿宋_GB2312"/>
          <w:sz w:val="24"/>
          <w:highlight w:val="none"/>
        </w:rPr>
        <w:t>、投标保证金缴纳凭证复印件</w:t>
      </w:r>
      <w:r>
        <w:rPr>
          <w:rFonts w:hint="eastAsia" w:ascii="仿宋_GB2312" w:hAnsi="仿宋" w:eastAsia="仿宋_GB2312"/>
          <w:sz w:val="24"/>
          <w:highlight w:val="none"/>
        </w:rPr>
        <w:t>或银行保函复印件</w:t>
      </w:r>
    </w:p>
    <w:p w14:paraId="57136A44">
      <w:pPr>
        <w:pStyle w:val="13"/>
        <w:keepNext w:val="0"/>
        <w:keepLines w:val="0"/>
        <w:pageBreakBefore w:val="0"/>
        <w:widowControl w:val="0"/>
        <w:wordWrap/>
        <w:overflowPunct/>
        <w:topLinePunct w:val="0"/>
        <w:bidi w:val="0"/>
        <w:spacing w:line="288" w:lineRule="auto"/>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val="en-US" w:eastAsia="zh-CN"/>
        </w:rPr>
        <w:t>9</w:t>
      </w:r>
      <w:r>
        <w:rPr>
          <w:rFonts w:hint="eastAsia" w:ascii="仿宋_GB2312" w:hAnsi="仿宋_GB2312" w:eastAsia="仿宋_GB2312" w:cs="仿宋_GB2312"/>
          <w:sz w:val="24"/>
          <w:highlight w:val="none"/>
        </w:rPr>
        <w:t>、参加政府采购活动前3年内在经营活动中没有重大违法记录的书面声明及反商业受贿承诺</w:t>
      </w:r>
    </w:p>
    <w:p w14:paraId="58797A3F">
      <w:pPr>
        <w:pStyle w:val="13"/>
        <w:keepNext w:val="0"/>
        <w:keepLines w:val="0"/>
        <w:pageBreakBefore w:val="0"/>
        <w:widowControl w:val="0"/>
        <w:wordWrap/>
        <w:overflowPunct/>
        <w:topLinePunct w:val="0"/>
        <w:bidi w:val="0"/>
        <w:spacing w:line="288" w:lineRule="auto"/>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10、投标人须知资料表要求的其他资格证明文件</w:t>
      </w:r>
    </w:p>
    <w:p w14:paraId="1EF155FB">
      <w:pPr>
        <w:pStyle w:val="20"/>
        <w:keepNext w:val="0"/>
        <w:keepLines w:val="0"/>
        <w:pageBreakBefore w:val="0"/>
        <w:widowControl w:val="0"/>
        <w:wordWrap/>
        <w:overflowPunct/>
        <w:topLinePunct w:val="0"/>
        <w:bidi w:val="0"/>
        <w:rPr>
          <w:rFonts w:hint="eastAsia" w:ascii="仿宋_GB2312" w:hAnsi="仿宋_GB2312" w:eastAsia="仿宋_GB2312" w:cs="仿宋_GB2312"/>
          <w:sz w:val="24"/>
          <w:highlight w:val="none"/>
        </w:rPr>
      </w:pPr>
    </w:p>
    <w:p w14:paraId="0CF799DD">
      <w:pPr>
        <w:pStyle w:val="20"/>
        <w:keepNext w:val="0"/>
        <w:keepLines w:val="0"/>
        <w:pageBreakBefore w:val="0"/>
        <w:widowControl w:val="0"/>
        <w:wordWrap/>
        <w:overflowPunct/>
        <w:topLinePunct w:val="0"/>
        <w:bidi w:val="0"/>
        <w:rPr>
          <w:rFonts w:hint="eastAsia" w:ascii="仿宋_GB2312" w:hAnsi="仿宋_GB2312" w:eastAsia="仿宋_GB2312" w:cs="仿宋_GB2312"/>
          <w:sz w:val="24"/>
          <w:highlight w:val="none"/>
        </w:rPr>
      </w:pPr>
    </w:p>
    <w:p w14:paraId="3F5296D6">
      <w:pPr>
        <w:pStyle w:val="20"/>
        <w:keepNext w:val="0"/>
        <w:keepLines w:val="0"/>
        <w:pageBreakBefore w:val="0"/>
        <w:widowControl w:val="0"/>
        <w:wordWrap/>
        <w:overflowPunct/>
        <w:topLinePunct w:val="0"/>
        <w:bidi w:val="0"/>
        <w:rPr>
          <w:rFonts w:hint="eastAsia" w:ascii="仿宋_GB2312" w:hAnsi="仿宋_GB2312" w:eastAsia="仿宋_GB2312" w:cs="仿宋_GB2312"/>
          <w:sz w:val="24"/>
          <w:highlight w:val="none"/>
        </w:rPr>
      </w:pPr>
    </w:p>
    <w:p w14:paraId="22D7135F">
      <w:pPr>
        <w:pStyle w:val="20"/>
        <w:keepNext w:val="0"/>
        <w:keepLines w:val="0"/>
        <w:pageBreakBefore w:val="0"/>
        <w:widowControl w:val="0"/>
        <w:wordWrap/>
        <w:overflowPunct/>
        <w:topLinePunct w:val="0"/>
        <w:bidi w:val="0"/>
        <w:rPr>
          <w:rFonts w:hint="eastAsia" w:ascii="仿宋_GB2312" w:hAnsi="仿宋_GB2312" w:eastAsia="仿宋_GB2312" w:cs="仿宋_GB2312"/>
          <w:sz w:val="24"/>
          <w:highlight w:val="none"/>
        </w:rPr>
      </w:pPr>
    </w:p>
    <w:p w14:paraId="2FE742CB">
      <w:pPr>
        <w:pStyle w:val="20"/>
        <w:keepNext w:val="0"/>
        <w:keepLines w:val="0"/>
        <w:pageBreakBefore w:val="0"/>
        <w:widowControl w:val="0"/>
        <w:wordWrap/>
        <w:overflowPunct/>
        <w:topLinePunct w:val="0"/>
        <w:bidi w:val="0"/>
        <w:rPr>
          <w:rFonts w:hint="eastAsia" w:ascii="仿宋_GB2312" w:hAnsi="仿宋_GB2312" w:eastAsia="仿宋_GB2312" w:cs="仿宋_GB2312"/>
          <w:sz w:val="24"/>
          <w:highlight w:val="none"/>
        </w:rPr>
      </w:pPr>
    </w:p>
    <w:p w14:paraId="18E9EEE0">
      <w:pPr>
        <w:pStyle w:val="10"/>
        <w:keepNext w:val="0"/>
        <w:keepLines w:val="0"/>
        <w:pageBreakBefore w:val="0"/>
        <w:widowControl w:val="0"/>
        <w:wordWrap/>
        <w:overflowPunct/>
        <w:topLinePunct w:val="0"/>
        <w:bidi w:val="0"/>
        <w:rPr>
          <w:rFonts w:hint="eastAsia" w:ascii="仿宋_GB2312" w:hAnsi="仿宋_GB2312" w:eastAsia="仿宋_GB2312" w:cs="仿宋_GB2312"/>
          <w:sz w:val="24"/>
          <w:highlight w:val="none"/>
        </w:rPr>
      </w:pPr>
    </w:p>
    <w:p w14:paraId="49EC5CC4">
      <w:pPr>
        <w:keepNext w:val="0"/>
        <w:keepLines w:val="0"/>
        <w:pageBreakBefore w:val="0"/>
        <w:widowControl w:val="0"/>
        <w:wordWrap/>
        <w:overflowPunct/>
        <w:topLinePunct w:val="0"/>
        <w:bidi w:val="0"/>
        <w:rPr>
          <w:rFonts w:hint="eastAsia" w:ascii="仿宋_GB2312" w:hAnsi="仿宋_GB2312" w:eastAsia="仿宋_GB2312" w:cs="仿宋_GB2312"/>
          <w:sz w:val="24"/>
          <w:highlight w:val="none"/>
        </w:rPr>
      </w:pPr>
    </w:p>
    <w:p w14:paraId="025029D4">
      <w:pPr>
        <w:keepNext w:val="0"/>
        <w:keepLines w:val="0"/>
        <w:pageBreakBefore w:val="0"/>
        <w:widowControl w:val="0"/>
        <w:wordWrap/>
        <w:overflowPunct/>
        <w:topLinePunct w:val="0"/>
        <w:bidi w:val="0"/>
        <w:rPr>
          <w:rFonts w:hint="eastAsia" w:ascii="仿宋_GB2312" w:hAnsi="仿宋_GB2312" w:eastAsia="仿宋_GB2312" w:cs="仿宋_GB2312"/>
          <w:sz w:val="24"/>
          <w:highlight w:val="none"/>
        </w:rPr>
      </w:pPr>
    </w:p>
    <w:p w14:paraId="62F7F7BE">
      <w:pPr>
        <w:keepNext w:val="0"/>
        <w:keepLines w:val="0"/>
        <w:pageBreakBefore w:val="0"/>
        <w:widowControl w:val="0"/>
        <w:wordWrap/>
        <w:overflowPunct/>
        <w:topLinePunct w:val="0"/>
        <w:bidi w:val="0"/>
        <w:rPr>
          <w:rFonts w:hint="eastAsia" w:ascii="仿宋_GB2312" w:hAnsi="仿宋_GB2312" w:eastAsia="仿宋_GB2312" w:cs="仿宋_GB2312"/>
          <w:sz w:val="24"/>
          <w:highlight w:val="none"/>
        </w:rPr>
      </w:pPr>
    </w:p>
    <w:p w14:paraId="6C3F6593">
      <w:pPr>
        <w:keepNext w:val="0"/>
        <w:keepLines w:val="0"/>
        <w:pageBreakBefore w:val="0"/>
        <w:widowControl w:val="0"/>
        <w:wordWrap/>
        <w:overflowPunct/>
        <w:topLinePunct w:val="0"/>
        <w:bidi w:val="0"/>
        <w:rPr>
          <w:rFonts w:hint="eastAsia" w:ascii="仿宋_GB2312" w:hAnsi="仿宋_GB2312" w:eastAsia="仿宋_GB2312" w:cs="仿宋_GB2312"/>
          <w:sz w:val="24"/>
          <w:highlight w:val="none"/>
        </w:rPr>
      </w:pPr>
    </w:p>
    <w:p w14:paraId="7C20A5EF">
      <w:pPr>
        <w:keepNext w:val="0"/>
        <w:keepLines w:val="0"/>
        <w:pageBreakBefore w:val="0"/>
        <w:widowControl w:val="0"/>
        <w:wordWrap/>
        <w:overflowPunct/>
        <w:topLinePunct w:val="0"/>
        <w:bidi w:val="0"/>
        <w:rPr>
          <w:rFonts w:hint="eastAsia" w:ascii="仿宋_GB2312" w:hAnsi="仿宋_GB2312" w:eastAsia="仿宋_GB2312" w:cs="仿宋_GB2312"/>
          <w:sz w:val="24"/>
          <w:highlight w:val="none"/>
        </w:rPr>
      </w:pPr>
    </w:p>
    <w:p w14:paraId="397A24CC">
      <w:pPr>
        <w:pStyle w:val="20"/>
        <w:keepNext w:val="0"/>
        <w:keepLines w:val="0"/>
        <w:pageBreakBefore w:val="0"/>
        <w:widowControl w:val="0"/>
        <w:wordWrap/>
        <w:overflowPunct/>
        <w:topLinePunct w:val="0"/>
        <w:bidi w:val="0"/>
        <w:rPr>
          <w:rFonts w:hint="eastAsia" w:ascii="仿宋_GB2312" w:hAnsi="仿宋_GB2312" w:eastAsia="仿宋_GB2312" w:cs="仿宋_GB2312"/>
          <w:sz w:val="24"/>
          <w:highlight w:val="none"/>
        </w:rPr>
      </w:pPr>
    </w:p>
    <w:p w14:paraId="70C757CD">
      <w:pPr>
        <w:pStyle w:val="4"/>
        <w:keepNext w:val="0"/>
        <w:keepLines w:val="0"/>
        <w:pageBreakBefore w:val="0"/>
        <w:widowControl w:val="0"/>
        <w:wordWrap/>
        <w:overflowPunct/>
        <w:topLinePunct w:val="0"/>
        <w:bidi w:val="0"/>
        <w:spacing w:before="0" w:after="0" w:line="288" w:lineRule="auto"/>
        <w:jc w:val="center"/>
        <w:rPr>
          <w:rFonts w:hint="eastAsia" w:ascii="仿宋_GB2312" w:hAnsi="仿宋_GB2312" w:eastAsia="仿宋_GB2312" w:cs="仿宋_GB2312"/>
          <w:sz w:val="24"/>
          <w:szCs w:val="24"/>
          <w:highlight w:val="none"/>
        </w:rPr>
      </w:pPr>
      <w:bookmarkStart w:id="662" w:name="_Toc2495"/>
      <w:bookmarkStart w:id="663" w:name="_Toc18565"/>
      <w:bookmarkStart w:id="664" w:name="_Toc2776"/>
      <w:bookmarkStart w:id="665" w:name="_Toc14309"/>
      <w:bookmarkStart w:id="666" w:name="_Toc14603"/>
      <w:bookmarkStart w:id="667" w:name="_Toc16568"/>
      <w:bookmarkStart w:id="668" w:name="_Toc9159"/>
      <w:bookmarkStart w:id="669" w:name="_Toc32488"/>
      <w:bookmarkStart w:id="670" w:name="_Toc4959"/>
      <w:bookmarkStart w:id="671" w:name="_Toc9428"/>
      <w:bookmarkStart w:id="672" w:name="_Toc279"/>
      <w:bookmarkStart w:id="673" w:name="_Toc29905"/>
      <w:bookmarkStart w:id="674" w:name="_Toc30524"/>
      <w:bookmarkStart w:id="675" w:name="_Toc515647804"/>
      <w:r>
        <w:rPr>
          <w:rFonts w:hint="eastAsia" w:ascii="仿宋_GB2312" w:hAnsi="仿宋_GB2312" w:eastAsia="仿宋_GB2312" w:cs="仿宋_GB2312"/>
          <w:highlight w:val="none"/>
          <w:u w:val="none"/>
        </w:rPr>
        <w:t>1开标一览表</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p>
    <w:p w14:paraId="5D04C77D">
      <w:pPr>
        <w:pStyle w:val="20"/>
        <w:keepNext w:val="0"/>
        <w:keepLines w:val="0"/>
        <w:pageBreakBefore w:val="0"/>
        <w:widowControl w:val="0"/>
        <w:wordWrap/>
        <w:overflowPunct/>
        <w:topLinePunct w:val="0"/>
        <w:bidi w:val="0"/>
        <w:spacing w:line="288" w:lineRule="auto"/>
        <w:rPr>
          <w:rFonts w:hint="eastAsia"/>
          <w:sz w:val="24"/>
          <w:highlight w:val="none"/>
        </w:rPr>
      </w:pPr>
      <w:bookmarkStart w:id="676" w:name="_Hlt520356241"/>
      <w:bookmarkEnd w:id="676"/>
    </w:p>
    <w:p w14:paraId="4AF0EBCB">
      <w:pPr>
        <w:pageBreakBefore w:val="0"/>
        <w:tabs>
          <w:tab w:val="left" w:pos="1800"/>
          <w:tab w:val="left" w:pos="5580"/>
        </w:tabs>
        <w:kinsoku/>
        <w:wordWrap/>
        <w:overflowPunct/>
        <w:topLinePunct w:val="0"/>
        <w:bidi w:val="0"/>
        <w:spacing w:line="240" w:lineRule="auto"/>
        <w:ind w:right="-867" w:rightChars="-413"/>
        <w:rPr>
          <w:rFonts w:hint="eastAsia" w:ascii="宋体" w:hAnsi="Times New Roman" w:eastAsia="宋体" w:cstheme="minorBidi"/>
          <w:kern w:val="2"/>
          <w:sz w:val="24"/>
          <w:szCs w:val="24"/>
          <w:highlight w:val="none"/>
          <w:lang w:val="en-US" w:eastAsia="zh-CN" w:bidi="ar-SA"/>
        </w:rPr>
      </w:pPr>
      <w:r>
        <w:rPr>
          <w:rFonts w:hint="eastAsia" w:ascii="宋体" w:hAnsi="Times New Roman" w:eastAsia="宋体" w:cstheme="minorBidi"/>
          <w:kern w:val="2"/>
          <w:sz w:val="24"/>
          <w:szCs w:val="24"/>
          <w:highlight w:val="none"/>
          <w:lang w:val="en-US" w:eastAsia="zh-CN" w:bidi="ar-SA"/>
        </w:rPr>
        <w:t>项目名称：　招标编号：报价单位：元包号：/</w:t>
      </w:r>
    </w:p>
    <w:tbl>
      <w:tblPr>
        <w:tblStyle w:val="26"/>
        <w:tblW w:w="8976" w:type="dxa"/>
        <w:jc w:val="center"/>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317"/>
        <w:gridCol w:w="1350"/>
        <w:gridCol w:w="1186"/>
        <w:gridCol w:w="1241"/>
        <w:gridCol w:w="1377"/>
        <w:gridCol w:w="1408"/>
        <w:gridCol w:w="1097"/>
      </w:tblGrid>
      <w:tr w14:paraId="44C4A284">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94" w:hRule="atLeast"/>
          <w:jc w:val="center"/>
        </w:trPr>
        <w:tc>
          <w:tcPr>
            <w:tcW w:w="1317" w:type="dxa"/>
            <w:tcBorders>
              <w:tl2br w:val="nil"/>
              <w:tr2bl w:val="nil"/>
            </w:tcBorders>
            <w:noWrap w:val="0"/>
            <w:vAlign w:val="center"/>
          </w:tcPr>
          <w:p w14:paraId="1014961C">
            <w:pPr>
              <w:pStyle w:val="13"/>
              <w:keepNext w:val="0"/>
              <w:keepLines w:val="0"/>
              <w:widowControl/>
              <w:suppressLineNumbers w:val="0"/>
              <w:spacing w:before="0" w:beforeAutospacing="0" w:afterAutospacing="0" w:line="240" w:lineRule="atLeast"/>
              <w:ind w:left="0" w:right="0"/>
              <w:jc w:val="center"/>
              <w:rPr>
                <w:rFonts w:hint="eastAsia" w:ascii="宋体" w:hAnsi="Times New Roman" w:eastAsia="宋体" w:cstheme="minorBidi"/>
                <w:kern w:val="2"/>
                <w:sz w:val="24"/>
                <w:szCs w:val="24"/>
                <w:highlight w:val="none"/>
                <w:lang w:val="en-US" w:eastAsia="zh-CN" w:bidi="ar-SA"/>
              </w:rPr>
            </w:pPr>
          </w:p>
          <w:p w14:paraId="32A4DF54">
            <w:pPr>
              <w:pStyle w:val="13"/>
              <w:keepNext w:val="0"/>
              <w:keepLines w:val="0"/>
              <w:widowControl/>
              <w:suppressLineNumbers w:val="0"/>
              <w:spacing w:before="0" w:beforeAutospacing="0" w:afterAutospacing="0" w:line="240" w:lineRule="atLeast"/>
              <w:ind w:left="0" w:right="0"/>
              <w:jc w:val="center"/>
              <w:rPr>
                <w:rFonts w:hint="eastAsia" w:ascii="宋体" w:hAnsi="Times New Roman" w:eastAsia="宋体" w:cstheme="minorBidi"/>
                <w:kern w:val="2"/>
                <w:sz w:val="24"/>
                <w:szCs w:val="24"/>
                <w:highlight w:val="none"/>
                <w:lang w:val="en-US" w:eastAsia="zh-CN" w:bidi="ar-SA"/>
              </w:rPr>
            </w:pPr>
            <w:r>
              <w:rPr>
                <w:rFonts w:hint="eastAsia" w:ascii="宋体" w:hAnsi="Times New Roman" w:eastAsia="宋体" w:cstheme="minorBidi"/>
                <w:kern w:val="2"/>
                <w:sz w:val="24"/>
                <w:szCs w:val="24"/>
                <w:highlight w:val="none"/>
                <w:lang w:val="en-US" w:eastAsia="zh-CN" w:bidi="ar-SA"/>
              </w:rPr>
              <w:t>投标报价</w:t>
            </w:r>
          </w:p>
          <w:p w14:paraId="33FA949D">
            <w:pPr>
              <w:pStyle w:val="13"/>
              <w:keepNext w:val="0"/>
              <w:keepLines w:val="0"/>
              <w:widowControl/>
              <w:suppressLineNumbers w:val="0"/>
              <w:spacing w:before="0" w:beforeAutospacing="0" w:afterAutospacing="0" w:line="240" w:lineRule="atLeast"/>
              <w:ind w:left="0" w:right="0"/>
              <w:jc w:val="center"/>
              <w:rPr>
                <w:rFonts w:hint="eastAsia" w:ascii="宋体" w:hAnsi="Times New Roman" w:eastAsia="宋体" w:cstheme="minorBidi"/>
                <w:kern w:val="2"/>
                <w:sz w:val="24"/>
                <w:szCs w:val="24"/>
                <w:highlight w:val="none"/>
                <w:lang w:val="en-US" w:eastAsia="zh-CN" w:bidi="ar-SA"/>
              </w:rPr>
            </w:pPr>
          </w:p>
        </w:tc>
        <w:tc>
          <w:tcPr>
            <w:tcW w:w="1350" w:type="dxa"/>
            <w:tcBorders>
              <w:tl2br w:val="nil"/>
              <w:tr2bl w:val="nil"/>
            </w:tcBorders>
            <w:noWrap w:val="0"/>
            <w:vAlign w:val="center"/>
          </w:tcPr>
          <w:p w14:paraId="755EF4A3">
            <w:pPr>
              <w:pStyle w:val="13"/>
              <w:keepNext w:val="0"/>
              <w:keepLines w:val="0"/>
              <w:widowControl/>
              <w:suppressLineNumbers w:val="0"/>
              <w:spacing w:before="0" w:beforeAutospacing="0" w:afterAutospacing="0" w:line="240" w:lineRule="atLeast"/>
              <w:ind w:left="0" w:right="0"/>
              <w:jc w:val="center"/>
              <w:rPr>
                <w:rFonts w:hint="eastAsia" w:ascii="宋体" w:hAnsi="Times New Roman" w:eastAsia="宋体" w:cstheme="minorBidi"/>
                <w:kern w:val="2"/>
                <w:sz w:val="24"/>
                <w:szCs w:val="24"/>
                <w:highlight w:val="none"/>
                <w:lang w:val="en-US" w:eastAsia="zh-CN" w:bidi="ar-SA"/>
              </w:rPr>
            </w:pPr>
            <w:r>
              <w:rPr>
                <w:rFonts w:hint="eastAsia" w:ascii="宋体" w:hAnsi="Times New Roman" w:eastAsia="宋体" w:cstheme="minorBidi"/>
                <w:kern w:val="2"/>
                <w:sz w:val="24"/>
                <w:szCs w:val="24"/>
                <w:highlight w:val="none"/>
                <w:lang w:val="en-US" w:eastAsia="zh-CN" w:bidi="ar-SA"/>
              </w:rPr>
              <w:t>供货期限</w:t>
            </w:r>
          </w:p>
        </w:tc>
        <w:tc>
          <w:tcPr>
            <w:tcW w:w="1186" w:type="dxa"/>
            <w:tcBorders>
              <w:tl2br w:val="nil"/>
              <w:tr2bl w:val="nil"/>
            </w:tcBorders>
            <w:noWrap w:val="0"/>
            <w:vAlign w:val="center"/>
          </w:tcPr>
          <w:p w14:paraId="59F45F44">
            <w:pPr>
              <w:pStyle w:val="13"/>
              <w:keepNext w:val="0"/>
              <w:keepLines w:val="0"/>
              <w:widowControl/>
              <w:suppressLineNumbers w:val="0"/>
              <w:spacing w:before="0" w:beforeAutospacing="0" w:afterAutospacing="0" w:line="240" w:lineRule="atLeast"/>
              <w:ind w:left="0" w:right="0"/>
              <w:jc w:val="center"/>
              <w:rPr>
                <w:rFonts w:hint="eastAsia" w:ascii="宋体" w:hAnsi="Times New Roman" w:eastAsia="宋体" w:cstheme="minorBidi"/>
                <w:kern w:val="2"/>
                <w:sz w:val="24"/>
                <w:szCs w:val="24"/>
                <w:highlight w:val="none"/>
                <w:lang w:val="en-US" w:eastAsia="zh-CN" w:bidi="ar-SA"/>
              </w:rPr>
            </w:pPr>
            <w:r>
              <w:rPr>
                <w:rFonts w:hint="eastAsia" w:ascii="宋体" w:hAnsi="Times New Roman" w:eastAsia="宋体" w:cstheme="minorBidi"/>
                <w:kern w:val="2"/>
                <w:sz w:val="24"/>
                <w:szCs w:val="24"/>
                <w:highlight w:val="none"/>
                <w:lang w:val="en-US" w:eastAsia="zh-CN" w:bidi="ar-SA"/>
              </w:rPr>
              <w:t>供货地点</w:t>
            </w:r>
          </w:p>
        </w:tc>
        <w:tc>
          <w:tcPr>
            <w:tcW w:w="1241" w:type="dxa"/>
            <w:tcBorders>
              <w:tl2br w:val="nil"/>
              <w:tr2bl w:val="nil"/>
            </w:tcBorders>
            <w:noWrap w:val="0"/>
            <w:vAlign w:val="center"/>
          </w:tcPr>
          <w:p w14:paraId="5903A8E0">
            <w:pPr>
              <w:pStyle w:val="13"/>
              <w:keepNext w:val="0"/>
              <w:keepLines w:val="0"/>
              <w:widowControl/>
              <w:suppressLineNumbers w:val="0"/>
              <w:spacing w:before="0" w:beforeAutospacing="0" w:afterAutospacing="0" w:line="240" w:lineRule="atLeast"/>
              <w:ind w:left="0" w:right="0"/>
              <w:jc w:val="center"/>
              <w:rPr>
                <w:rFonts w:hint="eastAsia" w:ascii="宋体" w:hAnsi="Times New Roman" w:eastAsia="宋体" w:cstheme="minorBidi"/>
                <w:kern w:val="2"/>
                <w:sz w:val="24"/>
                <w:szCs w:val="24"/>
                <w:highlight w:val="none"/>
                <w:lang w:val="en-US" w:eastAsia="zh-CN" w:bidi="ar-SA"/>
              </w:rPr>
            </w:pPr>
            <w:r>
              <w:rPr>
                <w:rFonts w:hint="eastAsia" w:ascii="宋体" w:hAnsi="Times New Roman" w:eastAsia="宋体" w:cstheme="minorBidi"/>
                <w:kern w:val="2"/>
                <w:sz w:val="24"/>
                <w:szCs w:val="24"/>
                <w:highlight w:val="none"/>
                <w:lang w:val="en-US" w:eastAsia="zh-CN" w:bidi="ar-SA"/>
              </w:rPr>
              <w:t>质保期限</w:t>
            </w:r>
          </w:p>
        </w:tc>
        <w:tc>
          <w:tcPr>
            <w:tcW w:w="1377" w:type="dxa"/>
            <w:tcBorders>
              <w:tl2br w:val="nil"/>
              <w:tr2bl w:val="nil"/>
            </w:tcBorders>
            <w:noWrap w:val="0"/>
            <w:vAlign w:val="center"/>
          </w:tcPr>
          <w:p w14:paraId="727A7B5A">
            <w:pPr>
              <w:pStyle w:val="13"/>
              <w:keepNext w:val="0"/>
              <w:keepLines w:val="0"/>
              <w:widowControl/>
              <w:suppressLineNumbers w:val="0"/>
              <w:spacing w:before="0" w:beforeAutospacing="0" w:afterAutospacing="0" w:line="240" w:lineRule="atLeast"/>
              <w:ind w:left="0" w:right="0"/>
              <w:jc w:val="center"/>
              <w:rPr>
                <w:rFonts w:hint="default" w:ascii="宋体" w:hAnsi="Times New Roman" w:eastAsia="宋体" w:cstheme="minorBidi"/>
                <w:kern w:val="2"/>
                <w:sz w:val="24"/>
                <w:szCs w:val="24"/>
                <w:highlight w:val="none"/>
                <w:lang w:val="en-US" w:eastAsia="zh-CN" w:bidi="ar-SA"/>
              </w:rPr>
            </w:pPr>
            <w:r>
              <w:rPr>
                <w:rFonts w:hint="eastAsia" w:ascii="宋体" w:hAnsi="Times New Roman" w:eastAsia="宋体" w:cstheme="minorBidi"/>
                <w:kern w:val="2"/>
                <w:sz w:val="24"/>
                <w:szCs w:val="24"/>
                <w:highlight w:val="none"/>
                <w:lang w:val="en-US" w:eastAsia="zh-CN" w:bidi="ar-SA"/>
              </w:rPr>
              <w:t>投标保证金金额</w:t>
            </w:r>
          </w:p>
        </w:tc>
        <w:tc>
          <w:tcPr>
            <w:tcW w:w="1408" w:type="dxa"/>
            <w:tcBorders>
              <w:tl2br w:val="nil"/>
              <w:tr2bl w:val="nil"/>
            </w:tcBorders>
            <w:noWrap w:val="0"/>
            <w:vAlign w:val="center"/>
          </w:tcPr>
          <w:p w14:paraId="6AA32F82">
            <w:pPr>
              <w:pStyle w:val="13"/>
              <w:keepNext w:val="0"/>
              <w:keepLines w:val="0"/>
              <w:widowControl/>
              <w:suppressLineNumbers w:val="0"/>
              <w:spacing w:before="0" w:beforeAutospacing="0" w:afterAutospacing="0" w:line="240" w:lineRule="atLeast"/>
              <w:ind w:left="0" w:right="0"/>
              <w:jc w:val="center"/>
              <w:rPr>
                <w:rFonts w:hint="eastAsia" w:ascii="宋体" w:hAnsi="Times New Roman" w:eastAsia="宋体" w:cstheme="minorBidi"/>
                <w:kern w:val="2"/>
                <w:sz w:val="24"/>
                <w:szCs w:val="24"/>
                <w:highlight w:val="none"/>
                <w:lang w:val="en-US" w:eastAsia="zh-CN" w:bidi="ar-SA"/>
              </w:rPr>
            </w:pPr>
            <w:r>
              <w:rPr>
                <w:rFonts w:hint="eastAsia" w:ascii="宋体" w:hAnsi="Times New Roman" w:eastAsia="宋体" w:cstheme="minorBidi"/>
                <w:kern w:val="2"/>
                <w:sz w:val="24"/>
                <w:szCs w:val="24"/>
                <w:highlight w:val="none"/>
                <w:lang w:val="en-US" w:eastAsia="zh-CN" w:bidi="ar-SA"/>
              </w:rPr>
              <w:t>保证金</w:t>
            </w:r>
          </w:p>
          <w:p w14:paraId="67FD3F66">
            <w:pPr>
              <w:pStyle w:val="13"/>
              <w:keepNext w:val="0"/>
              <w:keepLines w:val="0"/>
              <w:widowControl/>
              <w:suppressLineNumbers w:val="0"/>
              <w:spacing w:before="0" w:beforeAutospacing="0" w:afterAutospacing="0" w:line="240" w:lineRule="atLeast"/>
              <w:ind w:left="0" w:right="0"/>
              <w:jc w:val="center"/>
              <w:rPr>
                <w:rFonts w:hint="eastAsia" w:ascii="宋体" w:hAnsi="Times New Roman" w:eastAsia="宋体" w:cstheme="minorBidi"/>
                <w:kern w:val="2"/>
                <w:sz w:val="24"/>
                <w:szCs w:val="24"/>
                <w:highlight w:val="none"/>
                <w:lang w:val="en-US" w:eastAsia="zh-CN" w:bidi="ar-SA"/>
              </w:rPr>
            </w:pPr>
            <w:r>
              <w:rPr>
                <w:rFonts w:hint="eastAsia" w:ascii="宋体" w:hAnsi="Times New Roman" w:eastAsia="宋体" w:cstheme="minorBidi"/>
                <w:kern w:val="2"/>
                <w:sz w:val="24"/>
                <w:szCs w:val="24"/>
                <w:highlight w:val="none"/>
                <w:lang w:val="en-US" w:eastAsia="zh-CN" w:bidi="ar-SA"/>
              </w:rPr>
              <w:t>缴纳方式</w:t>
            </w:r>
          </w:p>
        </w:tc>
        <w:tc>
          <w:tcPr>
            <w:tcW w:w="1097" w:type="dxa"/>
            <w:tcBorders>
              <w:tl2br w:val="nil"/>
              <w:tr2bl w:val="nil"/>
            </w:tcBorders>
            <w:noWrap w:val="0"/>
            <w:vAlign w:val="center"/>
          </w:tcPr>
          <w:p w14:paraId="24D4BD83">
            <w:pPr>
              <w:pStyle w:val="13"/>
              <w:keepNext w:val="0"/>
              <w:keepLines w:val="0"/>
              <w:widowControl/>
              <w:suppressLineNumbers w:val="0"/>
              <w:spacing w:before="0" w:beforeAutospacing="0" w:afterAutospacing="0" w:line="240" w:lineRule="atLeast"/>
              <w:ind w:left="0" w:right="0"/>
              <w:jc w:val="center"/>
              <w:rPr>
                <w:rFonts w:hint="eastAsia" w:ascii="宋体" w:hAnsi="Times New Roman" w:eastAsia="宋体" w:cstheme="minorBidi"/>
                <w:kern w:val="2"/>
                <w:sz w:val="24"/>
                <w:szCs w:val="24"/>
                <w:highlight w:val="none"/>
                <w:lang w:val="en-US" w:eastAsia="zh-CN" w:bidi="ar-SA"/>
              </w:rPr>
            </w:pPr>
            <w:r>
              <w:rPr>
                <w:rFonts w:hint="eastAsia" w:ascii="宋体" w:hAnsi="Times New Roman" w:eastAsia="宋体" w:cstheme="minorBidi"/>
                <w:kern w:val="2"/>
                <w:sz w:val="24"/>
                <w:szCs w:val="24"/>
                <w:highlight w:val="none"/>
                <w:lang w:val="en-US" w:eastAsia="zh-CN" w:bidi="ar-SA"/>
              </w:rPr>
              <w:t>备注</w:t>
            </w:r>
          </w:p>
        </w:tc>
      </w:tr>
      <w:tr w14:paraId="1385A8A6">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571" w:hRule="atLeast"/>
          <w:jc w:val="center"/>
        </w:trPr>
        <w:tc>
          <w:tcPr>
            <w:tcW w:w="1317" w:type="dxa"/>
            <w:tcBorders>
              <w:tl2br w:val="nil"/>
              <w:tr2bl w:val="nil"/>
            </w:tcBorders>
            <w:noWrap w:val="0"/>
            <w:vAlign w:val="center"/>
          </w:tcPr>
          <w:p w14:paraId="760F21E5">
            <w:pPr>
              <w:pStyle w:val="13"/>
              <w:keepNext w:val="0"/>
              <w:keepLines w:val="0"/>
              <w:widowControl/>
              <w:suppressLineNumbers w:val="0"/>
              <w:spacing w:before="0" w:beforeAutospacing="0" w:afterAutospacing="0" w:line="240" w:lineRule="atLeast"/>
              <w:ind w:left="0" w:right="0"/>
              <w:jc w:val="both"/>
              <w:rPr>
                <w:rFonts w:hint="eastAsia" w:ascii="宋体" w:hAnsi="Times New Roman" w:eastAsia="宋体" w:cstheme="minorBidi"/>
                <w:kern w:val="2"/>
                <w:sz w:val="24"/>
                <w:szCs w:val="24"/>
                <w:highlight w:val="none"/>
                <w:lang w:val="en-US" w:eastAsia="zh-CN" w:bidi="ar-SA"/>
              </w:rPr>
            </w:pPr>
            <w:r>
              <w:rPr>
                <w:rFonts w:hint="eastAsia" w:ascii="宋体" w:hAnsi="Times New Roman" w:eastAsia="宋体" w:cstheme="minorBidi"/>
                <w:kern w:val="2"/>
                <w:sz w:val="24"/>
                <w:szCs w:val="24"/>
                <w:highlight w:val="none"/>
                <w:lang w:val="en-US" w:eastAsia="zh-CN" w:bidi="ar-SA"/>
              </w:rPr>
              <w:t>大写：</w:t>
            </w:r>
          </w:p>
          <w:p w14:paraId="35636BA0">
            <w:pPr>
              <w:pStyle w:val="13"/>
              <w:keepNext w:val="0"/>
              <w:keepLines w:val="0"/>
              <w:widowControl/>
              <w:suppressLineNumbers w:val="0"/>
              <w:spacing w:before="0" w:beforeAutospacing="0" w:afterAutospacing="0" w:line="240" w:lineRule="atLeast"/>
              <w:ind w:left="0" w:right="0"/>
              <w:jc w:val="both"/>
              <w:rPr>
                <w:rFonts w:hint="eastAsia" w:ascii="宋体" w:hAnsi="Times New Roman" w:eastAsia="宋体" w:cstheme="minorBidi"/>
                <w:kern w:val="2"/>
                <w:sz w:val="24"/>
                <w:szCs w:val="24"/>
                <w:highlight w:val="none"/>
                <w:lang w:val="en-US" w:eastAsia="zh-CN" w:bidi="ar-SA"/>
              </w:rPr>
            </w:pPr>
            <w:r>
              <w:rPr>
                <w:rFonts w:hint="eastAsia" w:ascii="宋体" w:hAnsi="Times New Roman" w:eastAsia="宋体" w:cstheme="minorBidi"/>
                <w:kern w:val="2"/>
                <w:sz w:val="24"/>
                <w:szCs w:val="24"/>
                <w:highlight w:val="none"/>
                <w:lang w:val="en-US" w:eastAsia="zh-CN" w:bidi="ar-SA"/>
              </w:rPr>
              <w:t>小写：</w:t>
            </w:r>
          </w:p>
        </w:tc>
        <w:tc>
          <w:tcPr>
            <w:tcW w:w="1350" w:type="dxa"/>
            <w:tcBorders>
              <w:tl2br w:val="nil"/>
              <w:tr2bl w:val="nil"/>
            </w:tcBorders>
            <w:noWrap w:val="0"/>
            <w:vAlign w:val="center"/>
          </w:tcPr>
          <w:p w14:paraId="7C0D3AA4">
            <w:pPr>
              <w:keepNext w:val="0"/>
              <w:keepLines w:val="0"/>
              <w:widowControl/>
              <w:suppressLineNumbers w:val="0"/>
              <w:tabs>
                <w:tab w:val="left" w:pos="1800"/>
                <w:tab w:val="left" w:pos="5580"/>
              </w:tabs>
              <w:spacing w:before="0" w:beforeAutospacing="0" w:afterAutospacing="0" w:line="240" w:lineRule="atLeast"/>
              <w:ind w:left="0" w:right="-867" w:rightChars="-413"/>
              <w:rPr>
                <w:rFonts w:hint="eastAsia" w:ascii="宋体" w:hAnsi="Times New Roman" w:eastAsia="宋体" w:cstheme="minorBidi"/>
                <w:kern w:val="2"/>
                <w:sz w:val="24"/>
                <w:szCs w:val="24"/>
                <w:highlight w:val="none"/>
                <w:lang w:val="en-US" w:eastAsia="zh-CN" w:bidi="ar-SA"/>
              </w:rPr>
            </w:pPr>
          </w:p>
        </w:tc>
        <w:tc>
          <w:tcPr>
            <w:tcW w:w="1186" w:type="dxa"/>
            <w:tcBorders>
              <w:tl2br w:val="nil"/>
              <w:tr2bl w:val="nil"/>
            </w:tcBorders>
            <w:noWrap w:val="0"/>
            <w:vAlign w:val="center"/>
          </w:tcPr>
          <w:p w14:paraId="270A2F4B">
            <w:pPr>
              <w:keepNext w:val="0"/>
              <w:keepLines w:val="0"/>
              <w:widowControl/>
              <w:suppressLineNumbers w:val="0"/>
              <w:tabs>
                <w:tab w:val="left" w:pos="1800"/>
                <w:tab w:val="left" w:pos="5580"/>
              </w:tabs>
              <w:spacing w:before="0" w:beforeAutospacing="0" w:afterAutospacing="0" w:line="240" w:lineRule="atLeast"/>
              <w:ind w:left="0" w:right="-867" w:rightChars="-413"/>
              <w:rPr>
                <w:rFonts w:hint="eastAsia" w:ascii="宋体" w:hAnsi="Times New Roman" w:eastAsia="宋体" w:cstheme="minorBidi"/>
                <w:kern w:val="2"/>
                <w:sz w:val="24"/>
                <w:szCs w:val="24"/>
                <w:highlight w:val="none"/>
                <w:lang w:val="en-US" w:eastAsia="zh-CN" w:bidi="ar-SA"/>
              </w:rPr>
            </w:pPr>
          </w:p>
        </w:tc>
        <w:tc>
          <w:tcPr>
            <w:tcW w:w="1241" w:type="dxa"/>
            <w:tcBorders>
              <w:tl2br w:val="nil"/>
              <w:tr2bl w:val="nil"/>
            </w:tcBorders>
            <w:noWrap w:val="0"/>
            <w:vAlign w:val="center"/>
          </w:tcPr>
          <w:p w14:paraId="671395AE">
            <w:pPr>
              <w:keepNext w:val="0"/>
              <w:keepLines w:val="0"/>
              <w:widowControl/>
              <w:suppressLineNumbers w:val="0"/>
              <w:tabs>
                <w:tab w:val="left" w:pos="1800"/>
                <w:tab w:val="left" w:pos="5580"/>
              </w:tabs>
              <w:spacing w:before="0" w:beforeAutospacing="0" w:afterAutospacing="0" w:line="240" w:lineRule="atLeast"/>
              <w:ind w:left="0" w:right="-867" w:rightChars="-413"/>
              <w:rPr>
                <w:rFonts w:hint="eastAsia" w:ascii="宋体" w:hAnsi="Times New Roman" w:eastAsia="宋体" w:cstheme="minorBidi"/>
                <w:kern w:val="2"/>
                <w:sz w:val="24"/>
                <w:szCs w:val="24"/>
                <w:highlight w:val="none"/>
                <w:lang w:val="en-US" w:eastAsia="zh-CN" w:bidi="ar-SA"/>
              </w:rPr>
            </w:pPr>
          </w:p>
        </w:tc>
        <w:tc>
          <w:tcPr>
            <w:tcW w:w="1377" w:type="dxa"/>
            <w:tcBorders>
              <w:tl2br w:val="nil"/>
              <w:tr2bl w:val="nil"/>
            </w:tcBorders>
            <w:noWrap w:val="0"/>
            <w:vAlign w:val="center"/>
          </w:tcPr>
          <w:p w14:paraId="2B1E62C0">
            <w:pPr>
              <w:keepNext w:val="0"/>
              <w:keepLines w:val="0"/>
              <w:widowControl/>
              <w:suppressLineNumbers w:val="0"/>
              <w:tabs>
                <w:tab w:val="left" w:pos="1800"/>
                <w:tab w:val="left" w:pos="5580"/>
              </w:tabs>
              <w:spacing w:before="0" w:beforeAutospacing="0" w:afterAutospacing="0" w:line="240" w:lineRule="atLeast"/>
              <w:ind w:left="0" w:right="-867" w:rightChars="-413"/>
              <w:rPr>
                <w:rFonts w:hint="eastAsia" w:ascii="宋体" w:hAnsi="Times New Roman" w:eastAsia="宋体" w:cstheme="minorBidi"/>
                <w:kern w:val="2"/>
                <w:sz w:val="24"/>
                <w:szCs w:val="24"/>
                <w:highlight w:val="none"/>
                <w:lang w:val="en-US" w:eastAsia="zh-CN" w:bidi="ar-SA"/>
              </w:rPr>
            </w:pPr>
          </w:p>
        </w:tc>
        <w:tc>
          <w:tcPr>
            <w:tcW w:w="1408" w:type="dxa"/>
            <w:tcBorders>
              <w:tl2br w:val="nil"/>
              <w:tr2bl w:val="nil"/>
            </w:tcBorders>
            <w:noWrap w:val="0"/>
            <w:vAlign w:val="center"/>
          </w:tcPr>
          <w:p w14:paraId="102684E5">
            <w:pPr>
              <w:keepNext w:val="0"/>
              <w:keepLines w:val="0"/>
              <w:widowControl/>
              <w:suppressLineNumbers w:val="0"/>
              <w:tabs>
                <w:tab w:val="left" w:pos="1800"/>
                <w:tab w:val="left" w:pos="5580"/>
              </w:tabs>
              <w:spacing w:before="0" w:beforeAutospacing="0" w:afterAutospacing="0" w:line="240" w:lineRule="atLeast"/>
              <w:ind w:left="0" w:right="-867" w:rightChars="-413"/>
              <w:rPr>
                <w:rFonts w:hint="eastAsia" w:ascii="宋体" w:hAnsi="Times New Roman" w:eastAsia="宋体" w:cstheme="minorBidi"/>
                <w:kern w:val="2"/>
                <w:sz w:val="24"/>
                <w:szCs w:val="24"/>
                <w:highlight w:val="none"/>
                <w:lang w:val="en-US" w:eastAsia="zh-CN" w:bidi="ar-SA"/>
              </w:rPr>
            </w:pPr>
          </w:p>
        </w:tc>
        <w:tc>
          <w:tcPr>
            <w:tcW w:w="1097" w:type="dxa"/>
            <w:tcBorders>
              <w:tl2br w:val="nil"/>
              <w:tr2bl w:val="nil"/>
            </w:tcBorders>
            <w:noWrap w:val="0"/>
            <w:vAlign w:val="center"/>
          </w:tcPr>
          <w:p w14:paraId="4CEC01AF">
            <w:pPr>
              <w:keepNext w:val="0"/>
              <w:keepLines w:val="0"/>
              <w:widowControl/>
              <w:suppressLineNumbers w:val="0"/>
              <w:tabs>
                <w:tab w:val="left" w:pos="1800"/>
                <w:tab w:val="left" w:pos="5580"/>
              </w:tabs>
              <w:spacing w:before="0" w:beforeAutospacing="0" w:afterAutospacing="0" w:line="240" w:lineRule="atLeast"/>
              <w:ind w:left="0" w:right="-867" w:rightChars="-413"/>
              <w:rPr>
                <w:rFonts w:hint="eastAsia" w:ascii="宋体" w:hAnsi="Times New Roman" w:eastAsia="宋体" w:cstheme="minorBidi"/>
                <w:kern w:val="2"/>
                <w:sz w:val="24"/>
                <w:szCs w:val="24"/>
                <w:highlight w:val="none"/>
                <w:lang w:val="en-US" w:eastAsia="zh-CN" w:bidi="ar-SA"/>
              </w:rPr>
            </w:pPr>
          </w:p>
        </w:tc>
      </w:tr>
    </w:tbl>
    <w:p w14:paraId="219CA4ED">
      <w:pPr>
        <w:pStyle w:val="20"/>
        <w:keepNext w:val="0"/>
        <w:keepLines w:val="0"/>
        <w:pageBreakBefore w:val="0"/>
        <w:widowControl w:val="0"/>
        <w:kinsoku/>
        <w:wordWrap/>
        <w:overflowPunct/>
        <w:topLinePunct w:val="0"/>
        <w:autoSpaceDE/>
        <w:autoSpaceDN/>
        <w:bidi w:val="0"/>
        <w:adjustRightInd/>
        <w:snapToGrid w:val="0"/>
        <w:spacing w:line="240" w:lineRule="auto"/>
        <w:ind w:firstLine="240" w:firstLineChars="100"/>
        <w:jc w:val="both"/>
        <w:textAlignment w:val="baseline"/>
        <w:rPr>
          <w:rFonts w:hint="eastAsia" w:ascii="宋体" w:hAnsi="Times New Roman" w:eastAsia="宋体" w:cstheme="minorBidi"/>
          <w:kern w:val="2"/>
          <w:sz w:val="24"/>
          <w:szCs w:val="24"/>
          <w:highlight w:val="none"/>
          <w:lang w:val="en-US" w:eastAsia="zh-CN" w:bidi="ar-SA"/>
        </w:rPr>
      </w:pPr>
    </w:p>
    <w:p w14:paraId="64913EDD">
      <w:pPr>
        <w:pStyle w:val="20"/>
        <w:keepNext w:val="0"/>
        <w:keepLines w:val="0"/>
        <w:pageBreakBefore w:val="0"/>
        <w:widowControl w:val="0"/>
        <w:kinsoku/>
        <w:wordWrap/>
        <w:overflowPunct/>
        <w:topLinePunct w:val="0"/>
        <w:autoSpaceDE/>
        <w:autoSpaceDN/>
        <w:bidi w:val="0"/>
        <w:adjustRightInd/>
        <w:snapToGrid w:val="0"/>
        <w:spacing w:line="240" w:lineRule="auto"/>
        <w:ind w:firstLine="240" w:firstLineChars="100"/>
        <w:jc w:val="both"/>
        <w:textAlignment w:val="baseline"/>
        <w:rPr>
          <w:rFonts w:hint="eastAsia" w:ascii="宋体" w:hAnsi="Times New Roman" w:eastAsia="宋体" w:cstheme="minorBidi"/>
          <w:kern w:val="2"/>
          <w:sz w:val="24"/>
          <w:szCs w:val="24"/>
          <w:highlight w:val="none"/>
          <w:lang w:val="en-US" w:eastAsia="zh-CN" w:bidi="ar-SA"/>
        </w:rPr>
      </w:pPr>
      <w:r>
        <w:rPr>
          <w:rFonts w:hint="eastAsia" w:ascii="宋体" w:hAnsi="Times New Roman" w:eastAsia="宋体" w:cstheme="minorBidi"/>
          <w:kern w:val="2"/>
          <w:sz w:val="24"/>
          <w:szCs w:val="24"/>
          <w:highlight w:val="none"/>
          <w:lang w:val="en-US" w:eastAsia="zh-CN" w:bidi="ar-SA"/>
        </w:rPr>
        <w:t>注：</w:t>
      </w:r>
    </w:p>
    <w:p w14:paraId="6E7AF0BE">
      <w:pPr>
        <w:pStyle w:val="20"/>
        <w:keepNext w:val="0"/>
        <w:keepLines w:val="0"/>
        <w:pageBreakBefore w:val="0"/>
        <w:widowControl w:val="0"/>
        <w:numPr>
          <w:ilvl w:val="0"/>
          <w:numId w:val="7"/>
        </w:numPr>
        <w:kinsoku/>
        <w:wordWrap/>
        <w:overflowPunct/>
        <w:topLinePunct w:val="0"/>
        <w:autoSpaceDE/>
        <w:autoSpaceDN/>
        <w:bidi w:val="0"/>
        <w:adjustRightInd/>
        <w:snapToGrid w:val="0"/>
        <w:spacing w:line="240" w:lineRule="auto"/>
        <w:ind w:firstLine="240" w:firstLineChars="100"/>
        <w:textAlignment w:val="baseline"/>
        <w:rPr>
          <w:rFonts w:hint="eastAsia" w:ascii="宋体" w:hAnsi="Times New Roman" w:eastAsia="宋体" w:cstheme="minorBidi"/>
          <w:kern w:val="2"/>
          <w:sz w:val="24"/>
          <w:szCs w:val="24"/>
          <w:highlight w:val="none"/>
          <w:lang w:val="en-US" w:eastAsia="zh-CN" w:bidi="ar-SA"/>
        </w:rPr>
      </w:pPr>
      <w:r>
        <w:rPr>
          <w:rFonts w:hint="eastAsia" w:ascii="宋体" w:hAnsi="Times New Roman" w:eastAsia="宋体" w:cstheme="minorBidi"/>
          <w:kern w:val="2"/>
          <w:sz w:val="24"/>
          <w:szCs w:val="24"/>
          <w:highlight w:val="none"/>
          <w:lang w:val="en-US" w:eastAsia="zh-CN" w:bidi="ar-SA"/>
        </w:rPr>
        <w:t>“开标一览表”中的投标总价应和投标分项报价表的总价相一致，包含招标文件中规定的所有采购货物且数量一致，报价应是最终用户验收合格后的总价，包括货物运输、保险、代理、安装调试、培训、税费及提供服务产生的一切费用等与本项目有关的一切费用。</w:t>
      </w:r>
      <w:bookmarkStart w:id="677" w:name="_Toc32608"/>
      <w:bookmarkStart w:id="678" w:name="_Toc31653"/>
      <w:bookmarkStart w:id="679" w:name="_Toc2616"/>
      <w:bookmarkStart w:id="680" w:name="_Toc4333"/>
      <w:bookmarkStart w:id="681" w:name="_Toc677"/>
      <w:bookmarkStart w:id="682" w:name="_Toc13226"/>
    </w:p>
    <w:p w14:paraId="3BCDB2D8">
      <w:pPr>
        <w:pStyle w:val="20"/>
        <w:keepNext w:val="0"/>
        <w:keepLines w:val="0"/>
        <w:pageBreakBefore w:val="0"/>
        <w:widowControl w:val="0"/>
        <w:numPr>
          <w:ilvl w:val="0"/>
          <w:numId w:val="7"/>
        </w:numPr>
        <w:kinsoku/>
        <w:wordWrap/>
        <w:overflowPunct/>
        <w:topLinePunct w:val="0"/>
        <w:autoSpaceDE/>
        <w:autoSpaceDN/>
        <w:bidi w:val="0"/>
        <w:adjustRightInd/>
        <w:snapToGrid w:val="0"/>
        <w:spacing w:line="240" w:lineRule="auto"/>
        <w:ind w:left="0" w:leftChars="0" w:firstLine="240" w:firstLineChars="100"/>
        <w:textAlignment w:val="baseline"/>
        <w:rPr>
          <w:rFonts w:hint="eastAsia" w:ascii="宋体" w:hAnsi="Times New Roman" w:eastAsia="宋体" w:cstheme="minorBidi"/>
          <w:color w:val="auto"/>
          <w:kern w:val="2"/>
          <w:sz w:val="24"/>
          <w:szCs w:val="24"/>
          <w:highlight w:val="none"/>
          <w:lang w:val="en-US" w:eastAsia="zh-CN" w:bidi="ar-SA"/>
        </w:rPr>
      </w:pPr>
      <w:r>
        <w:rPr>
          <w:rFonts w:hint="eastAsia" w:ascii="宋体" w:hAnsi="Times New Roman" w:eastAsia="宋体" w:cstheme="minorBidi"/>
          <w:color w:val="auto"/>
          <w:kern w:val="2"/>
          <w:sz w:val="24"/>
          <w:szCs w:val="24"/>
          <w:highlight w:val="none"/>
          <w:lang w:val="en-US" w:eastAsia="zh-CN" w:bidi="ar-SA"/>
        </w:rPr>
        <w:t>“开标一览表”为多页的，每页均需加盖投标人公章。</w:t>
      </w:r>
      <w:bookmarkEnd w:id="677"/>
      <w:bookmarkEnd w:id="678"/>
      <w:bookmarkEnd w:id="679"/>
      <w:bookmarkEnd w:id="680"/>
      <w:bookmarkEnd w:id="681"/>
      <w:bookmarkEnd w:id="682"/>
      <w:bookmarkStart w:id="683" w:name="_Toc29899"/>
      <w:bookmarkStart w:id="684" w:name="_Toc17577"/>
      <w:bookmarkStart w:id="685" w:name="_Toc608"/>
      <w:bookmarkStart w:id="686" w:name="_Toc515647805"/>
    </w:p>
    <w:p w14:paraId="26346366">
      <w:pPr>
        <w:pStyle w:val="20"/>
        <w:keepNext w:val="0"/>
        <w:keepLines w:val="0"/>
        <w:pageBreakBefore w:val="0"/>
        <w:widowControl w:val="0"/>
        <w:numPr>
          <w:ilvl w:val="0"/>
          <w:numId w:val="7"/>
        </w:numPr>
        <w:kinsoku/>
        <w:wordWrap/>
        <w:overflowPunct/>
        <w:topLinePunct w:val="0"/>
        <w:autoSpaceDE/>
        <w:autoSpaceDN/>
        <w:bidi w:val="0"/>
        <w:adjustRightInd/>
        <w:snapToGrid w:val="0"/>
        <w:spacing w:line="240" w:lineRule="auto"/>
        <w:ind w:left="0" w:leftChars="0" w:firstLine="240" w:firstLineChars="100"/>
        <w:textAlignment w:val="baseline"/>
        <w:rPr>
          <w:rFonts w:hint="eastAsia" w:ascii="仿宋" w:hAnsi="仿宋" w:eastAsia="仿宋" w:cs="仿宋"/>
          <w:b/>
          <w:bCs/>
          <w:snapToGrid w:val="0"/>
          <w:color w:val="FF0000"/>
          <w:kern w:val="2"/>
          <w:sz w:val="24"/>
          <w:szCs w:val="24"/>
          <w:highlight w:val="none"/>
          <w:u w:val="none"/>
          <w:lang w:val="en-US" w:eastAsia="zh-CN" w:bidi="ar-SA"/>
        </w:rPr>
      </w:pPr>
      <w:r>
        <w:rPr>
          <w:rFonts w:hint="eastAsia" w:ascii="宋体" w:hAnsi="Times New Roman" w:eastAsia="宋体" w:cstheme="minorBidi"/>
          <w:color w:val="auto"/>
          <w:kern w:val="2"/>
          <w:sz w:val="24"/>
          <w:szCs w:val="24"/>
          <w:highlight w:val="none"/>
          <w:lang w:val="en-US" w:eastAsia="zh-CN" w:bidi="ar-SA"/>
        </w:rPr>
        <w:t>如评标委员会认为投标人的报价明显低于其他通过符合性检查投标人的报价，有可能影响履约的，且投标人未按照规定证明其报价合理性的；必须提供报价成本及合理利润分析</w:t>
      </w:r>
      <w:r>
        <w:rPr>
          <w:rFonts w:hint="eastAsia" w:ascii="宋体" w:hAnsi="Times New Roman" w:eastAsia="宋体" w:cstheme="minorBidi"/>
          <w:kern w:val="2"/>
          <w:sz w:val="24"/>
          <w:szCs w:val="24"/>
          <w:highlight w:val="none"/>
          <w:lang w:val="en-US" w:eastAsia="zh-CN" w:bidi="ar-SA"/>
        </w:rPr>
        <w:t>说明，否则投标无效。</w:t>
      </w:r>
    </w:p>
    <w:p w14:paraId="7194B93D">
      <w:pPr>
        <w:keepNext w:val="0"/>
        <w:keepLines w:val="0"/>
        <w:pageBreakBefore w:val="0"/>
        <w:widowControl w:val="0"/>
        <w:kinsoku/>
        <w:wordWrap/>
        <w:overflowPunct/>
        <w:topLinePunct w:val="0"/>
        <w:autoSpaceDE/>
        <w:autoSpaceDN/>
        <w:bidi w:val="0"/>
        <w:adjustRightInd/>
        <w:spacing w:line="120" w:lineRule="auto"/>
        <w:ind w:firstLine="480" w:firstLineChars="200"/>
        <w:jc w:val="left"/>
        <w:rPr>
          <w:rFonts w:ascii="宋体"/>
          <w:sz w:val="24"/>
          <w:highlight w:val="none"/>
          <w:lang w:val="zh-CN"/>
        </w:rPr>
      </w:pPr>
      <w:r>
        <w:rPr>
          <w:rFonts w:hint="eastAsia" w:ascii="宋体"/>
          <w:sz w:val="24"/>
          <w:highlight w:val="none"/>
          <w:lang w:val="zh-CN"/>
        </w:rPr>
        <w:t>供应商名称（公章）：</w:t>
      </w:r>
    </w:p>
    <w:p w14:paraId="4A8665B0">
      <w:pPr>
        <w:keepNext w:val="0"/>
        <w:keepLines w:val="0"/>
        <w:pageBreakBefore w:val="0"/>
        <w:widowControl w:val="0"/>
        <w:kinsoku/>
        <w:wordWrap/>
        <w:overflowPunct/>
        <w:topLinePunct w:val="0"/>
        <w:autoSpaceDE/>
        <w:autoSpaceDN/>
        <w:bidi w:val="0"/>
        <w:adjustRightInd/>
        <w:spacing w:line="120" w:lineRule="auto"/>
        <w:ind w:firstLine="480" w:firstLineChars="200"/>
        <w:jc w:val="left"/>
        <w:rPr>
          <w:rFonts w:ascii="宋体"/>
          <w:sz w:val="24"/>
          <w:highlight w:val="none"/>
          <w:u w:val="single"/>
          <w:lang w:val="zh-CN"/>
        </w:rPr>
      </w:pPr>
      <w:r>
        <w:rPr>
          <w:rFonts w:hint="eastAsia" w:ascii="宋体"/>
          <w:sz w:val="24"/>
          <w:highlight w:val="none"/>
          <w:lang w:val="zh-CN"/>
        </w:rPr>
        <w:t>法定代表人或其授权代表（签字或盖章）：</w:t>
      </w:r>
    </w:p>
    <w:p w14:paraId="6FC2505F">
      <w:pPr>
        <w:keepNext w:val="0"/>
        <w:keepLines w:val="0"/>
        <w:pageBreakBefore w:val="0"/>
        <w:widowControl w:val="0"/>
        <w:kinsoku/>
        <w:wordWrap/>
        <w:overflowPunct/>
        <w:topLinePunct w:val="0"/>
        <w:autoSpaceDE/>
        <w:autoSpaceDN/>
        <w:bidi w:val="0"/>
        <w:adjustRightInd/>
        <w:spacing w:line="120" w:lineRule="auto"/>
        <w:ind w:firstLine="480" w:firstLineChars="200"/>
        <w:jc w:val="left"/>
        <w:rPr>
          <w:highlight w:val="none"/>
        </w:rPr>
      </w:pPr>
      <w:r>
        <w:rPr>
          <w:rFonts w:hint="eastAsia" w:ascii="宋体"/>
          <w:sz w:val="24"/>
          <w:highlight w:val="none"/>
          <w:lang w:val="zh-CN"/>
        </w:rPr>
        <w:t>日期：</w:t>
      </w:r>
      <w:r>
        <w:rPr>
          <w:rFonts w:hint="eastAsia" w:ascii="宋体"/>
          <w:sz w:val="24"/>
          <w:highlight w:val="none"/>
          <w:lang w:val="en-US" w:eastAsia="zh-CN"/>
        </w:rPr>
        <w:t xml:space="preserve">    </w:t>
      </w:r>
      <w:r>
        <w:rPr>
          <w:rFonts w:hint="eastAsia" w:ascii="宋体"/>
          <w:sz w:val="24"/>
          <w:highlight w:val="none"/>
          <w:lang w:val="zh-CN"/>
        </w:rPr>
        <w:t>年</w:t>
      </w:r>
      <w:r>
        <w:rPr>
          <w:rFonts w:hint="eastAsia" w:ascii="宋体"/>
          <w:sz w:val="24"/>
          <w:highlight w:val="none"/>
          <w:lang w:val="en-US" w:eastAsia="zh-CN"/>
        </w:rPr>
        <w:t xml:space="preserve">   </w:t>
      </w:r>
      <w:r>
        <w:rPr>
          <w:rFonts w:hint="eastAsia" w:ascii="宋体"/>
          <w:sz w:val="24"/>
          <w:highlight w:val="none"/>
          <w:lang w:val="zh-CN"/>
        </w:rPr>
        <w:t>月</w:t>
      </w:r>
      <w:r>
        <w:rPr>
          <w:rFonts w:hint="eastAsia" w:ascii="宋体"/>
          <w:sz w:val="24"/>
          <w:highlight w:val="none"/>
          <w:lang w:val="en-US" w:eastAsia="zh-CN"/>
        </w:rPr>
        <w:t xml:space="preserve">  </w:t>
      </w:r>
      <w:r>
        <w:rPr>
          <w:rFonts w:hint="eastAsia" w:ascii="宋体"/>
          <w:sz w:val="24"/>
          <w:highlight w:val="none"/>
          <w:lang w:val="zh-CN"/>
        </w:rPr>
        <w:t>日</w:t>
      </w:r>
    </w:p>
    <w:p w14:paraId="1ECE66D0">
      <w:pPr>
        <w:keepNext w:val="0"/>
        <w:keepLines w:val="0"/>
        <w:pageBreakBefore w:val="0"/>
        <w:widowControl w:val="0"/>
        <w:wordWrap/>
        <w:overflowPunct/>
        <w:topLinePunct w:val="0"/>
        <w:bidi w:val="0"/>
        <w:rPr>
          <w:highlight w:val="none"/>
        </w:rPr>
      </w:pPr>
    </w:p>
    <w:p w14:paraId="272C5C9F">
      <w:pPr>
        <w:rPr>
          <w:rFonts w:hint="eastAsia" w:ascii="仿宋_GB2312" w:hAnsi="仿宋_GB2312" w:eastAsia="仿宋_GB2312" w:cs="仿宋_GB2312"/>
          <w:highlight w:val="none"/>
          <w:u w:val="none"/>
        </w:rPr>
      </w:pPr>
      <w:bookmarkStart w:id="687" w:name="_Toc18028"/>
      <w:bookmarkStart w:id="688" w:name="_Toc12928"/>
      <w:bookmarkStart w:id="689" w:name="_Toc2685"/>
      <w:bookmarkStart w:id="690" w:name="_Toc22243"/>
      <w:bookmarkStart w:id="691" w:name="_Toc6477"/>
      <w:bookmarkStart w:id="692" w:name="_Toc14381"/>
      <w:bookmarkStart w:id="693" w:name="_Toc3097"/>
      <w:bookmarkStart w:id="694" w:name="_Toc18666"/>
      <w:bookmarkStart w:id="695" w:name="_Toc9524"/>
      <w:bookmarkStart w:id="696" w:name="_Toc18942"/>
      <w:r>
        <w:rPr>
          <w:rFonts w:hint="eastAsia" w:ascii="仿宋_GB2312" w:hAnsi="仿宋_GB2312" w:eastAsia="仿宋_GB2312" w:cs="仿宋_GB2312"/>
          <w:highlight w:val="none"/>
          <w:u w:val="none"/>
        </w:rPr>
        <w:br w:type="page"/>
      </w:r>
    </w:p>
    <w:p w14:paraId="3CD73176">
      <w:pPr>
        <w:pStyle w:val="4"/>
        <w:keepNext w:val="0"/>
        <w:keepLines w:val="0"/>
        <w:pageBreakBefore w:val="0"/>
        <w:widowControl w:val="0"/>
        <w:wordWrap/>
        <w:overflowPunct/>
        <w:topLinePunct w:val="0"/>
        <w:bidi w:val="0"/>
        <w:spacing w:before="0" w:after="0" w:line="288" w:lineRule="auto"/>
        <w:ind w:left="1078" w:leftChars="257" w:hanging="539"/>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u w:val="none"/>
        </w:rPr>
        <w:t>2法人或者非法人组织的营业执照等证明文件</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14:paraId="197BE0C2">
      <w:pPr>
        <w:pStyle w:val="13"/>
        <w:keepNext w:val="0"/>
        <w:keepLines w:val="0"/>
        <w:pageBreakBefore w:val="0"/>
        <w:widowControl w:val="0"/>
        <w:tabs>
          <w:tab w:val="left" w:pos="5580"/>
        </w:tabs>
        <w:wordWrap/>
        <w:overflowPunct/>
        <w:topLinePunct w:val="0"/>
        <w:bidi w:val="0"/>
        <w:spacing w:line="240" w:lineRule="atLeast"/>
        <w:ind w:left="1079" w:leftChars="257" w:hanging="540"/>
        <w:rPr>
          <w:rFonts w:hint="eastAsia" w:ascii="仿宋_GB2312" w:hAnsi="宋体" w:eastAsia="仿宋_GB2312"/>
          <w:sz w:val="24"/>
          <w:highlight w:val="none"/>
        </w:rPr>
      </w:pPr>
      <w:r>
        <w:rPr>
          <w:rFonts w:hint="eastAsia" w:ascii="仿宋_GB2312" w:hAnsi="仿宋_GB2312" w:eastAsia="仿宋_GB2312" w:cs="仿宋_GB2312"/>
          <w:sz w:val="24"/>
          <w:highlight w:val="none"/>
        </w:rPr>
        <w:t>说明：</w:t>
      </w:r>
      <w:r>
        <w:rPr>
          <w:rFonts w:hint="eastAsia" w:ascii="仿宋_GB2312" w:hAnsi="宋体" w:eastAsia="仿宋_GB2312"/>
          <w:sz w:val="24"/>
          <w:highlight w:val="none"/>
        </w:rPr>
        <w:t>1.提供有效的营业执照等证明文件复印件，复印件上应加盖本单位章。</w:t>
      </w:r>
    </w:p>
    <w:p w14:paraId="64C7FA42">
      <w:pPr>
        <w:pStyle w:val="13"/>
        <w:keepNext w:val="0"/>
        <w:keepLines w:val="0"/>
        <w:pageBreakBefore w:val="0"/>
        <w:widowControl w:val="0"/>
        <w:tabs>
          <w:tab w:val="left" w:pos="5580"/>
        </w:tabs>
        <w:wordWrap/>
        <w:overflowPunct/>
        <w:topLinePunct w:val="0"/>
        <w:bidi w:val="0"/>
        <w:spacing w:line="240" w:lineRule="atLeast"/>
        <w:ind w:left="1079" w:leftChars="257" w:hanging="540"/>
        <w:rPr>
          <w:rFonts w:hint="eastAsia" w:ascii="仿宋_GB2312" w:hAnsi="宋体" w:eastAsia="仿宋_GB2312"/>
          <w:sz w:val="24"/>
          <w:highlight w:val="none"/>
        </w:rPr>
      </w:pPr>
      <w:r>
        <w:rPr>
          <w:rFonts w:hint="eastAsia" w:ascii="仿宋_GB2312" w:hAnsi="宋体" w:eastAsia="仿宋_GB2312"/>
          <w:sz w:val="24"/>
          <w:highlight w:val="none"/>
        </w:rPr>
        <w:t>2.投标人为自然人的，应提供身份证明的复印件。</w:t>
      </w:r>
    </w:p>
    <w:p w14:paraId="1196F507">
      <w:pPr>
        <w:pStyle w:val="13"/>
        <w:keepNext w:val="0"/>
        <w:keepLines w:val="0"/>
        <w:pageBreakBefore w:val="0"/>
        <w:widowControl w:val="0"/>
        <w:tabs>
          <w:tab w:val="left" w:pos="5580"/>
        </w:tabs>
        <w:wordWrap/>
        <w:overflowPunct/>
        <w:topLinePunct w:val="0"/>
        <w:bidi w:val="0"/>
        <w:spacing w:line="240" w:lineRule="atLeast"/>
        <w:ind w:left="1079" w:leftChars="257" w:hanging="540"/>
        <w:rPr>
          <w:rFonts w:hint="eastAsia" w:ascii="仿宋_GB2312" w:hAnsi="宋体" w:eastAsia="仿宋_GB2312"/>
          <w:sz w:val="24"/>
          <w:highlight w:val="none"/>
        </w:rPr>
      </w:pPr>
      <w:r>
        <w:rPr>
          <w:rFonts w:hint="eastAsia" w:ascii="仿宋_GB2312" w:hAnsi="宋体" w:eastAsia="仿宋_GB2312"/>
          <w:sz w:val="24"/>
          <w:highlight w:val="none"/>
        </w:rPr>
        <w:t>3.联合体投标应提供联合体各方满足以上要求的证明文件。</w:t>
      </w:r>
    </w:p>
    <w:p w14:paraId="3E5D300A">
      <w:pPr>
        <w:pStyle w:val="22"/>
        <w:keepNext w:val="0"/>
        <w:keepLines w:val="0"/>
        <w:pageBreakBefore w:val="0"/>
        <w:widowControl w:val="0"/>
        <w:wordWrap/>
        <w:overflowPunct/>
        <w:topLinePunct w:val="0"/>
        <w:bidi w:val="0"/>
        <w:rPr>
          <w:rFonts w:hint="eastAsia"/>
          <w:highlight w:val="none"/>
        </w:rPr>
      </w:pPr>
    </w:p>
    <w:p w14:paraId="5EB96A74">
      <w:pPr>
        <w:pStyle w:val="4"/>
        <w:keepNext w:val="0"/>
        <w:keepLines w:val="0"/>
        <w:pageBreakBefore w:val="0"/>
        <w:widowControl w:val="0"/>
        <w:wordWrap/>
        <w:overflowPunct/>
        <w:topLinePunct w:val="0"/>
        <w:bidi w:val="0"/>
        <w:spacing w:before="0" w:after="0" w:line="288" w:lineRule="auto"/>
        <w:ind w:left="1078" w:leftChars="257" w:hanging="539"/>
        <w:jc w:val="center"/>
        <w:rPr>
          <w:rFonts w:hint="eastAsia" w:ascii="仿宋_GB2312" w:hAnsi="仿宋_GB2312" w:eastAsia="仿宋_GB2312" w:cs="仿宋_GB2312"/>
          <w:sz w:val="24"/>
          <w:highlight w:val="none"/>
        </w:rPr>
      </w:pPr>
      <w:bookmarkStart w:id="697" w:name="_Toc29158"/>
      <w:bookmarkStart w:id="698" w:name="_Toc21673"/>
      <w:bookmarkStart w:id="699" w:name="_Toc28076"/>
      <w:bookmarkStart w:id="700" w:name="_Toc26563"/>
      <w:bookmarkStart w:id="701" w:name="_Toc12767"/>
      <w:bookmarkStart w:id="702" w:name="_Toc31591"/>
      <w:bookmarkStart w:id="703" w:name="_Toc3865"/>
      <w:bookmarkStart w:id="704" w:name="_Toc23004_WPSOffice_Level2"/>
      <w:bookmarkStart w:id="705" w:name="_Toc1578"/>
      <w:bookmarkStart w:id="706" w:name="_Toc13066"/>
      <w:bookmarkStart w:id="707" w:name="_Toc3498"/>
      <w:bookmarkStart w:id="708" w:name="_Toc26259"/>
      <w:bookmarkStart w:id="709" w:name="_Toc25159"/>
      <w:r>
        <w:rPr>
          <w:rFonts w:hint="eastAsia" w:ascii="仿宋_GB2312" w:hAnsi="仿宋_GB2312" w:eastAsia="仿宋_GB2312" w:cs="仿宋_GB2312"/>
          <w:highlight w:val="none"/>
          <w:u w:val="none"/>
        </w:rPr>
        <w:t>3法定代表人身份证明</w:t>
      </w:r>
      <w:bookmarkEnd w:id="697"/>
      <w:bookmarkEnd w:id="698"/>
      <w:bookmarkEnd w:id="699"/>
      <w:bookmarkEnd w:id="700"/>
      <w:bookmarkEnd w:id="701"/>
      <w:bookmarkEnd w:id="702"/>
      <w:bookmarkEnd w:id="703"/>
      <w:bookmarkEnd w:id="704"/>
      <w:bookmarkEnd w:id="705"/>
      <w:bookmarkEnd w:id="706"/>
      <w:bookmarkEnd w:id="707"/>
      <w:bookmarkEnd w:id="708"/>
      <w:bookmarkEnd w:id="709"/>
    </w:p>
    <w:p w14:paraId="3ABF525C">
      <w:pPr>
        <w:keepNext w:val="0"/>
        <w:keepLines w:val="0"/>
        <w:pageBreakBefore w:val="0"/>
        <w:widowControl w:val="0"/>
        <w:wordWrap/>
        <w:overflowPunct/>
        <w:topLinePunct w:val="0"/>
        <w:bidi w:val="0"/>
        <w:spacing w:line="360" w:lineRule="auto"/>
        <w:ind w:firstLine="240" w:firstLineChars="100"/>
        <w:rPr>
          <w:rFonts w:hint="eastAsia" w:ascii="仿宋_GB2312" w:hAnsi="仿宋_GB2312" w:eastAsia="仿宋_GB2312" w:cs="仿宋_GB2312"/>
          <w:sz w:val="24"/>
          <w:szCs w:val="20"/>
          <w:highlight w:val="none"/>
        </w:rPr>
      </w:pPr>
      <w:r>
        <w:rPr>
          <w:rFonts w:hint="eastAsia" w:ascii="仿宋_GB2312" w:hAnsi="仿宋_GB2312" w:eastAsia="仿宋_GB2312" w:cs="仿宋_GB2312"/>
          <w:sz w:val="24"/>
          <w:szCs w:val="20"/>
          <w:highlight w:val="none"/>
        </w:rPr>
        <w:t>同志，现任我单位</w:t>
      </w:r>
      <w:r>
        <w:rPr>
          <w:rFonts w:hint="eastAsia" w:ascii="仿宋_GB2312" w:hAnsi="仿宋_GB2312" w:eastAsia="仿宋_GB2312" w:cs="仿宋_GB2312"/>
          <w:sz w:val="24"/>
          <w:szCs w:val="20"/>
          <w:highlight w:val="none"/>
          <w:u w:val="single" w:color="000000"/>
        </w:rPr>
        <w:t>职</w:t>
      </w:r>
      <w:r>
        <w:rPr>
          <w:rFonts w:hint="eastAsia" w:ascii="仿宋_GB2312" w:hAnsi="仿宋_GB2312" w:eastAsia="仿宋_GB2312" w:cs="仿宋_GB2312"/>
          <w:sz w:val="24"/>
          <w:szCs w:val="20"/>
          <w:highlight w:val="none"/>
        </w:rPr>
        <w:t>务，为法定代表人，特此证明。</w:t>
      </w:r>
    </w:p>
    <w:p w14:paraId="58CE0FE3">
      <w:pPr>
        <w:keepNext w:val="0"/>
        <w:keepLines w:val="0"/>
        <w:pageBreakBefore w:val="0"/>
        <w:widowControl w:val="0"/>
        <w:wordWrap/>
        <w:overflowPunct/>
        <w:topLinePunct w:val="0"/>
        <w:bidi w:val="0"/>
        <w:spacing w:line="360" w:lineRule="auto"/>
        <w:ind w:firstLine="240" w:firstLineChars="100"/>
        <w:rPr>
          <w:rFonts w:hint="eastAsia" w:ascii="仿宋_GB2312" w:hAnsi="仿宋_GB2312" w:eastAsia="仿宋_GB2312" w:cs="仿宋_GB2312"/>
          <w:sz w:val="24"/>
          <w:szCs w:val="20"/>
          <w:highlight w:val="none"/>
          <w:lang w:eastAsia="zh-CN"/>
        </w:rPr>
      </w:pPr>
      <w:r>
        <w:rPr>
          <w:rFonts w:hint="eastAsia" w:ascii="仿宋_GB2312" w:hAnsi="仿宋_GB2312" w:eastAsia="仿宋_GB2312" w:cs="仿宋_GB2312"/>
          <w:sz w:val="24"/>
          <w:szCs w:val="20"/>
          <w:highlight w:val="none"/>
        </w:rPr>
        <w:t>签发日期：</w:t>
      </w:r>
      <w:r>
        <w:rPr>
          <w:rFonts w:hint="eastAsia" w:ascii="仿宋_GB2312" w:hAnsi="仿宋_GB2312" w:eastAsia="仿宋_GB2312" w:cs="仿宋_GB2312"/>
          <w:sz w:val="24"/>
          <w:szCs w:val="20"/>
          <w:highlight w:val="none"/>
          <w:lang w:val="en-US" w:eastAsia="zh-CN"/>
        </w:rPr>
        <w:t xml:space="preserve">                </w:t>
      </w:r>
      <w:r>
        <w:rPr>
          <w:rFonts w:hint="eastAsia" w:ascii="仿宋_GB2312" w:hAnsi="仿宋_GB2312" w:eastAsia="仿宋_GB2312" w:cs="仿宋_GB2312"/>
          <w:sz w:val="24"/>
          <w:szCs w:val="20"/>
          <w:highlight w:val="none"/>
        </w:rPr>
        <w:t>单位：</w:t>
      </w:r>
    </w:p>
    <w:p w14:paraId="3A134A59">
      <w:pPr>
        <w:keepNext w:val="0"/>
        <w:keepLines w:val="0"/>
        <w:pageBreakBefore w:val="0"/>
        <w:widowControl w:val="0"/>
        <w:wordWrap/>
        <w:overflowPunct/>
        <w:topLinePunct w:val="0"/>
        <w:bidi w:val="0"/>
        <w:spacing w:line="360" w:lineRule="auto"/>
        <w:ind w:firstLine="240" w:firstLineChars="100"/>
        <w:rPr>
          <w:rFonts w:hint="eastAsia" w:ascii="仿宋_GB2312" w:hAnsi="仿宋_GB2312" w:eastAsia="仿宋_GB2312" w:cs="仿宋_GB2312"/>
          <w:sz w:val="24"/>
          <w:szCs w:val="20"/>
          <w:highlight w:val="none"/>
        </w:rPr>
      </w:pPr>
      <w:r>
        <w:rPr>
          <w:rFonts w:hint="eastAsia" w:ascii="仿宋_GB2312" w:hAnsi="仿宋_GB2312" w:eastAsia="仿宋_GB2312" w:cs="仿宋_GB2312"/>
          <w:sz w:val="24"/>
          <w:szCs w:val="20"/>
          <w:highlight w:val="none"/>
        </w:rPr>
        <w:t>附：代表人性别：</w:t>
      </w:r>
      <w:r>
        <w:rPr>
          <w:rFonts w:hint="eastAsia" w:ascii="仿宋_GB2312" w:hAnsi="仿宋_GB2312" w:eastAsia="仿宋_GB2312" w:cs="仿宋_GB2312"/>
          <w:sz w:val="24"/>
          <w:szCs w:val="20"/>
          <w:highlight w:val="none"/>
          <w:lang w:val="en-US" w:eastAsia="zh-CN"/>
        </w:rPr>
        <w:t xml:space="preserve">        </w:t>
      </w:r>
      <w:r>
        <w:rPr>
          <w:rFonts w:hint="eastAsia" w:ascii="仿宋_GB2312" w:hAnsi="仿宋_GB2312" w:eastAsia="仿宋_GB2312" w:cs="仿宋_GB2312"/>
          <w:sz w:val="24"/>
          <w:szCs w:val="20"/>
          <w:highlight w:val="none"/>
        </w:rPr>
        <w:t>年龄：</w:t>
      </w:r>
    </w:p>
    <w:p w14:paraId="50617BB8">
      <w:pPr>
        <w:keepNext w:val="0"/>
        <w:keepLines w:val="0"/>
        <w:pageBreakBefore w:val="0"/>
        <w:widowControl w:val="0"/>
        <w:wordWrap/>
        <w:overflowPunct/>
        <w:topLinePunct w:val="0"/>
        <w:bidi w:val="0"/>
        <w:spacing w:line="360" w:lineRule="auto"/>
        <w:ind w:firstLine="240" w:firstLineChars="100"/>
        <w:rPr>
          <w:rFonts w:hint="eastAsia" w:ascii="仿宋_GB2312" w:hAnsi="仿宋_GB2312" w:eastAsia="仿宋_GB2312" w:cs="仿宋_GB2312"/>
          <w:sz w:val="24"/>
          <w:szCs w:val="20"/>
          <w:highlight w:val="none"/>
        </w:rPr>
      </w:pPr>
      <w:r>
        <w:rPr>
          <w:rFonts w:hint="eastAsia" w:ascii="仿宋_GB2312" w:hAnsi="仿宋_GB2312" w:eastAsia="仿宋_GB2312" w:cs="仿宋_GB2312"/>
          <w:sz w:val="24"/>
          <w:szCs w:val="20"/>
          <w:highlight w:val="none"/>
        </w:rPr>
        <w:t>身份证号码：</w:t>
      </w:r>
      <w:r>
        <w:rPr>
          <w:rFonts w:hint="eastAsia" w:ascii="仿宋_GB2312" w:hAnsi="仿宋_GB2312" w:eastAsia="仿宋_GB2312" w:cs="仿宋_GB2312"/>
          <w:sz w:val="24"/>
          <w:szCs w:val="20"/>
          <w:highlight w:val="none"/>
          <w:lang w:val="en-US" w:eastAsia="zh-CN"/>
        </w:rPr>
        <w:t xml:space="preserve">                </w:t>
      </w:r>
      <w:r>
        <w:rPr>
          <w:rFonts w:hint="eastAsia" w:ascii="仿宋_GB2312" w:hAnsi="仿宋_GB2312" w:eastAsia="仿宋_GB2312" w:cs="仿宋_GB2312"/>
          <w:sz w:val="24"/>
          <w:szCs w:val="20"/>
          <w:highlight w:val="none"/>
        </w:rPr>
        <w:t>联系电话：</w:t>
      </w:r>
    </w:p>
    <w:p w14:paraId="1770A5C8">
      <w:pPr>
        <w:keepNext w:val="0"/>
        <w:keepLines w:val="0"/>
        <w:pageBreakBefore w:val="0"/>
        <w:widowControl w:val="0"/>
        <w:wordWrap/>
        <w:overflowPunct/>
        <w:topLinePunct w:val="0"/>
        <w:bidi w:val="0"/>
        <w:spacing w:line="360" w:lineRule="auto"/>
        <w:ind w:firstLine="240" w:firstLineChars="100"/>
        <w:rPr>
          <w:rFonts w:hint="eastAsia" w:ascii="仿宋_GB2312" w:hAnsi="仿宋_GB2312" w:eastAsia="仿宋_GB2312" w:cs="仿宋_GB2312"/>
          <w:sz w:val="24"/>
          <w:szCs w:val="20"/>
          <w:highlight w:val="none"/>
        </w:rPr>
      </w:pPr>
      <w:r>
        <w:rPr>
          <w:rFonts w:hint="eastAsia" w:ascii="仿宋_GB2312" w:hAnsi="仿宋_GB2312" w:eastAsia="仿宋_GB2312" w:cs="仿宋_GB2312"/>
          <w:sz w:val="24"/>
          <w:szCs w:val="20"/>
          <w:highlight w:val="none"/>
        </w:rPr>
        <w:t>营业执照号码：</w:t>
      </w:r>
      <w:r>
        <w:rPr>
          <w:rFonts w:hint="eastAsia" w:ascii="仿宋_GB2312" w:hAnsi="仿宋_GB2312" w:eastAsia="仿宋_GB2312" w:cs="仿宋_GB2312"/>
          <w:sz w:val="24"/>
          <w:szCs w:val="20"/>
          <w:highlight w:val="none"/>
          <w:lang w:val="en-US" w:eastAsia="zh-CN"/>
        </w:rPr>
        <w:t xml:space="preserve">              </w:t>
      </w:r>
      <w:r>
        <w:rPr>
          <w:rFonts w:hint="eastAsia" w:ascii="仿宋_GB2312" w:hAnsi="仿宋_GB2312" w:eastAsia="仿宋_GB2312" w:cs="仿宋_GB2312"/>
          <w:sz w:val="24"/>
          <w:szCs w:val="20"/>
          <w:highlight w:val="none"/>
        </w:rPr>
        <w:t>经济性质：</w:t>
      </w:r>
    </w:p>
    <w:p w14:paraId="1FF9F485">
      <w:pPr>
        <w:keepNext w:val="0"/>
        <w:keepLines w:val="0"/>
        <w:pageBreakBefore w:val="0"/>
        <w:widowControl w:val="0"/>
        <w:wordWrap/>
        <w:overflowPunct/>
        <w:topLinePunct w:val="0"/>
        <w:bidi w:val="0"/>
        <w:spacing w:line="360" w:lineRule="auto"/>
        <w:rPr>
          <w:rFonts w:hint="eastAsia" w:ascii="仿宋_GB2312" w:hAnsi="仿宋_GB2312" w:eastAsia="仿宋_GB2312" w:cs="仿宋_GB2312"/>
          <w:sz w:val="24"/>
          <w:szCs w:val="20"/>
          <w:highlight w:val="none"/>
        </w:rPr>
      </w:pPr>
      <w:r>
        <w:rPr>
          <w:rFonts w:hint="eastAsia" w:ascii="仿宋_GB2312" w:hAnsi="仿宋_GB2312" w:eastAsia="仿宋_GB2312" w:cs="仿宋_GB2312"/>
          <w:sz w:val="24"/>
          <w:szCs w:val="20"/>
          <w:highlight w:val="none"/>
        </w:rPr>
        <w:t>说明：</w:t>
      </w:r>
    </w:p>
    <w:p w14:paraId="1F787DED">
      <w:pPr>
        <w:keepNext w:val="0"/>
        <w:keepLines w:val="0"/>
        <w:pageBreakBefore w:val="0"/>
        <w:widowControl w:val="0"/>
        <w:wordWrap/>
        <w:overflowPunct/>
        <w:topLinePunct w:val="0"/>
        <w:bidi w:val="0"/>
        <w:spacing w:line="360" w:lineRule="auto"/>
        <w:ind w:firstLine="240" w:firstLineChars="100"/>
        <w:rPr>
          <w:rFonts w:hint="eastAsia" w:ascii="仿宋_GB2312" w:hAnsi="仿宋_GB2312" w:eastAsia="仿宋_GB2312" w:cs="仿宋_GB2312"/>
          <w:sz w:val="24"/>
          <w:szCs w:val="20"/>
          <w:highlight w:val="none"/>
        </w:rPr>
      </w:pPr>
      <w:r>
        <w:rPr>
          <w:rFonts w:hint="eastAsia" w:ascii="仿宋_GB2312" w:hAnsi="仿宋_GB2312" w:eastAsia="仿宋_GB2312" w:cs="仿宋_GB2312"/>
          <w:sz w:val="24"/>
          <w:szCs w:val="20"/>
          <w:highlight w:val="none"/>
        </w:rPr>
        <w:t>1、法定代表人为企业事业单位、国家机关、社会团体的主要行政负责人。</w:t>
      </w:r>
    </w:p>
    <w:p w14:paraId="721FB4B3">
      <w:pPr>
        <w:keepNext w:val="0"/>
        <w:keepLines w:val="0"/>
        <w:pageBreakBefore w:val="0"/>
        <w:widowControl w:val="0"/>
        <w:wordWrap/>
        <w:overflowPunct/>
        <w:topLinePunct w:val="0"/>
        <w:bidi w:val="0"/>
        <w:spacing w:line="360" w:lineRule="auto"/>
        <w:rPr>
          <w:rFonts w:hint="eastAsia" w:ascii="仿宋_GB2312" w:hAnsi="仿宋_GB2312" w:eastAsia="仿宋_GB2312" w:cs="仿宋_GB2312"/>
          <w:sz w:val="24"/>
          <w:szCs w:val="20"/>
          <w:highlight w:val="none"/>
        </w:rPr>
      </w:pPr>
      <w:r>
        <w:rPr>
          <w:rFonts w:hint="eastAsia" w:ascii="仿宋_GB2312" w:hAnsi="仿宋_GB2312" w:eastAsia="仿宋_GB2312" w:cs="仿宋_GB2312"/>
          <w:sz w:val="24"/>
          <w:szCs w:val="20"/>
          <w:highlight w:val="none"/>
        </w:rPr>
        <w:t>2、内容必须填写真实、清楚、涂改无效，不得转让。</w:t>
      </w:r>
    </w:p>
    <w:p w14:paraId="060B6BEE">
      <w:pPr>
        <w:keepNext w:val="0"/>
        <w:keepLines w:val="0"/>
        <w:pageBreakBefore w:val="0"/>
        <w:widowControl w:val="0"/>
        <w:wordWrap/>
        <w:overflowPunct/>
        <w:topLinePunct w:val="0"/>
        <w:bidi w:val="0"/>
        <w:spacing w:line="360" w:lineRule="auto"/>
        <w:rPr>
          <w:rFonts w:hint="eastAsia" w:ascii="仿宋_GB2312" w:hAnsi="仿宋_GB2312" w:eastAsia="仿宋_GB2312" w:cs="仿宋_GB2312"/>
          <w:sz w:val="24"/>
          <w:szCs w:val="20"/>
          <w:highlight w:val="none"/>
        </w:rPr>
      </w:pPr>
      <w:r>
        <w:rPr>
          <w:rFonts w:ascii="仿宋_GB2312" w:hAnsi="仿宋_GB2312" w:eastAsia="仿宋_GB2312" w:cs="仿宋_GB2312"/>
          <w:sz w:val="24"/>
          <w:szCs w:val="20"/>
          <w:highlight w:val="none"/>
        </w:rPr>
        <mc:AlternateContent>
          <mc:Choice Requires="wps">
            <w:drawing>
              <wp:anchor distT="0" distB="0" distL="114300" distR="114300" simplePos="0" relativeHeight="251667456" behindDoc="0" locked="0" layoutInCell="1" allowOverlap="1">
                <wp:simplePos x="0" y="0"/>
                <wp:positionH relativeFrom="column">
                  <wp:posOffset>154305</wp:posOffset>
                </wp:positionH>
                <wp:positionV relativeFrom="paragraph">
                  <wp:posOffset>10795</wp:posOffset>
                </wp:positionV>
                <wp:extent cx="2333625" cy="1584325"/>
                <wp:effectExtent l="4445" t="4445" r="5080" b="11430"/>
                <wp:wrapNone/>
                <wp:docPr id="14" name="流程图: 可选过程 14"/>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19F1D249">
                            <w:pPr>
                              <w:jc w:val="center"/>
                              <w:rPr>
                                <w:rFonts w:hint="eastAsia" w:hAnsi="宋体"/>
                                <w:szCs w:val="21"/>
                              </w:rPr>
                            </w:pPr>
                          </w:p>
                          <w:p w14:paraId="134699D9">
                            <w:pPr>
                              <w:jc w:val="center"/>
                              <w:rPr>
                                <w:rFonts w:hint="eastAsia" w:hAnsi="宋体"/>
                                <w:szCs w:val="21"/>
                              </w:rPr>
                            </w:pPr>
                          </w:p>
                          <w:p w14:paraId="22BBEFA9">
                            <w:pPr>
                              <w:jc w:val="center"/>
                              <w:rPr>
                                <w:rFonts w:hint="eastAsia" w:hAnsi="宋体"/>
                                <w:szCs w:val="21"/>
                              </w:rPr>
                            </w:pPr>
                          </w:p>
                          <w:p w14:paraId="40107469">
                            <w:pPr>
                              <w:jc w:val="center"/>
                              <w:rPr>
                                <w:szCs w:val="21"/>
                              </w:rPr>
                            </w:pPr>
                            <w:r>
                              <w:rPr>
                                <w:rFonts w:hint="eastAsia" w:hAnsi="宋体"/>
                                <w:szCs w:val="21"/>
                              </w:rPr>
                              <w:t>法定代表人身份证复印件</w:t>
                            </w:r>
                          </w:p>
                        </w:txbxContent>
                      </wps:txbx>
                      <wps:bodyPr upright="1"/>
                    </wps:wsp>
                  </a:graphicData>
                </a:graphic>
              </wp:anchor>
            </w:drawing>
          </mc:Choice>
          <mc:Fallback>
            <w:pict>
              <v:shape id="_x0000_s1026" o:spid="_x0000_s1026" o:spt="176" type="#_x0000_t176" style="position:absolute;left:0pt;margin-left:12.15pt;margin-top:0.85pt;height:124.75pt;width:183.75pt;z-index:251667456;mso-width-relative:page;mso-height-relative:page;" fillcolor="#FFFFFF" filled="t" stroked="t" coordsize="21600,21600" o:gfxdata="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5WTr11gAAAAgBAAAPAAAAAAAAAAEAIAAAACIAAABkcnMvZG93bnJldi54bWxQSwEC&#10;FAAUAAAACACHTuJAgT5kQy8CAABgBAAADgAAAAAAAAABACAAAAAlAQAAZHJzL2Uyb0RvYy54bWxQ&#10;SwUGAAAAAAYABgBZAQAAxgUAAAAA&#10;">
                <v:fill on="t" focussize="0,0"/>
                <v:stroke color="#000000" joinstyle="miter"/>
                <v:imagedata o:title=""/>
                <o:lock v:ext="edit" aspectratio="f"/>
                <v:textbox>
                  <w:txbxContent>
                    <w:p w14:paraId="19F1D249">
                      <w:pPr>
                        <w:jc w:val="center"/>
                        <w:rPr>
                          <w:rFonts w:hint="eastAsia" w:hAnsi="宋体"/>
                          <w:szCs w:val="21"/>
                        </w:rPr>
                      </w:pPr>
                    </w:p>
                    <w:p w14:paraId="134699D9">
                      <w:pPr>
                        <w:jc w:val="center"/>
                        <w:rPr>
                          <w:rFonts w:hint="eastAsia" w:hAnsi="宋体"/>
                          <w:szCs w:val="21"/>
                        </w:rPr>
                      </w:pPr>
                    </w:p>
                    <w:p w14:paraId="22BBEFA9">
                      <w:pPr>
                        <w:jc w:val="center"/>
                        <w:rPr>
                          <w:rFonts w:hint="eastAsia" w:hAnsi="宋体"/>
                          <w:szCs w:val="21"/>
                        </w:rPr>
                      </w:pPr>
                    </w:p>
                    <w:p w14:paraId="40107469">
                      <w:pPr>
                        <w:jc w:val="center"/>
                        <w:rPr>
                          <w:szCs w:val="21"/>
                        </w:rPr>
                      </w:pPr>
                      <w:r>
                        <w:rPr>
                          <w:rFonts w:hint="eastAsia" w:hAnsi="宋体"/>
                          <w:szCs w:val="21"/>
                        </w:rPr>
                        <w:t>法定代表人身份证复印件</w:t>
                      </w:r>
                    </w:p>
                  </w:txbxContent>
                </v:textbox>
              </v:shape>
            </w:pict>
          </mc:Fallback>
        </mc:AlternateContent>
      </w:r>
      <w:r>
        <w:rPr>
          <w:rFonts w:ascii="仿宋_GB2312" w:hAnsi="仿宋_GB2312" w:eastAsia="仿宋_GB2312" w:cs="仿宋_GB2312"/>
          <w:sz w:val="24"/>
          <w:szCs w:val="20"/>
          <w:highlight w:val="none"/>
        </w:rPr>
        <mc:AlternateContent>
          <mc:Choice Requires="wps">
            <w:drawing>
              <wp:anchor distT="0" distB="0" distL="114300" distR="114300" simplePos="0" relativeHeight="251668480" behindDoc="0" locked="0" layoutInCell="1" allowOverlap="1">
                <wp:simplePos x="0" y="0"/>
                <wp:positionH relativeFrom="column">
                  <wp:posOffset>2918460</wp:posOffset>
                </wp:positionH>
                <wp:positionV relativeFrom="paragraph">
                  <wp:posOffset>28575</wp:posOffset>
                </wp:positionV>
                <wp:extent cx="2609850" cy="1557020"/>
                <wp:effectExtent l="7620" t="7620" r="11430" b="16510"/>
                <wp:wrapNone/>
                <wp:docPr id="15" name="圆角矩形 15"/>
                <wp:cNvGraphicFramePr/>
                <a:graphic xmlns:a="http://schemas.openxmlformats.org/drawingml/2006/main">
                  <a:graphicData uri="http://schemas.microsoft.com/office/word/2010/wordprocessingShape">
                    <wps:wsp>
                      <wps:cNvSpPr/>
                      <wps:spPr>
                        <a:xfrm>
                          <a:off x="0" y="0"/>
                          <a:ext cx="2609850" cy="1557020"/>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14:paraId="55403C46">
                            <w:pPr>
                              <w:jc w:val="center"/>
                              <w:rPr>
                                <w:rFonts w:hint="eastAsia" w:hAnsi="宋体"/>
                                <w:szCs w:val="21"/>
                              </w:rPr>
                            </w:pPr>
                          </w:p>
                          <w:p w14:paraId="60AAF892">
                            <w:pPr>
                              <w:jc w:val="center"/>
                              <w:rPr>
                                <w:rFonts w:hint="eastAsia" w:hAnsi="宋体"/>
                                <w:szCs w:val="21"/>
                              </w:rPr>
                            </w:pPr>
                          </w:p>
                          <w:p w14:paraId="650EBA36">
                            <w:pPr>
                              <w:jc w:val="center"/>
                              <w:rPr>
                                <w:rFonts w:hint="eastAsia" w:hAnsi="宋体"/>
                                <w:szCs w:val="21"/>
                              </w:rPr>
                            </w:pPr>
                          </w:p>
                          <w:p w14:paraId="74E67B7D">
                            <w:pPr>
                              <w:jc w:val="center"/>
                              <w:rPr>
                                <w:szCs w:val="21"/>
                              </w:rPr>
                            </w:pPr>
                            <w:r>
                              <w:rPr>
                                <w:rFonts w:hint="eastAsia" w:hAnsi="宋体"/>
                                <w:szCs w:val="21"/>
                              </w:rPr>
                              <w:t>法人身份证复印件反面</w:t>
                            </w:r>
                          </w:p>
                          <w:p w14:paraId="56A19B9B"/>
                          <w:p w14:paraId="62B01E28">
                            <w:pPr>
                              <w:pStyle w:val="6"/>
                            </w:pPr>
                          </w:p>
                          <w:p w14:paraId="585EB330">
                            <w:pPr>
                              <w:pStyle w:val="6"/>
                            </w:pPr>
                          </w:p>
                          <w:p w14:paraId="67DA6966">
                            <w:pPr>
                              <w:pStyle w:val="6"/>
                            </w:pPr>
                          </w:p>
                          <w:p w14:paraId="71DA16D5">
                            <w:pPr>
                              <w:pStyle w:val="6"/>
                            </w:pPr>
                          </w:p>
                        </w:txbxContent>
                      </wps:txbx>
                      <wps:bodyPr upright="1"/>
                    </wps:wsp>
                  </a:graphicData>
                </a:graphic>
              </wp:anchor>
            </w:drawing>
          </mc:Choice>
          <mc:Fallback>
            <w:pict>
              <v:roundrect id="_x0000_s1026" o:spid="_x0000_s1026" o:spt="2" style="position:absolute;left:0pt;margin-left:229.8pt;margin-top:2.25pt;height:122.6pt;width:205.5pt;z-index:251668480;mso-width-relative:page;mso-height-relative:page;" fillcolor="#FFFFFF" filled="t" stroked="t" coordsize="21600,21600" arcsize="0.166666666666667" o:gfxdata="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8vY1/aAAAACQEAAA8AAAAAAAAAAQAgAAAAIgAAAGRycy9kb3ducmV2LnhtbFBL&#10;AQIUABQAAAAIAIdO4kCL2ZNHLQIAAGgEAAAOAAAAAAAAAAEAIAAAACkBAABkcnMvZTJvRG9jLnht&#10;bFBLBQYAAAAABgAGAFkBAADIBQAAAAA=&#10;">
                <v:fill on="t" focussize="0,0"/>
                <v:stroke weight="1.25pt" color="#808080" joinstyle="round"/>
                <v:imagedata o:title=""/>
                <o:lock v:ext="edit" aspectratio="f"/>
                <v:textbox>
                  <w:txbxContent>
                    <w:p w14:paraId="55403C46">
                      <w:pPr>
                        <w:jc w:val="center"/>
                        <w:rPr>
                          <w:rFonts w:hint="eastAsia" w:hAnsi="宋体"/>
                          <w:szCs w:val="21"/>
                        </w:rPr>
                      </w:pPr>
                    </w:p>
                    <w:p w14:paraId="60AAF892">
                      <w:pPr>
                        <w:jc w:val="center"/>
                        <w:rPr>
                          <w:rFonts w:hint="eastAsia" w:hAnsi="宋体"/>
                          <w:szCs w:val="21"/>
                        </w:rPr>
                      </w:pPr>
                    </w:p>
                    <w:p w14:paraId="650EBA36">
                      <w:pPr>
                        <w:jc w:val="center"/>
                        <w:rPr>
                          <w:rFonts w:hint="eastAsia" w:hAnsi="宋体"/>
                          <w:szCs w:val="21"/>
                        </w:rPr>
                      </w:pPr>
                    </w:p>
                    <w:p w14:paraId="74E67B7D">
                      <w:pPr>
                        <w:jc w:val="center"/>
                        <w:rPr>
                          <w:szCs w:val="21"/>
                        </w:rPr>
                      </w:pPr>
                      <w:r>
                        <w:rPr>
                          <w:rFonts w:hint="eastAsia" w:hAnsi="宋体"/>
                          <w:szCs w:val="21"/>
                        </w:rPr>
                        <w:t>法人身份证复印件反面</w:t>
                      </w:r>
                    </w:p>
                    <w:p w14:paraId="56A19B9B"/>
                    <w:p w14:paraId="62B01E28">
                      <w:pPr>
                        <w:pStyle w:val="6"/>
                      </w:pPr>
                    </w:p>
                    <w:p w14:paraId="585EB330">
                      <w:pPr>
                        <w:pStyle w:val="6"/>
                      </w:pPr>
                    </w:p>
                    <w:p w14:paraId="67DA6966">
                      <w:pPr>
                        <w:pStyle w:val="6"/>
                      </w:pPr>
                    </w:p>
                    <w:p w14:paraId="71DA16D5">
                      <w:pPr>
                        <w:pStyle w:val="6"/>
                      </w:pPr>
                    </w:p>
                  </w:txbxContent>
                </v:textbox>
              </v:roundrect>
            </w:pict>
          </mc:Fallback>
        </mc:AlternateContent>
      </w:r>
    </w:p>
    <w:p w14:paraId="3015B73B">
      <w:pPr>
        <w:keepNext w:val="0"/>
        <w:keepLines w:val="0"/>
        <w:pageBreakBefore w:val="0"/>
        <w:widowControl w:val="0"/>
        <w:wordWrap/>
        <w:overflowPunct/>
        <w:topLinePunct w:val="0"/>
        <w:bidi w:val="0"/>
        <w:spacing w:line="360" w:lineRule="auto"/>
        <w:rPr>
          <w:rFonts w:hint="eastAsia" w:ascii="仿宋_GB2312" w:hAnsi="仿宋_GB2312" w:eastAsia="仿宋_GB2312" w:cs="仿宋_GB2312"/>
          <w:sz w:val="24"/>
          <w:szCs w:val="20"/>
          <w:highlight w:val="none"/>
        </w:rPr>
      </w:pPr>
    </w:p>
    <w:p w14:paraId="4DB10C69">
      <w:pPr>
        <w:keepNext w:val="0"/>
        <w:keepLines w:val="0"/>
        <w:pageBreakBefore w:val="0"/>
        <w:widowControl w:val="0"/>
        <w:wordWrap/>
        <w:overflowPunct/>
        <w:topLinePunct w:val="0"/>
        <w:bidi w:val="0"/>
        <w:spacing w:line="360" w:lineRule="auto"/>
        <w:rPr>
          <w:rFonts w:hint="eastAsia" w:ascii="仿宋_GB2312" w:hAnsi="仿宋_GB2312" w:eastAsia="仿宋_GB2312" w:cs="仿宋_GB2312"/>
          <w:sz w:val="24"/>
          <w:szCs w:val="20"/>
          <w:highlight w:val="none"/>
        </w:rPr>
      </w:pPr>
    </w:p>
    <w:p w14:paraId="05FA2936">
      <w:pPr>
        <w:keepNext w:val="0"/>
        <w:keepLines w:val="0"/>
        <w:pageBreakBefore w:val="0"/>
        <w:widowControl w:val="0"/>
        <w:wordWrap/>
        <w:overflowPunct/>
        <w:topLinePunct w:val="0"/>
        <w:bidi w:val="0"/>
        <w:spacing w:line="360" w:lineRule="auto"/>
        <w:ind w:right="246"/>
        <w:rPr>
          <w:rFonts w:hint="eastAsia" w:ascii="仿宋_GB2312" w:hAnsi="仿宋_GB2312" w:eastAsia="仿宋_GB2312" w:cs="仿宋_GB2312"/>
          <w:sz w:val="24"/>
          <w:szCs w:val="20"/>
          <w:highlight w:val="none"/>
        </w:rPr>
      </w:pPr>
    </w:p>
    <w:p w14:paraId="3F93B19A">
      <w:pPr>
        <w:keepNext w:val="0"/>
        <w:keepLines w:val="0"/>
        <w:pageBreakBefore w:val="0"/>
        <w:widowControl w:val="0"/>
        <w:wordWrap/>
        <w:overflowPunct/>
        <w:topLinePunct w:val="0"/>
        <w:bidi w:val="0"/>
        <w:spacing w:line="360" w:lineRule="auto"/>
        <w:ind w:right="246" w:firstLine="784" w:firstLineChars="327"/>
        <w:rPr>
          <w:rFonts w:hint="eastAsia" w:ascii="仿宋_GB2312" w:hAnsi="仿宋_GB2312" w:eastAsia="仿宋_GB2312" w:cs="仿宋_GB2312"/>
          <w:sz w:val="24"/>
          <w:szCs w:val="20"/>
          <w:highlight w:val="none"/>
          <w:lang w:eastAsia="zh-CN"/>
        </w:rPr>
      </w:pPr>
      <w:r>
        <w:rPr>
          <w:rFonts w:hint="eastAsia" w:ascii="仿宋_GB2312" w:hAnsi="仿宋_GB2312" w:eastAsia="仿宋_GB2312" w:cs="仿宋_GB2312"/>
          <w:sz w:val="24"/>
          <w:szCs w:val="20"/>
          <w:highlight w:val="none"/>
        </w:rPr>
        <w:t>供应商（盖章）：</w:t>
      </w:r>
    </w:p>
    <w:p w14:paraId="6F93F613">
      <w:pPr>
        <w:keepNext w:val="0"/>
        <w:keepLines w:val="0"/>
        <w:pageBreakBefore w:val="0"/>
        <w:widowControl w:val="0"/>
        <w:wordWrap/>
        <w:overflowPunct/>
        <w:topLinePunct w:val="0"/>
        <w:bidi w:val="0"/>
        <w:snapToGrid w:val="0"/>
        <w:spacing w:line="360" w:lineRule="auto"/>
        <w:ind w:firstLine="784" w:firstLineChars="327"/>
        <w:rPr>
          <w:rFonts w:hint="eastAsia" w:ascii="仿宋_GB2312" w:hAnsi="仿宋_GB2312" w:eastAsia="仿宋_GB2312" w:cs="仿宋_GB2312"/>
          <w:sz w:val="24"/>
          <w:szCs w:val="20"/>
          <w:highlight w:val="none"/>
          <w:lang w:eastAsia="zh-CN"/>
        </w:rPr>
      </w:pPr>
      <w:r>
        <w:rPr>
          <w:rFonts w:hint="eastAsia" w:ascii="仿宋_GB2312" w:hAnsi="仿宋_GB2312" w:eastAsia="仿宋_GB2312" w:cs="仿宋_GB2312"/>
          <w:sz w:val="24"/>
          <w:szCs w:val="20"/>
          <w:highlight w:val="none"/>
        </w:rPr>
        <w:t>法定代表人签字或盖章：</w:t>
      </w:r>
    </w:p>
    <w:p w14:paraId="12D3C0A7">
      <w:pPr>
        <w:keepNext w:val="0"/>
        <w:keepLines w:val="0"/>
        <w:pageBreakBefore w:val="0"/>
        <w:widowControl w:val="0"/>
        <w:wordWrap/>
        <w:overflowPunct/>
        <w:topLinePunct w:val="0"/>
        <w:bidi w:val="0"/>
        <w:snapToGrid w:val="0"/>
        <w:spacing w:line="360" w:lineRule="auto"/>
        <w:ind w:firstLine="784" w:firstLineChars="327"/>
        <w:rPr>
          <w:rFonts w:hint="eastAsia" w:ascii="仿宋_GB2312" w:hAnsi="仿宋_GB2312" w:eastAsia="仿宋_GB2312" w:cs="仿宋_GB2312"/>
          <w:sz w:val="24"/>
          <w:szCs w:val="20"/>
          <w:highlight w:val="none"/>
          <w:lang w:eastAsia="zh-CN"/>
        </w:rPr>
      </w:pPr>
      <w:r>
        <w:rPr>
          <w:rFonts w:hint="eastAsia" w:ascii="仿宋_GB2312" w:hAnsi="仿宋_GB2312" w:eastAsia="仿宋_GB2312" w:cs="仿宋_GB2312"/>
          <w:sz w:val="24"/>
          <w:szCs w:val="20"/>
          <w:highlight w:val="none"/>
        </w:rPr>
        <w:t>日期：</w:t>
      </w:r>
    </w:p>
    <w:p w14:paraId="78CCBEAE">
      <w:pPr>
        <w:pStyle w:val="13"/>
        <w:keepNext w:val="0"/>
        <w:keepLines w:val="0"/>
        <w:pageBreakBefore w:val="0"/>
        <w:widowControl w:val="0"/>
        <w:tabs>
          <w:tab w:val="left" w:pos="5580"/>
        </w:tabs>
        <w:wordWrap/>
        <w:overflowPunct/>
        <w:topLinePunct w:val="0"/>
        <w:bidi w:val="0"/>
        <w:spacing w:line="240" w:lineRule="atLeast"/>
        <w:ind w:left="1079" w:leftChars="257" w:hanging="540"/>
        <w:rPr>
          <w:rFonts w:hint="eastAsia" w:ascii="仿宋_GB2312" w:hAnsi="仿宋_GB2312" w:eastAsia="仿宋_GB2312" w:cs="仿宋_GB2312"/>
          <w:sz w:val="24"/>
          <w:highlight w:val="none"/>
        </w:rPr>
      </w:pPr>
    </w:p>
    <w:p w14:paraId="7418DDCE">
      <w:pPr>
        <w:keepNext w:val="0"/>
        <w:keepLines w:val="0"/>
        <w:pageBreakBefore w:val="0"/>
        <w:widowControl w:val="0"/>
        <w:wordWrap/>
        <w:overflowPunct/>
        <w:topLinePunct w:val="0"/>
        <w:bidi w:val="0"/>
        <w:rPr>
          <w:b/>
          <w:bCs/>
          <w:sz w:val="20"/>
          <w:highlight w:val="none"/>
        </w:rPr>
      </w:pPr>
    </w:p>
    <w:p w14:paraId="0C406BE8">
      <w:pPr>
        <w:rPr>
          <w:b/>
          <w:bCs/>
          <w:sz w:val="20"/>
          <w:highlight w:val="none"/>
        </w:rPr>
      </w:pPr>
      <w:r>
        <w:rPr>
          <w:b/>
          <w:bCs/>
          <w:sz w:val="20"/>
          <w:highlight w:val="none"/>
        </w:rPr>
        <w:br w:type="page"/>
      </w:r>
    </w:p>
    <w:p w14:paraId="77D617A1">
      <w:pPr>
        <w:pStyle w:val="4"/>
        <w:keepNext w:val="0"/>
        <w:keepLines w:val="0"/>
        <w:pageBreakBefore w:val="0"/>
        <w:widowControl w:val="0"/>
        <w:wordWrap/>
        <w:overflowPunct/>
        <w:topLinePunct w:val="0"/>
        <w:bidi w:val="0"/>
        <w:spacing w:before="0" w:after="0" w:line="288" w:lineRule="auto"/>
        <w:jc w:val="center"/>
        <w:rPr>
          <w:rFonts w:hint="eastAsia" w:ascii="仿宋_GB2312" w:hAnsi="仿宋_GB2312" w:eastAsia="仿宋_GB2312" w:cs="仿宋_GB2312"/>
          <w:highlight w:val="none"/>
          <w:u w:val="none"/>
        </w:rPr>
      </w:pPr>
      <w:bookmarkStart w:id="710" w:name="_Toc6725"/>
      <w:bookmarkStart w:id="711" w:name="_Toc32041"/>
      <w:bookmarkStart w:id="712" w:name="_Toc19476"/>
      <w:r>
        <w:rPr>
          <w:rFonts w:hint="eastAsia" w:ascii="仿宋_GB2312" w:hAnsi="仿宋_GB2312" w:eastAsia="仿宋_GB2312" w:cs="仿宋_GB2312"/>
          <w:highlight w:val="none"/>
          <w:u w:val="none"/>
        </w:rPr>
        <w:t>4法定代表人授权委托书</w:t>
      </w:r>
      <w:bookmarkEnd w:id="710"/>
      <w:bookmarkEnd w:id="711"/>
      <w:bookmarkEnd w:id="712"/>
    </w:p>
    <w:p w14:paraId="0CE8D64A">
      <w:pPr>
        <w:pStyle w:val="13"/>
        <w:keepNext w:val="0"/>
        <w:keepLines w:val="0"/>
        <w:pageBreakBefore w:val="0"/>
        <w:widowControl w:val="0"/>
        <w:tabs>
          <w:tab w:val="left" w:pos="5580"/>
        </w:tabs>
        <w:wordWrap/>
        <w:overflowPunct/>
        <w:topLinePunct w:val="0"/>
        <w:bidi w:val="0"/>
        <w:spacing w:line="240" w:lineRule="atLeast"/>
        <w:rPr>
          <w:rFonts w:hint="eastAsia" w:ascii="仿宋_GB2312" w:hAnsi="仿宋_GB2312" w:eastAsia="仿宋_GB2312" w:cs="仿宋_GB2312"/>
          <w:sz w:val="24"/>
          <w:highlight w:val="none"/>
          <w:lang w:eastAsia="zh-CN"/>
        </w:rPr>
      </w:pPr>
    </w:p>
    <w:p w14:paraId="561439CA">
      <w:pPr>
        <w:pStyle w:val="13"/>
        <w:keepNext w:val="0"/>
        <w:keepLines w:val="0"/>
        <w:pageBreakBefore w:val="0"/>
        <w:widowControl w:val="0"/>
        <w:tabs>
          <w:tab w:val="left" w:pos="5580"/>
        </w:tabs>
        <w:wordWrap/>
        <w:overflowPunct/>
        <w:topLinePunct w:val="0"/>
        <w:bidi w:val="0"/>
        <w:spacing w:line="240" w:lineRule="atLeas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本授权书声明：注册于（国家或地区的名称）的（供应商）的在下面签字的（法人代表姓名、职务）代表我单位授权（单位名称）的在下面签字的（被授权人的姓名、职务）为我单位的合法代理人，就项目名称项目编号（编号名称）公开招标，以我单位名义处理一切与之有关的事务。</w:t>
      </w:r>
      <w:r>
        <w:rPr>
          <w:rFonts w:hint="eastAsia" w:ascii="仿宋_GB2312" w:hAnsi="仿宋_GB2312" w:eastAsia="仿宋_GB2312" w:cs="仿宋_GB2312"/>
          <w:sz w:val="24"/>
          <w:highlight w:val="none"/>
        </w:rPr>
        <w:cr/>
      </w:r>
      <w:r>
        <w:rPr>
          <w:rFonts w:hint="eastAsia" w:ascii="仿宋_GB2312" w:hAnsi="仿宋_GB2312" w:eastAsia="仿宋_GB2312" w:cs="仿宋_GB2312"/>
          <w:sz w:val="24"/>
          <w:highlight w:val="none"/>
        </w:rPr>
        <w:t>　　</w:t>
      </w:r>
    </w:p>
    <w:p w14:paraId="7F8B5BFC">
      <w:pPr>
        <w:pStyle w:val="13"/>
        <w:keepNext w:val="0"/>
        <w:keepLines w:val="0"/>
        <w:pageBreakBefore w:val="0"/>
        <w:widowControl w:val="0"/>
        <w:tabs>
          <w:tab w:val="left" w:pos="5580"/>
        </w:tabs>
        <w:wordWrap/>
        <w:overflowPunct/>
        <w:topLinePunct w:val="0"/>
        <w:bidi w:val="0"/>
        <w:spacing w:line="240" w:lineRule="atLeast"/>
        <w:ind w:left="1079" w:leftChars="257" w:hanging="54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本授权书于年月日签字生效,特此声明。</w:t>
      </w:r>
      <w:r>
        <w:rPr>
          <w:rFonts w:hint="eastAsia" w:ascii="仿宋_GB2312" w:hAnsi="仿宋_GB2312" w:eastAsia="仿宋_GB2312" w:cs="仿宋_GB2312"/>
          <w:sz w:val="24"/>
          <w:highlight w:val="none"/>
        </w:rPr>
        <w:cr/>
      </w:r>
    </w:p>
    <w:p w14:paraId="584DF249">
      <w:pPr>
        <w:pStyle w:val="13"/>
        <w:keepNext w:val="0"/>
        <w:keepLines w:val="0"/>
        <w:pageBreakBefore w:val="0"/>
        <w:widowControl w:val="0"/>
        <w:tabs>
          <w:tab w:val="left" w:pos="5580"/>
        </w:tabs>
        <w:wordWrap/>
        <w:overflowPunct/>
        <w:topLinePunct w:val="0"/>
        <w:bidi w:val="0"/>
        <w:spacing w:line="240" w:lineRule="atLeast"/>
        <w:ind w:left="1079" w:leftChars="257" w:hanging="540"/>
        <w:rPr>
          <w:rFonts w:hint="eastAsia" w:ascii="仿宋_GB2312" w:hAnsi="仿宋_GB2312" w:eastAsia="仿宋_GB2312" w:cs="仿宋_GB2312"/>
          <w:sz w:val="24"/>
          <w:highlight w:val="none"/>
        </w:rPr>
      </w:pPr>
      <w:r>
        <w:rPr>
          <w:rFonts w:ascii="仿宋_GB2312" w:hAnsi="仿宋_GB2312" w:eastAsia="仿宋_GB2312" w:cs="仿宋_GB2312"/>
          <w:sz w:val="24"/>
          <w:highlight w:val="none"/>
        </w:rPr>
        <mc:AlternateContent>
          <mc:Choice Requires="wps">
            <w:drawing>
              <wp:anchor distT="0" distB="0" distL="114300" distR="114300" simplePos="0" relativeHeight="251670528" behindDoc="0" locked="0" layoutInCell="1" allowOverlap="1">
                <wp:simplePos x="0" y="0"/>
                <wp:positionH relativeFrom="column">
                  <wp:posOffset>2810510</wp:posOffset>
                </wp:positionH>
                <wp:positionV relativeFrom="paragraph">
                  <wp:posOffset>15875</wp:posOffset>
                </wp:positionV>
                <wp:extent cx="2592705" cy="1158240"/>
                <wp:effectExtent l="7620" t="7620" r="9525" b="15240"/>
                <wp:wrapNone/>
                <wp:docPr id="2" name="圆角矩形 2"/>
                <wp:cNvGraphicFramePr/>
                <a:graphic xmlns:a="http://schemas.openxmlformats.org/drawingml/2006/main">
                  <a:graphicData uri="http://schemas.microsoft.com/office/word/2010/wordprocessingShape">
                    <wps:wsp>
                      <wps:cNvSpPr/>
                      <wps:spPr>
                        <a:xfrm>
                          <a:off x="0" y="0"/>
                          <a:ext cx="2478405" cy="1158240"/>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14:paraId="4CFE7EB6">
                            <w:pPr>
                              <w:rPr>
                                <w:rFonts w:hint="eastAsia" w:hAnsi="宋体"/>
                              </w:rPr>
                            </w:pPr>
                          </w:p>
                          <w:p w14:paraId="027FA515">
                            <w:pPr>
                              <w:rPr>
                                <w:rFonts w:hint="eastAsia" w:hAnsi="宋体"/>
                              </w:rPr>
                            </w:pPr>
                          </w:p>
                          <w:p w14:paraId="28493F4B">
                            <w:r>
                              <w:rPr>
                                <w:rFonts w:hint="eastAsia" w:hAnsi="宋体"/>
                              </w:rPr>
                              <w:t>授权委托人身份证复印件反面</w:t>
                            </w:r>
                          </w:p>
                          <w:p w14:paraId="7FE4C267"/>
                        </w:txbxContent>
                      </wps:txbx>
                      <wps:bodyPr upright="1"/>
                    </wps:wsp>
                  </a:graphicData>
                </a:graphic>
              </wp:anchor>
            </w:drawing>
          </mc:Choice>
          <mc:Fallback>
            <w:pict>
              <v:roundrect id="_x0000_s1026" o:spid="_x0000_s1026" o:spt="2" style="position:absolute;left:0pt;margin-left:221.3pt;margin-top:1.25pt;height:91.2pt;width:204.15pt;z-index:251670528;mso-width-relative:page;mso-height-relative:page;" fillcolor="#FFFFFF" filled="t" stroked="t" coordsize="21600,21600" arcsize="0.166666666666667" o:gfxdata="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ZvxdsAAAAJAQAADwAAAAAAAAABACAAAAAiAAAAZHJzL2Rvd25yZXYueG1sUEsB&#10;AhQAFAAAAAgAh07iQCEIoGUrAgAAZgQAAA4AAAAAAAAAAQAgAAAAKgEAAGRycy9lMm9Eb2MueG1s&#10;UEsFBgAAAAAGAAYAWQEAAMcFAAAAAA==&#10;">
                <v:fill on="t" focussize="0,0"/>
                <v:stroke weight="1.25pt" color="#808080" joinstyle="round"/>
                <v:imagedata o:title=""/>
                <o:lock v:ext="edit" aspectratio="f"/>
                <v:textbox>
                  <w:txbxContent>
                    <w:p w14:paraId="4CFE7EB6">
                      <w:pPr>
                        <w:rPr>
                          <w:rFonts w:hint="eastAsia" w:hAnsi="宋体"/>
                        </w:rPr>
                      </w:pPr>
                    </w:p>
                    <w:p w14:paraId="027FA515">
                      <w:pPr>
                        <w:rPr>
                          <w:rFonts w:hint="eastAsia" w:hAnsi="宋体"/>
                        </w:rPr>
                      </w:pPr>
                    </w:p>
                    <w:p w14:paraId="28493F4B">
                      <w:r>
                        <w:rPr>
                          <w:rFonts w:hint="eastAsia" w:hAnsi="宋体"/>
                        </w:rPr>
                        <w:t>授权委托人身份证复印件反面</w:t>
                      </w:r>
                    </w:p>
                    <w:p w14:paraId="7FE4C267"/>
                  </w:txbxContent>
                </v:textbox>
              </v:roundrect>
            </w:pict>
          </mc:Fallback>
        </mc:AlternateContent>
      </w:r>
      <w:r>
        <w:rPr>
          <w:rFonts w:ascii="仿宋_GB2312" w:hAnsi="仿宋_GB2312" w:eastAsia="仿宋_GB2312" w:cs="仿宋_GB2312"/>
          <w:sz w:val="24"/>
          <w:highlight w:val="none"/>
        </w:rPr>
        <mc:AlternateContent>
          <mc:Choice Requires="wps">
            <w:drawing>
              <wp:anchor distT="0" distB="0" distL="114300" distR="114300" simplePos="0" relativeHeight="251669504" behindDoc="0" locked="0" layoutInCell="1" allowOverlap="1">
                <wp:simplePos x="0" y="0"/>
                <wp:positionH relativeFrom="column">
                  <wp:posOffset>241935</wp:posOffset>
                </wp:positionH>
                <wp:positionV relativeFrom="paragraph">
                  <wp:posOffset>6350</wp:posOffset>
                </wp:positionV>
                <wp:extent cx="2432050" cy="1143000"/>
                <wp:effectExtent l="4445" t="4445" r="20955" b="14605"/>
                <wp:wrapNone/>
                <wp:docPr id="4" name="流程图: 可选过程 4"/>
                <wp:cNvGraphicFramePr/>
                <a:graphic xmlns:a="http://schemas.openxmlformats.org/drawingml/2006/main">
                  <a:graphicData uri="http://schemas.microsoft.com/office/word/2010/wordprocessingShape">
                    <wps:wsp>
                      <wps:cNvSpPr/>
                      <wps:spPr>
                        <a:xfrm>
                          <a:off x="0" y="0"/>
                          <a:ext cx="2317750" cy="114300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393E2FB2">
                            <w:pPr>
                              <w:jc w:val="center"/>
                              <w:rPr>
                                <w:rFonts w:hint="eastAsia" w:hAnsi="宋体"/>
                              </w:rPr>
                            </w:pPr>
                          </w:p>
                          <w:p w14:paraId="4D7BF80C">
                            <w:pPr>
                              <w:jc w:val="center"/>
                              <w:rPr>
                                <w:rFonts w:hint="eastAsia" w:hAnsi="宋体"/>
                              </w:rPr>
                            </w:pPr>
                          </w:p>
                          <w:p w14:paraId="165C7573">
                            <w:r>
                              <w:rPr>
                                <w:rFonts w:hint="eastAsia" w:hAnsi="宋体"/>
                              </w:rPr>
                              <w:t>授权委托人身份证复印件正面</w:t>
                            </w:r>
                          </w:p>
                        </w:txbxContent>
                      </wps:txbx>
                      <wps:bodyPr upright="1"/>
                    </wps:wsp>
                  </a:graphicData>
                </a:graphic>
              </wp:anchor>
            </w:drawing>
          </mc:Choice>
          <mc:Fallback>
            <w:pict>
              <v:shape id="_x0000_s1026" o:spid="_x0000_s1026" o:spt="176" type="#_x0000_t176" style="position:absolute;left:0pt;margin-left:19.05pt;margin-top:0.5pt;height:90pt;width:191.5pt;z-index:251669504;mso-width-relative:page;mso-height-relative:page;" fillcolor="#FFFFFF" filled="t" stroked="t" coordsize="21600,21600" o:gfxdata="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LDbqNEAAAAIAQAADwAAAAAAAAABACAAAAAiAAAAZHJzL2Rvd25yZXYueG1sUEsBAhQA&#10;FAAAAAgAh07iQDh1xqoyAgAAXgQAAA4AAAAAAAAAAQAgAAAAIAEAAGRycy9lMm9Eb2MueG1sUEsF&#10;BgAAAAAGAAYAWQEAAMQFAAAAAA==&#10;">
                <v:fill on="t" focussize="0,0"/>
                <v:stroke color="#000000" joinstyle="miter"/>
                <v:imagedata o:title=""/>
                <o:lock v:ext="edit" aspectratio="f"/>
                <v:textbox>
                  <w:txbxContent>
                    <w:p w14:paraId="393E2FB2">
                      <w:pPr>
                        <w:jc w:val="center"/>
                        <w:rPr>
                          <w:rFonts w:hint="eastAsia" w:hAnsi="宋体"/>
                        </w:rPr>
                      </w:pPr>
                    </w:p>
                    <w:p w14:paraId="4D7BF80C">
                      <w:pPr>
                        <w:jc w:val="center"/>
                        <w:rPr>
                          <w:rFonts w:hint="eastAsia" w:hAnsi="宋体"/>
                        </w:rPr>
                      </w:pPr>
                    </w:p>
                    <w:p w14:paraId="165C7573">
                      <w:r>
                        <w:rPr>
                          <w:rFonts w:hint="eastAsia" w:hAnsi="宋体"/>
                        </w:rPr>
                        <w:t>授权委托人身份证复印件正面</w:t>
                      </w:r>
                    </w:p>
                  </w:txbxContent>
                </v:textbox>
              </v:shape>
            </w:pict>
          </mc:Fallback>
        </mc:AlternateContent>
      </w:r>
    </w:p>
    <w:p w14:paraId="70528471">
      <w:pPr>
        <w:pStyle w:val="13"/>
        <w:keepNext w:val="0"/>
        <w:keepLines w:val="0"/>
        <w:pageBreakBefore w:val="0"/>
        <w:widowControl w:val="0"/>
        <w:tabs>
          <w:tab w:val="left" w:pos="5580"/>
        </w:tabs>
        <w:wordWrap/>
        <w:overflowPunct/>
        <w:topLinePunct w:val="0"/>
        <w:bidi w:val="0"/>
        <w:spacing w:line="240" w:lineRule="atLeast"/>
        <w:ind w:left="1079" w:leftChars="257" w:hanging="540"/>
        <w:rPr>
          <w:rFonts w:hint="eastAsia" w:ascii="仿宋_GB2312" w:hAnsi="仿宋_GB2312" w:eastAsia="仿宋_GB2312" w:cs="仿宋_GB2312"/>
          <w:sz w:val="24"/>
          <w:highlight w:val="none"/>
        </w:rPr>
      </w:pPr>
    </w:p>
    <w:p w14:paraId="3F681D86">
      <w:pPr>
        <w:pStyle w:val="13"/>
        <w:keepNext w:val="0"/>
        <w:keepLines w:val="0"/>
        <w:pageBreakBefore w:val="0"/>
        <w:widowControl w:val="0"/>
        <w:tabs>
          <w:tab w:val="left" w:pos="5580"/>
        </w:tabs>
        <w:wordWrap/>
        <w:overflowPunct/>
        <w:topLinePunct w:val="0"/>
        <w:bidi w:val="0"/>
        <w:spacing w:line="240" w:lineRule="atLeast"/>
        <w:ind w:left="1079" w:leftChars="257" w:hanging="540"/>
        <w:rPr>
          <w:rFonts w:hint="eastAsia" w:ascii="仿宋_GB2312" w:hAnsi="仿宋_GB2312" w:eastAsia="仿宋_GB2312" w:cs="仿宋_GB2312"/>
          <w:sz w:val="24"/>
          <w:highlight w:val="none"/>
        </w:rPr>
      </w:pPr>
    </w:p>
    <w:p w14:paraId="37426836">
      <w:pPr>
        <w:pStyle w:val="13"/>
        <w:keepNext w:val="0"/>
        <w:keepLines w:val="0"/>
        <w:pageBreakBefore w:val="0"/>
        <w:widowControl w:val="0"/>
        <w:tabs>
          <w:tab w:val="left" w:pos="5580"/>
        </w:tabs>
        <w:wordWrap/>
        <w:overflowPunct/>
        <w:topLinePunct w:val="0"/>
        <w:bidi w:val="0"/>
        <w:spacing w:line="240" w:lineRule="atLeast"/>
        <w:ind w:left="1079" w:leftChars="257" w:hanging="540"/>
        <w:rPr>
          <w:rFonts w:hint="eastAsia" w:ascii="仿宋_GB2312" w:hAnsi="仿宋_GB2312" w:eastAsia="仿宋_GB2312" w:cs="仿宋_GB2312"/>
          <w:sz w:val="24"/>
          <w:highlight w:val="none"/>
        </w:rPr>
      </w:pPr>
    </w:p>
    <w:p w14:paraId="4DA08987">
      <w:pPr>
        <w:pStyle w:val="13"/>
        <w:keepNext w:val="0"/>
        <w:keepLines w:val="0"/>
        <w:pageBreakBefore w:val="0"/>
        <w:widowControl w:val="0"/>
        <w:tabs>
          <w:tab w:val="left" w:pos="5580"/>
        </w:tabs>
        <w:wordWrap/>
        <w:overflowPunct/>
        <w:topLinePunct w:val="0"/>
        <w:bidi w:val="0"/>
        <w:spacing w:line="240" w:lineRule="atLeast"/>
        <w:ind w:left="1079" w:leftChars="257" w:hanging="540"/>
        <w:rPr>
          <w:rFonts w:hint="eastAsia" w:ascii="仿宋_GB2312" w:hAnsi="仿宋_GB2312" w:eastAsia="仿宋_GB2312" w:cs="仿宋_GB2312"/>
          <w:sz w:val="24"/>
          <w:highlight w:val="none"/>
        </w:rPr>
      </w:pPr>
    </w:p>
    <w:p w14:paraId="076D5308">
      <w:pPr>
        <w:pStyle w:val="13"/>
        <w:keepNext w:val="0"/>
        <w:keepLines w:val="0"/>
        <w:pageBreakBefore w:val="0"/>
        <w:widowControl w:val="0"/>
        <w:tabs>
          <w:tab w:val="left" w:pos="5580"/>
        </w:tabs>
        <w:wordWrap/>
        <w:overflowPunct/>
        <w:topLinePunct w:val="0"/>
        <w:bidi w:val="0"/>
        <w:spacing w:line="240" w:lineRule="atLeast"/>
        <w:ind w:left="1079" w:leftChars="257" w:hanging="540"/>
        <w:rPr>
          <w:rFonts w:hint="eastAsia" w:ascii="仿宋_GB2312" w:hAnsi="仿宋_GB2312" w:eastAsia="仿宋_GB2312" w:cs="仿宋_GB2312"/>
          <w:sz w:val="24"/>
          <w:highlight w:val="none"/>
        </w:rPr>
      </w:pPr>
      <w:r>
        <w:rPr>
          <w:rFonts w:ascii="仿宋_GB2312" w:hAnsi="仿宋_GB2312" w:eastAsia="仿宋_GB2312" w:cs="仿宋_GB2312"/>
          <w:sz w:val="24"/>
          <w:highlight w:val="none"/>
        </w:rPr>
        <mc:AlternateContent>
          <mc:Choice Requires="wps">
            <w:drawing>
              <wp:anchor distT="0" distB="0" distL="114300" distR="114300" simplePos="0" relativeHeight="251672576" behindDoc="0" locked="0" layoutInCell="1" allowOverlap="1">
                <wp:simplePos x="0" y="0"/>
                <wp:positionH relativeFrom="column">
                  <wp:posOffset>2810510</wp:posOffset>
                </wp:positionH>
                <wp:positionV relativeFrom="paragraph">
                  <wp:posOffset>200025</wp:posOffset>
                </wp:positionV>
                <wp:extent cx="2575560" cy="1139825"/>
                <wp:effectExtent l="7620" t="7620" r="26670" b="14605"/>
                <wp:wrapNone/>
                <wp:docPr id="9" name="圆角矩形 9"/>
                <wp:cNvGraphicFramePr/>
                <a:graphic xmlns:a="http://schemas.openxmlformats.org/drawingml/2006/main">
                  <a:graphicData uri="http://schemas.microsoft.com/office/word/2010/wordprocessingShape">
                    <wps:wsp>
                      <wps:cNvSpPr/>
                      <wps:spPr>
                        <a:xfrm>
                          <a:off x="0" y="0"/>
                          <a:ext cx="2566670" cy="1139825"/>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14:paraId="1B6090B8">
                            <w:pPr>
                              <w:rPr>
                                <w:rFonts w:hint="eastAsia" w:hAnsi="宋体"/>
                              </w:rPr>
                            </w:pPr>
                          </w:p>
                          <w:p w14:paraId="516A575F">
                            <w:pPr>
                              <w:ind w:firstLine="420" w:firstLineChars="200"/>
                              <w:rPr>
                                <w:rFonts w:hint="eastAsia" w:hAnsi="宋体"/>
                              </w:rPr>
                            </w:pPr>
                          </w:p>
                          <w:p w14:paraId="66D68331">
                            <w:pPr>
                              <w:ind w:firstLine="420" w:firstLineChars="200"/>
                            </w:pPr>
                            <w:r>
                              <w:rPr>
                                <w:rFonts w:hint="eastAsia" w:hAnsi="宋体"/>
                              </w:rPr>
                              <w:t>法人身份证复印件反面</w:t>
                            </w:r>
                          </w:p>
                          <w:p w14:paraId="0B35CFBF"/>
                        </w:txbxContent>
                      </wps:txbx>
                      <wps:bodyPr upright="1"/>
                    </wps:wsp>
                  </a:graphicData>
                </a:graphic>
              </wp:anchor>
            </w:drawing>
          </mc:Choice>
          <mc:Fallback>
            <w:pict>
              <v:roundrect id="_x0000_s1026" o:spid="_x0000_s1026" o:spt="2" style="position:absolute;left:0pt;margin-left:221.3pt;margin-top:15.75pt;height:89.75pt;width:202.8pt;z-index:251672576;mso-width-relative:page;mso-height-relative:page;" fillcolor="#FFFFFF" filled="t" stroked="t" coordsize="21600,21600" arcsize="0.166666666666667" o:gfxdata="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MUkmSdsAAAAKAQAADwAAAAAAAAABACAAAAAiAAAAZHJzL2Rvd25yZXYueG1sUEsB&#10;AhQAFAAAAAgAh07iQELcds0rAgAAZgQAAA4AAAAAAAAAAQAgAAAAKgEAAGRycy9lMm9Eb2MueG1s&#10;UEsFBgAAAAAGAAYAWQEAAMcFAAAAAA==&#10;">
                <v:fill on="t" focussize="0,0"/>
                <v:stroke weight="1.25pt" color="#808080" joinstyle="round"/>
                <v:imagedata o:title=""/>
                <o:lock v:ext="edit" aspectratio="f"/>
                <v:textbox>
                  <w:txbxContent>
                    <w:p w14:paraId="1B6090B8">
                      <w:pPr>
                        <w:rPr>
                          <w:rFonts w:hint="eastAsia" w:hAnsi="宋体"/>
                        </w:rPr>
                      </w:pPr>
                    </w:p>
                    <w:p w14:paraId="516A575F">
                      <w:pPr>
                        <w:ind w:firstLine="420" w:firstLineChars="200"/>
                        <w:rPr>
                          <w:rFonts w:hint="eastAsia" w:hAnsi="宋体"/>
                        </w:rPr>
                      </w:pPr>
                    </w:p>
                    <w:p w14:paraId="66D68331">
                      <w:pPr>
                        <w:ind w:firstLine="420" w:firstLineChars="200"/>
                      </w:pPr>
                      <w:r>
                        <w:rPr>
                          <w:rFonts w:hint="eastAsia" w:hAnsi="宋体"/>
                        </w:rPr>
                        <w:t>法人身份证复印件反面</w:t>
                      </w:r>
                    </w:p>
                    <w:p w14:paraId="0B35CFBF"/>
                  </w:txbxContent>
                </v:textbox>
              </v:roundrect>
            </w:pict>
          </mc:Fallback>
        </mc:AlternateContent>
      </w:r>
      <w:r>
        <w:rPr>
          <w:rFonts w:ascii="仿宋_GB2312" w:hAnsi="仿宋_GB2312" w:eastAsia="仿宋_GB2312" w:cs="仿宋_GB2312"/>
          <w:sz w:val="24"/>
          <w:highlight w:val="none"/>
        </w:rPr>
        <mc:AlternateContent>
          <mc:Choice Requires="wps">
            <w:drawing>
              <wp:anchor distT="0" distB="0" distL="114300" distR="114300" simplePos="0" relativeHeight="251671552" behindDoc="0" locked="0" layoutInCell="1" allowOverlap="1">
                <wp:simplePos x="0" y="0"/>
                <wp:positionH relativeFrom="column">
                  <wp:posOffset>217805</wp:posOffset>
                </wp:positionH>
                <wp:positionV relativeFrom="paragraph">
                  <wp:posOffset>198120</wp:posOffset>
                </wp:positionV>
                <wp:extent cx="2439035" cy="1142365"/>
                <wp:effectExtent l="7620" t="7620" r="10795" b="12065"/>
                <wp:wrapNone/>
                <wp:docPr id="5" name="圆角矩形 5"/>
                <wp:cNvGraphicFramePr/>
                <a:graphic xmlns:a="http://schemas.openxmlformats.org/drawingml/2006/main">
                  <a:graphicData uri="http://schemas.microsoft.com/office/word/2010/wordprocessingShape">
                    <wps:wsp>
                      <wps:cNvSpPr/>
                      <wps:spPr>
                        <a:xfrm>
                          <a:off x="0" y="0"/>
                          <a:ext cx="2372995" cy="1085215"/>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14:paraId="4E5363A0">
                            <w:pPr>
                              <w:jc w:val="center"/>
                              <w:rPr>
                                <w:rFonts w:hint="eastAsia" w:hAnsi="宋体"/>
                              </w:rPr>
                            </w:pPr>
                          </w:p>
                          <w:p w14:paraId="6FE2D655">
                            <w:pPr>
                              <w:jc w:val="center"/>
                              <w:rPr>
                                <w:rFonts w:hint="eastAsia" w:hAnsi="宋体"/>
                              </w:rPr>
                            </w:pPr>
                          </w:p>
                          <w:p w14:paraId="4EEE61EF">
                            <w:pPr>
                              <w:ind w:firstLine="420" w:firstLineChars="200"/>
                            </w:pPr>
                            <w:r>
                              <w:rPr>
                                <w:rFonts w:hint="eastAsia" w:hAnsi="宋体"/>
                              </w:rPr>
                              <w:t>法人身份证复印件正面</w:t>
                            </w:r>
                          </w:p>
                          <w:p w14:paraId="7C3C1E9A"/>
                        </w:txbxContent>
                      </wps:txbx>
                      <wps:bodyPr upright="1"/>
                    </wps:wsp>
                  </a:graphicData>
                </a:graphic>
              </wp:anchor>
            </w:drawing>
          </mc:Choice>
          <mc:Fallback>
            <w:pict>
              <v:roundrect id="_x0000_s1026" o:spid="_x0000_s1026" o:spt="2" style="position:absolute;left:0pt;margin-left:17.15pt;margin-top:15.6pt;height:89.95pt;width:192.05pt;z-index:251671552;mso-width-relative:page;mso-height-relative:page;" fillcolor="#FFFFFF" filled="t" stroked="t" coordsize="21600,21600" arcsize="0.166666666666667" o:gfxdata="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bTDVB2gAAAAkBAAAPAAAAAAAAAAEAIAAAACIAAABkcnMvZG93bnJldi54bWxQSwEC&#10;FAAUAAAACACHTuJAqBu4+SsCAABmBAAADgAAAAAAAAABACAAAAApAQAAZHJzL2Uyb0RvYy54bWxQ&#10;SwUGAAAAAAYABgBZAQAAxgUAAAAA&#10;">
                <v:fill on="t" focussize="0,0"/>
                <v:stroke weight="1.25pt" color="#808080" joinstyle="round"/>
                <v:imagedata o:title=""/>
                <o:lock v:ext="edit" aspectratio="f"/>
                <v:textbox>
                  <w:txbxContent>
                    <w:p w14:paraId="4E5363A0">
                      <w:pPr>
                        <w:jc w:val="center"/>
                        <w:rPr>
                          <w:rFonts w:hint="eastAsia" w:hAnsi="宋体"/>
                        </w:rPr>
                      </w:pPr>
                    </w:p>
                    <w:p w14:paraId="6FE2D655">
                      <w:pPr>
                        <w:jc w:val="center"/>
                        <w:rPr>
                          <w:rFonts w:hint="eastAsia" w:hAnsi="宋体"/>
                        </w:rPr>
                      </w:pPr>
                    </w:p>
                    <w:p w14:paraId="4EEE61EF">
                      <w:pPr>
                        <w:ind w:firstLine="420" w:firstLineChars="200"/>
                      </w:pPr>
                      <w:r>
                        <w:rPr>
                          <w:rFonts w:hint="eastAsia" w:hAnsi="宋体"/>
                        </w:rPr>
                        <w:t>法人身份证复印件正面</w:t>
                      </w:r>
                    </w:p>
                    <w:p w14:paraId="7C3C1E9A"/>
                  </w:txbxContent>
                </v:textbox>
              </v:roundrect>
            </w:pict>
          </mc:Fallback>
        </mc:AlternateContent>
      </w:r>
    </w:p>
    <w:p w14:paraId="5FE44A60">
      <w:pPr>
        <w:pStyle w:val="13"/>
        <w:keepNext w:val="0"/>
        <w:keepLines w:val="0"/>
        <w:pageBreakBefore w:val="0"/>
        <w:widowControl w:val="0"/>
        <w:tabs>
          <w:tab w:val="left" w:pos="5580"/>
        </w:tabs>
        <w:wordWrap/>
        <w:overflowPunct/>
        <w:topLinePunct w:val="0"/>
        <w:bidi w:val="0"/>
        <w:spacing w:line="240" w:lineRule="atLeast"/>
        <w:ind w:left="1079" w:leftChars="257" w:hanging="540"/>
        <w:rPr>
          <w:rFonts w:hint="eastAsia" w:ascii="仿宋_GB2312" w:hAnsi="仿宋_GB2312" w:eastAsia="仿宋_GB2312" w:cs="仿宋_GB2312"/>
          <w:sz w:val="24"/>
          <w:highlight w:val="none"/>
        </w:rPr>
      </w:pPr>
    </w:p>
    <w:p w14:paraId="1F86F798">
      <w:pPr>
        <w:pStyle w:val="13"/>
        <w:keepNext w:val="0"/>
        <w:keepLines w:val="0"/>
        <w:pageBreakBefore w:val="0"/>
        <w:widowControl w:val="0"/>
        <w:tabs>
          <w:tab w:val="left" w:pos="5580"/>
        </w:tabs>
        <w:wordWrap/>
        <w:overflowPunct/>
        <w:topLinePunct w:val="0"/>
        <w:bidi w:val="0"/>
        <w:spacing w:line="240" w:lineRule="atLeast"/>
        <w:ind w:left="1079" w:leftChars="257" w:hanging="540"/>
        <w:rPr>
          <w:rFonts w:hint="eastAsia" w:ascii="仿宋_GB2312" w:hAnsi="仿宋_GB2312" w:eastAsia="仿宋_GB2312" w:cs="仿宋_GB2312"/>
          <w:sz w:val="24"/>
          <w:highlight w:val="none"/>
        </w:rPr>
      </w:pPr>
    </w:p>
    <w:p w14:paraId="1380B3DA">
      <w:pPr>
        <w:pStyle w:val="13"/>
        <w:keepNext w:val="0"/>
        <w:keepLines w:val="0"/>
        <w:pageBreakBefore w:val="0"/>
        <w:widowControl w:val="0"/>
        <w:tabs>
          <w:tab w:val="left" w:pos="5580"/>
        </w:tabs>
        <w:wordWrap/>
        <w:overflowPunct/>
        <w:topLinePunct w:val="0"/>
        <w:bidi w:val="0"/>
        <w:spacing w:line="240" w:lineRule="atLeast"/>
        <w:ind w:left="1079" w:leftChars="257" w:hanging="540"/>
        <w:rPr>
          <w:rFonts w:hint="eastAsia" w:ascii="仿宋_GB2312" w:hAnsi="仿宋_GB2312" w:eastAsia="仿宋_GB2312" w:cs="仿宋_GB2312"/>
          <w:sz w:val="24"/>
          <w:highlight w:val="none"/>
        </w:rPr>
      </w:pPr>
    </w:p>
    <w:p w14:paraId="7C832BCD">
      <w:pPr>
        <w:pStyle w:val="13"/>
        <w:keepNext w:val="0"/>
        <w:keepLines w:val="0"/>
        <w:pageBreakBefore w:val="0"/>
        <w:widowControl w:val="0"/>
        <w:tabs>
          <w:tab w:val="left" w:pos="5580"/>
        </w:tabs>
        <w:wordWrap/>
        <w:overflowPunct/>
        <w:topLinePunct w:val="0"/>
        <w:bidi w:val="0"/>
        <w:spacing w:line="240" w:lineRule="atLeast"/>
        <w:ind w:left="1079" w:leftChars="257" w:hanging="540"/>
        <w:rPr>
          <w:rFonts w:hint="eastAsia" w:ascii="仿宋_GB2312" w:hAnsi="仿宋_GB2312" w:eastAsia="仿宋_GB2312" w:cs="仿宋_GB2312"/>
          <w:sz w:val="24"/>
          <w:highlight w:val="none"/>
        </w:rPr>
      </w:pPr>
    </w:p>
    <w:p w14:paraId="145C08EF">
      <w:pPr>
        <w:pStyle w:val="13"/>
        <w:keepNext w:val="0"/>
        <w:keepLines w:val="0"/>
        <w:pageBreakBefore w:val="0"/>
        <w:widowControl w:val="0"/>
        <w:tabs>
          <w:tab w:val="left" w:pos="5580"/>
        </w:tabs>
        <w:wordWrap/>
        <w:overflowPunct/>
        <w:topLinePunct w:val="0"/>
        <w:bidi w:val="0"/>
        <w:spacing w:line="240" w:lineRule="atLeast"/>
        <w:rPr>
          <w:rFonts w:hint="eastAsia" w:ascii="仿宋_GB2312" w:hAnsi="仿宋_GB2312" w:eastAsia="仿宋_GB2312" w:cs="仿宋_GB2312"/>
          <w:sz w:val="24"/>
          <w:highlight w:val="none"/>
        </w:rPr>
      </w:pPr>
    </w:p>
    <w:p w14:paraId="338E8C0C">
      <w:pPr>
        <w:pStyle w:val="13"/>
        <w:keepNext w:val="0"/>
        <w:keepLines w:val="0"/>
        <w:pageBreakBefore w:val="0"/>
        <w:widowControl w:val="0"/>
        <w:tabs>
          <w:tab w:val="left" w:pos="5580"/>
        </w:tabs>
        <w:wordWrap/>
        <w:overflowPunct/>
        <w:topLinePunct w:val="0"/>
        <w:bidi w:val="0"/>
        <w:spacing w:line="240" w:lineRule="atLeast"/>
        <w:ind w:left="1079" w:leftChars="257" w:hanging="540"/>
        <w:rPr>
          <w:rFonts w:hint="eastAsia" w:ascii="仿宋_GB2312" w:hAnsi="仿宋_GB2312" w:eastAsia="仿宋_GB2312" w:cs="仿宋_GB2312"/>
          <w:sz w:val="24"/>
          <w:highlight w:val="none"/>
          <w:lang w:eastAsia="zh-CN"/>
        </w:rPr>
      </w:pPr>
      <w:r>
        <w:rPr>
          <w:rFonts w:hint="eastAsia" w:ascii="仿宋_GB2312" w:hAnsi="仿宋_GB2312" w:eastAsia="仿宋_GB2312" w:cs="仿宋_GB2312"/>
          <w:sz w:val="24"/>
          <w:highlight w:val="none"/>
        </w:rPr>
        <w:t>供应商（盖单位章）;</w:t>
      </w:r>
    </w:p>
    <w:p w14:paraId="767E76F9">
      <w:pPr>
        <w:pStyle w:val="13"/>
        <w:keepNext w:val="0"/>
        <w:keepLines w:val="0"/>
        <w:pageBreakBefore w:val="0"/>
        <w:widowControl w:val="0"/>
        <w:tabs>
          <w:tab w:val="left" w:pos="5580"/>
        </w:tabs>
        <w:wordWrap/>
        <w:overflowPunct/>
        <w:topLinePunct w:val="0"/>
        <w:bidi w:val="0"/>
        <w:spacing w:line="240" w:lineRule="atLeast"/>
        <w:ind w:left="1079" w:leftChars="257" w:hanging="540"/>
        <w:rPr>
          <w:rFonts w:hint="eastAsia" w:ascii="仿宋_GB2312" w:hAnsi="仿宋_GB2312" w:eastAsia="仿宋_GB2312" w:cs="仿宋_GB2312"/>
          <w:sz w:val="24"/>
          <w:highlight w:val="none"/>
          <w:u w:val="single"/>
        </w:rPr>
      </w:pPr>
      <w:r>
        <w:rPr>
          <w:rFonts w:hint="eastAsia" w:ascii="仿宋_GB2312" w:hAnsi="仿宋_GB2312" w:eastAsia="仿宋_GB2312" w:cs="仿宋_GB2312"/>
          <w:sz w:val="24"/>
          <w:highlight w:val="none"/>
        </w:rPr>
        <w:t>法定代表人（签字或签章）：</w:t>
      </w:r>
    </w:p>
    <w:p w14:paraId="351EB5B7">
      <w:pPr>
        <w:pStyle w:val="13"/>
        <w:keepNext w:val="0"/>
        <w:keepLines w:val="0"/>
        <w:pageBreakBefore w:val="0"/>
        <w:widowControl w:val="0"/>
        <w:tabs>
          <w:tab w:val="left" w:pos="5580"/>
        </w:tabs>
        <w:wordWrap/>
        <w:overflowPunct/>
        <w:topLinePunct w:val="0"/>
        <w:bidi w:val="0"/>
        <w:spacing w:line="240" w:lineRule="atLeast"/>
        <w:ind w:left="1079" w:leftChars="257" w:hanging="540"/>
        <w:rPr>
          <w:rFonts w:hint="eastAsia" w:ascii="仿宋_GB2312" w:hAnsi="仿宋_GB2312" w:eastAsia="仿宋_GB2312" w:cs="仿宋_GB2312"/>
          <w:sz w:val="24"/>
          <w:highlight w:val="none"/>
          <w:lang w:eastAsia="zh-CN"/>
        </w:rPr>
      </w:pPr>
      <w:r>
        <w:rPr>
          <w:rFonts w:hint="eastAsia" w:ascii="仿宋_GB2312" w:hAnsi="仿宋_GB2312" w:eastAsia="仿宋_GB2312" w:cs="仿宋_GB2312"/>
          <w:sz w:val="24"/>
          <w:highlight w:val="none"/>
        </w:rPr>
        <w:t>身份证号码：__________________________________</w:t>
      </w:r>
    </w:p>
    <w:p w14:paraId="2674232C">
      <w:pPr>
        <w:pStyle w:val="13"/>
        <w:keepNext w:val="0"/>
        <w:keepLines w:val="0"/>
        <w:pageBreakBefore w:val="0"/>
        <w:widowControl w:val="0"/>
        <w:tabs>
          <w:tab w:val="left" w:pos="5580"/>
        </w:tabs>
        <w:wordWrap/>
        <w:overflowPunct/>
        <w:topLinePunct w:val="0"/>
        <w:bidi w:val="0"/>
        <w:spacing w:line="240" w:lineRule="atLeast"/>
        <w:ind w:left="1079" w:leftChars="257" w:hanging="54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委托代理人：（签字或签章）</w:t>
      </w:r>
    </w:p>
    <w:p w14:paraId="209C8EEA">
      <w:pPr>
        <w:pStyle w:val="13"/>
        <w:keepNext w:val="0"/>
        <w:keepLines w:val="0"/>
        <w:pageBreakBefore w:val="0"/>
        <w:widowControl w:val="0"/>
        <w:tabs>
          <w:tab w:val="left" w:pos="5580"/>
        </w:tabs>
        <w:wordWrap/>
        <w:overflowPunct/>
        <w:topLinePunct w:val="0"/>
        <w:bidi w:val="0"/>
        <w:spacing w:line="240" w:lineRule="atLeast"/>
        <w:ind w:left="1079" w:leftChars="257" w:hanging="54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身份证号码：__________________________________</w:t>
      </w:r>
    </w:p>
    <w:p w14:paraId="6E0E8A4A">
      <w:pPr>
        <w:pStyle w:val="13"/>
        <w:keepNext w:val="0"/>
        <w:keepLines w:val="0"/>
        <w:pageBreakBefore w:val="0"/>
        <w:widowControl w:val="0"/>
        <w:tabs>
          <w:tab w:val="left" w:pos="5580"/>
        </w:tabs>
        <w:wordWrap/>
        <w:overflowPunct/>
        <w:topLinePunct w:val="0"/>
        <w:bidi w:val="0"/>
        <w:spacing w:line="240" w:lineRule="atLeast"/>
        <w:ind w:left="1079" w:leftChars="257" w:hanging="54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详细通讯地址：</w:t>
      </w:r>
    </w:p>
    <w:p w14:paraId="3125A88D">
      <w:pPr>
        <w:pStyle w:val="13"/>
        <w:keepNext w:val="0"/>
        <w:keepLines w:val="0"/>
        <w:pageBreakBefore w:val="0"/>
        <w:widowControl w:val="0"/>
        <w:tabs>
          <w:tab w:val="left" w:pos="5580"/>
        </w:tabs>
        <w:wordWrap/>
        <w:overflowPunct/>
        <w:topLinePunct w:val="0"/>
        <w:bidi w:val="0"/>
        <w:spacing w:line="240" w:lineRule="atLeast"/>
        <w:ind w:left="1079" w:leftChars="257" w:hanging="54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邮政编码：</w:t>
      </w:r>
    </w:p>
    <w:p w14:paraId="2E68640C">
      <w:pPr>
        <w:pStyle w:val="13"/>
        <w:keepNext w:val="0"/>
        <w:keepLines w:val="0"/>
        <w:pageBreakBefore w:val="0"/>
        <w:widowControl w:val="0"/>
        <w:tabs>
          <w:tab w:val="left" w:pos="5580"/>
        </w:tabs>
        <w:wordWrap/>
        <w:overflowPunct/>
        <w:topLinePunct w:val="0"/>
        <w:bidi w:val="0"/>
        <w:spacing w:line="240" w:lineRule="atLeast"/>
        <w:ind w:left="1079" w:leftChars="257" w:hanging="54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传　　　　真：</w:t>
      </w:r>
    </w:p>
    <w:p w14:paraId="59DA86F1">
      <w:pPr>
        <w:pStyle w:val="13"/>
        <w:keepNext w:val="0"/>
        <w:keepLines w:val="0"/>
        <w:pageBreakBefore w:val="0"/>
        <w:widowControl w:val="0"/>
        <w:tabs>
          <w:tab w:val="left" w:pos="5580"/>
        </w:tabs>
        <w:wordWrap/>
        <w:overflowPunct/>
        <w:topLinePunct w:val="0"/>
        <w:bidi w:val="0"/>
        <w:spacing w:line="240" w:lineRule="atLeast"/>
        <w:ind w:left="1079" w:leftChars="257" w:hanging="54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电　　　　话：</w:t>
      </w:r>
    </w:p>
    <w:p w14:paraId="4ACA2DE8">
      <w:pPr>
        <w:keepNext w:val="0"/>
        <w:keepLines w:val="0"/>
        <w:pageBreakBefore w:val="0"/>
        <w:widowControl w:val="0"/>
        <w:wordWrap/>
        <w:overflowPunct/>
        <w:topLinePunct w:val="0"/>
        <w:bidi w:val="0"/>
        <w:spacing w:line="500" w:lineRule="exact"/>
        <w:rPr>
          <w:rFonts w:hint="eastAsia" w:ascii="仿宋_GB2312" w:hAnsi="微软雅黑 Light" w:eastAsia="仿宋_GB2312" w:cs="微软雅黑 Light"/>
          <w:b/>
          <w:bCs/>
          <w:iCs/>
          <w:sz w:val="24"/>
          <w:highlight w:val="none"/>
        </w:rPr>
      </w:pPr>
      <w:bookmarkStart w:id="713" w:name="_Toc32520"/>
      <w:bookmarkEnd w:id="713"/>
      <w:bookmarkStart w:id="714" w:name="_Toc515647808"/>
      <w:bookmarkEnd w:id="714"/>
      <w:bookmarkStart w:id="715" w:name="_Toc7039"/>
      <w:bookmarkEnd w:id="715"/>
      <w:bookmarkStart w:id="716" w:name="_Toc18130"/>
      <w:bookmarkEnd w:id="716"/>
      <w:bookmarkStart w:id="717" w:name="_Toc41737064"/>
      <w:bookmarkStart w:id="718" w:name="_Toc5710"/>
      <w:bookmarkStart w:id="719" w:name="_Toc18754"/>
      <w:bookmarkStart w:id="720" w:name="_Toc515647810"/>
    </w:p>
    <w:p w14:paraId="60E16961">
      <w:pPr>
        <w:pStyle w:val="4"/>
        <w:keepNext w:val="0"/>
        <w:keepLines w:val="0"/>
        <w:pageBreakBefore w:val="0"/>
        <w:widowControl w:val="0"/>
        <w:wordWrap/>
        <w:overflowPunct/>
        <w:topLinePunct w:val="0"/>
        <w:bidi w:val="0"/>
        <w:spacing w:before="0" w:after="0" w:line="288" w:lineRule="auto"/>
        <w:ind w:left="1078" w:leftChars="257" w:hanging="539"/>
        <w:jc w:val="center"/>
        <w:rPr>
          <w:rFonts w:hint="eastAsia" w:ascii="仿宋_GB2312" w:hAnsi="仿宋_GB2312" w:eastAsia="仿宋_GB2312" w:cs="仿宋_GB2312"/>
          <w:highlight w:val="none"/>
          <w:u w:val="none"/>
        </w:rPr>
      </w:pPr>
      <w:bookmarkStart w:id="721" w:name="_Toc9134"/>
      <w:bookmarkStart w:id="722" w:name="_Toc11572"/>
      <w:bookmarkStart w:id="723" w:name="_Toc15899"/>
    </w:p>
    <w:p w14:paraId="40B50ACC">
      <w:pPr>
        <w:pStyle w:val="4"/>
        <w:keepNext w:val="0"/>
        <w:keepLines w:val="0"/>
        <w:pageBreakBefore w:val="0"/>
        <w:widowControl w:val="0"/>
        <w:wordWrap/>
        <w:overflowPunct/>
        <w:topLinePunct w:val="0"/>
        <w:bidi w:val="0"/>
        <w:spacing w:before="0" w:after="0" w:line="288" w:lineRule="auto"/>
        <w:jc w:val="center"/>
        <w:rPr>
          <w:rFonts w:hint="eastAsia" w:ascii="仿宋_GB2312" w:hAnsi="仿宋_GB2312" w:eastAsia="仿宋_GB2312" w:cs="仿宋_GB2312"/>
          <w:highlight w:val="none"/>
          <w:u w:val="none"/>
        </w:rPr>
      </w:pPr>
      <w:bookmarkStart w:id="724" w:name="_Toc7329"/>
      <w:bookmarkStart w:id="725" w:name="_Toc19756"/>
      <w:bookmarkStart w:id="726" w:name="_Toc10990"/>
      <w:bookmarkStart w:id="727" w:name="_Toc29022"/>
      <w:bookmarkStart w:id="728" w:name="_Toc21047"/>
      <w:bookmarkStart w:id="729" w:name="_Toc15919"/>
      <w:bookmarkStart w:id="730" w:name="_Toc11556"/>
      <w:bookmarkStart w:id="731" w:name="_Toc21576"/>
      <w:bookmarkStart w:id="732" w:name="_Toc6247"/>
      <w:bookmarkStart w:id="733" w:name="_Toc13050"/>
      <w:r>
        <w:rPr>
          <w:rFonts w:hint="eastAsia" w:ascii="仿宋_GB2312" w:hAnsi="仿宋_GB2312" w:eastAsia="仿宋_GB2312" w:cs="仿宋_GB2312"/>
          <w:highlight w:val="none"/>
          <w:u w:val="none"/>
          <w:lang w:val="en-US" w:eastAsia="zh-CN"/>
        </w:rPr>
        <w:t>5</w:t>
      </w:r>
      <w:r>
        <w:rPr>
          <w:rFonts w:hint="eastAsia" w:ascii="仿宋_GB2312" w:hAnsi="仿宋_GB2312" w:eastAsia="仿宋_GB2312" w:cs="仿宋_GB2312"/>
          <w:highlight w:val="none"/>
          <w:u w:val="none"/>
        </w:rPr>
        <w:t>社会保障资金的缴纳记录</w:t>
      </w:r>
      <w:bookmarkEnd w:id="724"/>
      <w:bookmarkEnd w:id="725"/>
      <w:bookmarkEnd w:id="726"/>
      <w:bookmarkEnd w:id="727"/>
      <w:bookmarkEnd w:id="728"/>
      <w:bookmarkEnd w:id="729"/>
      <w:bookmarkEnd w:id="730"/>
      <w:bookmarkEnd w:id="731"/>
      <w:bookmarkEnd w:id="732"/>
      <w:bookmarkEnd w:id="733"/>
    </w:p>
    <w:p w14:paraId="349A9D67">
      <w:pPr>
        <w:pStyle w:val="13"/>
        <w:keepNext w:val="0"/>
        <w:keepLines w:val="0"/>
        <w:pageBreakBefore w:val="0"/>
        <w:widowControl w:val="0"/>
        <w:tabs>
          <w:tab w:val="left" w:pos="5580"/>
        </w:tabs>
        <w:wordWrap/>
        <w:overflowPunct/>
        <w:topLinePunct w:val="0"/>
        <w:bidi w:val="0"/>
        <w:spacing w:line="288" w:lineRule="auto"/>
        <w:rPr>
          <w:rFonts w:hint="eastAsia" w:ascii="仿宋_GB2312" w:hAnsi="仿宋_GB2312" w:eastAsia="仿宋_GB2312" w:cs="仿宋_GB2312"/>
          <w:b/>
          <w:sz w:val="24"/>
          <w:highlight w:val="none"/>
        </w:rPr>
      </w:pPr>
    </w:p>
    <w:p w14:paraId="5609B236">
      <w:pPr>
        <w:pStyle w:val="13"/>
        <w:keepNext w:val="0"/>
        <w:keepLines w:val="0"/>
        <w:pageBreakBefore w:val="0"/>
        <w:widowControl w:val="0"/>
        <w:tabs>
          <w:tab w:val="left" w:pos="5580"/>
        </w:tabs>
        <w:wordWrap/>
        <w:overflowPunct/>
        <w:topLinePunct w:val="0"/>
        <w:bidi w:val="0"/>
        <w:spacing w:line="240" w:lineRule="atLeast"/>
        <w:ind w:left="540"/>
        <w:rPr>
          <w:rFonts w:hint="eastAsia" w:ascii="仿宋_GB2312" w:hAnsi="宋体" w:eastAsia="仿宋_GB2312"/>
          <w:sz w:val="24"/>
          <w:highlight w:val="none"/>
        </w:rPr>
      </w:pPr>
      <w:r>
        <w:rPr>
          <w:rFonts w:hint="eastAsia" w:ascii="仿宋_GB2312" w:hAnsi="仿宋_GB2312" w:eastAsia="仿宋_GB2312" w:cs="仿宋_GB2312"/>
          <w:sz w:val="24"/>
          <w:highlight w:val="none"/>
        </w:rPr>
        <w:t>说明：</w:t>
      </w:r>
      <w:r>
        <w:rPr>
          <w:rFonts w:hint="eastAsia" w:ascii="仿宋_GB2312" w:hAnsi="宋体" w:eastAsia="仿宋_GB2312"/>
          <w:sz w:val="24"/>
          <w:highlight w:val="none"/>
        </w:rPr>
        <w:t>说明：1.按照</w:t>
      </w:r>
      <w:r>
        <w:rPr>
          <w:rFonts w:hint="eastAsia" w:ascii="仿宋_GB2312" w:hAnsi="宋体" w:eastAsia="仿宋_GB2312"/>
          <w:sz w:val="24"/>
          <w:highlight w:val="none"/>
          <w:u w:val="single"/>
        </w:rPr>
        <w:t>投标人须知资料表</w:t>
      </w:r>
      <w:r>
        <w:rPr>
          <w:rFonts w:hint="eastAsia" w:ascii="仿宋_GB2312" w:hAnsi="宋体" w:eastAsia="仿宋_GB2312"/>
          <w:sz w:val="24"/>
          <w:highlight w:val="none"/>
        </w:rPr>
        <w:t>中的规定提供复印件。</w:t>
      </w:r>
    </w:p>
    <w:p w14:paraId="5567FE4B">
      <w:pPr>
        <w:pStyle w:val="13"/>
        <w:keepNext w:val="0"/>
        <w:keepLines w:val="0"/>
        <w:pageBreakBefore w:val="0"/>
        <w:widowControl w:val="0"/>
        <w:tabs>
          <w:tab w:val="left" w:pos="5580"/>
        </w:tabs>
        <w:wordWrap/>
        <w:overflowPunct/>
        <w:topLinePunct w:val="0"/>
        <w:bidi w:val="0"/>
        <w:spacing w:line="240" w:lineRule="atLeast"/>
        <w:ind w:left="1079" w:leftChars="257" w:hanging="540"/>
        <w:rPr>
          <w:rFonts w:hint="eastAsia" w:ascii="仿宋_GB2312" w:hAnsi="宋体" w:eastAsia="仿宋_GB2312"/>
          <w:sz w:val="24"/>
          <w:highlight w:val="none"/>
        </w:rPr>
      </w:pPr>
      <w:r>
        <w:rPr>
          <w:rFonts w:hint="eastAsia" w:ascii="仿宋_GB2312" w:hAnsi="宋体" w:eastAsia="仿宋_GB2312"/>
          <w:sz w:val="24"/>
          <w:highlight w:val="none"/>
        </w:rPr>
        <w:t>2.复印件上应加盖本单位章。</w:t>
      </w:r>
    </w:p>
    <w:p w14:paraId="42ADCD67">
      <w:pPr>
        <w:keepNext w:val="0"/>
        <w:keepLines w:val="0"/>
        <w:pageBreakBefore w:val="0"/>
        <w:widowControl w:val="0"/>
        <w:tabs>
          <w:tab w:val="left" w:pos="5580"/>
        </w:tabs>
        <w:wordWrap/>
        <w:overflowPunct/>
        <w:topLinePunct w:val="0"/>
        <w:bidi w:val="0"/>
        <w:spacing w:line="240" w:lineRule="atLeast"/>
        <w:ind w:left="1079" w:leftChars="257" w:hanging="540"/>
        <w:rPr>
          <w:rFonts w:hint="eastAsia" w:ascii="仿宋_GB2312" w:hAnsi="仿宋_GB2312" w:eastAsia="仿宋_GB2312" w:cs="仿宋_GB2312"/>
          <w:highlight w:val="none"/>
          <w:u w:val="none"/>
        </w:rPr>
      </w:pPr>
      <w:r>
        <w:rPr>
          <w:rFonts w:hint="eastAsia" w:ascii="仿宋_GB2312" w:hAnsi="宋体" w:eastAsia="仿宋_GB2312"/>
          <w:sz w:val="24"/>
          <w:highlight w:val="none"/>
        </w:rPr>
        <w:t>3.</w:t>
      </w:r>
      <w:r>
        <w:rPr>
          <w:rFonts w:hint="eastAsia" w:ascii="仿宋_GB2312" w:eastAsia="仿宋_GB2312"/>
          <w:sz w:val="24"/>
          <w:highlight w:val="none"/>
        </w:rPr>
        <w:t>如果是联合体投标，联合体各方均需提供上述证明。</w:t>
      </w:r>
    </w:p>
    <w:p w14:paraId="05B0D30C">
      <w:pPr>
        <w:pStyle w:val="4"/>
        <w:keepNext w:val="0"/>
        <w:keepLines w:val="0"/>
        <w:pageBreakBefore w:val="0"/>
        <w:widowControl w:val="0"/>
        <w:wordWrap/>
        <w:overflowPunct/>
        <w:topLinePunct w:val="0"/>
        <w:bidi w:val="0"/>
        <w:spacing w:before="0" w:after="0" w:line="288" w:lineRule="auto"/>
        <w:ind w:left="1078" w:leftChars="257" w:hanging="539"/>
        <w:jc w:val="center"/>
        <w:rPr>
          <w:rFonts w:hint="eastAsia" w:ascii="仿宋_GB2312" w:hAnsi="仿宋_GB2312" w:eastAsia="仿宋_GB2312" w:cs="仿宋_GB2312"/>
          <w:highlight w:val="none"/>
          <w:u w:val="none"/>
        </w:rPr>
      </w:pPr>
    </w:p>
    <w:p w14:paraId="3F427992">
      <w:pPr>
        <w:pStyle w:val="4"/>
        <w:keepNext w:val="0"/>
        <w:keepLines w:val="0"/>
        <w:pageBreakBefore w:val="0"/>
        <w:widowControl w:val="0"/>
        <w:wordWrap/>
        <w:overflowPunct/>
        <w:topLinePunct w:val="0"/>
        <w:bidi w:val="0"/>
        <w:spacing w:before="0" w:after="0" w:line="288" w:lineRule="auto"/>
        <w:ind w:left="1078" w:leftChars="257" w:hanging="539"/>
        <w:jc w:val="center"/>
        <w:rPr>
          <w:rFonts w:hint="eastAsia" w:ascii="仿宋_GB2312" w:hAnsi="仿宋_GB2312" w:eastAsia="仿宋_GB2312" w:cs="仿宋_GB2312"/>
          <w:highlight w:val="none"/>
          <w:u w:val="none"/>
        </w:rPr>
      </w:pPr>
      <w:r>
        <w:rPr>
          <w:rFonts w:hint="eastAsia" w:ascii="仿宋_GB2312" w:hAnsi="仿宋_GB2312" w:eastAsia="仿宋_GB2312" w:cs="仿宋_GB2312"/>
          <w:highlight w:val="none"/>
          <w:u w:val="none"/>
          <w:lang w:val="en-US" w:eastAsia="zh-CN"/>
        </w:rPr>
        <w:t>6</w:t>
      </w:r>
      <w:r>
        <w:rPr>
          <w:rFonts w:hint="eastAsia" w:ascii="仿宋_GB2312" w:hAnsi="仿宋_GB2312" w:eastAsia="仿宋_GB2312" w:cs="仿宋_GB2312"/>
          <w:highlight w:val="none"/>
          <w:u w:val="none"/>
        </w:rPr>
        <w:t>依法缴纳税收的证明</w:t>
      </w:r>
    </w:p>
    <w:p w14:paraId="773B9E14">
      <w:pPr>
        <w:pStyle w:val="13"/>
        <w:keepNext w:val="0"/>
        <w:keepLines w:val="0"/>
        <w:pageBreakBefore w:val="0"/>
        <w:widowControl w:val="0"/>
        <w:tabs>
          <w:tab w:val="left" w:pos="5580"/>
        </w:tabs>
        <w:wordWrap/>
        <w:overflowPunct/>
        <w:topLinePunct w:val="0"/>
        <w:bidi w:val="0"/>
        <w:spacing w:line="240" w:lineRule="atLeast"/>
        <w:ind w:left="540"/>
        <w:rPr>
          <w:rFonts w:hint="eastAsia" w:ascii="仿宋_GB2312" w:hAnsi="宋体" w:eastAsia="仿宋_GB2312"/>
          <w:sz w:val="24"/>
          <w:highlight w:val="none"/>
        </w:rPr>
      </w:pPr>
      <w:r>
        <w:rPr>
          <w:rFonts w:hint="eastAsia" w:ascii="仿宋_GB2312" w:hAnsi="宋体" w:eastAsia="仿宋_GB2312"/>
          <w:sz w:val="24"/>
          <w:highlight w:val="none"/>
        </w:rPr>
        <w:t>说明：1.按照</w:t>
      </w:r>
      <w:r>
        <w:rPr>
          <w:rFonts w:hint="eastAsia" w:ascii="仿宋_GB2312" w:hAnsi="宋体" w:eastAsia="仿宋_GB2312"/>
          <w:sz w:val="24"/>
          <w:highlight w:val="none"/>
          <w:u w:val="single"/>
        </w:rPr>
        <w:t>投标人须知资料表</w:t>
      </w:r>
      <w:r>
        <w:rPr>
          <w:rFonts w:hint="eastAsia" w:ascii="仿宋_GB2312" w:hAnsi="宋体" w:eastAsia="仿宋_GB2312"/>
          <w:sz w:val="24"/>
          <w:highlight w:val="none"/>
        </w:rPr>
        <w:t>中的规定提供复印件。</w:t>
      </w:r>
    </w:p>
    <w:p w14:paraId="3D28EDBF">
      <w:pPr>
        <w:pStyle w:val="13"/>
        <w:keepNext w:val="0"/>
        <w:keepLines w:val="0"/>
        <w:pageBreakBefore w:val="0"/>
        <w:widowControl w:val="0"/>
        <w:tabs>
          <w:tab w:val="left" w:pos="5580"/>
        </w:tabs>
        <w:wordWrap/>
        <w:overflowPunct/>
        <w:topLinePunct w:val="0"/>
        <w:bidi w:val="0"/>
        <w:spacing w:line="240" w:lineRule="atLeast"/>
        <w:ind w:left="1079" w:leftChars="257" w:hanging="540"/>
        <w:rPr>
          <w:rFonts w:hint="eastAsia" w:ascii="仿宋_GB2312" w:hAnsi="宋体" w:eastAsia="仿宋_GB2312"/>
          <w:sz w:val="24"/>
          <w:highlight w:val="none"/>
        </w:rPr>
      </w:pPr>
      <w:r>
        <w:rPr>
          <w:rFonts w:hint="eastAsia" w:ascii="仿宋_GB2312" w:hAnsi="宋体" w:eastAsia="仿宋_GB2312"/>
          <w:sz w:val="24"/>
          <w:highlight w:val="none"/>
        </w:rPr>
        <w:t>2.复印件上应加盖本单位章。</w:t>
      </w:r>
    </w:p>
    <w:p w14:paraId="66525DD3">
      <w:pPr>
        <w:pStyle w:val="13"/>
        <w:keepNext w:val="0"/>
        <w:keepLines w:val="0"/>
        <w:pageBreakBefore w:val="0"/>
        <w:widowControl w:val="0"/>
        <w:tabs>
          <w:tab w:val="left" w:pos="5580"/>
        </w:tabs>
        <w:wordWrap/>
        <w:overflowPunct/>
        <w:topLinePunct w:val="0"/>
        <w:bidi w:val="0"/>
        <w:spacing w:line="288" w:lineRule="auto"/>
        <w:ind w:left="1079" w:leftChars="257" w:hanging="540"/>
        <w:rPr>
          <w:rFonts w:hint="eastAsia" w:ascii="仿宋_GB2312" w:hAnsi="仿宋_GB2312" w:eastAsia="仿宋_GB2312" w:cs="仿宋_GB2312"/>
          <w:highlight w:val="none"/>
          <w:u w:val="none"/>
        </w:rPr>
      </w:pPr>
      <w:r>
        <w:rPr>
          <w:rFonts w:hint="eastAsia" w:ascii="仿宋_GB2312" w:hAnsi="宋体" w:eastAsia="仿宋_GB2312"/>
          <w:sz w:val="24"/>
          <w:highlight w:val="none"/>
        </w:rPr>
        <w:t>3.</w:t>
      </w:r>
      <w:r>
        <w:rPr>
          <w:rFonts w:hint="eastAsia" w:ascii="仿宋_GB2312" w:eastAsia="仿宋_GB2312"/>
          <w:sz w:val="24"/>
          <w:highlight w:val="none"/>
        </w:rPr>
        <w:t>如果是联合体投标，联合体各方均需提供上述证明。</w:t>
      </w:r>
    </w:p>
    <w:p w14:paraId="354FD0BC">
      <w:pPr>
        <w:rPr>
          <w:rFonts w:hint="eastAsia" w:ascii="仿宋_GB2312" w:hAnsi="仿宋_GB2312" w:eastAsia="仿宋_GB2312" w:cs="仿宋_GB2312"/>
          <w:highlight w:val="none"/>
          <w:u w:val="none"/>
        </w:rPr>
      </w:pPr>
    </w:p>
    <w:p w14:paraId="47E9933D">
      <w:pPr>
        <w:pStyle w:val="4"/>
        <w:keepNext w:val="0"/>
        <w:keepLines w:val="0"/>
        <w:pageBreakBefore w:val="0"/>
        <w:widowControl w:val="0"/>
        <w:wordWrap/>
        <w:overflowPunct/>
        <w:topLinePunct w:val="0"/>
        <w:bidi w:val="0"/>
        <w:spacing w:before="0" w:after="0" w:line="288" w:lineRule="auto"/>
        <w:ind w:left="1078" w:leftChars="257" w:hanging="539"/>
        <w:jc w:val="center"/>
        <w:rPr>
          <w:rFonts w:hint="eastAsia" w:ascii="仿宋_GB2312" w:hAnsi="仿宋_GB2312" w:eastAsia="仿宋_GB2312" w:cs="仿宋_GB2312"/>
          <w:highlight w:val="none"/>
          <w:u w:val="none"/>
        </w:rPr>
      </w:pPr>
      <w:r>
        <w:rPr>
          <w:rFonts w:hint="eastAsia" w:ascii="仿宋_GB2312" w:hAnsi="仿宋_GB2312" w:eastAsia="仿宋_GB2312" w:cs="仿宋_GB2312"/>
          <w:highlight w:val="none"/>
          <w:u w:val="none"/>
        </w:rPr>
        <w:t>7良好的商业信誉和健全的财务会计制度证明材料</w:t>
      </w:r>
    </w:p>
    <w:p w14:paraId="07F85798">
      <w:pPr>
        <w:keepNext w:val="0"/>
        <w:keepLines w:val="0"/>
        <w:pageBreakBefore w:val="0"/>
        <w:widowControl w:val="0"/>
        <w:tabs>
          <w:tab w:val="left" w:pos="5580"/>
        </w:tabs>
        <w:wordWrap/>
        <w:overflowPunct/>
        <w:topLinePunct w:val="0"/>
        <w:bidi w:val="0"/>
        <w:spacing w:line="240" w:lineRule="atLeast"/>
        <w:ind w:left="1079" w:leftChars="257" w:hanging="540"/>
        <w:rPr>
          <w:rFonts w:ascii="仿宋_GB2312" w:eastAsia="仿宋_GB2312"/>
          <w:sz w:val="24"/>
          <w:highlight w:val="none"/>
        </w:rPr>
      </w:pPr>
      <w:r>
        <w:rPr>
          <w:rFonts w:hint="eastAsia" w:ascii="仿宋_GB2312" w:eastAsia="仿宋_GB2312"/>
          <w:sz w:val="24"/>
          <w:highlight w:val="none"/>
        </w:rPr>
        <w:t>说明：</w:t>
      </w:r>
    </w:p>
    <w:p w14:paraId="0DC71643">
      <w:pPr>
        <w:keepNext w:val="0"/>
        <w:keepLines w:val="0"/>
        <w:pageBreakBefore w:val="0"/>
        <w:widowControl w:val="0"/>
        <w:tabs>
          <w:tab w:val="left" w:pos="5580"/>
        </w:tabs>
        <w:wordWrap/>
        <w:overflowPunct/>
        <w:topLinePunct w:val="0"/>
        <w:bidi w:val="0"/>
        <w:spacing w:line="240" w:lineRule="atLeast"/>
        <w:ind w:left="540"/>
        <w:rPr>
          <w:rFonts w:hint="eastAsia" w:ascii="仿宋_GB2312" w:hAnsi="宋体" w:eastAsia="仿宋_GB2312"/>
          <w:bCs/>
          <w:sz w:val="24"/>
          <w:highlight w:val="none"/>
        </w:rPr>
      </w:pPr>
      <w:r>
        <w:rPr>
          <w:rFonts w:hint="eastAsia" w:ascii="仿宋_GB2312" w:eastAsia="仿宋_GB2312"/>
          <w:sz w:val="24"/>
          <w:highlight w:val="none"/>
        </w:rPr>
        <w:t>1、</w:t>
      </w:r>
      <w:r>
        <w:rPr>
          <w:rFonts w:hint="eastAsia" w:ascii="仿宋" w:hAnsi="仿宋" w:eastAsia="仿宋" w:cs="仿宋"/>
          <w:color w:val="000000" w:themeColor="text1"/>
          <w:sz w:val="24"/>
          <w:highlight w:val="none"/>
          <w14:textFill>
            <w14:solidFill>
              <w14:schemeClr w14:val="tx1"/>
            </w14:solidFill>
          </w14:textFill>
        </w:rPr>
        <w:t>良好的商业信誉和健全的财务会计制度证明材料</w:t>
      </w:r>
      <w:r>
        <w:rPr>
          <w:rFonts w:hint="eastAsia" w:ascii="宋体" w:hAnsi="宋体"/>
          <w:color w:val="000000" w:themeColor="text1"/>
          <w:sz w:val="24"/>
          <w:szCs w:val="21"/>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会计事务所出具的202</w:t>
      </w:r>
      <w:r>
        <w:rPr>
          <w:rFonts w:hint="eastAsia"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lang w:val="en-US" w:eastAsia="zh-CN"/>
          <w14:textFill>
            <w14:solidFill>
              <w14:schemeClr w14:val="tx1"/>
            </w14:solidFill>
          </w14:textFill>
        </w:rPr>
        <w:t>或2025年任意一</w:t>
      </w:r>
      <w:r>
        <w:rPr>
          <w:rFonts w:hint="eastAsia" w:ascii="仿宋" w:hAnsi="仿宋" w:eastAsia="仿宋" w:cs="仿宋"/>
          <w:color w:val="000000" w:themeColor="text1"/>
          <w:sz w:val="24"/>
          <w:highlight w:val="none"/>
          <w14:textFill>
            <w14:solidFill>
              <w14:schemeClr w14:val="tx1"/>
            </w14:solidFill>
          </w14:textFill>
        </w:rPr>
        <w:t>年度财务审计报告书；注册成立未满一年新公司可提供近三个月内任意一个月的银行资信证明）</w:t>
      </w:r>
      <w:r>
        <w:rPr>
          <w:rFonts w:hint="eastAsia" w:ascii="仿宋_GB2312" w:eastAsia="仿宋_GB2312"/>
          <w:bCs/>
          <w:sz w:val="24"/>
          <w:highlight w:val="none"/>
        </w:rPr>
        <w:t>。</w:t>
      </w:r>
    </w:p>
    <w:p w14:paraId="23965C33">
      <w:pPr>
        <w:keepNext w:val="0"/>
        <w:keepLines w:val="0"/>
        <w:pageBreakBefore w:val="0"/>
        <w:widowControl w:val="0"/>
        <w:tabs>
          <w:tab w:val="left" w:pos="5580"/>
        </w:tabs>
        <w:wordWrap/>
        <w:overflowPunct/>
        <w:topLinePunct w:val="0"/>
        <w:bidi w:val="0"/>
        <w:spacing w:line="240" w:lineRule="atLeast"/>
        <w:ind w:left="540"/>
        <w:rPr>
          <w:rFonts w:ascii="仿宋_GB2312" w:eastAsia="仿宋_GB2312"/>
          <w:sz w:val="24"/>
          <w:highlight w:val="none"/>
        </w:rPr>
      </w:pPr>
      <w:r>
        <w:rPr>
          <w:rFonts w:hint="eastAsia" w:ascii="仿宋_GB2312" w:eastAsia="仿宋_GB2312"/>
          <w:sz w:val="24"/>
          <w:highlight w:val="none"/>
        </w:rPr>
        <w:t>2、如提供</w:t>
      </w:r>
      <w:r>
        <w:rPr>
          <w:rFonts w:hint="eastAsia" w:ascii="仿宋_GB2312" w:hAnsi="宋体" w:eastAsia="仿宋_GB2312"/>
          <w:sz w:val="24"/>
          <w:highlight w:val="none"/>
        </w:rPr>
        <w:t>银行出具的证明文件。银行证明文件可提供原件，也可提供银行在开标日前三个月内开具证明文件的复印件。若提供的是复印件，招标采购单位保留审核原件的权利。</w:t>
      </w:r>
      <w:r>
        <w:rPr>
          <w:rFonts w:hint="eastAsia" w:ascii="仿宋_GB2312" w:eastAsia="仿宋_GB2312"/>
          <w:sz w:val="24"/>
          <w:highlight w:val="none"/>
        </w:rPr>
        <w:t>银行出具</w:t>
      </w:r>
      <w:r>
        <w:rPr>
          <w:rFonts w:ascii="仿宋_GB2312" w:eastAsia="仿宋_GB2312"/>
          <w:sz w:val="24"/>
          <w:highlight w:val="none"/>
        </w:rPr>
        <w:t>的</w:t>
      </w:r>
      <w:r>
        <w:rPr>
          <w:rFonts w:hint="eastAsia" w:ascii="仿宋_GB2312" w:eastAsia="仿宋_GB2312"/>
          <w:sz w:val="24"/>
          <w:highlight w:val="none"/>
        </w:rPr>
        <w:t>证明文件应能说明该投标人与银行之间业务往来正常，企业信誉良好等。</w:t>
      </w:r>
    </w:p>
    <w:p w14:paraId="22DCB591">
      <w:pPr>
        <w:keepNext w:val="0"/>
        <w:keepLines w:val="0"/>
        <w:pageBreakBefore w:val="0"/>
        <w:widowControl w:val="0"/>
        <w:tabs>
          <w:tab w:val="left" w:pos="5580"/>
        </w:tabs>
        <w:wordWrap/>
        <w:overflowPunct/>
        <w:topLinePunct w:val="0"/>
        <w:bidi w:val="0"/>
        <w:spacing w:line="240" w:lineRule="atLeast"/>
        <w:ind w:left="1079" w:leftChars="257" w:hanging="540"/>
        <w:rPr>
          <w:rFonts w:ascii="仿宋_GB2312" w:eastAsia="仿宋_GB2312"/>
          <w:sz w:val="24"/>
          <w:highlight w:val="none"/>
        </w:rPr>
      </w:pPr>
      <w:r>
        <w:rPr>
          <w:rFonts w:ascii="仿宋_GB2312" w:eastAsia="仿宋_GB2312"/>
          <w:sz w:val="24"/>
          <w:highlight w:val="none"/>
        </w:rPr>
        <w:t>3</w:t>
      </w:r>
      <w:r>
        <w:rPr>
          <w:rFonts w:hint="eastAsia" w:ascii="仿宋_GB2312" w:eastAsia="仿宋_GB2312"/>
          <w:sz w:val="24"/>
          <w:highlight w:val="none"/>
        </w:rPr>
        <w:t>、如果是联合体投标，联合体各方均需提供上述证明。</w:t>
      </w:r>
    </w:p>
    <w:p w14:paraId="22E310E5">
      <w:pPr>
        <w:rPr>
          <w:rFonts w:hint="eastAsia" w:ascii="仿宋_GB2312" w:hAnsi="仿宋_GB2312" w:eastAsia="仿宋_GB2312" w:cs="仿宋_GB2312"/>
          <w:highlight w:val="none"/>
          <w:u w:val="none"/>
        </w:rPr>
      </w:pPr>
    </w:p>
    <w:p w14:paraId="15BE9FE8">
      <w:pPr>
        <w:rPr>
          <w:rFonts w:hint="eastAsia" w:ascii="仿宋_GB2312" w:hAnsi="仿宋_GB2312" w:eastAsia="仿宋_GB2312" w:cs="仿宋_GB2312"/>
          <w:highlight w:val="none"/>
          <w:u w:val="none"/>
        </w:rPr>
      </w:pPr>
    </w:p>
    <w:p w14:paraId="7F0B8F73">
      <w:pPr>
        <w:rPr>
          <w:rFonts w:hint="eastAsia" w:ascii="仿宋_GB2312" w:hAnsi="仿宋_GB2312" w:eastAsia="仿宋_GB2312" w:cs="仿宋_GB2312"/>
          <w:highlight w:val="none"/>
          <w:u w:val="none"/>
        </w:rPr>
      </w:pPr>
      <w:r>
        <w:rPr>
          <w:rFonts w:hint="eastAsia" w:ascii="仿宋_GB2312" w:hAnsi="仿宋_GB2312" w:eastAsia="仿宋_GB2312" w:cs="仿宋_GB2312"/>
          <w:highlight w:val="none"/>
          <w:u w:val="none"/>
        </w:rPr>
        <w:br w:type="page"/>
      </w:r>
    </w:p>
    <w:p w14:paraId="2E6176B4">
      <w:pPr>
        <w:pStyle w:val="4"/>
        <w:keepNext w:val="0"/>
        <w:keepLines w:val="0"/>
        <w:pageBreakBefore w:val="0"/>
        <w:widowControl w:val="0"/>
        <w:wordWrap/>
        <w:overflowPunct/>
        <w:topLinePunct w:val="0"/>
        <w:bidi w:val="0"/>
        <w:spacing w:before="0" w:after="0" w:line="288" w:lineRule="auto"/>
        <w:ind w:left="1078" w:leftChars="257" w:hanging="539"/>
        <w:jc w:val="center"/>
        <w:rPr>
          <w:rFonts w:hint="eastAsia" w:ascii="仿宋_GB2312" w:hAnsi="仿宋_GB2312" w:eastAsia="仿宋_GB2312" w:cs="仿宋_GB2312"/>
          <w:highlight w:val="none"/>
          <w:u w:val="none"/>
        </w:rPr>
      </w:pPr>
      <w:r>
        <w:rPr>
          <w:rFonts w:hint="eastAsia" w:ascii="仿宋_GB2312" w:hAnsi="仿宋_GB2312" w:eastAsia="仿宋_GB2312" w:cs="仿宋_GB2312"/>
          <w:highlight w:val="none"/>
          <w:u w:val="none"/>
          <w:lang w:val="en-US" w:eastAsia="zh-CN"/>
        </w:rPr>
        <w:t>8</w:t>
      </w:r>
      <w:r>
        <w:rPr>
          <w:rFonts w:hint="eastAsia" w:ascii="仿宋_GB2312" w:hAnsi="仿宋_GB2312" w:eastAsia="仿宋_GB2312" w:cs="仿宋_GB2312"/>
          <w:highlight w:val="none"/>
          <w:u w:val="none"/>
        </w:rPr>
        <w:t>投标保证金缴纳凭证复印件</w:t>
      </w:r>
      <w:bookmarkEnd w:id="721"/>
      <w:bookmarkEnd w:id="722"/>
      <w:bookmarkEnd w:id="723"/>
    </w:p>
    <w:p w14:paraId="4795289A">
      <w:pPr>
        <w:pStyle w:val="23"/>
        <w:keepNext w:val="0"/>
        <w:keepLines w:val="0"/>
        <w:pageBreakBefore w:val="0"/>
        <w:widowControl w:val="0"/>
        <w:wordWrap/>
        <w:overflowPunct/>
        <w:topLinePunct w:val="0"/>
        <w:bidi w:val="0"/>
        <w:spacing w:beforeAutospacing="0" w:afterAutospacing="0" w:line="360" w:lineRule="auto"/>
        <w:ind w:left="147" w:firstLine="480" w:firstLineChars="200"/>
        <w:textAlignment w:val="auto"/>
        <w:rPr>
          <w:rFonts w:hint="eastAsia" w:ascii="仿宋" w:hAnsi="仿宋" w:eastAsia="仿宋"/>
          <w:highlight w:val="none"/>
        </w:rPr>
      </w:pPr>
      <w:r>
        <w:rPr>
          <w:rFonts w:hint="eastAsia" w:ascii="仿宋" w:hAnsi="仿宋" w:eastAsia="仿宋" w:cs="Times New Roman"/>
          <w:highlight w:val="none"/>
        </w:rPr>
        <w:t>投标保证金应当以支票、汇票、本票或者金融机构、担保机构出具的保函等非现金形式提交。投标人未按照招标文件要求提交投标保证金的，投标无效。</w:t>
      </w:r>
      <w:bookmarkStart w:id="734" w:name="_Toc494296991"/>
      <w:bookmarkStart w:id="735" w:name="_Toc494296665"/>
      <w:r>
        <w:rPr>
          <w:rFonts w:hint="eastAsia" w:ascii="仿宋" w:hAnsi="仿宋" w:eastAsia="仿宋" w:cs="Times New Roman"/>
          <w:highlight w:val="none"/>
        </w:rPr>
        <w:t>投</w:t>
      </w:r>
      <w:r>
        <w:rPr>
          <w:rFonts w:hint="eastAsia" w:ascii="仿宋" w:hAnsi="仿宋" w:eastAsia="仿宋"/>
          <w:highlight w:val="none"/>
        </w:rPr>
        <w:t>标人可将本项目</w:t>
      </w:r>
      <w:r>
        <w:rPr>
          <w:rFonts w:ascii="仿宋" w:hAnsi="仿宋" w:eastAsia="仿宋"/>
          <w:highlight w:val="none"/>
        </w:rPr>
        <w:t>保证金</w:t>
      </w:r>
      <w:r>
        <w:rPr>
          <w:rFonts w:hint="eastAsia" w:ascii="仿宋" w:hAnsi="仿宋" w:eastAsia="仿宋" w:cs="Times New Roman"/>
          <w:highlight w:val="none"/>
        </w:rPr>
        <w:t>凭证</w:t>
      </w:r>
      <w:r>
        <w:rPr>
          <w:rFonts w:hint="eastAsia" w:ascii="仿宋" w:hAnsi="仿宋" w:eastAsia="仿宋"/>
          <w:highlight w:val="none"/>
        </w:rPr>
        <w:t>的复印件作为缴纳凭证体现在本部分中，复印件上应加盖本单位章；使用</w:t>
      </w:r>
      <w:r>
        <w:rPr>
          <w:rFonts w:ascii="仿宋" w:hAnsi="仿宋" w:eastAsia="仿宋"/>
          <w:highlight w:val="none"/>
        </w:rPr>
        <w:t>银行保函</w:t>
      </w:r>
      <w:r>
        <w:rPr>
          <w:rFonts w:hint="eastAsia" w:ascii="仿宋" w:hAnsi="仿宋" w:eastAsia="仿宋"/>
          <w:highlight w:val="none"/>
        </w:rPr>
        <w:t>等其他投标</w:t>
      </w:r>
      <w:r>
        <w:rPr>
          <w:rFonts w:ascii="仿宋" w:hAnsi="仿宋" w:eastAsia="仿宋"/>
          <w:highlight w:val="none"/>
        </w:rPr>
        <w:t>担保函的，</w:t>
      </w:r>
      <w:r>
        <w:rPr>
          <w:rFonts w:hint="eastAsia" w:ascii="仿宋" w:hAnsi="仿宋" w:eastAsia="仿宋"/>
          <w:highlight w:val="none"/>
        </w:rPr>
        <w:t>应将</w:t>
      </w:r>
      <w:r>
        <w:rPr>
          <w:rFonts w:ascii="仿宋" w:hAnsi="仿宋" w:eastAsia="仿宋"/>
          <w:highlight w:val="none"/>
        </w:rPr>
        <w:t>担保函</w:t>
      </w:r>
      <w:r>
        <w:rPr>
          <w:rFonts w:hint="eastAsia" w:ascii="仿宋" w:hAnsi="仿宋" w:eastAsia="仿宋"/>
          <w:highlight w:val="none"/>
        </w:rPr>
        <w:t>复印件，体现在本部分</w:t>
      </w:r>
      <w:r>
        <w:rPr>
          <w:rFonts w:ascii="仿宋" w:hAnsi="仿宋" w:eastAsia="仿宋"/>
          <w:highlight w:val="none"/>
        </w:rPr>
        <w:t>中；</w:t>
      </w:r>
      <w:r>
        <w:rPr>
          <w:rFonts w:hint="eastAsia" w:ascii="仿宋" w:hAnsi="仿宋" w:eastAsia="仿宋"/>
          <w:highlight w:val="none"/>
        </w:rPr>
        <w:t>如采用政府采购信用担保形式的，</w:t>
      </w:r>
      <w:r>
        <w:rPr>
          <w:rFonts w:ascii="仿宋" w:hAnsi="仿宋" w:eastAsia="仿宋"/>
          <w:highlight w:val="none"/>
        </w:rPr>
        <w:t>应使用</w:t>
      </w:r>
      <w:r>
        <w:rPr>
          <w:rFonts w:hint="eastAsia" w:ascii="仿宋" w:hAnsi="仿宋" w:eastAsia="仿宋"/>
          <w:highlight w:val="none"/>
        </w:rPr>
        <w:t>以下模板,将复印件体现</w:t>
      </w:r>
      <w:r>
        <w:rPr>
          <w:rFonts w:ascii="仿宋" w:hAnsi="仿宋" w:eastAsia="仿宋"/>
          <w:highlight w:val="none"/>
        </w:rPr>
        <w:t>在本部分中</w:t>
      </w:r>
      <w:r>
        <w:rPr>
          <w:rFonts w:hint="eastAsia" w:ascii="仿宋" w:hAnsi="仿宋" w:eastAsia="仿宋"/>
          <w:highlight w:val="none"/>
        </w:rPr>
        <w:t>。</w:t>
      </w:r>
      <w:bookmarkEnd w:id="734"/>
      <w:bookmarkEnd w:id="735"/>
    </w:p>
    <w:p w14:paraId="405D6311">
      <w:pPr>
        <w:keepNext w:val="0"/>
        <w:keepLines w:val="0"/>
        <w:pageBreakBefore w:val="0"/>
        <w:widowControl w:val="0"/>
        <w:wordWrap/>
        <w:overflowPunct/>
        <w:topLinePunct w:val="0"/>
        <w:bidi w:val="0"/>
        <w:jc w:val="center"/>
        <w:rPr>
          <w:rFonts w:hint="eastAsia" w:ascii="仿宋" w:hAnsi="仿宋" w:eastAsia="仿宋"/>
          <w:sz w:val="28"/>
          <w:szCs w:val="28"/>
          <w:highlight w:val="none"/>
        </w:rPr>
      </w:pPr>
    </w:p>
    <w:p w14:paraId="5D8C270A">
      <w:pPr>
        <w:keepNext w:val="0"/>
        <w:keepLines w:val="0"/>
        <w:pageBreakBefore w:val="0"/>
        <w:widowControl w:val="0"/>
        <w:wordWrap/>
        <w:overflowPunct/>
        <w:topLinePunct w:val="0"/>
        <w:bidi w:val="0"/>
        <w:jc w:val="center"/>
        <w:rPr>
          <w:rFonts w:hint="eastAsia" w:ascii="仿宋" w:hAnsi="仿宋" w:eastAsia="仿宋"/>
          <w:sz w:val="28"/>
          <w:szCs w:val="28"/>
          <w:highlight w:val="none"/>
        </w:rPr>
      </w:pPr>
    </w:p>
    <w:p w14:paraId="6763762D">
      <w:pPr>
        <w:pStyle w:val="20"/>
        <w:keepNext w:val="0"/>
        <w:keepLines w:val="0"/>
        <w:pageBreakBefore w:val="0"/>
        <w:widowControl w:val="0"/>
        <w:wordWrap/>
        <w:overflowPunct/>
        <w:topLinePunct w:val="0"/>
        <w:bidi w:val="0"/>
        <w:rPr>
          <w:rFonts w:hint="eastAsia" w:ascii="仿宋" w:hAnsi="仿宋" w:eastAsia="仿宋"/>
          <w:sz w:val="28"/>
          <w:szCs w:val="28"/>
          <w:highlight w:val="none"/>
        </w:rPr>
      </w:pPr>
    </w:p>
    <w:p w14:paraId="43F305B9">
      <w:pPr>
        <w:pStyle w:val="10"/>
        <w:keepNext w:val="0"/>
        <w:keepLines w:val="0"/>
        <w:pageBreakBefore w:val="0"/>
        <w:widowControl w:val="0"/>
        <w:wordWrap/>
        <w:overflowPunct/>
        <w:topLinePunct w:val="0"/>
        <w:bidi w:val="0"/>
        <w:rPr>
          <w:rFonts w:hint="eastAsia" w:ascii="仿宋" w:hAnsi="仿宋" w:eastAsia="仿宋"/>
          <w:sz w:val="28"/>
          <w:szCs w:val="28"/>
          <w:highlight w:val="none"/>
        </w:rPr>
      </w:pPr>
    </w:p>
    <w:p w14:paraId="185147FD">
      <w:pPr>
        <w:pStyle w:val="24"/>
        <w:keepNext w:val="0"/>
        <w:keepLines w:val="0"/>
        <w:pageBreakBefore w:val="0"/>
        <w:widowControl w:val="0"/>
        <w:wordWrap/>
        <w:overflowPunct/>
        <w:topLinePunct w:val="0"/>
        <w:bidi w:val="0"/>
        <w:ind w:firstLine="280"/>
        <w:rPr>
          <w:rFonts w:ascii="仿宋" w:hAnsi="仿宋" w:eastAsia="仿宋"/>
          <w:sz w:val="28"/>
          <w:szCs w:val="28"/>
          <w:highlight w:val="none"/>
        </w:rPr>
      </w:pPr>
    </w:p>
    <w:p w14:paraId="4099C7E9">
      <w:pPr>
        <w:keepNext w:val="0"/>
        <w:keepLines w:val="0"/>
        <w:pageBreakBefore w:val="0"/>
        <w:widowControl w:val="0"/>
        <w:wordWrap/>
        <w:overflowPunct/>
        <w:topLinePunct w:val="0"/>
        <w:bidi w:val="0"/>
        <w:rPr>
          <w:rFonts w:hint="eastAsia" w:ascii="仿宋" w:hAnsi="仿宋" w:eastAsia="仿宋"/>
          <w:sz w:val="28"/>
          <w:szCs w:val="28"/>
          <w:highlight w:val="none"/>
        </w:rPr>
      </w:pPr>
    </w:p>
    <w:p w14:paraId="257A929F">
      <w:pPr>
        <w:pStyle w:val="20"/>
        <w:keepNext w:val="0"/>
        <w:keepLines w:val="0"/>
        <w:pageBreakBefore w:val="0"/>
        <w:widowControl w:val="0"/>
        <w:wordWrap/>
        <w:overflowPunct/>
        <w:topLinePunct w:val="0"/>
        <w:bidi w:val="0"/>
        <w:rPr>
          <w:rFonts w:hint="eastAsia" w:ascii="仿宋" w:hAnsi="仿宋" w:eastAsia="仿宋"/>
          <w:sz w:val="28"/>
          <w:szCs w:val="28"/>
          <w:highlight w:val="none"/>
        </w:rPr>
      </w:pPr>
    </w:p>
    <w:p w14:paraId="3D324007">
      <w:pPr>
        <w:pStyle w:val="10"/>
        <w:keepNext w:val="0"/>
        <w:keepLines w:val="0"/>
        <w:pageBreakBefore w:val="0"/>
        <w:widowControl w:val="0"/>
        <w:wordWrap/>
        <w:overflowPunct/>
        <w:topLinePunct w:val="0"/>
        <w:bidi w:val="0"/>
        <w:rPr>
          <w:rFonts w:hint="eastAsia" w:ascii="仿宋" w:hAnsi="仿宋" w:eastAsia="仿宋"/>
          <w:sz w:val="28"/>
          <w:szCs w:val="28"/>
          <w:highlight w:val="none"/>
        </w:rPr>
      </w:pPr>
    </w:p>
    <w:p w14:paraId="35B0C22C">
      <w:pPr>
        <w:pStyle w:val="24"/>
        <w:keepNext w:val="0"/>
        <w:keepLines w:val="0"/>
        <w:pageBreakBefore w:val="0"/>
        <w:widowControl w:val="0"/>
        <w:wordWrap/>
        <w:overflowPunct/>
        <w:topLinePunct w:val="0"/>
        <w:bidi w:val="0"/>
        <w:ind w:firstLine="280"/>
        <w:rPr>
          <w:rFonts w:ascii="仿宋" w:hAnsi="仿宋" w:eastAsia="仿宋"/>
          <w:sz w:val="28"/>
          <w:szCs w:val="28"/>
          <w:highlight w:val="none"/>
        </w:rPr>
      </w:pPr>
    </w:p>
    <w:p w14:paraId="5DF0F57B">
      <w:pPr>
        <w:keepNext w:val="0"/>
        <w:keepLines w:val="0"/>
        <w:pageBreakBefore w:val="0"/>
        <w:widowControl w:val="0"/>
        <w:wordWrap/>
        <w:overflowPunct/>
        <w:topLinePunct w:val="0"/>
        <w:bidi w:val="0"/>
        <w:rPr>
          <w:rFonts w:hint="eastAsia" w:ascii="仿宋" w:hAnsi="仿宋" w:eastAsia="仿宋"/>
          <w:sz w:val="28"/>
          <w:szCs w:val="28"/>
          <w:highlight w:val="none"/>
        </w:rPr>
      </w:pPr>
    </w:p>
    <w:p w14:paraId="3DA39EEB">
      <w:pPr>
        <w:pStyle w:val="20"/>
        <w:keepNext w:val="0"/>
        <w:keepLines w:val="0"/>
        <w:pageBreakBefore w:val="0"/>
        <w:widowControl w:val="0"/>
        <w:wordWrap/>
        <w:overflowPunct/>
        <w:topLinePunct w:val="0"/>
        <w:bidi w:val="0"/>
        <w:rPr>
          <w:rFonts w:hint="eastAsia" w:ascii="仿宋" w:hAnsi="仿宋" w:eastAsia="仿宋"/>
          <w:sz w:val="28"/>
          <w:szCs w:val="28"/>
          <w:highlight w:val="none"/>
        </w:rPr>
      </w:pPr>
    </w:p>
    <w:p w14:paraId="58823D6F">
      <w:pPr>
        <w:pStyle w:val="10"/>
        <w:rPr>
          <w:rFonts w:hint="eastAsia" w:ascii="仿宋" w:hAnsi="仿宋" w:eastAsia="仿宋"/>
          <w:sz w:val="28"/>
          <w:szCs w:val="28"/>
          <w:highlight w:val="none"/>
        </w:rPr>
      </w:pPr>
    </w:p>
    <w:p w14:paraId="132E5427">
      <w:pPr>
        <w:keepNext w:val="0"/>
        <w:keepLines w:val="0"/>
        <w:pageBreakBefore w:val="0"/>
        <w:widowControl w:val="0"/>
        <w:wordWrap/>
        <w:overflowPunct/>
        <w:topLinePunct w:val="0"/>
        <w:bidi w:val="0"/>
        <w:jc w:val="center"/>
        <w:rPr>
          <w:rFonts w:hint="eastAsia" w:ascii="仿宋" w:hAnsi="仿宋" w:eastAsia="仿宋"/>
          <w:sz w:val="28"/>
          <w:szCs w:val="28"/>
          <w:highlight w:val="none"/>
        </w:rPr>
      </w:pPr>
    </w:p>
    <w:p w14:paraId="5753A9B1">
      <w:pPr>
        <w:keepNext w:val="0"/>
        <w:keepLines w:val="0"/>
        <w:pageBreakBefore w:val="0"/>
        <w:widowControl w:val="0"/>
        <w:wordWrap/>
        <w:overflowPunct/>
        <w:topLinePunct w:val="0"/>
        <w:bidi w:val="0"/>
        <w:jc w:val="center"/>
        <w:rPr>
          <w:rFonts w:hint="eastAsia" w:ascii="仿宋" w:hAnsi="仿宋" w:eastAsia="仿宋"/>
          <w:sz w:val="28"/>
          <w:szCs w:val="28"/>
          <w:highlight w:val="none"/>
        </w:rPr>
      </w:pPr>
    </w:p>
    <w:p w14:paraId="7323C3CB">
      <w:pPr>
        <w:keepNext w:val="0"/>
        <w:keepLines w:val="0"/>
        <w:pageBreakBefore w:val="0"/>
        <w:widowControl w:val="0"/>
        <w:wordWrap/>
        <w:overflowPunct/>
        <w:topLinePunct w:val="0"/>
        <w:bidi w:val="0"/>
        <w:jc w:val="center"/>
        <w:rPr>
          <w:rFonts w:hint="eastAsia" w:ascii="仿宋" w:hAnsi="仿宋" w:eastAsia="仿宋"/>
          <w:sz w:val="28"/>
          <w:szCs w:val="28"/>
          <w:highlight w:val="none"/>
        </w:rPr>
      </w:pPr>
    </w:p>
    <w:p w14:paraId="4BC2037C">
      <w:pPr>
        <w:keepNext w:val="0"/>
        <w:keepLines w:val="0"/>
        <w:pageBreakBefore w:val="0"/>
        <w:widowControl w:val="0"/>
        <w:wordWrap/>
        <w:overflowPunct/>
        <w:topLinePunct w:val="0"/>
        <w:bidi w:val="0"/>
        <w:jc w:val="center"/>
        <w:rPr>
          <w:rFonts w:hint="eastAsia" w:ascii="仿宋" w:hAnsi="仿宋" w:eastAsia="仿宋"/>
          <w:sz w:val="28"/>
          <w:szCs w:val="28"/>
          <w:highlight w:val="none"/>
          <w:lang w:eastAsia="zh-CN"/>
        </w:rPr>
      </w:pPr>
      <w:r>
        <w:rPr>
          <w:rFonts w:hint="eastAsia" w:ascii="仿宋" w:hAnsi="仿宋" w:eastAsia="仿宋"/>
          <w:sz w:val="28"/>
          <w:szCs w:val="28"/>
          <w:highlight w:val="none"/>
        </w:rPr>
        <w:t>政府采购投标担保函</w:t>
      </w:r>
      <w:r>
        <w:rPr>
          <w:rFonts w:hint="eastAsia" w:ascii="仿宋" w:hAnsi="仿宋" w:eastAsia="仿宋"/>
          <w:sz w:val="28"/>
          <w:szCs w:val="28"/>
          <w:highlight w:val="none"/>
          <w:lang w:eastAsia="zh-CN"/>
        </w:rPr>
        <w:t>（</w:t>
      </w:r>
      <w:r>
        <w:rPr>
          <w:rFonts w:hint="eastAsia" w:ascii="仿宋" w:hAnsi="仿宋" w:eastAsia="仿宋"/>
          <w:sz w:val="28"/>
          <w:szCs w:val="28"/>
          <w:highlight w:val="none"/>
          <w:lang w:val="en-US" w:eastAsia="zh-CN"/>
        </w:rPr>
        <w:t>担保时适用</w:t>
      </w:r>
      <w:r>
        <w:rPr>
          <w:rFonts w:hint="eastAsia" w:ascii="仿宋" w:hAnsi="仿宋" w:eastAsia="仿宋"/>
          <w:sz w:val="28"/>
          <w:szCs w:val="28"/>
          <w:highlight w:val="none"/>
          <w:lang w:eastAsia="zh-CN"/>
        </w:rPr>
        <w:t>）</w:t>
      </w:r>
    </w:p>
    <w:p w14:paraId="44C95EC9">
      <w:pPr>
        <w:keepNext w:val="0"/>
        <w:keepLines w:val="0"/>
        <w:pageBreakBefore w:val="0"/>
        <w:widowControl w:val="0"/>
        <w:wordWrap/>
        <w:overflowPunct/>
        <w:topLinePunct w:val="0"/>
        <w:bidi w:val="0"/>
        <w:ind w:firstLine="6720" w:firstLineChars="3200"/>
        <w:rPr>
          <w:rFonts w:hint="eastAsia" w:ascii="仿宋" w:hAnsi="仿宋" w:eastAsia="仿宋"/>
          <w:highlight w:val="none"/>
        </w:rPr>
      </w:pPr>
      <w:r>
        <w:rPr>
          <w:rFonts w:hint="eastAsia" w:ascii="仿宋" w:hAnsi="仿宋" w:eastAsia="仿宋"/>
          <w:highlight w:val="none"/>
        </w:rPr>
        <w:t>编号：</w:t>
      </w:r>
    </w:p>
    <w:p w14:paraId="3FDB5682">
      <w:pPr>
        <w:keepNext w:val="0"/>
        <w:keepLines w:val="0"/>
        <w:pageBreakBefore w:val="0"/>
        <w:widowControl w:val="0"/>
        <w:tabs>
          <w:tab w:val="left" w:pos="6669"/>
        </w:tabs>
        <w:wordWrap/>
        <w:overflowPunct/>
        <w:topLinePunct w:val="0"/>
        <w:bidi w:val="0"/>
        <w:rPr>
          <w:rFonts w:hint="eastAsia" w:ascii="仿宋" w:hAnsi="仿宋" w:eastAsia="仿宋"/>
          <w:highlight w:val="none"/>
        </w:rPr>
      </w:pPr>
      <w:r>
        <w:rPr>
          <w:rFonts w:hint="eastAsia" w:ascii="仿宋" w:hAnsi="仿宋" w:eastAsia="仿宋"/>
          <w:highlight w:val="none"/>
        </w:rPr>
        <w:t>（采购人或采购代理机构）：</w:t>
      </w:r>
      <w:r>
        <w:rPr>
          <w:rFonts w:hint="eastAsia" w:ascii="仿宋" w:hAnsi="仿宋" w:eastAsia="仿宋"/>
          <w:highlight w:val="none"/>
        </w:rPr>
        <w:tab/>
      </w:r>
    </w:p>
    <w:p w14:paraId="2FA5CBE4">
      <w:pPr>
        <w:keepNext w:val="0"/>
        <w:keepLines w:val="0"/>
        <w:pageBreakBefore w:val="0"/>
        <w:widowControl w:val="0"/>
        <w:wordWrap/>
        <w:overflowPunct/>
        <w:topLinePunct w:val="0"/>
        <w:bidi w:val="0"/>
        <w:rPr>
          <w:rFonts w:hint="eastAsia" w:ascii="仿宋" w:hAnsi="仿宋" w:eastAsia="仿宋"/>
          <w:highlight w:val="none"/>
        </w:rPr>
      </w:pPr>
    </w:p>
    <w:p w14:paraId="326FCEE7">
      <w:pPr>
        <w:keepNext w:val="0"/>
        <w:keepLines w:val="0"/>
        <w:pageBreakBefore w:val="0"/>
        <w:widowControl w:val="0"/>
        <w:wordWrap/>
        <w:overflowPunct/>
        <w:topLinePunct w:val="0"/>
        <w:bidi w:val="0"/>
        <w:ind w:firstLine="420" w:firstLineChars="200"/>
        <w:rPr>
          <w:rFonts w:hint="eastAsia" w:ascii="仿宋" w:hAnsi="仿宋" w:eastAsia="仿宋"/>
          <w:highlight w:val="none"/>
        </w:rPr>
      </w:pPr>
      <w:r>
        <w:rPr>
          <w:rFonts w:hint="eastAsia" w:ascii="仿宋" w:hAnsi="仿宋" w:eastAsia="仿宋"/>
          <w:highlight w:val="none"/>
        </w:rPr>
        <w:t>鉴于（以下简称“投标人”）拟参加编号为的</w:t>
      </w:r>
    </w:p>
    <w:p w14:paraId="616F9001">
      <w:pPr>
        <w:keepNext w:val="0"/>
        <w:keepLines w:val="0"/>
        <w:pageBreakBefore w:val="0"/>
        <w:widowControl w:val="0"/>
        <w:wordWrap/>
        <w:overflowPunct/>
        <w:topLinePunct w:val="0"/>
        <w:bidi w:val="0"/>
        <w:rPr>
          <w:rFonts w:hint="eastAsia" w:ascii="仿宋" w:hAnsi="仿宋" w:eastAsia="仿宋"/>
          <w:highlight w:val="none"/>
        </w:rPr>
      </w:pPr>
      <w:r>
        <w:rPr>
          <w:rFonts w:hint="eastAsia" w:ascii="仿宋" w:hAnsi="仿宋" w:eastAsia="仿宋"/>
          <w:highlight w:val="none"/>
        </w:rPr>
        <w:t>项目（以下简称“本项目”）投标，根据本项目招标文件，供应商参加投标时应向你方交纳投标保证金，且可以投标担保函的形式交纳投标保证金。应供应商的申请，我方以保证的方式向你方提供如下投标保证金担保：</w:t>
      </w:r>
    </w:p>
    <w:p w14:paraId="24285955">
      <w:pPr>
        <w:keepNext w:val="0"/>
        <w:keepLines w:val="0"/>
        <w:pageBreakBefore w:val="0"/>
        <w:widowControl w:val="0"/>
        <w:wordWrap/>
        <w:overflowPunct/>
        <w:topLinePunct w:val="0"/>
        <w:bidi w:val="0"/>
        <w:ind w:firstLine="420" w:firstLineChars="200"/>
        <w:rPr>
          <w:rFonts w:hint="eastAsia" w:ascii="仿宋" w:hAnsi="仿宋" w:eastAsia="仿宋"/>
          <w:highlight w:val="none"/>
        </w:rPr>
      </w:pPr>
      <w:r>
        <w:rPr>
          <w:rFonts w:hint="eastAsia" w:ascii="仿宋" w:hAnsi="仿宋" w:eastAsia="仿宋"/>
          <w:highlight w:val="none"/>
        </w:rPr>
        <w:t>一、保证责任的情形及保证金额</w:t>
      </w:r>
    </w:p>
    <w:p w14:paraId="10FCD1A8">
      <w:pPr>
        <w:keepNext w:val="0"/>
        <w:keepLines w:val="0"/>
        <w:pageBreakBefore w:val="0"/>
        <w:widowControl w:val="0"/>
        <w:wordWrap/>
        <w:overflowPunct/>
        <w:topLinePunct w:val="0"/>
        <w:bidi w:val="0"/>
        <w:ind w:firstLine="210" w:firstLineChars="100"/>
        <w:rPr>
          <w:rFonts w:hint="eastAsia" w:ascii="仿宋" w:hAnsi="仿宋" w:eastAsia="仿宋"/>
          <w:highlight w:val="none"/>
        </w:rPr>
      </w:pPr>
      <w:r>
        <w:rPr>
          <w:rFonts w:hint="eastAsia" w:ascii="仿宋" w:hAnsi="仿宋" w:eastAsia="仿宋"/>
          <w:highlight w:val="none"/>
        </w:rPr>
        <w:t>（一）在投标人出现下列情形之一时，我方承担保证责任：</w:t>
      </w:r>
    </w:p>
    <w:p w14:paraId="62B73537">
      <w:pPr>
        <w:keepNext w:val="0"/>
        <w:keepLines w:val="0"/>
        <w:pageBreakBefore w:val="0"/>
        <w:widowControl w:val="0"/>
        <w:wordWrap/>
        <w:overflowPunct/>
        <w:topLinePunct w:val="0"/>
        <w:bidi w:val="0"/>
        <w:ind w:firstLine="420" w:firstLineChars="200"/>
        <w:rPr>
          <w:rFonts w:hint="eastAsia" w:ascii="仿宋" w:hAnsi="仿宋" w:eastAsia="仿宋"/>
          <w:highlight w:val="none"/>
        </w:rPr>
      </w:pPr>
      <w:r>
        <w:rPr>
          <w:rFonts w:hint="eastAsia" w:ascii="仿宋" w:hAnsi="仿宋" w:eastAsia="仿宋"/>
          <w:highlight w:val="none"/>
        </w:rPr>
        <w:t>1．中标后投标人无正当理由不与采购人或者采购代理机构签订《政府采购合同》；</w:t>
      </w:r>
    </w:p>
    <w:p w14:paraId="5B91E157">
      <w:pPr>
        <w:keepNext w:val="0"/>
        <w:keepLines w:val="0"/>
        <w:pageBreakBefore w:val="0"/>
        <w:widowControl w:val="0"/>
        <w:wordWrap/>
        <w:overflowPunct/>
        <w:topLinePunct w:val="0"/>
        <w:bidi w:val="0"/>
        <w:ind w:firstLine="420" w:firstLineChars="200"/>
        <w:rPr>
          <w:rFonts w:hint="eastAsia" w:ascii="仿宋" w:hAnsi="仿宋" w:eastAsia="仿宋"/>
          <w:highlight w:val="none"/>
        </w:rPr>
      </w:pPr>
      <w:r>
        <w:rPr>
          <w:rFonts w:hint="eastAsia" w:ascii="仿宋" w:hAnsi="仿宋" w:eastAsia="仿宋"/>
          <w:highlight w:val="none"/>
        </w:rPr>
        <w:t>2．招标文件规定的投标人应当缴纳保证金的其他情形。</w:t>
      </w:r>
    </w:p>
    <w:p w14:paraId="50FF0CB1">
      <w:pPr>
        <w:keepNext w:val="0"/>
        <w:keepLines w:val="0"/>
        <w:pageBreakBefore w:val="0"/>
        <w:widowControl w:val="0"/>
        <w:wordWrap/>
        <w:overflowPunct/>
        <w:topLinePunct w:val="0"/>
        <w:bidi w:val="0"/>
        <w:ind w:firstLine="210" w:firstLineChars="100"/>
        <w:rPr>
          <w:rFonts w:hint="eastAsia" w:ascii="仿宋" w:hAnsi="仿宋" w:eastAsia="仿宋"/>
          <w:highlight w:val="none"/>
        </w:rPr>
      </w:pPr>
      <w:r>
        <w:rPr>
          <w:rFonts w:hint="eastAsia" w:ascii="仿宋" w:hAnsi="仿宋" w:eastAsia="仿宋"/>
          <w:highlight w:val="none"/>
        </w:rPr>
        <w:t>（二）我方承担保证责任的最高金额为人民币元（大写），即本项目的投标保证金金额。</w:t>
      </w:r>
    </w:p>
    <w:p w14:paraId="6378C590">
      <w:pPr>
        <w:keepNext w:val="0"/>
        <w:keepLines w:val="0"/>
        <w:pageBreakBefore w:val="0"/>
        <w:widowControl w:val="0"/>
        <w:wordWrap/>
        <w:overflowPunct/>
        <w:topLinePunct w:val="0"/>
        <w:bidi w:val="0"/>
        <w:ind w:firstLine="420" w:firstLineChars="200"/>
        <w:rPr>
          <w:rFonts w:hint="eastAsia" w:ascii="仿宋" w:hAnsi="仿宋" w:eastAsia="仿宋"/>
          <w:highlight w:val="none"/>
        </w:rPr>
      </w:pPr>
      <w:r>
        <w:rPr>
          <w:rFonts w:hint="eastAsia" w:ascii="仿宋" w:hAnsi="仿宋" w:eastAsia="仿宋"/>
          <w:highlight w:val="none"/>
        </w:rPr>
        <w:t>二、保证的方式及保证期间</w:t>
      </w:r>
    </w:p>
    <w:p w14:paraId="1FD7591B">
      <w:pPr>
        <w:keepNext w:val="0"/>
        <w:keepLines w:val="0"/>
        <w:pageBreakBefore w:val="0"/>
        <w:widowControl w:val="0"/>
        <w:wordWrap/>
        <w:overflowPunct/>
        <w:topLinePunct w:val="0"/>
        <w:bidi w:val="0"/>
        <w:ind w:firstLine="420" w:firstLineChars="200"/>
        <w:rPr>
          <w:rFonts w:hint="eastAsia" w:ascii="仿宋" w:hAnsi="仿宋" w:eastAsia="仿宋"/>
          <w:highlight w:val="none"/>
        </w:rPr>
      </w:pPr>
      <w:r>
        <w:rPr>
          <w:rFonts w:hint="eastAsia" w:ascii="仿宋" w:hAnsi="仿宋" w:eastAsia="仿宋"/>
          <w:highlight w:val="none"/>
        </w:rPr>
        <w:t>我方保证的方式为：连带责任保证。</w:t>
      </w:r>
    </w:p>
    <w:p w14:paraId="34AA61B8">
      <w:pPr>
        <w:keepNext w:val="0"/>
        <w:keepLines w:val="0"/>
        <w:pageBreakBefore w:val="0"/>
        <w:widowControl w:val="0"/>
        <w:wordWrap/>
        <w:overflowPunct/>
        <w:topLinePunct w:val="0"/>
        <w:bidi w:val="0"/>
        <w:ind w:firstLine="420" w:firstLineChars="200"/>
        <w:rPr>
          <w:rFonts w:hint="eastAsia" w:ascii="仿宋" w:hAnsi="仿宋" w:eastAsia="仿宋"/>
          <w:highlight w:val="none"/>
        </w:rPr>
      </w:pPr>
      <w:r>
        <w:rPr>
          <w:rFonts w:hint="eastAsia" w:ascii="仿宋" w:hAnsi="仿宋" w:eastAsia="仿宋"/>
          <w:highlight w:val="none"/>
        </w:rPr>
        <w:t>我方的保证期间为：自本保函生效之日起个月止。</w:t>
      </w:r>
    </w:p>
    <w:p w14:paraId="5A37B4FC">
      <w:pPr>
        <w:keepNext w:val="0"/>
        <w:keepLines w:val="0"/>
        <w:pageBreakBefore w:val="0"/>
        <w:widowControl w:val="0"/>
        <w:wordWrap/>
        <w:overflowPunct/>
        <w:topLinePunct w:val="0"/>
        <w:bidi w:val="0"/>
        <w:ind w:firstLine="420" w:firstLineChars="200"/>
        <w:rPr>
          <w:rFonts w:hint="eastAsia" w:ascii="仿宋" w:hAnsi="仿宋" w:eastAsia="仿宋"/>
          <w:highlight w:val="none"/>
        </w:rPr>
      </w:pPr>
      <w:r>
        <w:rPr>
          <w:rFonts w:hint="eastAsia" w:ascii="仿宋" w:hAnsi="仿宋" w:eastAsia="仿宋"/>
          <w:highlight w:val="none"/>
        </w:rPr>
        <w:t>三、承担保证责任的程序</w:t>
      </w:r>
    </w:p>
    <w:p w14:paraId="3CAC2ADB">
      <w:pPr>
        <w:keepNext w:val="0"/>
        <w:keepLines w:val="0"/>
        <w:pageBreakBefore w:val="0"/>
        <w:widowControl w:val="0"/>
        <w:wordWrap/>
        <w:overflowPunct/>
        <w:topLinePunct w:val="0"/>
        <w:bidi w:val="0"/>
        <w:ind w:firstLine="420" w:firstLineChars="200"/>
        <w:rPr>
          <w:rFonts w:hint="eastAsia" w:ascii="仿宋" w:hAnsi="仿宋" w:eastAsia="仿宋"/>
          <w:highlight w:val="none"/>
        </w:rPr>
      </w:pPr>
      <w:r>
        <w:rPr>
          <w:rFonts w:hint="eastAsia" w:ascii="仿宋" w:hAnsi="仿宋" w:eastAsia="仿宋"/>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14:paraId="70095E1D">
      <w:pPr>
        <w:keepNext w:val="0"/>
        <w:keepLines w:val="0"/>
        <w:pageBreakBefore w:val="0"/>
        <w:widowControl w:val="0"/>
        <w:wordWrap/>
        <w:overflowPunct/>
        <w:topLinePunct w:val="0"/>
        <w:bidi w:val="0"/>
        <w:ind w:firstLine="420" w:firstLineChars="200"/>
        <w:rPr>
          <w:rFonts w:hint="eastAsia" w:ascii="仿宋" w:hAnsi="仿宋" w:eastAsia="仿宋"/>
          <w:highlight w:val="none"/>
        </w:rPr>
      </w:pPr>
      <w:r>
        <w:rPr>
          <w:rFonts w:hint="eastAsia" w:ascii="仿宋" w:hAnsi="仿宋" w:eastAsia="仿宋"/>
          <w:highlight w:val="none"/>
        </w:rPr>
        <w:t>2．我方在收到索赔通知及相关证明材料后，在</w:t>
      </w:r>
      <w:r>
        <w:rPr>
          <w:rFonts w:hint="eastAsia" w:ascii="仿宋" w:hAnsi="仿宋" w:eastAsia="仿宋"/>
          <w:highlight w:val="none"/>
          <w:u w:val="single"/>
        </w:rPr>
        <w:t>　　　</w:t>
      </w:r>
      <w:r>
        <w:rPr>
          <w:rFonts w:hint="eastAsia" w:ascii="仿宋" w:hAnsi="仿宋" w:eastAsia="仿宋"/>
          <w:highlight w:val="none"/>
        </w:rPr>
        <w:t>个工作日内进行审查，符合应承担保证责任情形的，我方应按照你方的要求代投标人向你方支付投标保证金。</w:t>
      </w:r>
    </w:p>
    <w:p w14:paraId="4741CAA4">
      <w:pPr>
        <w:keepNext w:val="0"/>
        <w:keepLines w:val="0"/>
        <w:pageBreakBefore w:val="0"/>
        <w:widowControl w:val="0"/>
        <w:wordWrap/>
        <w:overflowPunct/>
        <w:topLinePunct w:val="0"/>
        <w:bidi w:val="0"/>
        <w:ind w:firstLine="420" w:firstLineChars="200"/>
        <w:rPr>
          <w:rFonts w:hint="eastAsia" w:ascii="仿宋" w:hAnsi="仿宋" w:eastAsia="仿宋"/>
          <w:highlight w:val="none"/>
        </w:rPr>
      </w:pPr>
      <w:r>
        <w:rPr>
          <w:rFonts w:hint="eastAsia" w:ascii="仿宋" w:hAnsi="仿宋" w:eastAsia="仿宋"/>
          <w:highlight w:val="none"/>
        </w:rPr>
        <w:t>四、保证责任的终止</w:t>
      </w:r>
    </w:p>
    <w:p w14:paraId="38C64350">
      <w:pPr>
        <w:keepNext w:val="0"/>
        <w:keepLines w:val="0"/>
        <w:pageBreakBefore w:val="0"/>
        <w:widowControl w:val="0"/>
        <w:wordWrap/>
        <w:overflowPunct/>
        <w:topLinePunct w:val="0"/>
        <w:bidi w:val="0"/>
        <w:ind w:firstLine="420" w:firstLineChars="200"/>
        <w:rPr>
          <w:rFonts w:hint="eastAsia" w:ascii="仿宋" w:hAnsi="仿宋" w:eastAsia="仿宋"/>
          <w:highlight w:val="none"/>
        </w:rPr>
      </w:pPr>
      <w:r>
        <w:rPr>
          <w:rFonts w:hint="eastAsia" w:ascii="仿宋" w:hAnsi="仿宋" w:eastAsia="仿宋"/>
          <w:highlight w:val="none"/>
        </w:rPr>
        <w:t>1．保证期间届满你方未向我方书面主张保证责任的，自保证期间届满次日起，我方保证责任自动终止。</w:t>
      </w:r>
    </w:p>
    <w:p w14:paraId="0B053DFB">
      <w:pPr>
        <w:keepNext w:val="0"/>
        <w:keepLines w:val="0"/>
        <w:pageBreakBefore w:val="0"/>
        <w:widowControl w:val="0"/>
        <w:wordWrap/>
        <w:overflowPunct/>
        <w:topLinePunct w:val="0"/>
        <w:bidi w:val="0"/>
        <w:ind w:firstLine="420" w:firstLineChars="200"/>
        <w:rPr>
          <w:rFonts w:hint="eastAsia" w:ascii="仿宋" w:hAnsi="仿宋" w:eastAsia="仿宋"/>
          <w:highlight w:val="none"/>
        </w:rPr>
      </w:pPr>
      <w:r>
        <w:rPr>
          <w:rFonts w:hint="eastAsia" w:ascii="仿宋" w:hAnsi="仿宋" w:eastAsia="仿宋"/>
          <w:highlight w:val="none"/>
        </w:rPr>
        <w:t>2．我方按照本保函向你贵方履行了保证责任后，自我方向你贵方支付款项（支付款项从我方账户划出）之日起，保证责任终止。</w:t>
      </w:r>
    </w:p>
    <w:p w14:paraId="492C57AA">
      <w:pPr>
        <w:keepNext w:val="0"/>
        <w:keepLines w:val="0"/>
        <w:pageBreakBefore w:val="0"/>
        <w:widowControl w:val="0"/>
        <w:wordWrap/>
        <w:overflowPunct/>
        <w:topLinePunct w:val="0"/>
        <w:bidi w:val="0"/>
        <w:ind w:firstLine="420" w:firstLineChars="200"/>
        <w:rPr>
          <w:rFonts w:hint="eastAsia" w:ascii="仿宋" w:hAnsi="仿宋" w:eastAsia="仿宋"/>
          <w:highlight w:val="none"/>
        </w:rPr>
      </w:pPr>
      <w:r>
        <w:rPr>
          <w:rFonts w:hint="eastAsia" w:ascii="仿宋" w:hAnsi="仿宋" w:eastAsia="仿宋"/>
          <w:highlight w:val="none"/>
        </w:rPr>
        <w:t>3．按照法律法规的规定或出现我方保证责任终止的其它情形的，我方在本保函项下的保证责任亦终止。</w:t>
      </w:r>
    </w:p>
    <w:p w14:paraId="33D16702">
      <w:pPr>
        <w:keepNext w:val="0"/>
        <w:keepLines w:val="0"/>
        <w:pageBreakBefore w:val="0"/>
        <w:widowControl w:val="0"/>
        <w:wordWrap/>
        <w:overflowPunct/>
        <w:topLinePunct w:val="0"/>
        <w:bidi w:val="0"/>
        <w:ind w:firstLine="420" w:firstLineChars="200"/>
        <w:rPr>
          <w:rFonts w:hint="eastAsia" w:ascii="仿宋" w:hAnsi="仿宋" w:eastAsia="仿宋"/>
          <w:highlight w:val="none"/>
        </w:rPr>
      </w:pPr>
      <w:r>
        <w:rPr>
          <w:rFonts w:hint="eastAsia" w:ascii="仿宋" w:hAnsi="仿宋" w:eastAsia="仿宋"/>
          <w:highlight w:val="none"/>
        </w:rPr>
        <w:t>五、免责条款</w:t>
      </w:r>
    </w:p>
    <w:p w14:paraId="1B65EBE7">
      <w:pPr>
        <w:keepNext w:val="0"/>
        <w:keepLines w:val="0"/>
        <w:pageBreakBefore w:val="0"/>
        <w:widowControl w:val="0"/>
        <w:wordWrap/>
        <w:overflowPunct/>
        <w:topLinePunct w:val="0"/>
        <w:bidi w:val="0"/>
        <w:ind w:firstLine="420" w:firstLineChars="200"/>
        <w:rPr>
          <w:rFonts w:hint="eastAsia" w:ascii="仿宋" w:hAnsi="仿宋" w:eastAsia="仿宋"/>
          <w:highlight w:val="none"/>
        </w:rPr>
      </w:pPr>
      <w:r>
        <w:rPr>
          <w:rFonts w:hint="eastAsia" w:ascii="仿宋" w:hAnsi="仿宋" w:eastAsia="仿宋"/>
          <w:highlight w:val="none"/>
        </w:rPr>
        <w:t>1．依照法律规定或你方与投标人的另行约定，全部或者部分免除投标人投标保证金义务时，我方亦免除相应的保证责任。</w:t>
      </w:r>
    </w:p>
    <w:p w14:paraId="24A306C8">
      <w:pPr>
        <w:keepNext w:val="0"/>
        <w:keepLines w:val="0"/>
        <w:pageBreakBefore w:val="0"/>
        <w:widowControl w:val="0"/>
        <w:wordWrap/>
        <w:overflowPunct/>
        <w:topLinePunct w:val="0"/>
        <w:bidi w:val="0"/>
        <w:ind w:firstLine="420" w:firstLineChars="200"/>
        <w:rPr>
          <w:rFonts w:hint="eastAsia" w:ascii="仿宋" w:hAnsi="仿宋" w:eastAsia="仿宋"/>
          <w:highlight w:val="none"/>
        </w:rPr>
      </w:pPr>
      <w:r>
        <w:rPr>
          <w:rFonts w:hint="eastAsia" w:ascii="仿宋" w:hAnsi="仿宋" w:eastAsia="仿宋"/>
          <w:highlight w:val="none"/>
        </w:rPr>
        <w:t>2．因你方原因致使投标人发生本保函第一条第（一）款约定情形的，我方不承担保证责任。</w:t>
      </w:r>
    </w:p>
    <w:p w14:paraId="38699DB8">
      <w:pPr>
        <w:keepNext w:val="0"/>
        <w:keepLines w:val="0"/>
        <w:pageBreakBefore w:val="0"/>
        <w:widowControl w:val="0"/>
        <w:wordWrap/>
        <w:overflowPunct/>
        <w:topLinePunct w:val="0"/>
        <w:bidi w:val="0"/>
        <w:ind w:firstLine="420" w:firstLineChars="200"/>
        <w:rPr>
          <w:rFonts w:hint="eastAsia" w:ascii="仿宋" w:hAnsi="仿宋" w:eastAsia="仿宋"/>
          <w:highlight w:val="none"/>
        </w:rPr>
      </w:pPr>
      <w:r>
        <w:rPr>
          <w:rFonts w:hint="eastAsia" w:ascii="仿宋" w:hAnsi="仿宋" w:eastAsia="仿宋"/>
          <w:highlight w:val="none"/>
        </w:rPr>
        <w:t>3．因不可抗力造成投标人发生本保函第一条约定情形的，我方不承担保证责任。</w:t>
      </w:r>
    </w:p>
    <w:p w14:paraId="64849981">
      <w:pPr>
        <w:keepNext w:val="0"/>
        <w:keepLines w:val="0"/>
        <w:pageBreakBefore w:val="0"/>
        <w:widowControl w:val="0"/>
        <w:wordWrap/>
        <w:overflowPunct/>
        <w:topLinePunct w:val="0"/>
        <w:bidi w:val="0"/>
        <w:ind w:firstLine="420" w:firstLineChars="200"/>
        <w:rPr>
          <w:rFonts w:hint="eastAsia" w:ascii="仿宋" w:hAnsi="仿宋" w:eastAsia="仿宋"/>
          <w:highlight w:val="none"/>
        </w:rPr>
      </w:pPr>
      <w:r>
        <w:rPr>
          <w:rFonts w:hint="eastAsia" w:ascii="仿宋" w:hAnsi="仿宋" w:eastAsia="仿宋"/>
          <w:highlight w:val="none"/>
        </w:rPr>
        <w:t>4．你方或其他有权机关对招标文件进行任何澄清或修改，加重我方保证责任的，我方对加重部分不承担保证责任，但该澄清或修改经我方事先书面同意的除外。</w:t>
      </w:r>
    </w:p>
    <w:p w14:paraId="0EB6BA72">
      <w:pPr>
        <w:keepNext w:val="0"/>
        <w:keepLines w:val="0"/>
        <w:pageBreakBefore w:val="0"/>
        <w:widowControl w:val="0"/>
        <w:wordWrap/>
        <w:overflowPunct/>
        <w:topLinePunct w:val="0"/>
        <w:bidi w:val="0"/>
        <w:ind w:firstLine="420" w:firstLineChars="200"/>
        <w:rPr>
          <w:rFonts w:hint="eastAsia" w:ascii="仿宋" w:hAnsi="仿宋" w:eastAsia="仿宋"/>
          <w:highlight w:val="none"/>
        </w:rPr>
      </w:pPr>
      <w:r>
        <w:rPr>
          <w:rFonts w:hint="eastAsia" w:ascii="仿宋" w:hAnsi="仿宋" w:eastAsia="仿宋"/>
          <w:highlight w:val="none"/>
        </w:rPr>
        <w:t>六、争议的解决</w:t>
      </w:r>
    </w:p>
    <w:p w14:paraId="7B7EE222">
      <w:pPr>
        <w:keepNext w:val="0"/>
        <w:keepLines w:val="0"/>
        <w:pageBreakBefore w:val="0"/>
        <w:widowControl w:val="0"/>
        <w:wordWrap/>
        <w:overflowPunct/>
        <w:topLinePunct w:val="0"/>
        <w:bidi w:val="0"/>
        <w:ind w:firstLine="420" w:firstLineChars="200"/>
        <w:rPr>
          <w:rFonts w:hint="eastAsia" w:ascii="仿宋" w:hAnsi="仿宋" w:eastAsia="仿宋"/>
          <w:highlight w:val="none"/>
        </w:rPr>
      </w:pPr>
      <w:r>
        <w:rPr>
          <w:rFonts w:hint="eastAsia" w:ascii="仿宋" w:hAnsi="仿宋" w:eastAsia="仿宋"/>
          <w:highlight w:val="none"/>
        </w:rPr>
        <w:t>因本保函发生的纠纷，由你我双方协商解决，协商不成的，通过诉讼程序解决，诉讼管辖地法院为法院。</w:t>
      </w:r>
    </w:p>
    <w:p w14:paraId="73825E8D">
      <w:pPr>
        <w:keepNext w:val="0"/>
        <w:keepLines w:val="0"/>
        <w:pageBreakBefore w:val="0"/>
        <w:widowControl w:val="0"/>
        <w:wordWrap/>
        <w:overflowPunct/>
        <w:topLinePunct w:val="0"/>
        <w:bidi w:val="0"/>
        <w:ind w:firstLine="420" w:firstLineChars="200"/>
        <w:rPr>
          <w:rFonts w:hint="eastAsia" w:ascii="仿宋" w:hAnsi="仿宋" w:eastAsia="仿宋"/>
          <w:highlight w:val="none"/>
        </w:rPr>
      </w:pPr>
      <w:r>
        <w:rPr>
          <w:rFonts w:hint="eastAsia" w:ascii="仿宋" w:hAnsi="仿宋" w:eastAsia="仿宋"/>
          <w:highlight w:val="none"/>
        </w:rPr>
        <w:t>七、保函的生效</w:t>
      </w:r>
    </w:p>
    <w:p w14:paraId="3DFF93F3">
      <w:pPr>
        <w:keepNext w:val="0"/>
        <w:keepLines w:val="0"/>
        <w:pageBreakBefore w:val="0"/>
        <w:widowControl w:val="0"/>
        <w:wordWrap/>
        <w:overflowPunct/>
        <w:topLinePunct w:val="0"/>
        <w:bidi w:val="0"/>
        <w:ind w:firstLine="420" w:firstLineChars="200"/>
        <w:rPr>
          <w:rFonts w:hint="eastAsia" w:ascii="仿宋" w:hAnsi="仿宋" w:eastAsia="仿宋"/>
          <w:highlight w:val="none"/>
        </w:rPr>
      </w:pPr>
      <w:r>
        <w:rPr>
          <w:rFonts w:hint="eastAsia" w:ascii="仿宋" w:hAnsi="仿宋" w:eastAsia="仿宋"/>
          <w:highlight w:val="none"/>
        </w:rPr>
        <w:t>本保函自我方加盖公章之日起生效。</w:t>
      </w:r>
    </w:p>
    <w:p w14:paraId="04A31A47">
      <w:pPr>
        <w:keepNext w:val="0"/>
        <w:keepLines w:val="0"/>
        <w:pageBreakBefore w:val="0"/>
        <w:widowControl w:val="0"/>
        <w:wordWrap/>
        <w:overflowPunct/>
        <w:topLinePunct w:val="0"/>
        <w:bidi w:val="0"/>
        <w:ind w:firstLine="5040" w:firstLineChars="2400"/>
        <w:rPr>
          <w:rFonts w:hint="eastAsia" w:ascii="仿宋" w:hAnsi="仿宋" w:eastAsia="仿宋"/>
          <w:highlight w:val="none"/>
        </w:rPr>
      </w:pPr>
      <w:r>
        <w:rPr>
          <w:rFonts w:hint="eastAsia" w:ascii="仿宋" w:hAnsi="仿宋" w:eastAsia="仿宋"/>
          <w:highlight w:val="none"/>
        </w:rPr>
        <w:t>保证人：（公章）</w:t>
      </w:r>
    </w:p>
    <w:p w14:paraId="387AC306">
      <w:pPr>
        <w:keepNext w:val="0"/>
        <w:keepLines w:val="0"/>
        <w:pageBreakBefore w:val="0"/>
        <w:widowControl w:val="0"/>
        <w:wordWrap/>
        <w:overflowPunct/>
        <w:topLinePunct w:val="0"/>
        <w:bidi w:val="0"/>
        <w:jc w:val="center"/>
        <w:rPr>
          <w:rFonts w:hint="eastAsia" w:ascii="仿宋" w:hAnsi="仿宋" w:eastAsia="仿宋"/>
          <w:highlight w:val="none"/>
        </w:rPr>
        <w:sectPr>
          <w:headerReference r:id="rId9" w:type="default"/>
          <w:footerReference r:id="rId10" w:type="default"/>
          <w:pgSz w:w="11906" w:h="16838"/>
          <w:pgMar w:top="1100" w:right="1060" w:bottom="1100" w:left="1060" w:header="851" w:footer="992" w:gutter="0"/>
          <w:pgBorders>
            <w:top w:val="none" w:sz="0" w:space="0"/>
            <w:left w:val="none" w:sz="0" w:space="0"/>
            <w:bottom w:val="none" w:sz="0" w:space="0"/>
            <w:right w:val="none" w:sz="0" w:space="0"/>
          </w:pgBorders>
          <w:pgNumType w:start="1"/>
          <w:cols w:space="720" w:num="1"/>
          <w:docGrid w:type="linesAndChars" w:linePitch="312" w:charSpace="0"/>
        </w:sectPr>
      </w:pPr>
      <w:r>
        <w:rPr>
          <w:rFonts w:hint="eastAsia" w:ascii="仿宋" w:hAnsi="仿宋" w:eastAsia="仿宋"/>
          <w:highlight w:val="none"/>
          <w:lang w:val="en-US" w:eastAsia="zh-CN"/>
        </w:rPr>
        <w:t xml:space="preserve">                     </w:t>
      </w:r>
      <w:r>
        <w:rPr>
          <w:rFonts w:hint="eastAsia" w:ascii="仿宋" w:hAnsi="仿宋" w:eastAsia="仿宋"/>
          <w:highlight w:val="none"/>
        </w:rPr>
        <w:t>年</w:t>
      </w:r>
      <w:r>
        <w:rPr>
          <w:rFonts w:hint="eastAsia" w:ascii="仿宋" w:hAnsi="仿宋" w:eastAsia="仿宋"/>
          <w:highlight w:val="none"/>
          <w:lang w:val="en-US" w:eastAsia="zh-CN"/>
        </w:rPr>
        <w:t xml:space="preserve">   </w:t>
      </w:r>
      <w:r>
        <w:rPr>
          <w:rFonts w:hint="eastAsia" w:ascii="仿宋" w:hAnsi="仿宋" w:eastAsia="仿宋"/>
          <w:highlight w:val="none"/>
        </w:rPr>
        <w:t>月</w:t>
      </w:r>
      <w:r>
        <w:rPr>
          <w:rFonts w:hint="eastAsia" w:ascii="仿宋" w:hAnsi="仿宋" w:eastAsia="仿宋"/>
          <w:highlight w:val="none"/>
          <w:lang w:val="en-US" w:eastAsia="zh-CN"/>
        </w:rPr>
        <w:t xml:space="preserve">   </w:t>
      </w:r>
      <w:r>
        <w:rPr>
          <w:rFonts w:hint="eastAsia" w:ascii="仿宋" w:hAnsi="仿宋" w:eastAsia="仿宋"/>
          <w:highlight w:val="none"/>
        </w:rPr>
        <w:t>日</w:t>
      </w:r>
    </w:p>
    <w:bookmarkEnd w:id="717"/>
    <w:bookmarkEnd w:id="718"/>
    <w:bookmarkEnd w:id="719"/>
    <w:bookmarkEnd w:id="720"/>
    <w:p w14:paraId="2588D987">
      <w:pPr>
        <w:pStyle w:val="13"/>
        <w:keepNext w:val="0"/>
        <w:keepLines w:val="0"/>
        <w:pageBreakBefore w:val="0"/>
        <w:widowControl w:val="0"/>
        <w:wordWrap/>
        <w:overflowPunct/>
        <w:topLinePunct w:val="0"/>
        <w:bidi w:val="0"/>
        <w:spacing w:line="288" w:lineRule="auto"/>
        <w:ind w:firstLine="480" w:firstLineChars="200"/>
        <w:jc w:val="left"/>
        <w:rPr>
          <w:rFonts w:hint="eastAsia" w:ascii="仿宋_GB2312" w:hAnsi="仿宋_GB2312" w:eastAsia="仿宋_GB2312" w:cs="仿宋_GB2312"/>
          <w:b/>
          <w:kern w:val="0"/>
          <w:sz w:val="24"/>
          <w:szCs w:val="20"/>
          <w:highlight w:val="none"/>
          <w:u w:val="none"/>
          <w:lang w:val="en-US" w:eastAsia="zh-CN" w:bidi="ar-SA"/>
        </w:rPr>
      </w:pPr>
      <w:bookmarkStart w:id="736" w:name="_Toc25801"/>
      <w:bookmarkStart w:id="737" w:name="_Toc4680"/>
      <w:bookmarkStart w:id="738" w:name="_Toc11340"/>
      <w:bookmarkStart w:id="739" w:name="_Toc19551"/>
      <w:bookmarkStart w:id="740" w:name="_Toc2815"/>
      <w:bookmarkStart w:id="741" w:name="_Toc29051"/>
      <w:bookmarkStart w:id="742" w:name="_Toc11464"/>
      <w:bookmarkStart w:id="743" w:name="_Toc3659"/>
      <w:bookmarkStart w:id="744" w:name="_Toc18306"/>
      <w:bookmarkStart w:id="745" w:name="_Toc21347"/>
    </w:p>
    <w:p w14:paraId="5AC843A6">
      <w:pPr>
        <w:pStyle w:val="13"/>
        <w:keepNext w:val="0"/>
        <w:keepLines w:val="0"/>
        <w:pageBreakBefore w:val="0"/>
        <w:widowControl w:val="0"/>
        <w:wordWrap/>
        <w:overflowPunct/>
        <w:topLinePunct w:val="0"/>
        <w:bidi w:val="0"/>
        <w:spacing w:line="288" w:lineRule="auto"/>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b/>
          <w:kern w:val="0"/>
          <w:sz w:val="24"/>
          <w:szCs w:val="20"/>
          <w:highlight w:val="none"/>
          <w:u w:val="none"/>
          <w:lang w:val="en-US" w:eastAsia="zh-CN" w:bidi="ar-SA"/>
        </w:rPr>
        <w:t>9参加政府采购活动前3年内在经营活动中没有重大违法记录的书面声明及反商业受贿承诺</w:t>
      </w:r>
    </w:p>
    <w:p w14:paraId="0CE19C8C">
      <w:pPr>
        <w:pStyle w:val="4"/>
        <w:keepNext w:val="0"/>
        <w:keepLines w:val="0"/>
        <w:pageBreakBefore w:val="0"/>
        <w:widowControl w:val="0"/>
        <w:wordWrap/>
        <w:overflowPunct/>
        <w:topLinePunct w:val="0"/>
        <w:bidi w:val="0"/>
        <w:spacing w:before="0" w:after="0" w:line="288" w:lineRule="auto"/>
        <w:ind w:left="1078" w:leftChars="257" w:hanging="539"/>
        <w:jc w:val="center"/>
        <w:rPr>
          <w:rFonts w:hint="eastAsia" w:ascii="仿宋_GB2312" w:hAnsi="仿宋_GB2312" w:eastAsia="仿宋_GB2312" w:cs="仿宋_GB2312"/>
          <w:highlight w:val="none"/>
          <w:u w:val="none"/>
        </w:rPr>
      </w:pPr>
    </w:p>
    <w:p w14:paraId="472D3673">
      <w:pPr>
        <w:rPr>
          <w:rFonts w:hint="eastAsia" w:ascii="仿宋_GB2312" w:hAnsi="仿宋_GB2312" w:eastAsia="仿宋_GB2312" w:cs="仿宋_GB2312"/>
          <w:highlight w:val="none"/>
          <w:u w:val="none"/>
        </w:rPr>
      </w:pPr>
    </w:p>
    <w:p w14:paraId="53BF4046">
      <w:pPr>
        <w:rPr>
          <w:rFonts w:hint="eastAsia" w:ascii="仿宋_GB2312" w:hAnsi="仿宋_GB2312" w:eastAsia="仿宋_GB2312" w:cs="仿宋_GB2312"/>
          <w:highlight w:val="none"/>
          <w:u w:val="none"/>
        </w:rPr>
      </w:pPr>
    </w:p>
    <w:p w14:paraId="0272CCD8">
      <w:pPr>
        <w:keepNext w:val="0"/>
        <w:keepLines w:val="0"/>
        <w:pageBreakBefore w:val="0"/>
        <w:widowControl w:val="0"/>
        <w:wordWrap/>
        <w:overflowPunct/>
        <w:topLinePunct w:val="0"/>
        <w:bidi w:val="0"/>
        <w:rPr>
          <w:rFonts w:hint="eastAsia"/>
          <w:highlight w:val="none"/>
        </w:rPr>
      </w:pPr>
    </w:p>
    <w:p w14:paraId="13CA92AE">
      <w:pPr>
        <w:pStyle w:val="4"/>
        <w:keepNext w:val="0"/>
        <w:keepLines w:val="0"/>
        <w:pageBreakBefore w:val="0"/>
        <w:widowControl w:val="0"/>
        <w:wordWrap/>
        <w:overflowPunct/>
        <w:topLinePunct w:val="0"/>
        <w:bidi w:val="0"/>
        <w:spacing w:before="0" w:after="0" w:line="288" w:lineRule="auto"/>
        <w:ind w:left="1078" w:leftChars="257" w:hanging="539"/>
        <w:jc w:val="center"/>
        <w:rPr>
          <w:rFonts w:hint="eastAsia" w:ascii="仿宋_GB2312" w:hAnsi="仿宋_GB2312" w:eastAsia="仿宋_GB2312" w:cs="仿宋_GB2312"/>
          <w:highlight w:val="none"/>
          <w:u w:val="none"/>
        </w:rPr>
      </w:pPr>
      <w:r>
        <w:rPr>
          <w:rFonts w:hint="eastAsia" w:ascii="仿宋_GB2312" w:hAnsi="仿宋_GB2312" w:eastAsia="仿宋_GB2312" w:cs="仿宋_GB2312"/>
          <w:highlight w:val="none"/>
          <w:u w:val="none"/>
          <w:lang w:val="en-US" w:eastAsia="zh-CN"/>
        </w:rPr>
        <w:t>10</w:t>
      </w:r>
      <w:r>
        <w:rPr>
          <w:rFonts w:hint="eastAsia" w:ascii="仿宋_GB2312" w:hAnsi="仿宋_GB2312" w:eastAsia="仿宋_GB2312" w:cs="仿宋_GB2312"/>
          <w:highlight w:val="none"/>
          <w:u w:val="none"/>
        </w:rPr>
        <w:t>投标人须知资料表要求的其他资格证明文件</w:t>
      </w:r>
      <w:bookmarkEnd w:id="736"/>
      <w:bookmarkEnd w:id="737"/>
      <w:bookmarkEnd w:id="738"/>
      <w:bookmarkEnd w:id="739"/>
      <w:bookmarkEnd w:id="740"/>
      <w:bookmarkEnd w:id="741"/>
      <w:bookmarkEnd w:id="742"/>
      <w:bookmarkEnd w:id="743"/>
      <w:bookmarkEnd w:id="744"/>
      <w:bookmarkEnd w:id="745"/>
    </w:p>
    <w:p w14:paraId="31ACB802">
      <w:pPr>
        <w:pStyle w:val="13"/>
        <w:keepNext w:val="0"/>
        <w:keepLines w:val="0"/>
        <w:pageBreakBefore w:val="0"/>
        <w:widowControl w:val="0"/>
        <w:tabs>
          <w:tab w:val="left" w:pos="5580"/>
        </w:tabs>
        <w:wordWrap/>
        <w:overflowPunct/>
        <w:topLinePunct w:val="0"/>
        <w:bidi w:val="0"/>
        <w:spacing w:line="288" w:lineRule="auto"/>
        <w:ind w:left="1079" w:leftChars="257" w:hanging="540"/>
        <w:rPr>
          <w:rFonts w:hint="eastAsia" w:ascii="仿宋_GB2312" w:hAnsi="仿宋_GB2312" w:eastAsia="仿宋_GB2312" w:cs="仿宋_GB2312"/>
          <w:sz w:val="24"/>
          <w:highlight w:val="none"/>
        </w:rPr>
      </w:pPr>
    </w:p>
    <w:p w14:paraId="42C07A22">
      <w:pPr>
        <w:pStyle w:val="13"/>
        <w:keepNext w:val="0"/>
        <w:keepLines w:val="0"/>
        <w:pageBreakBefore w:val="0"/>
        <w:widowControl w:val="0"/>
        <w:tabs>
          <w:tab w:val="left" w:pos="5580"/>
        </w:tabs>
        <w:wordWrap/>
        <w:overflowPunct/>
        <w:topLinePunct w:val="0"/>
        <w:bidi w:val="0"/>
        <w:spacing w:line="240" w:lineRule="atLeast"/>
        <w:ind w:left="1079" w:leftChars="257" w:hanging="540"/>
        <w:rPr>
          <w:rFonts w:hint="eastAsia" w:ascii="仿宋_GB2312" w:hAnsi="宋体" w:eastAsia="仿宋_GB2312"/>
          <w:sz w:val="24"/>
          <w:highlight w:val="none"/>
        </w:rPr>
      </w:pPr>
      <w:r>
        <w:rPr>
          <w:rFonts w:hint="eastAsia" w:ascii="仿宋_GB2312" w:hAnsi="宋体" w:eastAsia="仿宋_GB2312"/>
          <w:sz w:val="24"/>
          <w:highlight w:val="none"/>
        </w:rPr>
        <w:t>说明：</w:t>
      </w:r>
    </w:p>
    <w:p w14:paraId="0684B919">
      <w:pPr>
        <w:pStyle w:val="13"/>
        <w:keepNext w:val="0"/>
        <w:keepLines w:val="0"/>
        <w:pageBreakBefore w:val="0"/>
        <w:widowControl w:val="0"/>
        <w:tabs>
          <w:tab w:val="left" w:pos="5580"/>
        </w:tabs>
        <w:wordWrap/>
        <w:overflowPunct/>
        <w:topLinePunct w:val="0"/>
        <w:bidi w:val="0"/>
        <w:spacing w:line="240" w:lineRule="atLeast"/>
        <w:rPr>
          <w:rFonts w:hint="eastAsia" w:ascii="仿宋_GB2312" w:hAnsi="宋体" w:eastAsia="仿宋_GB2312"/>
          <w:sz w:val="24"/>
          <w:highlight w:val="none"/>
        </w:rPr>
      </w:pPr>
      <w:r>
        <w:rPr>
          <w:rFonts w:hint="eastAsia" w:ascii="仿宋_GB2312" w:hAnsi="宋体" w:eastAsia="仿宋_GB2312"/>
          <w:sz w:val="24"/>
          <w:highlight w:val="none"/>
        </w:rPr>
        <w:t>1.应提供</w:t>
      </w:r>
      <w:r>
        <w:rPr>
          <w:rFonts w:hint="eastAsia" w:ascii="仿宋_GB2312" w:hAnsi="宋体" w:eastAsia="仿宋_GB2312"/>
          <w:sz w:val="24"/>
          <w:highlight w:val="none"/>
          <w:u w:val="single"/>
        </w:rPr>
        <w:t>投标人须知资料表</w:t>
      </w:r>
      <w:r>
        <w:rPr>
          <w:rFonts w:hint="eastAsia" w:ascii="仿宋_GB2312" w:hAnsi="宋体" w:eastAsia="仿宋_GB2312"/>
          <w:sz w:val="24"/>
          <w:highlight w:val="none"/>
        </w:rPr>
        <w:t>要求的其他资格证明文件。</w:t>
      </w:r>
    </w:p>
    <w:p w14:paraId="462ED2E6">
      <w:pPr>
        <w:pStyle w:val="13"/>
        <w:keepNext w:val="0"/>
        <w:keepLines w:val="0"/>
        <w:pageBreakBefore w:val="0"/>
        <w:widowControl w:val="0"/>
        <w:tabs>
          <w:tab w:val="left" w:pos="5580"/>
        </w:tabs>
        <w:wordWrap/>
        <w:overflowPunct/>
        <w:topLinePunct w:val="0"/>
        <w:bidi w:val="0"/>
        <w:spacing w:line="240" w:lineRule="atLeast"/>
        <w:rPr>
          <w:rFonts w:hint="eastAsia" w:ascii="仿宋_GB2312" w:hAnsi="宋体" w:eastAsia="仿宋_GB2312"/>
          <w:sz w:val="24"/>
          <w:highlight w:val="none"/>
        </w:rPr>
      </w:pPr>
      <w:r>
        <w:rPr>
          <w:rFonts w:hint="eastAsia" w:ascii="仿宋_GB2312" w:hAnsi="宋体" w:eastAsia="仿宋_GB2312"/>
          <w:sz w:val="24"/>
          <w:highlight w:val="none"/>
        </w:rPr>
        <w:t>2.复印件上应加盖本单位章（自然人投标的无需盖章，需要签字）。</w:t>
      </w:r>
    </w:p>
    <w:p w14:paraId="6976F478">
      <w:pPr>
        <w:pStyle w:val="13"/>
        <w:keepNext w:val="0"/>
        <w:keepLines w:val="0"/>
        <w:pageBreakBefore w:val="0"/>
        <w:widowControl w:val="0"/>
        <w:tabs>
          <w:tab w:val="left" w:pos="5580"/>
        </w:tabs>
        <w:wordWrap/>
        <w:overflowPunct/>
        <w:topLinePunct w:val="0"/>
        <w:bidi w:val="0"/>
        <w:spacing w:line="240" w:lineRule="atLeast"/>
        <w:rPr>
          <w:rFonts w:hint="eastAsia" w:ascii="仿宋_GB2312" w:hAnsi="宋体" w:eastAsia="仿宋_GB2312"/>
          <w:sz w:val="24"/>
          <w:highlight w:val="none"/>
        </w:rPr>
      </w:pPr>
      <w:r>
        <w:rPr>
          <w:rFonts w:hint="eastAsia" w:ascii="仿宋_GB2312" w:hAnsi="宋体" w:eastAsia="仿宋_GB2312"/>
          <w:sz w:val="24"/>
          <w:highlight w:val="none"/>
        </w:rPr>
        <w:t>3.</w:t>
      </w:r>
      <w:r>
        <w:rPr>
          <w:rFonts w:hint="eastAsia" w:ascii="仿宋_GB2312" w:eastAsia="仿宋_GB2312"/>
          <w:sz w:val="24"/>
          <w:highlight w:val="none"/>
        </w:rPr>
        <w:t>如果是联合体投标，联合体各方需提供的满足招标文件要求的其他资格证明文件。</w:t>
      </w:r>
    </w:p>
    <w:p w14:paraId="21462626">
      <w:pPr>
        <w:pStyle w:val="20"/>
        <w:keepNext w:val="0"/>
        <w:keepLines w:val="0"/>
        <w:pageBreakBefore w:val="0"/>
        <w:widowControl w:val="0"/>
        <w:numPr>
          <w:ilvl w:val="0"/>
          <w:numId w:val="8"/>
        </w:numPr>
        <w:wordWrap/>
        <w:overflowPunct/>
        <w:topLinePunct w:val="0"/>
        <w:bidi w:val="0"/>
        <w:rPr>
          <w:highlight w:val="none"/>
        </w:rPr>
        <w:sectPr>
          <w:headerReference r:id="rId11" w:type="default"/>
          <w:footerReference r:id="rId12" w:type="default"/>
          <w:pgSz w:w="11906" w:h="16838"/>
          <w:pgMar w:top="1440" w:right="1797" w:bottom="1440" w:left="1797" w:header="851" w:footer="992" w:gutter="0"/>
          <w:pgBorders>
            <w:top w:val="none" w:sz="0" w:space="0"/>
            <w:left w:val="none" w:sz="0" w:space="0"/>
            <w:bottom w:val="none" w:sz="0" w:space="0"/>
            <w:right w:val="none" w:sz="0" w:space="0"/>
          </w:pgBorders>
          <w:cols w:space="720" w:num="1"/>
          <w:docGrid w:type="linesAndChars" w:linePitch="312" w:charSpace="0"/>
        </w:sectPr>
      </w:pPr>
    </w:p>
    <w:p w14:paraId="49AB7FA7">
      <w:pPr>
        <w:pStyle w:val="13"/>
        <w:keepNext w:val="0"/>
        <w:keepLines w:val="0"/>
        <w:pageBreakBefore w:val="0"/>
        <w:widowControl w:val="0"/>
        <w:tabs>
          <w:tab w:val="left" w:pos="5580"/>
        </w:tabs>
        <w:wordWrap/>
        <w:overflowPunct/>
        <w:topLinePunct w:val="0"/>
        <w:bidi w:val="0"/>
        <w:snapToGrid w:val="0"/>
        <w:spacing w:line="288" w:lineRule="auto"/>
        <w:ind w:left="1080" w:leftChars="257" w:hanging="540"/>
        <w:rPr>
          <w:rFonts w:hint="eastAsia" w:ascii="仿宋_GB2312" w:hAnsi="仿宋_GB2312" w:eastAsia="仿宋_GB2312" w:cs="仿宋_GB2312"/>
          <w:sz w:val="24"/>
          <w:highlight w:val="none"/>
        </w:rPr>
      </w:pPr>
    </w:p>
    <w:p w14:paraId="6ED5EE7C">
      <w:pPr>
        <w:pStyle w:val="3"/>
        <w:keepNext w:val="0"/>
        <w:keepLines w:val="0"/>
        <w:pageBreakBefore w:val="0"/>
        <w:widowControl w:val="0"/>
        <w:wordWrap/>
        <w:overflowPunct/>
        <w:topLinePunct w:val="0"/>
        <w:bidi w:val="0"/>
        <w:spacing w:before="0" w:line="240" w:lineRule="atLeast"/>
        <w:ind w:left="1080" w:leftChars="257" w:hanging="540"/>
        <w:rPr>
          <w:rFonts w:hint="eastAsia" w:ascii="仿宋_GB2312" w:hAnsi="宋体" w:eastAsia="仿宋_GB2312"/>
          <w:sz w:val="24"/>
          <w:highlight w:val="none"/>
        </w:rPr>
      </w:pPr>
      <w:bookmarkStart w:id="746" w:name="_Toc23967"/>
      <w:bookmarkStart w:id="747" w:name="_Toc4777"/>
      <w:bookmarkStart w:id="748" w:name="_Toc22608"/>
      <w:bookmarkStart w:id="749" w:name="_Toc19244"/>
      <w:bookmarkStart w:id="750" w:name="_Toc26028"/>
      <w:bookmarkStart w:id="751" w:name="_Toc30317"/>
      <w:bookmarkStart w:id="752" w:name="_Toc27549"/>
      <w:bookmarkStart w:id="753" w:name="_Toc168"/>
      <w:bookmarkStart w:id="754" w:name="_Toc22967"/>
      <w:bookmarkStart w:id="755" w:name="_Toc11180"/>
      <w:bookmarkStart w:id="756" w:name="_Toc21263"/>
      <w:bookmarkStart w:id="757" w:name="_Toc26404"/>
      <w:bookmarkStart w:id="758" w:name="_Toc515647816"/>
      <w:bookmarkStart w:id="759" w:name="_Toc26950"/>
      <w:r>
        <w:rPr>
          <w:rFonts w:hint="eastAsia" w:ascii="仿宋_GB2312" w:hAnsi="宋体" w:eastAsia="仿宋_GB2312"/>
          <w:sz w:val="24"/>
          <w:highlight w:val="none"/>
        </w:rPr>
        <w:t>第二部分商务及技术文件</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14:paraId="4687515B">
      <w:pPr>
        <w:keepNext w:val="0"/>
        <w:keepLines w:val="0"/>
        <w:pageBreakBefore w:val="0"/>
        <w:widowControl w:val="0"/>
        <w:wordWrap/>
        <w:overflowPunct/>
        <w:topLinePunct w:val="0"/>
        <w:bidi w:val="0"/>
        <w:snapToGrid w:val="0"/>
        <w:rPr>
          <w:rFonts w:hint="eastAsia" w:ascii="仿宋" w:hAnsi="仿宋" w:eastAsia="仿宋" w:cs="仿宋"/>
          <w:sz w:val="24"/>
          <w:highlight w:val="none"/>
        </w:rPr>
      </w:pPr>
    </w:p>
    <w:p w14:paraId="5B8CD1AB">
      <w:pPr>
        <w:pStyle w:val="20"/>
        <w:keepNext w:val="0"/>
        <w:keepLines w:val="0"/>
        <w:pageBreakBefore w:val="0"/>
        <w:widowControl w:val="0"/>
        <w:wordWrap/>
        <w:overflowPunct/>
        <w:topLinePunct w:val="0"/>
        <w:bidi w:val="0"/>
        <w:rPr>
          <w:rFonts w:hint="eastAsia" w:ascii="仿宋" w:hAnsi="仿宋" w:eastAsia="仿宋" w:cs="仿宋"/>
          <w:sz w:val="24"/>
          <w:highlight w:val="none"/>
        </w:rPr>
      </w:pPr>
    </w:p>
    <w:p w14:paraId="2166E808">
      <w:pPr>
        <w:pStyle w:val="13"/>
        <w:keepNext w:val="0"/>
        <w:keepLines w:val="0"/>
        <w:pageBreakBefore w:val="0"/>
        <w:widowControl w:val="0"/>
        <w:wordWrap/>
        <w:overflowPunct/>
        <w:topLinePunct w:val="0"/>
        <w:bidi w:val="0"/>
        <w:spacing w:line="288" w:lineRule="auto"/>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1、投标书</w:t>
      </w:r>
    </w:p>
    <w:p w14:paraId="0D71E98D">
      <w:pPr>
        <w:pStyle w:val="13"/>
        <w:keepNext w:val="0"/>
        <w:keepLines w:val="0"/>
        <w:pageBreakBefore w:val="0"/>
        <w:widowControl w:val="0"/>
        <w:wordWrap/>
        <w:overflowPunct/>
        <w:topLinePunct w:val="0"/>
        <w:bidi w:val="0"/>
        <w:spacing w:line="288" w:lineRule="auto"/>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2、投标分项报价表</w:t>
      </w:r>
    </w:p>
    <w:p w14:paraId="79A2141D">
      <w:pPr>
        <w:pStyle w:val="13"/>
        <w:keepNext w:val="0"/>
        <w:keepLines w:val="0"/>
        <w:pageBreakBefore w:val="0"/>
        <w:widowControl w:val="0"/>
        <w:wordWrap/>
        <w:overflowPunct/>
        <w:topLinePunct w:val="0"/>
        <w:bidi w:val="0"/>
        <w:spacing w:line="288" w:lineRule="auto"/>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3、货物说明一览表</w:t>
      </w:r>
    </w:p>
    <w:p w14:paraId="23496938">
      <w:pPr>
        <w:pStyle w:val="13"/>
        <w:keepNext w:val="0"/>
        <w:keepLines w:val="0"/>
        <w:pageBreakBefore w:val="0"/>
        <w:widowControl w:val="0"/>
        <w:wordWrap/>
        <w:overflowPunct/>
        <w:topLinePunct w:val="0"/>
        <w:bidi w:val="0"/>
        <w:spacing w:line="288" w:lineRule="auto"/>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4、技术规格偏离表</w:t>
      </w:r>
    </w:p>
    <w:p w14:paraId="036445D9">
      <w:pPr>
        <w:pStyle w:val="13"/>
        <w:keepNext w:val="0"/>
        <w:keepLines w:val="0"/>
        <w:pageBreakBefore w:val="0"/>
        <w:widowControl w:val="0"/>
        <w:wordWrap/>
        <w:overflowPunct/>
        <w:topLinePunct w:val="0"/>
        <w:bidi w:val="0"/>
        <w:spacing w:line="288" w:lineRule="auto"/>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5、商务条款偏离表</w:t>
      </w:r>
    </w:p>
    <w:p w14:paraId="39482282">
      <w:pPr>
        <w:pStyle w:val="13"/>
        <w:keepNext w:val="0"/>
        <w:keepLines w:val="0"/>
        <w:pageBreakBefore w:val="0"/>
        <w:widowControl w:val="0"/>
        <w:wordWrap/>
        <w:overflowPunct/>
        <w:topLinePunct w:val="0"/>
        <w:bidi w:val="0"/>
        <w:spacing w:line="288" w:lineRule="auto"/>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6-1《中小企业声明函（货物)》</w:t>
      </w:r>
    </w:p>
    <w:p w14:paraId="43CC5CB0">
      <w:pPr>
        <w:pStyle w:val="13"/>
        <w:keepNext w:val="0"/>
        <w:keepLines w:val="0"/>
        <w:pageBreakBefore w:val="0"/>
        <w:widowControl w:val="0"/>
        <w:wordWrap/>
        <w:overflowPunct/>
        <w:topLinePunct w:val="0"/>
        <w:bidi w:val="0"/>
        <w:spacing w:line="288" w:lineRule="auto"/>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6-2《残疾人福利性单位声明函》</w:t>
      </w:r>
    </w:p>
    <w:p w14:paraId="4A4AF5C2">
      <w:pPr>
        <w:pStyle w:val="13"/>
        <w:keepNext w:val="0"/>
        <w:keepLines w:val="0"/>
        <w:pageBreakBefore w:val="0"/>
        <w:widowControl w:val="0"/>
        <w:wordWrap/>
        <w:overflowPunct/>
        <w:topLinePunct w:val="0"/>
        <w:bidi w:val="0"/>
        <w:spacing w:line="288" w:lineRule="auto"/>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6-3《监狱企业适用》</w:t>
      </w:r>
    </w:p>
    <w:p w14:paraId="1E300CE9">
      <w:pPr>
        <w:pStyle w:val="13"/>
        <w:keepNext w:val="0"/>
        <w:keepLines w:val="0"/>
        <w:pageBreakBefore w:val="0"/>
        <w:widowControl w:val="0"/>
        <w:wordWrap/>
        <w:overflowPunct/>
        <w:topLinePunct w:val="0"/>
        <w:bidi w:val="0"/>
        <w:spacing w:line="288" w:lineRule="auto"/>
        <w:ind w:firstLine="480" w:firstLineChars="200"/>
        <w:jc w:val="left"/>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6-4节能、环境标志产品（若本项目采购内容中无以下清单货物，可不填）</w:t>
      </w:r>
    </w:p>
    <w:p w14:paraId="745E9A58">
      <w:pPr>
        <w:pStyle w:val="13"/>
        <w:keepNext w:val="0"/>
        <w:keepLines w:val="0"/>
        <w:pageBreakBefore w:val="0"/>
        <w:widowControl w:val="0"/>
        <w:wordWrap/>
        <w:overflowPunct/>
        <w:topLinePunct w:val="0"/>
        <w:bidi w:val="0"/>
        <w:spacing w:line="288" w:lineRule="auto"/>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7、投标文件还应包括第五章、综合评分表的所有技术文件</w:t>
      </w:r>
    </w:p>
    <w:p w14:paraId="42179351">
      <w:pPr>
        <w:pStyle w:val="13"/>
        <w:keepNext w:val="0"/>
        <w:keepLines w:val="0"/>
        <w:pageBreakBefore w:val="0"/>
        <w:widowControl w:val="0"/>
        <w:wordWrap/>
        <w:overflowPunct/>
        <w:topLinePunct w:val="0"/>
        <w:bidi w:val="0"/>
        <w:spacing w:line="288" w:lineRule="auto"/>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8、投标人关联单位的说明（格式自拟）</w:t>
      </w:r>
    </w:p>
    <w:p w14:paraId="449C4595">
      <w:pPr>
        <w:pStyle w:val="13"/>
        <w:keepNext w:val="0"/>
        <w:keepLines w:val="0"/>
        <w:pageBreakBefore w:val="0"/>
        <w:widowControl w:val="0"/>
        <w:wordWrap/>
        <w:overflowPunct/>
        <w:topLinePunct w:val="0"/>
        <w:bidi w:val="0"/>
        <w:spacing w:line="288" w:lineRule="auto"/>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9、其他有利于投标人的文件或证明材料</w:t>
      </w:r>
    </w:p>
    <w:p w14:paraId="78AAA2DE">
      <w:pPr>
        <w:pStyle w:val="13"/>
        <w:keepNext w:val="0"/>
        <w:keepLines w:val="0"/>
        <w:pageBreakBefore w:val="0"/>
        <w:widowControl w:val="0"/>
        <w:wordWrap/>
        <w:overflowPunct/>
        <w:topLinePunct w:val="0"/>
        <w:bidi w:val="0"/>
        <w:spacing w:line="288" w:lineRule="auto"/>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10、对本项目投标文件（响应文件）中资料真实性的承诺</w:t>
      </w:r>
    </w:p>
    <w:p w14:paraId="566D216F">
      <w:pPr>
        <w:pStyle w:val="13"/>
        <w:keepNext w:val="0"/>
        <w:keepLines w:val="0"/>
        <w:pageBreakBefore w:val="0"/>
        <w:widowControl w:val="0"/>
        <w:wordWrap/>
        <w:overflowPunct/>
        <w:topLinePunct w:val="0"/>
        <w:bidi w:val="0"/>
        <w:snapToGrid w:val="0"/>
        <w:rPr>
          <w:rFonts w:hint="eastAsia" w:ascii="仿宋" w:hAnsi="仿宋" w:eastAsia="仿宋" w:cs="仿宋"/>
          <w:sz w:val="24"/>
          <w:szCs w:val="24"/>
          <w:highlight w:val="none"/>
        </w:rPr>
      </w:pPr>
    </w:p>
    <w:p w14:paraId="389BFC0C">
      <w:pPr>
        <w:pStyle w:val="13"/>
        <w:keepNext w:val="0"/>
        <w:keepLines w:val="0"/>
        <w:pageBreakBefore w:val="0"/>
        <w:widowControl w:val="0"/>
        <w:wordWrap/>
        <w:overflowPunct/>
        <w:topLinePunct w:val="0"/>
        <w:bidi w:val="0"/>
        <w:snapToGrid w:val="0"/>
        <w:spacing w:line="288" w:lineRule="auto"/>
        <w:ind w:left="1080" w:leftChars="257" w:hanging="540"/>
        <w:jc w:val="left"/>
        <w:rPr>
          <w:rFonts w:hint="eastAsia" w:ascii="仿宋_GB2312" w:hAnsi="仿宋_GB2312" w:eastAsia="仿宋_GB2312" w:cs="仿宋_GB2312"/>
          <w:sz w:val="28"/>
          <w:szCs w:val="28"/>
          <w:highlight w:val="none"/>
        </w:rPr>
      </w:pPr>
    </w:p>
    <w:p w14:paraId="4AEE8544">
      <w:pPr>
        <w:pStyle w:val="13"/>
        <w:keepNext w:val="0"/>
        <w:keepLines w:val="0"/>
        <w:pageBreakBefore w:val="0"/>
        <w:widowControl w:val="0"/>
        <w:wordWrap/>
        <w:overflowPunct/>
        <w:topLinePunct w:val="0"/>
        <w:bidi w:val="0"/>
        <w:snapToGrid w:val="0"/>
        <w:spacing w:line="288" w:lineRule="auto"/>
        <w:ind w:left="1080" w:leftChars="257" w:hanging="540"/>
        <w:jc w:val="left"/>
        <w:rPr>
          <w:rFonts w:hint="eastAsia" w:ascii="仿宋_GB2312" w:hAnsi="仿宋_GB2312" w:eastAsia="仿宋_GB2312" w:cs="仿宋_GB2312"/>
          <w:sz w:val="28"/>
          <w:szCs w:val="28"/>
          <w:highlight w:val="none"/>
        </w:rPr>
      </w:pPr>
    </w:p>
    <w:p w14:paraId="4B8DF916">
      <w:pPr>
        <w:pStyle w:val="3"/>
        <w:keepNext w:val="0"/>
        <w:keepLines w:val="0"/>
        <w:pageBreakBefore w:val="0"/>
        <w:widowControl w:val="0"/>
        <w:wordWrap/>
        <w:overflowPunct/>
        <w:topLinePunct w:val="0"/>
        <w:bidi w:val="0"/>
        <w:snapToGrid w:val="0"/>
        <w:spacing w:before="0" w:line="240" w:lineRule="atLeast"/>
        <w:ind w:left="1080" w:leftChars="257" w:hanging="540"/>
        <w:rPr>
          <w:rFonts w:hint="eastAsia" w:ascii="楷体" w:hAnsi="楷体" w:eastAsia="楷体" w:cs="楷体"/>
          <w:color w:val="000000"/>
          <w:sz w:val="24"/>
          <w:highlight w:val="none"/>
        </w:rPr>
      </w:pPr>
      <w:bookmarkStart w:id="760" w:name="_Toc31238"/>
      <w:bookmarkStart w:id="761" w:name="_Toc20897"/>
      <w:bookmarkStart w:id="762" w:name="_Toc515647809"/>
      <w:bookmarkStart w:id="763" w:name="_Toc10388"/>
      <w:bookmarkStart w:id="764" w:name="_Toc1881"/>
      <w:bookmarkStart w:id="765" w:name="_Toc39671748"/>
      <w:bookmarkStart w:id="766" w:name="_Toc515647818"/>
      <w:bookmarkStart w:id="767" w:name="_Toc2041"/>
      <w:bookmarkStart w:id="768" w:name="_Toc515647817"/>
      <w:bookmarkStart w:id="769" w:name="_Toc28445"/>
      <w:bookmarkStart w:id="770" w:name="_Toc11047"/>
      <w:bookmarkStart w:id="771" w:name="_Toc216582815"/>
      <w:bookmarkStart w:id="772" w:name="_Toc14915"/>
    </w:p>
    <w:p w14:paraId="492FF26F">
      <w:pPr>
        <w:keepNext w:val="0"/>
        <w:keepLines w:val="0"/>
        <w:pageBreakBefore w:val="0"/>
        <w:widowControl w:val="0"/>
        <w:wordWrap/>
        <w:overflowPunct/>
        <w:topLinePunct w:val="0"/>
        <w:bidi w:val="0"/>
        <w:snapToGrid w:val="0"/>
        <w:rPr>
          <w:rFonts w:hint="eastAsia" w:ascii="楷体" w:hAnsi="楷体" w:eastAsia="楷体" w:cs="楷体"/>
          <w:color w:val="000000"/>
          <w:sz w:val="24"/>
          <w:highlight w:val="none"/>
        </w:rPr>
      </w:pPr>
    </w:p>
    <w:p w14:paraId="511A70D1">
      <w:pPr>
        <w:pStyle w:val="20"/>
        <w:keepNext w:val="0"/>
        <w:keepLines w:val="0"/>
        <w:pageBreakBefore w:val="0"/>
        <w:widowControl w:val="0"/>
        <w:wordWrap/>
        <w:overflowPunct/>
        <w:topLinePunct w:val="0"/>
        <w:bidi w:val="0"/>
        <w:rPr>
          <w:rFonts w:hint="eastAsia" w:ascii="楷体" w:hAnsi="楷体" w:eastAsia="楷体" w:cs="楷体"/>
          <w:color w:val="000000"/>
          <w:sz w:val="24"/>
          <w:highlight w:val="none"/>
        </w:rPr>
      </w:pPr>
    </w:p>
    <w:p w14:paraId="1A6675AE">
      <w:pPr>
        <w:pStyle w:val="10"/>
        <w:rPr>
          <w:rFonts w:hint="eastAsia"/>
          <w:highlight w:val="none"/>
        </w:rPr>
      </w:pPr>
    </w:p>
    <w:p w14:paraId="7AB68663">
      <w:pPr>
        <w:pStyle w:val="20"/>
        <w:keepNext w:val="0"/>
        <w:keepLines w:val="0"/>
        <w:pageBreakBefore w:val="0"/>
        <w:widowControl w:val="0"/>
        <w:wordWrap/>
        <w:overflowPunct/>
        <w:topLinePunct w:val="0"/>
        <w:bidi w:val="0"/>
        <w:rPr>
          <w:rFonts w:hint="eastAsia" w:ascii="楷体" w:hAnsi="楷体" w:eastAsia="楷体" w:cs="楷体"/>
          <w:color w:val="000000"/>
          <w:sz w:val="24"/>
          <w:highlight w:val="none"/>
        </w:rPr>
      </w:pPr>
    </w:p>
    <w:p w14:paraId="2295646E">
      <w:pPr>
        <w:pStyle w:val="20"/>
        <w:keepNext w:val="0"/>
        <w:keepLines w:val="0"/>
        <w:pageBreakBefore w:val="0"/>
        <w:widowControl w:val="0"/>
        <w:wordWrap/>
        <w:overflowPunct/>
        <w:topLinePunct w:val="0"/>
        <w:bidi w:val="0"/>
        <w:rPr>
          <w:rFonts w:hint="eastAsia" w:ascii="楷体" w:hAnsi="楷体" w:eastAsia="楷体" w:cs="楷体"/>
          <w:color w:val="000000"/>
          <w:sz w:val="24"/>
          <w:highlight w:val="none"/>
        </w:rPr>
      </w:pPr>
    </w:p>
    <w:p w14:paraId="2968C3B1">
      <w:pPr>
        <w:keepNext w:val="0"/>
        <w:keepLines w:val="0"/>
        <w:pageBreakBefore w:val="0"/>
        <w:widowControl w:val="0"/>
        <w:wordWrap/>
        <w:overflowPunct/>
        <w:topLinePunct w:val="0"/>
        <w:bidi w:val="0"/>
        <w:rPr>
          <w:highlight w:val="none"/>
        </w:rPr>
      </w:pPr>
    </w:p>
    <w:bookmarkEnd w:id="760"/>
    <w:bookmarkEnd w:id="761"/>
    <w:bookmarkEnd w:id="762"/>
    <w:bookmarkEnd w:id="763"/>
    <w:bookmarkEnd w:id="764"/>
    <w:bookmarkEnd w:id="765"/>
    <w:bookmarkEnd w:id="766"/>
    <w:bookmarkEnd w:id="767"/>
    <w:bookmarkEnd w:id="768"/>
    <w:bookmarkEnd w:id="769"/>
    <w:bookmarkEnd w:id="770"/>
    <w:bookmarkEnd w:id="771"/>
    <w:bookmarkEnd w:id="772"/>
    <w:p w14:paraId="5B2790AE">
      <w:pPr>
        <w:pStyle w:val="4"/>
        <w:keepNext w:val="0"/>
        <w:keepLines w:val="0"/>
        <w:pageBreakBefore w:val="0"/>
        <w:widowControl w:val="0"/>
        <w:wordWrap/>
        <w:overflowPunct/>
        <w:topLinePunct w:val="0"/>
        <w:bidi w:val="0"/>
        <w:spacing w:before="0" w:after="0" w:line="288" w:lineRule="auto"/>
        <w:ind w:left="1079" w:leftChars="257" w:hanging="539"/>
        <w:jc w:val="center"/>
        <w:rPr>
          <w:rFonts w:hint="eastAsia" w:ascii="仿宋_GB2312" w:hAnsi="仿宋_GB2312" w:eastAsia="仿宋_GB2312" w:cs="仿宋_GB2312"/>
          <w:highlight w:val="none"/>
          <w:u w:val="none"/>
        </w:rPr>
      </w:pPr>
      <w:bookmarkStart w:id="773" w:name="_Toc11043"/>
      <w:bookmarkStart w:id="774" w:name="_Toc14062"/>
      <w:bookmarkStart w:id="775" w:name="_Toc21159"/>
      <w:bookmarkStart w:id="776" w:name="_Toc28713"/>
      <w:bookmarkStart w:id="777" w:name="_Toc25213"/>
      <w:bookmarkStart w:id="778" w:name="_Toc31638"/>
      <w:bookmarkStart w:id="779" w:name="_Toc24743"/>
      <w:bookmarkStart w:id="780" w:name="_Toc17635"/>
      <w:bookmarkStart w:id="781" w:name="_Toc3618"/>
      <w:bookmarkStart w:id="782" w:name="_Toc31410"/>
      <w:r>
        <w:rPr>
          <w:rFonts w:hint="eastAsia" w:ascii="仿宋_GB2312" w:hAnsi="仿宋_GB2312" w:eastAsia="仿宋_GB2312" w:cs="仿宋_GB2312"/>
          <w:highlight w:val="none"/>
          <w:u w:val="none"/>
        </w:rPr>
        <w:t>1投标书</w:t>
      </w:r>
      <w:bookmarkEnd w:id="773"/>
      <w:bookmarkEnd w:id="774"/>
      <w:bookmarkEnd w:id="775"/>
      <w:bookmarkEnd w:id="776"/>
      <w:bookmarkEnd w:id="777"/>
      <w:bookmarkEnd w:id="778"/>
      <w:bookmarkEnd w:id="779"/>
      <w:bookmarkEnd w:id="780"/>
      <w:bookmarkEnd w:id="781"/>
      <w:bookmarkEnd w:id="782"/>
    </w:p>
    <w:p w14:paraId="4E902BBE">
      <w:pPr>
        <w:keepNext w:val="0"/>
        <w:keepLines w:val="0"/>
        <w:pageBreakBefore w:val="0"/>
        <w:widowControl w:val="0"/>
        <w:tabs>
          <w:tab w:val="left" w:pos="5580"/>
        </w:tabs>
        <w:wordWrap/>
        <w:overflowPunct/>
        <w:topLinePunct w:val="0"/>
        <w:bidi w:val="0"/>
        <w:snapToGrid w:val="0"/>
        <w:spacing w:line="240" w:lineRule="atLeast"/>
        <w:ind w:left="1080" w:leftChars="257" w:hanging="540"/>
        <w:rPr>
          <w:rFonts w:hint="eastAsia" w:ascii="仿宋_GB2312" w:hAnsi="仿宋_GB2312" w:eastAsia="仿宋_GB2312" w:cs="仿宋_GB2312"/>
          <w:sz w:val="32"/>
          <w:szCs w:val="32"/>
          <w:highlight w:val="none"/>
        </w:rPr>
      </w:pPr>
    </w:p>
    <w:p w14:paraId="08CB2CF0">
      <w:pPr>
        <w:keepNext w:val="0"/>
        <w:keepLines w:val="0"/>
        <w:pageBreakBefore w:val="0"/>
        <w:widowControl w:val="0"/>
        <w:tabs>
          <w:tab w:val="left" w:pos="5580"/>
        </w:tabs>
        <w:wordWrap/>
        <w:overflowPunct/>
        <w:topLinePunct w:val="0"/>
        <w:bidi w:val="0"/>
        <w:snapToGrid w:val="0"/>
        <w:spacing w:line="320" w:lineRule="exact"/>
        <w:ind w:left="1080" w:hanging="1080"/>
        <w:rPr>
          <w:rFonts w:hint="eastAsia" w:ascii="仿宋" w:hAnsi="仿宋" w:eastAsia="仿宋" w:cs="仿宋"/>
          <w:color w:val="000000"/>
          <w:sz w:val="24"/>
          <w:highlight w:val="none"/>
        </w:rPr>
      </w:pPr>
      <w:r>
        <w:rPr>
          <w:rFonts w:hint="eastAsia" w:ascii="仿宋" w:hAnsi="仿宋" w:eastAsia="仿宋" w:cs="仿宋"/>
          <w:color w:val="000000"/>
          <w:sz w:val="24"/>
          <w:highlight w:val="none"/>
        </w:rPr>
        <w:t>致：</w:t>
      </w:r>
      <w:r>
        <w:rPr>
          <w:rFonts w:hint="eastAsia" w:ascii="仿宋" w:hAnsi="仿宋" w:eastAsia="仿宋" w:cs="仿宋"/>
          <w:color w:val="000000"/>
          <w:sz w:val="24"/>
          <w:highlight w:val="none"/>
          <w:u w:val="single" w:color="000000"/>
        </w:rPr>
        <w:t>（采购人名称）</w:t>
      </w:r>
    </w:p>
    <w:p w14:paraId="6A1ADEC6">
      <w:pPr>
        <w:pStyle w:val="13"/>
        <w:keepNext w:val="0"/>
        <w:keepLines w:val="0"/>
        <w:pageBreakBefore w:val="0"/>
        <w:widowControl w:val="0"/>
        <w:tabs>
          <w:tab w:val="left" w:pos="5580"/>
        </w:tabs>
        <w:wordWrap/>
        <w:overflowPunct/>
        <w:topLinePunct w:val="0"/>
        <w:bidi w:val="0"/>
        <w:snapToGrid w:val="0"/>
        <w:spacing w:line="320" w:lineRule="exact"/>
        <w:ind w:left="1080" w:leftChars="257" w:hanging="540"/>
        <w:rPr>
          <w:rFonts w:hint="eastAsia" w:ascii="仿宋" w:hAnsi="仿宋" w:eastAsia="仿宋" w:cs="仿宋"/>
          <w:color w:val="000000"/>
          <w:sz w:val="24"/>
          <w:highlight w:val="none"/>
        </w:rPr>
      </w:pPr>
    </w:p>
    <w:p w14:paraId="56673729">
      <w:pPr>
        <w:pStyle w:val="13"/>
        <w:keepNext w:val="0"/>
        <w:keepLines w:val="0"/>
        <w:pageBreakBefore w:val="0"/>
        <w:widowControl w:val="0"/>
        <w:tabs>
          <w:tab w:val="left" w:pos="5580"/>
        </w:tabs>
        <w:wordWrap/>
        <w:overflowPunct/>
        <w:topLinePunct w:val="0"/>
        <w:bidi w:val="0"/>
        <w:spacing w:line="400" w:lineRule="exact"/>
        <w:ind w:left="2" w:leftChars="1"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根据贵方(项目名称)项目的投标邀请(招标编号),签字代表(姓名、职务)经正式授权并代表投标人（名称、地址）上传</w:t>
      </w:r>
      <w:r>
        <w:rPr>
          <w:rFonts w:hint="eastAsia" w:ascii="仿宋_GB2312" w:hAnsi="仿宋_GB2312" w:eastAsia="仿宋_GB2312" w:cs="仿宋_GB2312"/>
          <w:sz w:val="24"/>
          <w:szCs w:val="24"/>
          <w:highlight w:val="none"/>
          <w:u w:val="single"/>
        </w:rPr>
        <w:t>响应文件</w:t>
      </w:r>
      <w:r>
        <w:rPr>
          <w:rFonts w:hint="eastAsia" w:ascii="仿宋_GB2312" w:hAnsi="仿宋_GB2312" w:eastAsia="仿宋_GB2312" w:cs="仿宋_GB2312"/>
          <w:sz w:val="24"/>
          <w:szCs w:val="24"/>
          <w:highlight w:val="none"/>
        </w:rPr>
        <w:t>，并以形式出具的金额为人民币</w:t>
      </w:r>
      <w:r>
        <w:rPr>
          <w:rFonts w:hint="eastAsia" w:ascii="仿宋_GB2312" w:hAnsi="仿宋_GB2312" w:eastAsia="仿宋_GB2312" w:cs="仿宋_GB2312"/>
          <w:sz w:val="24"/>
          <w:szCs w:val="24"/>
          <w:highlight w:val="none"/>
          <w:u w:val="single"/>
        </w:rPr>
        <w:t>　　　　</w:t>
      </w:r>
      <w:r>
        <w:rPr>
          <w:rFonts w:hint="eastAsia" w:ascii="仿宋_GB2312" w:hAnsi="仿宋_GB2312" w:eastAsia="仿宋_GB2312" w:cs="仿宋_GB2312"/>
          <w:sz w:val="24"/>
          <w:szCs w:val="24"/>
          <w:highlight w:val="none"/>
        </w:rPr>
        <w:t>元的投标保证金。</w:t>
      </w:r>
    </w:p>
    <w:p w14:paraId="09515D01">
      <w:pPr>
        <w:pStyle w:val="13"/>
        <w:keepNext w:val="0"/>
        <w:keepLines w:val="0"/>
        <w:pageBreakBefore w:val="0"/>
        <w:widowControl w:val="0"/>
        <w:tabs>
          <w:tab w:val="left" w:pos="5580"/>
        </w:tabs>
        <w:wordWrap/>
        <w:overflowPunct/>
        <w:topLinePunct w:val="0"/>
        <w:bidi w:val="0"/>
        <w:snapToGrid w:val="0"/>
        <w:spacing w:line="320" w:lineRule="exact"/>
        <w:ind w:left="1080" w:leftChars="257" w:hanging="540"/>
        <w:rPr>
          <w:rFonts w:hint="eastAsia" w:ascii="仿宋" w:hAnsi="仿宋" w:eastAsia="仿宋" w:cs="仿宋"/>
          <w:color w:val="000000"/>
          <w:sz w:val="24"/>
          <w:highlight w:val="none"/>
        </w:rPr>
      </w:pPr>
      <w:r>
        <w:rPr>
          <w:rFonts w:hint="eastAsia" w:ascii="仿宋" w:hAnsi="仿宋" w:eastAsia="仿宋" w:cs="仿宋"/>
          <w:color w:val="000000"/>
          <w:sz w:val="24"/>
          <w:highlight w:val="none"/>
        </w:rPr>
        <w:t>据此，签字代表宣布同意如下：</w:t>
      </w:r>
    </w:p>
    <w:p w14:paraId="69649EC1">
      <w:pPr>
        <w:pStyle w:val="13"/>
        <w:keepNext w:val="0"/>
        <w:keepLines w:val="0"/>
        <w:pageBreakBefore w:val="0"/>
        <w:widowControl w:val="0"/>
        <w:tabs>
          <w:tab w:val="left" w:pos="720"/>
          <w:tab w:val="left" w:pos="900"/>
        </w:tabs>
        <w:wordWrap/>
        <w:overflowPunct/>
        <w:topLinePunct w:val="0"/>
        <w:bidi w:val="0"/>
        <w:snapToGrid w:val="0"/>
        <w:spacing w:line="320" w:lineRule="exact"/>
        <w:ind w:left="769" w:leftChars="257" w:hanging="229"/>
        <w:rPr>
          <w:rFonts w:hint="eastAsia" w:ascii="仿宋" w:hAnsi="仿宋" w:eastAsia="仿宋" w:cs="仿宋"/>
          <w:color w:val="000000"/>
          <w:sz w:val="24"/>
          <w:highlight w:val="none"/>
          <w:u w:val="single" w:color="000000"/>
        </w:rPr>
      </w:pPr>
      <w:r>
        <w:rPr>
          <w:rFonts w:hint="eastAsia" w:ascii="仿宋" w:hAnsi="仿宋" w:eastAsia="仿宋" w:cs="仿宋"/>
          <w:color w:val="000000"/>
          <w:sz w:val="24"/>
          <w:highlight w:val="none"/>
        </w:rPr>
        <w:t>（1）附投标价格表中规定的应提供货物的投标总价详见开标一览表，</w:t>
      </w:r>
      <w:r>
        <w:rPr>
          <w:rFonts w:hint="eastAsia" w:ascii="仿宋" w:hAnsi="仿宋" w:eastAsia="仿宋" w:cs="仿宋"/>
          <w:color w:val="000000"/>
          <w:sz w:val="24"/>
          <w:highlight w:val="none"/>
          <w:u w:val="single" w:color="000000"/>
        </w:rPr>
        <w:t>其中由小型和</w:t>
      </w:r>
      <w:r>
        <w:rPr>
          <w:rFonts w:hint="eastAsia" w:ascii="仿宋" w:hAnsi="仿宋" w:eastAsia="仿宋" w:cs="仿宋"/>
          <w:color w:val="000000"/>
          <w:sz w:val="24"/>
          <w:highlight w:val="none"/>
        </w:rPr>
        <w:t>微型企业制造产品的价格为</w:t>
      </w:r>
      <w:r>
        <w:rPr>
          <w:rFonts w:hint="eastAsia" w:ascii="仿宋" w:hAnsi="仿宋" w:eastAsia="仿宋" w:cs="仿宋"/>
          <w:color w:val="000000"/>
          <w:sz w:val="24"/>
          <w:highlight w:val="none"/>
          <w:u w:val="single" w:color="000000"/>
        </w:rPr>
        <w:t>（用文字和数字表示），占投标总价%</w:t>
      </w:r>
      <w:r>
        <w:rPr>
          <w:rFonts w:hint="eastAsia" w:ascii="仿宋" w:hAnsi="仿宋" w:eastAsia="仿宋" w:cs="仿宋"/>
          <w:color w:val="000000"/>
          <w:sz w:val="24"/>
          <w:highlight w:val="none"/>
        </w:rPr>
        <w:t>。</w:t>
      </w:r>
    </w:p>
    <w:p w14:paraId="138A8649">
      <w:pPr>
        <w:pStyle w:val="13"/>
        <w:keepNext w:val="0"/>
        <w:keepLines w:val="0"/>
        <w:pageBreakBefore w:val="0"/>
        <w:widowControl w:val="0"/>
        <w:tabs>
          <w:tab w:val="left" w:pos="5580"/>
        </w:tabs>
        <w:wordWrap/>
        <w:overflowPunct/>
        <w:topLinePunct w:val="0"/>
        <w:bidi w:val="0"/>
        <w:snapToGrid w:val="0"/>
        <w:spacing w:line="320" w:lineRule="exact"/>
        <w:ind w:left="1080" w:leftChars="257" w:hanging="540"/>
        <w:rPr>
          <w:rFonts w:hint="eastAsia" w:ascii="仿宋" w:hAnsi="仿宋" w:eastAsia="仿宋" w:cs="仿宋"/>
          <w:color w:val="000000"/>
          <w:sz w:val="24"/>
          <w:highlight w:val="none"/>
        </w:rPr>
      </w:pPr>
      <w:r>
        <w:rPr>
          <w:rFonts w:hint="eastAsia" w:ascii="仿宋" w:hAnsi="仿宋" w:eastAsia="仿宋" w:cs="仿宋"/>
          <w:color w:val="000000"/>
          <w:sz w:val="24"/>
          <w:highlight w:val="none"/>
        </w:rPr>
        <w:t>（2）本投标有效期为自投标截止之日起个日历日。</w:t>
      </w:r>
    </w:p>
    <w:p w14:paraId="7521527C">
      <w:pPr>
        <w:pStyle w:val="13"/>
        <w:keepNext w:val="0"/>
        <w:keepLines w:val="0"/>
        <w:pageBreakBefore w:val="0"/>
        <w:widowControl w:val="0"/>
        <w:tabs>
          <w:tab w:val="left" w:pos="5580"/>
        </w:tabs>
        <w:wordWrap/>
        <w:overflowPunct/>
        <w:topLinePunct w:val="0"/>
        <w:bidi w:val="0"/>
        <w:snapToGrid w:val="0"/>
        <w:spacing w:line="320" w:lineRule="exact"/>
        <w:ind w:left="1080" w:leftChars="257" w:hanging="540"/>
        <w:rPr>
          <w:rFonts w:hint="eastAsia" w:ascii="仿宋" w:hAnsi="仿宋" w:eastAsia="仿宋" w:cs="仿宋"/>
          <w:color w:val="000000"/>
          <w:sz w:val="24"/>
          <w:highlight w:val="none"/>
        </w:rPr>
      </w:pPr>
      <w:r>
        <w:rPr>
          <w:rFonts w:hint="eastAsia" w:ascii="仿宋" w:hAnsi="仿宋" w:eastAsia="仿宋" w:cs="仿宋"/>
          <w:color w:val="000000"/>
          <w:sz w:val="24"/>
          <w:highlight w:val="none"/>
        </w:rPr>
        <w:t>（3）联合体中的大中型企业和其他自然人、法人或者非法人组织，与联合体中的小型、微型企业之间</w:t>
      </w:r>
      <w:r>
        <w:rPr>
          <w:rFonts w:hint="eastAsia" w:ascii="仿宋" w:hAnsi="仿宋" w:eastAsia="仿宋" w:cs="仿宋"/>
          <w:color w:val="000000"/>
          <w:sz w:val="24"/>
          <w:highlight w:val="none"/>
          <w:u w:val="single" w:color="000000"/>
        </w:rPr>
        <w:t>（</w:t>
      </w:r>
      <w:r>
        <w:rPr>
          <w:rFonts w:hint="eastAsia" w:ascii="仿宋" w:hAnsi="仿宋" w:eastAsia="仿宋" w:cs="仿宋"/>
          <w:color w:val="000000"/>
          <w:sz w:val="24"/>
          <w:highlight w:val="none"/>
        </w:rPr>
        <w:t>存在、不存在）投资关系（如果是联合体的话）。</w:t>
      </w:r>
    </w:p>
    <w:p w14:paraId="73260797">
      <w:pPr>
        <w:pStyle w:val="13"/>
        <w:keepNext w:val="0"/>
        <w:keepLines w:val="0"/>
        <w:pageBreakBefore w:val="0"/>
        <w:widowControl w:val="0"/>
        <w:tabs>
          <w:tab w:val="left" w:pos="5580"/>
        </w:tabs>
        <w:wordWrap/>
        <w:overflowPunct/>
        <w:topLinePunct w:val="0"/>
        <w:bidi w:val="0"/>
        <w:snapToGrid w:val="0"/>
        <w:spacing w:line="320" w:lineRule="exact"/>
        <w:ind w:left="1080" w:leftChars="257" w:hanging="540"/>
        <w:rPr>
          <w:rFonts w:hint="eastAsia" w:ascii="仿宋" w:hAnsi="仿宋" w:eastAsia="仿宋" w:cs="仿宋"/>
          <w:color w:val="000000"/>
          <w:sz w:val="24"/>
          <w:highlight w:val="none"/>
        </w:rPr>
      </w:pPr>
      <w:r>
        <w:rPr>
          <w:rFonts w:hint="eastAsia" w:ascii="仿宋" w:hAnsi="仿宋" w:eastAsia="仿宋" w:cs="仿宋"/>
          <w:color w:val="000000"/>
          <w:sz w:val="24"/>
          <w:highlight w:val="none"/>
        </w:rPr>
        <w:t>（4）已详细审查全部招标文件，包括所有补充通知（如果有的话），完全理解并同意放弃对这方面有不明、误解和质疑的权力。</w:t>
      </w:r>
    </w:p>
    <w:p w14:paraId="7B8E378C">
      <w:pPr>
        <w:pStyle w:val="13"/>
        <w:keepNext w:val="0"/>
        <w:keepLines w:val="0"/>
        <w:pageBreakBefore w:val="0"/>
        <w:widowControl w:val="0"/>
        <w:tabs>
          <w:tab w:val="left" w:pos="5580"/>
        </w:tabs>
        <w:wordWrap/>
        <w:overflowPunct/>
        <w:topLinePunct w:val="0"/>
        <w:bidi w:val="0"/>
        <w:snapToGrid w:val="0"/>
        <w:spacing w:line="320" w:lineRule="exact"/>
        <w:ind w:left="1080" w:leftChars="257" w:hanging="540"/>
        <w:rPr>
          <w:rFonts w:hint="eastAsia" w:ascii="仿宋" w:hAnsi="仿宋" w:eastAsia="仿宋" w:cs="仿宋"/>
          <w:color w:val="000000"/>
          <w:sz w:val="24"/>
          <w:highlight w:val="none"/>
        </w:rPr>
      </w:pPr>
      <w:r>
        <w:rPr>
          <w:rFonts w:hint="eastAsia" w:ascii="仿宋" w:hAnsi="仿宋" w:eastAsia="仿宋" w:cs="仿宋"/>
          <w:color w:val="000000"/>
          <w:sz w:val="24"/>
          <w:highlight w:val="none"/>
        </w:rPr>
        <w:t>（5）在规定的开标时间后，遵守招标文件中有关保证金的规定。</w:t>
      </w:r>
    </w:p>
    <w:p w14:paraId="5012BE9E">
      <w:pPr>
        <w:pStyle w:val="13"/>
        <w:keepNext w:val="0"/>
        <w:keepLines w:val="0"/>
        <w:pageBreakBefore w:val="0"/>
        <w:widowControl w:val="0"/>
        <w:tabs>
          <w:tab w:val="left" w:pos="5580"/>
        </w:tabs>
        <w:wordWrap/>
        <w:overflowPunct/>
        <w:topLinePunct w:val="0"/>
        <w:bidi w:val="0"/>
        <w:snapToGrid w:val="0"/>
        <w:spacing w:line="320" w:lineRule="exact"/>
        <w:ind w:left="1080" w:leftChars="257" w:hanging="540"/>
        <w:rPr>
          <w:rFonts w:hint="eastAsia" w:ascii="仿宋" w:hAnsi="仿宋" w:eastAsia="仿宋" w:cs="仿宋"/>
          <w:color w:val="000000"/>
          <w:sz w:val="24"/>
          <w:highlight w:val="none"/>
        </w:rPr>
      </w:pPr>
      <w:r>
        <w:rPr>
          <w:rFonts w:hint="eastAsia" w:ascii="仿宋" w:hAnsi="仿宋" w:eastAsia="仿宋" w:cs="仿宋"/>
          <w:color w:val="000000"/>
          <w:sz w:val="24"/>
          <w:highlight w:val="none"/>
        </w:rPr>
        <w:t>（6）我方不是为本项目提供整体设计、规范编制或者项目管理、监理、检测等服务的供应商，我方不是采购代理机构的附属机构。</w:t>
      </w:r>
    </w:p>
    <w:p w14:paraId="458BD1D6">
      <w:pPr>
        <w:pStyle w:val="13"/>
        <w:keepNext w:val="0"/>
        <w:keepLines w:val="0"/>
        <w:pageBreakBefore w:val="0"/>
        <w:widowControl w:val="0"/>
        <w:tabs>
          <w:tab w:val="left" w:pos="5580"/>
        </w:tabs>
        <w:wordWrap/>
        <w:overflowPunct/>
        <w:topLinePunct w:val="0"/>
        <w:bidi w:val="0"/>
        <w:snapToGrid w:val="0"/>
        <w:spacing w:line="320" w:lineRule="exact"/>
        <w:ind w:left="1080" w:leftChars="257" w:hanging="540"/>
        <w:rPr>
          <w:rFonts w:hint="eastAsia" w:ascii="仿宋" w:hAnsi="仿宋" w:eastAsia="仿宋" w:cs="仿宋"/>
          <w:color w:val="000000"/>
          <w:sz w:val="24"/>
          <w:highlight w:val="none"/>
        </w:rPr>
      </w:pPr>
      <w:r>
        <w:rPr>
          <w:rFonts w:hint="eastAsia" w:ascii="仿宋" w:hAnsi="仿宋" w:eastAsia="仿宋" w:cs="仿宋"/>
          <w:color w:val="000000"/>
          <w:sz w:val="24"/>
          <w:highlight w:val="none"/>
        </w:rPr>
        <w:t>（7）在领取中标通知书的同时按招标文件规定的形式，向贵方一次性支付中标服务费。</w:t>
      </w:r>
    </w:p>
    <w:p w14:paraId="57E40D86">
      <w:pPr>
        <w:pStyle w:val="13"/>
        <w:keepNext w:val="0"/>
        <w:keepLines w:val="0"/>
        <w:pageBreakBefore w:val="0"/>
        <w:widowControl w:val="0"/>
        <w:tabs>
          <w:tab w:val="left" w:pos="5580"/>
        </w:tabs>
        <w:wordWrap/>
        <w:overflowPunct/>
        <w:topLinePunct w:val="0"/>
        <w:bidi w:val="0"/>
        <w:snapToGrid w:val="0"/>
        <w:spacing w:line="320" w:lineRule="exact"/>
        <w:ind w:left="1080" w:leftChars="257" w:hanging="540"/>
        <w:rPr>
          <w:rFonts w:hint="eastAsia" w:ascii="仿宋" w:hAnsi="仿宋" w:eastAsia="仿宋" w:cs="仿宋"/>
          <w:color w:val="000000"/>
          <w:sz w:val="24"/>
          <w:highlight w:val="none"/>
        </w:rPr>
      </w:pPr>
      <w:r>
        <w:rPr>
          <w:rFonts w:hint="eastAsia" w:ascii="仿宋" w:hAnsi="仿宋" w:eastAsia="仿宋" w:cs="仿宋"/>
          <w:color w:val="000000"/>
          <w:sz w:val="24"/>
          <w:highlight w:val="none"/>
        </w:rPr>
        <w:t>（8）按照贵方可能要求，提供与其投标有关的一切数据或资料，完全理解贵方不一定接受最低价的投标或收到的任何投标。</w:t>
      </w:r>
    </w:p>
    <w:p w14:paraId="0F9E7A6B">
      <w:pPr>
        <w:pStyle w:val="13"/>
        <w:keepNext w:val="0"/>
        <w:keepLines w:val="0"/>
        <w:pageBreakBefore w:val="0"/>
        <w:widowControl w:val="0"/>
        <w:tabs>
          <w:tab w:val="left" w:pos="5580"/>
        </w:tabs>
        <w:wordWrap/>
        <w:overflowPunct/>
        <w:topLinePunct w:val="0"/>
        <w:bidi w:val="0"/>
        <w:snapToGrid w:val="0"/>
        <w:spacing w:line="320" w:lineRule="exact"/>
        <w:ind w:left="1080" w:leftChars="257" w:hanging="540"/>
        <w:rPr>
          <w:rFonts w:hint="eastAsia" w:ascii="仿宋" w:hAnsi="仿宋" w:eastAsia="仿宋" w:cs="仿宋"/>
          <w:color w:val="000000"/>
          <w:sz w:val="24"/>
          <w:highlight w:val="none"/>
        </w:rPr>
      </w:pPr>
      <w:r>
        <w:rPr>
          <w:rFonts w:hint="eastAsia" w:ascii="仿宋" w:hAnsi="仿宋" w:eastAsia="仿宋" w:cs="仿宋"/>
          <w:color w:val="000000"/>
          <w:sz w:val="24"/>
          <w:highlight w:val="none"/>
        </w:rPr>
        <w:t>（9）在中标公示期过后7个工作日内领取中标通知书，不领取中标通知书视为自动放弃中标资格，采购人可依法进行相应处罚。</w:t>
      </w:r>
    </w:p>
    <w:p w14:paraId="03511EEC">
      <w:pPr>
        <w:pStyle w:val="13"/>
        <w:keepNext w:val="0"/>
        <w:keepLines w:val="0"/>
        <w:pageBreakBefore w:val="0"/>
        <w:widowControl w:val="0"/>
        <w:tabs>
          <w:tab w:val="left" w:pos="5580"/>
        </w:tabs>
        <w:wordWrap/>
        <w:overflowPunct/>
        <w:topLinePunct w:val="0"/>
        <w:bidi w:val="0"/>
        <w:snapToGrid w:val="0"/>
        <w:spacing w:line="320" w:lineRule="exact"/>
        <w:ind w:left="1080" w:leftChars="257" w:hanging="540"/>
        <w:rPr>
          <w:rFonts w:hint="eastAsia" w:ascii="仿宋" w:hAnsi="仿宋" w:eastAsia="仿宋" w:cs="仿宋"/>
          <w:color w:val="000000"/>
          <w:sz w:val="24"/>
          <w:highlight w:val="none"/>
        </w:rPr>
      </w:pPr>
      <w:r>
        <w:rPr>
          <w:rFonts w:hint="eastAsia" w:ascii="仿宋" w:hAnsi="仿宋" w:eastAsia="仿宋" w:cs="仿宋"/>
          <w:color w:val="000000"/>
          <w:sz w:val="24"/>
          <w:highlight w:val="none"/>
        </w:rPr>
        <w:t>（10）按照招标文件的规定履行合同责任和义务。</w:t>
      </w:r>
    </w:p>
    <w:p w14:paraId="24FBF98A">
      <w:pPr>
        <w:pStyle w:val="13"/>
        <w:keepNext w:val="0"/>
        <w:keepLines w:val="0"/>
        <w:pageBreakBefore w:val="0"/>
        <w:widowControl w:val="0"/>
        <w:tabs>
          <w:tab w:val="left" w:pos="5580"/>
        </w:tabs>
        <w:wordWrap/>
        <w:overflowPunct/>
        <w:topLinePunct w:val="0"/>
        <w:bidi w:val="0"/>
        <w:snapToGrid w:val="0"/>
        <w:spacing w:line="320" w:lineRule="exact"/>
        <w:ind w:left="359" w:leftChars="68" w:hanging="216" w:hangingChars="90"/>
        <w:rPr>
          <w:rFonts w:hint="eastAsia" w:ascii="仿宋" w:hAnsi="仿宋" w:eastAsia="仿宋" w:cs="仿宋"/>
          <w:color w:val="000000"/>
          <w:sz w:val="24"/>
          <w:highlight w:val="none"/>
        </w:rPr>
      </w:pPr>
      <w:r>
        <w:rPr>
          <w:rFonts w:hint="eastAsia" w:ascii="仿宋" w:hAnsi="仿宋" w:eastAsia="仿宋" w:cs="仿宋"/>
          <w:color w:val="000000"/>
          <w:sz w:val="24"/>
          <w:highlight w:val="none"/>
        </w:rPr>
        <w:t>与本投标有关的一切正式往来信函请寄：</w:t>
      </w:r>
    </w:p>
    <w:p w14:paraId="31DE223B">
      <w:pPr>
        <w:pStyle w:val="13"/>
        <w:keepNext w:val="0"/>
        <w:keepLines w:val="0"/>
        <w:pageBreakBefore w:val="0"/>
        <w:widowControl w:val="0"/>
        <w:tabs>
          <w:tab w:val="left" w:pos="5580"/>
        </w:tabs>
        <w:wordWrap/>
        <w:overflowPunct/>
        <w:topLinePunct w:val="0"/>
        <w:bidi w:val="0"/>
        <w:snapToGrid w:val="0"/>
        <w:spacing w:line="320" w:lineRule="exact"/>
        <w:ind w:left="1080" w:leftChars="257" w:hanging="540"/>
        <w:rPr>
          <w:rFonts w:hint="eastAsia" w:ascii="仿宋" w:hAnsi="仿宋" w:eastAsia="仿宋" w:cs="仿宋"/>
          <w:color w:val="000000"/>
          <w:sz w:val="24"/>
          <w:highlight w:val="none"/>
        </w:rPr>
      </w:pPr>
      <w:r>
        <w:rPr>
          <w:rFonts w:hint="eastAsia" w:ascii="仿宋" w:hAnsi="仿宋" w:eastAsia="仿宋" w:cs="仿宋"/>
          <w:color w:val="000000"/>
          <w:sz w:val="24"/>
          <w:highlight w:val="none"/>
        </w:rPr>
        <w:t>地址传真</w:t>
      </w:r>
    </w:p>
    <w:p w14:paraId="43F0EDC5">
      <w:pPr>
        <w:pStyle w:val="13"/>
        <w:keepNext w:val="0"/>
        <w:keepLines w:val="0"/>
        <w:pageBreakBefore w:val="0"/>
        <w:widowControl w:val="0"/>
        <w:tabs>
          <w:tab w:val="left" w:pos="5580"/>
        </w:tabs>
        <w:wordWrap/>
        <w:overflowPunct/>
        <w:topLinePunct w:val="0"/>
        <w:bidi w:val="0"/>
        <w:snapToGrid w:val="0"/>
        <w:spacing w:line="320" w:lineRule="exact"/>
        <w:ind w:left="1080" w:leftChars="257" w:hanging="540"/>
        <w:rPr>
          <w:rFonts w:hint="eastAsia" w:ascii="仿宋" w:hAnsi="仿宋" w:eastAsia="仿宋" w:cs="仿宋"/>
          <w:b/>
          <w:color w:val="000000"/>
          <w:sz w:val="24"/>
          <w:highlight w:val="none"/>
        </w:rPr>
      </w:pPr>
      <w:r>
        <w:rPr>
          <w:rFonts w:hint="eastAsia" w:ascii="仿宋" w:hAnsi="仿宋" w:eastAsia="仿宋" w:cs="仿宋"/>
          <w:color w:val="000000"/>
          <w:sz w:val="24"/>
          <w:highlight w:val="none"/>
        </w:rPr>
        <w:t>电话电子函件</w:t>
      </w:r>
    </w:p>
    <w:p w14:paraId="4626CEB7">
      <w:pPr>
        <w:pStyle w:val="13"/>
        <w:keepNext w:val="0"/>
        <w:keepLines w:val="0"/>
        <w:pageBreakBefore w:val="0"/>
        <w:widowControl w:val="0"/>
        <w:tabs>
          <w:tab w:val="left" w:pos="5580"/>
        </w:tabs>
        <w:wordWrap/>
        <w:overflowPunct/>
        <w:topLinePunct w:val="0"/>
        <w:bidi w:val="0"/>
        <w:snapToGrid w:val="0"/>
        <w:spacing w:line="320" w:lineRule="exact"/>
        <w:ind w:left="1080" w:leftChars="257" w:hanging="540"/>
        <w:rPr>
          <w:rFonts w:hint="eastAsia" w:ascii="仿宋" w:hAnsi="仿宋" w:eastAsia="仿宋" w:cs="仿宋"/>
          <w:color w:val="000000"/>
          <w:sz w:val="24"/>
          <w:highlight w:val="none"/>
        </w:rPr>
      </w:pPr>
    </w:p>
    <w:p w14:paraId="1DEC0622">
      <w:pPr>
        <w:pStyle w:val="13"/>
        <w:keepNext w:val="0"/>
        <w:keepLines w:val="0"/>
        <w:pageBreakBefore w:val="0"/>
        <w:widowControl w:val="0"/>
        <w:tabs>
          <w:tab w:val="left" w:pos="5580"/>
        </w:tabs>
        <w:wordWrap/>
        <w:overflowPunct/>
        <w:topLinePunct w:val="0"/>
        <w:bidi w:val="0"/>
        <w:snapToGrid w:val="0"/>
        <w:spacing w:line="320" w:lineRule="exact"/>
        <w:ind w:left="1080" w:leftChars="257" w:hanging="540"/>
        <w:rPr>
          <w:rFonts w:hint="eastAsia" w:ascii="仿宋" w:hAnsi="仿宋" w:eastAsia="仿宋" w:cs="仿宋"/>
          <w:color w:val="000000"/>
          <w:sz w:val="24"/>
          <w:highlight w:val="none"/>
        </w:rPr>
      </w:pPr>
      <w:r>
        <w:rPr>
          <w:rFonts w:hint="eastAsia" w:ascii="仿宋" w:hAnsi="仿宋" w:eastAsia="仿宋" w:cs="仿宋"/>
          <w:color w:val="000000"/>
          <w:sz w:val="24"/>
          <w:highlight w:val="none"/>
        </w:rPr>
        <w:t>法定代表人（或企业负责人）或其委托代理人签字（章）-------------</w:t>
      </w:r>
    </w:p>
    <w:p w14:paraId="5F1925B6">
      <w:pPr>
        <w:pStyle w:val="13"/>
        <w:keepNext w:val="0"/>
        <w:keepLines w:val="0"/>
        <w:pageBreakBefore w:val="0"/>
        <w:widowControl w:val="0"/>
        <w:tabs>
          <w:tab w:val="left" w:pos="5580"/>
        </w:tabs>
        <w:wordWrap/>
        <w:overflowPunct/>
        <w:topLinePunct w:val="0"/>
        <w:bidi w:val="0"/>
        <w:snapToGrid w:val="0"/>
        <w:spacing w:line="320" w:lineRule="exact"/>
        <w:ind w:left="1080" w:leftChars="257" w:hanging="540"/>
        <w:rPr>
          <w:rFonts w:hint="eastAsia" w:ascii="仿宋" w:hAnsi="仿宋" w:eastAsia="仿宋" w:cs="仿宋"/>
          <w:color w:val="000000"/>
          <w:sz w:val="24"/>
          <w:highlight w:val="none"/>
        </w:rPr>
      </w:pPr>
      <w:r>
        <w:rPr>
          <w:rFonts w:hint="eastAsia" w:ascii="仿宋" w:hAnsi="仿宋" w:eastAsia="仿宋" w:cs="仿宋"/>
          <w:color w:val="000000"/>
          <w:sz w:val="24"/>
          <w:highlight w:val="none"/>
        </w:rPr>
        <w:t>投标人名称（全称）-----------------</w:t>
      </w:r>
    </w:p>
    <w:p w14:paraId="590ED36E">
      <w:pPr>
        <w:pStyle w:val="13"/>
        <w:keepNext w:val="0"/>
        <w:keepLines w:val="0"/>
        <w:pageBreakBefore w:val="0"/>
        <w:widowControl w:val="0"/>
        <w:tabs>
          <w:tab w:val="left" w:pos="5580"/>
        </w:tabs>
        <w:wordWrap/>
        <w:overflowPunct/>
        <w:topLinePunct w:val="0"/>
        <w:bidi w:val="0"/>
        <w:snapToGrid w:val="0"/>
        <w:spacing w:line="320" w:lineRule="exact"/>
        <w:ind w:left="1080" w:leftChars="257" w:hanging="540"/>
        <w:rPr>
          <w:rFonts w:hint="eastAsia" w:ascii="仿宋" w:hAnsi="仿宋" w:eastAsia="仿宋" w:cs="仿宋"/>
          <w:color w:val="000000"/>
          <w:sz w:val="24"/>
          <w:highlight w:val="none"/>
        </w:rPr>
      </w:pPr>
      <w:r>
        <w:rPr>
          <w:rFonts w:hint="eastAsia" w:ascii="仿宋" w:hAnsi="仿宋" w:eastAsia="仿宋" w:cs="仿宋"/>
          <w:color w:val="000000"/>
          <w:sz w:val="24"/>
          <w:highlight w:val="none"/>
        </w:rPr>
        <w:t>投标人开户银行（全称）---------------</w:t>
      </w:r>
    </w:p>
    <w:p w14:paraId="6ED7926E">
      <w:pPr>
        <w:pStyle w:val="13"/>
        <w:keepNext w:val="0"/>
        <w:keepLines w:val="0"/>
        <w:pageBreakBefore w:val="0"/>
        <w:widowControl w:val="0"/>
        <w:tabs>
          <w:tab w:val="left" w:pos="5580"/>
        </w:tabs>
        <w:wordWrap/>
        <w:overflowPunct/>
        <w:topLinePunct w:val="0"/>
        <w:bidi w:val="0"/>
        <w:snapToGrid w:val="0"/>
        <w:spacing w:line="320" w:lineRule="exact"/>
        <w:ind w:left="1080" w:leftChars="257" w:hanging="540"/>
        <w:rPr>
          <w:rFonts w:hint="eastAsia" w:ascii="仿宋" w:hAnsi="仿宋" w:eastAsia="仿宋" w:cs="仿宋"/>
          <w:color w:val="000000"/>
          <w:sz w:val="24"/>
          <w:highlight w:val="none"/>
        </w:rPr>
      </w:pPr>
      <w:r>
        <w:rPr>
          <w:rFonts w:hint="eastAsia" w:ascii="仿宋" w:hAnsi="仿宋" w:eastAsia="仿宋" w:cs="仿宋"/>
          <w:color w:val="000000"/>
          <w:sz w:val="24"/>
          <w:highlight w:val="none"/>
        </w:rPr>
        <w:t>投标人银行帐号</w:t>
      </w:r>
    </w:p>
    <w:p w14:paraId="388CE24B">
      <w:pPr>
        <w:pStyle w:val="13"/>
        <w:keepNext w:val="0"/>
        <w:keepLines w:val="0"/>
        <w:pageBreakBefore w:val="0"/>
        <w:widowControl w:val="0"/>
        <w:tabs>
          <w:tab w:val="left" w:pos="5580"/>
        </w:tabs>
        <w:wordWrap/>
        <w:overflowPunct/>
        <w:topLinePunct w:val="0"/>
        <w:bidi w:val="0"/>
        <w:snapToGrid w:val="0"/>
        <w:spacing w:line="320" w:lineRule="exact"/>
        <w:ind w:left="1080" w:leftChars="257" w:hanging="540"/>
        <w:rPr>
          <w:rFonts w:hint="eastAsia" w:ascii="仿宋" w:hAnsi="仿宋" w:eastAsia="仿宋" w:cs="仿宋"/>
          <w:color w:val="000000"/>
          <w:sz w:val="24"/>
          <w:highlight w:val="none"/>
        </w:rPr>
      </w:pPr>
      <w:r>
        <w:rPr>
          <w:rFonts w:hint="eastAsia" w:ascii="仿宋" w:hAnsi="仿宋" w:eastAsia="仿宋" w:cs="仿宋"/>
          <w:color w:val="000000"/>
          <w:sz w:val="24"/>
          <w:highlight w:val="none"/>
        </w:rPr>
        <w:t>投标人单位章-------------------------</w:t>
      </w:r>
    </w:p>
    <w:p w14:paraId="2F1CD805">
      <w:pPr>
        <w:pStyle w:val="13"/>
        <w:keepNext w:val="0"/>
        <w:keepLines w:val="0"/>
        <w:pageBreakBefore w:val="0"/>
        <w:widowControl w:val="0"/>
        <w:tabs>
          <w:tab w:val="left" w:pos="5580"/>
        </w:tabs>
        <w:wordWrap/>
        <w:overflowPunct/>
        <w:topLinePunct w:val="0"/>
        <w:bidi w:val="0"/>
        <w:snapToGrid w:val="0"/>
        <w:spacing w:line="320" w:lineRule="exact"/>
        <w:ind w:left="1080" w:leftChars="257" w:hanging="540"/>
        <w:rPr>
          <w:rFonts w:hint="eastAsia" w:ascii="仿宋" w:hAnsi="仿宋" w:eastAsia="仿宋" w:cs="仿宋"/>
          <w:color w:val="000000"/>
          <w:sz w:val="24"/>
          <w:highlight w:val="none"/>
        </w:rPr>
      </w:pPr>
      <w:r>
        <w:rPr>
          <w:rFonts w:hint="eastAsia" w:ascii="仿宋" w:hAnsi="仿宋" w:eastAsia="仿宋" w:cs="仿宋"/>
          <w:color w:val="000000"/>
          <w:sz w:val="24"/>
          <w:highlight w:val="none"/>
        </w:rPr>
        <w:t>日期-------------------------------</w:t>
      </w:r>
    </w:p>
    <w:p w14:paraId="1A201F46">
      <w:pPr>
        <w:pStyle w:val="13"/>
        <w:keepNext w:val="0"/>
        <w:keepLines w:val="0"/>
        <w:pageBreakBefore w:val="0"/>
        <w:widowControl w:val="0"/>
        <w:tabs>
          <w:tab w:val="left" w:pos="5580"/>
        </w:tabs>
        <w:wordWrap/>
        <w:overflowPunct/>
        <w:topLinePunct w:val="0"/>
        <w:bidi w:val="0"/>
        <w:snapToGrid w:val="0"/>
        <w:spacing w:line="320" w:lineRule="exact"/>
        <w:ind w:left="1080" w:leftChars="257" w:hanging="540"/>
        <w:rPr>
          <w:rFonts w:hint="eastAsia" w:ascii="仿宋_GB2312" w:hAnsi="仿宋_GB2312" w:eastAsia="仿宋_GB2312" w:cs="仿宋_GB2312"/>
          <w:sz w:val="24"/>
          <w:highlight w:val="none"/>
        </w:rPr>
      </w:pPr>
      <w:r>
        <w:rPr>
          <w:rFonts w:hint="eastAsia" w:ascii="仿宋" w:hAnsi="仿宋" w:eastAsia="仿宋" w:cs="仿宋"/>
          <w:color w:val="000000"/>
          <w:sz w:val="24"/>
          <w:highlight w:val="none"/>
        </w:rPr>
        <w:br w:type="page"/>
      </w:r>
    </w:p>
    <w:p w14:paraId="4452F9C9">
      <w:pPr>
        <w:pStyle w:val="4"/>
        <w:keepNext w:val="0"/>
        <w:keepLines w:val="0"/>
        <w:pageBreakBefore w:val="0"/>
        <w:widowControl w:val="0"/>
        <w:wordWrap/>
        <w:overflowPunct/>
        <w:topLinePunct w:val="0"/>
        <w:bidi w:val="0"/>
        <w:spacing w:before="0" w:after="0" w:line="288" w:lineRule="auto"/>
        <w:ind w:left="1079" w:leftChars="257" w:hanging="539"/>
        <w:jc w:val="center"/>
        <w:rPr>
          <w:rFonts w:hint="eastAsia" w:ascii="仿宋_GB2312" w:hAnsi="仿宋_GB2312" w:eastAsia="仿宋_GB2312" w:cs="仿宋_GB2312"/>
          <w:highlight w:val="none"/>
          <w:u w:val="none"/>
        </w:rPr>
      </w:pPr>
      <w:bookmarkStart w:id="783" w:name="_Toc19321"/>
      <w:bookmarkStart w:id="784" w:name="_Toc12027"/>
      <w:bookmarkStart w:id="785" w:name="_Toc16287"/>
      <w:bookmarkStart w:id="786" w:name="_Toc32398"/>
      <w:bookmarkStart w:id="787" w:name="_Toc18267"/>
      <w:bookmarkStart w:id="788" w:name="_Toc515647819"/>
      <w:bookmarkStart w:id="789" w:name="_Toc14037"/>
      <w:bookmarkStart w:id="790" w:name="_Toc216582816"/>
      <w:r>
        <w:rPr>
          <w:rFonts w:hint="eastAsia" w:ascii="仿宋_GB2312" w:hAnsi="仿宋_GB2312" w:eastAsia="仿宋_GB2312" w:cs="仿宋_GB2312"/>
          <w:highlight w:val="none"/>
          <w:u w:val="none"/>
        </w:rPr>
        <w:t>2投标分项报价表</w:t>
      </w:r>
      <w:bookmarkEnd w:id="783"/>
      <w:bookmarkEnd w:id="784"/>
      <w:bookmarkEnd w:id="785"/>
    </w:p>
    <w:p w14:paraId="6CF1E9BA">
      <w:pPr>
        <w:pStyle w:val="13"/>
        <w:keepNext w:val="0"/>
        <w:keepLines w:val="0"/>
        <w:pageBreakBefore w:val="0"/>
        <w:widowControl w:val="0"/>
        <w:wordWrap/>
        <w:overflowPunct/>
        <w:topLinePunct w:val="0"/>
        <w:bidi w:val="0"/>
        <w:snapToGrid w:val="0"/>
        <w:spacing w:line="240" w:lineRule="atLeast"/>
        <w:ind w:left="1080" w:leftChars="257" w:hanging="540"/>
        <w:rPr>
          <w:rFonts w:hint="eastAsia" w:ascii="仿宋_GB2312" w:hAnsi="仿宋_GB2312" w:eastAsia="仿宋_GB2312" w:cs="仿宋_GB2312"/>
          <w:sz w:val="24"/>
          <w:highlight w:val="none"/>
        </w:rPr>
      </w:pPr>
    </w:p>
    <w:p w14:paraId="0C829267">
      <w:pPr>
        <w:pStyle w:val="13"/>
        <w:keepNext w:val="0"/>
        <w:keepLines w:val="0"/>
        <w:pageBreakBefore w:val="0"/>
        <w:widowControl w:val="0"/>
        <w:wordWrap/>
        <w:overflowPunct/>
        <w:topLinePunct w:val="0"/>
        <w:bidi w:val="0"/>
        <w:snapToGrid w:val="0"/>
        <w:spacing w:line="240" w:lineRule="atLeast"/>
        <w:ind w:left="79" w:leftChars="-27" w:hanging="136" w:hangingChars="57"/>
        <w:rPr>
          <w:rFonts w:hint="eastAsia" w:ascii="仿宋_GB2312" w:hAnsi="仿宋_GB2312" w:eastAsia="仿宋_GB2312" w:cs="仿宋_GB2312"/>
          <w:sz w:val="24"/>
          <w:highlight w:val="none"/>
          <w:lang w:eastAsia="zh-CN"/>
        </w:rPr>
      </w:pPr>
      <w:r>
        <w:rPr>
          <w:rFonts w:hint="eastAsia" w:ascii="仿宋_GB2312" w:hAnsi="仿宋_GB2312" w:eastAsia="仿宋_GB2312" w:cs="仿宋_GB2312"/>
          <w:sz w:val="24"/>
          <w:highlight w:val="none"/>
        </w:rPr>
        <w:t>项目名称:招标编号:报价单位：元</w:t>
      </w:r>
      <w:r>
        <w:rPr>
          <w:rFonts w:hint="eastAsia" w:ascii="仿宋_GB2312" w:hAnsi="仿宋_GB2312" w:eastAsia="仿宋_GB2312" w:cs="仿宋_GB2312"/>
          <w:sz w:val="24"/>
          <w:highlight w:val="none"/>
          <w:lang w:val="en-US" w:eastAsia="zh-CN"/>
        </w:rPr>
        <w:t>包号</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lang w:val="en-US" w:eastAsia="zh-CN"/>
        </w:rPr>
        <w:t>/</w:t>
      </w:r>
    </w:p>
    <w:tbl>
      <w:tblPr>
        <w:tblStyle w:val="26"/>
        <w:tblW w:w="10448" w:type="dxa"/>
        <w:tblInd w:w="-10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515"/>
        <w:gridCol w:w="1290"/>
        <w:gridCol w:w="1185"/>
        <w:gridCol w:w="1005"/>
        <w:gridCol w:w="945"/>
        <w:gridCol w:w="1200"/>
        <w:gridCol w:w="930"/>
        <w:gridCol w:w="928"/>
        <w:gridCol w:w="820"/>
      </w:tblGrid>
      <w:tr w14:paraId="5D2F1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630" w:type="dxa"/>
            <w:noWrap/>
            <w:vAlign w:val="center"/>
          </w:tcPr>
          <w:p w14:paraId="05A52BFC">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79" w:leftChars="-27" w:right="0" w:hanging="136" w:hangingChars="57"/>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　　序号</w:t>
            </w:r>
          </w:p>
        </w:tc>
        <w:tc>
          <w:tcPr>
            <w:tcW w:w="1515" w:type="dxa"/>
            <w:noWrap/>
            <w:vAlign w:val="center"/>
          </w:tcPr>
          <w:p w14:paraId="7F31CB08">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0" w:right="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货物名称</w:t>
            </w:r>
          </w:p>
        </w:tc>
        <w:tc>
          <w:tcPr>
            <w:tcW w:w="1290" w:type="dxa"/>
            <w:noWrap/>
            <w:vAlign w:val="center"/>
          </w:tcPr>
          <w:p w14:paraId="28357F55">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0" w:right="0"/>
              <w:jc w:val="center"/>
              <w:rPr>
                <w:rFonts w:hint="eastAsia" w:ascii="仿宋_GB2312" w:hAnsi="仿宋_GB2312" w:eastAsia="仿宋_GB2312" w:cs="仿宋_GB2312"/>
                <w:sz w:val="24"/>
                <w:highlight w:val="none"/>
              </w:rPr>
            </w:pPr>
          </w:p>
          <w:p w14:paraId="4C3B4EB5">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0" w:right="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品牌型号</w:t>
            </w:r>
          </w:p>
          <w:p w14:paraId="1EB965F4">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0" w:right="0"/>
              <w:jc w:val="center"/>
              <w:rPr>
                <w:rFonts w:hint="eastAsia" w:ascii="仿宋_GB2312" w:hAnsi="仿宋_GB2312" w:eastAsia="仿宋_GB2312" w:cs="仿宋_GB2312"/>
                <w:sz w:val="24"/>
                <w:highlight w:val="none"/>
              </w:rPr>
            </w:pPr>
          </w:p>
        </w:tc>
        <w:tc>
          <w:tcPr>
            <w:tcW w:w="1185" w:type="dxa"/>
            <w:noWrap/>
            <w:vAlign w:val="center"/>
          </w:tcPr>
          <w:p w14:paraId="544EB61E">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0" w:right="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投标规格</w:t>
            </w:r>
          </w:p>
        </w:tc>
        <w:tc>
          <w:tcPr>
            <w:tcW w:w="1005" w:type="dxa"/>
            <w:noWrap/>
            <w:vAlign w:val="center"/>
          </w:tcPr>
          <w:p w14:paraId="43E9A574">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0" w:right="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数量</w:t>
            </w:r>
          </w:p>
        </w:tc>
        <w:tc>
          <w:tcPr>
            <w:tcW w:w="945" w:type="dxa"/>
            <w:noWrap/>
            <w:vAlign w:val="center"/>
          </w:tcPr>
          <w:p w14:paraId="08CFD917">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0" w:right="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单位</w:t>
            </w:r>
          </w:p>
        </w:tc>
        <w:tc>
          <w:tcPr>
            <w:tcW w:w="1200" w:type="dxa"/>
            <w:noWrap/>
            <w:vAlign w:val="center"/>
          </w:tcPr>
          <w:p w14:paraId="1C8CEE51">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0" w:right="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生产厂家</w:t>
            </w:r>
          </w:p>
        </w:tc>
        <w:tc>
          <w:tcPr>
            <w:tcW w:w="930" w:type="dxa"/>
            <w:noWrap/>
            <w:vAlign w:val="center"/>
          </w:tcPr>
          <w:p w14:paraId="61D771AF">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0" w:right="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单价</w:t>
            </w:r>
          </w:p>
        </w:tc>
        <w:tc>
          <w:tcPr>
            <w:tcW w:w="928" w:type="dxa"/>
            <w:noWrap/>
            <w:vAlign w:val="center"/>
          </w:tcPr>
          <w:p w14:paraId="33DAF3CA">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0" w:right="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总价</w:t>
            </w:r>
          </w:p>
        </w:tc>
        <w:tc>
          <w:tcPr>
            <w:tcW w:w="820" w:type="dxa"/>
            <w:noWrap/>
            <w:vAlign w:val="center"/>
          </w:tcPr>
          <w:p w14:paraId="1954D3F9">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0" w:right="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备注</w:t>
            </w:r>
          </w:p>
        </w:tc>
      </w:tr>
      <w:tr w14:paraId="76FB2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630" w:type="dxa"/>
            <w:noWrap/>
            <w:vAlign w:val="center"/>
          </w:tcPr>
          <w:p w14:paraId="51E67A17">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0" w:right="0" w:firstLine="240" w:firstLineChars="100"/>
              <w:rPr>
                <w:rFonts w:hint="eastAsia" w:ascii="仿宋_GB2312" w:hAnsi="仿宋_GB2312" w:eastAsia="仿宋_GB2312" w:cs="仿宋_GB2312"/>
                <w:sz w:val="24"/>
                <w:highlight w:val="none"/>
              </w:rPr>
            </w:pPr>
          </w:p>
        </w:tc>
        <w:tc>
          <w:tcPr>
            <w:tcW w:w="1515" w:type="dxa"/>
            <w:noWrap/>
            <w:vAlign w:val="center"/>
          </w:tcPr>
          <w:p w14:paraId="062BB1AF">
            <w:pPr>
              <w:keepNext w:val="0"/>
              <w:keepLines w:val="0"/>
              <w:pageBreakBefore w:val="0"/>
              <w:widowControl w:val="0"/>
              <w:suppressLineNumbers w:val="0"/>
              <w:wordWrap/>
              <w:overflowPunct/>
              <w:topLinePunct w:val="0"/>
              <w:bidi w:val="0"/>
              <w:snapToGrid w:val="0"/>
              <w:spacing w:before="0" w:beforeAutospacing="0" w:afterAutospacing="0"/>
              <w:ind w:left="0" w:right="0"/>
              <w:jc w:val="center"/>
              <w:textAlignment w:val="center"/>
              <w:rPr>
                <w:rFonts w:hint="eastAsia" w:ascii="仿宋_GB2312" w:hAnsi="仿宋_GB2312" w:eastAsia="仿宋_GB2312" w:cs="仿宋_GB2312"/>
                <w:sz w:val="24"/>
                <w:highlight w:val="none"/>
              </w:rPr>
            </w:pPr>
          </w:p>
        </w:tc>
        <w:tc>
          <w:tcPr>
            <w:tcW w:w="1290" w:type="dxa"/>
            <w:noWrap/>
            <w:vAlign w:val="center"/>
          </w:tcPr>
          <w:p w14:paraId="51F8911A">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center"/>
              <w:rPr>
                <w:rFonts w:hint="eastAsia" w:ascii="仿宋_GB2312" w:hAnsi="仿宋_GB2312" w:eastAsia="仿宋_GB2312" w:cs="仿宋_GB2312"/>
                <w:sz w:val="24"/>
                <w:highlight w:val="none"/>
              </w:rPr>
            </w:pPr>
          </w:p>
        </w:tc>
        <w:tc>
          <w:tcPr>
            <w:tcW w:w="1185" w:type="dxa"/>
            <w:noWrap/>
            <w:vAlign w:val="center"/>
          </w:tcPr>
          <w:p w14:paraId="4BFF1EC2">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center"/>
              <w:rPr>
                <w:rFonts w:hint="eastAsia" w:ascii="仿宋_GB2312" w:hAnsi="仿宋_GB2312" w:eastAsia="仿宋_GB2312" w:cs="仿宋_GB2312"/>
                <w:sz w:val="24"/>
                <w:highlight w:val="none"/>
              </w:rPr>
            </w:pPr>
          </w:p>
        </w:tc>
        <w:tc>
          <w:tcPr>
            <w:tcW w:w="1005" w:type="dxa"/>
            <w:noWrap/>
            <w:vAlign w:val="center"/>
          </w:tcPr>
          <w:p w14:paraId="42FDF5FC">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center"/>
              <w:rPr>
                <w:rFonts w:hint="eastAsia" w:ascii="仿宋_GB2312" w:hAnsi="仿宋_GB2312" w:eastAsia="仿宋_GB2312" w:cs="仿宋_GB2312"/>
                <w:sz w:val="24"/>
                <w:highlight w:val="none"/>
              </w:rPr>
            </w:pPr>
          </w:p>
        </w:tc>
        <w:tc>
          <w:tcPr>
            <w:tcW w:w="945" w:type="dxa"/>
            <w:noWrap/>
            <w:vAlign w:val="center"/>
          </w:tcPr>
          <w:p w14:paraId="3961B020">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center"/>
              <w:rPr>
                <w:rFonts w:hint="eastAsia" w:ascii="仿宋_GB2312" w:hAnsi="仿宋_GB2312" w:eastAsia="仿宋_GB2312" w:cs="仿宋_GB2312"/>
                <w:sz w:val="24"/>
                <w:highlight w:val="none"/>
              </w:rPr>
            </w:pPr>
          </w:p>
        </w:tc>
        <w:tc>
          <w:tcPr>
            <w:tcW w:w="1200" w:type="dxa"/>
            <w:noWrap/>
            <w:vAlign w:val="center"/>
          </w:tcPr>
          <w:p w14:paraId="0A6D9727">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center"/>
              <w:rPr>
                <w:rFonts w:hint="eastAsia" w:ascii="仿宋_GB2312" w:hAnsi="仿宋_GB2312" w:eastAsia="仿宋_GB2312" w:cs="仿宋_GB2312"/>
                <w:sz w:val="24"/>
                <w:highlight w:val="none"/>
              </w:rPr>
            </w:pPr>
          </w:p>
        </w:tc>
        <w:tc>
          <w:tcPr>
            <w:tcW w:w="930" w:type="dxa"/>
            <w:noWrap/>
            <w:vAlign w:val="center"/>
          </w:tcPr>
          <w:p w14:paraId="4283EF9F">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center"/>
              <w:rPr>
                <w:rFonts w:hint="eastAsia" w:ascii="仿宋_GB2312" w:hAnsi="仿宋_GB2312" w:eastAsia="仿宋_GB2312" w:cs="仿宋_GB2312"/>
                <w:sz w:val="24"/>
                <w:highlight w:val="none"/>
              </w:rPr>
            </w:pPr>
          </w:p>
        </w:tc>
        <w:tc>
          <w:tcPr>
            <w:tcW w:w="928" w:type="dxa"/>
            <w:noWrap/>
            <w:vAlign w:val="center"/>
          </w:tcPr>
          <w:p w14:paraId="3432A903">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center"/>
              <w:rPr>
                <w:rFonts w:hint="eastAsia" w:ascii="仿宋_GB2312" w:hAnsi="仿宋_GB2312" w:eastAsia="仿宋_GB2312" w:cs="仿宋_GB2312"/>
                <w:sz w:val="24"/>
                <w:highlight w:val="none"/>
              </w:rPr>
            </w:pPr>
          </w:p>
        </w:tc>
        <w:tc>
          <w:tcPr>
            <w:tcW w:w="820" w:type="dxa"/>
            <w:noWrap/>
            <w:vAlign w:val="center"/>
          </w:tcPr>
          <w:p w14:paraId="061420F7">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center"/>
              <w:rPr>
                <w:rFonts w:hint="eastAsia" w:ascii="仿宋_GB2312" w:hAnsi="仿宋_GB2312" w:eastAsia="仿宋_GB2312" w:cs="仿宋_GB2312"/>
                <w:sz w:val="24"/>
                <w:highlight w:val="none"/>
              </w:rPr>
            </w:pPr>
          </w:p>
        </w:tc>
      </w:tr>
      <w:tr w14:paraId="74D0C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630" w:type="dxa"/>
            <w:noWrap/>
            <w:vAlign w:val="center"/>
          </w:tcPr>
          <w:p w14:paraId="6699D8AF">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269" w:leftChars="128" w:right="0"/>
              <w:rPr>
                <w:rFonts w:hint="eastAsia" w:ascii="仿宋_GB2312" w:hAnsi="仿宋_GB2312" w:eastAsia="仿宋_GB2312" w:cs="仿宋_GB2312"/>
                <w:sz w:val="24"/>
                <w:highlight w:val="none"/>
              </w:rPr>
            </w:pPr>
          </w:p>
        </w:tc>
        <w:tc>
          <w:tcPr>
            <w:tcW w:w="1515" w:type="dxa"/>
            <w:noWrap/>
            <w:vAlign w:val="center"/>
          </w:tcPr>
          <w:p w14:paraId="50F39ED9">
            <w:pPr>
              <w:keepNext w:val="0"/>
              <w:keepLines w:val="0"/>
              <w:pageBreakBefore w:val="0"/>
              <w:widowControl w:val="0"/>
              <w:suppressLineNumbers w:val="0"/>
              <w:wordWrap/>
              <w:overflowPunct/>
              <w:topLinePunct w:val="0"/>
              <w:bidi w:val="0"/>
              <w:snapToGrid w:val="0"/>
              <w:spacing w:before="0" w:beforeAutospacing="0" w:afterAutospacing="0"/>
              <w:ind w:left="0" w:right="0"/>
              <w:jc w:val="center"/>
              <w:textAlignment w:val="center"/>
              <w:rPr>
                <w:rFonts w:hint="eastAsia" w:ascii="仿宋_GB2312" w:hAnsi="仿宋_GB2312" w:eastAsia="仿宋_GB2312" w:cs="仿宋_GB2312"/>
                <w:sz w:val="24"/>
                <w:highlight w:val="none"/>
              </w:rPr>
            </w:pPr>
          </w:p>
        </w:tc>
        <w:tc>
          <w:tcPr>
            <w:tcW w:w="1290" w:type="dxa"/>
            <w:noWrap/>
            <w:vAlign w:val="center"/>
          </w:tcPr>
          <w:p w14:paraId="592A49FC">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center"/>
              <w:rPr>
                <w:rFonts w:hint="eastAsia" w:ascii="仿宋_GB2312" w:hAnsi="仿宋_GB2312" w:eastAsia="仿宋_GB2312" w:cs="仿宋_GB2312"/>
                <w:sz w:val="24"/>
                <w:highlight w:val="none"/>
              </w:rPr>
            </w:pPr>
          </w:p>
        </w:tc>
        <w:tc>
          <w:tcPr>
            <w:tcW w:w="1185" w:type="dxa"/>
            <w:noWrap/>
            <w:vAlign w:val="center"/>
          </w:tcPr>
          <w:p w14:paraId="42A6F812">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center"/>
              <w:rPr>
                <w:rFonts w:hint="eastAsia" w:ascii="仿宋_GB2312" w:hAnsi="仿宋_GB2312" w:eastAsia="仿宋_GB2312" w:cs="仿宋_GB2312"/>
                <w:sz w:val="24"/>
                <w:highlight w:val="none"/>
              </w:rPr>
            </w:pPr>
          </w:p>
        </w:tc>
        <w:tc>
          <w:tcPr>
            <w:tcW w:w="1005" w:type="dxa"/>
            <w:noWrap/>
            <w:vAlign w:val="center"/>
          </w:tcPr>
          <w:p w14:paraId="7B584798">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center"/>
              <w:rPr>
                <w:rFonts w:hint="eastAsia" w:ascii="仿宋_GB2312" w:hAnsi="仿宋_GB2312" w:eastAsia="仿宋_GB2312" w:cs="仿宋_GB2312"/>
                <w:sz w:val="24"/>
                <w:highlight w:val="none"/>
              </w:rPr>
            </w:pPr>
          </w:p>
        </w:tc>
        <w:tc>
          <w:tcPr>
            <w:tcW w:w="945" w:type="dxa"/>
            <w:noWrap/>
            <w:vAlign w:val="center"/>
          </w:tcPr>
          <w:p w14:paraId="392D7294">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center"/>
              <w:rPr>
                <w:rFonts w:hint="eastAsia" w:ascii="仿宋_GB2312" w:hAnsi="仿宋_GB2312" w:eastAsia="仿宋_GB2312" w:cs="仿宋_GB2312"/>
                <w:sz w:val="24"/>
                <w:highlight w:val="none"/>
              </w:rPr>
            </w:pPr>
          </w:p>
        </w:tc>
        <w:tc>
          <w:tcPr>
            <w:tcW w:w="1200" w:type="dxa"/>
            <w:noWrap/>
            <w:vAlign w:val="center"/>
          </w:tcPr>
          <w:p w14:paraId="095AB753">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center"/>
              <w:rPr>
                <w:rFonts w:hint="eastAsia" w:ascii="仿宋_GB2312" w:hAnsi="仿宋_GB2312" w:eastAsia="仿宋_GB2312" w:cs="仿宋_GB2312"/>
                <w:sz w:val="24"/>
                <w:highlight w:val="none"/>
              </w:rPr>
            </w:pPr>
          </w:p>
        </w:tc>
        <w:tc>
          <w:tcPr>
            <w:tcW w:w="930" w:type="dxa"/>
            <w:noWrap/>
            <w:vAlign w:val="center"/>
          </w:tcPr>
          <w:p w14:paraId="174BF7CB">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center"/>
              <w:rPr>
                <w:rFonts w:hint="eastAsia" w:ascii="仿宋_GB2312" w:hAnsi="仿宋_GB2312" w:eastAsia="仿宋_GB2312" w:cs="仿宋_GB2312"/>
                <w:sz w:val="24"/>
                <w:highlight w:val="none"/>
              </w:rPr>
            </w:pPr>
          </w:p>
        </w:tc>
        <w:tc>
          <w:tcPr>
            <w:tcW w:w="928" w:type="dxa"/>
            <w:noWrap/>
            <w:vAlign w:val="center"/>
          </w:tcPr>
          <w:p w14:paraId="54263ACC">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center"/>
              <w:rPr>
                <w:rFonts w:hint="eastAsia" w:ascii="仿宋_GB2312" w:hAnsi="仿宋_GB2312" w:eastAsia="仿宋_GB2312" w:cs="仿宋_GB2312"/>
                <w:sz w:val="24"/>
                <w:highlight w:val="none"/>
              </w:rPr>
            </w:pPr>
          </w:p>
        </w:tc>
        <w:tc>
          <w:tcPr>
            <w:tcW w:w="820" w:type="dxa"/>
            <w:noWrap/>
            <w:vAlign w:val="center"/>
          </w:tcPr>
          <w:p w14:paraId="05F44C86">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center"/>
              <w:rPr>
                <w:rFonts w:hint="eastAsia" w:ascii="仿宋_GB2312" w:hAnsi="仿宋_GB2312" w:eastAsia="仿宋_GB2312" w:cs="仿宋_GB2312"/>
                <w:sz w:val="24"/>
                <w:highlight w:val="none"/>
              </w:rPr>
            </w:pPr>
          </w:p>
        </w:tc>
      </w:tr>
      <w:tr w14:paraId="7C299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630" w:type="dxa"/>
            <w:noWrap/>
            <w:vAlign w:val="center"/>
          </w:tcPr>
          <w:p w14:paraId="1516B2C5">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269" w:leftChars="128" w:right="0"/>
              <w:rPr>
                <w:rFonts w:hint="eastAsia" w:ascii="仿宋_GB2312" w:hAnsi="仿宋_GB2312" w:eastAsia="仿宋_GB2312" w:cs="仿宋_GB2312"/>
                <w:sz w:val="24"/>
                <w:highlight w:val="none"/>
              </w:rPr>
            </w:pPr>
          </w:p>
        </w:tc>
        <w:tc>
          <w:tcPr>
            <w:tcW w:w="1515" w:type="dxa"/>
            <w:noWrap/>
            <w:vAlign w:val="center"/>
          </w:tcPr>
          <w:p w14:paraId="7764A04F">
            <w:pPr>
              <w:keepNext w:val="0"/>
              <w:keepLines w:val="0"/>
              <w:pageBreakBefore w:val="0"/>
              <w:widowControl w:val="0"/>
              <w:suppressLineNumbers w:val="0"/>
              <w:wordWrap/>
              <w:overflowPunct/>
              <w:topLinePunct w:val="0"/>
              <w:bidi w:val="0"/>
              <w:snapToGrid w:val="0"/>
              <w:spacing w:before="0" w:beforeAutospacing="0" w:afterAutospacing="0"/>
              <w:ind w:left="0" w:right="0"/>
              <w:jc w:val="center"/>
              <w:textAlignment w:val="center"/>
              <w:rPr>
                <w:rFonts w:hint="eastAsia" w:ascii="仿宋_GB2312" w:hAnsi="仿宋_GB2312" w:eastAsia="仿宋_GB2312" w:cs="仿宋_GB2312"/>
                <w:sz w:val="24"/>
                <w:highlight w:val="none"/>
              </w:rPr>
            </w:pPr>
          </w:p>
        </w:tc>
        <w:tc>
          <w:tcPr>
            <w:tcW w:w="1290" w:type="dxa"/>
            <w:noWrap/>
            <w:vAlign w:val="center"/>
          </w:tcPr>
          <w:p w14:paraId="3FC0A41F">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center"/>
              <w:rPr>
                <w:rFonts w:hint="eastAsia" w:ascii="仿宋_GB2312" w:hAnsi="仿宋_GB2312" w:eastAsia="仿宋_GB2312" w:cs="仿宋_GB2312"/>
                <w:sz w:val="24"/>
                <w:highlight w:val="none"/>
              </w:rPr>
            </w:pPr>
          </w:p>
        </w:tc>
        <w:tc>
          <w:tcPr>
            <w:tcW w:w="1185" w:type="dxa"/>
            <w:noWrap/>
            <w:vAlign w:val="center"/>
          </w:tcPr>
          <w:p w14:paraId="7972EEF4">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center"/>
              <w:rPr>
                <w:rFonts w:hint="eastAsia" w:ascii="仿宋_GB2312" w:hAnsi="仿宋_GB2312" w:eastAsia="仿宋_GB2312" w:cs="仿宋_GB2312"/>
                <w:sz w:val="24"/>
                <w:highlight w:val="none"/>
              </w:rPr>
            </w:pPr>
          </w:p>
        </w:tc>
        <w:tc>
          <w:tcPr>
            <w:tcW w:w="1005" w:type="dxa"/>
            <w:noWrap/>
            <w:vAlign w:val="center"/>
          </w:tcPr>
          <w:p w14:paraId="316E6099">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center"/>
              <w:rPr>
                <w:rFonts w:hint="eastAsia" w:ascii="仿宋_GB2312" w:hAnsi="仿宋_GB2312" w:eastAsia="仿宋_GB2312" w:cs="仿宋_GB2312"/>
                <w:sz w:val="24"/>
                <w:highlight w:val="none"/>
              </w:rPr>
            </w:pPr>
          </w:p>
        </w:tc>
        <w:tc>
          <w:tcPr>
            <w:tcW w:w="945" w:type="dxa"/>
            <w:noWrap/>
            <w:vAlign w:val="center"/>
          </w:tcPr>
          <w:p w14:paraId="146A6D34">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center"/>
              <w:rPr>
                <w:rFonts w:hint="eastAsia" w:ascii="仿宋_GB2312" w:hAnsi="仿宋_GB2312" w:eastAsia="仿宋_GB2312" w:cs="仿宋_GB2312"/>
                <w:sz w:val="24"/>
                <w:highlight w:val="none"/>
              </w:rPr>
            </w:pPr>
          </w:p>
        </w:tc>
        <w:tc>
          <w:tcPr>
            <w:tcW w:w="1200" w:type="dxa"/>
            <w:noWrap/>
            <w:vAlign w:val="center"/>
          </w:tcPr>
          <w:p w14:paraId="155C280F">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center"/>
              <w:rPr>
                <w:rFonts w:hint="eastAsia" w:ascii="仿宋_GB2312" w:hAnsi="仿宋_GB2312" w:eastAsia="仿宋_GB2312" w:cs="仿宋_GB2312"/>
                <w:sz w:val="24"/>
                <w:highlight w:val="none"/>
              </w:rPr>
            </w:pPr>
          </w:p>
        </w:tc>
        <w:tc>
          <w:tcPr>
            <w:tcW w:w="930" w:type="dxa"/>
            <w:noWrap/>
            <w:vAlign w:val="center"/>
          </w:tcPr>
          <w:p w14:paraId="45C23416">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center"/>
              <w:rPr>
                <w:rFonts w:hint="eastAsia" w:ascii="仿宋_GB2312" w:hAnsi="仿宋_GB2312" w:eastAsia="仿宋_GB2312" w:cs="仿宋_GB2312"/>
                <w:sz w:val="24"/>
                <w:highlight w:val="none"/>
              </w:rPr>
            </w:pPr>
          </w:p>
        </w:tc>
        <w:tc>
          <w:tcPr>
            <w:tcW w:w="928" w:type="dxa"/>
            <w:noWrap/>
            <w:vAlign w:val="center"/>
          </w:tcPr>
          <w:p w14:paraId="215DA4D3">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center"/>
              <w:rPr>
                <w:rFonts w:hint="eastAsia" w:ascii="仿宋_GB2312" w:hAnsi="仿宋_GB2312" w:eastAsia="仿宋_GB2312" w:cs="仿宋_GB2312"/>
                <w:sz w:val="24"/>
                <w:highlight w:val="none"/>
              </w:rPr>
            </w:pPr>
          </w:p>
        </w:tc>
        <w:tc>
          <w:tcPr>
            <w:tcW w:w="820" w:type="dxa"/>
            <w:noWrap/>
            <w:vAlign w:val="center"/>
          </w:tcPr>
          <w:p w14:paraId="15A21DE7">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center"/>
              <w:rPr>
                <w:rFonts w:hint="eastAsia" w:ascii="仿宋_GB2312" w:hAnsi="仿宋_GB2312" w:eastAsia="仿宋_GB2312" w:cs="仿宋_GB2312"/>
                <w:sz w:val="24"/>
                <w:highlight w:val="none"/>
              </w:rPr>
            </w:pPr>
          </w:p>
        </w:tc>
      </w:tr>
      <w:tr w14:paraId="29292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630" w:type="dxa"/>
            <w:noWrap/>
            <w:vAlign w:val="center"/>
          </w:tcPr>
          <w:p w14:paraId="6AB12441">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269" w:leftChars="128" w:right="0"/>
              <w:jc w:val="center"/>
              <w:rPr>
                <w:rFonts w:hint="eastAsia" w:ascii="仿宋_GB2312" w:hAnsi="仿宋_GB2312" w:eastAsia="仿宋_GB2312" w:cs="仿宋_GB2312"/>
                <w:sz w:val="24"/>
                <w:highlight w:val="none"/>
              </w:rPr>
            </w:pPr>
          </w:p>
        </w:tc>
        <w:tc>
          <w:tcPr>
            <w:tcW w:w="1515" w:type="dxa"/>
            <w:noWrap/>
            <w:vAlign w:val="center"/>
          </w:tcPr>
          <w:p w14:paraId="1ACF7E1A">
            <w:pPr>
              <w:keepNext w:val="0"/>
              <w:keepLines w:val="0"/>
              <w:pageBreakBefore w:val="0"/>
              <w:widowControl w:val="0"/>
              <w:suppressLineNumbers w:val="0"/>
              <w:wordWrap/>
              <w:overflowPunct/>
              <w:topLinePunct w:val="0"/>
              <w:bidi w:val="0"/>
              <w:snapToGrid w:val="0"/>
              <w:spacing w:before="0" w:beforeAutospacing="0" w:afterAutospacing="0"/>
              <w:ind w:left="0" w:right="0"/>
              <w:jc w:val="center"/>
              <w:textAlignment w:val="center"/>
              <w:rPr>
                <w:rFonts w:hint="eastAsia" w:ascii="仿宋_GB2312" w:hAnsi="仿宋_GB2312" w:eastAsia="仿宋_GB2312" w:cs="仿宋_GB2312"/>
                <w:sz w:val="24"/>
                <w:highlight w:val="none"/>
              </w:rPr>
            </w:pPr>
          </w:p>
        </w:tc>
        <w:tc>
          <w:tcPr>
            <w:tcW w:w="1290" w:type="dxa"/>
            <w:noWrap/>
            <w:vAlign w:val="center"/>
          </w:tcPr>
          <w:p w14:paraId="3D074B42">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center"/>
              <w:rPr>
                <w:rFonts w:hint="eastAsia" w:ascii="仿宋_GB2312" w:hAnsi="仿宋_GB2312" w:eastAsia="仿宋_GB2312" w:cs="仿宋_GB2312"/>
                <w:sz w:val="24"/>
                <w:highlight w:val="none"/>
              </w:rPr>
            </w:pPr>
          </w:p>
        </w:tc>
        <w:tc>
          <w:tcPr>
            <w:tcW w:w="1185" w:type="dxa"/>
            <w:noWrap/>
            <w:vAlign w:val="center"/>
          </w:tcPr>
          <w:p w14:paraId="15852BFF">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center"/>
              <w:rPr>
                <w:rFonts w:hint="eastAsia" w:ascii="仿宋_GB2312" w:hAnsi="仿宋_GB2312" w:eastAsia="仿宋_GB2312" w:cs="仿宋_GB2312"/>
                <w:sz w:val="24"/>
                <w:highlight w:val="none"/>
              </w:rPr>
            </w:pPr>
          </w:p>
        </w:tc>
        <w:tc>
          <w:tcPr>
            <w:tcW w:w="1005" w:type="dxa"/>
            <w:noWrap/>
            <w:vAlign w:val="center"/>
          </w:tcPr>
          <w:p w14:paraId="3271BF3E">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center"/>
              <w:rPr>
                <w:rFonts w:hint="eastAsia" w:ascii="仿宋_GB2312" w:hAnsi="仿宋_GB2312" w:eastAsia="仿宋_GB2312" w:cs="仿宋_GB2312"/>
                <w:sz w:val="24"/>
                <w:highlight w:val="none"/>
              </w:rPr>
            </w:pPr>
          </w:p>
        </w:tc>
        <w:tc>
          <w:tcPr>
            <w:tcW w:w="945" w:type="dxa"/>
            <w:noWrap/>
            <w:vAlign w:val="center"/>
          </w:tcPr>
          <w:p w14:paraId="0A7E7E8C">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center"/>
              <w:rPr>
                <w:rFonts w:hint="eastAsia" w:ascii="仿宋_GB2312" w:hAnsi="仿宋_GB2312" w:eastAsia="仿宋_GB2312" w:cs="仿宋_GB2312"/>
                <w:sz w:val="24"/>
                <w:highlight w:val="none"/>
              </w:rPr>
            </w:pPr>
          </w:p>
        </w:tc>
        <w:tc>
          <w:tcPr>
            <w:tcW w:w="1200" w:type="dxa"/>
            <w:noWrap/>
            <w:vAlign w:val="center"/>
          </w:tcPr>
          <w:p w14:paraId="5CECA7A3">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center"/>
              <w:rPr>
                <w:rFonts w:hint="eastAsia" w:ascii="仿宋_GB2312" w:hAnsi="仿宋_GB2312" w:eastAsia="仿宋_GB2312" w:cs="仿宋_GB2312"/>
                <w:sz w:val="24"/>
                <w:highlight w:val="none"/>
              </w:rPr>
            </w:pPr>
          </w:p>
        </w:tc>
        <w:tc>
          <w:tcPr>
            <w:tcW w:w="930" w:type="dxa"/>
            <w:noWrap/>
            <w:vAlign w:val="center"/>
          </w:tcPr>
          <w:p w14:paraId="1CD53B21">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center"/>
              <w:rPr>
                <w:rFonts w:hint="eastAsia" w:ascii="仿宋_GB2312" w:hAnsi="仿宋_GB2312" w:eastAsia="仿宋_GB2312" w:cs="仿宋_GB2312"/>
                <w:sz w:val="24"/>
                <w:highlight w:val="none"/>
              </w:rPr>
            </w:pPr>
          </w:p>
        </w:tc>
        <w:tc>
          <w:tcPr>
            <w:tcW w:w="928" w:type="dxa"/>
            <w:noWrap/>
            <w:vAlign w:val="center"/>
          </w:tcPr>
          <w:p w14:paraId="72559B95">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center"/>
              <w:rPr>
                <w:rFonts w:hint="eastAsia" w:ascii="仿宋_GB2312" w:hAnsi="仿宋_GB2312" w:eastAsia="仿宋_GB2312" w:cs="仿宋_GB2312"/>
                <w:sz w:val="24"/>
                <w:highlight w:val="none"/>
              </w:rPr>
            </w:pPr>
          </w:p>
        </w:tc>
        <w:tc>
          <w:tcPr>
            <w:tcW w:w="820" w:type="dxa"/>
            <w:noWrap/>
            <w:vAlign w:val="center"/>
          </w:tcPr>
          <w:p w14:paraId="510E3F29">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center"/>
              <w:rPr>
                <w:rFonts w:hint="eastAsia" w:ascii="仿宋_GB2312" w:hAnsi="仿宋_GB2312" w:eastAsia="仿宋_GB2312" w:cs="仿宋_GB2312"/>
                <w:sz w:val="24"/>
                <w:highlight w:val="none"/>
              </w:rPr>
            </w:pPr>
          </w:p>
        </w:tc>
      </w:tr>
    </w:tbl>
    <w:p w14:paraId="703FC2B9">
      <w:pPr>
        <w:pStyle w:val="13"/>
        <w:keepNext w:val="0"/>
        <w:keepLines w:val="0"/>
        <w:pageBreakBefore w:val="0"/>
        <w:widowControl w:val="0"/>
        <w:wordWrap/>
        <w:overflowPunct/>
        <w:topLinePunct w:val="0"/>
        <w:bidi w:val="0"/>
        <w:snapToGrid w:val="0"/>
        <w:spacing w:line="240" w:lineRule="atLeast"/>
        <w:rPr>
          <w:rFonts w:hint="eastAsia" w:ascii="仿宋_GB2312" w:hAnsi="仿宋_GB2312" w:eastAsia="仿宋_GB2312" w:cs="仿宋_GB2312"/>
          <w:sz w:val="24"/>
          <w:highlight w:val="none"/>
        </w:rPr>
      </w:pPr>
    </w:p>
    <w:p w14:paraId="13F2A328">
      <w:pPr>
        <w:keepNext w:val="0"/>
        <w:keepLines w:val="0"/>
        <w:pageBreakBefore w:val="0"/>
        <w:widowControl w:val="0"/>
        <w:kinsoku/>
        <w:wordWrap/>
        <w:overflowPunct/>
        <w:topLinePunct w:val="0"/>
        <w:autoSpaceDE/>
        <w:autoSpaceDN/>
        <w:bidi w:val="0"/>
        <w:adjustRightInd/>
        <w:spacing w:line="240" w:lineRule="auto"/>
        <w:ind w:firstLine="480" w:firstLineChars="200"/>
        <w:jc w:val="left"/>
        <w:rPr>
          <w:rFonts w:ascii="宋体"/>
          <w:sz w:val="24"/>
          <w:highlight w:val="none"/>
          <w:lang w:val="zh-CN"/>
        </w:rPr>
      </w:pPr>
      <w:r>
        <w:rPr>
          <w:rFonts w:hint="eastAsia" w:ascii="宋体"/>
          <w:sz w:val="24"/>
          <w:highlight w:val="none"/>
          <w:lang w:val="zh-CN"/>
        </w:rPr>
        <w:t>供应商名称（公章）：</w:t>
      </w:r>
    </w:p>
    <w:p w14:paraId="0EDD187B">
      <w:pPr>
        <w:keepNext w:val="0"/>
        <w:keepLines w:val="0"/>
        <w:pageBreakBefore w:val="0"/>
        <w:widowControl w:val="0"/>
        <w:kinsoku/>
        <w:wordWrap/>
        <w:overflowPunct/>
        <w:topLinePunct w:val="0"/>
        <w:autoSpaceDE/>
        <w:autoSpaceDN/>
        <w:bidi w:val="0"/>
        <w:adjustRightInd/>
        <w:spacing w:line="240" w:lineRule="auto"/>
        <w:ind w:firstLine="480" w:firstLineChars="200"/>
        <w:jc w:val="left"/>
        <w:rPr>
          <w:rFonts w:ascii="宋体"/>
          <w:sz w:val="24"/>
          <w:highlight w:val="none"/>
          <w:u w:val="single"/>
          <w:lang w:val="zh-CN"/>
        </w:rPr>
      </w:pPr>
      <w:r>
        <w:rPr>
          <w:rFonts w:hint="eastAsia" w:ascii="宋体"/>
          <w:sz w:val="24"/>
          <w:highlight w:val="none"/>
          <w:lang w:val="zh-CN"/>
        </w:rPr>
        <w:t>法定代表人或其授权代表（签字或盖章）：</w:t>
      </w:r>
    </w:p>
    <w:p w14:paraId="3F5F64D6">
      <w:pPr>
        <w:keepNext w:val="0"/>
        <w:keepLines w:val="0"/>
        <w:pageBreakBefore w:val="0"/>
        <w:widowControl w:val="0"/>
        <w:kinsoku/>
        <w:wordWrap/>
        <w:overflowPunct/>
        <w:topLinePunct w:val="0"/>
        <w:autoSpaceDE/>
        <w:autoSpaceDN/>
        <w:bidi w:val="0"/>
        <w:adjustRightInd/>
        <w:spacing w:line="240" w:lineRule="auto"/>
        <w:ind w:firstLine="480" w:firstLineChars="200"/>
        <w:jc w:val="left"/>
        <w:rPr>
          <w:highlight w:val="none"/>
        </w:rPr>
      </w:pPr>
      <w:r>
        <w:rPr>
          <w:rFonts w:hint="eastAsia" w:ascii="宋体"/>
          <w:sz w:val="24"/>
          <w:highlight w:val="none"/>
          <w:lang w:val="zh-CN"/>
        </w:rPr>
        <w:t>日期：年月日</w:t>
      </w:r>
    </w:p>
    <w:p w14:paraId="566FCA0C">
      <w:pPr>
        <w:pStyle w:val="13"/>
        <w:keepNext w:val="0"/>
        <w:keepLines w:val="0"/>
        <w:pageBreakBefore w:val="0"/>
        <w:widowControl w:val="0"/>
        <w:wordWrap/>
        <w:overflowPunct/>
        <w:topLinePunct w:val="0"/>
        <w:bidi w:val="0"/>
        <w:snapToGrid w:val="0"/>
        <w:spacing w:line="240" w:lineRule="atLeast"/>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注:1.如果投标人认为需要，每种服务、货物填写一份该表。</w:t>
      </w:r>
    </w:p>
    <w:p w14:paraId="0EE45C8D">
      <w:pPr>
        <w:pStyle w:val="13"/>
        <w:keepNext w:val="0"/>
        <w:keepLines w:val="0"/>
        <w:pageBreakBefore w:val="0"/>
        <w:widowControl w:val="0"/>
        <w:wordWrap/>
        <w:overflowPunct/>
        <w:topLinePunct w:val="0"/>
        <w:bidi w:val="0"/>
        <w:snapToGrid w:val="0"/>
        <w:spacing w:line="240" w:lineRule="atLeast"/>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2.如果按单价计算的结果与总价不一致,以单价为准修正总价。</w:t>
      </w:r>
    </w:p>
    <w:p w14:paraId="4B093E76">
      <w:pPr>
        <w:pStyle w:val="13"/>
        <w:keepNext w:val="0"/>
        <w:keepLines w:val="0"/>
        <w:pageBreakBefore w:val="0"/>
        <w:widowControl w:val="0"/>
        <w:wordWrap/>
        <w:overflowPunct/>
        <w:topLinePunct w:val="0"/>
        <w:bidi w:val="0"/>
        <w:snapToGrid w:val="0"/>
        <w:spacing w:line="240" w:lineRule="atLeast"/>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3.如果不提供详细分项报价将视为没有实质性响应招标文件。</w:t>
      </w:r>
    </w:p>
    <w:p w14:paraId="1D797330">
      <w:pPr>
        <w:pStyle w:val="13"/>
        <w:keepNext w:val="0"/>
        <w:keepLines w:val="0"/>
        <w:pageBreakBefore w:val="0"/>
        <w:widowControl w:val="0"/>
        <w:wordWrap/>
        <w:overflowPunct/>
        <w:topLinePunct w:val="0"/>
        <w:bidi w:val="0"/>
        <w:snapToGrid w:val="0"/>
        <w:spacing w:line="240" w:lineRule="atLeast"/>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4.如果开标一览表（报价表）内容与投标文件中明细表内容不一致的，以开标一览表（报价表）内容为准。</w:t>
      </w:r>
    </w:p>
    <w:p w14:paraId="2E8D900C">
      <w:pPr>
        <w:pStyle w:val="13"/>
        <w:keepNext w:val="0"/>
        <w:keepLines w:val="0"/>
        <w:pageBreakBefore w:val="0"/>
        <w:widowControl w:val="0"/>
        <w:wordWrap/>
        <w:overflowPunct/>
        <w:topLinePunct w:val="0"/>
        <w:bidi w:val="0"/>
        <w:snapToGrid w:val="0"/>
        <w:spacing w:line="240" w:lineRule="atLeas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5</w:t>
      </w:r>
      <w:r>
        <w:rPr>
          <w:rFonts w:hint="eastAsia" w:ascii="仿宋" w:hAnsi="仿宋" w:eastAsia="仿宋" w:cs="仿宋"/>
          <w:sz w:val="24"/>
          <w:highlight w:val="none"/>
        </w:rPr>
        <w:t>.投标人可根据需要自行增减表格行数。</w:t>
      </w:r>
    </w:p>
    <w:p w14:paraId="49123A9B">
      <w:pPr>
        <w:pStyle w:val="13"/>
        <w:keepNext w:val="0"/>
        <w:keepLines w:val="0"/>
        <w:pageBreakBefore w:val="0"/>
        <w:widowControl w:val="0"/>
        <w:wordWrap/>
        <w:overflowPunct/>
        <w:topLinePunct w:val="0"/>
        <w:bidi w:val="0"/>
        <w:snapToGrid w:val="0"/>
        <w:spacing w:line="240" w:lineRule="atLeas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6</w:t>
      </w:r>
      <w:r>
        <w:rPr>
          <w:rFonts w:hint="eastAsia" w:ascii="仿宋" w:hAnsi="仿宋" w:eastAsia="仿宋" w:cs="仿宋"/>
          <w:sz w:val="24"/>
          <w:highlight w:val="none"/>
        </w:rPr>
        <w:t>.投标人对所报相关内容的真实性负责，采购代理机构有权将相关内容进行公示，因弄虚作假导致的后果由投标人自行承担。</w:t>
      </w:r>
    </w:p>
    <w:p w14:paraId="0EB30D55">
      <w:pPr>
        <w:pStyle w:val="13"/>
        <w:keepNext w:val="0"/>
        <w:keepLines w:val="0"/>
        <w:pageBreakBefore w:val="0"/>
        <w:widowControl w:val="0"/>
        <w:wordWrap/>
        <w:overflowPunct/>
        <w:topLinePunct w:val="0"/>
        <w:bidi w:val="0"/>
        <w:snapToGrid w:val="0"/>
        <w:spacing w:line="240" w:lineRule="atLeast"/>
        <w:ind w:firstLine="480" w:firstLineChars="200"/>
        <w:rPr>
          <w:rFonts w:hint="eastAsia" w:ascii="仿宋" w:hAnsi="仿宋" w:eastAsia="仿宋" w:cs="仿宋"/>
          <w:color w:val="FF0000"/>
          <w:highlight w:val="none"/>
        </w:rPr>
      </w:pPr>
      <w:r>
        <w:rPr>
          <w:rFonts w:hint="eastAsia" w:ascii="仿宋" w:hAnsi="仿宋" w:eastAsia="仿宋" w:cs="仿宋"/>
          <w:sz w:val="24"/>
          <w:highlight w:val="none"/>
          <w:lang w:val="en-US" w:eastAsia="zh-CN"/>
        </w:rPr>
        <w:t>7</w:t>
      </w:r>
      <w:r>
        <w:rPr>
          <w:rFonts w:hint="eastAsia" w:ascii="仿宋" w:hAnsi="仿宋" w:eastAsia="仿宋" w:cs="仿宋"/>
          <w:sz w:val="24"/>
          <w:highlight w:val="none"/>
        </w:rPr>
        <w:t>.以上报价的货物、技术服务，包装、仓储、运输、装卸、保险、安装、税金（规费、税金）等的一切费用。</w:t>
      </w:r>
    </w:p>
    <w:p w14:paraId="4A9ADB64">
      <w:pPr>
        <w:pStyle w:val="3"/>
        <w:keepNext w:val="0"/>
        <w:keepLines w:val="0"/>
        <w:pageBreakBefore w:val="0"/>
        <w:widowControl w:val="0"/>
        <w:wordWrap/>
        <w:overflowPunct/>
        <w:topLinePunct w:val="0"/>
        <w:bidi w:val="0"/>
        <w:snapToGrid w:val="0"/>
        <w:jc w:val="both"/>
        <w:rPr>
          <w:highlight w:val="none"/>
        </w:rPr>
      </w:pPr>
    </w:p>
    <w:p w14:paraId="54697DDA">
      <w:pPr>
        <w:rPr>
          <w:highlight w:val="none"/>
        </w:rPr>
      </w:pPr>
    </w:p>
    <w:p w14:paraId="4811807A">
      <w:pPr>
        <w:rPr>
          <w:highlight w:val="none"/>
        </w:rPr>
      </w:pPr>
    </w:p>
    <w:p w14:paraId="009820B4">
      <w:pPr>
        <w:pStyle w:val="10"/>
        <w:keepNext w:val="0"/>
        <w:keepLines w:val="0"/>
        <w:pageBreakBefore w:val="0"/>
        <w:widowControl w:val="0"/>
        <w:wordWrap/>
        <w:overflowPunct/>
        <w:topLinePunct w:val="0"/>
        <w:bidi w:val="0"/>
        <w:rPr>
          <w:rFonts w:hint="eastAsia"/>
          <w:highlight w:val="none"/>
        </w:rPr>
      </w:pPr>
    </w:p>
    <w:p w14:paraId="2C7C6A33">
      <w:pPr>
        <w:pStyle w:val="4"/>
        <w:keepNext w:val="0"/>
        <w:keepLines w:val="0"/>
        <w:pageBreakBefore w:val="0"/>
        <w:widowControl w:val="0"/>
        <w:wordWrap/>
        <w:overflowPunct/>
        <w:topLinePunct w:val="0"/>
        <w:bidi w:val="0"/>
        <w:spacing w:before="0" w:after="0" w:line="288" w:lineRule="auto"/>
        <w:ind w:left="1079" w:leftChars="257" w:hanging="539"/>
        <w:jc w:val="center"/>
        <w:rPr>
          <w:rFonts w:hint="eastAsia" w:ascii="仿宋_GB2312" w:hAnsi="仿宋_GB2312" w:eastAsia="仿宋_GB2312" w:cs="仿宋_GB2312"/>
          <w:highlight w:val="none"/>
          <w:u w:val="none"/>
        </w:rPr>
      </w:pPr>
      <w:bookmarkStart w:id="791" w:name="_Toc25123"/>
      <w:bookmarkStart w:id="792" w:name="_Toc7334"/>
      <w:bookmarkStart w:id="793" w:name="_Toc24906"/>
      <w:bookmarkStart w:id="794" w:name="_Toc19912"/>
      <w:bookmarkStart w:id="795" w:name="_Toc30769"/>
      <w:bookmarkStart w:id="796" w:name="_Toc1486"/>
      <w:bookmarkStart w:id="797" w:name="_Toc7368"/>
      <w:bookmarkStart w:id="798" w:name="_Toc21472"/>
      <w:bookmarkStart w:id="799" w:name="_Toc29503"/>
      <w:bookmarkStart w:id="800" w:name="_Toc1207"/>
      <w:r>
        <w:rPr>
          <w:rFonts w:hint="eastAsia" w:ascii="仿宋_GB2312" w:hAnsi="仿宋_GB2312" w:eastAsia="仿宋_GB2312" w:cs="仿宋_GB2312"/>
          <w:highlight w:val="none"/>
          <w:u w:val="none"/>
        </w:rPr>
        <w:t>3货物说明一览表</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p>
    <w:p w14:paraId="25A83C06">
      <w:pPr>
        <w:pStyle w:val="13"/>
        <w:keepNext w:val="0"/>
        <w:keepLines w:val="0"/>
        <w:pageBreakBefore w:val="0"/>
        <w:widowControl w:val="0"/>
        <w:wordWrap/>
        <w:overflowPunct/>
        <w:topLinePunct w:val="0"/>
        <w:bidi w:val="0"/>
        <w:snapToGrid w:val="0"/>
        <w:spacing w:line="240" w:lineRule="atLeast"/>
        <w:ind w:left="1080" w:leftChars="257" w:hanging="540"/>
        <w:rPr>
          <w:rFonts w:hint="eastAsia" w:ascii="仿宋_GB2312" w:hAnsi="仿宋_GB2312" w:eastAsia="仿宋_GB2312" w:cs="仿宋_GB2312"/>
          <w:sz w:val="24"/>
          <w:highlight w:val="none"/>
        </w:rPr>
      </w:pPr>
    </w:p>
    <w:p w14:paraId="2971AA9A">
      <w:pPr>
        <w:pStyle w:val="13"/>
        <w:keepNext w:val="0"/>
        <w:keepLines w:val="0"/>
        <w:pageBreakBefore w:val="0"/>
        <w:widowControl w:val="0"/>
        <w:wordWrap/>
        <w:overflowPunct/>
        <w:topLinePunct w:val="0"/>
        <w:bidi w:val="0"/>
        <w:snapToGrid w:val="0"/>
        <w:spacing w:line="240" w:lineRule="atLeast"/>
        <w:ind w:left="1080" w:leftChars="257" w:hanging="540"/>
        <w:rPr>
          <w:rFonts w:hint="eastAsia" w:ascii="仿宋_GB2312" w:hAnsi="仿宋_GB2312" w:eastAsia="仿宋_GB2312" w:cs="仿宋_GB2312"/>
          <w:sz w:val="24"/>
          <w:highlight w:val="none"/>
          <w:lang w:eastAsia="zh-CN"/>
        </w:rPr>
      </w:pPr>
      <w:r>
        <w:rPr>
          <w:rFonts w:hint="eastAsia" w:ascii="仿宋_GB2312" w:hAnsi="仿宋_GB2312" w:eastAsia="仿宋_GB2312" w:cs="仿宋_GB2312"/>
          <w:sz w:val="24"/>
          <w:highlight w:val="none"/>
        </w:rPr>
        <w:t>项目名称:招标编号:包号:</w:t>
      </w:r>
      <w:r>
        <w:rPr>
          <w:rFonts w:hint="eastAsia" w:ascii="仿宋_GB2312" w:hAnsi="仿宋_GB2312" w:eastAsia="仿宋_GB2312" w:cs="仿宋_GB2312"/>
          <w:sz w:val="24"/>
          <w:highlight w:val="none"/>
          <w:lang w:val="en-US" w:eastAsia="zh-CN"/>
        </w:rPr>
        <w:t>/</w:t>
      </w:r>
    </w:p>
    <w:p w14:paraId="77ED6C04">
      <w:pPr>
        <w:pStyle w:val="13"/>
        <w:keepNext w:val="0"/>
        <w:keepLines w:val="0"/>
        <w:pageBreakBefore w:val="0"/>
        <w:widowControl w:val="0"/>
        <w:wordWrap/>
        <w:overflowPunct/>
        <w:topLinePunct w:val="0"/>
        <w:bidi w:val="0"/>
        <w:snapToGrid w:val="0"/>
        <w:spacing w:line="240" w:lineRule="atLeast"/>
        <w:ind w:left="1080" w:leftChars="257" w:hanging="540"/>
        <w:rPr>
          <w:rFonts w:hint="eastAsia" w:ascii="仿宋_GB2312" w:hAnsi="仿宋_GB2312" w:eastAsia="仿宋_GB2312" w:cs="仿宋_GB2312"/>
          <w:sz w:val="24"/>
          <w:highlight w:val="none"/>
        </w:rPr>
      </w:pPr>
    </w:p>
    <w:tbl>
      <w:tblPr>
        <w:tblStyle w:val="26"/>
        <w:tblpPr w:leftFromText="180" w:rightFromText="180" w:vertAnchor="text" w:horzAnchor="page" w:tblpX="1506" w:tblpY="217"/>
        <w:tblOverlap w:val="never"/>
        <w:tblW w:w="86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
        <w:gridCol w:w="1326"/>
        <w:gridCol w:w="1205"/>
        <w:gridCol w:w="1085"/>
        <w:gridCol w:w="1056"/>
        <w:gridCol w:w="2126"/>
        <w:gridCol w:w="917"/>
      </w:tblGrid>
      <w:tr w14:paraId="43F31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965" w:type="dxa"/>
            <w:noWrap/>
            <w:vAlign w:val="center"/>
          </w:tcPr>
          <w:p w14:paraId="7F6221BD">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0" w:right="0" w:firstLine="240" w:firstLineChars="10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1326" w:type="dxa"/>
            <w:noWrap/>
            <w:vAlign w:val="center"/>
          </w:tcPr>
          <w:p w14:paraId="004045EC">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0" w:right="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货物名称</w:t>
            </w:r>
          </w:p>
        </w:tc>
        <w:tc>
          <w:tcPr>
            <w:tcW w:w="1205" w:type="dxa"/>
            <w:noWrap/>
            <w:vAlign w:val="center"/>
          </w:tcPr>
          <w:p w14:paraId="336C089B">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0" w:right="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型号规格</w:t>
            </w:r>
          </w:p>
        </w:tc>
        <w:tc>
          <w:tcPr>
            <w:tcW w:w="1085" w:type="dxa"/>
            <w:noWrap/>
            <w:vAlign w:val="center"/>
          </w:tcPr>
          <w:p w14:paraId="4E770523">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0" w:right="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数量</w:t>
            </w:r>
          </w:p>
        </w:tc>
        <w:tc>
          <w:tcPr>
            <w:tcW w:w="1056" w:type="dxa"/>
            <w:noWrap/>
            <w:vAlign w:val="center"/>
          </w:tcPr>
          <w:p w14:paraId="7CD02DA4">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0" w:right="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交货期</w:t>
            </w:r>
          </w:p>
        </w:tc>
        <w:tc>
          <w:tcPr>
            <w:tcW w:w="2126" w:type="dxa"/>
            <w:noWrap/>
            <w:vAlign w:val="center"/>
          </w:tcPr>
          <w:p w14:paraId="11EFAEC4">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0" w:right="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交货地点</w:t>
            </w:r>
          </w:p>
        </w:tc>
        <w:tc>
          <w:tcPr>
            <w:tcW w:w="917" w:type="dxa"/>
            <w:noWrap/>
            <w:vAlign w:val="center"/>
          </w:tcPr>
          <w:p w14:paraId="66A1F226">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0" w:right="0"/>
              <w:jc w:val="center"/>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备注</w:t>
            </w:r>
          </w:p>
        </w:tc>
      </w:tr>
      <w:tr w14:paraId="1BFD7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965" w:type="dxa"/>
            <w:noWrap/>
          </w:tcPr>
          <w:p w14:paraId="4F369BE2">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326" w:type="dxa"/>
            <w:noWrap/>
          </w:tcPr>
          <w:p w14:paraId="12E30ACF">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205" w:type="dxa"/>
            <w:noWrap/>
          </w:tcPr>
          <w:p w14:paraId="7947147E">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085" w:type="dxa"/>
            <w:noWrap/>
          </w:tcPr>
          <w:p w14:paraId="4BA071E5">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056" w:type="dxa"/>
            <w:noWrap/>
          </w:tcPr>
          <w:p w14:paraId="64FAD005">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2126" w:type="dxa"/>
            <w:noWrap/>
          </w:tcPr>
          <w:p w14:paraId="6931E73F">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917" w:type="dxa"/>
            <w:noWrap/>
          </w:tcPr>
          <w:p w14:paraId="3B2ACEAC">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r>
      <w:tr w14:paraId="37728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965" w:type="dxa"/>
            <w:noWrap/>
          </w:tcPr>
          <w:p w14:paraId="55F5E81D">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326" w:type="dxa"/>
            <w:noWrap/>
          </w:tcPr>
          <w:p w14:paraId="4B8E5D01">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205" w:type="dxa"/>
            <w:noWrap/>
          </w:tcPr>
          <w:p w14:paraId="75C4E2D7">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085" w:type="dxa"/>
            <w:noWrap/>
          </w:tcPr>
          <w:p w14:paraId="5B52916B">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056" w:type="dxa"/>
            <w:noWrap/>
          </w:tcPr>
          <w:p w14:paraId="74CB69B6">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2126" w:type="dxa"/>
            <w:noWrap/>
          </w:tcPr>
          <w:p w14:paraId="2ECC10A9">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917" w:type="dxa"/>
            <w:noWrap/>
          </w:tcPr>
          <w:p w14:paraId="776D7AC6">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r>
      <w:tr w14:paraId="7F02D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965" w:type="dxa"/>
            <w:noWrap/>
          </w:tcPr>
          <w:p w14:paraId="150F669A">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326" w:type="dxa"/>
            <w:noWrap/>
          </w:tcPr>
          <w:p w14:paraId="19096A15">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205" w:type="dxa"/>
            <w:noWrap/>
          </w:tcPr>
          <w:p w14:paraId="00BCCD25">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085" w:type="dxa"/>
            <w:noWrap/>
          </w:tcPr>
          <w:p w14:paraId="1C1626DC">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056" w:type="dxa"/>
            <w:noWrap/>
          </w:tcPr>
          <w:p w14:paraId="206B801D">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2126" w:type="dxa"/>
            <w:noWrap/>
          </w:tcPr>
          <w:p w14:paraId="2CBD0F0E">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917" w:type="dxa"/>
            <w:noWrap/>
          </w:tcPr>
          <w:p w14:paraId="2B91241C">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r>
      <w:tr w14:paraId="70E51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965" w:type="dxa"/>
            <w:noWrap/>
          </w:tcPr>
          <w:p w14:paraId="17B31935">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326" w:type="dxa"/>
            <w:noWrap/>
          </w:tcPr>
          <w:p w14:paraId="256783F1">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205" w:type="dxa"/>
            <w:noWrap/>
          </w:tcPr>
          <w:p w14:paraId="3081011D">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085" w:type="dxa"/>
            <w:noWrap/>
          </w:tcPr>
          <w:p w14:paraId="5168CC5F">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056" w:type="dxa"/>
            <w:noWrap/>
          </w:tcPr>
          <w:p w14:paraId="601B4332">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2126" w:type="dxa"/>
            <w:noWrap/>
          </w:tcPr>
          <w:p w14:paraId="669E298C">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917" w:type="dxa"/>
            <w:noWrap/>
          </w:tcPr>
          <w:p w14:paraId="26C21ACA">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r>
      <w:tr w14:paraId="07362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965" w:type="dxa"/>
            <w:noWrap/>
          </w:tcPr>
          <w:p w14:paraId="6C22238C">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326" w:type="dxa"/>
            <w:noWrap/>
          </w:tcPr>
          <w:p w14:paraId="14FBE906">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205" w:type="dxa"/>
            <w:noWrap/>
          </w:tcPr>
          <w:p w14:paraId="3391F411">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085" w:type="dxa"/>
            <w:noWrap/>
          </w:tcPr>
          <w:p w14:paraId="65112B03">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056" w:type="dxa"/>
            <w:noWrap/>
          </w:tcPr>
          <w:p w14:paraId="675B62CB">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2126" w:type="dxa"/>
            <w:noWrap/>
          </w:tcPr>
          <w:p w14:paraId="6475FE37">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917" w:type="dxa"/>
            <w:noWrap/>
          </w:tcPr>
          <w:p w14:paraId="60F4C8A6">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r>
      <w:tr w14:paraId="57661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965" w:type="dxa"/>
            <w:noWrap/>
          </w:tcPr>
          <w:p w14:paraId="2CA10DA3">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326" w:type="dxa"/>
            <w:noWrap/>
          </w:tcPr>
          <w:p w14:paraId="7FFE9EEC">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205" w:type="dxa"/>
            <w:noWrap/>
          </w:tcPr>
          <w:p w14:paraId="77CFE9EF">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085" w:type="dxa"/>
            <w:noWrap/>
          </w:tcPr>
          <w:p w14:paraId="2EFA7FD8">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056" w:type="dxa"/>
            <w:noWrap/>
          </w:tcPr>
          <w:p w14:paraId="5709A78A">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2126" w:type="dxa"/>
            <w:noWrap/>
          </w:tcPr>
          <w:p w14:paraId="518439DF">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917" w:type="dxa"/>
            <w:noWrap/>
          </w:tcPr>
          <w:p w14:paraId="1414123A">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r>
      <w:tr w14:paraId="4A44E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965" w:type="dxa"/>
            <w:noWrap/>
          </w:tcPr>
          <w:p w14:paraId="3791B357">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326" w:type="dxa"/>
            <w:noWrap/>
          </w:tcPr>
          <w:p w14:paraId="528AD8D8">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205" w:type="dxa"/>
            <w:noWrap/>
          </w:tcPr>
          <w:p w14:paraId="0E7AADCF">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085" w:type="dxa"/>
            <w:noWrap/>
          </w:tcPr>
          <w:p w14:paraId="2CC43E1B">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056" w:type="dxa"/>
            <w:noWrap/>
          </w:tcPr>
          <w:p w14:paraId="3E0ABE7D">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2126" w:type="dxa"/>
            <w:noWrap/>
          </w:tcPr>
          <w:p w14:paraId="691797EA">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917" w:type="dxa"/>
            <w:noWrap/>
          </w:tcPr>
          <w:p w14:paraId="2F441346">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r>
      <w:tr w14:paraId="3D58B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965" w:type="dxa"/>
            <w:noWrap/>
          </w:tcPr>
          <w:p w14:paraId="41F370C0">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326" w:type="dxa"/>
            <w:noWrap/>
          </w:tcPr>
          <w:p w14:paraId="6A689666">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205" w:type="dxa"/>
            <w:noWrap/>
          </w:tcPr>
          <w:p w14:paraId="141E5304">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085" w:type="dxa"/>
            <w:noWrap/>
          </w:tcPr>
          <w:p w14:paraId="6582E347">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056" w:type="dxa"/>
            <w:noWrap/>
          </w:tcPr>
          <w:p w14:paraId="460C2B87">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2126" w:type="dxa"/>
            <w:noWrap/>
          </w:tcPr>
          <w:p w14:paraId="2A96F0DB">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917" w:type="dxa"/>
            <w:noWrap/>
          </w:tcPr>
          <w:p w14:paraId="2F74621C">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r>
    </w:tbl>
    <w:p w14:paraId="3D45CC8E">
      <w:pPr>
        <w:pStyle w:val="13"/>
        <w:keepNext w:val="0"/>
        <w:keepLines w:val="0"/>
        <w:pageBreakBefore w:val="0"/>
        <w:widowControl w:val="0"/>
        <w:wordWrap/>
        <w:overflowPunct/>
        <w:topLinePunct w:val="0"/>
        <w:bidi w:val="0"/>
        <w:snapToGrid w:val="0"/>
        <w:spacing w:line="240" w:lineRule="atLeast"/>
        <w:ind w:left="1080" w:leftChars="257" w:hanging="540"/>
        <w:rPr>
          <w:rFonts w:hint="eastAsia" w:ascii="仿宋_GB2312" w:hAnsi="仿宋_GB2312" w:eastAsia="仿宋_GB2312" w:cs="仿宋_GB2312"/>
          <w:sz w:val="24"/>
          <w:highlight w:val="none"/>
        </w:rPr>
      </w:pPr>
    </w:p>
    <w:p w14:paraId="3C8C0120">
      <w:pPr>
        <w:keepNext w:val="0"/>
        <w:keepLines w:val="0"/>
        <w:pageBreakBefore w:val="0"/>
        <w:widowControl w:val="0"/>
        <w:kinsoku/>
        <w:wordWrap/>
        <w:overflowPunct/>
        <w:topLinePunct w:val="0"/>
        <w:autoSpaceDE/>
        <w:autoSpaceDN/>
        <w:bidi w:val="0"/>
        <w:adjustRightInd/>
        <w:spacing w:line="240" w:lineRule="auto"/>
        <w:ind w:firstLine="480" w:firstLineChars="200"/>
        <w:jc w:val="left"/>
        <w:rPr>
          <w:rFonts w:ascii="宋体"/>
          <w:sz w:val="24"/>
          <w:highlight w:val="none"/>
          <w:lang w:val="zh-CN"/>
        </w:rPr>
      </w:pPr>
      <w:r>
        <w:rPr>
          <w:rFonts w:hint="eastAsia" w:ascii="宋体"/>
          <w:sz w:val="24"/>
          <w:highlight w:val="none"/>
          <w:lang w:val="zh-CN"/>
        </w:rPr>
        <w:t>供应商名称（公章）：</w:t>
      </w:r>
    </w:p>
    <w:p w14:paraId="6F59789B">
      <w:pPr>
        <w:keepNext w:val="0"/>
        <w:keepLines w:val="0"/>
        <w:pageBreakBefore w:val="0"/>
        <w:widowControl w:val="0"/>
        <w:kinsoku/>
        <w:wordWrap/>
        <w:overflowPunct/>
        <w:topLinePunct w:val="0"/>
        <w:autoSpaceDE/>
        <w:autoSpaceDN/>
        <w:bidi w:val="0"/>
        <w:adjustRightInd/>
        <w:spacing w:line="240" w:lineRule="auto"/>
        <w:ind w:firstLine="480" w:firstLineChars="200"/>
        <w:jc w:val="left"/>
        <w:rPr>
          <w:rFonts w:ascii="宋体"/>
          <w:sz w:val="24"/>
          <w:highlight w:val="none"/>
          <w:u w:val="single"/>
          <w:lang w:val="zh-CN"/>
        </w:rPr>
      </w:pPr>
      <w:r>
        <w:rPr>
          <w:rFonts w:hint="eastAsia" w:ascii="宋体"/>
          <w:sz w:val="24"/>
          <w:highlight w:val="none"/>
          <w:lang w:val="zh-CN"/>
        </w:rPr>
        <w:t>法定代表人或其授权代表（签字或盖章）：</w:t>
      </w:r>
    </w:p>
    <w:p w14:paraId="46FDC004">
      <w:pPr>
        <w:keepNext w:val="0"/>
        <w:keepLines w:val="0"/>
        <w:pageBreakBefore w:val="0"/>
        <w:widowControl w:val="0"/>
        <w:kinsoku/>
        <w:wordWrap/>
        <w:overflowPunct/>
        <w:topLinePunct w:val="0"/>
        <w:autoSpaceDE/>
        <w:autoSpaceDN/>
        <w:bidi w:val="0"/>
        <w:adjustRightInd/>
        <w:spacing w:line="240" w:lineRule="auto"/>
        <w:ind w:firstLine="480" w:firstLineChars="200"/>
        <w:jc w:val="left"/>
        <w:rPr>
          <w:highlight w:val="none"/>
        </w:rPr>
      </w:pPr>
      <w:r>
        <w:rPr>
          <w:rFonts w:hint="eastAsia" w:ascii="宋体"/>
          <w:sz w:val="24"/>
          <w:highlight w:val="none"/>
          <w:lang w:val="zh-CN"/>
        </w:rPr>
        <w:t>日期：</w:t>
      </w:r>
      <w:r>
        <w:rPr>
          <w:rFonts w:hint="eastAsia" w:ascii="宋体"/>
          <w:sz w:val="24"/>
          <w:highlight w:val="none"/>
          <w:lang w:val="en-US" w:eastAsia="zh-CN"/>
        </w:rPr>
        <w:t xml:space="preserve">      </w:t>
      </w:r>
      <w:r>
        <w:rPr>
          <w:rFonts w:hint="eastAsia" w:ascii="宋体"/>
          <w:sz w:val="24"/>
          <w:highlight w:val="none"/>
          <w:lang w:val="zh-CN"/>
        </w:rPr>
        <w:t>年</w:t>
      </w:r>
      <w:r>
        <w:rPr>
          <w:rFonts w:hint="eastAsia" w:ascii="宋体"/>
          <w:sz w:val="24"/>
          <w:highlight w:val="none"/>
          <w:lang w:val="en-US" w:eastAsia="zh-CN"/>
        </w:rPr>
        <w:t xml:space="preserve">  </w:t>
      </w:r>
      <w:r>
        <w:rPr>
          <w:rFonts w:hint="eastAsia" w:ascii="宋体"/>
          <w:sz w:val="24"/>
          <w:highlight w:val="none"/>
          <w:lang w:val="zh-CN"/>
        </w:rPr>
        <w:t>月</w:t>
      </w:r>
      <w:r>
        <w:rPr>
          <w:rFonts w:hint="eastAsia" w:ascii="宋体"/>
          <w:sz w:val="24"/>
          <w:highlight w:val="none"/>
          <w:lang w:val="en-US" w:eastAsia="zh-CN"/>
        </w:rPr>
        <w:t xml:space="preserve">  </w:t>
      </w:r>
      <w:r>
        <w:rPr>
          <w:rFonts w:hint="eastAsia" w:ascii="宋体"/>
          <w:sz w:val="24"/>
          <w:highlight w:val="none"/>
          <w:lang w:val="zh-CN"/>
        </w:rPr>
        <w:t>日</w:t>
      </w:r>
    </w:p>
    <w:p w14:paraId="1D3E09DB">
      <w:pPr>
        <w:pStyle w:val="13"/>
        <w:keepNext w:val="0"/>
        <w:keepLines w:val="0"/>
        <w:pageBreakBefore w:val="0"/>
        <w:widowControl w:val="0"/>
        <w:wordWrap/>
        <w:overflowPunct/>
        <w:topLinePunct w:val="0"/>
        <w:bidi w:val="0"/>
        <w:snapToGrid w:val="0"/>
        <w:spacing w:line="240" w:lineRule="atLeast"/>
        <w:ind w:left="1080" w:leftChars="257" w:hanging="540"/>
        <w:rPr>
          <w:rFonts w:hint="eastAsia" w:ascii="仿宋_GB2312" w:hAnsi="仿宋_GB2312" w:eastAsia="仿宋_GB2312" w:cs="仿宋_GB2312"/>
          <w:sz w:val="24"/>
          <w:highlight w:val="none"/>
        </w:rPr>
      </w:pPr>
    </w:p>
    <w:p w14:paraId="443B313A">
      <w:pPr>
        <w:pStyle w:val="13"/>
        <w:keepNext w:val="0"/>
        <w:keepLines w:val="0"/>
        <w:pageBreakBefore w:val="0"/>
        <w:widowControl w:val="0"/>
        <w:wordWrap/>
        <w:overflowPunct/>
        <w:topLinePunct w:val="0"/>
        <w:bidi w:val="0"/>
        <w:snapToGrid w:val="0"/>
        <w:spacing w:line="240" w:lineRule="atLeast"/>
        <w:ind w:left="1080" w:leftChars="257" w:hanging="540"/>
        <w:rPr>
          <w:rFonts w:hint="eastAsia" w:ascii="仿宋_GB2312" w:hAnsi="仿宋_GB2312" w:eastAsia="仿宋_GB2312" w:cs="仿宋_GB2312"/>
          <w:sz w:val="24"/>
          <w:highlight w:val="none"/>
        </w:rPr>
      </w:pPr>
    </w:p>
    <w:p w14:paraId="64039BCA">
      <w:pPr>
        <w:pStyle w:val="13"/>
        <w:keepNext w:val="0"/>
        <w:keepLines w:val="0"/>
        <w:pageBreakBefore w:val="0"/>
        <w:widowControl w:val="0"/>
        <w:wordWrap/>
        <w:overflowPunct/>
        <w:topLinePunct w:val="0"/>
        <w:bidi w:val="0"/>
        <w:snapToGrid w:val="0"/>
        <w:spacing w:line="240" w:lineRule="atLeast"/>
        <w:ind w:left="1080" w:leftChars="257" w:hanging="540"/>
        <w:jc w:val="center"/>
        <w:rPr>
          <w:rFonts w:hint="eastAsia" w:ascii="仿宋_GB2312" w:hAnsi="仿宋_GB2312" w:eastAsia="仿宋_GB2312" w:cs="仿宋_GB2312"/>
          <w:sz w:val="24"/>
          <w:highlight w:val="none"/>
        </w:rPr>
      </w:pPr>
    </w:p>
    <w:p w14:paraId="4A3F0EEB">
      <w:pPr>
        <w:pStyle w:val="13"/>
        <w:keepNext w:val="0"/>
        <w:keepLines w:val="0"/>
        <w:pageBreakBefore w:val="0"/>
        <w:widowControl w:val="0"/>
        <w:wordWrap/>
        <w:overflowPunct/>
        <w:topLinePunct w:val="0"/>
        <w:bidi w:val="0"/>
        <w:snapToGrid w:val="0"/>
        <w:spacing w:line="240" w:lineRule="atLeast"/>
        <w:ind w:left="1080" w:leftChars="257" w:hanging="540"/>
        <w:jc w:val="center"/>
        <w:rPr>
          <w:rFonts w:hint="eastAsia" w:ascii="仿宋_GB2312" w:hAnsi="仿宋_GB2312" w:eastAsia="仿宋_GB2312" w:cs="仿宋_GB2312"/>
          <w:sz w:val="24"/>
          <w:highlight w:val="none"/>
        </w:rPr>
        <w:sectPr>
          <w:headerReference r:id="rId13" w:type="default"/>
          <w:footerReference r:id="rId14" w:type="default"/>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pPr>
    </w:p>
    <w:p w14:paraId="05B5053A">
      <w:pPr>
        <w:pStyle w:val="4"/>
        <w:keepNext w:val="0"/>
        <w:keepLines w:val="0"/>
        <w:pageBreakBefore w:val="0"/>
        <w:widowControl w:val="0"/>
        <w:wordWrap/>
        <w:overflowPunct/>
        <w:topLinePunct w:val="0"/>
        <w:bidi w:val="0"/>
        <w:spacing w:before="0" w:after="0" w:line="288" w:lineRule="auto"/>
        <w:ind w:left="1079" w:leftChars="257" w:hanging="539"/>
        <w:jc w:val="center"/>
        <w:rPr>
          <w:rFonts w:hint="eastAsia" w:ascii="仿宋_GB2312" w:hAnsi="仿宋_GB2312" w:eastAsia="仿宋_GB2312" w:cs="仿宋_GB2312"/>
          <w:highlight w:val="none"/>
          <w:u w:val="none"/>
        </w:rPr>
      </w:pPr>
      <w:bookmarkStart w:id="801" w:name="_Toc22563"/>
      <w:bookmarkStart w:id="802" w:name="_Toc10052"/>
      <w:bookmarkStart w:id="803" w:name="_Toc14695"/>
      <w:bookmarkStart w:id="804" w:name="_Toc515647820"/>
      <w:bookmarkStart w:id="805" w:name="_Toc12128"/>
      <w:bookmarkStart w:id="806" w:name="_Toc216582817"/>
      <w:bookmarkStart w:id="807" w:name="_Toc28689"/>
      <w:bookmarkStart w:id="808" w:name="_Toc1112"/>
      <w:bookmarkStart w:id="809" w:name="_Toc29133"/>
      <w:bookmarkStart w:id="810" w:name="_Toc5951"/>
      <w:bookmarkStart w:id="811" w:name="_Toc20533"/>
      <w:bookmarkStart w:id="812" w:name="_Toc24855"/>
      <w:bookmarkStart w:id="813" w:name="_Toc28959"/>
      <w:bookmarkStart w:id="814" w:name="_Toc29780"/>
      <w:bookmarkStart w:id="815" w:name="_Toc32464"/>
      <w:r>
        <w:rPr>
          <w:rFonts w:hint="eastAsia" w:ascii="仿宋_GB2312" w:hAnsi="仿宋_GB2312" w:eastAsia="仿宋_GB2312" w:cs="仿宋_GB2312"/>
          <w:highlight w:val="none"/>
          <w:u w:val="none"/>
        </w:rPr>
        <w:t>4技术规格偏离表</w:t>
      </w:r>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 w14:paraId="73F3E536">
      <w:pPr>
        <w:pStyle w:val="13"/>
        <w:keepNext w:val="0"/>
        <w:keepLines w:val="0"/>
        <w:pageBreakBefore w:val="0"/>
        <w:widowControl w:val="0"/>
        <w:wordWrap/>
        <w:overflowPunct/>
        <w:topLinePunct w:val="0"/>
        <w:bidi w:val="0"/>
        <w:snapToGrid w:val="0"/>
        <w:spacing w:line="240" w:lineRule="atLeast"/>
        <w:ind w:left="1080" w:leftChars="257" w:hanging="540"/>
        <w:rPr>
          <w:rFonts w:hint="eastAsia" w:ascii="仿宋_GB2312" w:hAnsi="仿宋_GB2312" w:eastAsia="仿宋_GB2312" w:cs="仿宋_GB2312"/>
          <w:sz w:val="24"/>
          <w:highlight w:val="none"/>
        </w:rPr>
      </w:pPr>
    </w:p>
    <w:p w14:paraId="1F30C812">
      <w:pPr>
        <w:pStyle w:val="13"/>
        <w:keepNext w:val="0"/>
        <w:keepLines w:val="0"/>
        <w:pageBreakBefore w:val="0"/>
        <w:widowControl w:val="0"/>
        <w:wordWrap/>
        <w:overflowPunct/>
        <w:topLinePunct w:val="0"/>
        <w:bidi w:val="0"/>
        <w:snapToGrid w:val="0"/>
        <w:spacing w:line="240" w:lineRule="atLeast"/>
        <w:ind w:firstLine="360" w:firstLineChars="150"/>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rPr>
        <w:t>项目名称:招标编号:包号:</w:t>
      </w:r>
      <w:r>
        <w:rPr>
          <w:rFonts w:hint="eastAsia" w:ascii="仿宋_GB2312" w:hAnsi="仿宋_GB2312" w:eastAsia="仿宋_GB2312" w:cs="仿宋_GB2312"/>
          <w:sz w:val="24"/>
          <w:highlight w:val="none"/>
          <w:lang w:val="en-US" w:eastAsia="zh-CN"/>
        </w:rPr>
        <w:t>/</w:t>
      </w:r>
    </w:p>
    <w:p w14:paraId="4C417DC2">
      <w:pPr>
        <w:pStyle w:val="13"/>
        <w:keepNext w:val="0"/>
        <w:keepLines w:val="0"/>
        <w:pageBreakBefore w:val="0"/>
        <w:widowControl w:val="0"/>
        <w:wordWrap/>
        <w:overflowPunct/>
        <w:topLinePunct w:val="0"/>
        <w:bidi w:val="0"/>
        <w:snapToGrid w:val="0"/>
        <w:spacing w:line="240" w:lineRule="atLeast"/>
        <w:ind w:left="1080" w:leftChars="257" w:hanging="540"/>
        <w:rPr>
          <w:rFonts w:hint="eastAsia" w:ascii="仿宋_GB2312" w:hAnsi="仿宋_GB2312" w:eastAsia="仿宋_GB2312" w:cs="仿宋_GB2312"/>
          <w:sz w:val="24"/>
          <w:highlight w:val="none"/>
        </w:rPr>
      </w:pPr>
    </w:p>
    <w:tbl>
      <w:tblPr>
        <w:tblStyle w:val="26"/>
        <w:tblW w:w="84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6"/>
        <w:gridCol w:w="1686"/>
        <w:gridCol w:w="1511"/>
        <w:gridCol w:w="1385"/>
        <w:gridCol w:w="1183"/>
        <w:gridCol w:w="1135"/>
      </w:tblGrid>
      <w:tr w14:paraId="4C304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536" w:type="dxa"/>
            <w:noWrap/>
            <w:vAlign w:val="center"/>
          </w:tcPr>
          <w:p w14:paraId="1FE499ED">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0" w:right="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1686" w:type="dxa"/>
            <w:noWrap/>
            <w:vAlign w:val="center"/>
          </w:tcPr>
          <w:p w14:paraId="3A09A4E9">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0" w:right="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货物名称</w:t>
            </w:r>
          </w:p>
        </w:tc>
        <w:tc>
          <w:tcPr>
            <w:tcW w:w="1511" w:type="dxa"/>
            <w:noWrap/>
            <w:vAlign w:val="center"/>
          </w:tcPr>
          <w:p w14:paraId="2A7081F2">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0" w:right="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招标规格</w:t>
            </w:r>
          </w:p>
        </w:tc>
        <w:tc>
          <w:tcPr>
            <w:tcW w:w="1385" w:type="dxa"/>
            <w:noWrap/>
            <w:vAlign w:val="center"/>
          </w:tcPr>
          <w:p w14:paraId="1FA8CCBC">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0" w:right="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投标规格</w:t>
            </w:r>
          </w:p>
        </w:tc>
        <w:tc>
          <w:tcPr>
            <w:tcW w:w="1183" w:type="dxa"/>
            <w:noWrap/>
            <w:vAlign w:val="center"/>
          </w:tcPr>
          <w:p w14:paraId="6FBF138D">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0" w:right="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偏离</w:t>
            </w:r>
          </w:p>
        </w:tc>
        <w:tc>
          <w:tcPr>
            <w:tcW w:w="1135" w:type="dxa"/>
            <w:noWrap/>
            <w:vAlign w:val="center"/>
          </w:tcPr>
          <w:p w14:paraId="4D121760">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0" w:right="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说明</w:t>
            </w:r>
          </w:p>
        </w:tc>
      </w:tr>
      <w:tr w14:paraId="057FD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536" w:type="dxa"/>
            <w:noWrap/>
          </w:tcPr>
          <w:p w14:paraId="49FF4BA3">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686" w:type="dxa"/>
            <w:noWrap/>
          </w:tcPr>
          <w:p w14:paraId="3BE06724">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511" w:type="dxa"/>
            <w:noWrap/>
          </w:tcPr>
          <w:p w14:paraId="0B552FEE">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385" w:type="dxa"/>
            <w:noWrap/>
          </w:tcPr>
          <w:p w14:paraId="207E9F7D">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183" w:type="dxa"/>
            <w:noWrap/>
          </w:tcPr>
          <w:p w14:paraId="5AFA4BAC">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135" w:type="dxa"/>
            <w:noWrap/>
          </w:tcPr>
          <w:p w14:paraId="34AC61ED">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r>
      <w:tr w14:paraId="03A11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536" w:type="dxa"/>
            <w:noWrap/>
          </w:tcPr>
          <w:p w14:paraId="54D32321">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686" w:type="dxa"/>
            <w:noWrap/>
          </w:tcPr>
          <w:p w14:paraId="46377F95">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511" w:type="dxa"/>
            <w:noWrap/>
          </w:tcPr>
          <w:p w14:paraId="38A21A60">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385" w:type="dxa"/>
            <w:noWrap/>
          </w:tcPr>
          <w:p w14:paraId="7DDD9B75">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183" w:type="dxa"/>
            <w:noWrap/>
          </w:tcPr>
          <w:p w14:paraId="1066F047">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135" w:type="dxa"/>
            <w:noWrap/>
          </w:tcPr>
          <w:p w14:paraId="438A3624">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r>
      <w:tr w14:paraId="71391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536" w:type="dxa"/>
            <w:noWrap/>
          </w:tcPr>
          <w:p w14:paraId="698B0E0E">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686" w:type="dxa"/>
            <w:noWrap/>
          </w:tcPr>
          <w:p w14:paraId="403B434F">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511" w:type="dxa"/>
            <w:noWrap/>
          </w:tcPr>
          <w:p w14:paraId="766D71CE">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385" w:type="dxa"/>
            <w:noWrap/>
          </w:tcPr>
          <w:p w14:paraId="4C63902A">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183" w:type="dxa"/>
            <w:noWrap/>
          </w:tcPr>
          <w:p w14:paraId="6F4BFCB1">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135" w:type="dxa"/>
            <w:noWrap/>
          </w:tcPr>
          <w:p w14:paraId="355A0197">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r>
      <w:tr w14:paraId="5CE2A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536" w:type="dxa"/>
            <w:noWrap/>
          </w:tcPr>
          <w:p w14:paraId="68D2611C">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686" w:type="dxa"/>
            <w:noWrap/>
          </w:tcPr>
          <w:p w14:paraId="6CD76914">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511" w:type="dxa"/>
            <w:noWrap/>
          </w:tcPr>
          <w:p w14:paraId="7C213E6E">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385" w:type="dxa"/>
            <w:noWrap/>
          </w:tcPr>
          <w:p w14:paraId="38A087C7">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183" w:type="dxa"/>
            <w:noWrap/>
          </w:tcPr>
          <w:p w14:paraId="7AB58847">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135" w:type="dxa"/>
            <w:noWrap/>
          </w:tcPr>
          <w:p w14:paraId="330FA632">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r>
      <w:tr w14:paraId="244BD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536" w:type="dxa"/>
            <w:noWrap/>
          </w:tcPr>
          <w:p w14:paraId="1D2B4E17">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686" w:type="dxa"/>
            <w:noWrap/>
          </w:tcPr>
          <w:p w14:paraId="185686DB">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511" w:type="dxa"/>
            <w:noWrap/>
          </w:tcPr>
          <w:p w14:paraId="6E8EFBE4">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385" w:type="dxa"/>
            <w:noWrap/>
          </w:tcPr>
          <w:p w14:paraId="57B3D561">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183" w:type="dxa"/>
            <w:noWrap/>
          </w:tcPr>
          <w:p w14:paraId="1BDA4EC9">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135" w:type="dxa"/>
            <w:noWrap/>
          </w:tcPr>
          <w:p w14:paraId="0862E73F">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r>
      <w:tr w14:paraId="1E2A6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536" w:type="dxa"/>
            <w:noWrap/>
          </w:tcPr>
          <w:p w14:paraId="6FAE8146">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686" w:type="dxa"/>
            <w:noWrap/>
          </w:tcPr>
          <w:p w14:paraId="66C316E6">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511" w:type="dxa"/>
            <w:noWrap/>
          </w:tcPr>
          <w:p w14:paraId="36027C5E">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385" w:type="dxa"/>
            <w:noWrap/>
          </w:tcPr>
          <w:p w14:paraId="0CE1F410">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183" w:type="dxa"/>
            <w:noWrap/>
          </w:tcPr>
          <w:p w14:paraId="18088FF2">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135" w:type="dxa"/>
            <w:noWrap/>
          </w:tcPr>
          <w:p w14:paraId="0C3F5B35">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r>
      <w:tr w14:paraId="788F7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536" w:type="dxa"/>
            <w:noWrap/>
          </w:tcPr>
          <w:p w14:paraId="0228DFBD">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686" w:type="dxa"/>
            <w:noWrap/>
          </w:tcPr>
          <w:p w14:paraId="1A7BE84F">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511" w:type="dxa"/>
            <w:noWrap/>
          </w:tcPr>
          <w:p w14:paraId="2E731E29">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385" w:type="dxa"/>
            <w:noWrap/>
          </w:tcPr>
          <w:p w14:paraId="39CDF4FB">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183" w:type="dxa"/>
            <w:noWrap/>
          </w:tcPr>
          <w:p w14:paraId="316DBEB6">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135" w:type="dxa"/>
            <w:noWrap/>
          </w:tcPr>
          <w:p w14:paraId="7AF43936">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r>
      <w:tr w14:paraId="579E3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536" w:type="dxa"/>
            <w:noWrap/>
          </w:tcPr>
          <w:p w14:paraId="6E545B14">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686" w:type="dxa"/>
            <w:noWrap/>
          </w:tcPr>
          <w:p w14:paraId="504B893F">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511" w:type="dxa"/>
            <w:noWrap/>
          </w:tcPr>
          <w:p w14:paraId="1E321906">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385" w:type="dxa"/>
            <w:noWrap/>
          </w:tcPr>
          <w:p w14:paraId="000D5BF7">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183" w:type="dxa"/>
            <w:noWrap/>
          </w:tcPr>
          <w:p w14:paraId="6A3BD452">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135" w:type="dxa"/>
            <w:noWrap/>
          </w:tcPr>
          <w:p w14:paraId="2E438997">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r>
      <w:tr w14:paraId="7FBAE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536" w:type="dxa"/>
            <w:noWrap/>
          </w:tcPr>
          <w:p w14:paraId="617B3B77">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686" w:type="dxa"/>
            <w:noWrap/>
          </w:tcPr>
          <w:p w14:paraId="4FC0F728">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511" w:type="dxa"/>
            <w:noWrap/>
          </w:tcPr>
          <w:p w14:paraId="221F2806">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385" w:type="dxa"/>
            <w:noWrap/>
          </w:tcPr>
          <w:p w14:paraId="46E600C7">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183" w:type="dxa"/>
            <w:noWrap/>
          </w:tcPr>
          <w:p w14:paraId="7A1A51DA">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135" w:type="dxa"/>
            <w:noWrap/>
          </w:tcPr>
          <w:p w14:paraId="2A98B296">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r>
      <w:tr w14:paraId="3EF50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536" w:type="dxa"/>
            <w:noWrap/>
          </w:tcPr>
          <w:p w14:paraId="4FBF980D">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686" w:type="dxa"/>
            <w:noWrap/>
          </w:tcPr>
          <w:p w14:paraId="59B7B7E0">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511" w:type="dxa"/>
            <w:noWrap/>
          </w:tcPr>
          <w:p w14:paraId="0ADAA137">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385" w:type="dxa"/>
            <w:noWrap/>
          </w:tcPr>
          <w:p w14:paraId="5776D443">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183" w:type="dxa"/>
            <w:noWrap/>
          </w:tcPr>
          <w:p w14:paraId="3AD6B9C6">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135" w:type="dxa"/>
            <w:noWrap/>
          </w:tcPr>
          <w:p w14:paraId="76AF5CD4">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r>
    </w:tbl>
    <w:p w14:paraId="3DF51DA2">
      <w:pPr>
        <w:keepNext w:val="0"/>
        <w:keepLines w:val="0"/>
        <w:pageBreakBefore w:val="0"/>
        <w:widowControl w:val="0"/>
        <w:kinsoku/>
        <w:wordWrap/>
        <w:overflowPunct/>
        <w:topLinePunct w:val="0"/>
        <w:autoSpaceDE/>
        <w:autoSpaceDN/>
        <w:bidi w:val="0"/>
        <w:adjustRightInd/>
        <w:spacing w:line="240" w:lineRule="auto"/>
        <w:ind w:firstLine="480" w:firstLineChars="200"/>
        <w:jc w:val="left"/>
        <w:rPr>
          <w:rFonts w:ascii="宋体"/>
          <w:sz w:val="24"/>
          <w:highlight w:val="none"/>
          <w:lang w:val="zh-CN"/>
        </w:rPr>
      </w:pPr>
      <w:r>
        <w:rPr>
          <w:rFonts w:hint="eastAsia" w:ascii="宋体"/>
          <w:sz w:val="24"/>
          <w:highlight w:val="none"/>
          <w:lang w:val="zh-CN"/>
        </w:rPr>
        <w:t>供应商名称（公章）：</w:t>
      </w:r>
    </w:p>
    <w:p w14:paraId="3788E028">
      <w:pPr>
        <w:keepNext w:val="0"/>
        <w:keepLines w:val="0"/>
        <w:pageBreakBefore w:val="0"/>
        <w:widowControl w:val="0"/>
        <w:kinsoku/>
        <w:wordWrap/>
        <w:overflowPunct/>
        <w:topLinePunct w:val="0"/>
        <w:autoSpaceDE/>
        <w:autoSpaceDN/>
        <w:bidi w:val="0"/>
        <w:adjustRightInd/>
        <w:spacing w:line="240" w:lineRule="auto"/>
        <w:ind w:firstLine="480" w:firstLineChars="200"/>
        <w:jc w:val="left"/>
        <w:rPr>
          <w:rFonts w:ascii="宋体"/>
          <w:sz w:val="24"/>
          <w:highlight w:val="none"/>
          <w:u w:val="single"/>
          <w:lang w:val="zh-CN"/>
        </w:rPr>
      </w:pPr>
      <w:r>
        <w:rPr>
          <w:rFonts w:hint="eastAsia" w:ascii="宋体"/>
          <w:sz w:val="24"/>
          <w:highlight w:val="none"/>
          <w:lang w:val="zh-CN"/>
        </w:rPr>
        <w:t>法定代表人或其授权代表（签字或盖章）：</w:t>
      </w:r>
    </w:p>
    <w:p w14:paraId="428EC5E7">
      <w:pPr>
        <w:keepNext w:val="0"/>
        <w:keepLines w:val="0"/>
        <w:pageBreakBefore w:val="0"/>
        <w:widowControl w:val="0"/>
        <w:kinsoku/>
        <w:wordWrap/>
        <w:overflowPunct/>
        <w:topLinePunct w:val="0"/>
        <w:autoSpaceDE/>
        <w:autoSpaceDN/>
        <w:bidi w:val="0"/>
        <w:adjustRightInd/>
        <w:spacing w:line="240" w:lineRule="auto"/>
        <w:ind w:firstLine="480" w:firstLineChars="200"/>
        <w:jc w:val="left"/>
        <w:rPr>
          <w:highlight w:val="none"/>
        </w:rPr>
      </w:pPr>
      <w:r>
        <w:rPr>
          <w:rFonts w:hint="eastAsia" w:ascii="宋体"/>
          <w:sz w:val="24"/>
          <w:highlight w:val="none"/>
          <w:lang w:val="zh-CN"/>
        </w:rPr>
        <w:t>日期：</w:t>
      </w:r>
      <w:r>
        <w:rPr>
          <w:rFonts w:hint="eastAsia" w:ascii="宋体"/>
          <w:sz w:val="24"/>
          <w:highlight w:val="none"/>
          <w:lang w:val="en-US" w:eastAsia="zh-CN"/>
        </w:rPr>
        <w:t xml:space="preserve">     </w:t>
      </w:r>
      <w:r>
        <w:rPr>
          <w:rFonts w:hint="eastAsia" w:ascii="宋体"/>
          <w:sz w:val="24"/>
          <w:highlight w:val="none"/>
          <w:lang w:val="zh-CN"/>
        </w:rPr>
        <w:t>年</w:t>
      </w:r>
      <w:r>
        <w:rPr>
          <w:rFonts w:hint="eastAsia" w:ascii="宋体"/>
          <w:sz w:val="24"/>
          <w:highlight w:val="none"/>
          <w:lang w:val="en-US" w:eastAsia="zh-CN"/>
        </w:rPr>
        <w:t xml:space="preserve">   </w:t>
      </w:r>
      <w:r>
        <w:rPr>
          <w:rFonts w:hint="eastAsia" w:ascii="宋体"/>
          <w:sz w:val="24"/>
          <w:highlight w:val="none"/>
          <w:lang w:val="zh-CN"/>
        </w:rPr>
        <w:t>月</w:t>
      </w:r>
      <w:r>
        <w:rPr>
          <w:rFonts w:hint="eastAsia" w:ascii="宋体"/>
          <w:sz w:val="24"/>
          <w:highlight w:val="none"/>
          <w:lang w:val="en-US" w:eastAsia="zh-CN"/>
        </w:rPr>
        <w:t xml:space="preserve">  </w:t>
      </w:r>
      <w:r>
        <w:rPr>
          <w:rFonts w:hint="eastAsia" w:ascii="宋体"/>
          <w:sz w:val="24"/>
          <w:highlight w:val="none"/>
          <w:lang w:val="zh-CN"/>
        </w:rPr>
        <w:t>日</w:t>
      </w:r>
    </w:p>
    <w:p w14:paraId="02DE08E3">
      <w:pPr>
        <w:pStyle w:val="13"/>
        <w:keepNext w:val="0"/>
        <w:keepLines w:val="0"/>
        <w:pageBreakBefore w:val="0"/>
        <w:widowControl w:val="0"/>
        <w:wordWrap/>
        <w:overflowPunct/>
        <w:topLinePunct w:val="0"/>
        <w:bidi w:val="0"/>
        <w:snapToGrid w:val="0"/>
        <w:spacing w:line="240" w:lineRule="atLeas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注：</w:t>
      </w:r>
    </w:p>
    <w:p w14:paraId="296B1D79">
      <w:pPr>
        <w:pStyle w:val="13"/>
        <w:keepNext w:val="0"/>
        <w:keepLines w:val="0"/>
        <w:pageBreakBefore w:val="0"/>
        <w:widowControl w:val="0"/>
        <w:wordWrap/>
        <w:overflowPunct/>
        <w:topLinePunct w:val="0"/>
        <w:bidi w:val="0"/>
        <w:snapToGrid w:val="0"/>
        <w:spacing w:line="240" w:lineRule="atLeas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1、投标人应根据招标要求逐条逐项表述说明投标响应情况。</w:t>
      </w:r>
    </w:p>
    <w:p w14:paraId="67C82B79">
      <w:pPr>
        <w:pStyle w:val="13"/>
        <w:keepNext w:val="0"/>
        <w:keepLines w:val="0"/>
        <w:pageBreakBefore w:val="0"/>
        <w:widowControl w:val="0"/>
        <w:wordWrap/>
        <w:overflowPunct/>
        <w:topLinePunct w:val="0"/>
        <w:bidi w:val="0"/>
        <w:snapToGrid w:val="0"/>
        <w:spacing w:line="240" w:lineRule="atLeas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2、投标人提交的投标文件中的服务响应与招标文件的服务、技术要求不同时，应逐条逐项如实填列在偏离表中。投标人不如实填写偏离情况、存在弄虚作假行为的，将依法承担相应的法律责任。</w:t>
      </w:r>
    </w:p>
    <w:p w14:paraId="4E66FF3B">
      <w:pPr>
        <w:pStyle w:val="13"/>
        <w:keepNext w:val="0"/>
        <w:keepLines w:val="0"/>
        <w:pageBreakBefore w:val="0"/>
        <w:widowControl w:val="0"/>
        <w:wordWrap/>
        <w:overflowPunct/>
        <w:topLinePunct w:val="0"/>
        <w:bidi w:val="0"/>
        <w:snapToGrid w:val="0"/>
        <w:spacing w:line="240" w:lineRule="atLeas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投标人应结合实际情况说明或描述其实际服务内容。如果完全复制粘贴本招标文件之服务、技术要求，或者只注明“符合”、“满足”等类似无具体内容的表述，因此而产生的不利于投标人的评审风险由投标人自行承担。</w:t>
      </w:r>
    </w:p>
    <w:p w14:paraId="7A39F5C9">
      <w:pPr>
        <w:pStyle w:val="13"/>
        <w:keepNext w:val="0"/>
        <w:keepLines w:val="0"/>
        <w:pageBreakBefore w:val="0"/>
        <w:widowControl w:val="0"/>
        <w:wordWrap/>
        <w:overflowPunct/>
        <w:topLinePunct w:val="0"/>
        <w:bidi w:val="0"/>
        <w:snapToGrid w:val="0"/>
        <w:spacing w:line="240" w:lineRule="atLeast"/>
        <w:ind w:firstLine="480" w:firstLineChars="200"/>
        <w:rPr>
          <w:rFonts w:hint="eastAsia" w:ascii="仿宋" w:hAnsi="仿宋" w:eastAsia="仿宋" w:cs="仿宋"/>
          <w:b/>
          <w:bCs/>
          <w:sz w:val="24"/>
          <w:highlight w:val="none"/>
        </w:rPr>
      </w:pPr>
      <w:r>
        <w:rPr>
          <w:rFonts w:hint="eastAsia" w:ascii="仿宋" w:hAnsi="仿宋" w:eastAsia="仿宋" w:cs="仿宋"/>
          <w:sz w:val="24"/>
          <w:highlight w:val="none"/>
        </w:rPr>
        <w:t>4、投标人可根据需要自行增减表格行数。</w:t>
      </w:r>
    </w:p>
    <w:p w14:paraId="5DBBE46F">
      <w:pPr>
        <w:pStyle w:val="13"/>
        <w:keepNext w:val="0"/>
        <w:keepLines w:val="0"/>
        <w:pageBreakBefore w:val="0"/>
        <w:widowControl w:val="0"/>
        <w:tabs>
          <w:tab w:val="left" w:pos="5580"/>
        </w:tabs>
        <w:wordWrap/>
        <w:overflowPunct/>
        <w:topLinePunct w:val="0"/>
        <w:bidi w:val="0"/>
        <w:snapToGrid w:val="0"/>
        <w:spacing w:line="240" w:lineRule="atLeast"/>
        <w:rPr>
          <w:rFonts w:hint="eastAsia" w:ascii="仿宋_GB2312" w:hAnsi="仿宋_GB2312" w:eastAsia="仿宋_GB2312" w:cs="仿宋_GB2312"/>
          <w:sz w:val="24"/>
          <w:highlight w:val="none"/>
        </w:rPr>
      </w:pPr>
    </w:p>
    <w:p w14:paraId="4E68828D">
      <w:pPr>
        <w:keepNext w:val="0"/>
        <w:keepLines w:val="0"/>
        <w:pageBreakBefore w:val="0"/>
        <w:widowControl w:val="0"/>
        <w:wordWrap/>
        <w:overflowPunct/>
        <w:topLinePunct w:val="0"/>
        <w:bidi w:val="0"/>
        <w:rPr>
          <w:sz w:val="20"/>
          <w:highlight w:val="none"/>
        </w:rPr>
      </w:pPr>
      <w:bookmarkStart w:id="816" w:name="_Toc28374"/>
      <w:bookmarkStart w:id="817" w:name="_Toc515647821"/>
      <w:bookmarkStart w:id="818" w:name="_Toc1980"/>
      <w:bookmarkStart w:id="819" w:name="_Toc23"/>
      <w:bookmarkStart w:id="820" w:name="_Toc216582818"/>
    </w:p>
    <w:p w14:paraId="4822F4CD">
      <w:pPr>
        <w:pStyle w:val="4"/>
        <w:keepNext w:val="0"/>
        <w:keepLines w:val="0"/>
        <w:pageBreakBefore w:val="0"/>
        <w:widowControl w:val="0"/>
        <w:wordWrap/>
        <w:overflowPunct/>
        <w:topLinePunct w:val="0"/>
        <w:bidi w:val="0"/>
        <w:spacing w:before="0" w:after="0" w:line="288" w:lineRule="auto"/>
        <w:ind w:left="1079" w:leftChars="257" w:hanging="539"/>
        <w:jc w:val="center"/>
        <w:rPr>
          <w:rFonts w:hint="eastAsia" w:ascii="仿宋_GB2312" w:hAnsi="仿宋_GB2312" w:eastAsia="仿宋_GB2312" w:cs="仿宋_GB2312"/>
          <w:highlight w:val="none"/>
          <w:u w:val="none"/>
        </w:rPr>
      </w:pPr>
      <w:bookmarkStart w:id="821" w:name="_Toc5952"/>
      <w:bookmarkStart w:id="822" w:name="_Toc471"/>
      <w:bookmarkStart w:id="823" w:name="_Toc16991"/>
      <w:bookmarkStart w:id="824" w:name="_Toc11402"/>
      <w:bookmarkStart w:id="825" w:name="_Toc9803"/>
      <w:bookmarkStart w:id="826" w:name="_Toc29157"/>
      <w:bookmarkStart w:id="827" w:name="_Toc17874"/>
      <w:bookmarkStart w:id="828" w:name="_Toc21884"/>
      <w:bookmarkStart w:id="829" w:name="_Toc14202"/>
      <w:bookmarkStart w:id="830" w:name="_Toc30785"/>
      <w:r>
        <w:rPr>
          <w:rFonts w:hint="eastAsia" w:ascii="仿宋_GB2312" w:hAnsi="仿宋_GB2312" w:eastAsia="仿宋_GB2312" w:cs="仿宋_GB2312"/>
          <w:highlight w:val="none"/>
          <w:u w:val="none"/>
        </w:rPr>
        <w:t>5商务条款偏离表</w:t>
      </w:r>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p>
    <w:p w14:paraId="4147438D">
      <w:pPr>
        <w:pStyle w:val="13"/>
        <w:keepNext w:val="0"/>
        <w:keepLines w:val="0"/>
        <w:pageBreakBefore w:val="0"/>
        <w:widowControl w:val="0"/>
        <w:wordWrap/>
        <w:overflowPunct/>
        <w:topLinePunct w:val="0"/>
        <w:bidi w:val="0"/>
        <w:snapToGrid w:val="0"/>
        <w:spacing w:line="240" w:lineRule="atLeast"/>
        <w:ind w:left="1080" w:leftChars="257" w:hanging="540"/>
        <w:rPr>
          <w:rFonts w:hint="eastAsia" w:ascii="仿宋_GB2312" w:hAnsi="仿宋_GB2312" w:eastAsia="仿宋_GB2312" w:cs="仿宋_GB2312"/>
          <w:sz w:val="24"/>
          <w:highlight w:val="none"/>
        </w:rPr>
      </w:pPr>
    </w:p>
    <w:p w14:paraId="49444690">
      <w:pPr>
        <w:pStyle w:val="13"/>
        <w:keepNext w:val="0"/>
        <w:keepLines w:val="0"/>
        <w:pageBreakBefore w:val="0"/>
        <w:widowControl w:val="0"/>
        <w:wordWrap/>
        <w:overflowPunct/>
        <w:topLinePunct w:val="0"/>
        <w:bidi w:val="0"/>
        <w:snapToGrid w:val="0"/>
        <w:spacing w:line="240" w:lineRule="atLeast"/>
        <w:ind w:left="1080" w:leftChars="257" w:hanging="540"/>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rPr>
        <w:t>项目名称:招标编号:包号:</w:t>
      </w:r>
      <w:r>
        <w:rPr>
          <w:rFonts w:hint="eastAsia" w:ascii="仿宋_GB2312" w:hAnsi="仿宋_GB2312" w:eastAsia="仿宋_GB2312" w:cs="仿宋_GB2312"/>
          <w:sz w:val="24"/>
          <w:highlight w:val="none"/>
          <w:lang w:val="en-US" w:eastAsia="zh-CN"/>
        </w:rPr>
        <w:t>/</w:t>
      </w:r>
    </w:p>
    <w:p w14:paraId="5E449DB3">
      <w:pPr>
        <w:pStyle w:val="13"/>
        <w:keepNext w:val="0"/>
        <w:keepLines w:val="0"/>
        <w:pageBreakBefore w:val="0"/>
        <w:widowControl w:val="0"/>
        <w:wordWrap/>
        <w:overflowPunct/>
        <w:topLinePunct w:val="0"/>
        <w:bidi w:val="0"/>
        <w:snapToGrid w:val="0"/>
        <w:spacing w:line="240" w:lineRule="atLeast"/>
        <w:ind w:left="1080" w:leftChars="257" w:hanging="540"/>
        <w:rPr>
          <w:rFonts w:hint="eastAsia" w:ascii="仿宋_GB2312" w:hAnsi="仿宋_GB2312" w:eastAsia="仿宋_GB2312" w:cs="仿宋_GB2312"/>
          <w:sz w:val="24"/>
          <w:highlight w:val="none"/>
        </w:rPr>
      </w:pPr>
    </w:p>
    <w:tbl>
      <w:tblPr>
        <w:tblStyle w:val="26"/>
        <w:tblW w:w="8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1"/>
        <w:gridCol w:w="2520"/>
        <w:gridCol w:w="2520"/>
        <w:gridCol w:w="1805"/>
      </w:tblGrid>
      <w:tr w14:paraId="215D8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491" w:type="dxa"/>
            <w:noWrap/>
            <w:vAlign w:val="center"/>
          </w:tcPr>
          <w:p w14:paraId="167E4D37">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0" w:right="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2520" w:type="dxa"/>
            <w:noWrap/>
            <w:vAlign w:val="center"/>
          </w:tcPr>
          <w:p w14:paraId="32074253">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0" w:right="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招标文件的商务条款</w:t>
            </w:r>
          </w:p>
        </w:tc>
        <w:tc>
          <w:tcPr>
            <w:tcW w:w="2520" w:type="dxa"/>
            <w:noWrap/>
            <w:vAlign w:val="center"/>
          </w:tcPr>
          <w:p w14:paraId="6532FDB7">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0" w:right="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投标文件的商务条款</w:t>
            </w:r>
          </w:p>
        </w:tc>
        <w:tc>
          <w:tcPr>
            <w:tcW w:w="1805" w:type="dxa"/>
            <w:noWrap/>
            <w:vAlign w:val="center"/>
          </w:tcPr>
          <w:p w14:paraId="540F1102">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0" w:right="0"/>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说明</w:t>
            </w:r>
          </w:p>
        </w:tc>
      </w:tr>
      <w:tr w14:paraId="71184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491" w:type="dxa"/>
            <w:noWrap/>
          </w:tcPr>
          <w:p w14:paraId="3E141376">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2520" w:type="dxa"/>
            <w:noWrap/>
          </w:tcPr>
          <w:p w14:paraId="2B12A1A5">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center"/>
              <w:rPr>
                <w:rFonts w:hint="eastAsia" w:ascii="仿宋_GB2312" w:hAnsi="仿宋_GB2312" w:eastAsia="仿宋_GB2312" w:cs="仿宋_GB2312"/>
                <w:sz w:val="24"/>
                <w:highlight w:val="none"/>
              </w:rPr>
            </w:pPr>
          </w:p>
        </w:tc>
        <w:tc>
          <w:tcPr>
            <w:tcW w:w="2520" w:type="dxa"/>
            <w:noWrap/>
          </w:tcPr>
          <w:p w14:paraId="6C10610E">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center"/>
              <w:rPr>
                <w:rFonts w:hint="eastAsia" w:ascii="仿宋_GB2312" w:hAnsi="仿宋_GB2312" w:eastAsia="仿宋_GB2312" w:cs="仿宋_GB2312"/>
                <w:sz w:val="24"/>
                <w:highlight w:val="none"/>
              </w:rPr>
            </w:pPr>
          </w:p>
        </w:tc>
        <w:tc>
          <w:tcPr>
            <w:tcW w:w="1805" w:type="dxa"/>
            <w:noWrap/>
          </w:tcPr>
          <w:p w14:paraId="37BE886C">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r>
      <w:tr w14:paraId="39488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491" w:type="dxa"/>
            <w:noWrap/>
          </w:tcPr>
          <w:p w14:paraId="166AE710">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2520" w:type="dxa"/>
            <w:noWrap/>
          </w:tcPr>
          <w:p w14:paraId="6A39827F">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2520" w:type="dxa"/>
            <w:noWrap/>
          </w:tcPr>
          <w:p w14:paraId="52B948EE">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805" w:type="dxa"/>
            <w:noWrap/>
          </w:tcPr>
          <w:p w14:paraId="6F594EE5">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r>
      <w:tr w14:paraId="74FC7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491" w:type="dxa"/>
            <w:noWrap/>
          </w:tcPr>
          <w:p w14:paraId="29B21FA9">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2520" w:type="dxa"/>
            <w:noWrap/>
          </w:tcPr>
          <w:p w14:paraId="250082C3">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2520" w:type="dxa"/>
            <w:noWrap/>
          </w:tcPr>
          <w:p w14:paraId="65820129">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805" w:type="dxa"/>
            <w:noWrap/>
          </w:tcPr>
          <w:p w14:paraId="59B7D8DD">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r>
      <w:tr w14:paraId="17474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491" w:type="dxa"/>
            <w:noWrap/>
          </w:tcPr>
          <w:p w14:paraId="5B5BA652">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2520" w:type="dxa"/>
            <w:noWrap/>
          </w:tcPr>
          <w:p w14:paraId="1847592D">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2520" w:type="dxa"/>
            <w:noWrap/>
          </w:tcPr>
          <w:p w14:paraId="1BCB52D8">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805" w:type="dxa"/>
            <w:noWrap/>
          </w:tcPr>
          <w:p w14:paraId="24E395D2">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r>
      <w:tr w14:paraId="1805C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491" w:type="dxa"/>
            <w:noWrap/>
          </w:tcPr>
          <w:p w14:paraId="1F8DA973">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2520" w:type="dxa"/>
            <w:noWrap/>
          </w:tcPr>
          <w:p w14:paraId="1BFBC2CB">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2520" w:type="dxa"/>
            <w:noWrap/>
          </w:tcPr>
          <w:p w14:paraId="20643D21">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805" w:type="dxa"/>
            <w:noWrap/>
          </w:tcPr>
          <w:p w14:paraId="2F33D5B1">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r>
      <w:tr w14:paraId="3DF05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491" w:type="dxa"/>
            <w:noWrap/>
          </w:tcPr>
          <w:p w14:paraId="18D913B0">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2520" w:type="dxa"/>
            <w:noWrap/>
          </w:tcPr>
          <w:p w14:paraId="58809B41">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2520" w:type="dxa"/>
            <w:noWrap/>
          </w:tcPr>
          <w:p w14:paraId="7ECE2BC0">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805" w:type="dxa"/>
            <w:noWrap/>
          </w:tcPr>
          <w:p w14:paraId="48DD364C">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r>
      <w:tr w14:paraId="1C270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5" w:hRule="atLeast"/>
          <w:jc w:val="center"/>
        </w:trPr>
        <w:tc>
          <w:tcPr>
            <w:tcW w:w="1491" w:type="dxa"/>
            <w:noWrap/>
          </w:tcPr>
          <w:p w14:paraId="2F4771F7">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2520" w:type="dxa"/>
            <w:noWrap/>
          </w:tcPr>
          <w:p w14:paraId="097A31DF">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2520" w:type="dxa"/>
            <w:noWrap/>
          </w:tcPr>
          <w:p w14:paraId="11AB68C8">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805" w:type="dxa"/>
            <w:noWrap/>
          </w:tcPr>
          <w:p w14:paraId="53E1DA00">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r>
      <w:tr w14:paraId="0218D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491" w:type="dxa"/>
            <w:noWrap/>
          </w:tcPr>
          <w:p w14:paraId="58C449C9">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2520" w:type="dxa"/>
            <w:noWrap/>
          </w:tcPr>
          <w:p w14:paraId="240A4C78">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2520" w:type="dxa"/>
            <w:noWrap/>
          </w:tcPr>
          <w:p w14:paraId="54E54DB3">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805" w:type="dxa"/>
            <w:noWrap/>
          </w:tcPr>
          <w:p w14:paraId="3A6266B5">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r>
      <w:tr w14:paraId="386F8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491" w:type="dxa"/>
            <w:noWrap/>
          </w:tcPr>
          <w:p w14:paraId="5B920076">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2520" w:type="dxa"/>
            <w:noWrap/>
          </w:tcPr>
          <w:p w14:paraId="74C5625F">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2520" w:type="dxa"/>
            <w:noWrap/>
          </w:tcPr>
          <w:p w14:paraId="2839E869">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805" w:type="dxa"/>
            <w:noWrap/>
          </w:tcPr>
          <w:p w14:paraId="065C35D1">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r>
      <w:tr w14:paraId="1DC6A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491" w:type="dxa"/>
            <w:noWrap/>
          </w:tcPr>
          <w:p w14:paraId="6A10958B">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2520" w:type="dxa"/>
            <w:noWrap/>
          </w:tcPr>
          <w:p w14:paraId="6A8F49F4">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2520" w:type="dxa"/>
            <w:noWrap/>
          </w:tcPr>
          <w:p w14:paraId="78AF5B6E">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805" w:type="dxa"/>
            <w:noWrap/>
          </w:tcPr>
          <w:p w14:paraId="3FCB8D90">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r>
      <w:tr w14:paraId="10BD7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491" w:type="dxa"/>
            <w:noWrap/>
          </w:tcPr>
          <w:p w14:paraId="6230E5C7">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2520" w:type="dxa"/>
            <w:noWrap/>
          </w:tcPr>
          <w:p w14:paraId="299F2E53">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2520" w:type="dxa"/>
            <w:noWrap/>
          </w:tcPr>
          <w:p w14:paraId="7DFED14B">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805" w:type="dxa"/>
            <w:noWrap/>
          </w:tcPr>
          <w:p w14:paraId="5CE7EF40">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r>
      <w:tr w14:paraId="17194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491" w:type="dxa"/>
            <w:noWrap/>
          </w:tcPr>
          <w:p w14:paraId="4DA12551">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2520" w:type="dxa"/>
            <w:noWrap/>
          </w:tcPr>
          <w:p w14:paraId="62FC3B40">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2520" w:type="dxa"/>
            <w:noWrap/>
          </w:tcPr>
          <w:p w14:paraId="13FA293B">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805" w:type="dxa"/>
            <w:noWrap/>
          </w:tcPr>
          <w:p w14:paraId="242C2FC9">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r>
      <w:tr w14:paraId="1D1D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491" w:type="dxa"/>
            <w:noWrap/>
          </w:tcPr>
          <w:p w14:paraId="13E04A17">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2520" w:type="dxa"/>
            <w:noWrap/>
          </w:tcPr>
          <w:p w14:paraId="1AF30A50">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2520" w:type="dxa"/>
            <w:noWrap/>
          </w:tcPr>
          <w:p w14:paraId="588A3382">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805" w:type="dxa"/>
            <w:noWrap/>
          </w:tcPr>
          <w:p w14:paraId="612558EA">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r>
      <w:tr w14:paraId="64D41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491" w:type="dxa"/>
            <w:noWrap/>
          </w:tcPr>
          <w:p w14:paraId="1BD19A48">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2520" w:type="dxa"/>
            <w:noWrap/>
          </w:tcPr>
          <w:p w14:paraId="370981A1">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2520" w:type="dxa"/>
            <w:noWrap/>
          </w:tcPr>
          <w:p w14:paraId="4AD2052E">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805" w:type="dxa"/>
            <w:noWrap/>
          </w:tcPr>
          <w:p w14:paraId="047197DF">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r>
      <w:tr w14:paraId="5FA47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491" w:type="dxa"/>
            <w:noWrap/>
          </w:tcPr>
          <w:p w14:paraId="363AED49">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2520" w:type="dxa"/>
            <w:noWrap/>
          </w:tcPr>
          <w:p w14:paraId="2D2328A3">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2520" w:type="dxa"/>
            <w:noWrap/>
          </w:tcPr>
          <w:p w14:paraId="2AEE9560">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805" w:type="dxa"/>
            <w:noWrap/>
          </w:tcPr>
          <w:p w14:paraId="0609A3E4">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r>
      <w:tr w14:paraId="474F0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491" w:type="dxa"/>
            <w:noWrap/>
          </w:tcPr>
          <w:p w14:paraId="706C4521">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2520" w:type="dxa"/>
            <w:noWrap/>
          </w:tcPr>
          <w:p w14:paraId="0098B5AB">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2520" w:type="dxa"/>
            <w:noWrap/>
          </w:tcPr>
          <w:p w14:paraId="18AD4FB5">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805" w:type="dxa"/>
            <w:noWrap/>
          </w:tcPr>
          <w:p w14:paraId="4978C668">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r>
      <w:tr w14:paraId="3FC4E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491" w:type="dxa"/>
            <w:noWrap/>
          </w:tcPr>
          <w:p w14:paraId="0BF98A51">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2520" w:type="dxa"/>
            <w:noWrap/>
          </w:tcPr>
          <w:p w14:paraId="34F5FCE7">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2520" w:type="dxa"/>
            <w:noWrap/>
          </w:tcPr>
          <w:p w14:paraId="17936CA3">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c>
          <w:tcPr>
            <w:tcW w:w="1805" w:type="dxa"/>
            <w:noWrap/>
          </w:tcPr>
          <w:p w14:paraId="7374D7DE">
            <w:pPr>
              <w:pStyle w:val="13"/>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rPr>
                <w:rFonts w:hint="eastAsia" w:ascii="仿宋_GB2312" w:hAnsi="仿宋_GB2312" w:eastAsia="仿宋_GB2312" w:cs="仿宋_GB2312"/>
                <w:sz w:val="24"/>
                <w:highlight w:val="none"/>
              </w:rPr>
            </w:pPr>
          </w:p>
        </w:tc>
      </w:tr>
    </w:tbl>
    <w:p w14:paraId="02BB9590">
      <w:pPr>
        <w:pStyle w:val="13"/>
        <w:keepNext w:val="0"/>
        <w:keepLines w:val="0"/>
        <w:pageBreakBefore w:val="0"/>
        <w:widowControl w:val="0"/>
        <w:wordWrap/>
        <w:overflowPunct/>
        <w:topLinePunct w:val="0"/>
        <w:bidi w:val="0"/>
        <w:snapToGrid w:val="0"/>
        <w:spacing w:line="240" w:lineRule="atLeast"/>
        <w:ind w:left="1080" w:leftChars="257" w:hanging="540"/>
        <w:rPr>
          <w:rFonts w:hint="eastAsia" w:ascii="仿宋_GB2312" w:hAnsi="仿宋_GB2312" w:eastAsia="仿宋_GB2312" w:cs="仿宋_GB2312"/>
          <w:sz w:val="24"/>
          <w:highlight w:val="none"/>
        </w:rPr>
      </w:pPr>
    </w:p>
    <w:p w14:paraId="2085597D">
      <w:pPr>
        <w:keepNext w:val="0"/>
        <w:keepLines w:val="0"/>
        <w:pageBreakBefore w:val="0"/>
        <w:widowControl w:val="0"/>
        <w:kinsoku/>
        <w:wordWrap/>
        <w:overflowPunct/>
        <w:topLinePunct w:val="0"/>
        <w:autoSpaceDE/>
        <w:autoSpaceDN/>
        <w:bidi w:val="0"/>
        <w:adjustRightInd/>
        <w:spacing w:line="240" w:lineRule="auto"/>
        <w:ind w:firstLine="480" w:firstLineChars="200"/>
        <w:jc w:val="left"/>
        <w:rPr>
          <w:rFonts w:ascii="宋体"/>
          <w:sz w:val="24"/>
          <w:highlight w:val="none"/>
          <w:lang w:val="zh-CN"/>
        </w:rPr>
      </w:pPr>
      <w:bookmarkStart w:id="831" w:name="_Toc28936"/>
      <w:bookmarkStart w:id="832" w:name="_Toc10725"/>
      <w:bookmarkStart w:id="833" w:name="_Toc515647823"/>
      <w:bookmarkStart w:id="834" w:name="_Toc20167"/>
      <w:bookmarkStart w:id="835" w:name="_Toc18272"/>
      <w:bookmarkStart w:id="836" w:name="_Toc18491"/>
      <w:bookmarkStart w:id="837" w:name="_Toc5437"/>
      <w:r>
        <w:rPr>
          <w:rFonts w:hint="eastAsia" w:ascii="宋体"/>
          <w:sz w:val="24"/>
          <w:highlight w:val="none"/>
          <w:lang w:val="zh-CN"/>
        </w:rPr>
        <w:t>供应商名称（公章）：</w:t>
      </w:r>
    </w:p>
    <w:p w14:paraId="0A88B4E8">
      <w:pPr>
        <w:keepNext w:val="0"/>
        <w:keepLines w:val="0"/>
        <w:pageBreakBefore w:val="0"/>
        <w:widowControl w:val="0"/>
        <w:kinsoku/>
        <w:wordWrap/>
        <w:overflowPunct/>
        <w:topLinePunct w:val="0"/>
        <w:autoSpaceDE/>
        <w:autoSpaceDN/>
        <w:bidi w:val="0"/>
        <w:adjustRightInd/>
        <w:spacing w:line="240" w:lineRule="auto"/>
        <w:ind w:firstLine="480" w:firstLineChars="200"/>
        <w:jc w:val="left"/>
        <w:rPr>
          <w:rFonts w:ascii="宋体"/>
          <w:sz w:val="24"/>
          <w:highlight w:val="none"/>
          <w:u w:val="single"/>
          <w:lang w:val="zh-CN"/>
        </w:rPr>
      </w:pPr>
      <w:r>
        <w:rPr>
          <w:rFonts w:hint="eastAsia" w:ascii="宋体"/>
          <w:sz w:val="24"/>
          <w:highlight w:val="none"/>
          <w:lang w:val="zh-CN"/>
        </w:rPr>
        <w:t>法定代表人或其授权代表（签字或盖章）：</w:t>
      </w:r>
    </w:p>
    <w:p w14:paraId="6B56F142">
      <w:pPr>
        <w:keepNext w:val="0"/>
        <w:keepLines w:val="0"/>
        <w:pageBreakBefore w:val="0"/>
        <w:widowControl w:val="0"/>
        <w:kinsoku/>
        <w:wordWrap/>
        <w:overflowPunct/>
        <w:topLinePunct w:val="0"/>
        <w:autoSpaceDE/>
        <w:autoSpaceDN/>
        <w:bidi w:val="0"/>
        <w:adjustRightInd/>
        <w:spacing w:line="240" w:lineRule="auto"/>
        <w:ind w:firstLine="480" w:firstLineChars="200"/>
        <w:jc w:val="left"/>
        <w:rPr>
          <w:highlight w:val="none"/>
        </w:rPr>
      </w:pPr>
      <w:r>
        <w:rPr>
          <w:rFonts w:hint="eastAsia" w:ascii="宋体"/>
          <w:sz w:val="24"/>
          <w:highlight w:val="none"/>
          <w:lang w:val="zh-CN"/>
        </w:rPr>
        <w:t>日期：</w:t>
      </w:r>
      <w:r>
        <w:rPr>
          <w:rFonts w:hint="eastAsia" w:ascii="宋体"/>
          <w:sz w:val="24"/>
          <w:highlight w:val="none"/>
          <w:lang w:val="en-US" w:eastAsia="zh-CN"/>
        </w:rPr>
        <w:t xml:space="preserve">     </w:t>
      </w:r>
      <w:r>
        <w:rPr>
          <w:rFonts w:hint="eastAsia" w:ascii="宋体"/>
          <w:sz w:val="24"/>
          <w:highlight w:val="none"/>
          <w:lang w:val="zh-CN"/>
        </w:rPr>
        <w:t>年</w:t>
      </w:r>
      <w:r>
        <w:rPr>
          <w:rFonts w:hint="eastAsia" w:ascii="宋体"/>
          <w:sz w:val="24"/>
          <w:highlight w:val="none"/>
          <w:lang w:val="en-US" w:eastAsia="zh-CN"/>
        </w:rPr>
        <w:t xml:space="preserve">   </w:t>
      </w:r>
      <w:r>
        <w:rPr>
          <w:rFonts w:hint="eastAsia" w:ascii="宋体"/>
          <w:sz w:val="24"/>
          <w:highlight w:val="none"/>
          <w:lang w:val="zh-CN"/>
        </w:rPr>
        <w:t>月</w:t>
      </w:r>
      <w:r>
        <w:rPr>
          <w:rFonts w:hint="eastAsia" w:ascii="宋体"/>
          <w:sz w:val="24"/>
          <w:highlight w:val="none"/>
          <w:lang w:val="en-US" w:eastAsia="zh-CN"/>
        </w:rPr>
        <w:t xml:space="preserve">  </w:t>
      </w:r>
      <w:r>
        <w:rPr>
          <w:rFonts w:hint="eastAsia" w:ascii="宋体"/>
          <w:sz w:val="24"/>
          <w:highlight w:val="none"/>
          <w:lang w:val="zh-CN"/>
        </w:rPr>
        <w:t>日</w:t>
      </w:r>
    </w:p>
    <w:p w14:paraId="1A4C56E1">
      <w:pPr>
        <w:pStyle w:val="4"/>
        <w:keepNext w:val="0"/>
        <w:keepLines w:val="0"/>
        <w:pageBreakBefore w:val="0"/>
        <w:widowControl w:val="0"/>
        <w:wordWrap/>
        <w:overflowPunct/>
        <w:topLinePunct w:val="0"/>
        <w:bidi w:val="0"/>
        <w:spacing w:before="0" w:after="0" w:line="288" w:lineRule="auto"/>
        <w:ind w:left="1079" w:leftChars="257" w:hanging="539"/>
        <w:jc w:val="center"/>
        <w:rPr>
          <w:rFonts w:hint="eastAsia" w:ascii="仿宋_GB2312" w:hAnsi="仿宋_GB2312" w:eastAsia="仿宋_GB2312" w:cs="仿宋_GB2312"/>
          <w:highlight w:val="none"/>
          <w:u w:val="none"/>
        </w:rPr>
      </w:pPr>
    </w:p>
    <w:p w14:paraId="54B20E9C">
      <w:pPr>
        <w:pStyle w:val="4"/>
        <w:keepNext w:val="0"/>
        <w:keepLines w:val="0"/>
        <w:pageBreakBefore w:val="0"/>
        <w:widowControl w:val="0"/>
        <w:wordWrap/>
        <w:overflowPunct/>
        <w:topLinePunct w:val="0"/>
        <w:bidi w:val="0"/>
        <w:spacing w:before="0" w:after="0" w:line="288" w:lineRule="auto"/>
        <w:ind w:left="1079" w:leftChars="257" w:hanging="539"/>
        <w:jc w:val="center"/>
        <w:rPr>
          <w:rFonts w:hint="eastAsia" w:ascii="仿宋_GB2312" w:hAnsi="仿宋_GB2312" w:eastAsia="仿宋_GB2312" w:cs="仿宋_GB2312"/>
          <w:highlight w:val="none"/>
          <w:u w:val="none"/>
        </w:rPr>
      </w:pPr>
    </w:p>
    <w:p w14:paraId="63F271DB">
      <w:pPr>
        <w:pStyle w:val="4"/>
        <w:keepNext w:val="0"/>
        <w:keepLines w:val="0"/>
        <w:pageBreakBefore w:val="0"/>
        <w:widowControl w:val="0"/>
        <w:wordWrap/>
        <w:overflowPunct/>
        <w:topLinePunct w:val="0"/>
        <w:bidi w:val="0"/>
        <w:spacing w:before="0" w:after="0" w:line="288" w:lineRule="auto"/>
        <w:ind w:left="1079" w:leftChars="257" w:hanging="539"/>
        <w:jc w:val="center"/>
        <w:rPr>
          <w:rFonts w:hint="eastAsia" w:ascii="仿宋_GB2312" w:hAnsi="仿宋_GB2312" w:eastAsia="仿宋_GB2312" w:cs="仿宋_GB2312"/>
          <w:highlight w:val="none"/>
          <w:u w:val="none"/>
        </w:rPr>
      </w:pPr>
      <w:r>
        <w:rPr>
          <w:rFonts w:hint="eastAsia" w:ascii="仿宋_GB2312" w:hAnsi="仿宋_GB2312" w:eastAsia="仿宋_GB2312" w:cs="仿宋_GB2312"/>
          <w:highlight w:val="none"/>
          <w:u w:val="none"/>
        </w:rPr>
        <w:t>6-1</w:t>
      </w:r>
      <w:bookmarkEnd w:id="831"/>
      <w:bookmarkEnd w:id="832"/>
      <w:bookmarkEnd w:id="833"/>
      <w:bookmarkStart w:id="838" w:name="_Toc29288"/>
      <w:bookmarkStart w:id="839" w:name="_Toc11803"/>
      <w:bookmarkStart w:id="840" w:name="_Toc515647824"/>
      <w:bookmarkStart w:id="841" w:name="_Toc10977"/>
      <w:r>
        <w:rPr>
          <w:rFonts w:hint="eastAsia" w:ascii="仿宋_GB2312" w:hAnsi="仿宋_GB2312" w:eastAsia="仿宋_GB2312" w:cs="仿宋_GB2312"/>
          <w:highlight w:val="none"/>
          <w:u w:val="none"/>
        </w:rPr>
        <w:t>中小企业声明函（货物）</w:t>
      </w:r>
      <w:bookmarkEnd w:id="834"/>
      <w:bookmarkEnd w:id="835"/>
      <w:bookmarkEnd w:id="836"/>
      <w:bookmarkEnd w:id="838"/>
    </w:p>
    <w:p w14:paraId="64D4E3D5">
      <w:pPr>
        <w:keepNext w:val="0"/>
        <w:keepLines w:val="0"/>
        <w:pageBreakBefore w:val="0"/>
        <w:widowControl w:val="0"/>
        <w:shd w:val="clear" w:color="auto" w:fill="FFFFFF"/>
        <w:wordWrap/>
        <w:overflowPunct/>
        <w:topLinePunct w:val="0"/>
        <w:bidi w:val="0"/>
        <w:spacing w:before="100" w:beforeAutospacing="1" w:after="100" w:afterAutospacing="1"/>
        <w:ind w:firstLine="480"/>
        <w:jc w:val="left"/>
        <w:textAlignment w:val="auto"/>
        <w:rPr>
          <w:rFonts w:hint="eastAsia" w:ascii="仿宋" w:hAnsi="仿宋" w:eastAsia="仿宋" w:cs="仿宋"/>
          <w:color w:val="333333"/>
          <w:sz w:val="24"/>
          <w:highlight w:val="none"/>
        </w:rPr>
      </w:pPr>
      <w:r>
        <w:rPr>
          <w:rFonts w:hint="eastAsia" w:ascii="仿宋" w:hAnsi="仿宋" w:eastAsia="仿宋" w:cs="仿宋"/>
          <w:color w:val="333333"/>
          <w:kern w:val="0"/>
          <w:sz w:val="24"/>
          <w:highlight w:val="none"/>
          <w:shd w:val="clear" w:color="auto" w:fill="FFFFFF"/>
        </w:rPr>
        <w:t>本公司（联合体）郑重声明，根据《政府采购促进中小企业发展管理办法》（财库﹝2020﹞46 号）的规定，本公司（联合体）参加</w:t>
      </w:r>
      <w:r>
        <w:rPr>
          <w:rFonts w:hint="eastAsia" w:ascii="仿宋" w:hAnsi="仿宋" w:eastAsia="仿宋" w:cs="仿宋"/>
          <w:color w:val="333333"/>
          <w:kern w:val="0"/>
          <w:sz w:val="24"/>
          <w:highlight w:val="none"/>
          <w:u w:val="single"/>
          <w:shd w:val="clear" w:color="auto" w:fill="FFFFFF"/>
        </w:rPr>
        <w:t>     （单位名称）</w:t>
      </w:r>
      <w:r>
        <w:rPr>
          <w:rFonts w:hint="eastAsia" w:ascii="仿宋" w:hAnsi="仿宋" w:eastAsia="仿宋" w:cs="仿宋"/>
          <w:color w:val="333333"/>
          <w:kern w:val="0"/>
          <w:sz w:val="24"/>
          <w:highlight w:val="none"/>
          <w:shd w:val="clear" w:color="auto" w:fill="FFFFFF"/>
        </w:rPr>
        <w:t>的</w:t>
      </w:r>
      <w:r>
        <w:rPr>
          <w:rFonts w:hint="eastAsia" w:ascii="仿宋" w:hAnsi="仿宋" w:eastAsia="仿宋" w:cs="仿宋"/>
          <w:color w:val="333333"/>
          <w:kern w:val="0"/>
          <w:sz w:val="24"/>
          <w:highlight w:val="none"/>
          <w:u w:val="single"/>
          <w:shd w:val="clear" w:color="auto" w:fill="FFFFFF"/>
        </w:rPr>
        <w:t>    （项目名称）</w:t>
      </w:r>
      <w:r>
        <w:rPr>
          <w:rFonts w:hint="eastAsia" w:ascii="仿宋" w:hAnsi="仿宋" w:eastAsia="仿宋" w:cs="仿宋"/>
          <w:color w:val="333333"/>
          <w:kern w:val="0"/>
          <w:sz w:val="24"/>
          <w:highlight w:val="none"/>
          <w:shd w:val="clear" w:color="auto" w:fill="FFFFFF"/>
        </w:rPr>
        <w:t>采购活动，提供的货物全部由符合政策要求的中小企业制造。相关企业（含联合体中的中小企业、签订分包意向协议的中小企业）的具体情况如下：</w:t>
      </w:r>
    </w:p>
    <w:p w14:paraId="47C8AC0B">
      <w:pPr>
        <w:keepNext w:val="0"/>
        <w:keepLines w:val="0"/>
        <w:pageBreakBefore w:val="0"/>
        <w:widowControl w:val="0"/>
        <w:shd w:val="clear" w:color="auto" w:fill="FFFFFF"/>
        <w:wordWrap/>
        <w:overflowPunct/>
        <w:topLinePunct w:val="0"/>
        <w:bidi w:val="0"/>
        <w:spacing w:before="100" w:beforeAutospacing="1" w:after="100" w:afterAutospacing="1"/>
        <w:ind w:firstLine="480"/>
        <w:jc w:val="left"/>
        <w:textAlignment w:val="auto"/>
        <w:rPr>
          <w:rFonts w:hint="eastAsia" w:ascii="仿宋" w:hAnsi="仿宋" w:eastAsia="仿宋" w:cs="仿宋"/>
          <w:color w:val="333333"/>
          <w:sz w:val="24"/>
          <w:highlight w:val="none"/>
        </w:rPr>
      </w:pPr>
      <w:r>
        <w:rPr>
          <w:rFonts w:hint="eastAsia" w:ascii="仿宋" w:hAnsi="仿宋" w:eastAsia="仿宋" w:cs="仿宋"/>
          <w:color w:val="333333"/>
          <w:kern w:val="0"/>
          <w:sz w:val="24"/>
          <w:highlight w:val="none"/>
          <w:shd w:val="clear" w:color="auto" w:fill="FFFFFF"/>
        </w:rPr>
        <w:t>1.</w:t>
      </w:r>
      <w:r>
        <w:rPr>
          <w:rFonts w:hint="eastAsia" w:ascii="仿宋" w:hAnsi="仿宋" w:eastAsia="仿宋" w:cs="仿宋"/>
          <w:color w:val="333333"/>
          <w:kern w:val="0"/>
          <w:sz w:val="24"/>
          <w:highlight w:val="none"/>
          <w:u w:val="single"/>
          <w:shd w:val="clear" w:color="auto" w:fill="FFFFFF"/>
        </w:rPr>
        <w:t>     （标的名称）</w:t>
      </w:r>
      <w:r>
        <w:rPr>
          <w:rFonts w:hint="eastAsia" w:ascii="仿宋" w:hAnsi="仿宋" w:eastAsia="仿宋" w:cs="仿宋"/>
          <w:color w:val="333333"/>
          <w:kern w:val="0"/>
          <w:sz w:val="24"/>
          <w:highlight w:val="none"/>
          <w:shd w:val="clear" w:color="auto" w:fill="FFFFFF"/>
        </w:rPr>
        <w:t>，属于</w:t>
      </w:r>
      <w:r>
        <w:rPr>
          <w:rFonts w:hint="eastAsia" w:ascii="仿宋" w:hAnsi="仿宋" w:eastAsia="仿宋" w:cs="仿宋"/>
          <w:color w:val="333333"/>
          <w:kern w:val="0"/>
          <w:sz w:val="24"/>
          <w:highlight w:val="none"/>
          <w:u w:val="single"/>
          <w:shd w:val="clear" w:color="auto" w:fill="FFFFFF"/>
        </w:rPr>
        <w:t>     （采购文件中明确的所属行业）</w:t>
      </w:r>
      <w:r>
        <w:rPr>
          <w:rFonts w:hint="eastAsia" w:ascii="仿宋" w:hAnsi="仿宋" w:eastAsia="仿宋" w:cs="仿宋"/>
          <w:color w:val="333333"/>
          <w:kern w:val="0"/>
          <w:sz w:val="24"/>
          <w:highlight w:val="none"/>
          <w:shd w:val="clear" w:color="auto" w:fill="FFFFFF"/>
        </w:rPr>
        <w:t>行业；制造商为</w:t>
      </w:r>
      <w:r>
        <w:rPr>
          <w:rFonts w:hint="eastAsia" w:ascii="仿宋" w:hAnsi="仿宋" w:eastAsia="仿宋" w:cs="仿宋"/>
          <w:color w:val="333333"/>
          <w:kern w:val="0"/>
          <w:sz w:val="24"/>
          <w:highlight w:val="none"/>
          <w:u w:val="single"/>
          <w:shd w:val="clear" w:color="auto" w:fill="FFFFFF"/>
        </w:rPr>
        <w:t>       （企业名称）</w:t>
      </w:r>
      <w:r>
        <w:rPr>
          <w:rFonts w:hint="eastAsia" w:ascii="仿宋" w:hAnsi="仿宋" w:eastAsia="仿宋" w:cs="仿宋"/>
          <w:color w:val="333333"/>
          <w:kern w:val="0"/>
          <w:sz w:val="24"/>
          <w:highlight w:val="none"/>
          <w:shd w:val="clear" w:color="auto" w:fill="FFFFFF"/>
        </w:rPr>
        <w:t>，从业人员</w:t>
      </w:r>
      <w:r>
        <w:rPr>
          <w:rFonts w:hint="eastAsia" w:ascii="仿宋" w:hAnsi="仿宋" w:eastAsia="仿宋" w:cs="仿宋"/>
          <w:color w:val="333333"/>
          <w:kern w:val="0"/>
          <w:sz w:val="24"/>
          <w:highlight w:val="none"/>
          <w:u w:val="single"/>
          <w:shd w:val="clear" w:color="auto" w:fill="FFFFFF"/>
        </w:rPr>
        <w:t>    </w:t>
      </w:r>
      <w:r>
        <w:rPr>
          <w:rFonts w:hint="eastAsia" w:ascii="仿宋" w:hAnsi="仿宋" w:eastAsia="仿宋" w:cs="仿宋"/>
          <w:color w:val="333333"/>
          <w:kern w:val="0"/>
          <w:sz w:val="24"/>
          <w:highlight w:val="none"/>
          <w:shd w:val="clear" w:color="auto" w:fill="FFFFFF"/>
        </w:rPr>
        <w:t>人，营业收入为</w:t>
      </w:r>
      <w:r>
        <w:rPr>
          <w:rFonts w:hint="eastAsia" w:ascii="仿宋" w:hAnsi="仿宋" w:eastAsia="仿宋" w:cs="仿宋"/>
          <w:color w:val="333333"/>
          <w:kern w:val="0"/>
          <w:sz w:val="24"/>
          <w:highlight w:val="none"/>
          <w:u w:val="single"/>
          <w:shd w:val="clear" w:color="auto" w:fill="FFFFFF"/>
        </w:rPr>
        <w:t>    </w:t>
      </w:r>
      <w:r>
        <w:rPr>
          <w:rFonts w:hint="eastAsia" w:ascii="仿宋" w:hAnsi="仿宋" w:eastAsia="仿宋" w:cs="仿宋"/>
          <w:color w:val="333333"/>
          <w:kern w:val="0"/>
          <w:sz w:val="24"/>
          <w:highlight w:val="none"/>
          <w:shd w:val="clear" w:color="auto" w:fill="FFFFFF"/>
        </w:rPr>
        <w:t>万元，资产总额为</w:t>
      </w:r>
      <w:r>
        <w:rPr>
          <w:rFonts w:hint="eastAsia" w:ascii="仿宋" w:hAnsi="仿宋" w:eastAsia="仿宋" w:cs="仿宋"/>
          <w:color w:val="333333"/>
          <w:kern w:val="0"/>
          <w:sz w:val="24"/>
          <w:highlight w:val="none"/>
          <w:u w:val="single"/>
          <w:shd w:val="clear" w:color="auto" w:fill="FFFFFF"/>
        </w:rPr>
        <w:t>   </w:t>
      </w:r>
      <w:r>
        <w:rPr>
          <w:rFonts w:hint="eastAsia" w:ascii="仿宋" w:hAnsi="仿宋" w:eastAsia="仿宋" w:cs="仿宋"/>
          <w:color w:val="333333"/>
          <w:kern w:val="0"/>
          <w:sz w:val="24"/>
          <w:highlight w:val="none"/>
          <w:shd w:val="clear" w:color="auto" w:fill="FFFFFF"/>
        </w:rPr>
        <w:t>万元</w:t>
      </w:r>
      <w:r>
        <w:rPr>
          <w:rFonts w:hint="eastAsia" w:ascii="仿宋" w:hAnsi="仿宋" w:eastAsia="仿宋" w:cs="仿宋"/>
          <w:color w:val="333333"/>
          <w:kern w:val="0"/>
          <w:sz w:val="24"/>
          <w:highlight w:val="none"/>
          <w:shd w:val="clear" w:color="auto" w:fill="FFFFFF"/>
          <w:vertAlign w:val="superscript"/>
        </w:rPr>
        <w:t>1</w:t>
      </w:r>
      <w:r>
        <w:rPr>
          <w:rFonts w:hint="eastAsia" w:ascii="仿宋" w:hAnsi="仿宋" w:eastAsia="仿宋" w:cs="仿宋"/>
          <w:color w:val="333333"/>
          <w:kern w:val="0"/>
          <w:sz w:val="24"/>
          <w:highlight w:val="none"/>
          <w:shd w:val="clear" w:color="auto" w:fill="FFFFFF"/>
        </w:rPr>
        <w:t>，属于</w:t>
      </w:r>
      <w:r>
        <w:rPr>
          <w:rFonts w:hint="eastAsia" w:ascii="仿宋" w:hAnsi="仿宋" w:eastAsia="仿宋" w:cs="仿宋"/>
          <w:color w:val="333333"/>
          <w:kern w:val="0"/>
          <w:sz w:val="24"/>
          <w:highlight w:val="none"/>
          <w:u w:val="single"/>
          <w:shd w:val="clear" w:color="auto" w:fill="FFFFFF"/>
        </w:rPr>
        <w:t>     （中型企业、小型企业、微型企业）</w:t>
      </w:r>
      <w:r>
        <w:rPr>
          <w:rFonts w:hint="eastAsia" w:ascii="仿宋" w:hAnsi="仿宋" w:eastAsia="仿宋" w:cs="仿宋"/>
          <w:color w:val="333333"/>
          <w:kern w:val="0"/>
          <w:sz w:val="24"/>
          <w:highlight w:val="none"/>
          <w:shd w:val="clear" w:color="auto" w:fill="FFFFFF"/>
        </w:rPr>
        <w:t>；</w:t>
      </w:r>
    </w:p>
    <w:p w14:paraId="644BFE5F">
      <w:pPr>
        <w:keepNext w:val="0"/>
        <w:keepLines w:val="0"/>
        <w:pageBreakBefore w:val="0"/>
        <w:widowControl w:val="0"/>
        <w:shd w:val="clear" w:color="auto" w:fill="FFFFFF"/>
        <w:wordWrap/>
        <w:overflowPunct/>
        <w:topLinePunct w:val="0"/>
        <w:bidi w:val="0"/>
        <w:spacing w:before="100" w:beforeAutospacing="1" w:after="100" w:afterAutospacing="1"/>
        <w:ind w:firstLine="480"/>
        <w:jc w:val="left"/>
        <w:textAlignment w:val="auto"/>
        <w:rPr>
          <w:rFonts w:hint="eastAsia" w:ascii="仿宋" w:hAnsi="仿宋" w:eastAsia="仿宋" w:cs="仿宋"/>
          <w:color w:val="333333"/>
          <w:sz w:val="24"/>
          <w:highlight w:val="none"/>
        </w:rPr>
      </w:pPr>
      <w:r>
        <w:rPr>
          <w:rFonts w:hint="eastAsia" w:ascii="仿宋" w:hAnsi="仿宋" w:eastAsia="仿宋" w:cs="仿宋"/>
          <w:color w:val="333333"/>
          <w:kern w:val="0"/>
          <w:sz w:val="24"/>
          <w:highlight w:val="none"/>
          <w:shd w:val="clear" w:color="auto" w:fill="FFFFFF"/>
        </w:rPr>
        <w:t>2.</w:t>
      </w:r>
      <w:r>
        <w:rPr>
          <w:rFonts w:hint="eastAsia" w:ascii="仿宋" w:hAnsi="仿宋" w:eastAsia="仿宋" w:cs="仿宋"/>
          <w:color w:val="333333"/>
          <w:kern w:val="0"/>
          <w:sz w:val="24"/>
          <w:highlight w:val="none"/>
          <w:u w:val="single"/>
          <w:shd w:val="clear" w:color="auto" w:fill="FFFFFF"/>
        </w:rPr>
        <w:t>     （标的名称）</w:t>
      </w:r>
      <w:r>
        <w:rPr>
          <w:rFonts w:hint="eastAsia" w:ascii="仿宋" w:hAnsi="仿宋" w:eastAsia="仿宋" w:cs="仿宋"/>
          <w:color w:val="333333"/>
          <w:kern w:val="0"/>
          <w:sz w:val="24"/>
          <w:highlight w:val="none"/>
          <w:shd w:val="clear" w:color="auto" w:fill="FFFFFF"/>
        </w:rPr>
        <w:t>，属于</w:t>
      </w:r>
      <w:r>
        <w:rPr>
          <w:rFonts w:hint="eastAsia" w:ascii="仿宋" w:hAnsi="仿宋" w:eastAsia="仿宋" w:cs="仿宋"/>
          <w:color w:val="333333"/>
          <w:kern w:val="0"/>
          <w:sz w:val="24"/>
          <w:highlight w:val="none"/>
          <w:u w:val="single"/>
          <w:shd w:val="clear" w:color="auto" w:fill="FFFFFF"/>
        </w:rPr>
        <w:t>     （采购文件中明确的所属行业）</w:t>
      </w:r>
      <w:r>
        <w:rPr>
          <w:rFonts w:hint="eastAsia" w:ascii="仿宋" w:hAnsi="仿宋" w:eastAsia="仿宋" w:cs="仿宋"/>
          <w:color w:val="333333"/>
          <w:kern w:val="0"/>
          <w:sz w:val="24"/>
          <w:highlight w:val="none"/>
          <w:shd w:val="clear" w:color="auto" w:fill="FFFFFF"/>
        </w:rPr>
        <w:t>行业；制造商为</w:t>
      </w:r>
      <w:r>
        <w:rPr>
          <w:rFonts w:hint="eastAsia" w:ascii="仿宋" w:hAnsi="仿宋" w:eastAsia="仿宋" w:cs="仿宋"/>
          <w:color w:val="333333"/>
          <w:kern w:val="0"/>
          <w:sz w:val="24"/>
          <w:highlight w:val="none"/>
          <w:u w:val="single"/>
          <w:shd w:val="clear" w:color="auto" w:fill="FFFFFF"/>
        </w:rPr>
        <w:t>       （企业名称）</w:t>
      </w:r>
      <w:r>
        <w:rPr>
          <w:rFonts w:hint="eastAsia" w:ascii="仿宋" w:hAnsi="仿宋" w:eastAsia="仿宋" w:cs="仿宋"/>
          <w:color w:val="333333"/>
          <w:kern w:val="0"/>
          <w:sz w:val="24"/>
          <w:highlight w:val="none"/>
          <w:shd w:val="clear" w:color="auto" w:fill="FFFFFF"/>
        </w:rPr>
        <w:t>，从业人员</w:t>
      </w:r>
      <w:r>
        <w:rPr>
          <w:rFonts w:hint="eastAsia" w:ascii="仿宋" w:hAnsi="仿宋" w:eastAsia="仿宋" w:cs="仿宋"/>
          <w:color w:val="333333"/>
          <w:kern w:val="0"/>
          <w:sz w:val="24"/>
          <w:highlight w:val="none"/>
          <w:u w:val="single"/>
          <w:shd w:val="clear" w:color="auto" w:fill="FFFFFF"/>
        </w:rPr>
        <w:t>    </w:t>
      </w:r>
      <w:r>
        <w:rPr>
          <w:rFonts w:hint="eastAsia" w:ascii="仿宋" w:hAnsi="仿宋" w:eastAsia="仿宋" w:cs="仿宋"/>
          <w:color w:val="333333"/>
          <w:kern w:val="0"/>
          <w:sz w:val="24"/>
          <w:highlight w:val="none"/>
          <w:shd w:val="clear" w:color="auto" w:fill="FFFFFF"/>
        </w:rPr>
        <w:t>人，营业收入为</w:t>
      </w:r>
      <w:r>
        <w:rPr>
          <w:rFonts w:hint="eastAsia" w:ascii="仿宋" w:hAnsi="仿宋" w:eastAsia="仿宋" w:cs="仿宋"/>
          <w:color w:val="333333"/>
          <w:kern w:val="0"/>
          <w:sz w:val="24"/>
          <w:highlight w:val="none"/>
          <w:u w:val="single"/>
          <w:shd w:val="clear" w:color="auto" w:fill="FFFFFF"/>
        </w:rPr>
        <w:t>    </w:t>
      </w:r>
      <w:r>
        <w:rPr>
          <w:rFonts w:hint="eastAsia" w:ascii="仿宋" w:hAnsi="仿宋" w:eastAsia="仿宋" w:cs="仿宋"/>
          <w:color w:val="333333"/>
          <w:kern w:val="0"/>
          <w:sz w:val="24"/>
          <w:highlight w:val="none"/>
          <w:shd w:val="clear" w:color="auto" w:fill="FFFFFF"/>
        </w:rPr>
        <w:t>万元，资产总额为</w:t>
      </w:r>
      <w:r>
        <w:rPr>
          <w:rFonts w:hint="eastAsia" w:ascii="仿宋" w:hAnsi="仿宋" w:eastAsia="仿宋" w:cs="仿宋"/>
          <w:color w:val="333333"/>
          <w:kern w:val="0"/>
          <w:sz w:val="24"/>
          <w:highlight w:val="none"/>
          <w:u w:val="single"/>
          <w:shd w:val="clear" w:color="auto" w:fill="FFFFFF"/>
        </w:rPr>
        <w:t>   </w:t>
      </w:r>
      <w:r>
        <w:rPr>
          <w:rFonts w:hint="eastAsia" w:ascii="仿宋" w:hAnsi="仿宋" w:eastAsia="仿宋" w:cs="仿宋"/>
          <w:color w:val="333333"/>
          <w:kern w:val="0"/>
          <w:sz w:val="24"/>
          <w:highlight w:val="none"/>
          <w:shd w:val="clear" w:color="auto" w:fill="FFFFFF"/>
        </w:rPr>
        <w:t>万元</w:t>
      </w:r>
      <w:r>
        <w:rPr>
          <w:rFonts w:hint="eastAsia" w:ascii="仿宋" w:hAnsi="仿宋" w:eastAsia="仿宋" w:cs="仿宋"/>
          <w:color w:val="333333"/>
          <w:kern w:val="0"/>
          <w:sz w:val="24"/>
          <w:highlight w:val="none"/>
          <w:shd w:val="clear" w:color="auto" w:fill="FFFFFF"/>
          <w:vertAlign w:val="superscript"/>
        </w:rPr>
        <w:t>1</w:t>
      </w:r>
      <w:r>
        <w:rPr>
          <w:rFonts w:hint="eastAsia" w:ascii="仿宋" w:hAnsi="仿宋" w:eastAsia="仿宋" w:cs="仿宋"/>
          <w:color w:val="333333"/>
          <w:kern w:val="0"/>
          <w:sz w:val="24"/>
          <w:highlight w:val="none"/>
          <w:shd w:val="clear" w:color="auto" w:fill="FFFFFF"/>
        </w:rPr>
        <w:t>，属于</w:t>
      </w:r>
      <w:r>
        <w:rPr>
          <w:rFonts w:hint="eastAsia" w:ascii="仿宋" w:hAnsi="仿宋" w:eastAsia="仿宋" w:cs="仿宋"/>
          <w:color w:val="333333"/>
          <w:kern w:val="0"/>
          <w:sz w:val="24"/>
          <w:highlight w:val="none"/>
          <w:u w:val="single"/>
          <w:shd w:val="clear" w:color="auto" w:fill="FFFFFF"/>
        </w:rPr>
        <w:t>     （中型企业、小型企业、微型企业）</w:t>
      </w:r>
      <w:r>
        <w:rPr>
          <w:rFonts w:hint="eastAsia" w:ascii="仿宋" w:hAnsi="仿宋" w:eastAsia="仿宋" w:cs="仿宋"/>
          <w:color w:val="333333"/>
          <w:kern w:val="0"/>
          <w:sz w:val="24"/>
          <w:highlight w:val="none"/>
          <w:shd w:val="clear" w:color="auto" w:fill="FFFFFF"/>
        </w:rPr>
        <w:t>；</w:t>
      </w:r>
    </w:p>
    <w:p w14:paraId="3C64FE9B">
      <w:pPr>
        <w:keepNext w:val="0"/>
        <w:keepLines w:val="0"/>
        <w:pageBreakBefore w:val="0"/>
        <w:widowControl w:val="0"/>
        <w:shd w:val="clear" w:color="auto" w:fill="FFFFFF"/>
        <w:wordWrap/>
        <w:overflowPunct/>
        <w:topLinePunct w:val="0"/>
        <w:bidi w:val="0"/>
        <w:spacing w:before="100" w:beforeAutospacing="1" w:after="100" w:afterAutospacing="1"/>
        <w:ind w:firstLine="480"/>
        <w:jc w:val="left"/>
        <w:textAlignment w:val="auto"/>
        <w:rPr>
          <w:rFonts w:hint="eastAsia" w:ascii="仿宋" w:hAnsi="仿宋" w:eastAsia="仿宋" w:cs="仿宋"/>
          <w:color w:val="333333"/>
          <w:sz w:val="24"/>
          <w:highlight w:val="none"/>
        </w:rPr>
      </w:pPr>
      <w:r>
        <w:rPr>
          <w:rFonts w:hint="eastAsia" w:ascii="仿宋" w:hAnsi="仿宋" w:eastAsia="仿宋" w:cs="仿宋"/>
          <w:color w:val="333333"/>
          <w:kern w:val="0"/>
          <w:sz w:val="24"/>
          <w:highlight w:val="none"/>
          <w:shd w:val="clear" w:color="auto" w:fill="FFFFFF"/>
        </w:rPr>
        <w:t>……</w:t>
      </w:r>
    </w:p>
    <w:p w14:paraId="08D07E8E">
      <w:pPr>
        <w:keepNext w:val="0"/>
        <w:keepLines w:val="0"/>
        <w:pageBreakBefore w:val="0"/>
        <w:widowControl w:val="0"/>
        <w:shd w:val="clear" w:color="auto" w:fill="FFFFFF"/>
        <w:wordWrap/>
        <w:overflowPunct/>
        <w:topLinePunct w:val="0"/>
        <w:bidi w:val="0"/>
        <w:spacing w:before="100" w:beforeAutospacing="1" w:after="100" w:afterAutospacing="1"/>
        <w:ind w:firstLine="480"/>
        <w:jc w:val="left"/>
        <w:textAlignment w:val="auto"/>
        <w:rPr>
          <w:rFonts w:hint="eastAsia" w:ascii="仿宋" w:hAnsi="仿宋" w:eastAsia="仿宋" w:cs="仿宋"/>
          <w:color w:val="333333"/>
          <w:sz w:val="24"/>
          <w:highlight w:val="none"/>
        </w:rPr>
      </w:pPr>
      <w:r>
        <w:rPr>
          <w:rFonts w:hint="eastAsia" w:ascii="仿宋" w:hAnsi="仿宋" w:eastAsia="仿宋" w:cs="仿宋"/>
          <w:color w:val="333333"/>
          <w:kern w:val="0"/>
          <w:sz w:val="24"/>
          <w:highlight w:val="none"/>
          <w:shd w:val="clear" w:color="auto" w:fill="FFFFFF"/>
        </w:rPr>
        <w:t>以上企业，不属于大企业的分支机构，不存在控股股东为大企业的情形，也不存在与大企业的负责人为同一人的情形。</w:t>
      </w:r>
    </w:p>
    <w:p w14:paraId="775F4990">
      <w:pPr>
        <w:keepNext w:val="0"/>
        <w:keepLines w:val="0"/>
        <w:pageBreakBefore w:val="0"/>
        <w:widowControl w:val="0"/>
        <w:shd w:val="clear" w:color="auto" w:fill="FFFFFF"/>
        <w:wordWrap/>
        <w:overflowPunct/>
        <w:topLinePunct w:val="0"/>
        <w:bidi w:val="0"/>
        <w:spacing w:before="100" w:beforeAutospacing="1" w:after="100" w:afterAutospacing="1"/>
        <w:ind w:firstLine="480"/>
        <w:jc w:val="left"/>
        <w:textAlignment w:val="auto"/>
        <w:rPr>
          <w:rFonts w:hint="eastAsia" w:ascii="仿宋" w:hAnsi="仿宋" w:eastAsia="仿宋" w:cs="仿宋"/>
          <w:color w:val="333333"/>
          <w:sz w:val="24"/>
          <w:highlight w:val="none"/>
        </w:rPr>
      </w:pPr>
      <w:r>
        <w:rPr>
          <w:rFonts w:hint="eastAsia" w:ascii="仿宋" w:hAnsi="仿宋" w:eastAsia="仿宋" w:cs="仿宋"/>
          <w:color w:val="333333"/>
          <w:kern w:val="0"/>
          <w:sz w:val="24"/>
          <w:highlight w:val="none"/>
          <w:shd w:val="clear" w:color="auto" w:fill="FFFFFF"/>
        </w:rPr>
        <w:t>本企业对上述声明内容的真实性负责。如有虚假，将依法承担相应责任。</w:t>
      </w:r>
    </w:p>
    <w:p w14:paraId="5884E876">
      <w:pPr>
        <w:keepNext w:val="0"/>
        <w:keepLines w:val="0"/>
        <w:pageBreakBefore w:val="0"/>
        <w:widowControl w:val="0"/>
        <w:shd w:val="clear" w:color="auto" w:fill="FFFFFF"/>
        <w:wordWrap/>
        <w:overflowPunct/>
        <w:topLinePunct w:val="0"/>
        <w:bidi w:val="0"/>
        <w:spacing w:before="100" w:beforeAutospacing="1" w:after="100" w:afterAutospacing="1"/>
        <w:ind w:firstLine="5280"/>
        <w:jc w:val="left"/>
        <w:textAlignment w:val="auto"/>
        <w:rPr>
          <w:rFonts w:hint="eastAsia" w:ascii="仿宋" w:hAnsi="仿宋" w:eastAsia="仿宋" w:cs="仿宋"/>
          <w:color w:val="333333"/>
          <w:sz w:val="24"/>
          <w:highlight w:val="none"/>
        </w:rPr>
      </w:pPr>
      <w:r>
        <w:rPr>
          <w:rFonts w:hint="eastAsia" w:ascii="仿宋" w:hAnsi="仿宋" w:eastAsia="仿宋" w:cs="仿宋"/>
          <w:color w:val="333333"/>
          <w:kern w:val="0"/>
          <w:sz w:val="24"/>
          <w:highlight w:val="none"/>
          <w:shd w:val="clear" w:color="auto" w:fill="FFFFFF"/>
        </w:rPr>
        <w:t>企业名称（盖章）：</w:t>
      </w:r>
    </w:p>
    <w:p w14:paraId="1ACD6871">
      <w:pPr>
        <w:keepNext w:val="0"/>
        <w:keepLines w:val="0"/>
        <w:pageBreakBefore w:val="0"/>
        <w:widowControl w:val="0"/>
        <w:shd w:val="clear" w:color="auto" w:fill="FFFFFF"/>
        <w:wordWrap/>
        <w:overflowPunct/>
        <w:topLinePunct w:val="0"/>
        <w:bidi w:val="0"/>
        <w:spacing w:before="100" w:beforeAutospacing="1" w:after="100" w:afterAutospacing="1"/>
        <w:ind w:firstLine="5280"/>
        <w:jc w:val="left"/>
        <w:textAlignment w:val="auto"/>
        <w:rPr>
          <w:rFonts w:hint="eastAsia" w:ascii="仿宋" w:hAnsi="仿宋" w:eastAsia="仿宋" w:cs="仿宋"/>
          <w:color w:val="333333"/>
          <w:sz w:val="24"/>
          <w:highlight w:val="none"/>
        </w:rPr>
      </w:pPr>
      <w:r>
        <w:rPr>
          <w:rFonts w:hint="eastAsia" w:ascii="仿宋" w:hAnsi="仿宋" w:eastAsia="仿宋" w:cs="仿宋"/>
          <w:color w:val="333333"/>
          <w:kern w:val="0"/>
          <w:sz w:val="24"/>
          <w:highlight w:val="none"/>
          <w:shd w:val="clear" w:color="auto" w:fill="FFFFFF"/>
        </w:rPr>
        <w:t>日期：</w:t>
      </w:r>
    </w:p>
    <w:p w14:paraId="4EAD5B69">
      <w:pPr>
        <w:keepNext w:val="0"/>
        <w:keepLines w:val="0"/>
        <w:pageBreakBefore w:val="0"/>
        <w:widowControl w:val="0"/>
        <w:shd w:val="clear" w:color="auto" w:fill="FFFFFF"/>
        <w:kinsoku/>
        <w:wordWrap/>
        <w:overflowPunct/>
        <w:topLinePunct w:val="0"/>
        <w:autoSpaceDE/>
        <w:autoSpaceDN/>
        <w:bidi w:val="0"/>
        <w:adjustRightInd/>
        <w:snapToGrid/>
        <w:spacing w:before="100" w:beforeAutospacing="1" w:after="100" w:afterAutospacing="1" w:line="240" w:lineRule="auto"/>
        <w:ind w:firstLine="482"/>
        <w:jc w:val="left"/>
        <w:textAlignment w:val="auto"/>
        <w:rPr>
          <w:rFonts w:hint="eastAsia" w:ascii="仿宋" w:hAnsi="仿宋" w:eastAsia="仿宋" w:cs="仿宋"/>
          <w:b/>
          <w:bCs/>
          <w:color w:val="333333"/>
          <w:kern w:val="0"/>
          <w:sz w:val="24"/>
          <w:highlight w:val="none"/>
          <w:shd w:val="clear" w:color="auto" w:fill="FFFFFF"/>
        </w:rPr>
      </w:pPr>
      <w:r>
        <w:rPr>
          <w:rFonts w:hint="eastAsia" w:ascii="仿宋" w:hAnsi="仿宋" w:eastAsia="仿宋" w:cs="仿宋"/>
          <w:b/>
          <w:bCs/>
          <w:color w:val="333333"/>
          <w:kern w:val="0"/>
          <w:sz w:val="24"/>
          <w:highlight w:val="none"/>
          <w:shd w:val="clear" w:color="auto" w:fill="FFFFFF"/>
        </w:rPr>
        <w:t>注：</w:t>
      </w:r>
    </w:p>
    <w:p w14:paraId="47E2BA61">
      <w:pPr>
        <w:keepNext w:val="0"/>
        <w:keepLines w:val="0"/>
        <w:pageBreakBefore w:val="0"/>
        <w:widowControl w:val="0"/>
        <w:shd w:val="clear" w:color="auto" w:fill="FFFFFF"/>
        <w:kinsoku/>
        <w:wordWrap/>
        <w:overflowPunct/>
        <w:topLinePunct w:val="0"/>
        <w:autoSpaceDE/>
        <w:autoSpaceDN/>
        <w:bidi w:val="0"/>
        <w:adjustRightInd/>
        <w:snapToGrid/>
        <w:spacing w:before="100" w:beforeAutospacing="1" w:after="100" w:afterAutospacing="1" w:line="240" w:lineRule="auto"/>
        <w:ind w:firstLine="482"/>
        <w:jc w:val="left"/>
        <w:textAlignment w:val="auto"/>
        <w:rPr>
          <w:rFonts w:hint="eastAsia" w:ascii="仿宋" w:hAnsi="仿宋" w:eastAsia="仿宋" w:cs="仿宋"/>
          <w:b/>
          <w:bCs/>
          <w:color w:val="333333"/>
          <w:kern w:val="0"/>
          <w:sz w:val="24"/>
          <w:highlight w:val="none"/>
          <w:shd w:val="clear" w:color="auto" w:fill="FFFFFF"/>
        </w:rPr>
      </w:pPr>
      <w:r>
        <w:rPr>
          <w:rFonts w:hint="eastAsia" w:ascii="仿宋" w:hAnsi="仿宋" w:eastAsia="仿宋" w:cs="仿宋"/>
          <w:b/>
          <w:bCs/>
          <w:color w:val="333333"/>
          <w:kern w:val="0"/>
          <w:sz w:val="24"/>
          <w:highlight w:val="none"/>
          <w:shd w:val="clear" w:color="auto" w:fill="FFFFFF"/>
        </w:rPr>
        <w:t>（1）从业人员、营业收入、资产总额填报上一年度数据，无上一年度数据的新成立企业可不填报。</w:t>
      </w:r>
    </w:p>
    <w:p w14:paraId="37023438">
      <w:pPr>
        <w:keepNext w:val="0"/>
        <w:keepLines w:val="0"/>
        <w:pageBreakBefore w:val="0"/>
        <w:widowControl w:val="0"/>
        <w:shd w:val="clear" w:color="auto" w:fill="FFFFFF"/>
        <w:kinsoku/>
        <w:wordWrap/>
        <w:overflowPunct/>
        <w:topLinePunct w:val="0"/>
        <w:autoSpaceDE/>
        <w:autoSpaceDN/>
        <w:bidi w:val="0"/>
        <w:adjustRightInd/>
        <w:snapToGrid/>
        <w:spacing w:before="100" w:beforeAutospacing="1" w:after="100" w:afterAutospacing="1" w:line="240" w:lineRule="auto"/>
        <w:ind w:firstLine="482"/>
        <w:jc w:val="left"/>
        <w:textAlignment w:val="auto"/>
        <w:rPr>
          <w:rFonts w:hint="eastAsia" w:ascii="仿宋" w:hAnsi="仿宋" w:eastAsia="仿宋" w:cs="仿宋"/>
          <w:b/>
          <w:bCs/>
          <w:color w:val="333333"/>
          <w:kern w:val="0"/>
          <w:sz w:val="24"/>
          <w:highlight w:val="none"/>
          <w:shd w:val="clear" w:color="auto" w:fill="FFFFFF"/>
        </w:rPr>
      </w:pPr>
      <w:r>
        <w:rPr>
          <w:rFonts w:hint="eastAsia" w:ascii="仿宋" w:hAnsi="仿宋" w:eastAsia="仿宋" w:cs="仿宋"/>
          <w:b/>
          <w:bCs/>
          <w:color w:val="333333"/>
          <w:kern w:val="0"/>
          <w:sz w:val="24"/>
          <w:highlight w:val="none"/>
          <w:shd w:val="clear" w:color="auto" w:fill="FFFFFF"/>
        </w:rPr>
        <w:t>（2）潜在投标企业属于中小微企业的，请在响应文件中提供“中小企业声明函”，如果未提供或提供虚假的“中小企业声明函”，投标企业将承担由此造成的一切不利后果。注：对中小企业的认定，由货物制造商或者工程、服务供应商注册登记所在地的县级以上人民政府中小企业主管部门负责。如因供应商提供的《中小企业声明函》引起的质疑、投诉、信访或其他方式情况反映等，供应商须自行澄清，并提供由中小企业主管部门出具的企业划型证明。对于不能出具企业划型证明的供应商，自行承担由此产生的一切后果，包括声明内容视为无效、不享受相关政府采购优惠政策等。</w:t>
      </w:r>
    </w:p>
    <w:p w14:paraId="11273457">
      <w:pPr>
        <w:keepNext w:val="0"/>
        <w:keepLines w:val="0"/>
        <w:pageBreakBefore w:val="0"/>
        <w:widowControl w:val="0"/>
        <w:shd w:val="clear" w:color="auto" w:fill="FFFFFF"/>
        <w:kinsoku/>
        <w:wordWrap/>
        <w:overflowPunct/>
        <w:topLinePunct w:val="0"/>
        <w:autoSpaceDE/>
        <w:autoSpaceDN/>
        <w:bidi w:val="0"/>
        <w:adjustRightInd/>
        <w:snapToGrid/>
        <w:spacing w:before="100" w:beforeAutospacing="1" w:after="100" w:afterAutospacing="1" w:line="240" w:lineRule="auto"/>
        <w:ind w:firstLine="482"/>
        <w:jc w:val="left"/>
        <w:rPr>
          <w:highlight w:val="none"/>
        </w:rPr>
      </w:pPr>
      <w:r>
        <w:rPr>
          <w:rFonts w:hint="eastAsia" w:ascii="仿宋" w:hAnsi="仿宋" w:eastAsia="仿宋" w:cs="仿宋"/>
          <w:b/>
          <w:bCs/>
          <w:color w:val="333333"/>
          <w:kern w:val="0"/>
          <w:sz w:val="24"/>
          <w:highlight w:val="none"/>
          <w:shd w:val="clear" w:color="auto" w:fill="FFFFFF"/>
        </w:rPr>
        <w:t>（3）（本项目对应的中小企业划分标准所属行业为：</w:t>
      </w:r>
      <w:r>
        <w:rPr>
          <w:rFonts w:hint="eastAsia" w:ascii="仿宋" w:hAnsi="仿宋" w:eastAsia="仿宋" w:cs="仿宋"/>
          <w:b/>
          <w:bCs/>
          <w:color w:val="auto"/>
          <w:kern w:val="0"/>
          <w:sz w:val="24"/>
          <w:highlight w:val="none"/>
          <w:shd w:val="clear" w:color="auto" w:fill="FFFFFF"/>
          <w:lang w:val="en-US" w:eastAsia="zh-CN"/>
        </w:rPr>
        <w:t>工业</w:t>
      </w:r>
      <w:r>
        <w:rPr>
          <w:rFonts w:hint="eastAsia" w:ascii="仿宋" w:hAnsi="仿宋" w:eastAsia="仿宋" w:cs="仿宋"/>
          <w:b/>
          <w:bCs/>
          <w:color w:val="auto"/>
          <w:kern w:val="0"/>
          <w:sz w:val="24"/>
          <w:highlight w:val="none"/>
          <w:shd w:val="clear" w:color="auto" w:fill="FFFFFF"/>
        </w:rPr>
        <w:t>）</w:t>
      </w:r>
      <w:bookmarkEnd w:id="839"/>
      <w:bookmarkEnd w:id="840"/>
      <w:bookmarkEnd w:id="841"/>
    </w:p>
    <w:p w14:paraId="22914709">
      <w:pPr>
        <w:keepNext w:val="0"/>
        <w:keepLines w:val="0"/>
        <w:pageBreakBefore w:val="0"/>
        <w:widowControl w:val="0"/>
        <w:wordWrap/>
        <w:overflowPunct/>
        <w:topLinePunct w:val="0"/>
        <w:bidi w:val="0"/>
        <w:jc w:val="left"/>
        <w:rPr>
          <w:rFonts w:hint="eastAsia" w:ascii="微软雅黑" w:hAnsi="微软雅黑" w:eastAsia="微软雅黑" w:cs="微软雅黑"/>
          <w:b/>
          <w:bCs/>
          <w:kern w:val="0"/>
          <w:sz w:val="28"/>
          <w:szCs w:val="28"/>
          <w:highlight w:val="none"/>
        </w:rPr>
      </w:pPr>
      <w:r>
        <w:rPr>
          <w:rFonts w:hint="eastAsia" w:ascii="微软雅黑" w:hAnsi="微软雅黑" w:eastAsia="微软雅黑" w:cs="微软雅黑"/>
          <w:b/>
          <w:bCs/>
          <w:kern w:val="0"/>
          <w:sz w:val="28"/>
          <w:szCs w:val="28"/>
          <w:highlight w:val="none"/>
        </w:rPr>
        <w:t>附：</w:t>
      </w:r>
    </w:p>
    <w:p w14:paraId="576542EB">
      <w:pPr>
        <w:keepNext w:val="0"/>
        <w:keepLines w:val="0"/>
        <w:pageBreakBefore w:val="0"/>
        <w:widowControl w:val="0"/>
        <w:wordWrap/>
        <w:overflowPunct/>
        <w:topLinePunct w:val="0"/>
        <w:bidi w:val="0"/>
        <w:jc w:val="center"/>
        <w:rPr>
          <w:rFonts w:hint="eastAsia" w:ascii="微软雅黑" w:hAnsi="微软雅黑" w:eastAsia="微软雅黑" w:cs="微软雅黑"/>
          <w:b/>
          <w:bCs/>
          <w:kern w:val="0"/>
          <w:sz w:val="28"/>
          <w:szCs w:val="28"/>
          <w:highlight w:val="none"/>
        </w:rPr>
      </w:pPr>
      <w:r>
        <w:rPr>
          <w:rFonts w:hint="eastAsia" w:ascii="微软雅黑" w:hAnsi="微软雅黑" w:eastAsia="微软雅黑" w:cs="微软雅黑"/>
          <w:b/>
          <w:bCs/>
          <w:kern w:val="0"/>
          <w:sz w:val="28"/>
          <w:szCs w:val="28"/>
          <w:highlight w:val="none"/>
        </w:rPr>
        <w:t>中小微企业划型标准</w:t>
      </w:r>
    </w:p>
    <w:tbl>
      <w:tblPr>
        <w:tblStyle w:val="26"/>
        <w:tblW w:w="9378" w:type="dxa"/>
        <w:jc w:val="center"/>
        <w:tblLayout w:type="fixed"/>
        <w:tblCellMar>
          <w:top w:w="0" w:type="dxa"/>
          <w:left w:w="108" w:type="dxa"/>
          <w:bottom w:w="0" w:type="dxa"/>
          <w:right w:w="108" w:type="dxa"/>
        </w:tblCellMar>
      </w:tblPr>
      <w:tblGrid>
        <w:gridCol w:w="1570"/>
        <w:gridCol w:w="1660"/>
        <w:gridCol w:w="1466"/>
        <w:gridCol w:w="1903"/>
        <w:gridCol w:w="1692"/>
        <w:gridCol w:w="1087"/>
      </w:tblGrid>
      <w:tr w14:paraId="0FC6A5B9">
        <w:tblPrEx>
          <w:tblCellMar>
            <w:top w:w="0" w:type="dxa"/>
            <w:left w:w="108" w:type="dxa"/>
            <w:bottom w:w="0" w:type="dxa"/>
            <w:right w:w="108" w:type="dxa"/>
          </w:tblCellMar>
        </w:tblPrEx>
        <w:trPr>
          <w:trHeight w:val="252" w:hRule="atLeast"/>
          <w:jc w:val="center"/>
        </w:trPr>
        <w:tc>
          <w:tcPr>
            <w:tcW w:w="1570" w:type="dxa"/>
            <w:tcBorders>
              <w:top w:val="single" w:color="auto" w:sz="4" w:space="0"/>
              <w:left w:val="single" w:color="auto" w:sz="4" w:space="0"/>
              <w:bottom w:val="single" w:color="auto" w:sz="4" w:space="0"/>
              <w:right w:val="single" w:color="auto" w:sz="4" w:space="0"/>
            </w:tcBorders>
            <w:noWrap/>
            <w:vAlign w:val="center"/>
          </w:tcPr>
          <w:p w14:paraId="2AA8A55C">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b/>
                <w:kern w:val="0"/>
                <w:sz w:val="24"/>
                <w:highlight w:val="none"/>
              </w:rPr>
            </w:pPr>
            <w:r>
              <w:rPr>
                <w:rFonts w:hint="eastAsia" w:ascii="微软雅黑" w:hAnsi="微软雅黑" w:eastAsia="微软雅黑" w:cs="微软雅黑"/>
                <w:b/>
                <w:kern w:val="0"/>
                <w:sz w:val="24"/>
                <w:highlight w:val="none"/>
              </w:rPr>
              <w:t>行业名称</w:t>
            </w:r>
          </w:p>
        </w:tc>
        <w:tc>
          <w:tcPr>
            <w:tcW w:w="1660" w:type="dxa"/>
            <w:tcBorders>
              <w:top w:val="single" w:color="auto" w:sz="4" w:space="0"/>
              <w:left w:val="nil"/>
              <w:bottom w:val="single" w:color="auto" w:sz="4" w:space="0"/>
              <w:right w:val="single" w:color="auto" w:sz="4" w:space="0"/>
            </w:tcBorders>
            <w:noWrap/>
            <w:vAlign w:val="center"/>
          </w:tcPr>
          <w:p w14:paraId="243E3F36">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b/>
                <w:kern w:val="0"/>
                <w:sz w:val="24"/>
                <w:highlight w:val="none"/>
              </w:rPr>
            </w:pPr>
            <w:r>
              <w:rPr>
                <w:rFonts w:hint="eastAsia" w:ascii="微软雅黑" w:hAnsi="微软雅黑" w:eastAsia="微软雅黑" w:cs="微软雅黑"/>
                <w:b/>
                <w:kern w:val="0"/>
                <w:sz w:val="24"/>
                <w:highlight w:val="none"/>
              </w:rPr>
              <w:t>指标名称</w:t>
            </w:r>
          </w:p>
        </w:tc>
        <w:tc>
          <w:tcPr>
            <w:tcW w:w="1466" w:type="dxa"/>
            <w:tcBorders>
              <w:top w:val="single" w:color="auto" w:sz="4" w:space="0"/>
              <w:left w:val="nil"/>
              <w:bottom w:val="single" w:color="auto" w:sz="4" w:space="0"/>
              <w:right w:val="single" w:color="auto" w:sz="4" w:space="0"/>
            </w:tcBorders>
            <w:noWrap/>
            <w:vAlign w:val="center"/>
          </w:tcPr>
          <w:p w14:paraId="1052C77D">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b/>
                <w:kern w:val="0"/>
                <w:sz w:val="24"/>
                <w:highlight w:val="none"/>
              </w:rPr>
            </w:pPr>
            <w:r>
              <w:rPr>
                <w:rFonts w:hint="eastAsia" w:ascii="微软雅黑" w:hAnsi="微软雅黑" w:eastAsia="微软雅黑" w:cs="微软雅黑"/>
                <w:b/>
                <w:kern w:val="0"/>
                <w:sz w:val="24"/>
                <w:highlight w:val="none"/>
              </w:rPr>
              <w:t>计量单位</w:t>
            </w:r>
          </w:p>
        </w:tc>
        <w:tc>
          <w:tcPr>
            <w:tcW w:w="1903" w:type="dxa"/>
            <w:tcBorders>
              <w:top w:val="single" w:color="auto" w:sz="4" w:space="0"/>
              <w:left w:val="nil"/>
              <w:bottom w:val="single" w:color="auto" w:sz="4" w:space="0"/>
              <w:right w:val="single" w:color="auto" w:sz="4" w:space="0"/>
            </w:tcBorders>
            <w:noWrap/>
            <w:vAlign w:val="center"/>
          </w:tcPr>
          <w:p w14:paraId="5772423A">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b/>
                <w:kern w:val="0"/>
                <w:sz w:val="24"/>
                <w:highlight w:val="none"/>
              </w:rPr>
            </w:pPr>
            <w:r>
              <w:rPr>
                <w:rFonts w:hint="eastAsia" w:ascii="微软雅黑" w:hAnsi="微软雅黑" w:eastAsia="微软雅黑" w:cs="微软雅黑"/>
                <w:b/>
                <w:kern w:val="0"/>
                <w:sz w:val="24"/>
                <w:highlight w:val="none"/>
              </w:rPr>
              <w:t>中型</w:t>
            </w:r>
          </w:p>
        </w:tc>
        <w:tc>
          <w:tcPr>
            <w:tcW w:w="1692" w:type="dxa"/>
            <w:tcBorders>
              <w:top w:val="single" w:color="auto" w:sz="4" w:space="0"/>
              <w:left w:val="nil"/>
              <w:bottom w:val="single" w:color="auto" w:sz="4" w:space="0"/>
              <w:right w:val="single" w:color="auto" w:sz="4" w:space="0"/>
            </w:tcBorders>
            <w:noWrap/>
            <w:vAlign w:val="center"/>
          </w:tcPr>
          <w:p w14:paraId="12CD97F8">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b/>
                <w:kern w:val="0"/>
                <w:sz w:val="24"/>
                <w:highlight w:val="none"/>
              </w:rPr>
            </w:pPr>
            <w:r>
              <w:rPr>
                <w:rFonts w:hint="eastAsia" w:ascii="微软雅黑" w:hAnsi="微软雅黑" w:eastAsia="微软雅黑" w:cs="微软雅黑"/>
                <w:b/>
                <w:kern w:val="0"/>
                <w:sz w:val="24"/>
                <w:highlight w:val="none"/>
              </w:rPr>
              <w:t>小型</w:t>
            </w:r>
          </w:p>
        </w:tc>
        <w:tc>
          <w:tcPr>
            <w:tcW w:w="1087" w:type="dxa"/>
            <w:tcBorders>
              <w:top w:val="single" w:color="auto" w:sz="4" w:space="0"/>
              <w:left w:val="nil"/>
              <w:bottom w:val="single" w:color="auto" w:sz="4" w:space="0"/>
              <w:right w:val="single" w:color="auto" w:sz="4" w:space="0"/>
            </w:tcBorders>
            <w:noWrap/>
            <w:vAlign w:val="center"/>
          </w:tcPr>
          <w:p w14:paraId="4A6E1F25">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b/>
                <w:kern w:val="0"/>
                <w:sz w:val="24"/>
                <w:highlight w:val="none"/>
              </w:rPr>
            </w:pPr>
            <w:r>
              <w:rPr>
                <w:rFonts w:hint="eastAsia" w:ascii="微软雅黑" w:hAnsi="微软雅黑" w:eastAsia="微软雅黑" w:cs="微软雅黑"/>
                <w:b/>
                <w:kern w:val="0"/>
                <w:sz w:val="24"/>
                <w:highlight w:val="none"/>
              </w:rPr>
              <w:t>微型</w:t>
            </w:r>
          </w:p>
        </w:tc>
      </w:tr>
      <w:tr w14:paraId="523E1A6C">
        <w:tblPrEx>
          <w:tblCellMar>
            <w:top w:w="0" w:type="dxa"/>
            <w:left w:w="108" w:type="dxa"/>
            <w:bottom w:w="0" w:type="dxa"/>
            <w:right w:w="108" w:type="dxa"/>
          </w:tblCellMar>
        </w:tblPrEx>
        <w:trPr>
          <w:trHeight w:val="199" w:hRule="atLeast"/>
          <w:jc w:val="center"/>
        </w:trPr>
        <w:tc>
          <w:tcPr>
            <w:tcW w:w="1570" w:type="dxa"/>
            <w:tcBorders>
              <w:top w:val="nil"/>
              <w:left w:val="single" w:color="auto" w:sz="4" w:space="0"/>
              <w:bottom w:val="single" w:color="auto" w:sz="4" w:space="0"/>
              <w:right w:val="single" w:color="auto" w:sz="4" w:space="0"/>
            </w:tcBorders>
            <w:noWrap/>
            <w:vAlign w:val="center"/>
          </w:tcPr>
          <w:p w14:paraId="4C91ED7E">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b/>
                <w:bCs/>
                <w:kern w:val="0"/>
                <w:sz w:val="24"/>
                <w:highlight w:val="none"/>
              </w:rPr>
            </w:pPr>
            <w:r>
              <w:rPr>
                <w:rFonts w:hint="eastAsia" w:ascii="微软雅黑" w:hAnsi="微软雅黑" w:eastAsia="微软雅黑" w:cs="微软雅黑"/>
                <w:b/>
                <w:bCs/>
                <w:kern w:val="0"/>
                <w:sz w:val="24"/>
                <w:highlight w:val="none"/>
              </w:rPr>
              <w:t>农、林、牧、渔</w:t>
            </w:r>
          </w:p>
        </w:tc>
        <w:tc>
          <w:tcPr>
            <w:tcW w:w="1660" w:type="dxa"/>
            <w:tcBorders>
              <w:top w:val="nil"/>
              <w:left w:val="nil"/>
              <w:bottom w:val="single" w:color="auto" w:sz="4" w:space="0"/>
              <w:right w:val="single" w:color="auto" w:sz="4" w:space="0"/>
            </w:tcBorders>
            <w:noWrap/>
            <w:vAlign w:val="center"/>
          </w:tcPr>
          <w:p w14:paraId="743AA708">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营业收入（Y）</w:t>
            </w:r>
          </w:p>
        </w:tc>
        <w:tc>
          <w:tcPr>
            <w:tcW w:w="1466" w:type="dxa"/>
            <w:tcBorders>
              <w:top w:val="nil"/>
              <w:left w:val="nil"/>
              <w:bottom w:val="single" w:color="auto" w:sz="4" w:space="0"/>
              <w:right w:val="single" w:color="auto" w:sz="4" w:space="0"/>
            </w:tcBorders>
            <w:noWrap/>
            <w:vAlign w:val="center"/>
          </w:tcPr>
          <w:p w14:paraId="629F8DFF">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万元</w:t>
            </w:r>
          </w:p>
        </w:tc>
        <w:tc>
          <w:tcPr>
            <w:tcW w:w="1903" w:type="dxa"/>
            <w:tcBorders>
              <w:top w:val="nil"/>
              <w:left w:val="nil"/>
              <w:bottom w:val="single" w:color="auto" w:sz="4" w:space="0"/>
              <w:right w:val="single" w:color="auto" w:sz="4" w:space="0"/>
            </w:tcBorders>
            <w:noWrap/>
            <w:vAlign w:val="center"/>
          </w:tcPr>
          <w:p w14:paraId="7BA6FD8F">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500≤Y＜20000</w:t>
            </w:r>
          </w:p>
        </w:tc>
        <w:tc>
          <w:tcPr>
            <w:tcW w:w="1692" w:type="dxa"/>
            <w:tcBorders>
              <w:top w:val="nil"/>
              <w:left w:val="nil"/>
              <w:bottom w:val="single" w:color="auto" w:sz="4" w:space="0"/>
              <w:right w:val="single" w:color="auto" w:sz="4" w:space="0"/>
            </w:tcBorders>
            <w:noWrap/>
            <w:vAlign w:val="center"/>
          </w:tcPr>
          <w:p w14:paraId="249396CD">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50≤Y＜500</w:t>
            </w:r>
          </w:p>
        </w:tc>
        <w:tc>
          <w:tcPr>
            <w:tcW w:w="1087" w:type="dxa"/>
            <w:tcBorders>
              <w:top w:val="nil"/>
              <w:left w:val="nil"/>
              <w:bottom w:val="single" w:color="auto" w:sz="4" w:space="0"/>
              <w:right w:val="single" w:color="auto" w:sz="4" w:space="0"/>
            </w:tcBorders>
            <w:noWrap/>
            <w:vAlign w:val="center"/>
          </w:tcPr>
          <w:p w14:paraId="4390F42E">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Y＜50</w:t>
            </w:r>
          </w:p>
        </w:tc>
      </w:tr>
      <w:tr w14:paraId="76B4DC25">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ign w:val="center"/>
          </w:tcPr>
          <w:p w14:paraId="6F8B268E">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b/>
                <w:bCs/>
                <w:kern w:val="0"/>
                <w:sz w:val="24"/>
                <w:highlight w:val="none"/>
              </w:rPr>
            </w:pPr>
            <w:r>
              <w:rPr>
                <w:rFonts w:hint="eastAsia" w:ascii="微软雅黑" w:hAnsi="微软雅黑" w:eastAsia="微软雅黑" w:cs="微软雅黑"/>
                <w:b/>
                <w:bCs/>
                <w:kern w:val="0"/>
                <w:sz w:val="24"/>
                <w:highlight w:val="none"/>
              </w:rPr>
              <w:t>工业</w:t>
            </w:r>
          </w:p>
        </w:tc>
        <w:tc>
          <w:tcPr>
            <w:tcW w:w="1660" w:type="dxa"/>
            <w:tcBorders>
              <w:top w:val="nil"/>
              <w:left w:val="nil"/>
              <w:bottom w:val="single" w:color="auto" w:sz="4" w:space="0"/>
              <w:right w:val="single" w:color="auto" w:sz="4" w:space="0"/>
            </w:tcBorders>
            <w:noWrap/>
            <w:vAlign w:val="center"/>
          </w:tcPr>
          <w:p w14:paraId="161FBFB2">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从业人员（X）</w:t>
            </w:r>
          </w:p>
        </w:tc>
        <w:tc>
          <w:tcPr>
            <w:tcW w:w="1466" w:type="dxa"/>
            <w:tcBorders>
              <w:top w:val="nil"/>
              <w:left w:val="nil"/>
              <w:bottom w:val="single" w:color="auto" w:sz="4" w:space="0"/>
              <w:right w:val="single" w:color="auto" w:sz="4" w:space="0"/>
            </w:tcBorders>
            <w:noWrap/>
            <w:vAlign w:val="center"/>
          </w:tcPr>
          <w:p w14:paraId="6721C8AB">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人</w:t>
            </w:r>
          </w:p>
        </w:tc>
        <w:tc>
          <w:tcPr>
            <w:tcW w:w="1903" w:type="dxa"/>
            <w:tcBorders>
              <w:top w:val="nil"/>
              <w:left w:val="nil"/>
              <w:bottom w:val="single" w:color="auto" w:sz="4" w:space="0"/>
              <w:right w:val="single" w:color="auto" w:sz="4" w:space="0"/>
            </w:tcBorders>
            <w:noWrap/>
            <w:vAlign w:val="center"/>
          </w:tcPr>
          <w:p w14:paraId="1706EC69">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300≤X＜1000</w:t>
            </w:r>
          </w:p>
        </w:tc>
        <w:tc>
          <w:tcPr>
            <w:tcW w:w="1692" w:type="dxa"/>
            <w:tcBorders>
              <w:top w:val="nil"/>
              <w:left w:val="nil"/>
              <w:bottom w:val="single" w:color="auto" w:sz="4" w:space="0"/>
              <w:right w:val="single" w:color="auto" w:sz="4" w:space="0"/>
            </w:tcBorders>
            <w:noWrap/>
            <w:vAlign w:val="center"/>
          </w:tcPr>
          <w:p w14:paraId="4814B50A">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20≤X＜300</w:t>
            </w:r>
          </w:p>
        </w:tc>
        <w:tc>
          <w:tcPr>
            <w:tcW w:w="1087" w:type="dxa"/>
            <w:tcBorders>
              <w:top w:val="nil"/>
              <w:left w:val="nil"/>
              <w:bottom w:val="single" w:color="auto" w:sz="4" w:space="0"/>
              <w:right w:val="single" w:color="auto" w:sz="4" w:space="0"/>
            </w:tcBorders>
            <w:noWrap/>
            <w:vAlign w:val="center"/>
          </w:tcPr>
          <w:p w14:paraId="21C3E37A">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X＜20</w:t>
            </w:r>
          </w:p>
        </w:tc>
      </w:tr>
      <w:tr w14:paraId="148C66DC">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ign w:val="center"/>
          </w:tcPr>
          <w:p w14:paraId="1E942C58">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b/>
                <w:bCs/>
                <w:kern w:val="0"/>
                <w:sz w:val="24"/>
                <w:highlight w:val="none"/>
              </w:rPr>
            </w:pPr>
          </w:p>
        </w:tc>
        <w:tc>
          <w:tcPr>
            <w:tcW w:w="1660" w:type="dxa"/>
            <w:tcBorders>
              <w:top w:val="nil"/>
              <w:left w:val="nil"/>
              <w:bottom w:val="single" w:color="auto" w:sz="4" w:space="0"/>
              <w:right w:val="single" w:color="auto" w:sz="4" w:space="0"/>
            </w:tcBorders>
            <w:noWrap/>
            <w:vAlign w:val="center"/>
          </w:tcPr>
          <w:p w14:paraId="34279A3B">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营业收入（Y）</w:t>
            </w:r>
          </w:p>
        </w:tc>
        <w:tc>
          <w:tcPr>
            <w:tcW w:w="1466" w:type="dxa"/>
            <w:tcBorders>
              <w:top w:val="nil"/>
              <w:left w:val="nil"/>
              <w:bottom w:val="single" w:color="auto" w:sz="4" w:space="0"/>
              <w:right w:val="single" w:color="auto" w:sz="4" w:space="0"/>
            </w:tcBorders>
            <w:noWrap/>
            <w:vAlign w:val="center"/>
          </w:tcPr>
          <w:p w14:paraId="4EA8FB41">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万元</w:t>
            </w:r>
          </w:p>
        </w:tc>
        <w:tc>
          <w:tcPr>
            <w:tcW w:w="1903" w:type="dxa"/>
            <w:tcBorders>
              <w:top w:val="nil"/>
              <w:left w:val="nil"/>
              <w:bottom w:val="single" w:color="auto" w:sz="4" w:space="0"/>
              <w:right w:val="single" w:color="auto" w:sz="4" w:space="0"/>
            </w:tcBorders>
            <w:noWrap/>
            <w:vAlign w:val="center"/>
          </w:tcPr>
          <w:p w14:paraId="0AD13877">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2000≤Y＜40000</w:t>
            </w:r>
          </w:p>
        </w:tc>
        <w:tc>
          <w:tcPr>
            <w:tcW w:w="1692" w:type="dxa"/>
            <w:tcBorders>
              <w:top w:val="nil"/>
              <w:left w:val="nil"/>
              <w:bottom w:val="single" w:color="auto" w:sz="4" w:space="0"/>
              <w:right w:val="single" w:color="auto" w:sz="4" w:space="0"/>
            </w:tcBorders>
            <w:noWrap/>
            <w:vAlign w:val="center"/>
          </w:tcPr>
          <w:p w14:paraId="5BAEF2B1">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300≤Y＜2000</w:t>
            </w:r>
          </w:p>
        </w:tc>
        <w:tc>
          <w:tcPr>
            <w:tcW w:w="1087" w:type="dxa"/>
            <w:tcBorders>
              <w:top w:val="nil"/>
              <w:left w:val="nil"/>
              <w:bottom w:val="single" w:color="auto" w:sz="4" w:space="0"/>
              <w:right w:val="single" w:color="auto" w:sz="4" w:space="0"/>
            </w:tcBorders>
            <w:noWrap/>
            <w:vAlign w:val="center"/>
          </w:tcPr>
          <w:p w14:paraId="01F23061">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Y＜300</w:t>
            </w:r>
          </w:p>
        </w:tc>
      </w:tr>
      <w:tr w14:paraId="6F657800">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ign w:val="center"/>
          </w:tcPr>
          <w:p w14:paraId="5A87B199">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b/>
                <w:bCs/>
                <w:kern w:val="0"/>
                <w:sz w:val="24"/>
                <w:highlight w:val="none"/>
              </w:rPr>
            </w:pPr>
            <w:r>
              <w:rPr>
                <w:rFonts w:hint="eastAsia" w:ascii="微软雅黑" w:hAnsi="微软雅黑" w:eastAsia="微软雅黑" w:cs="微软雅黑"/>
                <w:b/>
                <w:bCs/>
                <w:kern w:val="0"/>
                <w:sz w:val="24"/>
                <w:highlight w:val="none"/>
              </w:rPr>
              <w:t>建筑业</w:t>
            </w:r>
          </w:p>
        </w:tc>
        <w:tc>
          <w:tcPr>
            <w:tcW w:w="1660" w:type="dxa"/>
            <w:tcBorders>
              <w:top w:val="nil"/>
              <w:left w:val="nil"/>
              <w:bottom w:val="single" w:color="auto" w:sz="4" w:space="0"/>
              <w:right w:val="single" w:color="auto" w:sz="4" w:space="0"/>
            </w:tcBorders>
            <w:noWrap/>
            <w:vAlign w:val="center"/>
          </w:tcPr>
          <w:p w14:paraId="577E838D">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营业收入（Y）</w:t>
            </w:r>
          </w:p>
        </w:tc>
        <w:tc>
          <w:tcPr>
            <w:tcW w:w="1466" w:type="dxa"/>
            <w:tcBorders>
              <w:top w:val="nil"/>
              <w:left w:val="nil"/>
              <w:bottom w:val="single" w:color="auto" w:sz="4" w:space="0"/>
              <w:right w:val="single" w:color="auto" w:sz="4" w:space="0"/>
            </w:tcBorders>
            <w:noWrap/>
            <w:vAlign w:val="center"/>
          </w:tcPr>
          <w:p w14:paraId="3166BFBA">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万元</w:t>
            </w:r>
          </w:p>
        </w:tc>
        <w:tc>
          <w:tcPr>
            <w:tcW w:w="1903" w:type="dxa"/>
            <w:tcBorders>
              <w:top w:val="nil"/>
              <w:left w:val="nil"/>
              <w:bottom w:val="single" w:color="auto" w:sz="4" w:space="0"/>
              <w:right w:val="single" w:color="auto" w:sz="4" w:space="0"/>
            </w:tcBorders>
            <w:noWrap/>
            <w:vAlign w:val="center"/>
          </w:tcPr>
          <w:p w14:paraId="1EC4334C">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6000≤Y＜80000</w:t>
            </w:r>
          </w:p>
        </w:tc>
        <w:tc>
          <w:tcPr>
            <w:tcW w:w="1692" w:type="dxa"/>
            <w:tcBorders>
              <w:top w:val="nil"/>
              <w:left w:val="nil"/>
              <w:bottom w:val="single" w:color="auto" w:sz="4" w:space="0"/>
              <w:right w:val="single" w:color="auto" w:sz="4" w:space="0"/>
            </w:tcBorders>
            <w:noWrap/>
            <w:vAlign w:val="center"/>
          </w:tcPr>
          <w:p w14:paraId="08A9808F">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300≤Y＜6000</w:t>
            </w:r>
          </w:p>
        </w:tc>
        <w:tc>
          <w:tcPr>
            <w:tcW w:w="1087" w:type="dxa"/>
            <w:tcBorders>
              <w:top w:val="nil"/>
              <w:left w:val="nil"/>
              <w:bottom w:val="single" w:color="auto" w:sz="4" w:space="0"/>
              <w:right w:val="single" w:color="auto" w:sz="4" w:space="0"/>
            </w:tcBorders>
            <w:noWrap/>
            <w:vAlign w:val="center"/>
          </w:tcPr>
          <w:p w14:paraId="3B358903">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Y＜300</w:t>
            </w:r>
          </w:p>
        </w:tc>
      </w:tr>
      <w:tr w14:paraId="1D085382">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ign w:val="center"/>
          </w:tcPr>
          <w:p w14:paraId="05D91E94">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b/>
                <w:bCs/>
                <w:kern w:val="0"/>
                <w:sz w:val="24"/>
                <w:highlight w:val="none"/>
              </w:rPr>
            </w:pPr>
          </w:p>
        </w:tc>
        <w:tc>
          <w:tcPr>
            <w:tcW w:w="1660" w:type="dxa"/>
            <w:tcBorders>
              <w:top w:val="nil"/>
              <w:left w:val="nil"/>
              <w:bottom w:val="single" w:color="auto" w:sz="4" w:space="0"/>
              <w:right w:val="single" w:color="auto" w:sz="4" w:space="0"/>
            </w:tcBorders>
            <w:noWrap/>
            <w:vAlign w:val="center"/>
          </w:tcPr>
          <w:p w14:paraId="0169296D">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资产总额（Z）</w:t>
            </w:r>
          </w:p>
        </w:tc>
        <w:tc>
          <w:tcPr>
            <w:tcW w:w="1466" w:type="dxa"/>
            <w:tcBorders>
              <w:top w:val="nil"/>
              <w:left w:val="nil"/>
              <w:bottom w:val="single" w:color="auto" w:sz="4" w:space="0"/>
              <w:right w:val="single" w:color="auto" w:sz="4" w:space="0"/>
            </w:tcBorders>
            <w:noWrap/>
            <w:vAlign w:val="center"/>
          </w:tcPr>
          <w:p w14:paraId="56D397FF">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万元</w:t>
            </w:r>
          </w:p>
        </w:tc>
        <w:tc>
          <w:tcPr>
            <w:tcW w:w="1903" w:type="dxa"/>
            <w:tcBorders>
              <w:top w:val="nil"/>
              <w:left w:val="nil"/>
              <w:bottom w:val="single" w:color="auto" w:sz="4" w:space="0"/>
              <w:right w:val="single" w:color="auto" w:sz="4" w:space="0"/>
            </w:tcBorders>
            <w:noWrap/>
            <w:vAlign w:val="center"/>
          </w:tcPr>
          <w:p w14:paraId="4EBE7D20">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5000≤Z＜80000</w:t>
            </w:r>
          </w:p>
        </w:tc>
        <w:tc>
          <w:tcPr>
            <w:tcW w:w="1692" w:type="dxa"/>
            <w:tcBorders>
              <w:top w:val="nil"/>
              <w:left w:val="nil"/>
              <w:bottom w:val="single" w:color="auto" w:sz="4" w:space="0"/>
              <w:right w:val="single" w:color="auto" w:sz="4" w:space="0"/>
            </w:tcBorders>
            <w:noWrap/>
            <w:vAlign w:val="center"/>
          </w:tcPr>
          <w:p w14:paraId="1393D6FF">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300≤Z＜5000</w:t>
            </w:r>
          </w:p>
        </w:tc>
        <w:tc>
          <w:tcPr>
            <w:tcW w:w="1087" w:type="dxa"/>
            <w:tcBorders>
              <w:top w:val="nil"/>
              <w:left w:val="nil"/>
              <w:bottom w:val="single" w:color="auto" w:sz="4" w:space="0"/>
              <w:right w:val="single" w:color="auto" w:sz="4" w:space="0"/>
            </w:tcBorders>
            <w:noWrap/>
            <w:vAlign w:val="center"/>
          </w:tcPr>
          <w:p w14:paraId="283C8C4F">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Z＜300</w:t>
            </w:r>
          </w:p>
        </w:tc>
      </w:tr>
      <w:tr w14:paraId="038271E5">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ign w:val="center"/>
          </w:tcPr>
          <w:p w14:paraId="056081B9">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b/>
                <w:bCs/>
                <w:kern w:val="0"/>
                <w:sz w:val="24"/>
                <w:highlight w:val="none"/>
              </w:rPr>
            </w:pPr>
            <w:r>
              <w:rPr>
                <w:rFonts w:hint="eastAsia" w:ascii="微软雅黑" w:hAnsi="微软雅黑" w:eastAsia="微软雅黑" w:cs="微软雅黑"/>
                <w:b/>
                <w:bCs/>
                <w:kern w:val="0"/>
                <w:sz w:val="24"/>
                <w:highlight w:val="none"/>
              </w:rPr>
              <w:t>批发业</w:t>
            </w:r>
          </w:p>
        </w:tc>
        <w:tc>
          <w:tcPr>
            <w:tcW w:w="1660" w:type="dxa"/>
            <w:tcBorders>
              <w:top w:val="nil"/>
              <w:left w:val="nil"/>
              <w:bottom w:val="single" w:color="auto" w:sz="4" w:space="0"/>
              <w:right w:val="single" w:color="auto" w:sz="4" w:space="0"/>
            </w:tcBorders>
            <w:noWrap/>
            <w:vAlign w:val="center"/>
          </w:tcPr>
          <w:p w14:paraId="767DFD74">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从业人员（X）</w:t>
            </w:r>
          </w:p>
        </w:tc>
        <w:tc>
          <w:tcPr>
            <w:tcW w:w="1466" w:type="dxa"/>
            <w:tcBorders>
              <w:top w:val="nil"/>
              <w:left w:val="nil"/>
              <w:bottom w:val="single" w:color="auto" w:sz="4" w:space="0"/>
              <w:right w:val="single" w:color="auto" w:sz="4" w:space="0"/>
            </w:tcBorders>
            <w:noWrap/>
            <w:vAlign w:val="center"/>
          </w:tcPr>
          <w:p w14:paraId="4C88855A">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人</w:t>
            </w:r>
          </w:p>
        </w:tc>
        <w:tc>
          <w:tcPr>
            <w:tcW w:w="1903" w:type="dxa"/>
            <w:tcBorders>
              <w:top w:val="nil"/>
              <w:left w:val="nil"/>
              <w:bottom w:val="single" w:color="auto" w:sz="4" w:space="0"/>
              <w:right w:val="single" w:color="auto" w:sz="4" w:space="0"/>
            </w:tcBorders>
            <w:noWrap/>
            <w:vAlign w:val="center"/>
          </w:tcPr>
          <w:p w14:paraId="1189B4F2">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20≤X＜200</w:t>
            </w:r>
          </w:p>
        </w:tc>
        <w:tc>
          <w:tcPr>
            <w:tcW w:w="1692" w:type="dxa"/>
            <w:tcBorders>
              <w:top w:val="nil"/>
              <w:left w:val="nil"/>
              <w:bottom w:val="single" w:color="auto" w:sz="4" w:space="0"/>
              <w:right w:val="single" w:color="auto" w:sz="4" w:space="0"/>
            </w:tcBorders>
            <w:noWrap/>
            <w:vAlign w:val="center"/>
          </w:tcPr>
          <w:p w14:paraId="73688378">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5≤X＜20</w:t>
            </w:r>
          </w:p>
        </w:tc>
        <w:tc>
          <w:tcPr>
            <w:tcW w:w="1087" w:type="dxa"/>
            <w:tcBorders>
              <w:top w:val="nil"/>
              <w:left w:val="nil"/>
              <w:bottom w:val="single" w:color="auto" w:sz="4" w:space="0"/>
              <w:right w:val="single" w:color="auto" w:sz="4" w:space="0"/>
            </w:tcBorders>
            <w:noWrap/>
            <w:vAlign w:val="center"/>
          </w:tcPr>
          <w:p w14:paraId="6FD5674E">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X＜5</w:t>
            </w:r>
          </w:p>
        </w:tc>
      </w:tr>
      <w:tr w14:paraId="2E3A5453">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ign w:val="center"/>
          </w:tcPr>
          <w:p w14:paraId="652718DF">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b/>
                <w:bCs/>
                <w:kern w:val="0"/>
                <w:sz w:val="24"/>
                <w:highlight w:val="none"/>
              </w:rPr>
            </w:pPr>
          </w:p>
        </w:tc>
        <w:tc>
          <w:tcPr>
            <w:tcW w:w="1660" w:type="dxa"/>
            <w:tcBorders>
              <w:top w:val="nil"/>
              <w:left w:val="nil"/>
              <w:bottom w:val="single" w:color="auto" w:sz="4" w:space="0"/>
              <w:right w:val="single" w:color="auto" w:sz="4" w:space="0"/>
            </w:tcBorders>
            <w:noWrap/>
            <w:vAlign w:val="center"/>
          </w:tcPr>
          <w:p w14:paraId="64B0908A">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营业收入（Y）</w:t>
            </w:r>
          </w:p>
        </w:tc>
        <w:tc>
          <w:tcPr>
            <w:tcW w:w="1466" w:type="dxa"/>
            <w:tcBorders>
              <w:top w:val="nil"/>
              <w:left w:val="nil"/>
              <w:bottom w:val="single" w:color="auto" w:sz="4" w:space="0"/>
              <w:right w:val="single" w:color="auto" w:sz="4" w:space="0"/>
            </w:tcBorders>
            <w:noWrap/>
            <w:vAlign w:val="center"/>
          </w:tcPr>
          <w:p w14:paraId="5FEAF141">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万元</w:t>
            </w:r>
          </w:p>
        </w:tc>
        <w:tc>
          <w:tcPr>
            <w:tcW w:w="1903" w:type="dxa"/>
            <w:tcBorders>
              <w:top w:val="nil"/>
              <w:left w:val="nil"/>
              <w:bottom w:val="single" w:color="auto" w:sz="4" w:space="0"/>
              <w:right w:val="single" w:color="auto" w:sz="4" w:space="0"/>
            </w:tcBorders>
            <w:noWrap/>
            <w:vAlign w:val="center"/>
          </w:tcPr>
          <w:p w14:paraId="04CDF9C6">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5000≤Y＜40000</w:t>
            </w:r>
          </w:p>
        </w:tc>
        <w:tc>
          <w:tcPr>
            <w:tcW w:w="1692" w:type="dxa"/>
            <w:tcBorders>
              <w:top w:val="nil"/>
              <w:left w:val="nil"/>
              <w:bottom w:val="single" w:color="auto" w:sz="4" w:space="0"/>
              <w:right w:val="single" w:color="auto" w:sz="4" w:space="0"/>
            </w:tcBorders>
            <w:noWrap/>
            <w:vAlign w:val="center"/>
          </w:tcPr>
          <w:p w14:paraId="7FFBD851">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1000≤Y＜5000</w:t>
            </w:r>
          </w:p>
        </w:tc>
        <w:tc>
          <w:tcPr>
            <w:tcW w:w="1087" w:type="dxa"/>
            <w:tcBorders>
              <w:top w:val="nil"/>
              <w:left w:val="nil"/>
              <w:bottom w:val="single" w:color="auto" w:sz="4" w:space="0"/>
              <w:right w:val="single" w:color="auto" w:sz="4" w:space="0"/>
            </w:tcBorders>
            <w:noWrap/>
            <w:vAlign w:val="center"/>
          </w:tcPr>
          <w:p w14:paraId="762084A2">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Y＜1000</w:t>
            </w:r>
          </w:p>
        </w:tc>
      </w:tr>
      <w:tr w14:paraId="0500EFB8">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ign w:val="center"/>
          </w:tcPr>
          <w:p w14:paraId="6F2A2BD1">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b/>
                <w:bCs/>
                <w:kern w:val="0"/>
                <w:sz w:val="24"/>
                <w:highlight w:val="none"/>
              </w:rPr>
            </w:pPr>
            <w:r>
              <w:rPr>
                <w:rFonts w:hint="eastAsia" w:ascii="微软雅黑" w:hAnsi="微软雅黑" w:eastAsia="微软雅黑" w:cs="微软雅黑"/>
                <w:b/>
                <w:bCs/>
                <w:kern w:val="0"/>
                <w:sz w:val="24"/>
                <w:highlight w:val="none"/>
              </w:rPr>
              <w:t>零售业</w:t>
            </w:r>
          </w:p>
        </w:tc>
        <w:tc>
          <w:tcPr>
            <w:tcW w:w="1660" w:type="dxa"/>
            <w:tcBorders>
              <w:top w:val="nil"/>
              <w:left w:val="nil"/>
              <w:bottom w:val="single" w:color="auto" w:sz="4" w:space="0"/>
              <w:right w:val="single" w:color="auto" w:sz="4" w:space="0"/>
            </w:tcBorders>
            <w:noWrap/>
            <w:vAlign w:val="center"/>
          </w:tcPr>
          <w:p w14:paraId="1343CABD">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从业人员（X）</w:t>
            </w:r>
          </w:p>
        </w:tc>
        <w:tc>
          <w:tcPr>
            <w:tcW w:w="1466" w:type="dxa"/>
            <w:tcBorders>
              <w:top w:val="nil"/>
              <w:left w:val="nil"/>
              <w:bottom w:val="single" w:color="auto" w:sz="4" w:space="0"/>
              <w:right w:val="single" w:color="auto" w:sz="4" w:space="0"/>
            </w:tcBorders>
            <w:noWrap/>
            <w:vAlign w:val="center"/>
          </w:tcPr>
          <w:p w14:paraId="716E38BA">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人</w:t>
            </w:r>
          </w:p>
        </w:tc>
        <w:tc>
          <w:tcPr>
            <w:tcW w:w="1903" w:type="dxa"/>
            <w:tcBorders>
              <w:top w:val="nil"/>
              <w:left w:val="nil"/>
              <w:bottom w:val="single" w:color="auto" w:sz="4" w:space="0"/>
              <w:right w:val="single" w:color="auto" w:sz="4" w:space="0"/>
            </w:tcBorders>
            <w:noWrap/>
            <w:vAlign w:val="center"/>
          </w:tcPr>
          <w:p w14:paraId="0FCC5BCA">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50≤X＜300</w:t>
            </w:r>
          </w:p>
        </w:tc>
        <w:tc>
          <w:tcPr>
            <w:tcW w:w="1692" w:type="dxa"/>
            <w:tcBorders>
              <w:top w:val="nil"/>
              <w:left w:val="nil"/>
              <w:bottom w:val="single" w:color="auto" w:sz="4" w:space="0"/>
              <w:right w:val="single" w:color="auto" w:sz="4" w:space="0"/>
            </w:tcBorders>
            <w:noWrap/>
            <w:vAlign w:val="center"/>
          </w:tcPr>
          <w:p w14:paraId="1F12786B">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10≤X＜50</w:t>
            </w:r>
          </w:p>
        </w:tc>
        <w:tc>
          <w:tcPr>
            <w:tcW w:w="1087" w:type="dxa"/>
            <w:tcBorders>
              <w:top w:val="nil"/>
              <w:left w:val="nil"/>
              <w:bottom w:val="single" w:color="auto" w:sz="4" w:space="0"/>
              <w:right w:val="single" w:color="auto" w:sz="4" w:space="0"/>
            </w:tcBorders>
            <w:noWrap/>
            <w:vAlign w:val="center"/>
          </w:tcPr>
          <w:p w14:paraId="4D243400">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X＜10</w:t>
            </w:r>
          </w:p>
        </w:tc>
      </w:tr>
      <w:tr w14:paraId="1EFB6849">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ign w:val="center"/>
          </w:tcPr>
          <w:p w14:paraId="5C3B2FF3">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b/>
                <w:bCs/>
                <w:kern w:val="0"/>
                <w:sz w:val="24"/>
                <w:highlight w:val="none"/>
              </w:rPr>
            </w:pPr>
          </w:p>
        </w:tc>
        <w:tc>
          <w:tcPr>
            <w:tcW w:w="1660" w:type="dxa"/>
            <w:tcBorders>
              <w:top w:val="nil"/>
              <w:left w:val="nil"/>
              <w:bottom w:val="single" w:color="auto" w:sz="4" w:space="0"/>
              <w:right w:val="single" w:color="auto" w:sz="4" w:space="0"/>
            </w:tcBorders>
            <w:noWrap/>
            <w:vAlign w:val="center"/>
          </w:tcPr>
          <w:p w14:paraId="2B9685C9">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营业收入（Y）</w:t>
            </w:r>
          </w:p>
        </w:tc>
        <w:tc>
          <w:tcPr>
            <w:tcW w:w="1466" w:type="dxa"/>
            <w:tcBorders>
              <w:top w:val="nil"/>
              <w:left w:val="nil"/>
              <w:bottom w:val="single" w:color="auto" w:sz="4" w:space="0"/>
              <w:right w:val="single" w:color="auto" w:sz="4" w:space="0"/>
            </w:tcBorders>
            <w:noWrap/>
            <w:vAlign w:val="center"/>
          </w:tcPr>
          <w:p w14:paraId="41E8AADF">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万元</w:t>
            </w:r>
          </w:p>
        </w:tc>
        <w:tc>
          <w:tcPr>
            <w:tcW w:w="1903" w:type="dxa"/>
            <w:tcBorders>
              <w:top w:val="nil"/>
              <w:left w:val="nil"/>
              <w:bottom w:val="single" w:color="auto" w:sz="4" w:space="0"/>
              <w:right w:val="single" w:color="auto" w:sz="4" w:space="0"/>
            </w:tcBorders>
            <w:noWrap/>
            <w:vAlign w:val="center"/>
          </w:tcPr>
          <w:p w14:paraId="34C5F5ED">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500≤Y＜20000</w:t>
            </w:r>
          </w:p>
        </w:tc>
        <w:tc>
          <w:tcPr>
            <w:tcW w:w="1692" w:type="dxa"/>
            <w:tcBorders>
              <w:top w:val="nil"/>
              <w:left w:val="nil"/>
              <w:bottom w:val="single" w:color="auto" w:sz="4" w:space="0"/>
              <w:right w:val="single" w:color="auto" w:sz="4" w:space="0"/>
            </w:tcBorders>
            <w:noWrap/>
            <w:vAlign w:val="center"/>
          </w:tcPr>
          <w:p w14:paraId="5A204F97">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100≤Y＜500</w:t>
            </w:r>
          </w:p>
        </w:tc>
        <w:tc>
          <w:tcPr>
            <w:tcW w:w="1087" w:type="dxa"/>
            <w:tcBorders>
              <w:top w:val="nil"/>
              <w:left w:val="nil"/>
              <w:bottom w:val="single" w:color="auto" w:sz="4" w:space="0"/>
              <w:right w:val="single" w:color="auto" w:sz="4" w:space="0"/>
            </w:tcBorders>
            <w:noWrap/>
            <w:vAlign w:val="center"/>
          </w:tcPr>
          <w:p w14:paraId="609C7BF9">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Y＜100</w:t>
            </w:r>
          </w:p>
        </w:tc>
      </w:tr>
      <w:tr w14:paraId="6EA337BB">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ign w:val="center"/>
          </w:tcPr>
          <w:p w14:paraId="7F47854C">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b/>
                <w:bCs/>
                <w:kern w:val="0"/>
                <w:sz w:val="24"/>
                <w:highlight w:val="none"/>
              </w:rPr>
            </w:pPr>
            <w:r>
              <w:rPr>
                <w:rFonts w:hint="eastAsia" w:ascii="微软雅黑" w:hAnsi="微软雅黑" w:eastAsia="微软雅黑" w:cs="微软雅黑"/>
                <w:b/>
                <w:bCs/>
                <w:kern w:val="0"/>
                <w:sz w:val="24"/>
                <w:highlight w:val="none"/>
              </w:rPr>
              <w:t>交通运输业</w:t>
            </w:r>
          </w:p>
        </w:tc>
        <w:tc>
          <w:tcPr>
            <w:tcW w:w="1660" w:type="dxa"/>
            <w:tcBorders>
              <w:top w:val="nil"/>
              <w:left w:val="nil"/>
              <w:bottom w:val="single" w:color="auto" w:sz="4" w:space="0"/>
              <w:right w:val="single" w:color="auto" w:sz="4" w:space="0"/>
            </w:tcBorders>
            <w:noWrap/>
            <w:vAlign w:val="center"/>
          </w:tcPr>
          <w:p w14:paraId="1F8560A4">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从业人员（X）</w:t>
            </w:r>
          </w:p>
        </w:tc>
        <w:tc>
          <w:tcPr>
            <w:tcW w:w="1466" w:type="dxa"/>
            <w:tcBorders>
              <w:top w:val="nil"/>
              <w:left w:val="nil"/>
              <w:bottom w:val="single" w:color="auto" w:sz="4" w:space="0"/>
              <w:right w:val="single" w:color="auto" w:sz="4" w:space="0"/>
            </w:tcBorders>
            <w:noWrap/>
            <w:vAlign w:val="center"/>
          </w:tcPr>
          <w:p w14:paraId="508E8816">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人</w:t>
            </w:r>
          </w:p>
        </w:tc>
        <w:tc>
          <w:tcPr>
            <w:tcW w:w="1903" w:type="dxa"/>
            <w:tcBorders>
              <w:top w:val="nil"/>
              <w:left w:val="nil"/>
              <w:bottom w:val="single" w:color="auto" w:sz="4" w:space="0"/>
              <w:right w:val="single" w:color="auto" w:sz="4" w:space="0"/>
            </w:tcBorders>
            <w:noWrap/>
            <w:vAlign w:val="center"/>
          </w:tcPr>
          <w:p w14:paraId="47B822AE">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300≤X＜1000</w:t>
            </w:r>
          </w:p>
        </w:tc>
        <w:tc>
          <w:tcPr>
            <w:tcW w:w="1692" w:type="dxa"/>
            <w:tcBorders>
              <w:top w:val="nil"/>
              <w:left w:val="nil"/>
              <w:bottom w:val="single" w:color="auto" w:sz="4" w:space="0"/>
              <w:right w:val="single" w:color="auto" w:sz="4" w:space="0"/>
            </w:tcBorders>
            <w:noWrap/>
            <w:vAlign w:val="center"/>
          </w:tcPr>
          <w:p w14:paraId="30E8BACD">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20≤X＜300</w:t>
            </w:r>
          </w:p>
        </w:tc>
        <w:tc>
          <w:tcPr>
            <w:tcW w:w="1087" w:type="dxa"/>
            <w:tcBorders>
              <w:top w:val="nil"/>
              <w:left w:val="nil"/>
              <w:bottom w:val="single" w:color="auto" w:sz="4" w:space="0"/>
              <w:right w:val="single" w:color="auto" w:sz="4" w:space="0"/>
            </w:tcBorders>
            <w:noWrap/>
            <w:vAlign w:val="center"/>
          </w:tcPr>
          <w:p w14:paraId="74C824F1">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X＜20</w:t>
            </w:r>
          </w:p>
        </w:tc>
      </w:tr>
      <w:tr w14:paraId="15A0CAFD">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ign w:val="center"/>
          </w:tcPr>
          <w:p w14:paraId="7572FEEE">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b/>
                <w:bCs/>
                <w:kern w:val="0"/>
                <w:sz w:val="24"/>
                <w:highlight w:val="none"/>
              </w:rPr>
            </w:pPr>
          </w:p>
        </w:tc>
        <w:tc>
          <w:tcPr>
            <w:tcW w:w="1660" w:type="dxa"/>
            <w:tcBorders>
              <w:top w:val="nil"/>
              <w:left w:val="nil"/>
              <w:bottom w:val="single" w:color="auto" w:sz="4" w:space="0"/>
              <w:right w:val="single" w:color="auto" w:sz="4" w:space="0"/>
            </w:tcBorders>
            <w:noWrap/>
            <w:vAlign w:val="center"/>
          </w:tcPr>
          <w:p w14:paraId="1A6D6B88">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营业收入（Y）</w:t>
            </w:r>
          </w:p>
        </w:tc>
        <w:tc>
          <w:tcPr>
            <w:tcW w:w="1466" w:type="dxa"/>
            <w:tcBorders>
              <w:top w:val="nil"/>
              <w:left w:val="nil"/>
              <w:bottom w:val="single" w:color="auto" w:sz="4" w:space="0"/>
              <w:right w:val="single" w:color="auto" w:sz="4" w:space="0"/>
            </w:tcBorders>
            <w:noWrap/>
            <w:vAlign w:val="center"/>
          </w:tcPr>
          <w:p w14:paraId="036A9B86">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万元</w:t>
            </w:r>
          </w:p>
        </w:tc>
        <w:tc>
          <w:tcPr>
            <w:tcW w:w="1903" w:type="dxa"/>
            <w:tcBorders>
              <w:top w:val="nil"/>
              <w:left w:val="nil"/>
              <w:bottom w:val="single" w:color="auto" w:sz="4" w:space="0"/>
              <w:right w:val="single" w:color="auto" w:sz="4" w:space="0"/>
            </w:tcBorders>
            <w:noWrap/>
            <w:vAlign w:val="center"/>
          </w:tcPr>
          <w:p w14:paraId="13EED447">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3000≤Y＜30000</w:t>
            </w:r>
          </w:p>
        </w:tc>
        <w:tc>
          <w:tcPr>
            <w:tcW w:w="1692" w:type="dxa"/>
            <w:tcBorders>
              <w:top w:val="nil"/>
              <w:left w:val="nil"/>
              <w:bottom w:val="single" w:color="auto" w:sz="4" w:space="0"/>
              <w:right w:val="single" w:color="auto" w:sz="4" w:space="0"/>
            </w:tcBorders>
            <w:noWrap/>
            <w:vAlign w:val="center"/>
          </w:tcPr>
          <w:p w14:paraId="11D054B5">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200≤Y＜3000</w:t>
            </w:r>
          </w:p>
        </w:tc>
        <w:tc>
          <w:tcPr>
            <w:tcW w:w="1087" w:type="dxa"/>
            <w:tcBorders>
              <w:top w:val="nil"/>
              <w:left w:val="nil"/>
              <w:bottom w:val="single" w:color="auto" w:sz="4" w:space="0"/>
              <w:right w:val="single" w:color="auto" w:sz="4" w:space="0"/>
            </w:tcBorders>
            <w:noWrap/>
            <w:vAlign w:val="center"/>
          </w:tcPr>
          <w:p w14:paraId="4C539272">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Y＜200</w:t>
            </w:r>
          </w:p>
        </w:tc>
      </w:tr>
      <w:tr w14:paraId="07486022">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ign w:val="center"/>
          </w:tcPr>
          <w:p w14:paraId="5E020257">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b/>
                <w:bCs/>
                <w:kern w:val="0"/>
                <w:sz w:val="24"/>
                <w:highlight w:val="none"/>
              </w:rPr>
            </w:pPr>
            <w:r>
              <w:rPr>
                <w:rFonts w:hint="eastAsia" w:ascii="微软雅黑" w:hAnsi="微软雅黑" w:eastAsia="微软雅黑" w:cs="微软雅黑"/>
                <w:b/>
                <w:bCs/>
                <w:kern w:val="0"/>
                <w:sz w:val="24"/>
                <w:highlight w:val="none"/>
              </w:rPr>
              <w:t>仓储业</w:t>
            </w:r>
          </w:p>
        </w:tc>
        <w:tc>
          <w:tcPr>
            <w:tcW w:w="1660" w:type="dxa"/>
            <w:tcBorders>
              <w:top w:val="nil"/>
              <w:left w:val="nil"/>
              <w:bottom w:val="single" w:color="auto" w:sz="4" w:space="0"/>
              <w:right w:val="single" w:color="auto" w:sz="4" w:space="0"/>
            </w:tcBorders>
            <w:noWrap/>
            <w:vAlign w:val="center"/>
          </w:tcPr>
          <w:p w14:paraId="1CB8700A">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从业人员（X）</w:t>
            </w:r>
          </w:p>
        </w:tc>
        <w:tc>
          <w:tcPr>
            <w:tcW w:w="1466" w:type="dxa"/>
            <w:tcBorders>
              <w:top w:val="nil"/>
              <w:left w:val="nil"/>
              <w:bottom w:val="single" w:color="auto" w:sz="4" w:space="0"/>
              <w:right w:val="single" w:color="auto" w:sz="4" w:space="0"/>
            </w:tcBorders>
            <w:noWrap/>
            <w:vAlign w:val="center"/>
          </w:tcPr>
          <w:p w14:paraId="7AEC59F8">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人</w:t>
            </w:r>
          </w:p>
        </w:tc>
        <w:tc>
          <w:tcPr>
            <w:tcW w:w="1903" w:type="dxa"/>
            <w:tcBorders>
              <w:top w:val="nil"/>
              <w:left w:val="nil"/>
              <w:bottom w:val="single" w:color="auto" w:sz="4" w:space="0"/>
              <w:right w:val="single" w:color="auto" w:sz="4" w:space="0"/>
            </w:tcBorders>
            <w:noWrap/>
            <w:vAlign w:val="center"/>
          </w:tcPr>
          <w:p w14:paraId="7A142ABB">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100≤X＜200</w:t>
            </w:r>
          </w:p>
        </w:tc>
        <w:tc>
          <w:tcPr>
            <w:tcW w:w="1692" w:type="dxa"/>
            <w:tcBorders>
              <w:top w:val="nil"/>
              <w:left w:val="nil"/>
              <w:bottom w:val="single" w:color="auto" w:sz="4" w:space="0"/>
              <w:right w:val="single" w:color="auto" w:sz="4" w:space="0"/>
            </w:tcBorders>
            <w:noWrap/>
            <w:vAlign w:val="center"/>
          </w:tcPr>
          <w:p w14:paraId="40E01C24">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20≤X＜100</w:t>
            </w:r>
          </w:p>
        </w:tc>
        <w:tc>
          <w:tcPr>
            <w:tcW w:w="1087" w:type="dxa"/>
            <w:tcBorders>
              <w:top w:val="nil"/>
              <w:left w:val="nil"/>
              <w:bottom w:val="single" w:color="auto" w:sz="4" w:space="0"/>
              <w:right w:val="single" w:color="auto" w:sz="4" w:space="0"/>
            </w:tcBorders>
            <w:noWrap/>
            <w:vAlign w:val="center"/>
          </w:tcPr>
          <w:p w14:paraId="0BC6BE78">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X＜20</w:t>
            </w:r>
          </w:p>
        </w:tc>
      </w:tr>
      <w:tr w14:paraId="447676DB">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ign w:val="center"/>
          </w:tcPr>
          <w:p w14:paraId="715FAD76">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b/>
                <w:bCs/>
                <w:kern w:val="0"/>
                <w:sz w:val="24"/>
                <w:highlight w:val="none"/>
              </w:rPr>
            </w:pPr>
          </w:p>
        </w:tc>
        <w:tc>
          <w:tcPr>
            <w:tcW w:w="1660" w:type="dxa"/>
            <w:tcBorders>
              <w:top w:val="nil"/>
              <w:left w:val="nil"/>
              <w:bottom w:val="single" w:color="auto" w:sz="4" w:space="0"/>
              <w:right w:val="single" w:color="auto" w:sz="4" w:space="0"/>
            </w:tcBorders>
            <w:noWrap/>
            <w:vAlign w:val="center"/>
          </w:tcPr>
          <w:p w14:paraId="069AC2DC">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营业收入（Y）</w:t>
            </w:r>
          </w:p>
        </w:tc>
        <w:tc>
          <w:tcPr>
            <w:tcW w:w="1466" w:type="dxa"/>
            <w:tcBorders>
              <w:top w:val="nil"/>
              <w:left w:val="nil"/>
              <w:bottom w:val="single" w:color="auto" w:sz="4" w:space="0"/>
              <w:right w:val="single" w:color="auto" w:sz="4" w:space="0"/>
            </w:tcBorders>
            <w:noWrap/>
            <w:vAlign w:val="center"/>
          </w:tcPr>
          <w:p w14:paraId="450A331A">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万元</w:t>
            </w:r>
          </w:p>
        </w:tc>
        <w:tc>
          <w:tcPr>
            <w:tcW w:w="1903" w:type="dxa"/>
            <w:tcBorders>
              <w:top w:val="nil"/>
              <w:left w:val="nil"/>
              <w:bottom w:val="single" w:color="auto" w:sz="4" w:space="0"/>
              <w:right w:val="single" w:color="auto" w:sz="4" w:space="0"/>
            </w:tcBorders>
            <w:noWrap/>
            <w:vAlign w:val="center"/>
          </w:tcPr>
          <w:p w14:paraId="11CCC0D7">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1000≤Y＜30000</w:t>
            </w:r>
          </w:p>
        </w:tc>
        <w:tc>
          <w:tcPr>
            <w:tcW w:w="1692" w:type="dxa"/>
            <w:tcBorders>
              <w:top w:val="nil"/>
              <w:left w:val="nil"/>
              <w:bottom w:val="single" w:color="auto" w:sz="4" w:space="0"/>
              <w:right w:val="single" w:color="auto" w:sz="4" w:space="0"/>
            </w:tcBorders>
            <w:noWrap/>
            <w:vAlign w:val="center"/>
          </w:tcPr>
          <w:p w14:paraId="27EF193D">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100≤Y＜1000</w:t>
            </w:r>
          </w:p>
        </w:tc>
        <w:tc>
          <w:tcPr>
            <w:tcW w:w="1087" w:type="dxa"/>
            <w:tcBorders>
              <w:top w:val="nil"/>
              <w:left w:val="nil"/>
              <w:bottom w:val="single" w:color="auto" w:sz="4" w:space="0"/>
              <w:right w:val="single" w:color="auto" w:sz="4" w:space="0"/>
            </w:tcBorders>
            <w:noWrap/>
            <w:vAlign w:val="center"/>
          </w:tcPr>
          <w:p w14:paraId="1328E6E2">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Y＜100</w:t>
            </w:r>
          </w:p>
        </w:tc>
      </w:tr>
      <w:tr w14:paraId="49DC4357">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ign w:val="center"/>
          </w:tcPr>
          <w:p w14:paraId="05E2E701">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b/>
                <w:bCs/>
                <w:kern w:val="0"/>
                <w:sz w:val="24"/>
                <w:highlight w:val="none"/>
              </w:rPr>
            </w:pPr>
            <w:r>
              <w:rPr>
                <w:rFonts w:hint="eastAsia" w:ascii="微软雅黑" w:hAnsi="微软雅黑" w:eastAsia="微软雅黑" w:cs="微软雅黑"/>
                <w:b/>
                <w:bCs/>
                <w:kern w:val="0"/>
                <w:sz w:val="24"/>
                <w:highlight w:val="none"/>
              </w:rPr>
              <w:t>邮政业</w:t>
            </w:r>
          </w:p>
        </w:tc>
        <w:tc>
          <w:tcPr>
            <w:tcW w:w="1660" w:type="dxa"/>
            <w:tcBorders>
              <w:top w:val="nil"/>
              <w:left w:val="nil"/>
              <w:bottom w:val="single" w:color="auto" w:sz="4" w:space="0"/>
              <w:right w:val="single" w:color="auto" w:sz="4" w:space="0"/>
            </w:tcBorders>
            <w:noWrap/>
            <w:vAlign w:val="center"/>
          </w:tcPr>
          <w:p w14:paraId="7DCA1180">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从业人员（X）</w:t>
            </w:r>
          </w:p>
        </w:tc>
        <w:tc>
          <w:tcPr>
            <w:tcW w:w="1466" w:type="dxa"/>
            <w:tcBorders>
              <w:top w:val="nil"/>
              <w:left w:val="nil"/>
              <w:bottom w:val="single" w:color="auto" w:sz="4" w:space="0"/>
              <w:right w:val="single" w:color="auto" w:sz="4" w:space="0"/>
            </w:tcBorders>
            <w:noWrap/>
            <w:vAlign w:val="center"/>
          </w:tcPr>
          <w:p w14:paraId="300A6B19">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人</w:t>
            </w:r>
          </w:p>
        </w:tc>
        <w:tc>
          <w:tcPr>
            <w:tcW w:w="1903" w:type="dxa"/>
            <w:tcBorders>
              <w:top w:val="nil"/>
              <w:left w:val="nil"/>
              <w:bottom w:val="single" w:color="auto" w:sz="4" w:space="0"/>
              <w:right w:val="single" w:color="auto" w:sz="4" w:space="0"/>
            </w:tcBorders>
            <w:noWrap/>
            <w:vAlign w:val="center"/>
          </w:tcPr>
          <w:p w14:paraId="3FAE8B59">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300≤X＜1000</w:t>
            </w:r>
          </w:p>
        </w:tc>
        <w:tc>
          <w:tcPr>
            <w:tcW w:w="1692" w:type="dxa"/>
            <w:tcBorders>
              <w:top w:val="nil"/>
              <w:left w:val="nil"/>
              <w:bottom w:val="single" w:color="auto" w:sz="4" w:space="0"/>
              <w:right w:val="single" w:color="auto" w:sz="4" w:space="0"/>
            </w:tcBorders>
            <w:noWrap/>
            <w:vAlign w:val="center"/>
          </w:tcPr>
          <w:p w14:paraId="71908AD0">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20≤X＜300</w:t>
            </w:r>
          </w:p>
        </w:tc>
        <w:tc>
          <w:tcPr>
            <w:tcW w:w="1087" w:type="dxa"/>
            <w:tcBorders>
              <w:top w:val="nil"/>
              <w:left w:val="nil"/>
              <w:bottom w:val="single" w:color="auto" w:sz="4" w:space="0"/>
              <w:right w:val="single" w:color="auto" w:sz="4" w:space="0"/>
            </w:tcBorders>
            <w:noWrap/>
            <w:vAlign w:val="center"/>
          </w:tcPr>
          <w:p w14:paraId="5ECE21D0">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X＜20</w:t>
            </w:r>
          </w:p>
        </w:tc>
      </w:tr>
      <w:tr w14:paraId="514108F7">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ign w:val="center"/>
          </w:tcPr>
          <w:p w14:paraId="7EE19F93">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b/>
                <w:bCs/>
                <w:kern w:val="0"/>
                <w:sz w:val="24"/>
                <w:highlight w:val="none"/>
              </w:rPr>
            </w:pPr>
          </w:p>
        </w:tc>
        <w:tc>
          <w:tcPr>
            <w:tcW w:w="1660" w:type="dxa"/>
            <w:tcBorders>
              <w:top w:val="nil"/>
              <w:left w:val="nil"/>
              <w:bottom w:val="single" w:color="auto" w:sz="4" w:space="0"/>
              <w:right w:val="single" w:color="auto" w:sz="4" w:space="0"/>
            </w:tcBorders>
            <w:noWrap/>
            <w:vAlign w:val="center"/>
          </w:tcPr>
          <w:p w14:paraId="2772D07A">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营业收入（Y）</w:t>
            </w:r>
          </w:p>
        </w:tc>
        <w:tc>
          <w:tcPr>
            <w:tcW w:w="1466" w:type="dxa"/>
            <w:tcBorders>
              <w:top w:val="nil"/>
              <w:left w:val="nil"/>
              <w:bottom w:val="single" w:color="auto" w:sz="4" w:space="0"/>
              <w:right w:val="single" w:color="auto" w:sz="4" w:space="0"/>
            </w:tcBorders>
            <w:noWrap/>
            <w:vAlign w:val="center"/>
          </w:tcPr>
          <w:p w14:paraId="24E85DD8">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万元</w:t>
            </w:r>
          </w:p>
        </w:tc>
        <w:tc>
          <w:tcPr>
            <w:tcW w:w="1903" w:type="dxa"/>
            <w:tcBorders>
              <w:top w:val="nil"/>
              <w:left w:val="nil"/>
              <w:bottom w:val="single" w:color="auto" w:sz="4" w:space="0"/>
              <w:right w:val="single" w:color="auto" w:sz="4" w:space="0"/>
            </w:tcBorders>
            <w:noWrap/>
            <w:vAlign w:val="center"/>
          </w:tcPr>
          <w:p w14:paraId="2DAF8E13">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2000≤Y＜30000</w:t>
            </w:r>
          </w:p>
        </w:tc>
        <w:tc>
          <w:tcPr>
            <w:tcW w:w="1692" w:type="dxa"/>
            <w:tcBorders>
              <w:top w:val="nil"/>
              <w:left w:val="nil"/>
              <w:bottom w:val="single" w:color="auto" w:sz="4" w:space="0"/>
              <w:right w:val="single" w:color="auto" w:sz="4" w:space="0"/>
            </w:tcBorders>
            <w:noWrap/>
            <w:vAlign w:val="center"/>
          </w:tcPr>
          <w:p w14:paraId="04CF45DA">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100≤Y＜2000</w:t>
            </w:r>
          </w:p>
        </w:tc>
        <w:tc>
          <w:tcPr>
            <w:tcW w:w="1087" w:type="dxa"/>
            <w:tcBorders>
              <w:top w:val="nil"/>
              <w:left w:val="nil"/>
              <w:bottom w:val="single" w:color="auto" w:sz="4" w:space="0"/>
              <w:right w:val="single" w:color="auto" w:sz="4" w:space="0"/>
            </w:tcBorders>
            <w:noWrap/>
            <w:vAlign w:val="center"/>
          </w:tcPr>
          <w:p w14:paraId="114360C9">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Y＜100</w:t>
            </w:r>
          </w:p>
        </w:tc>
      </w:tr>
      <w:tr w14:paraId="1DE86059">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ign w:val="center"/>
          </w:tcPr>
          <w:p w14:paraId="2085C0C1">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b/>
                <w:bCs/>
                <w:kern w:val="0"/>
                <w:sz w:val="24"/>
                <w:highlight w:val="none"/>
              </w:rPr>
            </w:pPr>
            <w:r>
              <w:rPr>
                <w:rFonts w:hint="eastAsia" w:ascii="微软雅黑" w:hAnsi="微软雅黑" w:eastAsia="微软雅黑" w:cs="微软雅黑"/>
                <w:b/>
                <w:bCs/>
                <w:kern w:val="0"/>
                <w:sz w:val="24"/>
                <w:highlight w:val="none"/>
              </w:rPr>
              <w:t>住宿业</w:t>
            </w:r>
          </w:p>
        </w:tc>
        <w:tc>
          <w:tcPr>
            <w:tcW w:w="1660" w:type="dxa"/>
            <w:tcBorders>
              <w:top w:val="nil"/>
              <w:left w:val="nil"/>
              <w:bottom w:val="single" w:color="auto" w:sz="4" w:space="0"/>
              <w:right w:val="single" w:color="auto" w:sz="4" w:space="0"/>
            </w:tcBorders>
            <w:noWrap/>
            <w:vAlign w:val="center"/>
          </w:tcPr>
          <w:p w14:paraId="1ECEE8D3">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从业人员（X）</w:t>
            </w:r>
          </w:p>
        </w:tc>
        <w:tc>
          <w:tcPr>
            <w:tcW w:w="1466" w:type="dxa"/>
            <w:tcBorders>
              <w:top w:val="nil"/>
              <w:left w:val="nil"/>
              <w:bottom w:val="single" w:color="auto" w:sz="4" w:space="0"/>
              <w:right w:val="single" w:color="auto" w:sz="4" w:space="0"/>
            </w:tcBorders>
            <w:noWrap/>
            <w:vAlign w:val="center"/>
          </w:tcPr>
          <w:p w14:paraId="0CDF2C59">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人</w:t>
            </w:r>
          </w:p>
        </w:tc>
        <w:tc>
          <w:tcPr>
            <w:tcW w:w="1903" w:type="dxa"/>
            <w:tcBorders>
              <w:top w:val="nil"/>
              <w:left w:val="nil"/>
              <w:bottom w:val="single" w:color="auto" w:sz="4" w:space="0"/>
              <w:right w:val="single" w:color="auto" w:sz="4" w:space="0"/>
            </w:tcBorders>
            <w:noWrap/>
            <w:vAlign w:val="center"/>
          </w:tcPr>
          <w:p w14:paraId="1FE5E717">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100≤X＜300</w:t>
            </w:r>
          </w:p>
        </w:tc>
        <w:tc>
          <w:tcPr>
            <w:tcW w:w="1692" w:type="dxa"/>
            <w:tcBorders>
              <w:top w:val="nil"/>
              <w:left w:val="nil"/>
              <w:bottom w:val="single" w:color="auto" w:sz="4" w:space="0"/>
              <w:right w:val="single" w:color="auto" w:sz="4" w:space="0"/>
            </w:tcBorders>
            <w:noWrap/>
            <w:vAlign w:val="center"/>
          </w:tcPr>
          <w:p w14:paraId="66DA171E">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10≤X＜100</w:t>
            </w:r>
          </w:p>
        </w:tc>
        <w:tc>
          <w:tcPr>
            <w:tcW w:w="1087" w:type="dxa"/>
            <w:tcBorders>
              <w:top w:val="nil"/>
              <w:left w:val="nil"/>
              <w:bottom w:val="single" w:color="auto" w:sz="4" w:space="0"/>
              <w:right w:val="single" w:color="auto" w:sz="4" w:space="0"/>
            </w:tcBorders>
            <w:noWrap/>
            <w:vAlign w:val="center"/>
          </w:tcPr>
          <w:p w14:paraId="533B1B7B">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X＜10</w:t>
            </w:r>
          </w:p>
        </w:tc>
      </w:tr>
      <w:tr w14:paraId="5FF276E3">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ign w:val="center"/>
          </w:tcPr>
          <w:p w14:paraId="029A77FA">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b/>
                <w:bCs/>
                <w:kern w:val="0"/>
                <w:sz w:val="24"/>
                <w:highlight w:val="none"/>
              </w:rPr>
            </w:pPr>
          </w:p>
        </w:tc>
        <w:tc>
          <w:tcPr>
            <w:tcW w:w="1660" w:type="dxa"/>
            <w:tcBorders>
              <w:top w:val="nil"/>
              <w:left w:val="nil"/>
              <w:bottom w:val="single" w:color="auto" w:sz="4" w:space="0"/>
              <w:right w:val="single" w:color="auto" w:sz="4" w:space="0"/>
            </w:tcBorders>
            <w:noWrap/>
            <w:vAlign w:val="center"/>
          </w:tcPr>
          <w:p w14:paraId="6F3C9021">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营业收入（Y）</w:t>
            </w:r>
          </w:p>
        </w:tc>
        <w:tc>
          <w:tcPr>
            <w:tcW w:w="1466" w:type="dxa"/>
            <w:tcBorders>
              <w:top w:val="nil"/>
              <w:left w:val="nil"/>
              <w:bottom w:val="single" w:color="auto" w:sz="4" w:space="0"/>
              <w:right w:val="single" w:color="auto" w:sz="4" w:space="0"/>
            </w:tcBorders>
            <w:noWrap/>
            <w:vAlign w:val="center"/>
          </w:tcPr>
          <w:p w14:paraId="1FC5AA45">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万元</w:t>
            </w:r>
          </w:p>
        </w:tc>
        <w:tc>
          <w:tcPr>
            <w:tcW w:w="1903" w:type="dxa"/>
            <w:tcBorders>
              <w:top w:val="nil"/>
              <w:left w:val="nil"/>
              <w:bottom w:val="single" w:color="auto" w:sz="4" w:space="0"/>
              <w:right w:val="single" w:color="auto" w:sz="4" w:space="0"/>
            </w:tcBorders>
            <w:noWrap/>
            <w:vAlign w:val="center"/>
          </w:tcPr>
          <w:p w14:paraId="0A50B5D1">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2000≤Y＜10000</w:t>
            </w:r>
          </w:p>
        </w:tc>
        <w:tc>
          <w:tcPr>
            <w:tcW w:w="1692" w:type="dxa"/>
            <w:tcBorders>
              <w:top w:val="nil"/>
              <w:left w:val="nil"/>
              <w:bottom w:val="single" w:color="auto" w:sz="4" w:space="0"/>
              <w:right w:val="single" w:color="auto" w:sz="4" w:space="0"/>
            </w:tcBorders>
            <w:noWrap/>
            <w:vAlign w:val="center"/>
          </w:tcPr>
          <w:p w14:paraId="2EFD4805">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100≤Y＜2000</w:t>
            </w:r>
          </w:p>
        </w:tc>
        <w:tc>
          <w:tcPr>
            <w:tcW w:w="1087" w:type="dxa"/>
            <w:tcBorders>
              <w:top w:val="nil"/>
              <w:left w:val="nil"/>
              <w:bottom w:val="single" w:color="auto" w:sz="4" w:space="0"/>
              <w:right w:val="single" w:color="auto" w:sz="4" w:space="0"/>
            </w:tcBorders>
            <w:noWrap/>
            <w:vAlign w:val="center"/>
          </w:tcPr>
          <w:p w14:paraId="22FB7AFC">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Y＜100</w:t>
            </w:r>
          </w:p>
        </w:tc>
      </w:tr>
      <w:tr w14:paraId="3B924E44">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ign w:val="center"/>
          </w:tcPr>
          <w:p w14:paraId="4B64C2E3">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b/>
                <w:bCs/>
                <w:kern w:val="0"/>
                <w:sz w:val="24"/>
                <w:highlight w:val="none"/>
              </w:rPr>
            </w:pPr>
            <w:r>
              <w:rPr>
                <w:rFonts w:hint="eastAsia" w:ascii="微软雅黑" w:hAnsi="微软雅黑" w:eastAsia="微软雅黑" w:cs="微软雅黑"/>
                <w:b/>
                <w:bCs/>
                <w:kern w:val="0"/>
                <w:sz w:val="24"/>
                <w:highlight w:val="none"/>
              </w:rPr>
              <w:t>餐饮业</w:t>
            </w:r>
          </w:p>
        </w:tc>
        <w:tc>
          <w:tcPr>
            <w:tcW w:w="1660" w:type="dxa"/>
            <w:tcBorders>
              <w:top w:val="nil"/>
              <w:left w:val="nil"/>
              <w:bottom w:val="single" w:color="auto" w:sz="4" w:space="0"/>
              <w:right w:val="single" w:color="auto" w:sz="4" w:space="0"/>
            </w:tcBorders>
            <w:noWrap/>
            <w:vAlign w:val="center"/>
          </w:tcPr>
          <w:p w14:paraId="021CE816">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从业人员（X）</w:t>
            </w:r>
          </w:p>
        </w:tc>
        <w:tc>
          <w:tcPr>
            <w:tcW w:w="1466" w:type="dxa"/>
            <w:tcBorders>
              <w:top w:val="nil"/>
              <w:left w:val="nil"/>
              <w:bottom w:val="single" w:color="auto" w:sz="4" w:space="0"/>
              <w:right w:val="single" w:color="auto" w:sz="4" w:space="0"/>
            </w:tcBorders>
            <w:noWrap/>
            <w:vAlign w:val="center"/>
          </w:tcPr>
          <w:p w14:paraId="232AEDED">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人</w:t>
            </w:r>
          </w:p>
        </w:tc>
        <w:tc>
          <w:tcPr>
            <w:tcW w:w="1903" w:type="dxa"/>
            <w:tcBorders>
              <w:top w:val="nil"/>
              <w:left w:val="nil"/>
              <w:bottom w:val="single" w:color="auto" w:sz="4" w:space="0"/>
              <w:right w:val="single" w:color="auto" w:sz="4" w:space="0"/>
            </w:tcBorders>
            <w:noWrap/>
            <w:vAlign w:val="center"/>
          </w:tcPr>
          <w:p w14:paraId="5A2534DA">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100≤X＜300</w:t>
            </w:r>
          </w:p>
        </w:tc>
        <w:tc>
          <w:tcPr>
            <w:tcW w:w="1692" w:type="dxa"/>
            <w:tcBorders>
              <w:top w:val="nil"/>
              <w:left w:val="nil"/>
              <w:bottom w:val="single" w:color="auto" w:sz="4" w:space="0"/>
              <w:right w:val="single" w:color="auto" w:sz="4" w:space="0"/>
            </w:tcBorders>
            <w:noWrap/>
            <w:vAlign w:val="center"/>
          </w:tcPr>
          <w:p w14:paraId="0415C8BD">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10≤X＜100</w:t>
            </w:r>
          </w:p>
        </w:tc>
        <w:tc>
          <w:tcPr>
            <w:tcW w:w="1087" w:type="dxa"/>
            <w:tcBorders>
              <w:top w:val="nil"/>
              <w:left w:val="nil"/>
              <w:bottom w:val="single" w:color="auto" w:sz="4" w:space="0"/>
              <w:right w:val="single" w:color="auto" w:sz="4" w:space="0"/>
            </w:tcBorders>
            <w:noWrap/>
            <w:vAlign w:val="center"/>
          </w:tcPr>
          <w:p w14:paraId="0A89FAF7">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X＜10</w:t>
            </w:r>
          </w:p>
        </w:tc>
      </w:tr>
      <w:tr w14:paraId="215F96ED">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ign w:val="center"/>
          </w:tcPr>
          <w:p w14:paraId="74B0C1EC">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b/>
                <w:bCs/>
                <w:kern w:val="0"/>
                <w:sz w:val="24"/>
                <w:highlight w:val="none"/>
              </w:rPr>
            </w:pPr>
          </w:p>
        </w:tc>
        <w:tc>
          <w:tcPr>
            <w:tcW w:w="1660" w:type="dxa"/>
            <w:tcBorders>
              <w:top w:val="nil"/>
              <w:left w:val="nil"/>
              <w:bottom w:val="single" w:color="auto" w:sz="4" w:space="0"/>
              <w:right w:val="single" w:color="auto" w:sz="4" w:space="0"/>
            </w:tcBorders>
            <w:noWrap/>
            <w:vAlign w:val="center"/>
          </w:tcPr>
          <w:p w14:paraId="10735E30">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营业收入（Y）</w:t>
            </w:r>
          </w:p>
        </w:tc>
        <w:tc>
          <w:tcPr>
            <w:tcW w:w="1466" w:type="dxa"/>
            <w:tcBorders>
              <w:top w:val="nil"/>
              <w:left w:val="nil"/>
              <w:bottom w:val="single" w:color="auto" w:sz="4" w:space="0"/>
              <w:right w:val="single" w:color="auto" w:sz="4" w:space="0"/>
            </w:tcBorders>
            <w:noWrap/>
            <w:vAlign w:val="center"/>
          </w:tcPr>
          <w:p w14:paraId="1BB0E8E7">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万元</w:t>
            </w:r>
          </w:p>
        </w:tc>
        <w:tc>
          <w:tcPr>
            <w:tcW w:w="1903" w:type="dxa"/>
            <w:tcBorders>
              <w:top w:val="nil"/>
              <w:left w:val="nil"/>
              <w:bottom w:val="single" w:color="auto" w:sz="4" w:space="0"/>
              <w:right w:val="single" w:color="auto" w:sz="4" w:space="0"/>
            </w:tcBorders>
            <w:noWrap/>
            <w:vAlign w:val="center"/>
          </w:tcPr>
          <w:p w14:paraId="7EE477CA">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2000≤Y＜10000</w:t>
            </w:r>
          </w:p>
        </w:tc>
        <w:tc>
          <w:tcPr>
            <w:tcW w:w="1692" w:type="dxa"/>
            <w:tcBorders>
              <w:top w:val="nil"/>
              <w:left w:val="nil"/>
              <w:bottom w:val="single" w:color="auto" w:sz="4" w:space="0"/>
              <w:right w:val="single" w:color="auto" w:sz="4" w:space="0"/>
            </w:tcBorders>
            <w:noWrap/>
            <w:vAlign w:val="center"/>
          </w:tcPr>
          <w:p w14:paraId="6CFB33EE">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100≤Y＜2000</w:t>
            </w:r>
          </w:p>
        </w:tc>
        <w:tc>
          <w:tcPr>
            <w:tcW w:w="1087" w:type="dxa"/>
            <w:tcBorders>
              <w:top w:val="nil"/>
              <w:left w:val="nil"/>
              <w:bottom w:val="single" w:color="auto" w:sz="4" w:space="0"/>
              <w:right w:val="single" w:color="auto" w:sz="4" w:space="0"/>
            </w:tcBorders>
            <w:noWrap/>
            <w:vAlign w:val="center"/>
          </w:tcPr>
          <w:p w14:paraId="21D16D69">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Y＜100</w:t>
            </w:r>
          </w:p>
        </w:tc>
      </w:tr>
      <w:tr w14:paraId="1831FBD9">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ign w:val="center"/>
          </w:tcPr>
          <w:p w14:paraId="75B8B0F6">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b/>
                <w:bCs/>
                <w:kern w:val="0"/>
                <w:sz w:val="24"/>
                <w:highlight w:val="none"/>
              </w:rPr>
            </w:pPr>
            <w:r>
              <w:rPr>
                <w:rFonts w:hint="eastAsia" w:ascii="微软雅黑" w:hAnsi="微软雅黑" w:eastAsia="微软雅黑" w:cs="微软雅黑"/>
                <w:b/>
                <w:bCs/>
                <w:kern w:val="0"/>
                <w:sz w:val="24"/>
                <w:highlight w:val="none"/>
              </w:rPr>
              <w:t>信息传输业</w:t>
            </w:r>
          </w:p>
        </w:tc>
        <w:tc>
          <w:tcPr>
            <w:tcW w:w="1660" w:type="dxa"/>
            <w:tcBorders>
              <w:top w:val="nil"/>
              <w:left w:val="nil"/>
              <w:bottom w:val="single" w:color="auto" w:sz="4" w:space="0"/>
              <w:right w:val="single" w:color="auto" w:sz="4" w:space="0"/>
            </w:tcBorders>
            <w:noWrap/>
            <w:vAlign w:val="center"/>
          </w:tcPr>
          <w:p w14:paraId="53B1FA9C">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从业人员（X）</w:t>
            </w:r>
          </w:p>
        </w:tc>
        <w:tc>
          <w:tcPr>
            <w:tcW w:w="1466" w:type="dxa"/>
            <w:tcBorders>
              <w:top w:val="nil"/>
              <w:left w:val="nil"/>
              <w:bottom w:val="single" w:color="auto" w:sz="4" w:space="0"/>
              <w:right w:val="single" w:color="auto" w:sz="4" w:space="0"/>
            </w:tcBorders>
            <w:noWrap/>
            <w:vAlign w:val="center"/>
          </w:tcPr>
          <w:p w14:paraId="42376858">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人</w:t>
            </w:r>
          </w:p>
        </w:tc>
        <w:tc>
          <w:tcPr>
            <w:tcW w:w="1903" w:type="dxa"/>
            <w:tcBorders>
              <w:top w:val="nil"/>
              <w:left w:val="nil"/>
              <w:bottom w:val="single" w:color="auto" w:sz="4" w:space="0"/>
              <w:right w:val="single" w:color="auto" w:sz="4" w:space="0"/>
            </w:tcBorders>
            <w:noWrap/>
            <w:vAlign w:val="center"/>
          </w:tcPr>
          <w:p w14:paraId="0916E684">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100≤X＜2000</w:t>
            </w:r>
          </w:p>
        </w:tc>
        <w:tc>
          <w:tcPr>
            <w:tcW w:w="1692" w:type="dxa"/>
            <w:tcBorders>
              <w:top w:val="nil"/>
              <w:left w:val="nil"/>
              <w:bottom w:val="single" w:color="auto" w:sz="4" w:space="0"/>
              <w:right w:val="single" w:color="auto" w:sz="4" w:space="0"/>
            </w:tcBorders>
            <w:noWrap/>
            <w:vAlign w:val="center"/>
          </w:tcPr>
          <w:p w14:paraId="03A9494F">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10≤X＜100</w:t>
            </w:r>
          </w:p>
        </w:tc>
        <w:tc>
          <w:tcPr>
            <w:tcW w:w="1087" w:type="dxa"/>
            <w:tcBorders>
              <w:top w:val="nil"/>
              <w:left w:val="nil"/>
              <w:bottom w:val="single" w:color="auto" w:sz="4" w:space="0"/>
              <w:right w:val="single" w:color="auto" w:sz="4" w:space="0"/>
            </w:tcBorders>
            <w:noWrap/>
            <w:vAlign w:val="center"/>
          </w:tcPr>
          <w:p w14:paraId="0D53F685">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X＜10</w:t>
            </w:r>
          </w:p>
        </w:tc>
      </w:tr>
      <w:tr w14:paraId="7FD47055">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ign w:val="center"/>
          </w:tcPr>
          <w:p w14:paraId="50B15FD5">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b/>
                <w:bCs/>
                <w:kern w:val="0"/>
                <w:sz w:val="24"/>
                <w:highlight w:val="none"/>
              </w:rPr>
            </w:pPr>
          </w:p>
        </w:tc>
        <w:tc>
          <w:tcPr>
            <w:tcW w:w="1660" w:type="dxa"/>
            <w:tcBorders>
              <w:top w:val="nil"/>
              <w:left w:val="nil"/>
              <w:bottom w:val="single" w:color="auto" w:sz="4" w:space="0"/>
              <w:right w:val="single" w:color="auto" w:sz="4" w:space="0"/>
            </w:tcBorders>
            <w:noWrap/>
            <w:vAlign w:val="center"/>
          </w:tcPr>
          <w:p w14:paraId="309D0676">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营业收入（Y）</w:t>
            </w:r>
          </w:p>
        </w:tc>
        <w:tc>
          <w:tcPr>
            <w:tcW w:w="1466" w:type="dxa"/>
            <w:tcBorders>
              <w:top w:val="nil"/>
              <w:left w:val="nil"/>
              <w:bottom w:val="single" w:color="auto" w:sz="4" w:space="0"/>
              <w:right w:val="single" w:color="auto" w:sz="4" w:space="0"/>
            </w:tcBorders>
            <w:noWrap/>
            <w:vAlign w:val="center"/>
          </w:tcPr>
          <w:p w14:paraId="268A1888">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万元</w:t>
            </w:r>
          </w:p>
        </w:tc>
        <w:tc>
          <w:tcPr>
            <w:tcW w:w="1903" w:type="dxa"/>
            <w:tcBorders>
              <w:top w:val="nil"/>
              <w:left w:val="nil"/>
              <w:bottom w:val="single" w:color="auto" w:sz="4" w:space="0"/>
              <w:right w:val="single" w:color="auto" w:sz="4" w:space="0"/>
            </w:tcBorders>
            <w:noWrap/>
            <w:vAlign w:val="center"/>
          </w:tcPr>
          <w:p w14:paraId="002A0C22">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1000≤Y＜100000</w:t>
            </w:r>
          </w:p>
        </w:tc>
        <w:tc>
          <w:tcPr>
            <w:tcW w:w="1692" w:type="dxa"/>
            <w:tcBorders>
              <w:top w:val="nil"/>
              <w:left w:val="nil"/>
              <w:bottom w:val="single" w:color="auto" w:sz="4" w:space="0"/>
              <w:right w:val="single" w:color="auto" w:sz="4" w:space="0"/>
            </w:tcBorders>
            <w:noWrap/>
            <w:vAlign w:val="center"/>
          </w:tcPr>
          <w:p w14:paraId="4A10D409">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100≤Y＜1000</w:t>
            </w:r>
          </w:p>
        </w:tc>
        <w:tc>
          <w:tcPr>
            <w:tcW w:w="1087" w:type="dxa"/>
            <w:tcBorders>
              <w:top w:val="nil"/>
              <w:left w:val="nil"/>
              <w:bottom w:val="single" w:color="auto" w:sz="4" w:space="0"/>
              <w:right w:val="single" w:color="auto" w:sz="4" w:space="0"/>
            </w:tcBorders>
            <w:noWrap/>
            <w:vAlign w:val="center"/>
          </w:tcPr>
          <w:p w14:paraId="47CAA1F0">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Y＜100</w:t>
            </w:r>
          </w:p>
        </w:tc>
      </w:tr>
      <w:tr w14:paraId="35F2AA19">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ign w:val="center"/>
          </w:tcPr>
          <w:p w14:paraId="0DAEBECE">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b/>
                <w:bCs/>
                <w:kern w:val="0"/>
                <w:sz w:val="24"/>
                <w:highlight w:val="none"/>
              </w:rPr>
            </w:pPr>
            <w:r>
              <w:rPr>
                <w:rFonts w:hint="eastAsia" w:ascii="微软雅黑" w:hAnsi="微软雅黑" w:eastAsia="微软雅黑" w:cs="微软雅黑"/>
                <w:b/>
                <w:bCs/>
                <w:kern w:val="0"/>
                <w:sz w:val="24"/>
                <w:highlight w:val="none"/>
              </w:rPr>
              <w:t>软件和信息技术服务业</w:t>
            </w:r>
          </w:p>
        </w:tc>
        <w:tc>
          <w:tcPr>
            <w:tcW w:w="1660" w:type="dxa"/>
            <w:tcBorders>
              <w:top w:val="nil"/>
              <w:left w:val="nil"/>
              <w:bottom w:val="single" w:color="auto" w:sz="4" w:space="0"/>
              <w:right w:val="single" w:color="auto" w:sz="4" w:space="0"/>
            </w:tcBorders>
            <w:noWrap/>
            <w:vAlign w:val="center"/>
          </w:tcPr>
          <w:p w14:paraId="5432EB9C">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从业人员（X）</w:t>
            </w:r>
          </w:p>
        </w:tc>
        <w:tc>
          <w:tcPr>
            <w:tcW w:w="1466" w:type="dxa"/>
            <w:tcBorders>
              <w:top w:val="nil"/>
              <w:left w:val="nil"/>
              <w:bottom w:val="single" w:color="auto" w:sz="4" w:space="0"/>
              <w:right w:val="single" w:color="auto" w:sz="4" w:space="0"/>
            </w:tcBorders>
            <w:noWrap/>
            <w:vAlign w:val="center"/>
          </w:tcPr>
          <w:p w14:paraId="624826A6">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人</w:t>
            </w:r>
          </w:p>
        </w:tc>
        <w:tc>
          <w:tcPr>
            <w:tcW w:w="1903" w:type="dxa"/>
            <w:tcBorders>
              <w:top w:val="nil"/>
              <w:left w:val="nil"/>
              <w:bottom w:val="single" w:color="auto" w:sz="4" w:space="0"/>
              <w:right w:val="single" w:color="auto" w:sz="4" w:space="0"/>
            </w:tcBorders>
            <w:noWrap/>
            <w:vAlign w:val="center"/>
          </w:tcPr>
          <w:p w14:paraId="132B15CD">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100≤X＜300</w:t>
            </w:r>
          </w:p>
        </w:tc>
        <w:tc>
          <w:tcPr>
            <w:tcW w:w="1692" w:type="dxa"/>
            <w:tcBorders>
              <w:top w:val="nil"/>
              <w:left w:val="nil"/>
              <w:bottom w:val="single" w:color="auto" w:sz="4" w:space="0"/>
              <w:right w:val="single" w:color="auto" w:sz="4" w:space="0"/>
            </w:tcBorders>
            <w:noWrap/>
            <w:vAlign w:val="center"/>
          </w:tcPr>
          <w:p w14:paraId="6049D903">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10≤X＜100</w:t>
            </w:r>
          </w:p>
        </w:tc>
        <w:tc>
          <w:tcPr>
            <w:tcW w:w="1087" w:type="dxa"/>
            <w:tcBorders>
              <w:top w:val="nil"/>
              <w:left w:val="nil"/>
              <w:bottom w:val="single" w:color="auto" w:sz="4" w:space="0"/>
              <w:right w:val="single" w:color="auto" w:sz="4" w:space="0"/>
            </w:tcBorders>
            <w:noWrap/>
            <w:vAlign w:val="center"/>
          </w:tcPr>
          <w:p w14:paraId="4F688E28">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X＜10</w:t>
            </w:r>
          </w:p>
        </w:tc>
      </w:tr>
      <w:tr w14:paraId="0B93B118">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ign w:val="center"/>
          </w:tcPr>
          <w:p w14:paraId="5A2CE486">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b/>
                <w:bCs/>
                <w:kern w:val="0"/>
                <w:sz w:val="24"/>
                <w:highlight w:val="none"/>
              </w:rPr>
            </w:pPr>
          </w:p>
        </w:tc>
        <w:tc>
          <w:tcPr>
            <w:tcW w:w="1660" w:type="dxa"/>
            <w:tcBorders>
              <w:top w:val="nil"/>
              <w:left w:val="nil"/>
              <w:bottom w:val="single" w:color="auto" w:sz="4" w:space="0"/>
              <w:right w:val="single" w:color="auto" w:sz="4" w:space="0"/>
            </w:tcBorders>
            <w:noWrap/>
            <w:vAlign w:val="center"/>
          </w:tcPr>
          <w:p w14:paraId="486A1588">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营业收入（Y）</w:t>
            </w:r>
          </w:p>
        </w:tc>
        <w:tc>
          <w:tcPr>
            <w:tcW w:w="1466" w:type="dxa"/>
            <w:tcBorders>
              <w:top w:val="nil"/>
              <w:left w:val="nil"/>
              <w:bottom w:val="single" w:color="auto" w:sz="4" w:space="0"/>
              <w:right w:val="single" w:color="auto" w:sz="4" w:space="0"/>
            </w:tcBorders>
            <w:noWrap/>
            <w:vAlign w:val="center"/>
          </w:tcPr>
          <w:p w14:paraId="75F032D5">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万元</w:t>
            </w:r>
          </w:p>
        </w:tc>
        <w:tc>
          <w:tcPr>
            <w:tcW w:w="1903" w:type="dxa"/>
            <w:tcBorders>
              <w:top w:val="nil"/>
              <w:left w:val="nil"/>
              <w:bottom w:val="single" w:color="auto" w:sz="4" w:space="0"/>
              <w:right w:val="single" w:color="auto" w:sz="4" w:space="0"/>
            </w:tcBorders>
            <w:noWrap/>
            <w:vAlign w:val="center"/>
          </w:tcPr>
          <w:p w14:paraId="54EB9077">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1000≤Y＜10000</w:t>
            </w:r>
          </w:p>
        </w:tc>
        <w:tc>
          <w:tcPr>
            <w:tcW w:w="1692" w:type="dxa"/>
            <w:tcBorders>
              <w:top w:val="nil"/>
              <w:left w:val="nil"/>
              <w:bottom w:val="single" w:color="auto" w:sz="4" w:space="0"/>
              <w:right w:val="single" w:color="auto" w:sz="4" w:space="0"/>
            </w:tcBorders>
            <w:noWrap/>
            <w:vAlign w:val="center"/>
          </w:tcPr>
          <w:p w14:paraId="71175C97">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50≤Y＜1000</w:t>
            </w:r>
          </w:p>
        </w:tc>
        <w:tc>
          <w:tcPr>
            <w:tcW w:w="1087" w:type="dxa"/>
            <w:tcBorders>
              <w:top w:val="nil"/>
              <w:left w:val="nil"/>
              <w:bottom w:val="single" w:color="auto" w:sz="4" w:space="0"/>
              <w:right w:val="single" w:color="auto" w:sz="4" w:space="0"/>
            </w:tcBorders>
            <w:noWrap/>
            <w:vAlign w:val="center"/>
          </w:tcPr>
          <w:p w14:paraId="3FD41681">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Y＜50</w:t>
            </w:r>
          </w:p>
        </w:tc>
      </w:tr>
      <w:tr w14:paraId="7AF6889D">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ign w:val="center"/>
          </w:tcPr>
          <w:p w14:paraId="3461F90E">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b/>
                <w:bCs/>
                <w:kern w:val="0"/>
                <w:sz w:val="24"/>
                <w:highlight w:val="none"/>
              </w:rPr>
            </w:pPr>
            <w:r>
              <w:rPr>
                <w:rFonts w:hint="eastAsia" w:ascii="微软雅黑" w:hAnsi="微软雅黑" w:eastAsia="微软雅黑" w:cs="微软雅黑"/>
                <w:b/>
                <w:bCs/>
                <w:kern w:val="0"/>
                <w:sz w:val="24"/>
                <w:highlight w:val="none"/>
              </w:rPr>
              <w:t>房地产开发经营</w:t>
            </w:r>
          </w:p>
        </w:tc>
        <w:tc>
          <w:tcPr>
            <w:tcW w:w="1660" w:type="dxa"/>
            <w:tcBorders>
              <w:top w:val="nil"/>
              <w:left w:val="nil"/>
              <w:bottom w:val="single" w:color="auto" w:sz="4" w:space="0"/>
              <w:right w:val="single" w:color="auto" w:sz="4" w:space="0"/>
            </w:tcBorders>
            <w:noWrap/>
            <w:vAlign w:val="center"/>
          </w:tcPr>
          <w:p w14:paraId="51B9C942">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营业收入（Y）</w:t>
            </w:r>
          </w:p>
        </w:tc>
        <w:tc>
          <w:tcPr>
            <w:tcW w:w="1466" w:type="dxa"/>
            <w:tcBorders>
              <w:top w:val="nil"/>
              <w:left w:val="nil"/>
              <w:bottom w:val="single" w:color="auto" w:sz="4" w:space="0"/>
              <w:right w:val="single" w:color="auto" w:sz="4" w:space="0"/>
            </w:tcBorders>
            <w:noWrap/>
            <w:vAlign w:val="center"/>
          </w:tcPr>
          <w:p w14:paraId="41CC0B90">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万元</w:t>
            </w:r>
          </w:p>
        </w:tc>
        <w:tc>
          <w:tcPr>
            <w:tcW w:w="1903" w:type="dxa"/>
            <w:tcBorders>
              <w:top w:val="nil"/>
              <w:left w:val="nil"/>
              <w:bottom w:val="single" w:color="auto" w:sz="4" w:space="0"/>
              <w:right w:val="single" w:color="auto" w:sz="4" w:space="0"/>
            </w:tcBorders>
            <w:noWrap/>
            <w:vAlign w:val="center"/>
          </w:tcPr>
          <w:p w14:paraId="729877C1">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1000≤Y＜200000</w:t>
            </w:r>
          </w:p>
        </w:tc>
        <w:tc>
          <w:tcPr>
            <w:tcW w:w="1692" w:type="dxa"/>
            <w:tcBorders>
              <w:top w:val="nil"/>
              <w:left w:val="nil"/>
              <w:bottom w:val="single" w:color="auto" w:sz="4" w:space="0"/>
              <w:right w:val="single" w:color="auto" w:sz="4" w:space="0"/>
            </w:tcBorders>
            <w:noWrap/>
            <w:vAlign w:val="center"/>
          </w:tcPr>
          <w:p w14:paraId="1CF9129F">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100≤X＜1000</w:t>
            </w:r>
          </w:p>
        </w:tc>
        <w:tc>
          <w:tcPr>
            <w:tcW w:w="1087" w:type="dxa"/>
            <w:tcBorders>
              <w:top w:val="nil"/>
              <w:left w:val="nil"/>
              <w:bottom w:val="single" w:color="auto" w:sz="4" w:space="0"/>
              <w:right w:val="single" w:color="auto" w:sz="4" w:space="0"/>
            </w:tcBorders>
            <w:noWrap/>
            <w:vAlign w:val="center"/>
          </w:tcPr>
          <w:p w14:paraId="3DE4FC96">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X＜100</w:t>
            </w:r>
          </w:p>
        </w:tc>
      </w:tr>
      <w:tr w14:paraId="4730C594">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ign w:val="center"/>
          </w:tcPr>
          <w:p w14:paraId="163FE0FF">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b/>
                <w:bCs/>
                <w:kern w:val="0"/>
                <w:sz w:val="24"/>
                <w:highlight w:val="none"/>
              </w:rPr>
            </w:pPr>
          </w:p>
        </w:tc>
        <w:tc>
          <w:tcPr>
            <w:tcW w:w="1660" w:type="dxa"/>
            <w:tcBorders>
              <w:top w:val="nil"/>
              <w:left w:val="nil"/>
              <w:bottom w:val="single" w:color="auto" w:sz="4" w:space="0"/>
              <w:right w:val="single" w:color="auto" w:sz="4" w:space="0"/>
            </w:tcBorders>
            <w:noWrap/>
            <w:vAlign w:val="center"/>
          </w:tcPr>
          <w:p w14:paraId="131C5A3E">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资产总额（Z）</w:t>
            </w:r>
          </w:p>
        </w:tc>
        <w:tc>
          <w:tcPr>
            <w:tcW w:w="1466" w:type="dxa"/>
            <w:tcBorders>
              <w:top w:val="nil"/>
              <w:left w:val="nil"/>
              <w:bottom w:val="single" w:color="auto" w:sz="4" w:space="0"/>
              <w:right w:val="single" w:color="auto" w:sz="4" w:space="0"/>
            </w:tcBorders>
            <w:noWrap/>
            <w:vAlign w:val="center"/>
          </w:tcPr>
          <w:p w14:paraId="78D2521F">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万元</w:t>
            </w:r>
          </w:p>
        </w:tc>
        <w:tc>
          <w:tcPr>
            <w:tcW w:w="1903" w:type="dxa"/>
            <w:tcBorders>
              <w:top w:val="nil"/>
              <w:left w:val="nil"/>
              <w:bottom w:val="single" w:color="auto" w:sz="4" w:space="0"/>
              <w:right w:val="single" w:color="auto" w:sz="4" w:space="0"/>
            </w:tcBorders>
            <w:noWrap/>
            <w:vAlign w:val="center"/>
          </w:tcPr>
          <w:p w14:paraId="4E0AE30A">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5000≤Z＜10000</w:t>
            </w:r>
          </w:p>
        </w:tc>
        <w:tc>
          <w:tcPr>
            <w:tcW w:w="1692" w:type="dxa"/>
            <w:tcBorders>
              <w:top w:val="nil"/>
              <w:left w:val="nil"/>
              <w:bottom w:val="single" w:color="auto" w:sz="4" w:space="0"/>
              <w:right w:val="single" w:color="auto" w:sz="4" w:space="0"/>
            </w:tcBorders>
            <w:noWrap/>
            <w:vAlign w:val="center"/>
          </w:tcPr>
          <w:p w14:paraId="30DBA77B">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2000≤Y＜5000</w:t>
            </w:r>
          </w:p>
        </w:tc>
        <w:tc>
          <w:tcPr>
            <w:tcW w:w="1087" w:type="dxa"/>
            <w:tcBorders>
              <w:top w:val="nil"/>
              <w:left w:val="nil"/>
              <w:bottom w:val="single" w:color="auto" w:sz="4" w:space="0"/>
              <w:right w:val="single" w:color="auto" w:sz="4" w:space="0"/>
            </w:tcBorders>
            <w:noWrap/>
            <w:vAlign w:val="center"/>
          </w:tcPr>
          <w:p w14:paraId="5B4D9CC3">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Y＜2000</w:t>
            </w:r>
          </w:p>
        </w:tc>
      </w:tr>
      <w:tr w14:paraId="5EEB1396">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ign w:val="center"/>
          </w:tcPr>
          <w:p w14:paraId="246014F6">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b/>
                <w:bCs/>
                <w:kern w:val="0"/>
                <w:sz w:val="24"/>
                <w:highlight w:val="none"/>
              </w:rPr>
            </w:pPr>
            <w:r>
              <w:rPr>
                <w:rFonts w:hint="eastAsia" w:ascii="微软雅黑" w:hAnsi="微软雅黑" w:eastAsia="微软雅黑" w:cs="微软雅黑"/>
                <w:b/>
                <w:bCs/>
                <w:kern w:val="0"/>
                <w:sz w:val="24"/>
                <w:highlight w:val="none"/>
              </w:rPr>
              <w:t>物业管理</w:t>
            </w:r>
          </w:p>
        </w:tc>
        <w:tc>
          <w:tcPr>
            <w:tcW w:w="1660" w:type="dxa"/>
            <w:tcBorders>
              <w:top w:val="nil"/>
              <w:left w:val="nil"/>
              <w:bottom w:val="single" w:color="auto" w:sz="4" w:space="0"/>
              <w:right w:val="single" w:color="auto" w:sz="4" w:space="0"/>
            </w:tcBorders>
            <w:noWrap/>
            <w:vAlign w:val="center"/>
          </w:tcPr>
          <w:p w14:paraId="1F431B8B">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从业人员（X）</w:t>
            </w:r>
          </w:p>
        </w:tc>
        <w:tc>
          <w:tcPr>
            <w:tcW w:w="1466" w:type="dxa"/>
            <w:tcBorders>
              <w:top w:val="nil"/>
              <w:left w:val="nil"/>
              <w:bottom w:val="single" w:color="auto" w:sz="4" w:space="0"/>
              <w:right w:val="single" w:color="auto" w:sz="4" w:space="0"/>
            </w:tcBorders>
            <w:noWrap/>
            <w:vAlign w:val="center"/>
          </w:tcPr>
          <w:p w14:paraId="009AC597">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人</w:t>
            </w:r>
          </w:p>
        </w:tc>
        <w:tc>
          <w:tcPr>
            <w:tcW w:w="1903" w:type="dxa"/>
            <w:tcBorders>
              <w:top w:val="nil"/>
              <w:left w:val="nil"/>
              <w:bottom w:val="single" w:color="auto" w:sz="4" w:space="0"/>
              <w:right w:val="single" w:color="auto" w:sz="4" w:space="0"/>
            </w:tcBorders>
            <w:noWrap/>
            <w:vAlign w:val="center"/>
          </w:tcPr>
          <w:p w14:paraId="5C689F0F">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300≤X＜1000</w:t>
            </w:r>
          </w:p>
        </w:tc>
        <w:tc>
          <w:tcPr>
            <w:tcW w:w="1692" w:type="dxa"/>
            <w:tcBorders>
              <w:top w:val="nil"/>
              <w:left w:val="nil"/>
              <w:bottom w:val="single" w:color="auto" w:sz="4" w:space="0"/>
              <w:right w:val="single" w:color="auto" w:sz="4" w:space="0"/>
            </w:tcBorders>
            <w:noWrap/>
            <w:vAlign w:val="center"/>
          </w:tcPr>
          <w:p w14:paraId="7598DF73">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100≤X＜300</w:t>
            </w:r>
          </w:p>
        </w:tc>
        <w:tc>
          <w:tcPr>
            <w:tcW w:w="1087" w:type="dxa"/>
            <w:tcBorders>
              <w:top w:val="nil"/>
              <w:left w:val="nil"/>
              <w:bottom w:val="single" w:color="auto" w:sz="4" w:space="0"/>
              <w:right w:val="single" w:color="auto" w:sz="4" w:space="0"/>
            </w:tcBorders>
            <w:noWrap/>
            <w:vAlign w:val="center"/>
          </w:tcPr>
          <w:p w14:paraId="01F4D12B">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X＜100</w:t>
            </w:r>
          </w:p>
        </w:tc>
      </w:tr>
      <w:tr w14:paraId="78B5A0DA">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ign w:val="center"/>
          </w:tcPr>
          <w:p w14:paraId="2834C765">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b/>
                <w:bCs/>
                <w:kern w:val="0"/>
                <w:sz w:val="24"/>
                <w:highlight w:val="none"/>
              </w:rPr>
            </w:pPr>
          </w:p>
        </w:tc>
        <w:tc>
          <w:tcPr>
            <w:tcW w:w="1660" w:type="dxa"/>
            <w:tcBorders>
              <w:top w:val="nil"/>
              <w:left w:val="nil"/>
              <w:bottom w:val="single" w:color="auto" w:sz="4" w:space="0"/>
              <w:right w:val="single" w:color="auto" w:sz="4" w:space="0"/>
            </w:tcBorders>
            <w:noWrap/>
            <w:vAlign w:val="center"/>
          </w:tcPr>
          <w:p w14:paraId="0D99013A">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营业收入（Y）</w:t>
            </w:r>
          </w:p>
        </w:tc>
        <w:tc>
          <w:tcPr>
            <w:tcW w:w="1466" w:type="dxa"/>
            <w:tcBorders>
              <w:top w:val="nil"/>
              <w:left w:val="nil"/>
              <w:bottom w:val="single" w:color="auto" w:sz="4" w:space="0"/>
              <w:right w:val="single" w:color="auto" w:sz="4" w:space="0"/>
            </w:tcBorders>
            <w:noWrap/>
            <w:vAlign w:val="center"/>
          </w:tcPr>
          <w:p w14:paraId="2C30C3E3">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万元</w:t>
            </w:r>
          </w:p>
        </w:tc>
        <w:tc>
          <w:tcPr>
            <w:tcW w:w="1903" w:type="dxa"/>
            <w:tcBorders>
              <w:top w:val="nil"/>
              <w:left w:val="nil"/>
              <w:bottom w:val="single" w:color="auto" w:sz="4" w:space="0"/>
              <w:right w:val="single" w:color="auto" w:sz="4" w:space="0"/>
            </w:tcBorders>
            <w:noWrap/>
            <w:vAlign w:val="center"/>
          </w:tcPr>
          <w:p w14:paraId="2E7B2003">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1000≤Y＜5000</w:t>
            </w:r>
          </w:p>
        </w:tc>
        <w:tc>
          <w:tcPr>
            <w:tcW w:w="1692" w:type="dxa"/>
            <w:tcBorders>
              <w:top w:val="nil"/>
              <w:left w:val="nil"/>
              <w:bottom w:val="single" w:color="auto" w:sz="4" w:space="0"/>
              <w:right w:val="single" w:color="auto" w:sz="4" w:space="0"/>
            </w:tcBorders>
            <w:noWrap/>
            <w:vAlign w:val="center"/>
          </w:tcPr>
          <w:p w14:paraId="6CFF98A9">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500≤Y＜1000</w:t>
            </w:r>
          </w:p>
        </w:tc>
        <w:tc>
          <w:tcPr>
            <w:tcW w:w="1087" w:type="dxa"/>
            <w:tcBorders>
              <w:top w:val="nil"/>
              <w:left w:val="nil"/>
              <w:bottom w:val="single" w:color="auto" w:sz="4" w:space="0"/>
              <w:right w:val="single" w:color="auto" w:sz="4" w:space="0"/>
            </w:tcBorders>
            <w:noWrap/>
            <w:vAlign w:val="center"/>
          </w:tcPr>
          <w:p w14:paraId="2153F4D5">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Y＜500</w:t>
            </w:r>
          </w:p>
        </w:tc>
      </w:tr>
      <w:tr w14:paraId="58C8D028">
        <w:tblPrEx>
          <w:tblCellMar>
            <w:top w:w="0" w:type="dxa"/>
            <w:left w:w="108" w:type="dxa"/>
            <w:bottom w:w="0" w:type="dxa"/>
            <w:right w:w="108" w:type="dxa"/>
          </w:tblCellMar>
        </w:tblPrEx>
        <w:trPr>
          <w:trHeight w:val="242" w:hRule="atLeast"/>
          <w:jc w:val="center"/>
        </w:trPr>
        <w:tc>
          <w:tcPr>
            <w:tcW w:w="1570" w:type="dxa"/>
            <w:vMerge w:val="restart"/>
            <w:tcBorders>
              <w:top w:val="nil"/>
              <w:left w:val="single" w:color="auto" w:sz="4" w:space="0"/>
              <w:bottom w:val="single" w:color="auto" w:sz="4" w:space="0"/>
              <w:right w:val="single" w:color="auto" w:sz="4" w:space="0"/>
            </w:tcBorders>
            <w:noWrap/>
            <w:vAlign w:val="center"/>
          </w:tcPr>
          <w:p w14:paraId="55BD6F15">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b/>
                <w:bCs/>
                <w:kern w:val="0"/>
                <w:sz w:val="24"/>
                <w:highlight w:val="none"/>
              </w:rPr>
            </w:pPr>
            <w:r>
              <w:rPr>
                <w:rFonts w:hint="eastAsia" w:ascii="微软雅黑" w:hAnsi="微软雅黑" w:eastAsia="微软雅黑" w:cs="微软雅黑"/>
                <w:b/>
                <w:bCs/>
                <w:kern w:val="0"/>
                <w:sz w:val="24"/>
                <w:highlight w:val="none"/>
              </w:rPr>
              <w:t>租赁和商务服务业</w:t>
            </w:r>
          </w:p>
        </w:tc>
        <w:tc>
          <w:tcPr>
            <w:tcW w:w="1660" w:type="dxa"/>
            <w:tcBorders>
              <w:top w:val="nil"/>
              <w:left w:val="nil"/>
              <w:bottom w:val="single" w:color="auto" w:sz="4" w:space="0"/>
              <w:right w:val="single" w:color="auto" w:sz="4" w:space="0"/>
            </w:tcBorders>
            <w:noWrap/>
            <w:vAlign w:val="center"/>
          </w:tcPr>
          <w:p w14:paraId="04799304">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从业人员（X）</w:t>
            </w:r>
          </w:p>
        </w:tc>
        <w:tc>
          <w:tcPr>
            <w:tcW w:w="1466" w:type="dxa"/>
            <w:tcBorders>
              <w:top w:val="nil"/>
              <w:left w:val="nil"/>
              <w:bottom w:val="single" w:color="auto" w:sz="4" w:space="0"/>
              <w:right w:val="single" w:color="auto" w:sz="4" w:space="0"/>
            </w:tcBorders>
            <w:noWrap/>
            <w:vAlign w:val="center"/>
          </w:tcPr>
          <w:p w14:paraId="78A3CF20">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人</w:t>
            </w:r>
          </w:p>
        </w:tc>
        <w:tc>
          <w:tcPr>
            <w:tcW w:w="1903" w:type="dxa"/>
            <w:tcBorders>
              <w:top w:val="nil"/>
              <w:left w:val="nil"/>
              <w:bottom w:val="single" w:color="auto" w:sz="4" w:space="0"/>
              <w:right w:val="single" w:color="auto" w:sz="4" w:space="0"/>
            </w:tcBorders>
            <w:noWrap/>
            <w:vAlign w:val="center"/>
          </w:tcPr>
          <w:p w14:paraId="3E2F11DF">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100≤X＜300</w:t>
            </w:r>
          </w:p>
        </w:tc>
        <w:tc>
          <w:tcPr>
            <w:tcW w:w="1692" w:type="dxa"/>
            <w:tcBorders>
              <w:top w:val="nil"/>
              <w:left w:val="nil"/>
              <w:bottom w:val="single" w:color="auto" w:sz="4" w:space="0"/>
              <w:right w:val="single" w:color="auto" w:sz="4" w:space="0"/>
            </w:tcBorders>
            <w:noWrap/>
            <w:vAlign w:val="center"/>
          </w:tcPr>
          <w:p w14:paraId="002B08E4">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10≤X＜100</w:t>
            </w:r>
          </w:p>
        </w:tc>
        <w:tc>
          <w:tcPr>
            <w:tcW w:w="1087" w:type="dxa"/>
            <w:tcBorders>
              <w:top w:val="nil"/>
              <w:left w:val="nil"/>
              <w:bottom w:val="single" w:color="auto" w:sz="4" w:space="0"/>
              <w:right w:val="single" w:color="auto" w:sz="4" w:space="0"/>
            </w:tcBorders>
            <w:noWrap/>
            <w:vAlign w:val="center"/>
          </w:tcPr>
          <w:p w14:paraId="0173D04E">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X＜10</w:t>
            </w:r>
          </w:p>
        </w:tc>
      </w:tr>
      <w:tr w14:paraId="42E14B84">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ign w:val="center"/>
          </w:tcPr>
          <w:p w14:paraId="245D2FAA">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b/>
                <w:bCs/>
                <w:kern w:val="0"/>
                <w:sz w:val="24"/>
                <w:highlight w:val="none"/>
              </w:rPr>
            </w:pPr>
          </w:p>
        </w:tc>
        <w:tc>
          <w:tcPr>
            <w:tcW w:w="1660" w:type="dxa"/>
            <w:tcBorders>
              <w:top w:val="nil"/>
              <w:left w:val="nil"/>
              <w:bottom w:val="single" w:color="auto" w:sz="4" w:space="0"/>
              <w:right w:val="single" w:color="auto" w:sz="4" w:space="0"/>
            </w:tcBorders>
            <w:noWrap/>
            <w:vAlign w:val="center"/>
          </w:tcPr>
          <w:p w14:paraId="47413CE8">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资产总额（Z）</w:t>
            </w:r>
          </w:p>
        </w:tc>
        <w:tc>
          <w:tcPr>
            <w:tcW w:w="1466" w:type="dxa"/>
            <w:tcBorders>
              <w:top w:val="nil"/>
              <w:left w:val="nil"/>
              <w:bottom w:val="single" w:color="auto" w:sz="4" w:space="0"/>
              <w:right w:val="single" w:color="auto" w:sz="4" w:space="0"/>
            </w:tcBorders>
            <w:noWrap/>
            <w:vAlign w:val="center"/>
          </w:tcPr>
          <w:p w14:paraId="4E3BEC38">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万元</w:t>
            </w:r>
          </w:p>
        </w:tc>
        <w:tc>
          <w:tcPr>
            <w:tcW w:w="1903" w:type="dxa"/>
            <w:tcBorders>
              <w:top w:val="nil"/>
              <w:left w:val="nil"/>
              <w:bottom w:val="single" w:color="auto" w:sz="4" w:space="0"/>
              <w:right w:val="single" w:color="auto" w:sz="4" w:space="0"/>
            </w:tcBorders>
            <w:noWrap/>
            <w:vAlign w:val="center"/>
          </w:tcPr>
          <w:p w14:paraId="351AF5F0">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8000≤Z＜120000</w:t>
            </w:r>
          </w:p>
        </w:tc>
        <w:tc>
          <w:tcPr>
            <w:tcW w:w="1692" w:type="dxa"/>
            <w:tcBorders>
              <w:top w:val="nil"/>
              <w:left w:val="nil"/>
              <w:bottom w:val="single" w:color="auto" w:sz="4" w:space="0"/>
              <w:right w:val="single" w:color="auto" w:sz="4" w:space="0"/>
            </w:tcBorders>
            <w:noWrap/>
            <w:vAlign w:val="center"/>
          </w:tcPr>
          <w:p w14:paraId="790368FC">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100≤Z＜8000</w:t>
            </w:r>
          </w:p>
        </w:tc>
        <w:tc>
          <w:tcPr>
            <w:tcW w:w="1087" w:type="dxa"/>
            <w:tcBorders>
              <w:top w:val="nil"/>
              <w:left w:val="nil"/>
              <w:bottom w:val="single" w:color="auto" w:sz="4" w:space="0"/>
              <w:right w:val="single" w:color="auto" w:sz="4" w:space="0"/>
            </w:tcBorders>
            <w:noWrap/>
            <w:vAlign w:val="center"/>
          </w:tcPr>
          <w:p w14:paraId="6651F00E">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Y＜100</w:t>
            </w:r>
          </w:p>
        </w:tc>
      </w:tr>
      <w:tr w14:paraId="6AAF503E">
        <w:tblPrEx>
          <w:tblCellMar>
            <w:top w:w="0" w:type="dxa"/>
            <w:left w:w="108" w:type="dxa"/>
            <w:bottom w:w="0" w:type="dxa"/>
            <w:right w:w="108" w:type="dxa"/>
          </w:tblCellMar>
        </w:tblPrEx>
        <w:trPr>
          <w:trHeight w:val="199" w:hRule="atLeast"/>
          <w:jc w:val="center"/>
        </w:trPr>
        <w:tc>
          <w:tcPr>
            <w:tcW w:w="1570" w:type="dxa"/>
            <w:tcBorders>
              <w:top w:val="nil"/>
              <w:left w:val="single" w:color="auto" w:sz="4" w:space="0"/>
              <w:bottom w:val="single" w:color="auto" w:sz="4" w:space="0"/>
              <w:right w:val="single" w:color="auto" w:sz="4" w:space="0"/>
            </w:tcBorders>
            <w:noWrap/>
            <w:vAlign w:val="center"/>
          </w:tcPr>
          <w:p w14:paraId="264A7D2C">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b/>
                <w:bCs/>
                <w:kern w:val="0"/>
                <w:sz w:val="24"/>
                <w:highlight w:val="none"/>
              </w:rPr>
            </w:pPr>
            <w:r>
              <w:rPr>
                <w:rFonts w:hint="eastAsia" w:ascii="微软雅黑" w:hAnsi="微软雅黑" w:eastAsia="微软雅黑" w:cs="微软雅黑"/>
                <w:b/>
                <w:bCs/>
                <w:kern w:val="0"/>
                <w:sz w:val="24"/>
                <w:highlight w:val="none"/>
              </w:rPr>
              <w:t>其他未列明行业</w:t>
            </w:r>
          </w:p>
        </w:tc>
        <w:tc>
          <w:tcPr>
            <w:tcW w:w="1660" w:type="dxa"/>
            <w:tcBorders>
              <w:top w:val="nil"/>
              <w:left w:val="nil"/>
              <w:bottom w:val="single" w:color="auto" w:sz="4" w:space="0"/>
              <w:right w:val="single" w:color="auto" w:sz="4" w:space="0"/>
            </w:tcBorders>
            <w:noWrap/>
            <w:vAlign w:val="center"/>
          </w:tcPr>
          <w:p w14:paraId="0CC65B06">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从业人员（X）</w:t>
            </w:r>
          </w:p>
        </w:tc>
        <w:tc>
          <w:tcPr>
            <w:tcW w:w="1466" w:type="dxa"/>
            <w:tcBorders>
              <w:top w:val="nil"/>
              <w:left w:val="nil"/>
              <w:bottom w:val="single" w:color="auto" w:sz="4" w:space="0"/>
              <w:right w:val="single" w:color="auto" w:sz="4" w:space="0"/>
            </w:tcBorders>
            <w:noWrap/>
            <w:vAlign w:val="center"/>
          </w:tcPr>
          <w:p w14:paraId="4DBF16E3">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人</w:t>
            </w:r>
          </w:p>
        </w:tc>
        <w:tc>
          <w:tcPr>
            <w:tcW w:w="1903" w:type="dxa"/>
            <w:tcBorders>
              <w:top w:val="nil"/>
              <w:left w:val="nil"/>
              <w:bottom w:val="single" w:color="auto" w:sz="4" w:space="0"/>
              <w:right w:val="single" w:color="auto" w:sz="4" w:space="0"/>
            </w:tcBorders>
            <w:noWrap/>
            <w:vAlign w:val="center"/>
          </w:tcPr>
          <w:p w14:paraId="2B2DA8C0">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100≤X＜300</w:t>
            </w:r>
          </w:p>
        </w:tc>
        <w:tc>
          <w:tcPr>
            <w:tcW w:w="1692" w:type="dxa"/>
            <w:tcBorders>
              <w:top w:val="nil"/>
              <w:left w:val="nil"/>
              <w:bottom w:val="single" w:color="auto" w:sz="4" w:space="0"/>
              <w:right w:val="single" w:color="auto" w:sz="4" w:space="0"/>
            </w:tcBorders>
            <w:noWrap/>
            <w:vAlign w:val="center"/>
          </w:tcPr>
          <w:p w14:paraId="29DF8873">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10≤X＜100</w:t>
            </w:r>
          </w:p>
        </w:tc>
        <w:tc>
          <w:tcPr>
            <w:tcW w:w="1087" w:type="dxa"/>
            <w:tcBorders>
              <w:top w:val="nil"/>
              <w:left w:val="nil"/>
              <w:bottom w:val="single" w:color="auto" w:sz="4" w:space="0"/>
              <w:right w:val="single" w:color="auto" w:sz="4" w:space="0"/>
            </w:tcBorders>
            <w:noWrap/>
            <w:vAlign w:val="center"/>
          </w:tcPr>
          <w:p w14:paraId="6FDA7A0D">
            <w:pPr>
              <w:keepNext w:val="0"/>
              <w:keepLines w:val="0"/>
              <w:pageBreakBefore w:val="0"/>
              <w:widowControl w:val="0"/>
              <w:suppressLineNumbers w:val="0"/>
              <w:wordWrap/>
              <w:overflowPunct/>
              <w:topLinePunct w:val="0"/>
              <w:bidi w:val="0"/>
              <w:snapToGrid w:val="0"/>
              <w:spacing w:before="0" w:beforeAutospacing="0" w:afterAutospacing="0"/>
              <w:ind w:left="0" w:right="0"/>
              <w:contextualSpacing/>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X＜10</w:t>
            </w:r>
          </w:p>
        </w:tc>
      </w:tr>
    </w:tbl>
    <w:p w14:paraId="7F8DC223">
      <w:pPr>
        <w:keepNext w:val="0"/>
        <w:keepLines w:val="0"/>
        <w:pageBreakBefore w:val="0"/>
        <w:widowControl w:val="0"/>
        <w:wordWrap/>
        <w:overflowPunct/>
        <w:topLinePunct w:val="0"/>
        <w:bidi w:val="0"/>
        <w:spacing w:line="460" w:lineRule="exact"/>
        <w:ind w:firstLine="480" w:firstLineChars="200"/>
        <w:jc w:val="left"/>
        <w:textAlignment w:val="auto"/>
        <w:rPr>
          <w:rFonts w:hint="eastAsia" w:ascii="微软雅黑" w:hAnsi="微软雅黑" w:eastAsia="微软雅黑" w:cs="微软雅黑"/>
          <w:kern w:val="0"/>
          <w:sz w:val="24"/>
          <w:highlight w:val="none"/>
          <w:shd w:val="clear" w:color="auto" w:fill="FFFFFF"/>
        </w:rPr>
      </w:pPr>
      <w:r>
        <w:rPr>
          <w:rFonts w:hint="eastAsia" w:ascii="微软雅黑" w:hAnsi="微软雅黑" w:eastAsia="微软雅黑" w:cs="微软雅黑"/>
          <w:b/>
          <w:bCs/>
          <w:kern w:val="0"/>
          <w:sz w:val="24"/>
          <w:highlight w:val="none"/>
          <w:shd w:val="clear" w:color="auto" w:fill="FFFFFF"/>
        </w:rPr>
        <w:t>说明：</w:t>
      </w:r>
      <w:r>
        <w:rPr>
          <w:rFonts w:hint="eastAsia" w:ascii="微软雅黑" w:hAnsi="微软雅黑" w:eastAsia="微软雅黑" w:cs="微软雅黑"/>
          <w:kern w:val="0"/>
          <w:sz w:val="24"/>
          <w:highlight w:val="none"/>
          <w:shd w:val="clear" w:color="auto" w:fill="FFFFFF"/>
        </w:rPr>
        <w:t>上述标准参照《关于印发中小企业划型标准规定的通知》（工信部联企业[2011]300号），大型、中型和小型企业须同时满足所列指标的下限，否则下划一档；微型企业只须满足所列指标中的一项即可。</w:t>
      </w:r>
    </w:p>
    <w:p w14:paraId="52A06352">
      <w:pPr>
        <w:keepNext w:val="0"/>
        <w:keepLines w:val="0"/>
        <w:pageBreakBefore w:val="0"/>
        <w:widowControl w:val="0"/>
        <w:wordWrap/>
        <w:overflowPunct/>
        <w:topLinePunct w:val="0"/>
        <w:bidi w:val="0"/>
        <w:spacing w:line="460" w:lineRule="exact"/>
        <w:ind w:firstLine="480" w:firstLineChars="200"/>
        <w:jc w:val="left"/>
        <w:textAlignment w:val="auto"/>
        <w:rPr>
          <w:rFonts w:hint="eastAsia" w:ascii="微软雅黑" w:hAnsi="微软雅黑" w:eastAsia="微软雅黑" w:cs="微软雅黑"/>
          <w:kern w:val="0"/>
          <w:sz w:val="24"/>
          <w:highlight w:val="none"/>
          <w:shd w:val="clear" w:color="auto" w:fill="FFFFFF"/>
        </w:rPr>
      </w:pPr>
      <w:r>
        <w:rPr>
          <w:rFonts w:hint="eastAsia" w:ascii="微软雅黑" w:hAnsi="微软雅黑" w:eastAsia="微软雅黑" w:cs="微软雅黑"/>
          <w:kern w:val="0"/>
          <w:sz w:val="24"/>
          <w:highlight w:val="none"/>
          <w:shd w:val="clear" w:color="auto" w:fill="FFFFFF"/>
        </w:rPr>
        <w:t>本招标文件所称中小企业，是指在中华人民共和国境内依法设立，依据国务院批准的</w:t>
      </w:r>
    </w:p>
    <w:p w14:paraId="7614E9E7">
      <w:pPr>
        <w:keepNext w:val="0"/>
        <w:keepLines w:val="0"/>
        <w:pageBreakBefore w:val="0"/>
        <w:widowControl w:val="0"/>
        <w:wordWrap/>
        <w:overflowPunct/>
        <w:topLinePunct w:val="0"/>
        <w:bidi w:val="0"/>
        <w:spacing w:line="460" w:lineRule="exact"/>
        <w:ind w:firstLine="480" w:firstLineChars="200"/>
        <w:jc w:val="left"/>
        <w:textAlignment w:val="auto"/>
        <w:rPr>
          <w:rFonts w:hint="eastAsia" w:ascii="微软雅黑" w:hAnsi="微软雅黑" w:eastAsia="微软雅黑" w:cs="微软雅黑"/>
          <w:kern w:val="0"/>
          <w:sz w:val="24"/>
          <w:highlight w:val="none"/>
          <w:shd w:val="clear" w:color="auto" w:fill="FFFFFF"/>
        </w:rPr>
      </w:pPr>
      <w:r>
        <w:rPr>
          <w:rFonts w:hint="eastAsia" w:ascii="微软雅黑" w:hAnsi="微软雅黑" w:eastAsia="微软雅黑" w:cs="微软雅黑"/>
          <w:kern w:val="0"/>
          <w:sz w:val="24"/>
          <w:highlight w:val="none"/>
          <w:shd w:val="clear" w:color="auto" w:fill="FFFFFF"/>
        </w:rPr>
        <w:t>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14:paraId="7A865EA5">
      <w:pPr>
        <w:keepNext w:val="0"/>
        <w:keepLines w:val="0"/>
        <w:pageBreakBefore w:val="0"/>
        <w:widowControl w:val="0"/>
        <w:wordWrap/>
        <w:overflowPunct/>
        <w:topLinePunct w:val="0"/>
        <w:bidi w:val="0"/>
        <w:spacing w:line="460" w:lineRule="exact"/>
        <w:ind w:firstLine="480" w:firstLineChars="200"/>
        <w:jc w:val="left"/>
        <w:textAlignment w:val="auto"/>
        <w:rPr>
          <w:rFonts w:hint="eastAsia" w:ascii="微软雅黑" w:hAnsi="微软雅黑" w:eastAsia="微软雅黑" w:cs="微软雅黑"/>
          <w:kern w:val="0"/>
          <w:sz w:val="24"/>
          <w:highlight w:val="none"/>
          <w:shd w:val="clear" w:color="auto" w:fill="FFFFFF"/>
        </w:rPr>
      </w:pPr>
      <w:r>
        <w:rPr>
          <w:rFonts w:hint="eastAsia" w:ascii="微软雅黑" w:hAnsi="微软雅黑" w:eastAsia="微软雅黑" w:cs="微软雅黑"/>
          <w:kern w:val="0"/>
          <w:sz w:val="24"/>
          <w:highlight w:val="none"/>
          <w:shd w:val="clear" w:color="auto" w:fill="FFFFFF"/>
        </w:rPr>
        <w:t>（1）在货物采购项目中，货物由中小企业制造，即货物由中小企业生产且使用该中小企业商号或者注册商标，不对其中涉及的工程承建商和服务的承接商作出要求；</w:t>
      </w:r>
    </w:p>
    <w:p w14:paraId="18E86F70">
      <w:pPr>
        <w:keepNext w:val="0"/>
        <w:keepLines w:val="0"/>
        <w:pageBreakBefore w:val="0"/>
        <w:widowControl w:val="0"/>
        <w:wordWrap/>
        <w:overflowPunct/>
        <w:topLinePunct w:val="0"/>
        <w:bidi w:val="0"/>
        <w:spacing w:line="460" w:lineRule="exact"/>
        <w:ind w:firstLine="480" w:firstLineChars="200"/>
        <w:jc w:val="left"/>
        <w:textAlignment w:val="auto"/>
        <w:rPr>
          <w:rFonts w:hint="eastAsia" w:ascii="微软雅黑" w:hAnsi="微软雅黑" w:eastAsia="微软雅黑" w:cs="微软雅黑"/>
          <w:kern w:val="0"/>
          <w:sz w:val="24"/>
          <w:highlight w:val="none"/>
          <w:shd w:val="clear" w:color="auto" w:fill="FFFFFF"/>
        </w:rPr>
      </w:pPr>
      <w:r>
        <w:rPr>
          <w:rFonts w:hint="eastAsia" w:ascii="微软雅黑" w:hAnsi="微软雅黑" w:eastAsia="微软雅黑" w:cs="微软雅黑"/>
          <w:kern w:val="0"/>
          <w:sz w:val="24"/>
          <w:highlight w:val="none"/>
          <w:shd w:val="clear" w:color="auto" w:fill="FFFFFF"/>
        </w:rPr>
        <w:t>（2）在工程采购项目中，工程由中小企业承建，即工程施工单位为中小企业，不对其中涉及的货物的制造商和服务的承接商作出要求；</w:t>
      </w:r>
    </w:p>
    <w:p w14:paraId="3A2B8ADC">
      <w:pPr>
        <w:keepNext w:val="0"/>
        <w:keepLines w:val="0"/>
        <w:pageBreakBefore w:val="0"/>
        <w:widowControl w:val="0"/>
        <w:wordWrap/>
        <w:overflowPunct/>
        <w:topLinePunct w:val="0"/>
        <w:bidi w:val="0"/>
        <w:spacing w:line="460" w:lineRule="exact"/>
        <w:ind w:firstLine="480" w:firstLineChars="200"/>
        <w:jc w:val="left"/>
        <w:textAlignment w:val="auto"/>
        <w:rPr>
          <w:rFonts w:hint="eastAsia" w:ascii="微软雅黑" w:hAnsi="微软雅黑" w:eastAsia="微软雅黑" w:cs="微软雅黑"/>
          <w:kern w:val="0"/>
          <w:sz w:val="24"/>
          <w:highlight w:val="none"/>
          <w:shd w:val="clear" w:color="auto" w:fill="FFFFFF"/>
        </w:rPr>
      </w:pPr>
      <w:r>
        <w:rPr>
          <w:rFonts w:hint="eastAsia" w:ascii="微软雅黑" w:hAnsi="微软雅黑" w:eastAsia="微软雅黑" w:cs="微软雅黑"/>
          <w:kern w:val="0"/>
          <w:sz w:val="24"/>
          <w:highlight w:val="none"/>
          <w:shd w:val="clear" w:color="auto" w:fill="FFFFFF"/>
        </w:rPr>
        <w:t>（3）在服务采购项目中，服务由中小企业承接，即提供服务的人员为中小企业依照《中华人民共和国劳动合同法》订立劳动合同的从业人员，不对其中涉及的货物的制造商和工程承建商作出要求。</w:t>
      </w:r>
    </w:p>
    <w:p w14:paraId="7AF539A1">
      <w:pPr>
        <w:keepNext w:val="0"/>
        <w:keepLines w:val="0"/>
        <w:pageBreakBefore w:val="0"/>
        <w:widowControl w:val="0"/>
        <w:wordWrap/>
        <w:overflowPunct/>
        <w:topLinePunct w:val="0"/>
        <w:bidi w:val="0"/>
        <w:spacing w:line="460" w:lineRule="exact"/>
        <w:ind w:firstLine="480" w:firstLineChars="200"/>
        <w:jc w:val="left"/>
        <w:textAlignment w:val="auto"/>
        <w:rPr>
          <w:rFonts w:hint="eastAsia" w:ascii="微软雅黑" w:hAnsi="微软雅黑" w:eastAsia="微软雅黑" w:cs="微软雅黑"/>
          <w:kern w:val="0"/>
          <w:sz w:val="24"/>
          <w:highlight w:val="none"/>
          <w:shd w:val="clear" w:color="auto" w:fill="FFFFFF"/>
        </w:rPr>
      </w:pPr>
      <w:r>
        <w:rPr>
          <w:rFonts w:hint="eastAsia" w:ascii="微软雅黑" w:hAnsi="微软雅黑" w:eastAsia="微软雅黑" w:cs="微软雅黑"/>
          <w:kern w:val="0"/>
          <w:sz w:val="24"/>
          <w:highlight w:val="none"/>
          <w:shd w:val="clear" w:color="auto" w:fill="FFFFFF"/>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p w14:paraId="098A0D4A">
      <w:pPr>
        <w:keepNext w:val="0"/>
        <w:keepLines w:val="0"/>
        <w:pageBreakBefore w:val="0"/>
        <w:widowControl w:val="0"/>
        <w:wordWrap/>
        <w:overflowPunct/>
        <w:topLinePunct w:val="0"/>
        <w:bidi w:val="0"/>
        <w:spacing w:line="460" w:lineRule="exact"/>
        <w:ind w:firstLine="480" w:firstLineChars="200"/>
        <w:jc w:val="left"/>
        <w:textAlignment w:val="auto"/>
        <w:rPr>
          <w:rFonts w:hint="eastAsia" w:ascii="微软雅黑" w:hAnsi="微软雅黑" w:eastAsia="微软雅黑" w:cs="微软雅黑"/>
          <w:kern w:val="0"/>
          <w:sz w:val="24"/>
          <w:highlight w:val="none"/>
          <w:shd w:val="clear" w:color="auto" w:fill="FFFFFF"/>
        </w:rPr>
      </w:pPr>
      <w:r>
        <w:rPr>
          <w:rFonts w:hint="eastAsia" w:ascii="微软雅黑" w:hAnsi="微软雅黑" w:eastAsia="微软雅黑" w:cs="微软雅黑"/>
          <w:kern w:val="0"/>
          <w:sz w:val="24"/>
          <w:highlight w:val="none"/>
          <w:shd w:val="clear" w:color="auto" w:fill="FFFFFF"/>
        </w:rPr>
        <w:t>依据本招标文件规定享受扶持政策获得政府采购合同的，小微企业不得将合同分包给大中型企业，中型企业不得将合同分包给大型企业。</w:t>
      </w:r>
    </w:p>
    <w:p w14:paraId="4339D695">
      <w:pPr>
        <w:keepNext w:val="0"/>
        <w:keepLines w:val="0"/>
        <w:pageBreakBefore w:val="0"/>
        <w:widowControl w:val="0"/>
        <w:wordWrap/>
        <w:overflowPunct/>
        <w:topLinePunct w:val="0"/>
        <w:bidi w:val="0"/>
        <w:rPr>
          <w:rFonts w:hint="eastAsia"/>
          <w:highlight w:val="none"/>
        </w:rPr>
      </w:pPr>
    </w:p>
    <w:p w14:paraId="22D5C147">
      <w:pPr>
        <w:rPr>
          <w:rFonts w:hint="eastAsia" w:ascii="仿宋_GB2312" w:hAnsi="仿宋_GB2312" w:eastAsia="仿宋_GB2312" w:cs="仿宋_GB2312"/>
          <w:highlight w:val="none"/>
          <w:u w:val="none"/>
        </w:rPr>
      </w:pPr>
      <w:bookmarkStart w:id="842" w:name="_Toc31970"/>
      <w:r>
        <w:rPr>
          <w:rFonts w:hint="eastAsia" w:ascii="仿宋_GB2312" w:hAnsi="仿宋_GB2312" w:eastAsia="仿宋_GB2312" w:cs="仿宋_GB2312"/>
          <w:highlight w:val="none"/>
          <w:u w:val="none"/>
        </w:rPr>
        <w:br w:type="page"/>
      </w:r>
    </w:p>
    <w:p w14:paraId="6E4528B5">
      <w:pPr>
        <w:pStyle w:val="4"/>
        <w:keepNext w:val="0"/>
        <w:keepLines w:val="0"/>
        <w:pageBreakBefore w:val="0"/>
        <w:widowControl w:val="0"/>
        <w:wordWrap/>
        <w:overflowPunct/>
        <w:topLinePunct w:val="0"/>
        <w:bidi w:val="0"/>
        <w:spacing w:before="0" w:after="0" w:line="288" w:lineRule="auto"/>
        <w:ind w:left="1079" w:leftChars="257" w:hanging="539"/>
        <w:jc w:val="center"/>
        <w:rPr>
          <w:rFonts w:hint="eastAsia" w:ascii="仿宋_GB2312" w:hAnsi="仿宋_GB2312" w:eastAsia="仿宋_GB2312" w:cs="仿宋_GB2312"/>
          <w:highlight w:val="none"/>
          <w:u w:val="none"/>
        </w:rPr>
      </w:pPr>
      <w:r>
        <w:rPr>
          <w:rFonts w:hint="eastAsia" w:ascii="仿宋_GB2312" w:hAnsi="仿宋_GB2312" w:eastAsia="仿宋_GB2312" w:cs="仿宋_GB2312"/>
          <w:highlight w:val="none"/>
          <w:u w:val="none"/>
        </w:rPr>
        <w:t>6-2残疾人福利性单位声明函</w:t>
      </w:r>
      <w:bookmarkEnd w:id="842"/>
      <w:r>
        <w:rPr>
          <w:rFonts w:hint="eastAsia" w:ascii="仿宋_GB2312" w:hAnsi="仿宋_GB2312" w:eastAsia="仿宋_GB2312" w:cs="仿宋_GB2312"/>
          <w:highlight w:val="none"/>
          <w:u w:val="none"/>
        </w:rPr>
        <w:t>（若无，可不填）</w:t>
      </w:r>
    </w:p>
    <w:p w14:paraId="29D72C6B">
      <w:pPr>
        <w:keepNext w:val="0"/>
        <w:keepLines w:val="0"/>
        <w:pageBreakBefore w:val="0"/>
        <w:widowControl w:val="0"/>
        <w:wordWrap/>
        <w:overflowPunct/>
        <w:topLinePunct w:val="0"/>
        <w:bidi w:val="0"/>
        <w:spacing w:after="60" w:afterLines="25" w:line="300" w:lineRule="auto"/>
        <w:ind w:firstLine="480" w:firstLineChars="200"/>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本投标人郑重声明，根据《财政部民政部中国残疾人联合会关于促进残疾人就业政府采购政策的通知》（财库〔2017〕141号）的规定，本投标人参加（采购人名称）的（项目名称）采购活动，提供的货物全部由符合政策要求的残疾人福利性单位制造。相关残疾人福利性单位的具体情况如下：</w:t>
      </w:r>
    </w:p>
    <w:p w14:paraId="0289D619">
      <w:pPr>
        <w:keepNext w:val="0"/>
        <w:keepLines w:val="0"/>
        <w:pageBreakBefore w:val="0"/>
        <w:widowControl w:val="0"/>
        <w:wordWrap/>
        <w:overflowPunct/>
        <w:topLinePunct w:val="0"/>
        <w:bidi w:val="0"/>
        <w:spacing w:after="60" w:afterLines="25" w:line="300" w:lineRule="auto"/>
        <w:ind w:firstLine="480" w:firstLineChars="200"/>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1.（标的名称），制造商为（单位名称），属于残疾人福利性单位；</w:t>
      </w:r>
    </w:p>
    <w:p w14:paraId="34F24F38">
      <w:pPr>
        <w:keepNext w:val="0"/>
        <w:keepLines w:val="0"/>
        <w:pageBreakBefore w:val="0"/>
        <w:widowControl w:val="0"/>
        <w:wordWrap/>
        <w:overflowPunct/>
        <w:topLinePunct w:val="0"/>
        <w:bidi w:val="0"/>
        <w:spacing w:after="60" w:afterLines="25" w:line="300" w:lineRule="auto"/>
        <w:ind w:firstLine="480" w:firstLineChars="200"/>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2.（标的名称），制造商为（单位名称），属于残疾人福利性单位。</w:t>
      </w:r>
    </w:p>
    <w:p w14:paraId="0B969330">
      <w:pPr>
        <w:keepNext w:val="0"/>
        <w:keepLines w:val="0"/>
        <w:pageBreakBefore w:val="0"/>
        <w:widowControl w:val="0"/>
        <w:wordWrap/>
        <w:overflowPunct/>
        <w:topLinePunct w:val="0"/>
        <w:bidi w:val="0"/>
        <w:spacing w:after="60" w:afterLines="25" w:line="300" w:lineRule="auto"/>
        <w:ind w:firstLine="480" w:firstLineChars="200"/>
        <w:textAlignment w:val="auto"/>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rPr>
        <w:t>……</w:t>
      </w:r>
    </w:p>
    <w:p w14:paraId="2B4CC50E">
      <w:pPr>
        <w:keepNext w:val="0"/>
        <w:keepLines w:val="0"/>
        <w:pageBreakBefore w:val="0"/>
        <w:widowControl w:val="0"/>
        <w:wordWrap/>
        <w:overflowPunct/>
        <w:topLinePunct w:val="0"/>
        <w:bidi w:val="0"/>
        <w:spacing w:after="60" w:afterLines="25" w:line="300" w:lineRule="auto"/>
        <w:ind w:firstLine="480" w:firstLineChars="200"/>
        <w:textAlignment w:val="auto"/>
        <w:rPr>
          <w:rFonts w:hint="eastAsia" w:ascii="仿宋" w:hAnsi="仿宋" w:eastAsia="仿宋" w:cs="仿宋"/>
          <w:color w:val="000000"/>
          <w:kern w:val="0"/>
          <w:sz w:val="24"/>
          <w:highlight w:val="none"/>
        </w:rPr>
      </w:pPr>
      <w:bookmarkStart w:id="843" w:name="_Hlk73562331"/>
      <w:r>
        <w:rPr>
          <w:rFonts w:hint="eastAsia" w:ascii="仿宋" w:hAnsi="仿宋" w:eastAsia="仿宋" w:cs="仿宋"/>
          <w:color w:val="000000"/>
          <w:kern w:val="0"/>
          <w:sz w:val="24"/>
          <w:highlight w:val="none"/>
        </w:rPr>
        <w:t>本投标人已知悉《财政部民政部中国残疾人联合会关于促进残疾人就业政府采购政策的通知》（财库〔2017〕141号）的规定，承诺提供的声明函内容是真实的，如提供声明函内容不实，则依法追究相关法律责任。</w:t>
      </w:r>
      <w:bookmarkEnd w:id="843"/>
    </w:p>
    <w:p w14:paraId="6E850AC4">
      <w:pPr>
        <w:keepNext w:val="0"/>
        <w:keepLines w:val="0"/>
        <w:pageBreakBefore w:val="0"/>
        <w:widowControl w:val="0"/>
        <w:wordWrap/>
        <w:overflowPunct/>
        <w:topLinePunct w:val="0"/>
        <w:bidi w:val="0"/>
        <w:spacing w:after="60" w:afterLines="25" w:line="300" w:lineRule="auto"/>
        <w:jc w:val="right"/>
        <w:textAlignment w:val="auto"/>
        <w:rPr>
          <w:rFonts w:hint="eastAsia" w:ascii="仿宋" w:hAnsi="仿宋" w:eastAsia="仿宋" w:cs="仿宋"/>
          <w:color w:val="000000"/>
          <w:kern w:val="0"/>
          <w:sz w:val="24"/>
          <w:highlight w:val="none"/>
        </w:rPr>
      </w:pPr>
    </w:p>
    <w:p w14:paraId="28086F5C">
      <w:pPr>
        <w:keepNext w:val="0"/>
        <w:keepLines w:val="0"/>
        <w:pageBreakBefore w:val="0"/>
        <w:widowControl w:val="0"/>
        <w:wordWrap/>
        <w:overflowPunct/>
        <w:topLinePunct w:val="0"/>
        <w:bidi w:val="0"/>
        <w:spacing w:after="60" w:afterLines="25" w:line="300" w:lineRule="auto"/>
        <w:ind w:right="420" w:firstLine="5040" w:firstLineChars="2100"/>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投标人（投标单位）：</w:t>
      </w:r>
    </w:p>
    <w:p w14:paraId="2440D33D">
      <w:pPr>
        <w:keepNext w:val="0"/>
        <w:keepLines w:val="0"/>
        <w:pageBreakBefore w:val="0"/>
        <w:widowControl w:val="0"/>
        <w:wordWrap/>
        <w:overflowPunct/>
        <w:topLinePunct w:val="0"/>
        <w:bidi w:val="0"/>
        <w:spacing w:after="60" w:afterLines="25" w:line="300" w:lineRule="auto"/>
        <w:ind w:right="420" w:firstLine="6600" w:firstLineChars="2750"/>
        <w:textAlignment w:val="auto"/>
        <w:rPr>
          <w:rFonts w:hint="eastAsia" w:ascii="宋体" w:hAnsi="宋体" w:cs="Times New Roman"/>
          <w:bCs/>
          <w:kern w:val="0"/>
          <w:sz w:val="24"/>
          <w:szCs w:val="21"/>
          <w:highlight w:val="none"/>
        </w:rPr>
      </w:pPr>
      <w:r>
        <w:rPr>
          <w:rFonts w:hint="eastAsia" w:ascii="仿宋" w:hAnsi="仿宋" w:eastAsia="仿宋" w:cs="仿宋"/>
          <w:color w:val="000000"/>
          <w:kern w:val="0"/>
          <w:sz w:val="24"/>
          <w:highlight w:val="none"/>
        </w:rPr>
        <w:t>日期：</w:t>
      </w:r>
    </w:p>
    <w:p w14:paraId="5B3F4329">
      <w:pPr>
        <w:keepNext w:val="0"/>
        <w:keepLines w:val="0"/>
        <w:pageBreakBefore w:val="0"/>
        <w:widowControl w:val="0"/>
        <w:wordWrap/>
        <w:overflowPunct/>
        <w:topLinePunct w:val="0"/>
        <w:bidi w:val="0"/>
        <w:snapToGrid w:val="0"/>
        <w:rPr>
          <w:rFonts w:hint="eastAsia" w:ascii="仿宋" w:hAnsi="仿宋" w:eastAsia="仿宋" w:cs="仿宋"/>
          <w:sz w:val="20"/>
          <w:highlight w:val="none"/>
        </w:rPr>
      </w:pPr>
    </w:p>
    <w:p w14:paraId="5BA31029">
      <w:pPr>
        <w:keepNext w:val="0"/>
        <w:keepLines w:val="0"/>
        <w:pageBreakBefore w:val="0"/>
        <w:widowControl w:val="0"/>
        <w:wordWrap/>
        <w:overflowPunct/>
        <w:topLinePunct w:val="0"/>
        <w:bidi w:val="0"/>
        <w:rPr>
          <w:highlight w:val="none"/>
        </w:rPr>
      </w:pPr>
    </w:p>
    <w:p w14:paraId="0F172FCA">
      <w:pPr>
        <w:pStyle w:val="4"/>
        <w:keepNext w:val="0"/>
        <w:keepLines w:val="0"/>
        <w:pageBreakBefore w:val="0"/>
        <w:widowControl w:val="0"/>
        <w:wordWrap/>
        <w:overflowPunct/>
        <w:topLinePunct w:val="0"/>
        <w:bidi w:val="0"/>
        <w:spacing w:before="0" w:after="0" w:line="288" w:lineRule="auto"/>
        <w:ind w:left="1079" w:leftChars="257" w:hanging="539"/>
        <w:jc w:val="center"/>
        <w:rPr>
          <w:rFonts w:hint="eastAsia" w:ascii="仿宋_GB2312" w:hAnsi="仿宋_GB2312" w:eastAsia="仿宋_GB2312" w:cs="仿宋_GB2312"/>
          <w:highlight w:val="none"/>
          <w:u w:val="none"/>
        </w:rPr>
      </w:pPr>
      <w:bookmarkStart w:id="844" w:name="_Toc2813"/>
      <w:bookmarkStart w:id="845" w:name="_Toc19006"/>
      <w:bookmarkStart w:id="846" w:name="_Toc16783"/>
      <w:bookmarkStart w:id="847" w:name="_Toc28310"/>
      <w:bookmarkStart w:id="848" w:name="_Toc17181"/>
      <w:bookmarkStart w:id="849" w:name="_Toc7440"/>
      <w:bookmarkStart w:id="850" w:name="_Toc13378"/>
      <w:bookmarkStart w:id="851" w:name="_Toc8498"/>
      <w:bookmarkStart w:id="852" w:name="_Toc17531"/>
      <w:bookmarkStart w:id="853" w:name="_Toc19677"/>
      <w:bookmarkStart w:id="854" w:name="_Toc11271"/>
      <w:bookmarkStart w:id="855" w:name="_Toc9078"/>
      <w:r>
        <w:rPr>
          <w:rFonts w:hint="eastAsia" w:ascii="仿宋_GB2312" w:hAnsi="仿宋_GB2312" w:eastAsia="仿宋_GB2312" w:cs="仿宋_GB2312"/>
          <w:highlight w:val="none"/>
          <w:u w:val="none"/>
        </w:rPr>
        <w:t>6-3</w:t>
      </w:r>
      <w:bookmarkEnd w:id="844"/>
      <w:bookmarkEnd w:id="845"/>
      <w:bookmarkEnd w:id="846"/>
      <w:bookmarkEnd w:id="847"/>
      <w:bookmarkEnd w:id="848"/>
      <w:bookmarkEnd w:id="849"/>
      <w:bookmarkEnd w:id="850"/>
      <w:r>
        <w:rPr>
          <w:rFonts w:hint="eastAsia" w:ascii="仿宋_GB2312" w:hAnsi="仿宋_GB2312" w:eastAsia="仿宋_GB2312" w:cs="仿宋_GB2312"/>
          <w:highlight w:val="none"/>
          <w:u w:val="none"/>
        </w:rPr>
        <w:t>监狱企业</w:t>
      </w:r>
      <w:bookmarkEnd w:id="851"/>
      <w:r>
        <w:rPr>
          <w:rFonts w:hint="eastAsia" w:ascii="仿宋_GB2312" w:hAnsi="仿宋_GB2312" w:eastAsia="仿宋_GB2312" w:cs="仿宋_GB2312"/>
          <w:highlight w:val="none"/>
          <w:u w:val="none"/>
        </w:rPr>
        <w:t>声明函</w:t>
      </w:r>
      <w:bookmarkEnd w:id="852"/>
      <w:bookmarkEnd w:id="853"/>
      <w:bookmarkEnd w:id="854"/>
      <w:bookmarkEnd w:id="855"/>
      <w:r>
        <w:rPr>
          <w:rFonts w:hint="eastAsia" w:ascii="仿宋_GB2312" w:hAnsi="仿宋_GB2312" w:eastAsia="仿宋_GB2312" w:cs="仿宋_GB2312"/>
          <w:highlight w:val="none"/>
          <w:u w:val="none"/>
        </w:rPr>
        <w:t>（若无，可不填）</w:t>
      </w:r>
    </w:p>
    <w:p w14:paraId="0B8718FA">
      <w:pPr>
        <w:pStyle w:val="23"/>
        <w:keepNext w:val="0"/>
        <w:keepLines w:val="0"/>
        <w:pageBreakBefore w:val="0"/>
        <w:widowControl w:val="0"/>
        <w:wordWrap/>
        <w:overflowPunct/>
        <w:topLinePunct w:val="0"/>
        <w:bidi w:val="0"/>
        <w:spacing w:before="75" w:beforeAutospacing="0" w:after="75" w:afterAutospacing="0" w:line="420" w:lineRule="atLeast"/>
        <w:ind w:firstLine="480" w:firstLineChars="200"/>
        <w:rPr>
          <w:rFonts w:hint="eastAsia" w:ascii="仿宋" w:hAnsi="仿宋" w:eastAsia="仿宋" w:cs="仿宋"/>
          <w:color w:val="000000"/>
          <w:highlight w:val="none"/>
        </w:rPr>
      </w:pPr>
      <w:r>
        <w:rPr>
          <w:rFonts w:hint="eastAsia" w:ascii="仿宋" w:hAnsi="仿宋" w:eastAsia="仿宋" w:cs="仿宋"/>
          <w:color w:val="000000"/>
          <w:highlight w:val="none"/>
        </w:rPr>
        <w:t>本公司郑重声明，根据《关于政府采购支持监狱企业发展有关问题的通知》（财库[2014]68号）的规定，本公司为监狱企业。</w:t>
      </w:r>
    </w:p>
    <w:p w14:paraId="44078A46">
      <w:pPr>
        <w:pStyle w:val="23"/>
        <w:keepNext w:val="0"/>
        <w:keepLines w:val="0"/>
        <w:pageBreakBefore w:val="0"/>
        <w:widowControl w:val="0"/>
        <w:wordWrap/>
        <w:overflowPunct/>
        <w:topLinePunct w:val="0"/>
        <w:bidi w:val="0"/>
        <w:spacing w:before="75" w:beforeAutospacing="0" w:after="75" w:afterAutospacing="0" w:line="420" w:lineRule="atLeast"/>
        <w:rPr>
          <w:rFonts w:hint="eastAsia" w:ascii="仿宋" w:hAnsi="仿宋" w:eastAsia="仿宋" w:cs="仿宋"/>
          <w:color w:val="000000"/>
          <w:highlight w:val="none"/>
        </w:rPr>
      </w:pPr>
      <w:r>
        <w:rPr>
          <w:rFonts w:hint="eastAsia" w:ascii="仿宋" w:hAnsi="仿宋" w:eastAsia="仿宋" w:cs="仿宋"/>
          <w:color w:val="000000"/>
          <w:highlight w:val="none"/>
        </w:rPr>
        <w:t>本公司参加______单位的______项目采购活动，采购活动提供本企业（填写制造的货物，由本企业承担工程、提供服务）。</w:t>
      </w:r>
    </w:p>
    <w:p w14:paraId="15ACE6EA">
      <w:pPr>
        <w:pStyle w:val="23"/>
        <w:keepNext w:val="0"/>
        <w:keepLines w:val="0"/>
        <w:pageBreakBefore w:val="0"/>
        <w:widowControl w:val="0"/>
        <w:wordWrap/>
        <w:overflowPunct/>
        <w:topLinePunct w:val="0"/>
        <w:bidi w:val="0"/>
        <w:spacing w:before="75" w:beforeAutospacing="0" w:after="75" w:afterAutospacing="0" w:line="420" w:lineRule="atLeast"/>
        <w:rPr>
          <w:rFonts w:hint="eastAsia" w:ascii="仿宋" w:hAnsi="仿宋" w:eastAsia="仿宋" w:cs="仿宋"/>
          <w:color w:val="000000"/>
          <w:highlight w:val="none"/>
        </w:rPr>
      </w:pPr>
      <w:r>
        <w:rPr>
          <w:rFonts w:hint="eastAsia" w:ascii="仿宋" w:hAnsi="仿宋" w:eastAsia="仿宋" w:cs="仿宋"/>
          <w:color w:val="000000"/>
          <w:highlight w:val="none"/>
        </w:rPr>
        <w:t>本条所称货物不包括使用大型企业注册商标的货物和服务。</w:t>
      </w:r>
    </w:p>
    <w:p w14:paraId="47CF1F97">
      <w:pPr>
        <w:pStyle w:val="23"/>
        <w:keepNext w:val="0"/>
        <w:keepLines w:val="0"/>
        <w:pageBreakBefore w:val="0"/>
        <w:widowControl w:val="0"/>
        <w:wordWrap/>
        <w:overflowPunct/>
        <w:topLinePunct w:val="0"/>
        <w:bidi w:val="0"/>
        <w:spacing w:before="75" w:beforeAutospacing="0" w:after="75" w:afterAutospacing="0" w:line="420" w:lineRule="atLeast"/>
        <w:rPr>
          <w:rFonts w:hint="eastAsia" w:ascii="仿宋" w:hAnsi="仿宋" w:eastAsia="仿宋" w:cs="仿宋"/>
          <w:color w:val="000000"/>
          <w:highlight w:val="none"/>
        </w:rPr>
      </w:pPr>
      <w:r>
        <w:rPr>
          <w:rFonts w:hint="eastAsia" w:ascii="仿宋" w:hAnsi="仿宋" w:eastAsia="仿宋" w:cs="仿宋"/>
          <w:color w:val="000000"/>
          <w:highlight w:val="none"/>
        </w:rPr>
        <w:t>本公司对上述声明的真实性负责。如有虚假，将依法承担相应责任。</w:t>
      </w:r>
    </w:p>
    <w:p w14:paraId="60D526EF">
      <w:pPr>
        <w:pStyle w:val="23"/>
        <w:keepNext w:val="0"/>
        <w:keepLines w:val="0"/>
        <w:pageBreakBefore w:val="0"/>
        <w:widowControl w:val="0"/>
        <w:wordWrap/>
        <w:overflowPunct/>
        <w:topLinePunct w:val="0"/>
        <w:bidi w:val="0"/>
        <w:spacing w:before="75" w:beforeAutospacing="0" w:after="75" w:afterAutospacing="0" w:line="420" w:lineRule="atLeast"/>
        <w:rPr>
          <w:rFonts w:hint="eastAsia" w:ascii="仿宋" w:hAnsi="仿宋" w:eastAsia="仿宋" w:cs="仿宋"/>
          <w:color w:val="000000"/>
          <w:highlight w:val="none"/>
        </w:rPr>
      </w:pPr>
    </w:p>
    <w:p w14:paraId="18196ADB">
      <w:pPr>
        <w:pStyle w:val="23"/>
        <w:keepNext w:val="0"/>
        <w:keepLines w:val="0"/>
        <w:pageBreakBefore w:val="0"/>
        <w:widowControl w:val="0"/>
        <w:wordWrap/>
        <w:overflowPunct/>
        <w:topLinePunct w:val="0"/>
        <w:bidi w:val="0"/>
        <w:spacing w:before="75" w:beforeAutospacing="0" w:after="75" w:afterAutospacing="0" w:line="420" w:lineRule="atLeast"/>
        <w:rPr>
          <w:rFonts w:hint="eastAsia" w:ascii="仿宋" w:hAnsi="仿宋" w:eastAsia="仿宋" w:cs="仿宋"/>
          <w:color w:val="000000"/>
          <w:highlight w:val="none"/>
        </w:rPr>
      </w:pPr>
      <w:r>
        <w:rPr>
          <w:rFonts w:hint="eastAsia" w:ascii="仿宋" w:hAnsi="仿宋" w:eastAsia="仿宋" w:cs="仿宋"/>
          <w:color w:val="000000"/>
          <w:highlight w:val="none"/>
        </w:rPr>
        <w:t>企业名称（加盖公章）：</w:t>
      </w:r>
    </w:p>
    <w:p w14:paraId="295A4CC8">
      <w:pPr>
        <w:pStyle w:val="23"/>
        <w:keepNext w:val="0"/>
        <w:keepLines w:val="0"/>
        <w:pageBreakBefore w:val="0"/>
        <w:widowControl w:val="0"/>
        <w:wordWrap/>
        <w:overflowPunct/>
        <w:topLinePunct w:val="0"/>
        <w:bidi w:val="0"/>
        <w:spacing w:before="75" w:beforeAutospacing="0" w:after="75" w:afterAutospacing="0" w:line="420" w:lineRule="atLeast"/>
        <w:rPr>
          <w:rFonts w:hint="eastAsia" w:ascii="仿宋" w:hAnsi="仿宋" w:eastAsia="仿宋" w:cs="仿宋"/>
          <w:color w:val="000000"/>
          <w:highlight w:val="none"/>
        </w:rPr>
      </w:pPr>
      <w:r>
        <w:rPr>
          <w:rFonts w:hint="eastAsia" w:ascii="仿宋" w:hAnsi="仿宋" w:eastAsia="仿宋" w:cs="仿宋"/>
          <w:color w:val="000000"/>
          <w:highlight w:val="none"/>
        </w:rPr>
        <w:t>法定代表人（负责人）或其授权代表(签字或章)：</w:t>
      </w:r>
    </w:p>
    <w:p w14:paraId="4652D76B">
      <w:pPr>
        <w:pStyle w:val="23"/>
        <w:keepNext w:val="0"/>
        <w:keepLines w:val="0"/>
        <w:pageBreakBefore w:val="0"/>
        <w:widowControl w:val="0"/>
        <w:wordWrap/>
        <w:overflowPunct/>
        <w:topLinePunct w:val="0"/>
        <w:bidi w:val="0"/>
        <w:spacing w:before="75" w:beforeAutospacing="0" w:after="75" w:afterAutospacing="0" w:line="420" w:lineRule="atLeast"/>
        <w:rPr>
          <w:rFonts w:hint="eastAsia" w:ascii="仿宋" w:hAnsi="仿宋" w:eastAsia="仿宋" w:cs="仿宋"/>
          <w:color w:val="000000"/>
          <w:highlight w:val="none"/>
        </w:rPr>
      </w:pPr>
      <w:r>
        <w:rPr>
          <w:rFonts w:hint="eastAsia" w:ascii="仿宋" w:hAnsi="仿宋" w:eastAsia="仿宋" w:cs="仿宋"/>
          <w:color w:val="000000"/>
          <w:highlight w:val="none"/>
        </w:rPr>
        <w:t>日期：</w:t>
      </w:r>
    </w:p>
    <w:p w14:paraId="11008433">
      <w:pPr>
        <w:pStyle w:val="4"/>
        <w:keepNext w:val="0"/>
        <w:keepLines w:val="0"/>
        <w:pageBreakBefore w:val="0"/>
        <w:widowControl w:val="0"/>
        <w:wordWrap/>
        <w:overflowPunct/>
        <w:topLinePunct w:val="0"/>
        <w:bidi w:val="0"/>
        <w:spacing w:before="0" w:after="0" w:line="288" w:lineRule="auto"/>
        <w:jc w:val="center"/>
        <w:rPr>
          <w:rFonts w:hint="eastAsia" w:asciiTheme="minorEastAsia" w:hAnsiTheme="minorEastAsia" w:eastAsiaTheme="minorEastAsia" w:cstheme="minorEastAsia"/>
          <w:color w:val="auto"/>
          <w:sz w:val="28"/>
          <w:szCs w:val="21"/>
          <w:highlight w:val="none"/>
          <w:u w:val="none"/>
          <w:lang w:val="en-US" w:eastAsia="zh-CN"/>
        </w:rPr>
      </w:pPr>
      <w:bookmarkStart w:id="856" w:name="_Toc24012"/>
      <w:bookmarkStart w:id="857" w:name="_Toc4963"/>
    </w:p>
    <w:p w14:paraId="1A164FC2">
      <w:pPr>
        <w:pStyle w:val="4"/>
        <w:keepNext w:val="0"/>
        <w:keepLines w:val="0"/>
        <w:pageBreakBefore w:val="0"/>
        <w:widowControl w:val="0"/>
        <w:wordWrap/>
        <w:overflowPunct/>
        <w:topLinePunct w:val="0"/>
        <w:bidi w:val="0"/>
        <w:spacing w:before="0" w:after="0" w:line="288" w:lineRule="auto"/>
        <w:jc w:val="center"/>
        <w:rPr>
          <w:rFonts w:hint="eastAsia" w:asciiTheme="minorEastAsia" w:hAnsiTheme="minorEastAsia" w:eastAsiaTheme="minorEastAsia" w:cstheme="minorEastAsia"/>
          <w:color w:val="auto"/>
          <w:sz w:val="28"/>
          <w:szCs w:val="21"/>
          <w:highlight w:val="none"/>
          <w:u w:val="none"/>
          <w:lang w:val="en-US" w:eastAsia="zh-CN"/>
        </w:rPr>
      </w:pPr>
    </w:p>
    <w:p w14:paraId="6CFE159B">
      <w:pPr>
        <w:pStyle w:val="4"/>
        <w:keepNext w:val="0"/>
        <w:keepLines w:val="0"/>
        <w:pageBreakBefore w:val="0"/>
        <w:widowControl w:val="0"/>
        <w:wordWrap/>
        <w:overflowPunct/>
        <w:topLinePunct w:val="0"/>
        <w:bidi w:val="0"/>
        <w:spacing w:before="0" w:after="0" w:line="288" w:lineRule="auto"/>
        <w:jc w:val="center"/>
        <w:rPr>
          <w:rFonts w:hint="eastAsia" w:asciiTheme="minorEastAsia" w:hAnsiTheme="minorEastAsia" w:eastAsiaTheme="minorEastAsia" w:cstheme="minorEastAsia"/>
          <w:color w:val="auto"/>
          <w:sz w:val="28"/>
          <w:szCs w:val="21"/>
          <w:highlight w:val="none"/>
          <w:u w:val="none"/>
          <w:lang w:val="en-US" w:eastAsia="zh-CN"/>
        </w:rPr>
      </w:pPr>
    </w:p>
    <w:p w14:paraId="7E643F17">
      <w:pPr>
        <w:pStyle w:val="4"/>
        <w:keepNext w:val="0"/>
        <w:keepLines w:val="0"/>
        <w:pageBreakBefore w:val="0"/>
        <w:widowControl w:val="0"/>
        <w:wordWrap/>
        <w:overflowPunct/>
        <w:topLinePunct w:val="0"/>
        <w:bidi w:val="0"/>
        <w:spacing w:before="0" w:after="0" w:line="288" w:lineRule="auto"/>
        <w:jc w:val="center"/>
        <w:rPr>
          <w:rFonts w:hint="eastAsia" w:ascii="仿宋" w:hAnsi="仿宋" w:eastAsia="仿宋" w:cs="仿宋"/>
          <w:color w:val="auto"/>
          <w:highlight w:val="none"/>
          <w:u w:val="none"/>
          <w:lang w:val="en-US" w:eastAsia="zh-CN"/>
        </w:rPr>
      </w:pPr>
      <w:r>
        <w:rPr>
          <w:rFonts w:hint="eastAsia" w:asciiTheme="minorEastAsia" w:hAnsiTheme="minorEastAsia" w:eastAsiaTheme="minorEastAsia" w:cstheme="minorEastAsia"/>
          <w:color w:val="auto"/>
          <w:sz w:val="28"/>
          <w:szCs w:val="21"/>
          <w:highlight w:val="none"/>
          <w:u w:val="none"/>
          <w:lang w:val="en-US" w:eastAsia="zh-CN"/>
        </w:rPr>
        <w:t>6-4节能、环境标志产品（若本项目采购内容中无以下清单货物，可不填）</w:t>
      </w:r>
      <w:bookmarkEnd w:id="856"/>
      <w:bookmarkEnd w:id="857"/>
    </w:p>
    <w:p w14:paraId="75B5FE66">
      <w:pPr>
        <w:pStyle w:val="133"/>
        <w:keepNext w:val="0"/>
        <w:keepLines w:val="0"/>
        <w:pageBreakBefore w:val="0"/>
        <w:widowControl w:val="0"/>
        <w:kinsoku w:val="0"/>
        <w:wordWrap/>
        <w:overflowPunct/>
        <w:topLinePunct w:val="0"/>
        <w:autoSpaceDE w:val="0"/>
        <w:autoSpaceDN w:val="0"/>
        <w:bidi w:val="0"/>
        <w:adjustRightInd w:val="0"/>
        <w:snapToGrid w:val="0"/>
        <w:spacing w:line="240" w:lineRule="auto"/>
        <w:ind w:firstLine="482" w:firstLineChars="200"/>
        <w:jc w:val="both"/>
        <w:textAlignment w:val="baseline"/>
        <w:rPr>
          <w:rFonts w:hint="eastAsia" w:asciiTheme="minorEastAsia" w:hAnsiTheme="minorEastAsia" w:eastAsiaTheme="minorEastAsia" w:cstheme="minorEastAsia"/>
          <w:b/>
          <w:bCs/>
          <w:color w:val="auto"/>
          <w:kern w:val="0"/>
          <w:sz w:val="24"/>
          <w:highlight w:val="none"/>
          <w:lang w:val="en-US" w:eastAsia="zh-CN"/>
        </w:rPr>
      </w:pPr>
      <w:r>
        <w:rPr>
          <w:rFonts w:hint="eastAsia" w:asciiTheme="minorEastAsia" w:hAnsiTheme="minorEastAsia" w:eastAsiaTheme="minorEastAsia" w:cstheme="minorEastAsia"/>
          <w:b/>
          <w:bCs/>
          <w:color w:val="auto"/>
          <w:kern w:val="0"/>
          <w:sz w:val="24"/>
          <w:highlight w:val="none"/>
          <w:lang w:val="en-US" w:eastAsia="zh-CN"/>
        </w:rPr>
        <w:t>投标人在投标时请参考以下2个文件填写下表：</w:t>
      </w:r>
    </w:p>
    <w:p w14:paraId="4265CA09">
      <w:pPr>
        <w:pStyle w:val="133"/>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240" w:lineRule="auto"/>
        <w:ind w:firstLine="482" w:firstLineChars="200"/>
        <w:jc w:val="both"/>
        <w:textAlignment w:val="baseline"/>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lang w:val="en-US" w:eastAsia="zh-CN"/>
        </w:rPr>
        <w:t>1.《</w:t>
      </w:r>
      <w:r>
        <w:rPr>
          <w:rFonts w:hint="eastAsia" w:asciiTheme="minorEastAsia" w:hAnsiTheme="minorEastAsia" w:eastAsiaTheme="minorEastAsia" w:cstheme="minorEastAsia"/>
          <w:b/>
          <w:bCs/>
          <w:color w:val="auto"/>
          <w:kern w:val="0"/>
          <w:sz w:val="24"/>
          <w:highlight w:val="none"/>
        </w:rPr>
        <w:t>关于印发环境标志产品政府采购品目清单的通知</w:t>
      </w:r>
      <w:r>
        <w:rPr>
          <w:rFonts w:hint="eastAsia" w:asciiTheme="minorEastAsia" w:hAnsiTheme="minorEastAsia" w:eastAsiaTheme="minorEastAsia" w:cstheme="minorEastAsia"/>
          <w:b/>
          <w:bCs/>
          <w:color w:val="auto"/>
          <w:kern w:val="0"/>
          <w:sz w:val="24"/>
          <w:highlight w:val="none"/>
          <w:lang w:val="en-US" w:eastAsia="zh-CN"/>
        </w:rPr>
        <w:t>》（</w:t>
      </w:r>
      <w:r>
        <w:rPr>
          <w:rFonts w:hint="eastAsia" w:asciiTheme="minorEastAsia" w:hAnsiTheme="minorEastAsia" w:eastAsiaTheme="minorEastAsia" w:cstheme="minorEastAsia"/>
          <w:b/>
          <w:bCs/>
          <w:color w:val="auto"/>
          <w:kern w:val="0"/>
          <w:sz w:val="24"/>
          <w:highlight w:val="none"/>
        </w:rPr>
        <w:t>财库〔2019〕18号</w:t>
      </w:r>
      <w:r>
        <w:rPr>
          <w:rFonts w:hint="eastAsia" w:asciiTheme="minorEastAsia" w:hAnsiTheme="minorEastAsia" w:eastAsiaTheme="minorEastAsia" w:cstheme="minorEastAsia"/>
          <w:b/>
          <w:bCs/>
          <w:color w:val="auto"/>
          <w:kern w:val="0"/>
          <w:sz w:val="24"/>
          <w:highlight w:val="none"/>
          <w:lang w:val="en-US" w:eastAsia="zh-CN"/>
        </w:rPr>
        <w:t>）</w:t>
      </w:r>
      <w:r>
        <w:rPr>
          <w:rFonts w:hint="eastAsia" w:asciiTheme="minorEastAsia" w:hAnsiTheme="minorEastAsia" w:eastAsiaTheme="minorEastAsia" w:cstheme="minorEastAsia"/>
          <w:b/>
          <w:bCs/>
          <w:color w:val="auto"/>
          <w:kern w:val="0"/>
          <w:sz w:val="24"/>
          <w:highlight w:val="none"/>
        </w:rPr>
        <w:t>附件：环境标志产品政府采购品目清单</w:t>
      </w:r>
    </w:p>
    <w:p w14:paraId="5C71828C">
      <w:pPr>
        <w:pStyle w:val="133"/>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240" w:lineRule="auto"/>
        <w:ind w:firstLine="482" w:firstLineChars="200"/>
        <w:jc w:val="both"/>
        <w:textAlignment w:val="baseline"/>
        <w:rPr>
          <w:rFonts w:hint="eastAsia" w:asciiTheme="minorEastAsia" w:hAnsiTheme="minorEastAsia" w:eastAsiaTheme="minorEastAsia" w:cstheme="minorEastAsia"/>
          <w:b/>
          <w:bCs/>
          <w:color w:val="auto"/>
          <w:kern w:val="0"/>
          <w:sz w:val="24"/>
          <w:highlight w:val="none"/>
          <w:lang w:val="en-US" w:eastAsia="zh-CN"/>
        </w:rPr>
      </w:pPr>
      <w:r>
        <w:rPr>
          <w:rFonts w:hint="eastAsia" w:asciiTheme="minorEastAsia" w:hAnsiTheme="minorEastAsia" w:eastAsiaTheme="minorEastAsia" w:cstheme="minorEastAsia"/>
          <w:b/>
          <w:bCs/>
          <w:color w:val="auto"/>
          <w:kern w:val="0"/>
          <w:sz w:val="24"/>
          <w:highlight w:val="none"/>
          <w:lang w:val="en-US" w:eastAsia="zh-CN"/>
        </w:rPr>
        <w:t>2.《关于印发节能产品政府采购品目清单的通知》（财库〔2019〕19号）附件：节能产品政府采购品目清单</w:t>
      </w:r>
    </w:p>
    <w:tbl>
      <w:tblPr>
        <w:tblStyle w:val="27"/>
        <w:tblW w:w="88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2376"/>
        <w:gridCol w:w="1640"/>
        <w:gridCol w:w="3369"/>
        <w:gridCol w:w="927"/>
      </w:tblGrid>
      <w:tr w14:paraId="09F23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noWrap w:val="0"/>
            <w:vAlign w:val="center"/>
          </w:tcPr>
          <w:p w14:paraId="16F7BCCB">
            <w:pPr>
              <w:pStyle w:val="134"/>
              <w:keepNext w:val="0"/>
              <w:keepLines w:val="0"/>
              <w:pageBreakBefore w:val="0"/>
              <w:widowControl w:val="0"/>
              <w:suppressLineNumbers w:val="0"/>
              <w:wordWrap/>
              <w:overflowPunct/>
              <w:topLinePunct w:val="0"/>
              <w:bidi w:val="0"/>
              <w:spacing w:beforeAutospacing="0" w:afterAutospacing="0"/>
              <w:ind w:left="0" w:right="0"/>
              <w:jc w:val="center"/>
              <w:rPr>
                <w:rFonts w:hint="eastAsia" w:ascii="仿宋" w:hAnsi="仿宋" w:eastAsia="仿宋" w:cs="仿宋"/>
                <w:b/>
                <w:bCs w:val="0"/>
                <w:color w:val="auto"/>
                <w:highlight w:val="none"/>
                <w:vertAlign w:val="baseline"/>
                <w:lang w:val="en-US" w:eastAsia="zh-CN"/>
              </w:rPr>
            </w:pPr>
            <w:r>
              <w:rPr>
                <w:rFonts w:hint="eastAsia" w:ascii="仿宋" w:hAnsi="仿宋" w:eastAsia="仿宋" w:cs="仿宋"/>
                <w:b/>
                <w:bCs w:val="0"/>
                <w:color w:val="auto"/>
                <w:highlight w:val="none"/>
                <w:vertAlign w:val="baseline"/>
                <w:lang w:val="en-US" w:eastAsia="zh-CN"/>
              </w:rPr>
              <w:t>序号</w:t>
            </w:r>
          </w:p>
        </w:tc>
        <w:tc>
          <w:tcPr>
            <w:tcW w:w="2376" w:type="dxa"/>
            <w:noWrap w:val="0"/>
            <w:vAlign w:val="center"/>
          </w:tcPr>
          <w:p w14:paraId="5EEFB669">
            <w:pPr>
              <w:pStyle w:val="134"/>
              <w:keepNext w:val="0"/>
              <w:keepLines w:val="0"/>
              <w:pageBreakBefore w:val="0"/>
              <w:widowControl w:val="0"/>
              <w:suppressLineNumbers w:val="0"/>
              <w:wordWrap/>
              <w:overflowPunct/>
              <w:topLinePunct w:val="0"/>
              <w:bidi w:val="0"/>
              <w:spacing w:beforeAutospacing="0" w:afterAutospacing="0"/>
              <w:ind w:left="0" w:right="0"/>
              <w:jc w:val="center"/>
              <w:rPr>
                <w:rFonts w:hint="eastAsia" w:ascii="仿宋" w:hAnsi="仿宋" w:eastAsia="仿宋" w:cs="仿宋"/>
                <w:b/>
                <w:bCs w:val="0"/>
                <w:color w:val="auto"/>
                <w:highlight w:val="none"/>
                <w:vertAlign w:val="baseline"/>
              </w:rPr>
            </w:pPr>
            <w:r>
              <w:rPr>
                <w:rFonts w:hint="eastAsia" w:ascii="仿宋" w:hAnsi="仿宋" w:eastAsia="仿宋" w:cs="仿宋"/>
                <w:b/>
                <w:bCs w:val="0"/>
                <w:color w:val="auto"/>
                <w:highlight w:val="none"/>
                <w:vertAlign w:val="baseline"/>
              </w:rPr>
              <w:t>产品名称(标的名称)</w:t>
            </w:r>
          </w:p>
        </w:tc>
        <w:tc>
          <w:tcPr>
            <w:tcW w:w="1640" w:type="dxa"/>
            <w:noWrap w:val="0"/>
            <w:vAlign w:val="center"/>
          </w:tcPr>
          <w:p w14:paraId="271F3E24">
            <w:pPr>
              <w:pStyle w:val="134"/>
              <w:keepNext w:val="0"/>
              <w:keepLines w:val="0"/>
              <w:pageBreakBefore w:val="0"/>
              <w:widowControl w:val="0"/>
              <w:suppressLineNumbers w:val="0"/>
              <w:wordWrap/>
              <w:overflowPunct/>
              <w:topLinePunct w:val="0"/>
              <w:bidi w:val="0"/>
              <w:spacing w:beforeAutospacing="0" w:afterAutospacing="0"/>
              <w:ind w:left="0" w:right="0"/>
              <w:jc w:val="center"/>
              <w:rPr>
                <w:rFonts w:hint="eastAsia" w:ascii="仿宋" w:hAnsi="仿宋" w:eastAsia="仿宋" w:cs="仿宋"/>
                <w:b/>
                <w:bCs w:val="0"/>
                <w:color w:val="auto"/>
                <w:highlight w:val="none"/>
                <w:vertAlign w:val="baseline"/>
                <w:lang w:val="en-US" w:eastAsia="zh-CN"/>
              </w:rPr>
            </w:pPr>
            <w:r>
              <w:rPr>
                <w:rFonts w:hint="eastAsia" w:ascii="仿宋" w:hAnsi="仿宋" w:eastAsia="仿宋" w:cs="仿宋"/>
                <w:b/>
                <w:bCs w:val="0"/>
                <w:color w:val="auto"/>
                <w:highlight w:val="none"/>
                <w:vertAlign w:val="baseline"/>
                <w:lang w:val="en-US" w:eastAsia="zh-CN"/>
              </w:rPr>
              <w:t>节能认证证书编号</w:t>
            </w:r>
          </w:p>
        </w:tc>
        <w:tc>
          <w:tcPr>
            <w:tcW w:w="3369" w:type="dxa"/>
            <w:noWrap w:val="0"/>
            <w:vAlign w:val="center"/>
          </w:tcPr>
          <w:p w14:paraId="19166D03">
            <w:pPr>
              <w:pStyle w:val="134"/>
              <w:keepNext w:val="0"/>
              <w:keepLines w:val="0"/>
              <w:pageBreakBefore w:val="0"/>
              <w:widowControl w:val="0"/>
              <w:suppressLineNumbers w:val="0"/>
              <w:wordWrap/>
              <w:overflowPunct/>
              <w:topLinePunct w:val="0"/>
              <w:bidi w:val="0"/>
              <w:spacing w:beforeAutospacing="0" w:afterAutospacing="0"/>
              <w:ind w:left="0" w:right="0"/>
              <w:jc w:val="center"/>
              <w:rPr>
                <w:rFonts w:hint="eastAsia" w:ascii="仿宋" w:hAnsi="仿宋" w:eastAsia="仿宋" w:cs="仿宋"/>
                <w:b/>
                <w:bCs w:val="0"/>
                <w:color w:val="auto"/>
                <w:highlight w:val="none"/>
                <w:vertAlign w:val="baseline"/>
                <w:lang w:val="en-US" w:eastAsia="zh-CN"/>
              </w:rPr>
            </w:pPr>
            <w:r>
              <w:rPr>
                <w:rFonts w:hint="eastAsia" w:ascii="仿宋" w:hAnsi="仿宋" w:eastAsia="仿宋" w:cs="仿宋"/>
                <w:b/>
                <w:bCs w:val="0"/>
                <w:color w:val="auto"/>
                <w:sz w:val="22"/>
                <w:szCs w:val="18"/>
                <w:highlight w:val="none"/>
                <w:vertAlign w:val="baseline"/>
              </w:rPr>
              <w:t>提供所投产品有效的节能产品认证证书(复印件加盖供应商公章)</w:t>
            </w:r>
            <w:r>
              <w:rPr>
                <w:rFonts w:hint="eastAsia" w:ascii="仿宋" w:hAnsi="仿宋" w:eastAsia="仿宋" w:cs="仿宋"/>
                <w:b/>
                <w:bCs w:val="0"/>
                <w:color w:val="auto"/>
                <w:sz w:val="22"/>
                <w:szCs w:val="18"/>
                <w:highlight w:val="none"/>
                <w:vertAlign w:val="baseline"/>
                <w:lang w:val="en-US" w:eastAsia="zh-CN"/>
              </w:rPr>
              <w:t>可附本页后</w:t>
            </w:r>
          </w:p>
        </w:tc>
        <w:tc>
          <w:tcPr>
            <w:tcW w:w="927" w:type="dxa"/>
            <w:noWrap w:val="0"/>
            <w:vAlign w:val="center"/>
          </w:tcPr>
          <w:p w14:paraId="22C2A711">
            <w:pPr>
              <w:pStyle w:val="134"/>
              <w:keepNext w:val="0"/>
              <w:keepLines w:val="0"/>
              <w:pageBreakBefore w:val="0"/>
              <w:widowControl w:val="0"/>
              <w:suppressLineNumbers w:val="0"/>
              <w:wordWrap/>
              <w:overflowPunct/>
              <w:topLinePunct w:val="0"/>
              <w:bidi w:val="0"/>
              <w:spacing w:beforeAutospacing="0" w:afterAutospacing="0"/>
              <w:ind w:left="0" w:right="0"/>
              <w:jc w:val="center"/>
              <w:rPr>
                <w:rFonts w:hint="eastAsia" w:ascii="仿宋" w:hAnsi="仿宋" w:eastAsia="仿宋" w:cs="仿宋"/>
                <w:b/>
                <w:bCs w:val="0"/>
                <w:color w:val="auto"/>
                <w:highlight w:val="none"/>
                <w:vertAlign w:val="baseline"/>
                <w:lang w:val="en-US" w:eastAsia="zh-CN"/>
              </w:rPr>
            </w:pPr>
            <w:r>
              <w:rPr>
                <w:rFonts w:hint="eastAsia" w:ascii="仿宋" w:hAnsi="仿宋" w:eastAsia="仿宋" w:cs="仿宋"/>
                <w:b/>
                <w:bCs w:val="0"/>
                <w:color w:val="auto"/>
                <w:highlight w:val="none"/>
                <w:vertAlign w:val="baseline"/>
                <w:lang w:val="en-US" w:eastAsia="zh-CN"/>
              </w:rPr>
              <w:t>备注</w:t>
            </w:r>
          </w:p>
        </w:tc>
      </w:tr>
      <w:tr w14:paraId="5C26F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noWrap w:val="0"/>
            <w:vAlign w:val="top"/>
          </w:tcPr>
          <w:p w14:paraId="2439C807">
            <w:pPr>
              <w:pStyle w:val="134"/>
              <w:keepNext w:val="0"/>
              <w:keepLines w:val="0"/>
              <w:pageBreakBefore w:val="0"/>
              <w:widowControl w:val="0"/>
              <w:suppressLineNumbers w:val="0"/>
              <w:wordWrap/>
              <w:overflowPunct/>
              <w:topLinePunct w:val="0"/>
              <w:bidi w:val="0"/>
              <w:spacing w:beforeAutospacing="0" w:afterAutospacing="0"/>
              <w:ind w:left="0" w:right="0"/>
              <w:jc w:val="center"/>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1</w:t>
            </w:r>
          </w:p>
        </w:tc>
        <w:tc>
          <w:tcPr>
            <w:tcW w:w="2376" w:type="dxa"/>
            <w:noWrap w:val="0"/>
            <w:vAlign w:val="top"/>
          </w:tcPr>
          <w:p w14:paraId="35D3CB9E">
            <w:pPr>
              <w:pStyle w:val="134"/>
              <w:keepNext w:val="0"/>
              <w:keepLines w:val="0"/>
              <w:pageBreakBefore w:val="0"/>
              <w:widowControl w:val="0"/>
              <w:suppressLineNumbers w:val="0"/>
              <w:wordWrap/>
              <w:overflowPunct/>
              <w:topLinePunct w:val="0"/>
              <w:bidi w:val="0"/>
              <w:spacing w:beforeAutospacing="0" w:afterAutospacing="0"/>
              <w:ind w:left="0" w:right="0"/>
              <w:rPr>
                <w:rFonts w:hint="eastAsia" w:asciiTheme="minorEastAsia" w:hAnsiTheme="minorEastAsia" w:eastAsiaTheme="minorEastAsia" w:cstheme="minorEastAsia"/>
                <w:b w:val="0"/>
                <w:bCs w:val="0"/>
                <w:color w:val="auto"/>
                <w:sz w:val="19"/>
                <w:szCs w:val="19"/>
                <w:highlight w:val="none"/>
                <w:lang w:val="en-US" w:eastAsia="zh-CN"/>
              </w:rPr>
            </w:pPr>
            <w:r>
              <w:rPr>
                <w:rFonts w:hint="eastAsia" w:asciiTheme="minorEastAsia" w:hAnsiTheme="minorEastAsia" w:eastAsiaTheme="minorEastAsia" w:cstheme="minorEastAsia"/>
                <w:b w:val="0"/>
                <w:bCs w:val="0"/>
                <w:color w:val="auto"/>
                <w:sz w:val="19"/>
                <w:szCs w:val="19"/>
                <w:highlight w:val="none"/>
              </w:rPr>
              <w:t>A020101计算机设备</w:t>
            </w:r>
            <w:r>
              <w:rPr>
                <w:rFonts w:hint="eastAsia" w:asciiTheme="minorEastAsia" w:hAnsiTheme="minorEastAsia" w:eastAsiaTheme="minorEastAsia" w:cstheme="minorEastAsia"/>
                <w:b w:val="0"/>
                <w:bCs w:val="0"/>
                <w:color w:val="auto"/>
                <w:sz w:val="19"/>
                <w:szCs w:val="19"/>
                <w:highlight w:val="none"/>
                <w:lang w:val="en-US" w:eastAsia="zh-CN"/>
              </w:rPr>
              <w:t>（</w:t>
            </w:r>
            <w:r>
              <w:rPr>
                <w:rFonts w:hint="eastAsia" w:asciiTheme="minorEastAsia" w:hAnsiTheme="minorEastAsia" w:eastAsiaTheme="minorEastAsia" w:cstheme="minorEastAsia"/>
                <w:b w:val="0"/>
                <w:bCs w:val="0"/>
                <w:color w:val="auto"/>
                <w:sz w:val="19"/>
                <w:szCs w:val="19"/>
                <w:highlight w:val="none"/>
                <w:lang w:eastAsia="zh-CN"/>
              </w:rPr>
              <w:t>★</w:t>
            </w:r>
            <w:r>
              <w:rPr>
                <w:rFonts w:hint="eastAsia" w:asciiTheme="minorEastAsia" w:hAnsiTheme="minorEastAsia" w:eastAsiaTheme="minorEastAsia" w:cstheme="minorEastAsia"/>
                <w:b w:val="0"/>
                <w:bCs w:val="0"/>
                <w:color w:val="auto"/>
                <w:sz w:val="19"/>
                <w:szCs w:val="19"/>
                <w:highlight w:val="none"/>
                <w:lang w:val="en-US" w:eastAsia="zh-CN"/>
              </w:rPr>
              <w:t>台式计算机/</w:t>
            </w:r>
            <w:r>
              <w:rPr>
                <w:rFonts w:hint="eastAsia" w:asciiTheme="minorEastAsia" w:hAnsiTheme="minorEastAsia" w:eastAsiaTheme="minorEastAsia" w:cstheme="minorEastAsia"/>
                <w:b w:val="0"/>
                <w:bCs w:val="0"/>
                <w:color w:val="auto"/>
                <w:sz w:val="19"/>
                <w:szCs w:val="19"/>
                <w:highlight w:val="none"/>
                <w:lang w:eastAsia="zh-CN"/>
              </w:rPr>
              <w:t>★</w:t>
            </w:r>
            <w:r>
              <w:rPr>
                <w:rFonts w:hint="eastAsia" w:asciiTheme="minorEastAsia" w:hAnsiTheme="minorEastAsia" w:eastAsiaTheme="minorEastAsia" w:cstheme="minorEastAsia"/>
                <w:b w:val="0"/>
                <w:bCs w:val="0"/>
                <w:color w:val="auto"/>
                <w:sz w:val="19"/>
                <w:szCs w:val="19"/>
                <w:highlight w:val="none"/>
                <w:lang w:val="en-US" w:eastAsia="zh-CN"/>
              </w:rPr>
              <w:t>便携式计算机/</w:t>
            </w:r>
            <w:r>
              <w:rPr>
                <w:rFonts w:hint="eastAsia" w:asciiTheme="minorEastAsia" w:hAnsiTheme="minorEastAsia" w:eastAsiaTheme="minorEastAsia" w:cstheme="minorEastAsia"/>
                <w:b w:val="0"/>
                <w:bCs w:val="0"/>
                <w:color w:val="auto"/>
                <w:sz w:val="19"/>
                <w:szCs w:val="19"/>
                <w:highlight w:val="none"/>
                <w:lang w:eastAsia="zh-CN"/>
              </w:rPr>
              <w:t>★</w:t>
            </w:r>
            <w:r>
              <w:rPr>
                <w:rFonts w:hint="eastAsia" w:asciiTheme="minorEastAsia" w:hAnsiTheme="minorEastAsia" w:eastAsiaTheme="minorEastAsia" w:cstheme="minorEastAsia"/>
                <w:b w:val="0"/>
                <w:bCs w:val="0"/>
                <w:color w:val="auto"/>
                <w:sz w:val="19"/>
                <w:szCs w:val="19"/>
                <w:highlight w:val="none"/>
                <w:lang w:val="en-US" w:eastAsia="zh-CN"/>
              </w:rPr>
              <w:t>平板式计算机）</w:t>
            </w:r>
          </w:p>
        </w:tc>
        <w:tc>
          <w:tcPr>
            <w:tcW w:w="1640" w:type="dxa"/>
            <w:noWrap w:val="0"/>
            <w:vAlign w:val="top"/>
          </w:tcPr>
          <w:p w14:paraId="3A530416">
            <w:pPr>
              <w:pStyle w:val="134"/>
              <w:keepNext w:val="0"/>
              <w:keepLines w:val="0"/>
              <w:pageBreakBefore w:val="0"/>
              <w:widowControl w:val="0"/>
              <w:suppressLineNumbers w:val="0"/>
              <w:wordWrap/>
              <w:overflowPunct/>
              <w:topLinePunct w:val="0"/>
              <w:bidi w:val="0"/>
              <w:spacing w:beforeAutospacing="0" w:afterAutospacing="0"/>
              <w:ind w:left="0" w:right="0"/>
              <w:rPr>
                <w:rFonts w:hint="eastAsia" w:ascii="仿宋" w:hAnsi="仿宋" w:eastAsia="仿宋" w:cs="仿宋"/>
                <w:color w:val="auto"/>
                <w:highlight w:val="none"/>
                <w:vertAlign w:val="baseline"/>
              </w:rPr>
            </w:pPr>
          </w:p>
        </w:tc>
        <w:tc>
          <w:tcPr>
            <w:tcW w:w="3369" w:type="dxa"/>
            <w:noWrap w:val="0"/>
            <w:vAlign w:val="top"/>
          </w:tcPr>
          <w:p w14:paraId="356163B3">
            <w:pPr>
              <w:pStyle w:val="134"/>
              <w:keepNext w:val="0"/>
              <w:keepLines w:val="0"/>
              <w:pageBreakBefore w:val="0"/>
              <w:widowControl w:val="0"/>
              <w:suppressLineNumbers w:val="0"/>
              <w:wordWrap/>
              <w:overflowPunct/>
              <w:topLinePunct w:val="0"/>
              <w:bidi w:val="0"/>
              <w:spacing w:beforeAutospacing="0" w:afterAutospacing="0"/>
              <w:ind w:left="0" w:right="0"/>
              <w:rPr>
                <w:rFonts w:hint="eastAsia" w:ascii="仿宋" w:hAnsi="仿宋" w:eastAsia="仿宋" w:cs="仿宋"/>
                <w:color w:val="auto"/>
                <w:highlight w:val="none"/>
                <w:vertAlign w:val="baseline"/>
                <w:lang w:val="en-US" w:eastAsia="zh-CN"/>
              </w:rPr>
            </w:pPr>
          </w:p>
        </w:tc>
        <w:tc>
          <w:tcPr>
            <w:tcW w:w="927" w:type="dxa"/>
            <w:noWrap w:val="0"/>
            <w:vAlign w:val="top"/>
          </w:tcPr>
          <w:p w14:paraId="547137B1">
            <w:pPr>
              <w:pStyle w:val="134"/>
              <w:keepNext w:val="0"/>
              <w:keepLines w:val="0"/>
              <w:pageBreakBefore w:val="0"/>
              <w:widowControl w:val="0"/>
              <w:suppressLineNumbers w:val="0"/>
              <w:wordWrap/>
              <w:overflowPunct/>
              <w:topLinePunct w:val="0"/>
              <w:bidi w:val="0"/>
              <w:spacing w:beforeAutospacing="0" w:afterAutospacing="0"/>
              <w:ind w:left="0" w:right="0"/>
              <w:rPr>
                <w:rFonts w:hint="eastAsia" w:ascii="仿宋" w:hAnsi="仿宋" w:eastAsia="仿宋" w:cs="仿宋"/>
                <w:color w:val="auto"/>
                <w:sz w:val="21"/>
                <w:szCs w:val="16"/>
                <w:highlight w:val="none"/>
                <w:vertAlign w:val="baseline"/>
                <w:lang w:val="en-US" w:eastAsia="zh-CN"/>
              </w:rPr>
            </w:pPr>
          </w:p>
        </w:tc>
      </w:tr>
      <w:tr w14:paraId="52A7A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noWrap w:val="0"/>
            <w:vAlign w:val="top"/>
          </w:tcPr>
          <w:p w14:paraId="490F59C4">
            <w:pPr>
              <w:pStyle w:val="134"/>
              <w:keepNext w:val="0"/>
              <w:keepLines w:val="0"/>
              <w:pageBreakBefore w:val="0"/>
              <w:widowControl w:val="0"/>
              <w:suppressLineNumbers w:val="0"/>
              <w:wordWrap/>
              <w:overflowPunct/>
              <w:topLinePunct w:val="0"/>
              <w:bidi w:val="0"/>
              <w:spacing w:beforeAutospacing="0" w:afterAutospacing="0"/>
              <w:ind w:left="0" w:right="0"/>
              <w:jc w:val="center"/>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2</w:t>
            </w:r>
          </w:p>
        </w:tc>
        <w:tc>
          <w:tcPr>
            <w:tcW w:w="2376" w:type="dxa"/>
            <w:noWrap w:val="0"/>
            <w:vAlign w:val="top"/>
          </w:tcPr>
          <w:p w14:paraId="2840EB1F">
            <w:pPr>
              <w:pStyle w:val="134"/>
              <w:keepNext w:val="0"/>
              <w:keepLines w:val="0"/>
              <w:pageBreakBefore w:val="0"/>
              <w:widowControl w:val="0"/>
              <w:suppressLineNumbers w:val="0"/>
              <w:wordWrap/>
              <w:overflowPunct/>
              <w:topLinePunct w:val="0"/>
              <w:bidi w:val="0"/>
              <w:spacing w:beforeAutospacing="0" w:afterAutospacing="0"/>
              <w:ind w:left="0" w:right="0"/>
              <w:rPr>
                <w:rFonts w:hint="eastAsia" w:asciiTheme="minorEastAsia" w:hAnsiTheme="minorEastAsia" w:eastAsiaTheme="minorEastAsia" w:cstheme="minorEastAsia"/>
                <w:b w:val="0"/>
                <w:bCs w:val="0"/>
                <w:color w:val="auto"/>
                <w:sz w:val="19"/>
                <w:szCs w:val="19"/>
                <w:highlight w:val="none"/>
                <w:lang w:val="en-US" w:eastAsia="zh-CN"/>
              </w:rPr>
            </w:pPr>
            <w:r>
              <w:rPr>
                <w:rFonts w:hint="eastAsia" w:asciiTheme="minorEastAsia" w:hAnsiTheme="minorEastAsia" w:eastAsiaTheme="minorEastAsia" w:cstheme="minorEastAsia"/>
                <w:b w:val="0"/>
                <w:bCs w:val="0"/>
                <w:color w:val="auto"/>
                <w:sz w:val="19"/>
                <w:szCs w:val="19"/>
                <w:highlight w:val="none"/>
              </w:rPr>
              <w:t>A02010601打印设备</w:t>
            </w:r>
            <w:r>
              <w:rPr>
                <w:rFonts w:hint="eastAsia" w:asciiTheme="minorEastAsia" w:hAnsiTheme="minorEastAsia" w:eastAsiaTheme="minorEastAsia" w:cstheme="minorEastAsia"/>
                <w:b w:val="0"/>
                <w:bCs w:val="0"/>
                <w:color w:val="auto"/>
                <w:sz w:val="19"/>
                <w:szCs w:val="19"/>
                <w:highlight w:val="none"/>
                <w:lang w:eastAsia="zh-CN"/>
              </w:rPr>
              <w:t>（★</w:t>
            </w:r>
            <w:r>
              <w:rPr>
                <w:rFonts w:hint="eastAsia" w:asciiTheme="minorEastAsia" w:hAnsiTheme="minorEastAsia" w:eastAsiaTheme="minorEastAsia" w:cstheme="minorEastAsia"/>
                <w:b w:val="0"/>
                <w:bCs w:val="0"/>
                <w:color w:val="auto"/>
                <w:sz w:val="19"/>
                <w:szCs w:val="19"/>
                <w:highlight w:val="none"/>
                <w:lang w:val="en-US" w:eastAsia="zh-CN"/>
              </w:rPr>
              <w:t>激光打印机/</w:t>
            </w:r>
            <w:r>
              <w:rPr>
                <w:rFonts w:hint="eastAsia" w:asciiTheme="minorEastAsia" w:hAnsiTheme="minorEastAsia" w:eastAsiaTheme="minorEastAsia" w:cstheme="minorEastAsia"/>
                <w:b w:val="0"/>
                <w:bCs w:val="0"/>
                <w:color w:val="auto"/>
                <w:sz w:val="19"/>
                <w:szCs w:val="19"/>
                <w:highlight w:val="none"/>
                <w:lang w:eastAsia="zh-CN"/>
              </w:rPr>
              <w:t>★</w:t>
            </w:r>
            <w:r>
              <w:rPr>
                <w:rFonts w:hint="eastAsia" w:asciiTheme="minorEastAsia" w:hAnsiTheme="minorEastAsia" w:eastAsiaTheme="minorEastAsia" w:cstheme="minorEastAsia"/>
                <w:b w:val="0"/>
                <w:bCs w:val="0"/>
                <w:color w:val="auto"/>
                <w:sz w:val="19"/>
                <w:szCs w:val="19"/>
                <w:highlight w:val="none"/>
                <w:lang w:val="en-US" w:eastAsia="zh-CN"/>
              </w:rPr>
              <w:t>针式打印机）</w:t>
            </w:r>
          </w:p>
        </w:tc>
        <w:tc>
          <w:tcPr>
            <w:tcW w:w="1640" w:type="dxa"/>
            <w:noWrap w:val="0"/>
            <w:vAlign w:val="top"/>
          </w:tcPr>
          <w:p w14:paraId="175E4112">
            <w:pPr>
              <w:pStyle w:val="134"/>
              <w:keepNext w:val="0"/>
              <w:keepLines w:val="0"/>
              <w:pageBreakBefore w:val="0"/>
              <w:widowControl w:val="0"/>
              <w:suppressLineNumbers w:val="0"/>
              <w:wordWrap/>
              <w:overflowPunct/>
              <w:topLinePunct w:val="0"/>
              <w:bidi w:val="0"/>
              <w:spacing w:beforeAutospacing="0" w:afterAutospacing="0"/>
              <w:ind w:left="0" w:right="0"/>
              <w:rPr>
                <w:rFonts w:hint="eastAsia" w:ascii="仿宋" w:hAnsi="仿宋" w:eastAsia="仿宋" w:cs="仿宋"/>
                <w:color w:val="auto"/>
                <w:highlight w:val="none"/>
                <w:vertAlign w:val="baseline"/>
                <w:lang w:eastAsia="zh-CN"/>
              </w:rPr>
            </w:pPr>
          </w:p>
        </w:tc>
        <w:tc>
          <w:tcPr>
            <w:tcW w:w="3369" w:type="dxa"/>
            <w:noWrap w:val="0"/>
            <w:vAlign w:val="top"/>
          </w:tcPr>
          <w:p w14:paraId="59A36CFD">
            <w:pPr>
              <w:pStyle w:val="134"/>
              <w:keepNext w:val="0"/>
              <w:keepLines w:val="0"/>
              <w:pageBreakBefore w:val="0"/>
              <w:widowControl w:val="0"/>
              <w:suppressLineNumbers w:val="0"/>
              <w:wordWrap/>
              <w:overflowPunct/>
              <w:topLinePunct w:val="0"/>
              <w:bidi w:val="0"/>
              <w:spacing w:beforeAutospacing="0" w:afterAutospacing="0"/>
              <w:ind w:left="0" w:right="0"/>
              <w:rPr>
                <w:rFonts w:hint="eastAsia" w:ascii="仿宋" w:hAnsi="仿宋" w:eastAsia="仿宋" w:cs="仿宋"/>
                <w:color w:val="auto"/>
                <w:highlight w:val="none"/>
                <w:vertAlign w:val="baseline"/>
              </w:rPr>
            </w:pPr>
          </w:p>
        </w:tc>
        <w:tc>
          <w:tcPr>
            <w:tcW w:w="927" w:type="dxa"/>
            <w:noWrap w:val="0"/>
            <w:vAlign w:val="top"/>
          </w:tcPr>
          <w:p w14:paraId="6E5F6060">
            <w:pPr>
              <w:pStyle w:val="134"/>
              <w:keepNext w:val="0"/>
              <w:keepLines w:val="0"/>
              <w:pageBreakBefore w:val="0"/>
              <w:widowControl w:val="0"/>
              <w:suppressLineNumbers w:val="0"/>
              <w:wordWrap/>
              <w:overflowPunct/>
              <w:topLinePunct w:val="0"/>
              <w:bidi w:val="0"/>
              <w:spacing w:beforeAutospacing="0" w:afterAutospacing="0"/>
              <w:ind w:left="0" w:right="0"/>
              <w:rPr>
                <w:rFonts w:hint="eastAsia" w:ascii="仿宋" w:hAnsi="仿宋" w:eastAsia="仿宋" w:cs="仿宋"/>
                <w:color w:val="auto"/>
                <w:highlight w:val="none"/>
                <w:vertAlign w:val="baseline"/>
              </w:rPr>
            </w:pPr>
          </w:p>
        </w:tc>
      </w:tr>
      <w:tr w14:paraId="17815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noWrap w:val="0"/>
            <w:vAlign w:val="top"/>
          </w:tcPr>
          <w:p w14:paraId="5764C4BE">
            <w:pPr>
              <w:pStyle w:val="134"/>
              <w:keepNext w:val="0"/>
              <w:keepLines w:val="0"/>
              <w:pageBreakBefore w:val="0"/>
              <w:widowControl w:val="0"/>
              <w:suppressLineNumbers w:val="0"/>
              <w:wordWrap/>
              <w:overflowPunct/>
              <w:topLinePunct w:val="0"/>
              <w:bidi w:val="0"/>
              <w:spacing w:beforeAutospacing="0" w:afterAutospacing="0"/>
              <w:ind w:left="0" w:right="0"/>
              <w:jc w:val="center"/>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3</w:t>
            </w:r>
          </w:p>
        </w:tc>
        <w:tc>
          <w:tcPr>
            <w:tcW w:w="2376" w:type="dxa"/>
            <w:noWrap w:val="0"/>
            <w:vAlign w:val="top"/>
          </w:tcPr>
          <w:p w14:paraId="031023B4">
            <w:pPr>
              <w:pStyle w:val="134"/>
              <w:keepNext w:val="0"/>
              <w:keepLines w:val="0"/>
              <w:pageBreakBefore w:val="0"/>
              <w:widowControl w:val="0"/>
              <w:suppressLineNumbers w:val="0"/>
              <w:wordWrap/>
              <w:overflowPunct/>
              <w:topLinePunct w:val="0"/>
              <w:bidi w:val="0"/>
              <w:spacing w:beforeAutospacing="0" w:afterAutospacing="0"/>
              <w:ind w:left="0" w:right="0"/>
              <w:rPr>
                <w:rFonts w:hint="eastAsia" w:asciiTheme="minorEastAsia" w:hAnsiTheme="minorEastAsia" w:eastAsiaTheme="minorEastAsia" w:cstheme="minorEastAsia"/>
                <w:b w:val="0"/>
                <w:bCs w:val="0"/>
                <w:color w:val="auto"/>
                <w:sz w:val="19"/>
                <w:szCs w:val="19"/>
                <w:highlight w:val="none"/>
              </w:rPr>
            </w:pPr>
            <w:r>
              <w:rPr>
                <w:rFonts w:hint="eastAsia" w:asciiTheme="minorEastAsia" w:hAnsiTheme="minorEastAsia" w:eastAsiaTheme="minorEastAsia" w:cstheme="minorEastAsia"/>
                <w:b w:val="0"/>
                <w:bCs w:val="0"/>
                <w:color w:val="auto"/>
                <w:sz w:val="19"/>
                <w:szCs w:val="19"/>
                <w:highlight w:val="none"/>
                <w:lang w:eastAsia="zh-CN"/>
              </w:rPr>
              <w:t>★</w:t>
            </w:r>
            <w:r>
              <w:rPr>
                <w:rFonts w:hint="eastAsia" w:asciiTheme="minorEastAsia" w:hAnsiTheme="minorEastAsia" w:eastAsiaTheme="minorEastAsia" w:cstheme="minorEastAsia"/>
                <w:b w:val="0"/>
                <w:bCs w:val="0"/>
                <w:color w:val="auto"/>
                <w:sz w:val="19"/>
                <w:szCs w:val="19"/>
                <w:highlight w:val="none"/>
              </w:rPr>
              <w:t>A0201060401液晶显示器</w:t>
            </w:r>
          </w:p>
        </w:tc>
        <w:tc>
          <w:tcPr>
            <w:tcW w:w="1640" w:type="dxa"/>
            <w:noWrap w:val="0"/>
            <w:vAlign w:val="top"/>
          </w:tcPr>
          <w:p w14:paraId="4A27E40D">
            <w:pPr>
              <w:pStyle w:val="134"/>
              <w:keepNext w:val="0"/>
              <w:keepLines w:val="0"/>
              <w:pageBreakBefore w:val="0"/>
              <w:widowControl w:val="0"/>
              <w:suppressLineNumbers w:val="0"/>
              <w:wordWrap/>
              <w:overflowPunct/>
              <w:topLinePunct w:val="0"/>
              <w:bidi w:val="0"/>
              <w:spacing w:beforeAutospacing="0" w:afterAutospacing="0"/>
              <w:ind w:left="0" w:right="0"/>
              <w:rPr>
                <w:rFonts w:hint="eastAsia" w:ascii="仿宋" w:hAnsi="仿宋" w:eastAsia="仿宋" w:cs="仿宋"/>
                <w:color w:val="auto"/>
                <w:highlight w:val="none"/>
                <w:vertAlign w:val="baseline"/>
              </w:rPr>
            </w:pPr>
          </w:p>
        </w:tc>
        <w:tc>
          <w:tcPr>
            <w:tcW w:w="3369" w:type="dxa"/>
            <w:noWrap w:val="0"/>
            <w:vAlign w:val="top"/>
          </w:tcPr>
          <w:p w14:paraId="057C9A23">
            <w:pPr>
              <w:pStyle w:val="134"/>
              <w:keepNext w:val="0"/>
              <w:keepLines w:val="0"/>
              <w:pageBreakBefore w:val="0"/>
              <w:widowControl w:val="0"/>
              <w:suppressLineNumbers w:val="0"/>
              <w:wordWrap/>
              <w:overflowPunct/>
              <w:topLinePunct w:val="0"/>
              <w:bidi w:val="0"/>
              <w:spacing w:beforeAutospacing="0" w:afterAutospacing="0"/>
              <w:ind w:left="0" w:right="0"/>
              <w:rPr>
                <w:rFonts w:hint="eastAsia" w:ascii="仿宋" w:hAnsi="仿宋" w:eastAsia="仿宋" w:cs="仿宋"/>
                <w:color w:val="auto"/>
                <w:highlight w:val="none"/>
                <w:vertAlign w:val="baseline"/>
                <w:lang w:val="en-US" w:eastAsia="zh-CN"/>
              </w:rPr>
            </w:pPr>
          </w:p>
        </w:tc>
        <w:tc>
          <w:tcPr>
            <w:tcW w:w="927" w:type="dxa"/>
            <w:noWrap w:val="0"/>
            <w:vAlign w:val="top"/>
          </w:tcPr>
          <w:p w14:paraId="07C06086">
            <w:pPr>
              <w:pStyle w:val="134"/>
              <w:keepNext w:val="0"/>
              <w:keepLines w:val="0"/>
              <w:pageBreakBefore w:val="0"/>
              <w:widowControl w:val="0"/>
              <w:suppressLineNumbers w:val="0"/>
              <w:wordWrap/>
              <w:overflowPunct/>
              <w:topLinePunct w:val="0"/>
              <w:bidi w:val="0"/>
              <w:spacing w:beforeAutospacing="0" w:afterAutospacing="0"/>
              <w:ind w:left="0" w:right="0"/>
              <w:rPr>
                <w:rFonts w:hint="eastAsia" w:ascii="仿宋" w:hAnsi="仿宋" w:eastAsia="仿宋" w:cs="仿宋"/>
                <w:color w:val="auto"/>
                <w:highlight w:val="none"/>
                <w:vertAlign w:val="baseline"/>
                <w:lang w:val="en-US" w:eastAsia="zh-CN"/>
              </w:rPr>
            </w:pPr>
          </w:p>
        </w:tc>
      </w:tr>
      <w:tr w14:paraId="762A5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noWrap w:val="0"/>
            <w:vAlign w:val="top"/>
          </w:tcPr>
          <w:p w14:paraId="157E033C">
            <w:pPr>
              <w:pStyle w:val="134"/>
              <w:keepNext w:val="0"/>
              <w:keepLines w:val="0"/>
              <w:pageBreakBefore w:val="0"/>
              <w:widowControl w:val="0"/>
              <w:suppressLineNumbers w:val="0"/>
              <w:wordWrap/>
              <w:overflowPunct/>
              <w:topLinePunct w:val="0"/>
              <w:bidi w:val="0"/>
              <w:spacing w:beforeAutospacing="0" w:afterAutospacing="0"/>
              <w:ind w:left="0" w:right="0"/>
              <w:jc w:val="center"/>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4</w:t>
            </w:r>
          </w:p>
        </w:tc>
        <w:tc>
          <w:tcPr>
            <w:tcW w:w="2376" w:type="dxa"/>
            <w:noWrap w:val="0"/>
            <w:vAlign w:val="top"/>
          </w:tcPr>
          <w:p w14:paraId="74EF4864">
            <w:pPr>
              <w:pStyle w:val="134"/>
              <w:keepNext w:val="0"/>
              <w:keepLines w:val="0"/>
              <w:pageBreakBefore w:val="0"/>
              <w:widowControl w:val="0"/>
              <w:suppressLineNumbers w:val="0"/>
              <w:wordWrap/>
              <w:overflowPunct/>
              <w:topLinePunct w:val="0"/>
              <w:bidi w:val="0"/>
              <w:spacing w:beforeAutospacing="0" w:afterAutospacing="0"/>
              <w:ind w:left="0" w:right="0"/>
              <w:rPr>
                <w:rFonts w:hint="eastAsia" w:asciiTheme="minorEastAsia" w:hAnsiTheme="minorEastAsia" w:eastAsiaTheme="minorEastAsia" w:cstheme="minorEastAsia"/>
                <w:b w:val="0"/>
                <w:bCs w:val="0"/>
                <w:color w:val="auto"/>
                <w:sz w:val="19"/>
                <w:szCs w:val="19"/>
                <w:highlight w:val="none"/>
                <w:lang w:eastAsia="zh-CN"/>
              </w:rPr>
            </w:pPr>
            <w:r>
              <w:rPr>
                <w:rFonts w:hint="eastAsia" w:asciiTheme="minorEastAsia" w:hAnsiTheme="minorEastAsia" w:eastAsiaTheme="minorEastAsia" w:cstheme="minorEastAsia"/>
                <w:b w:val="0"/>
                <w:bCs w:val="0"/>
                <w:color w:val="auto"/>
                <w:sz w:val="19"/>
                <w:szCs w:val="19"/>
                <w:highlight w:val="none"/>
              </w:rPr>
              <w:t>A020523制冷空调设备</w:t>
            </w:r>
            <w:r>
              <w:rPr>
                <w:rFonts w:hint="eastAsia" w:asciiTheme="minorEastAsia" w:hAnsiTheme="minorEastAsia" w:eastAsiaTheme="minorEastAsia" w:cstheme="minorEastAsia"/>
                <w:b w:val="0"/>
                <w:bCs w:val="0"/>
                <w:color w:val="auto"/>
                <w:sz w:val="19"/>
                <w:szCs w:val="19"/>
                <w:highlight w:val="none"/>
                <w:lang w:eastAsia="zh-CN"/>
              </w:rPr>
              <w:t>（★</w:t>
            </w:r>
            <w:r>
              <w:rPr>
                <w:rFonts w:hint="eastAsia" w:asciiTheme="minorEastAsia" w:hAnsiTheme="minorEastAsia" w:eastAsiaTheme="minorEastAsia" w:cstheme="minorEastAsia"/>
                <w:b w:val="0"/>
                <w:bCs w:val="0"/>
                <w:color w:val="auto"/>
                <w:sz w:val="19"/>
                <w:szCs w:val="19"/>
                <w:highlight w:val="none"/>
              </w:rPr>
              <w:t>制冷压缩机</w:t>
            </w:r>
            <w:r>
              <w:rPr>
                <w:rFonts w:hint="eastAsia" w:asciiTheme="minorEastAsia" w:hAnsiTheme="minorEastAsia" w:eastAsiaTheme="minorEastAsia" w:cstheme="minorEastAsia"/>
                <w:b w:val="0"/>
                <w:bCs w:val="0"/>
                <w:color w:val="auto"/>
                <w:sz w:val="19"/>
                <w:szCs w:val="19"/>
                <w:highlight w:val="none"/>
                <w:lang w:eastAsia="zh-CN"/>
              </w:rPr>
              <w:t>、★</w:t>
            </w:r>
            <w:r>
              <w:rPr>
                <w:rFonts w:hint="eastAsia" w:asciiTheme="minorEastAsia" w:hAnsiTheme="minorEastAsia" w:eastAsiaTheme="minorEastAsia" w:cstheme="minorEastAsia"/>
                <w:b w:val="0"/>
                <w:bCs w:val="0"/>
                <w:color w:val="auto"/>
                <w:sz w:val="19"/>
                <w:szCs w:val="19"/>
                <w:highlight w:val="none"/>
              </w:rPr>
              <w:t>空调机组</w:t>
            </w:r>
            <w:r>
              <w:rPr>
                <w:rFonts w:hint="eastAsia" w:asciiTheme="minorEastAsia" w:hAnsiTheme="minorEastAsia" w:eastAsiaTheme="minorEastAsia" w:cstheme="minorEastAsia"/>
                <w:b w:val="0"/>
                <w:bCs w:val="0"/>
                <w:color w:val="auto"/>
                <w:sz w:val="19"/>
                <w:szCs w:val="19"/>
                <w:highlight w:val="none"/>
                <w:lang w:eastAsia="zh-CN"/>
              </w:rPr>
              <w:t>、★</w:t>
            </w:r>
            <w:r>
              <w:rPr>
                <w:rFonts w:hint="eastAsia" w:asciiTheme="minorEastAsia" w:hAnsiTheme="minorEastAsia" w:eastAsiaTheme="minorEastAsia" w:cstheme="minorEastAsia"/>
                <w:b w:val="0"/>
                <w:bCs w:val="0"/>
                <w:color w:val="auto"/>
                <w:sz w:val="19"/>
                <w:szCs w:val="19"/>
                <w:highlight w:val="none"/>
              </w:rPr>
              <w:t>专用制冷、空调设备</w:t>
            </w:r>
          </w:p>
        </w:tc>
        <w:tc>
          <w:tcPr>
            <w:tcW w:w="1640" w:type="dxa"/>
            <w:noWrap w:val="0"/>
            <w:vAlign w:val="top"/>
          </w:tcPr>
          <w:p w14:paraId="20AACFB1">
            <w:pPr>
              <w:pStyle w:val="134"/>
              <w:keepNext w:val="0"/>
              <w:keepLines w:val="0"/>
              <w:pageBreakBefore w:val="0"/>
              <w:widowControl w:val="0"/>
              <w:suppressLineNumbers w:val="0"/>
              <w:wordWrap/>
              <w:overflowPunct/>
              <w:topLinePunct w:val="0"/>
              <w:bidi w:val="0"/>
              <w:spacing w:beforeAutospacing="0" w:afterAutospacing="0"/>
              <w:ind w:left="0" w:right="0"/>
              <w:rPr>
                <w:rFonts w:hint="eastAsia" w:ascii="仿宋" w:hAnsi="仿宋" w:eastAsia="仿宋" w:cs="仿宋"/>
                <w:color w:val="auto"/>
                <w:highlight w:val="none"/>
                <w:vertAlign w:val="baseline"/>
              </w:rPr>
            </w:pPr>
          </w:p>
        </w:tc>
        <w:tc>
          <w:tcPr>
            <w:tcW w:w="3369" w:type="dxa"/>
            <w:noWrap w:val="0"/>
            <w:vAlign w:val="top"/>
          </w:tcPr>
          <w:p w14:paraId="08A43BF9">
            <w:pPr>
              <w:pStyle w:val="134"/>
              <w:keepNext w:val="0"/>
              <w:keepLines w:val="0"/>
              <w:pageBreakBefore w:val="0"/>
              <w:widowControl w:val="0"/>
              <w:suppressLineNumbers w:val="0"/>
              <w:wordWrap/>
              <w:overflowPunct/>
              <w:topLinePunct w:val="0"/>
              <w:bidi w:val="0"/>
              <w:spacing w:beforeAutospacing="0" w:afterAutospacing="0"/>
              <w:ind w:left="0" w:right="0"/>
              <w:rPr>
                <w:rFonts w:hint="eastAsia" w:ascii="仿宋" w:hAnsi="仿宋" w:eastAsia="仿宋" w:cs="仿宋"/>
                <w:color w:val="auto"/>
                <w:highlight w:val="none"/>
                <w:vertAlign w:val="baseline"/>
              </w:rPr>
            </w:pPr>
          </w:p>
        </w:tc>
        <w:tc>
          <w:tcPr>
            <w:tcW w:w="927" w:type="dxa"/>
            <w:noWrap w:val="0"/>
            <w:vAlign w:val="top"/>
          </w:tcPr>
          <w:p w14:paraId="51EA0CBB">
            <w:pPr>
              <w:pStyle w:val="134"/>
              <w:keepNext w:val="0"/>
              <w:keepLines w:val="0"/>
              <w:pageBreakBefore w:val="0"/>
              <w:widowControl w:val="0"/>
              <w:suppressLineNumbers w:val="0"/>
              <w:wordWrap/>
              <w:overflowPunct/>
              <w:topLinePunct w:val="0"/>
              <w:bidi w:val="0"/>
              <w:spacing w:beforeAutospacing="0" w:afterAutospacing="0"/>
              <w:ind w:left="0" w:right="0"/>
              <w:rPr>
                <w:rFonts w:hint="eastAsia" w:ascii="仿宋" w:hAnsi="仿宋" w:eastAsia="仿宋" w:cs="仿宋"/>
                <w:color w:val="auto"/>
                <w:highlight w:val="none"/>
                <w:vertAlign w:val="baseline"/>
              </w:rPr>
            </w:pPr>
          </w:p>
        </w:tc>
      </w:tr>
      <w:tr w14:paraId="37CE4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noWrap w:val="0"/>
            <w:vAlign w:val="top"/>
          </w:tcPr>
          <w:p w14:paraId="4CB77864">
            <w:pPr>
              <w:pStyle w:val="134"/>
              <w:keepNext w:val="0"/>
              <w:keepLines w:val="0"/>
              <w:pageBreakBefore w:val="0"/>
              <w:widowControl w:val="0"/>
              <w:suppressLineNumbers w:val="0"/>
              <w:wordWrap/>
              <w:overflowPunct/>
              <w:topLinePunct w:val="0"/>
              <w:bidi w:val="0"/>
              <w:spacing w:beforeAutospacing="0" w:afterAutospacing="0"/>
              <w:ind w:left="0" w:right="0"/>
              <w:jc w:val="center"/>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5</w:t>
            </w:r>
          </w:p>
        </w:tc>
        <w:tc>
          <w:tcPr>
            <w:tcW w:w="2376" w:type="dxa"/>
            <w:noWrap w:val="0"/>
            <w:vAlign w:val="top"/>
          </w:tcPr>
          <w:p w14:paraId="3CB6A011">
            <w:pPr>
              <w:pStyle w:val="134"/>
              <w:keepNext w:val="0"/>
              <w:keepLines w:val="0"/>
              <w:pageBreakBefore w:val="0"/>
              <w:widowControl w:val="0"/>
              <w:suppressLineNumbers w:val="0"/>
              <w:wordWrap/>
              <w:overflowPunct/>
              <w:topLinePunct w:val="0"/>
              <w:bidi w:val="0"/>
              <w:spacing w:beforeAutospacing="0" w:afterAutospacing="0"/>
              <w:ind w:left="0" w:right="0"/>
              <w:rPr>
                <w:rFonts w:hint="eastAsia" w:asciiTheme="minorEastAsia" w:hAnsiTheme="minorEastAsia" w:eastAsiaTheme="minorEastAsia" w:cstheme="minorEastAsia"/>
                <w:color w:val="auto"/>
                <w:highlight w:val="none"/>
                <w:vertAlign w:val="baseline"/>
              </w:rPr>
            </w:pPr>
            <w:r>
              <w:rPr>
                <w:rFonts w:hint="eastAsia" w:asciiTheme="minorEastAsia" w:hAnsiTheme="minorEastAsia" w:eastAsiaTheme="minorEastAsia" w:cstheme="minorEastAsia"/>
                <w:b w:val="0"/>
                <w:bCs w:val="0"/>
                <w:color w:val="auto"/>
                <w:sz w:val="19"/>
                <w:szCs w:val="19"/>
                <w:highlight w:val="none"/>
                <w:lang w:eastAsia="zh-CN"/>
              </w:rPr>
              <w:t>★</w:t>
            </w:r>
            <w:r>
              <w:rPr>
                <w:rFonts w:hint="eastAsia" w:asciiTheme="minorEastAsia" w:hAnsiTheme="minorEastAsia" w:eastAsiaTheme="minorEastAsia" w:cstheme="minorEastAsia"/>
                <w:b w:val="0"/>
                <w:bCs w:val="0"/>
                <w:color w:val="auto"/>
                <w:sz w:val="19"/>
                <w:szCs w:val="19"/>
                <w:highlight w:val="none"/>
              </w:rPr>
              <w:t>A020609镇流器</w:t>
            </w:r>
          </w:p>
        </w:tc>
        <w:tc>
          <w:tcPr>
            <w:tcW w:w="1640" w:type="dxa"/>
            <w:noWrap w:val="0"/>
            <w:vAlign w:val="top"/>
          </w:tcPr>
          <w:p w14:paraId="78C6BDF0">
            <w:pPr>
              <w:pStyle w:val="134"/>
              <w:keepNext w:val="0"/>
              <w:keepLines w:val="0"/>
              <w:pageBreakBefore w:val="0"/>
              <w:widowControl w:val="0"/>
              <w:suppressLineNumbers w:val="0"/>
              <w:wordWrap/>
              <w:overflowPunct/>
              <w:topLinePunct w:val="0"/>
              <w:bidi w:val="0"/>
              <w:spacing w:beforeAutospacing="0" w:afterAutospacing="0"/>
              <w:ind w:left="0" w:right="0"/>
              <w:rPr>
                <w:rFonts w:hint="eastAsia" w:ascii="仿宋" w:hAnsi="仿宋" w:eastAsia="仿宋" w:cs="仿宋"/>
                <w:color w:val="auto"/>
                <w:highlight w:val="none"/>
                <w:vertAlign w:val="baseline"/>
              </w:rPr>
            </w:pPr>
          </w:p>
        </w:tc>
        <w:tc>
          <w:tcPr>
            <w:tcW w:w="3369" w:type="dxa"/>
            <w:noWrap w:val="0"/>
            <w:vAlign w:val="top"/>
          </w:tcPr>
          <w:p w14:paraId="077F835D">
            <w:pPr>
              <w:pStyle w:val="134"/>
              <w:keepNext w:val="0"/>
              <w:keepLines w:val="0"/>
              <w:pageBreakBefore w:val="0"/>
              <w:widowControl w:val="0"/>
              <w:suppressLineNumbers w:val="0"/>
              <w:wordWrap/>
              <w:overflowPunct/>
              <w:topLinePunct w:val="0"/>
              <w:bidi w:val="0"/>
              <w:spacing w:beforeAutospacing="0" w:afterAutospacing="0"/>
              <w:ind w:left="0" w:right="0"/>
              <w:rPr>
                <w:rFonts w:hint="eastAsia" w:ascii="仿宋" w:hAnsi="仿宋" w:eastAsia="仿宋" w:cs="仿宋"/>
                <w:color w:val="auto"/>
                <w:highlight w:val="none"/>
                <w:vertAlign w:val="baseline"/>
              </w:rPr>
            </w:pPr>
          </w:p>
        </w:tc>
        <w:tc>
          <w:tcPr>
            <w:tcW w:w="927" w:type="dxa"/>
            <w:noWrap w:val="0"/>
            <w:vAlign w:val="top"/>
          </w:tcPr>
          <w:p w14:paraId="7EAD7136">
            <w:pPr>
              <w:pStyle w:val="134"/>
              <w:keepNext w:val="0"/>
              <w:keepLines w:val="0"/>
              <w:pageBreakBefore w:val="0"/>
              <w:widowControl w:val="0"/>
              <w:suppressLineNumbers w:val="0"/>
              <w:wordWrap/>
              <w:overflowPunct/>
              <w:topLinePunct w:val="0"/>
              <w:bidi w:val="0"/>
              <w:spacing w:beforeAutospacing="0" w:afterAutospacing="0"/>
              <w:ind w:left="0" w:right="0"/>
              <w:rPr>
                <w:rFonts w:hint="eastAsia" w:ascii="仿宋" w:hAnsi="仿宋" w:eastAsia="仿宋" w:cs="仿宋"/>
                <w:color w:val="auto"/>
                <w:highlight w:val="none"/>
                <w:vertAlign w:val="baseline"/>
              </w:rPr>
            </w:pPr>
          </w:p>
        </w:tc>
      </w:tr>
      <w:tr w14:paraId="3339F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noWrap w:val="0"/>
            <w:vAlign w:val="top"/>
          </w:tcPr>
          <w:p w14:paraId="57F3F4B0">
            <w:pPr>
              <w:pStyle w:val="134"/>
              <w:keepNext w:val="0"/>
              <w:keepLines w:val="0"/>
              <w:pageBreakBefore w:val="0"/>
              <w:widowControl w:val="0"/>
              <w:suppressLineNumbers w:val="0"/>
              <w:wordWrap/>
              <w:overflowPunct/>
              <w:topLinePunct w:val="0"/>
              <w:bidi w:val="0"/>
              <w:spacing w:beforeAutospacing="0" w:afterAutospacing="0"/>
              <w:ind w:left="0" w:right="0"/>
              <w:jc w:val="center"/>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6</w:t>
            </w:r>
          </w:p>
        </w:tc>
        <w:tc>
          <w:tcPr>
            <w:tcW w:w="2376" w:type="dxa"/>
            <w:noWrap w:val="0"/>
            <w:vAlign w:val="top"/>
          </w:tcPr>
          <w:p w14:paraId="53581A53">
            <w:pPr>
              <w:pStyle w:val="134"/>
              <w:keepNext w:val="0"/>
              <w:keepLines w:val="0"/>
              <w:pageBreakBefore w:val="0"/>
              <w:widowControl w:val="0"/>
              <w:suppressLineNumbers w:val="0"/>
              <w:wordWrap/>
              <w:overflowPunct/>
              <w:topLinePunct w:val="0"/>
              <w:bidi w:val="0"/>
              <w:spacing w:beforeAutospacing="0" w:afterAutospacing="0"/>
              <w:ind w:left="0" w:right="0"/>
              <w:rPr>
                <w:rFonts w:hint="eastAsia" w:asciiTheme="minorEastAsia" w:hAnsiTheme="minorEastAsia" w:eastAsiaTheme="minorEastAsia" w:cstheme="minorEastAsia"/>
                <w:color w:val="auto"/>
                <w:highlight w:val="none"/>
                <w:vertAlign w:val="baseline"/>
              </w:rPr>
            </w:pPr>
            <w:r>
              <w:rPr>
                <w:rFonts w:hint="eastAsia" w:asciiTheme="minorEastAsia" w:hAnsiTheme="minorEastAsia" w:eastAsiaTheme="minorEastAsia" w:cstheme="minorEastAsia"/>
                <w:b w:val="0"/>
                <w:bCs w:val="0"/>
                <w:color w:val="auto"/>
                <w:sz w:val="19"/>
                <w:szCs w:val="19"/>
                <w:highlight w:val="none"/>
                <w:lang w:eastAsia="zh-CN"/>
              </w:rPr>
              <w:t>★</w:t>
            </w:r>
            <w:r>
              <w:rPr>
                <w:rFonts w:hint="eastAsia" w:asciiTheme="minorEastAsia" w:hAnsiTheme="minorEastAsia" w:eastAsiaTheme="minorEastAsia" w:cstheme="minorEastAsia"/>
                <w:b w:val="0"/>
                <w:bCs w:val="0"/>
                <w:color w:val="auto"/>
                <w:sz w:val="19"/>
                <w:szCs w:val="19"/>
                <w:highlight w:val="none"/>
              </w:rPr>
              <w:t>A0206180203空调机</w:t>
            </w:r>
          </w:p>
        </w:tc>
        <w:tc>
          <w:tcPr>
            <w:tcW w:w="1640" w:type="dxa"/>
            <w:noWrap w:val="0"/>
            <w:vAlign w:val="top"/>
          </w:tcPr>
          <w:p w14:paraId="114CC835">
            <w:pPr>
              <w:pStyle w:val="134"/>
              <w:keepNext w:val="0"/>
              <w:keepLines w:val="0"/>
              <w:pageBreakBefore w:val="0"/>
              <w:widowControl w:val="0"/>
              <w:suppressLineNumbers w:val="0"/>
              <w:wordWrap/>
              <w:overflowPunct/>
              <w:topLinePunct w:val="0"/>
              <w:bidi w:val="0"/>
              <w:spacing w:beforeAutospacing="0" w:afterAutospacing="0"/>
              <w:ind w:left="0" w:right="0"/>
              <w:rPr>
                <w:rFonts w:hint="eastAsia" w:ascii="仿宋" w:hAnsi="仿宋" w:eastAsia="仿宋" w:cs="仿宋"/>
                <w:color w:val="auto"/>
                <w:highlight w:val="none"/>
                <w:vertAlign w:val="baseline"/>
              </w:rPr>
            </w:pPr>
          </w:p>
        </w:tc>
        <w:tc>
          <w:tcPr>
            <w:tcW w:w="3369" w:type="dxa"/>
            <w:noWrap w:val="0"/>
            <w:vAlign w:val="top"/>
          </w:tcPr>
          <w:p w14:paraId="6A22AB57">
            <w:pPr>
              <w:pStyle w:val="134"/>
              <w:keepNext w:val="0"/>
              <w:keepLines w:val="0"/>
              <w:pageBreakBefore w:val="0"/>
              <w:widowControl w:val="0"/>
              <w:suppressLineNumbers w:val="0"/>
              <w:wordWrap/>
              <w:overflowPunct/>
              <w:topLinePunct w:val="0"/>
              <w:bidi w:val="0"/>
              <w:spacing w:beforeAutospacing="0" w:afterAutospacing="0"/>
              <w:ind w:left="0" w:right="0"/>
              <w:rPr>
                <w:rFonts w:hint="eastAsia" w:ascii="仿宋" w:hAnsi="仿宋" w:eastAsia="仿宋" w:cs="仿宋"/>
                <w:color w:val="auto"/>
                <w:highlight w:val="none"/>
                <w:vertAlign w:val="baseline"/>
              </w:rPr>
            </w:pPr>
          </w:p>
        </w:tc>
        <w:tc>
          <w:tcPr>
            <w:tcW w:w="927" w:type="dxa"/>
            <w:noWrap w:val="0"/>
            <w:vAlign w:val="top"/>
          </w:tcPr>
          <w:p w14:paraId="636E7560">
            <w:pPr>
              <w:pStyle w:val="134"/>
              <w:keepNext w:val="0"/>
              <w:keepLines w:val="0"/>
              <w:pageBreakBefore w:val="0"/>
              <w:widowControl w:val="0"/>
              <w:suppressLineNumbers w:val="0"/>
              <w:wordWrap/>
              <w:overflowPunct/>
              <w:topLinePunct w:val="0"/>
              <w:bidi w:val="0"/>
              <w:spacing w:beforeAutospacing="0" w:afterAutospacing="0"/>
              <w:ind w:left="0" w:right="0"/>
              <w:rPr>
                <w:rFonts w:hint="eastAsia" w:ascii="仿宋" w:hAnsi="仿宋" w:eastAsia="仿宋" w:cs="仿宋"/>
                <w:color w:val="auto"/>
                <w:highlight w:val="none"/>
                <w:vertAlign w:val="baseline"/>
              </w:rPr>
            </w:pPr>
          </w:p>
        </w:tc>
      </w:tr>
      <w:tr w14:paraId="42733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noWrap w:val="0"/>
            <w:vAlign w:val="top"/>
          </w:tcPr>
          <w:p w14:paraId="5979B5EC">
            <w:pPr>
              <w:pStyle w:val="134"/>
              <w:keepNext w:val="0"/>
              <w:keepLines w:val="0"/>
              <w:pageBreakBefore w:val="0"/>
              <w:widowControl w:val="0"/>
              <w:suppressLineNumbers w:val="0"/>
              <w:wordWrap/>
              <w:overflowPunct/>
              <w:topLinePunct w:val="0"/>
              <w:bidi w:val="0"/>
              <w:spacing w:beforeAutospacing="0" w:afterAutospacing="0"/>
              <w:ind w:left="0" w:right="0"/>
              <w:jc w:val="center"/>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7</w:t>
            </w:r>
          </w:p>
        </w:tc>
        <w:tc>
          <w:tcPr>
            <w:tcW w:w="2376" w:type="dxa"/>
            <w:noWrap w:val="0"/>
            <w:vAlign w:val="top"/>
          </w:tcPr>
          <w:p w14:paraId="7ECC2430">
            <w:pPr>
              <w:pStyle w:val="134"/>
              <w:keepNext w:val="0"/>
              <w:keepLines w:val="0"/>
              <w:pageBreakBefore w:val="0"/>
              <w:widowControl w:val="0"/>
              <w:suppressLineNumbers w:val="0"/>
              <w:wordWrap/>
              <w:overflowPunct/>
              <w:topLinePunct w:val="0"/>
              <w:bidi w:val="0"/>
              <w:spacing w:beforeAutospacing="0" w:afterAutospacing="0"/>
              <w:ind w:left="0" w:right="0"/>
              <w:rPr>
                <w:rFonts w:hint="eastAsia" w:asciiTheme="minorEastAsia" w:hAnsiTheme="minorEastAsia" w:eastAsiaTheme="minorEastAsia" w:cstheme="minorEastAsia"/>
                <w:color w:val="auto"/>
                <w:highlight w:val="none"/>
                <w:vertAlign w:val="baseline"/>
                <w:lang w:eastAsia="zh-CN"/>
              </w:rPr>
            </w:pPr>
            <w:r>
              <w:rPr>
                <w:rFonts w:hint="eastAsia" w:asciiTheme="minorEastAsia" w:hAnsiTheme="minorEastAsia" w:eastAsiaTheme="minorEastAsia" w:cstheme="minorEastAsia"/>
                <w:b w:val="0"/>
                <w:bCs w:val="0"/>
                <w:color w:val="auto"/>
                <w:sz w:val="19"/>
                <w:szCs w:val="19"/>
                <w:highlight w:val="none"/>
              </w:rPr>
              <w:t>A02061808热水器</w:t>
            </w:r>
            <w:r>
              <w:rPr>
                <w:rFonts w:hint="eastAsia" w:asciiTheme="minorEastAsia" w:hAnsiTheme="minorEastAsia" w:eastAsiaTheme="minorEastAsia" w:cstheme="minorEastAsia"/>
                <w:b w:val="0"/>
                <w:bCs w:val="0"/>
                <w:color w:val="auto"/>
                <w:sz w:val="19"/>
                <w:szCs w:val="19"/>
                <w:highlight w:val="none"/>
                <w:lang w:eastAsia="zh-CN"/>
              </w:rPr>
              <w:t>（★</w:t>
            </w:r>
            <w:r>
              <w:rPr>
                <w:rFonts w:hint="eastAsia" w:asciiTheme="minorEastAsia" w:hAnsiTheme="minorEastAsia" w:eastAsiaTheme="minorEastAsia" w:cstheme="minorEastAsia"/>
                <w:b w:val="0"/>
                <w:bCs w:val="0"/>
                <w:color w:val="auto"/>
                <w:sz w:val="19"/>
                <w:szCs w:val="19"/>
                <w:highlight w:val="none"/>
              </w:rPr>
              <w:t>电热水器</w:t>
            </w:r>
            <w:r>
              <w:rPr>
                <w:rFonts w:hint="eastAsia" w:asciiTheme="minorEastAsia" w:hAnsiTheme="minorEastAsia" w:eastAsiaTheme="minorEastAsia" w:cstheme="minorEastAsia"/>
                <w:b w:val="0"/>
                <w:bCs w:val="0"/>
                <w:color w:val="auto"/>
                <w:sz w:val="19"/>
                <w:szCs w:val="19"/>
                <w:highlight w:val="none"/>
                <w:lang w:eastAsia="zh-CN"/>
              </w:rPr>
              <w:t>）</w:t>
            </w:r>
          </w:p>
        </w:tc>
        <w:tc>
          <w:tcPr>
            <w:tcW w:w="1640" w:type="dxa"/>
            <w:noWrap w:val="0"/>
            <w:vAlign w:val="top"/>
          </w:tcPr>
          <w:p w14:paraId="5519262B">
            <w:pPr>
              <w:pStyle w:val="134"/>
              <w:keepNext w:val="0"/>
              <w:keepLines w:val="0"/>
              <w:pageBreakBefore w:val="0"/>
              <w:widowControl w:val="0"/>
              <w:suppressLineNumbers w:val="0"/>
              <w:wordWrap/>
              <w:overflowPunct/>
              <w:topLinePunct w:val="0"/>
              <w:bidi w:val="0"/>
              <w:spacing w:beforeAutospacing="0" w:afterAutospacing="0"/>
              <w:ind w:left="0" w:right="0"/>
              <w:rPr>
                <w:rFonts w:hint="eastAsia" w:ascii="仿宋" w:hAnsi="仿宋" w:eastAsia="仿宋" w:cs="仿宋"/>
                <w:color w:val="auto"/>
                <w:highlight w:val="none"/>
                <w:vertAlign w:val="baseline"/>
              </w:rPr>
            </w:pPr>
          </w:p>
        </w:tc>
        <w:tc>
          <w:tcPr>
            <w:tcW w:w="3369" w:type="dxa"/>
            <w:noWrap w:val="0"/>
            <w:vAlign w:val="top"/>
          </w:tcPr>
          <w:p w14:paraId="1FACB454">
            <w:pPr>
              <w:pStyle w:val="134"/>
              <w:keepNext w:val="0"/>
              <w:keepLines w:val="0"/>
              <w:pageBreakBefore w:val="0"/>
              <w:widowControl w:val="0"/>
              <w:suppressLineNumbers w:val="0"/>
              <w:wordWrap/>
              <w:overflowPunct/>
              <w:topLinePunct w:val="0"/>
              <w:bidi w:val="0"/>
              <w:spacing w:beforeAutospacing="0" w:afterAutospacing="0"/>
              <w:ind w:left="0" w:right="0"/>
              <w:rPr>
                <w:rFonts w:hint="eastAsia" w:ascii="仿宋" w:hAnsi="仿宋" w:eastAsia="仿宋" w:cs="仿宋"/>
                <w:color w:val="auto"/>
                <w:highlight w:val="none"/>
                <w:vertAlign w:val="baseline"/>
              </w:rPr>
            </w:pPr>
          </w:p>
        </w:tc>
        <w:tc>
          <w:tcPr>
            <w:tcW w:w="927" w:type="dxa"/>
            <w:noWrap w:val="0"/>
            <w:vAlign w:val="top"/>
          </w:tcPr>
          <w:p w14:paraId="39001F79">
            <w:pPr>
              <w:pStyle w:val="134"/>
              <w:keepNext w:val="0"/>
              <w:keepLines w:val="0"/>
              <w:pageBreakBefore w:val="0"/>
              <w:widowControl w:val="0"/>
              <w:suppressLineNumbers w:val="0"/>
              <w:wordWrap/>
              <w:overflowPunct/>
              <w:topLinePunct w:val="0"/>
              <w:bidi w:val="0"/>
              <w:spacing w:beforeAutospacing="0" w:afterAutospacing="0"/>
              <w:ind w:left="0" w:right="0"/>
              <w:rPr>
                <w:rFonts w:hint="eastAsia" w:ascii="仿宋" w:hAnsi="仿宋" w:eastAsia="仿宋" w:cs="仿宋"/>
                <w:color w:val="auto"/>
                <w:highlight w:val="none"/>
                <w:vertAlign w:val="baseline"/>
              </w:rPr>
            </w:pPr>
          </w:p>
        </w:tc>
      </w:tr>
      <w:tr w14:paraId="0A25A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noWrap w:val="0"/>
            <w:vAlign w:val="top"/>
          </w:tcPr>
          <w:p w14:paraId="33C9837A">
            <w:pPr>
              <w:pStyle w:val="134"/>
              <w:keepNext w:val="0"/>
              <w:keepLines w:val="0"/>
              <w:pageBreakBefore w:val="0"/>
              <w:widowControl w:val="0"/>
              <w:suppressLineNumbers w:val="0"/>
              <w:wordWrap/>
              <w:overflowPunct/>
              <w:topLinePunct w:val="0"/>
              <w:bidi w:val="0"/>
              <w:spacing w:beforeAutospacing="0" w:afterAutospacing="0"/>
              <w:ind w:left="0" w:right="0"/>
              <w:jc w:val="center"/>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8</w:t>
            </w:r>
          </w:p>
        </w:tc>
        <w:tc>
          <w:tcPr>
            <w:tcW w:w="2376" w:type="dxa"/>
            <w:noWrap w:val="0"/>
            <w:vAlign w:val="top"/>
          </w:tcPr>
          <w:p w14:paraId="49C7E4FF">
            <w:pPr>
              <w:pStyle w:val="134"/>
              <w:keepNext w:val="0"/>
              <w:keepLines w:val="0"/>
              <w:pageBreakBefore w:val="0"/>
              <w:widowControl w:val="0"/>
              <w:suppressLineNumbers w:val="0"/>
              <w:wordWrap/>
              <w:overflowPunct/>
              <w:topLinePunct w:val="0"/>
              <w:bidi w:val="0"/>
              <w:spacing w:beforeAutospacing="0" w:afterAutospacing="0"/>
              <w:ind w:left="0" w:right="0"/>
              <w:rPr>
                <w:rFonts w:hint="eastAsia" w:asciiTheme="minorEastAsia" w:hAnsiTheme="minorEastAsia" w:eastAsiaTheme="minorEastAsia" w:cstheme="minorEastAsia"/>
                <w:color w:val="auto"/>
                <w:highlight w:val="none"/>
                <w:vertAlign w:val="baseline"/>
                <w:lang w:eastAsia="zh-CN"/>
              </w:rPr>
            </w:pPr>
            <w:r>
              <w:rPr>
                <w:rFonts w:hint="eastAsia" w:asciiTheme="minorEastAsia" w:hAnsiTheme="minorEastAsia" w:eastAsiaTheme="minorEastAsia" w:cstheme="minorEastAsia"/>
                <w:b w:val="0"/>
                <w:bCs w:val="0"/>
                <w:color w:val="auto"/>
                <w:sz w:val="19"/>
                <w:szCs w:val="19"/>
                <w:highlight w:val="none"/>
              </w:rPr>
              <w:t>A020619照明设备</w:t>
            </w:r>
            <w:r>
              <w:rPr>
                <w:rFonts w:hint="eastAsia" w:asciiTheme="minorEastAsia" w:hAnsiTheme="minorEastAsia" w:eastAsiaTheme="minorEastAsia" w:cstheme="minorEastAsia"/>
                <w:b w:val="0"/>
                <w:bCs w:val="0"/>
                <w:color w:val="auto"/>
                <w:sz w:val="19"/>
                <w:szCs w:val="19"/>
                <w:highlight w:val="none"/>
                <w:lang w:eastAsia="zh-CN"/>
              </w:rPr>
              <w:t>（★</w:t>
            </w:r>
            <w:r>
              <w:rPr>
                <w:rFonts w:hint="eastAsia" w:asciiTheme="minorEastAsia" w:hAnsiTheme="minorEastAsia" w:eastAsiaTheme="minorEastAsia" w:cstheme="minorEastAsia"/>
                <w:b w:val="0"/>
                <w:bCs w:val="0"/>
                <w:color w:val="auto"/>
                <w:sz w:val="19"/>
                <w:szCs w:val="19"/>
                <w:highlight w:val="none"/>
              </w:rPr>
              <w:t>普通照明用双端荧光灯</w:t>
            </w:r>
            <w:r>
              <w:rPr>
                <w:rFonts w:hint="eastAsia" w:asciiTheme="minorEastAsia" w:hAnsiTheme="minorEastAsia" w:eastAsiaTheme="minorEastAsia" w:cstheme="minorEastAsia"/>
                <w:b w:val="0"/>
                <w:bCs w:val="0"/>
                <w:color w:val="auto"/>
                <w:sz w:val="19"/>
                <w:szCs w:val="19"/>
                <w:highlight w:val="none"/>
                <w:lang w:eastAsia="zh-CN"/>
              </w:rPr>
              <w:t>）</w:t>
            </w:r>
          </w:p>
        </w:tc>
        <w:tc>
          <w:tcPr>
            <w:tcW w:w="1640" w:type="dxa"/>
            <w:noWrap w:val="0"/>
            <w:vAlign w:val="top"/>
          </w:tcPr>
          <w:p w14:paraId="3E16DDC0">
            <w:pPr>
              <w:pStyle w:val="134"/>
              <w:keepNext w:val="0"/>
              <w:keepLines w:val="0"/>
              <w:pageBreakBefore w:val="0"/>
              <w:widowControl w:val="0"/>
              <w:suppressLineNumbers w:val="0"/>
              <w:wordWrap/>
              <w:overflowPunct/>
              <w:topLinePunct w:val="0"/>
              <w:bidi w:val="0"/>
              <w:spacing w:beforeAutospacing="0" w:afterAutospacing="0"/>
              <w:ind w:left="0" w:right="0"/>
              <w:rPr>
                <w:rFonts w:hint="eastAsia" w:ascii="仿宋" w:hAnsi="仿宋" w:eastAsia="仿宋" w:cs="仿宋"/>
                <w:color w:val="auto"/>
                <w:highlight w:val="none"/>
                <w:vertAlign w:val="baseline"/>
              </w:rPr>
            </w:pPr>
          </w:p>
        </w:tc>
        <w:tc>
          <w:tcPr>
            <w:tcW w:w="3369" w:type="dxa"/>
            <w:noWrap w:val="0"/>
            <w:vAlign w:val="top"/>
          </w:tcPr>
          <w:p w14:paraId="3C9AA811">
            <w:pPr>
              <w:pStyle w:val="134"/>
              <w:keepNext w:val="0"/>
              <w:keepLines w:val="0"/>
              <w:pageBreakBefore w:val="0"/>
              <w:widowControl w:val="0"/>
              <w:suppressLineNumbers w:val="0"/>
              <w:wordWrap/>
              <w:overflowPunct/>
              <w:topLinePunct w:val="0"/>
              <w:bidi w:val="0"/>
              <w:spacing w:beforeAutospacing="0" w:afterAutospacing="0"/>
              <w:ind w:left="0" w:right="0"/>
              <w:rPr>
                <w:rFonts w:hint="eastAsia" w:ascii="仿宋" w:hAnsi="仿宋" w:eastAsia="仿宋" w:cs="仿宋"/>
                <w:color w:val="auto"/>
                <w:highlight w:val="none"/>
                <w:vertAlign w:val="baseline"/>
              </w:rPr>
            </w:pPr>
          </w:p>
        </w:tc>
        <w:tc>
          <w:tcPr>
            <w:tcW w:w="927" w:type="dxa"/>
            <w:noWrap w:val="0"/>
            <w:vAlign w:val="top"/>
          </w:tcPr>
          <w:p w14:paraId="1ACB33AC">
            <w:pPr>
              <w:pStyle w:val="134"/>
              <w:keepNext w:val="0"/>
              <w:keepLines w:val="0"/>
              <w:pageBreakBefore w:val="0"/>
              <w:widowControl w:val="0"/>
              <w:suppressLineNumbers w:val="0"/>
              <w:wordWrap/>
              <w:overflowPunct/>
              <w:topLinePunct w:val="0"/>
              <w:bidi w:val="0"/>
              <w:spacing w:beforeAutospacing="0" w:afterAutospacing="0"/>
              <w:ind w:left="0" w:right="0"/>
              <w:rPr>
                <w:rFonts w:hint="eastAsia" w:ascii="仿宋" w:hAnsi="仿宋" w:eastAsia="仿宋" w:cs="仿宋"/>
                <w:color w:val="auto"/>
                <w:highlight w:val="none"/>
                <w:vertAlign w:val="baseline"/>
              </w:rPr>
            </w:pPr>
          </w:p>
        </w:tc>
      </w:tr>
      <w:tr w14:paraId="5ACC8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noWrap w:val="0"/>
            <w:vAlign w:val="top"/>
          </w:tcPr>
          <w:p w14:paraId="4001066F">
            <w:pPr>
              <w:pStyle w:val="134"/>
              <w:keepNext w:val="0"/>
              <w:keepLines w:val="0"/>
              <w:pageBreakBefore w:val="0"/>
              <w:widowControl w:val="0"/>
              <w:suppressLineNumbers w:val="0"/>
              <w:wordWrap/>
              <w:overflowPunct/>
              <w:topLinePunct w:val="0"/>
              <w:bidi w:val="0"/>
              <w:spacing w:beforeAutospacing="0" w:afterAutospacing="0"/>
              <w:ind w:left="0" w:right="0"/>
              <w:jc w:val="center"/>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9</w:t>
            </w:r>
          </w:p>
        </w:tc>
        <w:tc>
          <w:tcPr>
            <w:tcW w:w="2376" w:type="dxa"/>
            <w:noWrap w:val="0"/>
            <w:vAlign w:val="top"/>
          </w:tcPr>
          <w:p w14:paraId="0D8B7BF4">
            <w:pPr>
              <w:pStyle w:val="134"/>
              <w:keepNext w:val="0"/>
              <w:keepLines w:val="0"/>
              <w:pageBreakBefore w:val="0"/>
              <w:widowControl w:val="0"/>
              <w:suppressLineNumbers w:val="0"/>
              <w:wordWrap/>
              <w:overflowPunct/>
              <w:topLinePunct w:val="0"/>
              <w:bidi w:val="0"/>
              <w:spacing w:beforeAutospacing="0" w:afterAutospacing="0"/>
              <w:ind w:left="0" w:right="0"/>
              <w:rPr>
                <w:rFonts w:hint="eastAsia" w:asciiTheme="minorEastAsia" w:hAnsiTheme="minorEastAsia" w:eastAsiaTheme="minorEastAsia" w:cstheme="minorEastAsia"/>
                <w:b w:val="0"/>
                <w:bCs w:val="0"/>
                <w:color w:val="auto"/>
                <w:sz w:val="19"/>
                <w:szCs w:val="19"/>
                <w:highlight w:val="none"/>
              </w:rPr>
            </w:pPr>
            <w:r>
              <w:rPr>
                <w:rFonts w:hint="eastAsia" w:asciiTheme="minorEastAsia" w:hAnsiTheme="minorEastAsia" w:eastAsiaTheme="minorEastAsia" w:cstheme="minorEastAsia"/>
                <w:b w:val="0"/>
                <w:bCs w:val="0"/>
                <w:color w:val="auto"/>
                <w:sz w:val="19"/>
                <w:szCs w:val="19"/>
                <w:highlight w:val="none"/>
                <w:lang w:eastAsia="zh-CN"/>
              </w:rPr>
              <w:t>★</w:t>
            </w:r>
            <w:r>
              <w:rPr>
                <w:rFonts w:hint="eastAsia" w:asciiTheme="minorEastAsia" w:hAnsiTheme="minorEastAsia" w:eastAsiaTheme="minorEastAsia" w:cstheme="minorEastAsia"/>
                <w:b w:val="0"/>
                <w:bCs w:val="0"/>
                <w:color w:val="auto"/>
                <w:sz w:val="19"/>
                <w:szCs w:val="19"/>
                <w:highlight w:val="none"/>
              </w:rPr>
              <w:t>A020910电视设备</w:t>
            </w:r>
          </w:p>
        </w:tc>
        <w:tc>
          <w:tcPr>
            <w:tcW w:w="1640" w:type="dxa"/>
            <w:noWrap w:val="0"/>
            <w:vAlign w:val="top"/>
          </w:tcPr>
          <w:p w14:paraId="64D8FDF4">
            <w:pPr>
              <w:pStyle w:val="134"/>
              <w:keepNext w:val="0"/>
              <w:keepLines w:val="0"/>
              <w:pageBreakBefore w:val="0"/>
              <w:widowControl w:val="0"/>
              <w:suppressLineNumbers w:val="0"/>
              <w:wordWrap/>
              <w:overflowPunct/>
              <w:topLinePunct w:val="0"/>
              <w:bidi w:val="0"/>
              <w:spacing w:beforeAutospacing="0" w:afterAutospacing="0"/>
              <w:ind w:left="0" w:right="0"/>
              <w:rPr>
                <w:rFonts w:hint="eastAsia" w:ascii="仿宋" w:hAnsi="仿宋" w:eastAsia="仿宋" w:cs="仿宋"/>
                <w:color w:val="auto"/>
                <w:highlight w:val="none"/>
                <w:vertAlign w:val="baseline"/>
              </w:rPr>
            </w:pPr>
          </w:p>
        </w:tc>
        <w:tc>
          <w:tcPr>
            <w:tcW w:w="3369" w:type="dxa"/>
            <w:noWrap w:val="0"/>
            <w:vAlign w:val="top"/>
          </w:tcPr>
          <w:p w14:paraId="6717CD01">
            <w:pPr>
              <w:pStyle w:val="134"/>
              <w:keepNext w:val="0"/>
              <w:keepLines w:val="0"/>
              <w:pageBreakBefore w:val="0"/>
              <w:widowControl w:val="0"/>
              <w:suppressLineNumbers w:val="0"/>
              <w:wordWrap/>
              <w:overflowPunct/>
              <w:topLinePunct w:val="0"/>
              <w:bidi w:val="0"/>
              <w:spacing w:beforeAutospacing="0" w:afterAutospacing="0"/>
              <w:ind w:left="0" w:right="0"/>
              <w:rPr>
                <w:rFonts w:hint="eastAsia" w:ascii="仿宋" w:hAnsi="仿宋" w:eastAsia="仿宋" w:cs="仿宋"/>
                <w:color w:val="auto"/>
                <w:highlight w:val="none"/>
                <w:vertAlign w:val="baseline"/>
              </w:rPr>
            </w:pPr>
          </w:p>
        </w:tc>
        <w:tc>
          <w:tcPr>
            <w:tcW w:w="927" w:type="dxa"/>
            <w:noWrap w:val="0"/>
            <w:vAlign w:val="top"/>
          </w:tcPr>
          <w:p w14:paraId="0DE08142">
            <w:pPr>
              <w:pStyle w:val="134"/>
              <w:keepNext w:val="0"/>
              <w:keepLines w:val="0"/>
              <w:pageBreakBefore w:val="0"/>
              <w:widowControl w:val="0"/>
              <w:suppressLineNumbers w:val="0"/>
              <w:wordWrap/>
              <w:overflowPunct/>
              <w:topLinePunct w:val="0"/>
              <w:bidi w:val="0"/>
              <w:spacing w:beforeAutospacing="0" w:afterAutospacing="0"/>
              <w:ind w:left="0" w:right="0"/>
              <w:rPr>
                <w:rFonts w:hint="eastAsia" w:ascii="仿宋" w:hAnsi="仿宋" w:eastAsia="仿宋" w:cs="仿宋"/>
                <w:color w:val="auto"/>
                <w:highlight w:val="none"/>
                <w:vertAlign w:val="baseline"/>
              </w:rPr>
            </w:pPr>
          </w:p>
        </w:tc>
      </w:tr>
      <w:tr w14:paraId="301A4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noWrap w:val="0"/>
            <w:vAlign w:val="top"/>
          </w:tcPr>
          <w:p w14:paraId="37215E24">
            <w:pPr>
              <w:pStyle w:val="134"/>
              <w:keepNext w:val="0"/>
              <w:keepLines w:val="0"/>
              <w:pageBreakBefore w:val="0"/>
              <w:widowControl w:val="0"/>
              <w:suppressLineNumbers w:val="0"/>
              <w:wordWrap/>
              <w:overflowPunct/>
              <w:topLinePunct w:val="0"/>
              <w:bidi w:val="0"/>
              <w:spacing w:beforeAutospacing="0" w:afterAutospacing="0"/>
              <w:ind w:left="0" w:right="0"/>
              <w:jc w:val="center"/>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10</w:t>
            </w:r>
          </w:p>
        </w:tc>
        <w:tc>
          <w:tcPr>
            <w:tcW w:w="2376" w:type="dxa"/>
            <w:noWrap w:val="0"/>
            <w:vAlign w:val="top"/>
          </w:tcPr>
          <w:p w14:paraId="486884FF">
            <w:pPr>
              <w:pStyle w:val="134"/>
              <w:keepNext w:val="0"/>
              <w:keepLines w:val="0"/>
              <w:pageBreakBefore w:val="0"/>
              <w:widowControl w:val="0"/>
              <w:suppressLineNumbers w:val="0"/>
              <w:wordWrap/>
              <w:overflowPunct/>
              <w:topLinePunct w:val="0"/>
              <w:bidi w:val="0"/>
              <w:spacing w:beforeAutospacing="0" w:afterAutospacing="0"/>
              <w:ind w:left="0" w:right="0"/>
              <w:rPr>
                <w:rFonts w:hint="eastAsia" w:asciiTheme="minorEastAsia" w:hAnsiTheme="minorEastAsia" w:eastAsiaTheme="minorEastAsia" w:cstheme="minorEastAsia"/>
                <w:b w:val="0"/>
                <w:bCs w:val="0"/>
                <w:color w:val="auto"/>
                <w:sz w:val="19"/>
                <w:szCs w:val="19"/>
                <w:highlight w:val="none"/>
              </w:rPr>
            </w:pPr>
            <w:r>
              <w:rPr>
                <w:rFonts w:hint="eastAsia" w:asciiTheme="minorEastAsia" w:hAnsiTheme="minorEastAsia" w:eastAsiaTheme="minorEastAsia" w:cstheme="minorEastAsia"/>
                <w:b w:val="0"/>
                <w:bCs w:val="0"/>
                <w:color w:val="auto"/>
                <w:sz w:val="19"/>
                <w:szCs w:val="19"/>
                <w:highlight w:val="none"/>
                <w:lang w:eastAsia="zh-CN"/>
              </w:rPr>
              <w:t>★</w:t>
            </w:r>
            <w:r>
              <w:rPr>
                <w:rFonts w:hint="eastAsia" w:asciiTheme="minorEastAsia" w:hAnsiTheme="minorEastAsia" w:eastAsiaTheme="minorEastAsia" w:cstheme="minorEastAsia"/>
                <w:b w:val="0"/>
                <w:bCs w:val="0"/>
                <w:color w:val="auto"/>
                <w:sz w:val="19"/>
                <w:szCs w:val="19"/>
                <w:highlight w:val="none"/>
              </w:rPr>
              <w:t>A020911视频设备</w:t>
            </w:r>
          </w:p>
        </w:tc>
        <w:tc>
          <w:tcPr>
            <w:tcW w:w="1640" w:type="dxa"/>
            <w:noWrap w:val="0"/>
            <w:vAlign w:val="top"/>
          </w:tcPr>
          <w:p w14:paraId="7EB44F5D">
            <w:pPr>
              <w:pStyle w:val="134"/>
              <w:keepNext w:val="0"/>
              <w:keepLines w:val="0"/>
              <w:pageBreakBefore w:val="0"/>
              <w:widowControl w:val="0"/>
              <w:suppressLineNumbers w:val="0"/>
              <w:wordWrap/>
              <w:overflowPunct/>
              <w:topLinePunct w:val="0"/>
              <w:bidi w:val="0"/>
              <w:spacing w:beforeAutospacing="0" w:afterAutospacing="0"/>
              <w:ind w:left="0" w:right="0"/>
              <w:rPr>
                <w:rFonts w:hint="eastAsia" w:ascii="仿宋" w:hAnsi="仿宋" w:eastAsia="仿宋" w:cs="仿宋"/>
                <w:color w:val="auto"/>
                <w:highlight w:val="none"/>
                <w:vertAlign w:val="baseline"/>
              </w:rPr>
            </w:pPr>
          </w:p>
        </w:tc>
        <w:tc>
          <w:tcPr>
            <w:tcW w:w="3369" w:type="dxa"/>
            <w:noWrap w:val="0"/>
            <w:vAlign w:val="top"/>
          </w:tcPr>
          <w:p w14:paraId="2F0EFC2A">
            <w:pPr>
              <w:pStyle w:val="134"/>
              <w:keepNext w:val="0"/>
              <w:keepLines w:val="0"/>
              <w:pageBreakBefore w:val="0"/>
              <w:widowControl w:val="0"/>
              <w:suppressLineNumbers w:val="0"/>
              <w:wordWrap/>
              <w:overflowPunct/>
              <w:topLinePunct w:val="0"/>
              <w:bidi w:val="0"/>
              <w:spacing w:beforeAutospacing="0" w:afterAutospacing="0"/>
              <w:ind w:left="0" w:right="0"/>
              <w:rPr>
                <w:rFonts w:hint="eastAsia" w:ascii="仿宋" w:hAnsi="仿宋" w:eastAsia="仿宋" w:cs="仿宋"/>
                <w:color w:val="auto"/>
                <w:highlight w:val="none"/>
                <w:vertAlign w:val="baseline"/>
              </w:rPr>
            </w:pPr>
          </w:p>
        </w:tc>
        <w:tc>
          <w:tcPr>
            <w:tcW w:w="927" w:type="dxa"/>
            <w:noWrap w:val="0"/>
            <w:vAlign w:val="top"/>
          </w:tcPr>
          <w:p w14:paraId="23BB5458">
            <w:pPr>
              <w:pStyle w:val="134"/>
              <w:keepNext w:val="0"/>
              <w:keepLines w:val="0"/>
              <w:pageBreakBefore w:val="0"/>
              <w:widowControl w:val="0"/>
              <w:suppressLineNumbers w:val="0"/>
              <w:wordWrap/>
              <w:overflowPunct/>
              <w:topLinePunct w:val="0"/>
              <w:bidi w:val="0"/>
              <w:spacing w:beforeAutospacing="0" w:afterAutospacing="0"/>
              <w:ind w:left="0" w:right="0"/>
              <w:rPr>
                <w:rFonts w:hint="eastAsia" w:ascii="仿宋" w:hAnsi="仿宋" w:eastAsia="仿宋" w:cs="仿宋"/>
                <w:color w:val="auto"/>
                <w:highlight w:val="none"/>
                <w:vertAlign w:val="baseline"/>
              </w:rPr>
            </w:pPr>
          </w:p>
        </w:tc>
      </w:tr>
      <w:tr w14:paraId="0C651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noWrap w:val="0"/>
            <w:vAlign w:val="top"/>
          </w:tcPr>
          <w:p w14:paraId="5C02D97B">
            <w:pPr>
              <w:pStyle w:val="134"/>
              <w:keepNext w:val="0"/>
              <w:keepLines w:val="0"/>
              <w:pageBreakBefore w:val="0"/>
              <w:widowControl w:val="0"/>
              <w:suppressLineNumbers w:val="0"/>
              <w:wordWrap/>
              <w:overflowPunct/>
              <w:topLinePunct w:val="0"/>
              <w:bidi w:val="0"/>
              <w:spacing w:beforeAutospacing="0" w:afterAutospacing="0"/>
              <w:ind w:left="0" w:right="0"/>
              <w:jc w:val="center"/>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11</w:t>
            </w:r>
          </w:p>
        </w:tc>
        <w:tc>
          <w:tcPr>
            <w:tcW w:w="2376" w:type="dxa"/>
            <w:noWrap w:val="0"/>
            <w:vAlign w:val="top"/>
          </w:tcPr>
          <w:p w14:paraId="628DB84C">
            <w:pPr>
              <w:pStyle w:val="134"/>
              <w:keepNext w:val="0"/>
              <w:keepLines w:val="0"/>
              <w:pageBreakBefore w:val="0"/>
              <w:widowControl w:val="0"/>
              <w:suppressLineNumbers w:val="0"/>
              <w:wordWrap/>
              <w:overflowPunct/>
              <w:topLinePunct w:val="0"/>
              <w:bidi w:val="0"/>
              <w:spacing w:beforeAutospacing="0" w:afterAutospacing="0"/>
              <w:ind w:left="0" w:right="0"/>
              <w:rPr>
                <w:rFonts w:hint="eastAsia" w:asciiTheme="minorEastAsia" w:hAnsiTheme="minorEastAsia" w:eastAsiaTheme="minorEastAsia" w:cstheme="minorEastAsia"/>
                <w:b w:val="0"/>
                <w:bCs w:val="0"/>
                <w:color w:val="auto"/>
                <w:sz w:val="19"/>
                <w:szCs w:val="19"/>
                <w:highlight w:val="none"/>
              </w:rPr>
            </w:pPr>
            <w:r>
              <w:rPr>
                <w:rFonts w:hint="eastAsia" w:asciiTheme="minorEastAsia" w:hAnsiTheme="minorEastAsia" w:eastAsiaTheme="minorEastAsia" w:cstheme="minorEastAsia"/>
                <w:b w:val="0"/>
                <w:bCs w:val="0"/>
                <w:color w:val="auto"/>
                <w:sz w:val="19"/>
                <w:szCs w:val="19"/>
                <w:highlight w:val="none"/>
                <w:lang w:eastAsia="zh-CN"/>
              </w:rPr>
              <w:t>★</w:t>
            </w:r>
            <w:r>
              <w:rPr>
                <w:rFonts w:hint="eastAsia" w:asciiTheme="minorEastAsia" w:hAnsiTheme="minorEastAsia" w:eastAsiaTheme="minorEastAsia" w:cstheme="minorEastAsia"/>
                <w:b w:val="0"/>
                <w:bCs w:val="0"/>
                <w:color w:val="auto"/>
                <w:sz w:val="19"/>
                <w:szCs w:val="19"/>
                <w:highlight w:val="none"/>
              </w:rPr>
              <w:t>A060805便器</w:t>
            </w:r>
          </w:p>
        </w:tc>
        <w:tc>
          <w:tcPr>
            <w:tcW w:w="1640" w:type="dxa"/>
            <w:noWrap w:val="0"/>
            <w:vAlign w:val="top"/>
          </w:tcPr>
          <w:p w14:paraId="1755DA09">
            <w:pPr>
              <w:pStyle w:val="134"/>
              <w:keepNext w:val="0"/>
              <w:keepLines w:val="0"/>
              <w:pageBreakBefore w:val="0"/>
              <w:widowControl w:val="0"/>
              <w:suppressLineNumbers w:val="0"/>
              <w:wordWrap/>
              <w:overflowPunct/>
              <w:topLinePunct w:val="0"/>
              <w:bidi w:val="0"/>
              <w:spacing w:beforeAutospacing="0" w:afterAutospacing="0"/>
              <w:ind w:left="0" w:right="0"/>
              <w:rPr>
                <w:rFonts w:hint="eastAsia" w:ascii="仿宋" w:hAnsi="仿宋" w:eastAsia="仿宋" w:cs="仿宋"/>
                <w:color w:val="auto"/>
                <w:highlight w:val="none"/>
                <w:vertAlign w:val="baseline"/>
              </w:rPr>
            </w:pPr>
          </w:p>
        </w:tc>
        <w:tc>
          <w:tcPr>
            <w:tcW w:w="3369" w:type="dxa"/>
            <w:noWrap w:val="0"/>
            <w:vAlign w:val="top"/>
          </w:tcPr>
          <w:p w14:paraId="66C204CE">
            <w:pPr>
              <w:pStyle w:val="134"/>
              <w:keepNext w:val="0"/>
              <w:keepLines w:val="0"/>
              <w:pageBreakBefore w:val="0"/>
              <w:widowControl w:val="0"/>
              <w:suppressLineNumbers w:val="0"/>
              <w:wordWrap/>
              <w:overflowPunct/>
              <w:topLinePunct w:val="0"/>
              <w:bidi w:val="0"/>
              <w:spacing w:beforeAutospacing="0" w:afterAutospacing="0"/>
              <w:ind w:left="0" w:right="0"/>
              <w:rPr>
                <w:rFonts w:hint="eastAsia" w:ascii="仿宋" w:hAnsi="仿宋" w:eastAsia="仿宋" w:cs="仿宋"/>
                <w:color w:val="auto"/>
                <w:highlight w:val="none"/>
                <w:vertAlign w:val="baseline"/>
              </w:rPr>
            </w:pPr>
          </w:p>
        </w:tc>
        <w:tc>
          <w:tcPr>
            <w:tcW w:w="927" w:type="dxa"/>
            <w:noWrap w:val="0"/>
            <w:vAlign w:val="top"/>
          </w:tcPr>
          <w:p w14:paraId="4122CABA">
            <w:pPr>
              <w:pStyle w:val="134"/>
              <w:keepNext w:val="0"/>
              <w:keepLines w:val="0"/>
              <w:pageBreakBefore w:val="0"/>
              <w:widowControl w:val="0"/>
              <w:suppressLineNumbers w:val="0"/>
              <w:wordWrap/>
              <w:overflowPunct/>
              <w:topLinePunct w:val="0"/>
              <w:bidi w:val="0"/>
              <w:spacing w:beforeAutospacing="0" w:afterAutospacing="0"/>
              <w:ind w:left="0" w:right="0"/>
              <w:rPr>
                <w:rFonts w:hint="eastAsia" w:ascii="仿宋" w:hAnsi="仿宋" w:eastAsia="仿宋" w:cs="仿宋"/>
                <w:color w:val="auto"/>
                <w:highlight w:val="none"/>
                <w:vertAlign w:val="baseline"/>
              </w:rPr>
            </w:pPr>
          </w:p>
        </w:tc>
      </w:tr>
      <w:tr w14:paraId="12CD5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noWrap w:val="0"/>
            <w:vAlign w:val="top"/>
          </w:tcPr>
          <w:p w14:paraId="4E91B39C">
            <w:pPr>
              <w:pStyle w:val="134"/>
              <w:keepNext w:val="0"/>
              <w:keepLines w:val="0"/>
              <w:pageBreakBefore w:val="0"/>
              <w:widowControl w:val="0"/>
              <w:suppressLineNumbers w:val="0"/>
              <w:wordWrap/>
              <w:overflowPunct/>
              <w:topLinePunct w:val="0"/>
              <w:bidi w:val="0"/>
              <w:spacing w:beforeAutospacing="0" w:afterAutospacing="0"/>
              <w:ind w:left="0" w:right="0"/>
              <w:jc w:val="center"/>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12</w:t>
            </w:r>
          </w:p>
        </w:tc>
        <w:tc>
          <w:tcPr>
            <w:tcW w:w="2376" w:type="dxa"/>
            <w:noWrap w:val="0"/>
            <w:vAlign w:val="top"/>
          </w:tcPr>
          <w:p w14:paraId="2F7680D7">
            <w:pPr>
              <w:pStyle w:val="134"/>
              <w:keepNext w:val="0"/>
              <w:keepLines w:val="0"/>
              <w:pageBreakBefore w:val="0"/>
              <w:widowControl w:val="0"/>
              <w:suppressLineNumbers w:val="0"/>
              <w:wordWrap/>
              <w:overflowPunct/>
              <w:topLinePunct w:val="0"/>
              <w:bidi w:val="0"/>
              <w:spacing w:beforeAutospacing="0" w:afterAutospacing="0"/>
              <w:ind w:left="0" w:right="0"/>
              <w:rPr>
                <w:rFonts w:hint="eastAsia" w:asciiTheme="minorEastAsia" w:hAnsiTheme="minorEastAsia" w:eastAsiaTheme="minorEastAsia" w:cstheme="minorEastAsia"/>
                <w:b w:val="0"/>
                <w:bCs w:val="0"/>
                <w:color w:val="auto"/>
                <w:sz w:val="19"/>
                <w:szCs w:val="19"/>
                <w:highlight w:val="none"/>
              </w:rPr>
            </w:pPr>
            <w:r>
              <w:rPr>
                <w:rFonts w:hint="eastAsia" w:asciiTheme="minorEastAsia" w:hAnsiTheme="minorEastAsia" w:eastAsiaTheme="minorEastAsia" w:cstheme="minorEastAsia"/>
                <w:b w:val="0"/>
                <w:bCs w:val="0"/>
                <w:color w:val="auto"/>
                <w:sz w:val="19"/>
                <w:szCs w:val="19"/>
                <w:highlight w:val="none"/>
                <w:lang w:eastAsia="zh-CN"/>
              </w:rPr>
              <w:t>★</w:t>
            </w:r>
            <w:r>
              <w:rPr>
                <w:rFonts w:hint="eastAsia" w:asciiTheme="minorEastAsia" w:hAnsiTheme="minorEastAsia" w:eastAsiaTheme="minorEastAsia" w:cstheme="minorEastAsia"/>
                <w:b w:val="0"/>
                <w:bCs w:val="0"/>
                <w:color w:val="auto"/>
                <w:sz w:val="19"/>
                <w:szCs w:val="19"/>
                <w:highlight w:val="none"/>
              </w:rPr>
              <w:t>A060806水嘴</w:t>
            </w:r>
          </w:p>
        </w:tc>
        <w:tc>
          <w:tcPr>
            <w:tcW w:w="1640" w:type="dxa"/>
            <w:noWrap w:val="0"/>
            <w:vAlign w:val="top"/>
          </w:tcPr>
          <w:p w14:paraId="28AFC6C3">
            <w:pPr>
              <w:pStyle w:val="134"/>
              <w:keepNext w:val="0"/>
              <w:keepLines w:val="0"/>
              <w:pageBreakBefore w:val="0"/>
              <w:widowControl w:val="0"/>
              <w:suppressLineNumbers w:val="0"/>
              <w:wordWrap/>
              <w:overflowPunct/>
              <w:topLinePunct w:val="0"/>
              <w:bidi w:val="0"/>
              <w:spacing w:beforeAutospacing="0" w:afterAutospacing="0"/>
              <w:ind w:left="0" w:right="0"/>
              <w:rPr>
                <w:rFonts w:hint="eastAsia" w:ascii="仿宋" w:hAnsi="仿宋" w:eastAsia="仿宋" w:cs="仿宋"/>
                <w:color w:val="auto"/>
                <w:highlight w:val="none"/>
                <w:vertAlign w:val="baseline"/>
              </w:rPr>
            </w:pPr>
          </w:p>
        </w:tc>
        <w:tc>
          <w:tcPr>
            <w:tcW w:w="3369" w:type="dxa"/>
            <w:noWrap w:val="0"/>
            <w:vAlign w:val="top"/>
          </w:tcPr>
          <w:p w14:paraId="73377AC9">
            <w:pPr>
              <w:pStyle w:val="134"/>
              <w:keepNext w:val="0"/>
              <w:keepLines w:val="0"/>
              <w:pageBreakBefore w:val="0"/>
              <w:widowControl w:val="0"/>
              <w:suppressLineNumbers w:val="0"/>
              <w:wordWrap/>
              <w:overflowPunct/>
              <w:topLinePunct w:val="0"/>
              <w:bidi w:val="0"/>
              <w:spacing w:beforeAutospacing="0" w:afterAutospacing="0"/>
              <w:ind w:left="0" w:right="0"/>
              <w:rPr>
                <w:rFonts w:hint="eastAsia" w:ascii="仿宋" w:hAnsi="仿宋" w:eastAsia="仿宋" w:cs="仿宋"/>
                <w:color w:val="auto"/>
                <w:highlight w:val="none"/>
                <w:vertAlign w:val="baseline"/>
              </w:rPr>
            </w:pPr>
          </w:p>
        </w:tc>
        <w:tc>
          <w:tcPr>
            <w:tcW w:w="927" w:type="dxa"/>
            <w:noWrap w:val="0"/>
            <w:vAlign w:val="top"/>
          </w:tcPr>
          <w:p w14:paraId="7E34B019">
            <w:pPr>
              <w:pStyle w:val="134"/>
              <w:keepNext w:val="0"/>
              <w:keepLines w:val="0"/>
              <w:pageBreakBefore w:val="0"/>
              <w:widowControl w:val="0"/>
              <w:suppressLineNumbers w:val="0"/>
              <w:wordWrap/>
              <w:overflowPunct/>
              <w:topLinePunct w:val="0"/>
              <w:bidi w:val="0"/>
              <w:spacing w:beforeAutospacing="0" w:afterAutospacing="0"/>
              <w:ind w:left="0" w:right="0"/>
              <w:rPr>
                <w:rFonts w:hint="eastAsia" w:ascii="仿宋" w:hAnsi="仿宋" w:eastAsia="仿宋" w:cs="仿宋"/>
                <w:color w:val="auto"/>
                <w:highlight w:val="none"/>
                <w:vertAlign w:val="baseline"/>
              </w:rPr>
            </w:pPr>
          </w:p>
        </w:tc>
      </w:tr>
    </w:tbl>
    <w:p w14:paraId="08DD42E3">
      <w:pPr>
        <w:keepNext w:val="0"/>
        <w:keepLines w:val="0"/>
        <w:pageBreakBefore w:val="0"/>
        <w:widowControl w:val="0"/>
        <w:wordWrap/>
        <w:overflowPunct/>
        <w:topLinePunct w:val="0"/>
        <w:bidi w:val="0"/>
        <w:snapToGrid w:val="0"/>
        <w:spacing w:line="400" w:lineRule="exact"/>
        <w:ind w:firstLine="482" w:firstLineChars="200"/>
        <w:textAlignment w:val="baseline"/>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备注：“</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”标注的为政府强制采购产品。以上带“</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”符号的为实质性要求，不满足的将作为无效投标处理（或者无效响应处理</w:t>
      </w:r>
      <w:r>
        <w:rPr>
          <w:rFonts w:hint="eastAsia" w:ascii="仿宋" w:hAnsi="仿宋" w:eastAsia="仿宋" w:cs="仿宋"/>
          <w:color w:val="auto"/>
          <w:sz w:val="24"/>
          <w:highlight w:val="none"/>
        </w:rPr>
        <w:t>）。</w:t>
      </w:r>
    </w:p>
    <w:p w14:paraId="730DDD3E">
      <w:pPr>
        <w:pStyle w:val="4"/>
        <w:keepNext w:val="0"/>
        <w:keepLines w:val="0"/>
        <w:pageBreakBefore w:val="0"/>
        <w:widowControl w:val="0"/>
        <w:wordWrap/>
        <w:overflowPunct/>
        <w:topLinePunct w:val="0"/>
        <w:bidi w:val="0"/>
        <w:spacing w:before="0" w:after="0" w:line="288" w:lineRule="auto"/>
        <w:jc w:val="center"/>
        <w:rPr>
          <w:rFonts w:hint="eastAsia" w:asciiTheme="minorEastAsia" w:hAnsiTheme="minorEastAsia" w:eastAsiaTheme="minorEastAsia" w:cstheme="minorEastAsia"/>
          <w:color w:val="auto"/>
          <w:sz w:val="28"/>
          <w:szCs w:val="21"/>
          <w:highlight w:val="none"/>
          <w:u w:val="none"/>
          <w:lang w:val="en-US" w:eastAsia="zh-CN"/>
        </w:rPr>
      </w:pPr>
    </w:p>
    <w:p w14:paraId="36EBF4F3">
      <w:pPr>
        <w:pStyle w:val="4"/>
        <w:keepNext w:val="0"/>
        <w:keepLines w:val="0"/>
        <w:pageBreakBefore w:val="0"/>
        <w:widowControl w:val="0"/>
        <w:wordWrap/>
        <w:overflowPunct/>
        <w:topLinePunct w:val="0"/>
        <w:bidi w:val="0"/>
        <w:spacing w:before="0" w:after="0" w:line="288" w:lineRule="auto"/>
        <w:jc w:val="center"/>
        <w:rPr>
          <w:rFonts w:hint="eastAsia" w:asciiTheme="minorEastAsia" w:hAnsiTheme="minorEastAsia" w:eastAsiaTheme="minorEastAsia" w:cstheme="minorEastAsia"/>
          <w:color w:val="auto"/>
          <w:sz w:val="24"/>
          <w:szCs w:val="24"/>
          <w:highlight w:val="none"/>
          <w:u w:val="none"/>
          <w:lang w:val="en-US" w:eastAsia="zh-CN"/>
        </w:rPr>
      </w:pPr>
      <w:r>
        <w:rPr>
          <w:rFonts w:hint="eastAsia" w:asciiTheme="minorEastAsia" w:hAnsiTheme="minorEastAsia" w:eastAsiaTheme="minorEastAsia" w:cstheme="minorEastAsia"/>
          <w:color w:val="auto"/>
          <w:sz w:val="24"/>
          <w:szCs w:val="24"/>
          <w:highlight w:val="none"/>
          <w:u w:val="none"/>
          <w:lang w:val="en-US" w:eastAsia="zh-CN"/>
        </w:rPr>
        <w:t>6-5关于符合本国产品标准的声明函；</w:t>
      </w:r>
    </w:p>
    <w:p w14:paraId="4DF678D1">
      <w:pPr>
        <w:pStyle w:val="4"/>
        <w:keepNext w:val="0"/>
        <w:keepLines w:val="0"/>
        <w:pageBreakBefore w:val="0"/>
        <w:widowControl w:val="0"/>
        <w:wordWrap/>
        <w:overflowPunct/>
        <w:topLinePunct w:val="0"/>
        <w:bidi w:val="0"/>
        <w:spacing w:before="0" w:after="0" w:line="288" w:lineRule="auto"/>
        <w:jc w:val="center"/>
        <w:rPr>
          <w:rFonts w:hint="eastAsia" w:asciiTheme="minorEastAsia" w:hAnsiTheme="minorEastAsia" w:eastAsiaTheme="minorEastAsia" w:cstheme="minorEastAsia"/>
          <w:color w:val="auto"/>
          <w:sz w:val="24"/>
          <w:szCs w:val="24"/>
          <w:highlight w:val="none"/>
          <w:u w:val="none"/>
          <w:lang w:val="en-US" w:eastAsia="zh-CN"/>
        </w:rPr>
      </w:pPr>
    </w:p>
    <w:p w14:paraId="409DB945">
      <w:pPr>
        <w:pStyle w:val="4"/>
        <w:keepNext w:val="0"/>
        <w:keepLines w:val="0"/>
        <w:pageBreakBefore w:val="0"/>
        <w:widowControl w:val="0"/>
        <w:wordWrap/>
        <w:overflowPunct/>
        <w:topLinePunct w:val="0"/>
        <w:bidi w:val="0"/>
        <w:spacing w:before="0" w:after="0" w:line="288" w:lineRule="auto"/>
        <w:jc w:val="center"/>
        <w:rPr>
          <w:rFonts w:hint="eastAsia" w:asciiTheme="minorEastAsia" w:hAnsiTheme="minorEastAsia" w:eastAsiaTheme="minorEastAsia" w:cstheme="minorEastAsia"/>
          <w:color w:val="auto"/>
          <w:sz w:val="24"/>
          <w:szCs w:val="24"/>
          <w:highlight w:val="none"/>
          <w:u w:val="none"/>
          <w:lang w:val="en-US" w:eastAsia="zh-CN"/>
        </w:rPr>
      </w:pPr>
      <w:r>
        <w:rPr>
          <w:rFonts w:hint="eastAsia" w:asciiTheme="minorEastAsia" w:hAnsiTheme="minorEastAsia" w:eastAsiaTheme="minorEastAsia" w:cstheme="minorEastAsia"/>
          <w:color w:val="auto"/>
          <w:sz w:val="24"/>
          <w:szCs w:val="24"/>
          <w:highlight w:val="none"/>
          <w:u w:val="none"/>
          <w:lang w:val="en-US" w:eastAsia="zh-CN"/>
        </w:rPr>
        <w:t>《关于符合本国产品标准的声明函》</w:t>
      </w:r>
    </w:p>
    <w:p w14:paraId="727715EF">
      <w:pPr>
        <w:pStyle w:val="4"/>
        <w:keepNext w:val="0"/>
        <w:keepLines w:val="0"/>
        <w:pageBreakBefore w:val="0"/>
        <w:widowControl w:val="0"/>
        <w:wordWrap/>
        <w:overflowPunct/>
        <w:topLinePunct w:val="0"/>
        <w:bidi w:val="0"/>
        <w:spacing w:before="0" w:after="0" w:line="288" w:lineRule="auto"/>
        <w:jc w:val="center"/>
        <w:rPr>
          <w:rFonts w:hint="eastAsia" w:asciiTheme="minorEastAsia" w:hAnsiTheme="minorEastAsia" w:eastAsiaTheme="minorEastAsia" w:cstheme="minorEastAsia"/>
          <w:color w:val="auto"/>
          <w:sz w:val="24"/>
          <w:szCs w:val="24"/>
          <w:highlight w:val="none"/>
          <w:u w:val="none"/>
          <w:lang w:val="en-US" w:eastAsia="zh-CN"/>
        </w:rPr>
      </w:pPr>
    </w:p>
    <w:p w14:paraId="2AF52222">
      <w:pPr>
        <w:pStyle w:val="4"/>
        <w:keepNext w:val="0"/>
        <w:keepLines w:val="0"/>
        <w:pageBreakBefore w:val="0"/>
        <w:widowControl w:val="0"/>
        <w:wordWrap/>
        <w:overflowPunct/>
        <w:topLinePunct w:val="0"/>
        <w:bidi w:val="0"/>
        <w:spacing w:before="0" w:after="0" w:line="288" w:lineRule="auto"/>
        <w:jc w:val="left"/>
        <w:rPr>
          <w:rFonts w:hint="eastAsia" w:asciiTheme="minorEastAsia" w:hAnsiTheme="minorEastAsia" w:eastAsiaTheme="minorEastAsia" w:cstheme="minorEastAsia"/>
          <w:color w:val="auto"/>
          <w:sz w:val="24"/>
          <w:szCs w:val="24"/>
          <w:highlight w:val="none"/>
          <w:u w:val="none"/>
          <w:lang w:val="en-US" w:eastAsia="zh-CN"/>
        </w:rPr>
      </w:pPr>
      <w:r>
        <w:rPr>
          <w:rFonts w:hint="eastAsia" w:asciiTheme="minorEastAsia" w:hAnsiTheme="minorEastAsia" w:eastAsiaTheme="minorEastAsia" w:cstheme="minorEastAsia"/>
          <w:color w:val="auto"/>
          <w:sz w:val="24"/>
          <w:szCs w:val="24"/>
          <w:highlight w:val="none"/>
          <w:u w:val="none"/>
          <w:lang w:val="en-US" w:eastAsia="zh-CN"/>
        </w:rPr>
        <w:t xml:space="preserve">    本公司（单位）郑重声明，根据《国务院办公厅关于在政府采购中实施本国产品标准及相关政策的通知》（国办发〔2025〕34号）的规定，本公司（单位）提供的以下产品属于本国产品。具体情况如下：</w:t>
      </w:r>
    </w:p>
    <w:p w14:paraId="5D8FC2C1">
      <w:pPr>
        <w:pStyle w:val="4"/>
        <w:keepNext w:val="0"/>
        <w:keepLines w:val="0"/>
        <w:pageBreakBefore w:val="0"/>
        <w:widowControl w:val="0"/>
        <w:wordWrap/>
        <w:overflowPunct/>
        <w:topLinePunct w:val="0"/>
        <w:bidi w:val="0"/>
        <w:spacing w:before="0" w:after="0" w:line="288" w:lineRule="auto"/>
        <w:jc w:val="left"/>
        <w:rPr>
          <w:rFonts w:hint="eastAsia" w:asciiTheme="minorEastAsia" w:hAnsiTheme="minorEastAsia" w:eastAsiaTheme="minorEastAsia" w:cstheme="minorEastAsia"/>
          <w:color w:val="auto"/>
          <w:sz w:val="24"/>
          <w:szCs w:val="24"/>
          <w:highlight w:val="none"/>
          <w:u w:val="none"/>
          <w:lang w:val="en-US" w:eastAsia="zh-CN"/>
        </w:rPr>
      </w:pPr>
      <w:r>
        <w:rPr>
          <w:rFonts w:hint="eastAsia" w:asciiTheme="minorEastAsia" w:hAnsiTheme="minorEastAsia" w:eastAsiaTheme="minorEastAsia" w:cstheme="minorEastAsia"/>
          <w:color w:val="auto"/>
          <w:sz w:val="24"/>
          <w:szCs w:val="24"/>
          <w:highlight w:val="none"/>
          <w:u w:val="none"/>
          <w:lang w:val="en-US" w:eastAsia="zh-CN"/>
        </w:rPr>
        <w:t>1.（产品名称1）1，生产厂为（厂名）2，厂址为（生产厂址）。（产品名称1）的中国境内生产的组件成本占比≥（规定比例）3。（产品名称1）的（关键组件）4在中国境内生产。（产品名称1）的（关键工序）5在中国境内完成。</w:t>
      </w:r>
    </w:p>
    <w:p w14:paraId="6304AD5C">
      <w:pPr>
        <w:pStyle w:val="4"/>
        <w:keepNext w:val="0"/>
        <w:keepLines w:val="0"/>
        <w:pageBreakBefore w:val="0"/>
        <w:widowControl w:val="0"/>
        <w:wordWrap/>
        <w:overflowPunct/>
        <w:topLinePunct w:val="0"/>
        <w:bidi w:val="0"/>
        <w:spacing w:before="0" w:after="0" w:line="288" w:lineRule="auto"/>
        <w:jc w:val="left"/>
        <w:rPr>
          <w:rFonts w:hint="eastAsia" w:asciiTheme="minorEastAsia" w:hAnsiTheme="minorEastAsia" w:eastAsiaTheme="minorEastAsia" w:cstheme="minorEastAsia"/>
          <w:color w:val="auto"/>
          <w:sz w:val="24"/>
          <w:szCs w:val="24"/>
          <w:highlight w:val="none"/>
          <w:u w:val="none"/>
          <w:lang w:val="en-US" w:eastAsia="zh-CN"/>
        </w:rPr>
      </w:pPr>
      <w:r>
        <w:rPr>
          <w:rFonts w:hint="eastAsia" w:asciiTheme="minorEastAsia" w:hAnsiTheme="minorEastAsia" w:eastAsiaTheme="minorEastAsia" w:cstheme="minorEastAsia"/>
          <w:color w:val="auto"/>
          <w:sz w:val="24"/>
          <w:szCs w:val="24"/>
          <w:highlight w:val="none"/>
          <w:u w:val="none"/>
          <w:lang w:val="en-US" w:eastAsia="zh-CN"/>
        </w:rPr>
        <w:t>2.（产品名称2），生产厂为（厂名），厂址为（生产厂址）。（产品名称2）的中国境内生产的组件成本占比≥（规定比例）。（产品名称2）的（关键组件）在中国境内生产。（产品名称2）的（关键工序）在中国境内完成。</w:t>
      </w:r>
    </w:p>
    <w:p w14:paraId="56E162C1">
      <w:pPr>
        <w:pStyle w:val="4"/>
        <w:keepNext w:val="0"/>
        <w:keepLines w:val="0"/>
        <w:pageBreakBefore w:val="0"/>
        <w:widowControl w:val="0"/>
        <w:wordWrap/>
        <w:overflowPunct/>
        <w:topLinePunct w:val="0"/>
        <w:bidi w:val="0"/>
        <w:spacing w:before="0" w:after="0" w:line="288" w:lineRule="auto"/>
        <w:jc w:val="left"/>
        <w:rPr>
          <w:rFonts w:hint="eastAsia" w:asciiTheme="minorEastAsia" w:hAnsiTheme="minorEastAsia" w:eastAsiaTheme="minorEastAsia" w:cstheme="minorEastAsia"/>
          <w:color w:val="auto"/>
          <w:sz w:val="24"/>
          <w:szCs w:val="24"/>
          <w:highlight w:val="none"/>
          <w:u w:val="none"/>
          <w:lang w:val="en-US" w:eastAsia="zh-CN"/>
        </w:rPr>
      </w:pPr>
      <w:r>
        <w:rPr>
          <w:rFonts w:hint="eastAsia" w:asciiTheme="minorEastAsia" w:hAnsiTheme="minorEastAsia" w:eastAsiaTheme="minorEastAsia" w:cstheme="minorEastAsia"/>
          <w:color w:val="auto"/>
          <w:sz w:val="24"/>
          <w:szCs w:val="24"/>
          <w:highlight w:val="none"/>
          <w:u w:val="none"/>
          <w:lang w:val="en-US" w:eastAsia="zh-CN"/>
        </w:rPr>
        <w:t>……</w:t>
      </w:r>
    </w:p>
    <w:p w14:paraId="5F571260">
      <w:pPr>
        <w:pStyle w:val="4"/>
        <w:keepNext w:val="0"/>
        <w:keepLines w:val="0"/>
        <w:pageBreakBefore w:val="0"/>
        <w:widowControl w:val="0"/>
        <w:wordWrap/>
        <w:overflowPunct/>
        <w:topLinePunct w:val="0"/>
        <w:bidi w:val="0"/>
        <w:spacing w:before="0" w:after="0" w:line="288" w:lineRule="auto"/>
        <w:jc w:val="left"/>
        <w:rPr>
          <w:rFonts w:hint="eastAsia" w:asciiTheme="minorEastAsia" w:hAnsiTheme="minorEastAsia" w:eastAsiaTheme="minorEastAsia" w:cstheme="minorEastAsia"/>
          <w:color w:val="auto"/>
          <w:sz w:val="24"/>
          <w:szCs w:val="24"/>
          <w:highlight w:val="none"/>
          <w:u w:val="none"/>
          <w:lang w:val="en-US" w:eastAsia="zh-CN"/>
        </w:rPr>
      </w:pPr>
      <w:r>
        <w:rPr>
          <w:rFonts w:hint="eastAsia" w:asciiTheme="minorEastAsia" w:hAnsiTheme="minorEastAsia" w:eastAsiaTheme="minorEastAsia" w:cstheme="minorEastAsia"/>
          <w:color w:val="auto"/>
          <w:sz w:val="24"/>
          <w:szCs w:val="24"/>
          <w:highlight w:val="none"/>
          <w:u w:val="none"/>
          <w:lang w:val="en-US" w:eastAsia="zh-CN"/>
        </w:rPr>
        <w:t>本公司（单位）对上述声明内容的真实性负责。如有虚假，愿承担相应法律责任。</w:t>
      </w:r>
    </w:p>
    <w:p w14:paraId="48FB46C3">
      <w:pPr>
        <w:pStyle w:val="4"/>
        <w:keepNext w:val="0"/>
        <w:keepLines w:val="0"/>
        <w:pageBreakBefore w:val="0"/>
        <w:widowControl w:val="0"/>
        <w:wordWrap/>
        <w:overflowPunct/>
        <w:topLinePunct w:val="0"/>
        <w:bidi w:val="0"/>
        <w:spacing w:before="0" w:after="0" w:line="288" w:lineRule="auto"/>
        <w:jc w:val="center"/>
        <w:rPr>
          <w:rFonts w:hint="eastAsia" w:asciiTheme="minorEastAsia" w:hAnsiTheme="minorEastAsia" w:eastAsiaTheme="minorEastAsia" w:cstheme="minorEastAsia"/>
          <w:color w:val="auto"/>
          <w:sz w:val="24"/>
          <w:szCs w:val="24"/>
          <w:highlight w:val="none"/>
          <w:u w:val="none"/>
          <w:lang w:val="en-US" w:eastAsia="zh-CN"/>
        </w:rPr>
      </w:pPr>
    </w:p>
    <w:p w14:paraId="547CD5DC">
      <w:pPr>
        <w:pStyle w:val="4"/>
        <w:keepNext w:val="0"/>
        <w:keepLines w:val="0"/>
        <w:pageBreakBefore w:val="0"/>
        <w:widowControl w:val="0"/>
        <w:wordWrap/>
        <w:overflowPunct/>
        <w:topLinePunct w:val="0"/>
        <w:bidi w:val="0"/>
        <w:spacing w:before="0" w:after="0" w:line="288" w:lineRule="auto"/>
        <w:jc w:val="center"/>
        <w:rPr>
          <w:rFonts w:hint="eastAsia" w:asciiTheme="minorEastAsia" w:hAnsiTheme="minorEastAsia" w:eastAsiaTheme="minorEastAsia" w:cstheme="minorEastAsia"/>
          <w:color w:val="auto"/>
          <w:sz w:val="24"/>
          <w:szCs w:val="24"/>
          <w:highlight w:val="none"/>
          <w:u w:val="none"/>
          <w:lang w:val="en-US" w:eastAsia="zh-CN"/>
        </w:rPr>
      </w:pPr>
      <w:r>
        <w:rPr>
          <w:rFonts w:hint="eastAsia" w:asciiTheme="minorEastAsia" w:hAnsiTheme="minorEastAsia" w:eastAsiaTheme="minorEastAsia" w:cstheme="minorEastAsia"/>
          <w:color w:val="auto"/>
          <w:sz w:val="24"/>
          <w:szCs w:val="24"/>
          <w:highlight w:val="none"/>
          <w:u w:val="none"/>
          <w:lang w:val="en-US" w:eastAsia="zh-CN"/>
        </w:rPr>
        <w:t>公司（单位）名称（盖章）：　        </w:t>
      </w:r>
    </w:p>
    <w:p w14:paraId="1E67158B">
      <w:pPr>
        <w:pStyle w:val="4"/>
        <w:keepNext w:val="0"/>
        <w:keepLines w:val="0"/>
        <w:pageBreakBefore w:val="0"/>
        <w:widowControl w:val="0"/>
        <w:wordWrap/>
        <w:overflowPunct/>
        <w:topLinePunct w:val="0"/>
        <w:bidi w:val="0"/>
        <w:spacing w:before="0" w:after="0" w:line="288" w:lineRule="auto"/>
        <w:jc w:val="center"/>
        <w:rPr>
          <w:rFonts w:hint="eastAsia" w:asciiTheme="minorEastAsia" w:hAnsiTheme="minorEastAsia" w:eastAsiaTheme="minorEastAsia" w:cstheme="minorEastAsia"/>
          <w:color w:val="auto"/>
          <w:sz w:val="24"/>
          <w:szCs w:val="24"/>
          <w:highlight w:val="none"/>
          <w:u w:val="none"/>
          <w:lang w:val="en-US" w:eastAsia="zh-CN"/>
        </w:rPr>
      </w:pPr>
      <w:r>
        <w:rPr>
          <w:rFonts w:hint="eastAsia" w:asciiTheme="minorEastAsia" w:hAnsiTheme="minorEastAsia" w:eastAsiaTheme="minorEastAsia" w:cstheme="minorEastAsia"/>
          <w:color w:val="auto"/>
          <w:sz w:val="24"/>
          <w:szCs w:val="24"/>
          <w:highlight w:val="none"/>
          <w:u w:val="none"/>
          <w:lang w:val="en-US" w:eastAsia="zh-CN"/>
        </w:rPr>
        <w:t>日期：　     年　  月　  日         </w:t>
      </w:r>
    </w:p>
    <w:p w14:paraId="6ED7A55F">
      <w:pPr>
        <w:pStyle w:val="4"/>
        <w:keepNext w:val="0"/>
        <w:keepLines w:val="0"/>
        <w:pageBreakBefore w:val="0"/>
        <w:widowControl w:val="0"/>
        <w:wordWrap/>
        <w:overflowPunct/>
        <w:topLinePunct w:val="0"/>
        <w:bidi w:val="0"/>
        <w:spacing w:before="0" w:after="0" w:line="288" w:lineRule="auto"/>
        <w:jc w:val="center"/>
        <w:rPr>
          <w:rFonts w:hint="eastAsia" w:asciiTheme="minorEastAsia" w:hAnsiTheme="minorEastAsia" w:eastAsiaTheme="minorEastAsia" w:cstheme="minorEastAsia"/>
          <w:color w:val="auto"/>
          <w:sz w:val="24"/>
          <w:szCs w:val="24"/>
          <w:highlight w:val="none"/>
          <w:u w:val="none"/>
          <w:lang w:val="en-US" w:eastAsia="zh-CN"/>
        </w:rPr>
      </w:pPr>
    </w:p>
    <w:p w14:paraId="230BBCD9">
      <w:pPr>
        <w:pStyle w:val="4"/>
        <w:keepNext w:val="0"/>
        <w:keepLines w:val="0"/>
        <w:pageBreakBefore w:val="0"/>
        <w:widowControl w:val="0"/>
        <w:wordWrap/>
        <w:overflowPunct/>
        <w:topLinePunct w:val="0"/>
        <w:bidi w:val="0"/>
        <w:spacing w:before="0" w:after="0" w:line="288" w:lineRule="auto"/>
        <w:jc w:val="center"/>
        <w:rPr>
          <w:rFonts w:hint="eastAsia" w:asciiTheme="minorEastAsia" w:hAnsiTheme="minorEastAsia" w:eastAsiaTheme="minorEastAsia" w:cstheme="minorEastAsia"/>
          <w:color w:val="auto"/>
          <w:sz w:val="24"/>
          <w:szCs w:val="24"/>
          <w:highlight w:val="none"/>
          <w:u w:val="none"/>
          <w:lang w:val="en-US" w:eastAsia="zh-CN"/>
        </w:rPr>
      </w:pPr>
    </w:p>
    <w:p w14:paraId="342245F9">
      <w:pPr>
        <w:pStyle w:val="4"/>
        <w:keepNext w:val="0"/>
        <w:keepLines w:val="0"/>
        <w:pageBreakBefore w:val="0"/>
        <w:widowControl w:val="0"/>
        <w:wordWrap/>
        <w:overflowPunct/>
        <w:topLinePunct w:val="0"/>
        <w:bidi w:val="0"/>
        <w:spacing w:before="0" w:after="0" w:line="288" w:lineRule="auto"/>
        <w:jc w:val="center"/>
        <w:rPr>
          <w:rFonts w:hint="eastAsia" w:asciiTheme="minorEastAsia" w:hAnsiTheme="minorEastAsia" w:eastAsiaTheme="minorEastAsia" w:cstheme="minorEastAsia"/>
          <w:color w:val="auto"/>
          <w:sz w:val="24"/>
          <w:szCs w:val="24"/>
          <w:highlight w:val="none"/>
          <w:u w:val="none"/>
          <w:lang w:val="en-US" w:eastAsia="zh-CN"/>
        </w:rPr>
      </w:pPr>
    </w:p>
    <w:p w14:paraId="395AB86B">
      <w:pPr>
        <w:pStyle w:val="4"/>
        <w:keepNext w:val="0"/>
        <w:keepLines w:val="0"/>
        <w:pageBreakBefore w:val="0"/>
        <w:widowControl w:val="0"/>
        <w:wordWrap/>
        <w:overflowPunct/>
        <w:topLinePunct w:val="0"/>
        <w:bidi w:val="0"/>
        <w:spacing w:before="0" w:after="0" w:line="288" w:lineRule="auto"/>
        <w:ind w:firstLine="482" w:firstLineChars="200"/>
        <w:jc w:val="left"/>
        <w:rPr>
          <w:rFonts w:hint="eastAsia" w:asciiTheme="minorEastAsia" w:hAnsiTheme="minorEastAsia" w:eastAsiaTheme="minorEastAsia" w:cstheme="minorEastAsia"/>
          <w:color w:val="auto"/>
          <w:sz w:val="24"/>
          <w:szCs w:val="24"/>
          <w:highlight w:val="none"/>
          <w:u w:val="none"/>
          <w:lang w:val="en-US" w:eastAsia="zh-CN"/>
        </w:rPr>
      </w:pPr>
      <w:r>
        <w:rPr>
          <w:rFonts w:hint="eastAsia" w:asciiTheme="minorEastAsia" w:hAnsiTheme="minorEastAsia" w:eastAsiaTheme="minorEastAsia" w:cstheme="minorEastAsia"/>
          <w:color w:val="auto"/>
          <w:sz w:val="24"/>
          <w:szCs w:val="24"/>
          <w:highlight w:val="none"/>
          <w:u w:val="none"/>
          <w:lang w:val="en-US" w:eastAsia="zh-CN"/>
        </w:rPr>
        <w:t>说明：相关政策详见《国务院办公厅关于在政府采购中实施本国产品标准及相关政策的通知》（国办发〔2025〕34号）</w:t>
      </w:r>
    </w:p>
    <w:p w14:paraId="681E9C85">
      <w:pPr>
        <w:pStyle w:val="4"/>
        <w:keepNext w:val="0"/>
        <w:keepLines w:val="0"/>
        <w:pageBreakBefore w:val="0"/>
        <w:widowControl w:val="0"/>
        <w:wordWrap/>
        <w:overflowPunct/>
        <w:topLinePunct w:val="0"/>
        <w:bidi w:val="0"/>
        <w:spacing w:before="0" w:after="0" w:line="288" w:lineRule="auto"/>
        <w:jc w:val="left"/>
        <w:rPr>
          <w:rFonts w:hint="eastAsia" w:asciiTheme="minorEastAsia" w:hAnsiTheme="minorEastAsia" w:eastAsiaTheme="minorEastAsia" w:cstheme="minorEastAsia"/>
          <w:color w:val="auto"/>
          <w:sz w:val="24"/>
          <w:szCs w:val="24"/>
          <w:highlight w:val="none"/>
          <w:u w:val="none"/>
          <w:lang w:val="en-US" w:eastAsia="zh-CN"/>
        </w:rPr>
      </w:pPr>
      <w:r>
        <w:rPr>
          <w:rFonts w:hint="eastAsia" w:asciiTheme="minorEastAsia" w:hAnsiTheme="minorEastAsia" w:eastAsiaTheme="minorEastAsia" w:cstheme="minorEastAsia"/>
          <w:color w:val="auto"/>
          <w:sz w:val="24"/>
          <w:szCs w:val="24"/>
          <w:highlight w:val="none"/>
          <w:u w:val="none"/>
          <w:lang w:val="en-US" w:eastAsia="zh-CN"/>
        </w:rPr>
        <w:t>1.产品如有型号，请在“产品名称”栏一并填写。</w:t>
      </w:r>
    </w:p>
    <w:p w14:paraId="11291D08">
      <w:pPr>
        <w:pStyle w:val="4"/>
        <w:keepNext w:val="0"/>
        <w:keepLines w:val="0"/>
        <w:pageBreakBefore w:val="0"/>
        <w:widowControl w:val="0"/>
        <w:wordWrap/>
        <w:overflowPunct/>
        <w:topLinePunct w:val="0"/>
        <w:bidi w:val="0"/>
        <w:spacing w:before="0" w:after="0" w:line="288" w:lineRule="auto"/>
        <w:jc w:val="left"/>
        <w:rPr>
          <w:rFonts w:hint="eastAsia" w:asciiTheme="minorEastAsia" w:hAnsiTheme="minorEastAsia" w:eastAsiaTheme="minorEastAsia" w:cstheme="minorEastAsia"/>
          <w:color w:val="auto"/>
          <w:sz w:val="24"/>
          <w:szCs w:val="24"/>
          <w:highlight w:val="none"/>
          <w:u w:val="none"/>
          <w:lang w:val="en-US" w:eastAsia="zh-CN"/>
        </w:rPr>
      </w:pPr>
      <w:r>
        <w:rPr>
          <w:rFonts w:hint="eastAsia" w:asciiTheme="minorEastAsia" w:hAnsiTheme="minorEastAsia" w:eastAsiaTheme="minorEastAsia" w:cstheme="minorEastAsia"/>
          <w:color w:val="auto"/>
          <w:sz w:val="24"/>
          <w:szCs w:val="24"/>
          <w:highlight w:val="none"/>
          <w:u w:val="none"/>
          <w:lang w:val="en-US" w:eastAsia="zh-CN"/>
        </w:rPr>
        <w:t>2.生产厂名与厂址应与生产厂营业执照载明的相关信息保持一致。</w:t>
      </w:r>
    </w:p>
    <w:p w14:paraId="7453571B">
      <w:pPr>
        <w:pStyle w:val="4"/>
        <w:keepNext w:val="0"/>
        <w:keepLines w:val="0"/>
        <w:pageBreakBefore w:val="0"/>
        <w:widowControl w:val="0"/>
        <w:wordWrap/>
        <w:overflowPunct/>
        <w:topLinePunct w:val="0"/>
        <w:bidi w:val="0"/>
        <w:spacing w:before="0" w:after="0" w:line="288" w:lineRule="auto"/>
        <w:jc w:val="left"/>
        <w:rPr>
          <w:rFonts w:hint="eastAsia" w:asciiTheme="minorEastAsia" w:hAnsiTheme="minorEastAsia" w:eastAsiaTheme="minorEastAsia" w:cstheme="minorEastAsia"/>
          <w:color w:val="auto"/>
          <w:sz w:val="24"/>
          <w:szCs w:val="24"/>
          <w:highlight w:val="none"/>
          <w:u w:val="none"/>
          <w:lang w:val="en-US" w:eastAsia="zh-CN"/>
        </w:rPr>
      </w:pPr>
      <w:r>
        <w:rPr>
          <w:rFonts w:hint="eastAsia" w:asciiTheme="minorEastAsia" w:hAnsiTheme="minorEastAsia" w:eastAsiaTheme="minorEastAsia" w:cstheme="minorEastAsia"/>
          <w:color w:val="auto"/>
          <w:sz w:val="24"/>
          <w:szCs w:val="24"/>
          <w:highlight w:val="none"/>
          <w:u w:val="none"/>
          <w:lang w:val="en-US" w:eastAsia="zh-CN"/>
        </w:rPr>
        <w:t>3.该产品的中国境内生产的组件成本占比相关要求实施前，“规定比例”栏可不填，下同。</w:t>
      </w:r>
    </w:p>
    <w:p w14:paraId="01434067">
      <w:pPr>
        <w:pStyle w:val="4"/>
        <w:keepNext w:val="0"/>
        <w:keepLines w:val="0"/>
        <w:pageBreakBefore w:val="0"/>
        <w:widowControl w:val="0"/>
        <w:wordWrap/>
        <w:overflowPunct/>
        <w:topLinePunct w:val="0"/>
        <w:bidi w:val="0"/>
        <w:spacing w:before="0" w:after="0" w:line="288" w:lineRule="auto"/>
        <w:jc w:val="center"/>
        <w:rPr>
          <w:rFonts w:hint="eastAsia" w:asciiTheme="minorEastAsia" w:hAnsiTheme="minorEastAsia" w:eastAsiaTheme="minorEastAsia" w:cstheme="minorEastAsia"/>
          <w:color w:val="auto"/>
          <w:sz w:val="24"/>
          <w:szCs w:val="24"/>
          <w:highlight w:val="none"/>
          <w:u w:val="none"/>
          <w:lang w:val="en-US" w:eastAsia="zh-CN"/>
        </w:rPr>
      </w:pPr>
      <w:r>
        <w:rPr>
          <w:rFonts w:hint="eastAsia" w:asciiTheme="minorEastAsia" w:hAnsiTheme="minorEastAsia" w:eastAsiaTheme="minorEastAsia" w:cstheme="minorEastAsia"/>
          <w:color w:val="auto"/>
          <w:sz w:val="24"/>
          <w:szCs w:val="24"/>
          <w:highlight w:val="none"/>
          <w:u w:val="none"/>
          <w:lang w:val="en-US" w:eastAsia="zh-CN"/>
        </w:rPr>
        <w:t>4.该产品的关键组件要求实施前，“关键组件”栏可不填，下同。</w:t>
      </w:r>
    </w:p>
    <w:p w14:paraId="0444F08A">
      <w:pPr>
        <w:pStyle w:val="4"/>
        <w:keepNext w:val="0"/>
        <w:keepLines w:val="0"/>
        <w:pageBreakBefore w:val="0"/>
        <w:widowControl w:val="0"/>
        <w:wordWrap/>
        <w:overflowPunct/>
        <w:topLinePunct w:val="0"/>
        <w:bidi w:val="0"/>
        <w:spacing w:before="0" w:after="0" w:line="288" w:lineRule="auto"/>
        <w:jc w:val="center"/>
        <w:rPr>
          <w:rFonts w:hint="eastAsia" w:asciiTheme="minorEastAsia" w:hAnsiTheme="minorEastAsia" w:eastAsiaTheme="minorEastAsia" w:cstheme="minorEastAsia"/>
          <w:color w:val="auto"/>
          <w:sz w:val="28"/>
          <w:szCs w:val="21"/>
          <w:highlight w:val="none"/>
          <w:u w:val="none"/>
          <w:lang w:val="en-US" w:eastAsia="zh-CN"/>
        </w:rPr>
      </w:pPr>
      <w:r>
        <w:rPr>
          <w:rFonts w:hint="eastAsia" w:asciiTheme="minorEastAsia" w:hAnsiTheme="minorEastAsia" w:eastAsiaTheme="minorEastAsia" w:cstheme="minorEastAsia"/>
          <w:color w:val="auto"/>
          <w:sz w:val="24"/>
          <w:szCs w:val="24"/>
          <w:highlight w:val="none"/>
          <w:u w:val="none"/>
          <w:lang w:val="en-US" w:eastAsia="zh-CN"/>
        </w:rPr>
        <w:t>5.该产品的关键工序要求实施前，“关键工序”栏可不填，下同。</w:t>
      </w:r>
    </w:p>
    <w:p w14:paraId="1FC443AA">
      <w:pPr>
        <w:pStyle w:val="4"/>
        <w:keepNext w:val="0"/>
        <w:keepLines w:val="0"/>
        <w:pageBreakBefore w:val="0"/>
        <w:widowControl w:val="0"/>
        <w:wordWrap/>
        <w:overflowPunct/>
        <w:topLinePunct w:val="0"/>
        <w:bidi w:val="0"/>
        <w:spacing w:before="0" w:after="0" w:line="288" w:lineRule="auto"/>
        <w:jc w:val="center"/>
        <w:rPr>
          <w:rFonts w:hint="eastAsia" w:asciiTheme="minorEastAsia" w:hAnsiTheme="minorEastAsia" w:eastAsiaTheme="minorEastAsia" w:cstheme="minorEastAsia"/>
          <w:color w:val="auto"/>
          <w:sz w:val="28"/>
          <w:szCs w:val="21"/>
          <w:highlight w:val="none"/>
          <w:u w:val="none"/>
          <w:lang w:val="en-US" w:eastAsia="zh-CN"/>
        </w:rPr>
      </w:pPr>
    </w:p>
    <w:p w14:paraId="118E65EC">
      <w:pPr>
        <w:pStyle w:val="4"/>
        <w:keepNext w:val="0"/>
        <w:keepLines w:val="0"/>
        <w:pageBreakBefore w:val="0"/>
        <w:widowControl w:val="0"/>
        <w:wordWrap/>
        <w:overflowPunct/>
        <w:topLinePunct w:val="0"/>
        <w:bidi w:val="0"/>
        <w:spacing w:before="0" w:after="0" w:line="288" w:lineRule="auto"/>
        <w:ind w:left="1079" w:leftChars="257" w:hanging="539"/>
        <w:jc w:val="center"/>
        <w:rPr>
          <w:rFonts w:hint="eastAsia" w:ascii="仿宋_GB2312" w:hAnsi="仿宋_GB2312" w:eastAsia="仿宋_GB2312" w:cs="仿宋_GB2312"/>
          <w:highlight w:val="none"/>
          <w:u w:val="none"/>
        </w:rPr>
      </w:pPr>
      <w:bookmarkStart w:id="858" w:name="_Toc803"/>
      <w:bookmarkStart w:id="859" w:name="_Toc22178"/>
    </w:p>
    <w:p w14:paraId="50CFA4B7">
      <w:pPr>
        <w:pStyle w:val="4"/>
        <w:keepNext w:val="0"/>
        <w:keepLines w:val="0"/>
        <w:pageBreakBefore w:val="0"/>
        <w:widowControl w:val="0"/>
        <w:wordWrap/>
        <w:overflowPunct/>
        <w:topLinePunct w:val="0"/>
        <w:bidi w:val="0"/>
        <w:spacing w:before="0" w:after="0" w:line="288" w:lineRule="auto"/>
        <w:ind w:left="1079" w:leftChars="257" w:hanging="539"/>
        <w:jc w:val="center"/>
        <w:rPr>
          <w:rFonts w:hint="eastAsia" w:ascii="仿宋_GB2312" w:hAnsi="仿宋_GB2312" w:eastAsia="仿宋_GB2312" w:cs="仿宋_GB2312"/>
          <w:highlight w:val="none"/>
          <w:u w:val="none"/>
        </w:rPr>
      </w:pPr>
    </w:p>
    <w:p w14:paraId="0BC9F1BA">
      <w:pPr>
        <w:pStyle w:val="4"/>
        <w:keepNext w:val="0"/>
        <w:keepLines w:val="0"/>
        <w:pageBreakBefore w:val="0"/>
        <w:widowControl w:val="0"/>
        <w:wordWrap/>
        <w:overflowPunct/>
        <w:topLinePunct w:val="0"/>
        <w:bidi w:val="0"/>
        <w:spacing w:before="0" w:after="0" w:line="288" w:lineRule="auto"/>
        <w:ind w:left="1079" w:leftChars="257" w:hanging="539"/>
        <w:jc w:val="center"/>
        <w:rPr>
          <w:rFonts w:hint="eastAsia" w:ascii="仿宋_GB2312" w:hAnsi="仿宋_GB2312" w:eastAsia="仿宋_GB2312" w:cs="仿宋_GB2312"/>
          <w:highlight w:val="none"/>
          <w:u w:val="none"/>
        </w:rPr>
      </w:pPr>
    </w:p>
    <w:p w14:paraId="289CCAF1">
      <w:pPr>
        <w:pStyle w:val="4"/>
        <w:keepNext w:val="0"/>
        <w:keepLines w:val="0"/>
        <w:pageBreakBefore w:val="0"/>
        <w:widowControl w:val="0"/>
        <w:wordWrap/>
        <w:overflowPunct/>
        <w:topLinePunct w:val="0"/>
        <w:bidi w:val="0"/>
        <w:spacing w:before="0" w:after="0" w:line="288" w:lineRule="auto"/>
        <w:ind w:left="1079" w:leftChars="257" w:hanging="539"/>
        <w:jc w:val="center"/>
        <w:rPr>
          <w:rFonts w:hint="eastAsia" w:ascii="仿宋_GB2312" w:hAnsi="仿宋_GB2312" w:eastAsia="仿宋_GB2312" w:cs="仿宋_GB2312"/>
          <w:highlight w:val="none"/>
          <w:u w:val="none"/>
        </w:rPr>
      </w:pPr>
    </w:p>
    <w:p w14:paraId="6AFA9A41">
      <w:pPr>
        <w:pStyle w:val="4"/>
        <w:keepNext w:val="0"/>
        <w:keepLines w:val="0"/>
        <w:pageBreakBefore w:val="0"/>
        <w:widowControl w:val="0"/>
        <w:wordWrap/>
        <w:overflowPunct/>
        <w:topLinePunct w:val="0"/>
        <w:bidi w:val="0"/>
        <w:spacing w:before="0" w:after="0" w:line="288" w:lineRule="auto"/>
        <w:ind w:left="1079" w:leftChars="257" w:hanging="539"/>
        <w:jc w:val="center"/>
        <w:rPr>
          <w:rFonts w:hint="eastAsia" w:ascii="仿宋_GB2312" w:hAnsi="仿宋_GB2312" w:eastAsia="仿宋_GB2312" w:cs="仿宋_GB2312"/>
          <w:highlight w:val="none"/>
          <w:u w:val="none"/>
        </w:rPr>
      </w:pPr>
    </w:p>
    <w:p w14:paraId="60333E69">
      <w:pPr>
        <w:pStyle w:val="4"/>
        <w:keepNext w:val="0"/>
        <w:keepLines w:val="0"/>
        <w:pageBreakBefore w:val="0"/>
        <w:widowControl w:val="0"/>
        <w:wordWrap/>
        <w:overflowPunct/>
        <w:topLinePunct w:val="0"/>
        <w:bidi w:val="0"/>
        <w:spacing w:before="0" w:after="0" w:line="288" w:lineRule="auto"/>
        <w:ind w:left="1079" w:leftChars="257" w:hanging="539"/>
        <w:jc w:val="center"/>
        <w:rPr>
          <w:rFonts w:hint="eastAsia" w:ascii="仿宋_GB2312" w:hAnsi="仿宋_GB2312" w:eastAsia="仿宋_GB2312" w:cs="仿宋_GB2312"/>
          <w:highlight w:val="none"/>
          <w:u w:val="none"/>
        </w:rPr>
      </w:pPr>
      <w:r>
        <w:rPr>
          <w:rFonts w:hint="eastAsia" w:ascii="仿宋_GB2312" w:hAnsi="仿宋_GB2312" w:eastAsia="仿宋_GB2312" w:cs="仿宋_GB2312"/>
          <w:highlight w:val="none"/>
          <w:u w:val="none"/>
        </w:rPr>
        <w:t>7投标文件还应包括第五章、综合评分表的所有技术文件</w:t>
      </w:r>
      <w:bookmarkEnd w:id="837"/>
      <w:bookmarkEnd w:id="858"/>
      <w:bookmarkEnd w:id="859"/>
    </w:p>
    <w:p w14:paraId="297A25AD">
      <w:pPr>
        <w:pStyle w:val="25"/>
        <w:keepNext w:val="0"/>
        <w:keepLines w:val="0"/>
        <w:pageBreakBefore w:val="0"/>
        <w:widowControl w:val="0"/>
        <w:wordWrap/>
        <w:overflowPunct/>
        <w:topLinePunct w:val="0"/>
        <w:bidi w:val="0"/>
        <w:ind w:firstLine="480"/>
        <w:rPr>
          <w:highlight w:val="none"/>
        </w:rPr>
      </w:pPr>
      <w:bookmarkStart w:id="860" w:name="_Toc515647827"/>
      <w:bookmarkStart w:id="861" w:name="_Toc10002"/>
      <w:bookmarkStart w:id="862" w:name="_Toc30795"/>
      <w:bookmarkStart w:id="863" w:name="_Toc28099"/>
    </w:p>
    <w:p w14:paraId="6E06B75B">
      <w:pPr>
        <w:pStyle w:val="4"/>
        <w:keepNext w:val="0"/>
        <w:keepLines w:val="0"/>
        <w:pageBreakBefore w:val="0"/>
        <w:widowControl w:val="0"/>
        <w:wordWrap/>
        <w:overflowPunct/>
        <w:topLinePunct w:val="0"/>
        <w:bidi w:val="0"/>
        <w:spacing w:before="0" w:after="0" w:line="288" w:lineRule="auto"/>
        <w:ind w:left="1079" w:leftChars="257" w:hanging="539"/>
        <w:jc w:val="center"/>
        <w:rPr>
          <w:rFonts w:hint="eastAsia" w:ascii="仿宋_GB2312" w:hAnsi="仿宋_GB2312" w:eastAsia="仿宋_GB2312" w:cs="仿宋_GB2312"/>
          <w:highlight w:val="none"/>
        </w:rPr>
      </w:pPr>
      <w:bookmarkStart w:id="864" w:name="_Toc24363"/>
      <w:bookmarkStart w:id="865" w:name="_Toc8592"/>
      <w:bookmarkStart w:id="866" w:name="_Toc9534"/>
      <w:bookmarkStart w:id="867" w:name="_Toc26500"/>
      <w:bookmarkStart w:id="868" w:name="_Toc7250"/>
      <w:bookmarkStart w:id="869" w:name="_Toc6272"/>
      <w:bookmarkStart w:id="870" w:name="_Toc15187"/>
      <w:bookmarkStart w:id="871" w:name="_Toc14100"/>
      <w:bookmarkStart w:id="872" w:name="_Toc6646"/>
      <w:bookmarkStart w:id="873" w:name="_Toc12381"/>
      <w:r>
        <w:rPr>
          <w:rFonts w:hint="eastAsia" w:ascii="仿宋_GB2312" w:hAnsi="仿宋_GB2312" w:eastAsia="仿宋_GB2312" w:cs="仿宋_GB2312"/>
          <w:highlight w:val="none"/>
          <w:u w:val="none"/>
        </w:rPr>
        <w:t>8投标人关联单位的说明</w:t>
      </w:r>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p>
    <w:p w14:paraId="0E45BCFC">
      <w:pPr>
        <w:pStyle w:val="6"/>
        <w:keepNext w:val="0"/>
        <w:keepLines w:val="0"/>
        <w:pageBreakBefore w:val="0"/>
        <w:widowControl w:val="0"/>
        <w:wordWrap/>
        <w:overflowPunct/>
        <w:topLinePunct w:val="0"/>
        <w:bidi w:val="0"/>
        <w:snapToGrid w:val="0"/>
        <w:ind w:firstLine="480" w:firstLineChars="200"/>
        <w:rPr>
          <w:rFonts w:hint="eastAsia" w:ascii="仿宋_GB2312" w:hAnsi="仿宋_GB2312" w:eastAsia="仿宋_GB2312" w:cs="仿宋_GB2312"/>
          <w:highlight w:val="none"/>
        </w:rPr>
      </w:pPr>
      <w:r>
        <w:rPr>
          <w:rFonts w:hint="eastAsia" w:ascii="仿宋_GB2312" w:hAnsi="仿宋_GB2312" w:eastAsia="仿宋_GB2312" w:cs="仿宋_GB2312"/>
          <w:highlight w:val="none"/>
        </w:rPr>
        <w:t>说明：投标人应当如实披露与本单位存在下列关联关系的单位名称：</w:t>
      </w:r>
    </w:p>
    <w:p w14:paraId="6F26BFA6">
      <w:pPr>
        <w:pStyle w:val="6"/>
        <w:keepNext w:val="0"/>
        <w:keepLines w:val="0"/>
        <w:pageBreakBefore w:val="0"/>
        <w:widowControl w:val="0"/>
        <w:wordWrap/>
        <w:overflowPunct/>
        <w:topLinePunct w:val="0"/>
        <w:bidi w:val="0"/>
        <w:snapToGrid w:val="0"/>
        <w:ind w:firstLine="480" w:firstLineChars="200"/>
        <w:rPr>
          <w:rFonts w:hint="eastAsia" w:ascii="仿宋_GB2312" w:hAnsi="仿宋_GB2312" w:eastAsia="仿宋_GB2312" w:cs="仿宋_GB2312"/>
          <w:highlight w:val="none"/>
        </w:rPr>
      </w:pPr>
      <w:r>
        <w:rPr>
          <w:rFonts w:hint="eastAsia" w:ascii="仿宋_GB2312" w:hAnsi="仿宋_GB2312" w:eastAsia="仿宋_GB2312" w:cs="仿宋_GB2312"/>
          <w:highlight w:val="none"/>
        </w:rPr>
        <w:t>（1）与投标人单位负责人为同一人的其他单位；</w:t>
      </w:r>
    </w:p>
    <w:p w14:paraId="7FA747DD">
      <w:pPr>
        <w:pStyle w:val="6"/>
        <w:keepNext w:val="0"/>
        <w:keepLines w:val="0"/>
        <w:pageBreakBefore w:val="0"/>
        <w:widowControl w:val="0"/>
        <w:wordWrap/>
        <w:overflowPunct/>
        <w:topLinePunct w:val="0"/>
        <w:bidi w:val="0"/>
        <w:snapToGrid w:val="0"/>
        <w:ind w:firstLine="480" w:firstLineChars="200"/>
        <w:rPr>
          <w:rFonts w:hint="eastAsia" w:ascii="仿宋_GB2312" w:hAnsi="仿宋_GB2312" w:eastAsia="仿宋_GB2312" w:cs="仿宋_GB2312"/>
          <w:highlight w:val="none"/>
          <w:u w:val="none"/>
        </w:rPr>
      </w:pPr>
      <w:r>
        <w:rPr>
          <w:rFonts w:hint="eastAsia" w:ascii="仿宋_GB2312" w:hAnsi="仿宋_GB2312" w:eastAsia="仿宋_GB2312" w:cs="仿宋_GB2312"/>
          <w:highlight w:val="none"/>
        </w:rPr>
        <w:t>（2）与投标人存在直接控股、管理关系的其他单位。</w:t>
      </w:r>
      <w:bookmarkStart w:id="874" w:name="_Toc28623"/>
      <w:bookmarkStart w:id="875" w:name="_Toc2410"/>
      <w:bookmarkStart w:id="876" w:name="_Toc16143"/>
    </w:p>
    <w:p w14:paraId="436A7C86">
      <w:pPr>
        <w:pStyle w:val="4"/>
        <w:keepNext w:val="0"/>
        <w:keepLines w:val="0"/>
        <w:pageBreakBefore w:val="0"/>
        <w:widowControl w:val="0"/>
        <w:wordWrap/>
        <w:overflowPunct/>
        <w:topLinePunct w:val="0"/>
        <w:bidi w:val="0"/>
        <w:spacing w:before="0" w:after="0" w:line="288" w:lineRule="auto"/>
        <w:ind w:left="1079" w:leftChars="257" w:hanging="539"/>
        <w:jc w:val="center"/>
        <w:rPr>
          <w:rFonts w:hint="eastAsia" w:ascii="仿宋_GB2312" w:hAnsi="仿宋_GB2312" w:eastAsia="仿宋_GB2312" w:cs="仿宋_GB2312"/>
          <w:highlight w:val="none"/>
          <w:u w:val="none"/>
        </w:rPr>
      </w:pPr>
    </w:p>
    <w:p w14:paraId="290D80F6">
      <w:pPr>
        <w:pStyle w:val="4"/>
        <w:keepNext w:val="0"/>
        <w:keepLines w:val="0"/>
        <w:pageBreakBefore w:val="0"/>
        <w:widowControl w:val="0"/>
        <w:wordWrap/>
        <w:overflowPunct/>
        <w:topLinePunct w:val="0"/>
        <w:bidi w:val="0"/>
        <w:spacing w:before="0" w:after="0" w:line="288" w:lineRule="auto"/>
        <w:ind w:left="1079" w:leftChars="257" w:hanging="539"/>
        <w:jc w:val="center"/>
        <w:rPr>
          <w:rFonts w:hint="eastAsia" w:ascii="仿宋_GB2312" w:hAnsi="仿宋_GB2312" w:eastAsia="仿宋_GB2312" w:cs="仿宋_GB2312"/>
          <w:highlight w:val="none"/>
          <w:u w:val="none"/>
        </w:rPr>
      </w:pPr>
      <w:r>
        <w:rPr>
          <w:rFonts w:hint="eastAsia" w:ascii="仿宋_GB2312" w:hAnsi="仿宋_GB2312" w:eastAsia="仿宋_GB2312" w:cs="仿宋_GB2312"/>
          <w:highlight w:val="none"/>
          <w:u w:val="none"/>
        </w:rPr>
        <w:t>9其他有利于投标人的文件或证明材料</w:t>
      </w:r>
      <w:bookmarkEnd w:id="874"/>
      <w:bookmarkEnd w:id="875"/>
      <w:bookmarkEnd w:id="876"/>
    </w:p>
    <w:p w14:paraId="46F0C873">
      <w:pPr>
        <w:pStyle w:val="20"/>
        <w:keepNext w:val="0"/>
        <w:keepLines w:val="0"/>
        <w:pageBreakBefore w:val="0"/>
        <w:widowControl w:val="0"/>
        <w:wordWrap/>
        <w:overflowPunct/>
        <w:topLinePunct w:val="0"/>
        <w:bidi w:val="0"/>
        <w:ind w:left="480" w:hanging="480" w:hangingChars="200"/>
        <w:rPr>
          <w:rFonts w:hint="eastAsia" w:ascii="仿宋_GB2312" w:hAnsi="仿宋_GB2312" w:eastAsia="仿宋_GB2312" w:cs="仿宋_GB2312"/>
          <w:highlight w:val="none"/>
          <w:u w:val="none"/>
        </w:rPr>
      </w:pPr>
      <w:r>
        <w:rPr>
          <w:rFonts w:hint="eastAsia" w:ascii="仿宋" w:hAnsi="仿宋" w:eastAsia="仿宋" w:cs="仿宋"/>
          <w:color w:val="000000"/>
          <w:sz w:val="24"/>
          <w:highlight w:val="none"/>
        </w:rPr>
        <w:t>注：参照“第六章评分方法和标准”，提供有力于投标人的其他证明文件或供货及实施方案、服务方案</w:t>
      </w:r>
      <w:bookmarkStart w:id="877" w:name="_Toc9043"/>
      <w:bookmarkStart w:id="878" w:name="_Toc9667"/>
      <w:bookmarkStart w:id="879" w:name="_Toc22391"/>
      <w:bookmarkStart w:id="880" w:name="_Toc3938"/>
      <w:bookmarkStart w:id="881" w:name="_Toc283"/>
      <w:bookmarkStart w:id="882" w:name="_Toc31553"/>
      <w:bookmarkStart w:id="883" w:name="_Toc26225"/>
      <w:bookmarkStart w:id="884" w:name="_Toc21278"/>
      <w:bookmarkStart w:id="885" w:name="_Toc15737"/>
    </w:p>
    <w:p w14:paraId="62C1B3FC">
      <w:pPr>
        <w:pStyle w:val="4"/>
        <w:keepNext w:val="0"/>
        <w:keepLines w:val="0"/>
        <w:pageBreakBefore w:val="0"/>
        <w:widowControl w:val="0"/>
        <w:wordWrap/>
        <w:overflowPunct/>
        <w:topLinePunct w:val="0"/>
        <w:bidi w:val="0"/>
        <w:spacing w:before="0" w:after="0" w:line="288" w:lineRule="auto"/>
        <w:ind w:left="1079" w:leftChars="257" w:hanging="539"/>
        <w:jc w:val="center"/>
        <w:rPr>
          <w:rFonts w:hint="eastAsia" w:ascii="仿宋_GB2312" w:hAnsi="仿宋_GB2312" w:eastAsia="仿宋_GB2312" w:cs="仿宋_GB2312"/>
          <w:highlight w:val="none"/>
          <w:u w:val="none"/>
        </w:rPr>
      </w:pPr>
    </w:p>
    <w:p w14:paraId="3F33BBC4">
      <w:pPr>
        <w:pStyle w:val="4"/>
        <w:keepNext w:val="0"/>
        <w:keepLines w:val="0"/>
        <w:pageBreakBefore w:val="0"/>
        <w:widowControl w:val="0"/>
        <w:wordWrap/>
        <w:overflowPunct/>
        <w:topLinePunct w:val="0"/>
        <w:bidi w:val="0"/>
        <w:spacing w:before="0" w:after="0" w:line="288" w:lineRule="auto"/>
        <w:ind w:left="1079" w:leftChars="257" w:hanging="539"/>
        <w:jc w:val="center"/>
        <w:rPr>
          <w:rFonts w:ascii="Tahoma" w:hAnsi="Tahoma" w:cs="Tahoma"/>
          <w:b/>
          <w:sz w:val="28"/>
          <w:szCs w:val="28"/>
          <w:highlight w:val="none"/>
        </w:rPr>
      </w:pPr>
      <w:r>
        <w:rPr>
          <w:rFonts w:hint="eastAsia" w:ascii="仿宋_GB2312" w:hAnsi="仿宋_GB2312" w:eastAsia="仿宋_GB2312" w:cs="仿宋_GB2312"/>
          <w:highlight w:val="none"/>
          <w:u w:val="none"/>
        </w:rPr>
        <w:t>10对本项目投标文件（响应文件）中资料真实性的承诺</w:t>
      </w:r>
      <w:bookmarkEnd w:id="877"/>
      <w:bookmarkEnd w:id="878"/>
      <w:bookmarkEnd w:id="879"/>
      <w:bookmarkEnd w:id="880"/>
      <w:bookmarkEnd w:id="881"/>
      <w:bookmarkEnd w:id="882"/>
      <w:bookmarkEnd w:id="883"/>
      <w:bookmarkEnd w:id="884"/>
      <w:bookmarkEnd w:id="885"/>
    </w:p>
    <w:p w14:paraId="5B7EFCF1">
      <w:pPr>
        <w:keepNext w:val="0"/>
        <w:keepLines w:val="0"/>
        <w:pageBreakBefore w:val="0"/>
        <w:widowControl w:val="0"/>
        <w:wordWrap/>
        <w:overflowPunct/>
        <w:topLinePunct w:val="0"/>
        <w:bidi w:val="0"/>
        <w:snapToGrid w:val="0"/>
        <w:spacing w:line="360" w:lineRule="auto"/>
        <w:jc w:val="left"/>
        <w:rPr>
          <w:rFonts w:ascii="Tahoma" w:hAnsi="Tahoma" w:eastAsia="仿宋_GB2312" w:cs="Tahoma"/>
          <w:b/>
          <w:sz w:val="24"/>
          <w:highlight w:val="none"/>
        </w:rPr>
      </w:pPr>
      <w:r>
        <w:rPr>
          <w:rFonts w:hint="eastAsia" w:ascii="Tahoma" w:hAnsi="Tahoma" w:eastAsia="仿宋_GB2312" w:cs="Tahoma"/>
          <w:b/>
          <w:sz w:val="24"/>
          <w:highlight w:val="none"/>
        </w:rPr>
        <w:t>伽师县****项目评标委员会：</w:t>
      </w:r>
    </w:p>
    <w:p w14:paraId="718D7BB6">
      <w:pPr>
        <w:keepNext w:val="0"/>
        <w:keepLines w:val="0"/>
        <w:pageBreakBefore w:val="0"/>
        <w:widowControl w:val="0"/>
        <w:wordWrap/>
        <w:overflowPunct/>
        <w:topLinePunct w:val="0"/>
        <w:bidi w:val="0"/>
        <w:snapToGrid w:val="0"/>
        <w:spacing w:line="360" w:lineRule="auto"/>
        <w:ind w:firstLine="480" w:firstLineChars="200"/>
        <w:rPr>
          <w:rFonts w:hint="eastAsia" w:ascii="仿宋" w:hAnsi="仿宋" w:eastAsia="仿宋" w:cs="仿宋"/>
          <w:sz w:val="24"/>
          <w:highlight w:val="none"/>
        </w:rPr>
      </w:pPr>
      <w:r>
        <w:rPr>
          <w:rFonts w:hint="eastAsia" w:ascii="仿宋_GB2312" w:hAnsi="宋体" w:eastAsia="仿宋_GB2312"/>
          <w:kern w:val="0"/>
          <w:sz w:val="24"/>
          <w:szCs w:val="20"/>
          <w:highlight w:val="none"/>
        </w:rPr>
        <w:t>根据《中华人民共和国政府采购法》、《中华人民共和国政府采购法实施</w:t>
      </w:r>
      <w:r>
        <w:rPr>
          <w:rFonts w:hint="eastAsia" w:ascii="仿宋" w:hAnsi="仿宋" w:eastAsia="仿宋" w:cs="仿宋"/>
          <w:sz w:val="24"/>
          <w:highlight w:val="none"/>
        </w:rPr>
        <w:t>条例》等有关法律、法规的规定和</w:t>
      </w:r>
      <w:r>
        <w:rPr>
          <w:rFonts w:hint="eastAsia" w:ascii="仿宋" w:hAnsi="仿宋" w:eastAsia="仿宋" w:cs="仿宋"/>
          <w:sz w:val="24"/>
          <w:highlight w:val="none"/>
          <w:u w:val="single" w:color="000000"/>
        </w:rPr>
        <w:t>  ***项目项目编号***、第**标段  </w:t>
      </w:r>
      <w:r>
        <w:rPr>
          <w:rFonts w:hint="eastAsia" w:ascii="仿宋" w:hAnsi="仿宋" w:eastAsia="仿宋" w:cs="仿宋"/>
          <w:sz w:val="24"/>
          <w:highlight w:val="none"/>
        </w:rPr>
        <w:t>的招标文件（或竞争性谈判文件）的要求，我公司在参加</w:t>
      </w:r>
      <w:r>
        <w:rPr>
          <w:rFonts w:hint="eastAsia" w:ascii="仿宋" w:hAnsi="仿宋" w:eastAsia="仿宋" w:cs="仿宋"/>
          <w:sz w:val="24"/>
          <w:highlight w:val="none"/>
          <w:u w:val="single" w:color="000000"/>
        </w:rPr>
        <w:t>***项目项目编号***、第**标段 </w:t>
      </w:r>
      <w:r>
        <w:rPr>
          <w:rFonts w:hint="eastAsia" w:ascii="仿宋" w:hAnsi="仿宋" w:eastAsia="仿宋" w:cs="仿宋"/>
          <w:sz w:val="24"/>
          <w:highlight w:val="none"/>
        </w:rPr>
        <w:t>投标文件（响应文件）中所提供资料真实性作如下承诺：</w:t>
      </w:r>
    </w:p>
    <w:p w14:paraId="652882F7">
      <w:pPr>
        <w:keepNext w:val="0"/>
        <w:keepLines w:val="0"/>
        <w:pageBreakBefore w:val="0"/>
        <w:widowControl w:val="0"/>
        <w:wordWrap/>
        <w:overflowPunct/>
        <w:topLinePunct w:val="0"/>
        <w:bidi w:val="0"/>
        <w:snapToGrid w:val="0"/>
        <w:spacing w:line="360"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我公司将严格按招标文件</w:t>
      </w:r>
      <w:bookmarkStart w:id="886" w:name="_Hlk5982690"/>
      <w:r>
        <w:rPr>
          <w:rFonts w:hint="eastAsia" w:ascii="仿宋" w:hAnsi="仿宋" w:eastAsia="仿宋" w:cs="仿宋"/>
          <w:sz w:val="24"/>
          <w:highlight w:val="none"/>
        </w:rPr>
        <w:t>（或竞争性谈判）</w:t>
      </w:r>
      <w:bookmarkEnd w:id="886"/>
      <w:r>
        <w:rPr>
          <w:rFonts w:hint="eastAsia" w:ascii="仿宋" w:hAnsi="仿宋" w:eastAsia="仿宋" w:cs="仿宋"/>
          <w:sz w:val="24"/>
          <w:highlight w:val="none"/>
        </w:rPr>
        <w:t>要求，在编制本投标文件（响应文件）时，对投标文件中所提供的资料全部真实和正确，并对提供的所有资料（资格、其他材料等）的真实性负责！</w:t>
      </w:r>
    </w:p>
    <w:p w14:paraId="30E19CCE">
      <w:pPr>
        <w:keepNext w:val="0"/>
        <w:keepLines w:val="0"/>
        <w:pageBreakBefore w:val="0"/>
        <w:widowControl w:val="0"/>
        <w:wordWrap/>
        <w:overflowPunct/>
        <w:topLinePunct w:val="0"/>
        <w:bidi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对提供的全部资料中有存在不真实（伪造或租借等虚假资料）情形，将无条件接受任何处罚，自行承担由此引起的一切责任！</w:t>
      </w:r>
    </w:p>
    <w:p w14:paraId="57CC1D0A">
      <w:pPr>
        <w:keepNext w:val="0"/>
        <w:keepLines w:val="0"/>
        <w:pageBreakBefore w:val="0"/>
        <w:widowControl w:val="0"/>
        <w:wordWrap/>
        <w:overflowPunct/>
        <w:topLinePunct w:val="0"/>
        <w:bidi w:val="0"/>
        <w:snapToGrid w:val="0"/>
        <w:spacing w:line="360"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rPr>
        <w:t>特此承诺</w:t>
      </w:r>
    </w:p>
    <w:p w14:paraId="4CCE5DCE">
      <w:pPr>
        <w:keepNext w:val="0"/>
        <w:keepLines w:val="0"/>
        <w:pageBreakBefore w:val="0"/>
        <w:widowControl w:val="0"/>
        <w:tabs>
          <w:tab w:val="left" w:pos="7517"/>
        </w:tabs>
        <w:wordWrap/>
        <w:overflowPunct/>
        <w:topLinePunct w:val="0"/>
        <w:bidi w:val="0"/>
        <w:snapToGrid w:val="0"/>
        <w:spacing w:line="360" w:lineRule="auto"/>
        <w:jc w:val="right"/>
        <w:rPr>
          <w:rFonts w:hint="eastAsia" w:ascii="仿宋" w:hAnsi="仿宋" w:eastAsia="仿宋" w:cs="仿宋"/>
          <w:sz w:val="24"/>
          <w:highlight w:val="none"/>
          <w:lang w:eastAsia="zh-CN"/>
        </w:rPr>
      </w:pPr>
      <w:r>
        <w:rPr>
          <w:rFonts w:hint="eastAsia" w:ascii="仿宋" w:hAnsi="仿宋" w:eastAsia="仿宋" w:cs="仿宋"/>
          <w:sz w:val="24"/>
          <w:highlight w:val="none"/>
        </w:rPr>
        <w:t>供应商名称（加盖盖章）：</w:t>
      </w:r>
    </w:p>
    <w:p w14:paraId="53373F68">
      <w:pPr>
        <w:keepNext w:val="0"/>
        <w:keepLines w:val="0"/>
        <w:pageBreakBefore w:val="0"/>
        <w:widowControl w:val="0"/>
        <w:wordWrap/>
        <w:overflowPunct/>
        <w:topLinePunct w:val="0"/>
        <w:bidi w:val="0"/>
        <w:snapToGrid w:val="0"/>
        <w:spacing w:line="360" w:lineRule="auto"/>
        <w:ind w:firstLine="4080" w:firstLineChars="1700"/>
        <w:jc w:val="right"/>
        <w:rPr>
          <w:rFonts w:hint="eastAsia" w:ascii="仿宋" w:hAnsi="仿宋" w:eastAsia="仿宋" w:cs="仿宋"/>
          <w:sz w:val="24"/>
          <w:highlight w:val="none"/>
        </w:rPr>
      </w:pPr>
      <w:r>
        <w:rPr>
          <w:rFonts w:hint="eastAsia" w:ascii="仿宋" w:hAnsi="仿宋" w:eastAsia="仿宋" w:cs="仿宋"/>
          <w:sz w:val="24"/>
          <w:highlight w:val="none"/>
        </w:rPr>
        <w:t>法定代表人（签字或章）：</w:t>
      </w:r>
    </w:p>
    <w:p w14:paraId="1F81EB14">
      <w:pPr>
        <w:keepNext w:val="0"/>
        <w:keepLines w:val="0"/>
        <w:pageBreakBefore w:val="0"/>
        <w:widowControl w:val="0"/>
        <w:wordWrap/>
        <w:overflowPunct/>
        <w:topLinePunct w:val="0"/>
        <w:bidi w:val="0"/>
        <w:snapToGrid w:val="0"/>
        <w:spacing w:line="360" w:lineRule="auto"/>
        <w:ind w:firstLine="720" w:firstLineChars="300"/>
        <w:jc w:val="right"/>
        <w:rPr>
          <w:rFonts w:hint="eastAsia" w:ascii="仿宋" w:hAnsi="仿宋" w:eastAsia="仿宋" w:cs="仿宋"/>
          <w:sz w:val="24"/>
          <w:highlight w:val="none"/>
        </w:rPr>
      </w:pP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联系方式：</w:t>
      </w:r>
    </w:p>
    <w:p w14:paraId="0C87287E">
      <w:pPr>
        <w:keepNext w:val="0"/>
        <w:keepLines w:val="0"/>
        <w:pageBreakBefore w:val="0"/>
        <w:widowControl w:val="0"/>
        <w:wordWrap/>
        <w:overflowPunct/>
        <w:topLinePunct w:val="0"/>
        <w:bidi w:val="0"/>
        <w:snapToGrid w:val="0"/>
        <w:spacing w:line="360" w:lineRule="auto"/>
        <w:ind w:firstLine="720" w:firstLineChars="300"/>
        <w:jc w:val="right"/>
        <w:rPr>
          <w:rFonts w:hint="eastAsia" w:ascii="仿宋" w:hAnsi="仿宋" w:eastAsia="仿宋" w:cs="仿宋"/>
          <w:sz w:val="24"/>
          <w:highlight w:val="none"/>
        </w:rPr>
      </w:pPr>
      <w:r>
        <w:rPr>
          <w:rFonts w:hint="eastAsia" w:ascii="仿宋" w:hAnsi="仿宋" w:eastAsia="仿宋" w:cs="仿宋"/>
          <w:sz w:val="24"/>
          <w:highlight w:val="none"/>
        </w:rPr>
        <w:t>年</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月</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日</w:t>
      </w:r>
    </w:p>
    <w:p w14:paraId="110C238E">
      <w:pPr>
        <w:keepNext w:val="0"/>
        <w:keepLines w:val="0"/>
        <w:pageBreakBefore w:val="0"/>
        <w:widowControl w:val="0"/>
        <w:wordWrap/>
        <w:overflowPunct/>
        <w:topLinePunct w:val="0"/>
        <w:bidi w:val="0"/>
        <w:spacing w:line="240" w:lineRule="atLeast"/>
        <w:ind w:left="1080" w:leftChars="257" w:hanging="540"/>
        <w:jc w:val="center"/>
        <w:rPr>
          <w:rFonts w:hint="eastAsia" w:ascii="仿宋_GB2312" w:hAnsi="仿宋_GB2312" w:eastAsia="仿宋_GB2312" w:cs="仿宋_GB2312"/>
          <w:b/>
          <w:color w:val="000000" w:themeColor="text1"/>
          <w:sz w:val="52"/>
          <w:szCs w:val="52"/>
          <w:highlight w:val="none"/>
          <w:lang w:eastAsia="zh-CN"/>
          <w14:textFill>
            <w14:solidFill>
              <w14:schemeClr w14:val="tx1"/>
            </w14:solidFill>
          </w14:textFill>
        </w:rPr>
      </w:pPr>
    </w:p>
    <w:p w14:paraId="33453A19">
      <w:pPr>
        <w:keepNext w:val="0"/>
        <w:keepLines w:val="0"/>
        <w:pageBreakBefore w:val="0"/>
        <w:widowControl w:val="0"/>
        <w:wordWrap/>
        <w:overflowPunct/>
        <w:topLinePunct w:val="0"/>
        <w:bidi w:val="0"/>
        <w:spacing w:line="240" w:lineRule="atLeast"/>
        <w:ind w:left="1080" w:leftChars="257" w:hanging="540"/>
        <w:jc w:val="center"/>
        <w:rPr>
          <w:rFonts w:hint="eastAsia" w:ascii="仿宋_GB2312" w:hAnsi="仿宋_GB2312" w:eastAsia="仿宋_GB2312" w:cs="仿宋_GB2312"/>
          <w:b/>
          <w:color w:val="000000" w:themeColor="text1"/>
          <w:sz w:val="52"/>
          <w:szCs w:val="52"/>
          <w:highlight w:val="none"/>
          <w:lang w:eastAsia="zh-CN"/>
          <w14:textFill>
            <w14:solidFill>
              <w14:schemeClr w14:val="tx1"/>
            </w14:solidFill>
          </w14:textFill>
        </w:rPr>
      </w:pPr>
      <w:r>
        <w:rPr>
          <w:rFonts w:hint="eastAsia" w:ascii="仿宋_GB2312" w:hAnsi="仿宋_GB2312" w:eastAsia="仿宋_GB2312" w:cs="仿宋_GB2312"/>
          <w:b/>
          <w:color w:val="000000" w:themeColor="text1"/>
          <w:sz w:val="52"/>
          <w:szCs w:val="52"/>
          <w:highlight w:val="none"/>
          <w:lang w:eastAsia="zh-CN"/>
          <w14:textFill>
            <w14:solidFill>
              <w14:schemeClr w14:val="tx1"/>
            </w14:solidFill>
          </w14:textFill>
        </w:rPr>
        <w:t>伽师县学校办学能力提升项目</w:t>
      </w:r>
    </w:p>
    <w:p w14:paraId="458B93FD">
      <w:pPr>
        <w:keepNext w:val="0"/>
        <w:keepLines w:val="0"/>
        <w:pageBreakBefore w:val="0"/>
        <w:widowControl w:val="0"/>
        <w:wordWrap/>
        <w:overflowPunct/>
        <w:topLinePunct w:val="0"/>
        <w:bidi w:val="0"/>
        <w:spacing w:line="240" w:lineRule="atLeast"/>
        <w:ind w:left="1080" w:leftChars="257" w:hanging="540"/>
        <w:jc w:val="center"/>
        <w:rPr>
          <w:rFonts w:hint="eastAsia" w:ascii="仿宋_GB2312" w:hAnsi="仿宋_GB2312" w:eastAsia="仿宋_GB2312" w:cs="仿宋_GB2312"/>
          <w:b/>
          <w:color w:val="000000" w:themeColor="text1"/>
          <w:sz w:val="52"/>
          <w:szCs w:val="52"/>
          <w:highlight w:val="none"/>
          <w14:textFill>
            <w14:solidFill>
              <w14:schemeClr w14:val="tx1"/>
            </w14:solidFill>
          </w14:textFill>
        </w:rPr>
      </w:pPr>
      <w:r>
        <w:rPr>
          <w:rFonts w:hint="eastAsia" w:ascii="仿宋_GB2312" w:hAnsi="仿宋_GB2312" w:eastAsia="仿宋_GB2312" w:cs="仿宋_GB2312"/>
          <w:b/>
          <w:color w:val="000000" w:themeColor="text1"/>
          <w:sz w:val="52"/>
          <w:szCs w:val="52"/>
          <w:highlight w:val="none"/>
          <w14:textFill>
            <w14:solidFill>
              <w14:schemeClr w14:val="tx1"/>
            </w14:solidFill>
          </w14:textFill>
        </w:rPr>
        <w:t>公开招标</w:t>
      </w:r>
    </w:p>
    <w:p w14:paraId="28977EFD">
      <w:pPr>
        <w:keepNext w:val="0"/>
        <w:keepLines w:val="0"/>
        <w:pageBreakBefore w:val="0"/>
        <w:widowControl w:val="0"/>
        <w:wordWrap/>
        <w:overflowPunct/>
        <w:topLinePunct w:val="0"/>
        <w:bidi w:val="0"/>
        <w:spacing w:line="240" w:lineRule="atLeast"/>
        <w:ind w:left="1080" w:leftChars="257" w:hanging="540"/>
        <w:jc w:val="center"/>
        <w:rPr>
          <w:rFonts w:hint="eastAsia" w:ascii="仿宋_GB2312" w:hAnsi="仿宋_GB2312" w:eastAsia="仿宋_GB2312" w:cs="仿宋_GB2312"/>
          <w:b/>
          <w:color w:val="000000" w:themeColor="text1"/>
          <w:sz w:val="52"/>
          <w:szCs w:val="52"/>
          <w:highlight w:val="none"/>
          <w14:textFill>
            <w14:solidFill>
              <w14:schemeClr w14:val="tx1"/>
            </w14:solidFill>
          </w14:textFill>
        </w:rPr>
      </w:pPr>
      <w:r>
        <w:rPr>
          <w:rFonts w:hint="eastAsia" w:ascii="仿宋_GB2312" w:hAnsi="仿宋_GB2312" w:eastAsia="仿宋_GB2312" w:cs="仿宋_GB2312"/>
          <w:b/>
          <w:color w:val="000000" w:themeColor="text1"/>
          <w:sz w:val="52"/>
          <w:szCs w:val="52"/>
          <w:highlight w:val="none"/>
          <w14:textFill>
            <w14:solidFill>
              <w14:schemeClr w14:val="tx1"/>
            </w14:solidFill>
          </w14:textFill>
        </w:rPr>
        <w:t>招标文件</w:t>
      </w:r>
    </w:p>
    <w:p w14:paraId="3634FFBD">
      <w:pPr>
        <w:keepNext w:val="0"/>
        <w:keepLines w:val="0"/>
        <w:pageBreakBefore w:val="0"/>
        <w:widowControl w:val="0"/>
        <w:wordWrap/>
        <w:overflowPunct/>
        <w:topLinePunct w:val="0"/>
        <w:bidi w:val="0"/>
        <w:spacing w:line="240" w:lineRule="atLeast"/>
        <w:ind w:left="1080" w:leftChars="257" w:hanging="540"/>
        <w:jc w:val="left"/>
        <w:rPr>
          <w:rFonts w:hint="eastAsia" w:ascii="仿宋_GB2312" w:hAnsi="仿宋_GB2312" w:eastAsia="仿宋_GB2312" w:cs="仿宋_GB2312"/>
          <w:b/>
          <w:color w:val="000000" w:themeColor="text1"/>
          <w:sz w:val="28"/>
          <w:highlight w:val="none"/>
          <w14:textFill>
            <w14:solidFill>
              <w14:schemeClr w14:val="tx1"/>
            </w14:solidFill>
          </w14:textFill>
        </w:rPr>
      </w:pPr>
    </w:p>
    <w:p w14:paraId="4EC08FD0">
      <w:pPr>
        <w:pStyle w:val="20"/>
        <w:keepNext w:val="0"/>
        <w:keepLines w:val="0"/>
        <w:pageBreakBefore w:val="0"/>
        <w:widowControl w:val="0"/>
        <w:wordWrap/>
        <w:overflowPunct/>
        <w:topLinePunct w:val="0"/>
        <w:bidi w:val="0"/>
        <w:rPr>
          <w:color w:val="000000" w:themeColor="text1"/>
          <w:highlight w:val="none"/>
          <w14:textFill>
            <w14:solidFill>
              <w14:schemeClr w14:val="tx1"/>
            </w14:solidFill>
          </w14:textFill>
        </w:rPr>
      </w:pPr>
    </w:p>
    <w:p w14:paraId="51F06E34">
      <w:pPr>
        <w:pStyle w:val="10"/>
        <w:keepNext w:val="0"/>
        <w:keepLines w:val="0"/>
        <w:pageBreakBefore w:val="0"/>
        <w:widowControl w:val="0"/>
        <w:wordWrap/>
        <w:overflowPunct/>
        <w:topLinePunct w:val="0"/>
        <w:bidi w:val="0"/>
        <w:jc w:val="left"/>
        <w:rPr>
          <w:rFonts w:hint="eastAsia"/>
          <w:color w:val="000000" w:themeColor="text1"/>
          <w:highlight w:val="none"/>
          <w14:textFill>
            <w14:solidFill>
              <w14:schemeClr w14:val="tx1"/>
            </w14:solidFill>
          </w14:textFill>
        </w:rPr>
      </w:pPr>
    </w:p>
    <w:p w14:paraId="51FEE380">
      <w:pPr>
        <w:keepNext w:val="0"/>
        <w:keepLines w:val="0"/>
        <w:pageBreakBefore w:val="0"/>
        <w:widowControl w:val="0"/>
        <w:wordWrap/>
        <w:overflowPunct/>
        <w:topLinePunct w:val="0"/>
        <w:bidi w:val="0"/>
        <w:jc w:val="left"/>
        <w:rPr>
          <w:color w:val="000000" w:themeColor="text1"/>
          <w:highlight w:val="none"/>
          <w14:textFill>
            <w14:solidFill>
              <w14:schemeClr w14:val="tx1"/>
            </w14:solidFill>
          </w14:textFill>
        </w:rPr>
      </w:pPr>
    </w:p>
    <w:p w14:paraId="369CBBB8">
      <w:pPr>
        <w:keepNext w:val="0"/>
        <w:keepLines w:val="0"/>
        <w:pageBreakBefore w:val="0"/>
        <w:widowControl w:val="0"/>
        <w:wordWrap/>
        <w:overflowPunct/>
        <w:topLinePunct w:val="0"/>
        <w:bidi w:val="0"/>
        <w:jc w:val="left"/>
        <w:rPr>
          <w:color w:val="000000" w:themeColor="text1"/>
          <w:highlight w:val="none"/>
          <w14:textFill>
            <w14:solidFill>
              <w14:schemeClr w14:val="tx1"/>
            </w14:solidFill>
          </w14:textFill>
        </w:rPr>
      </w:pPr>
    </w:p>
    <w:p w14:paraId="4421A68D">
      <w:pPr>
        <w:keepNext w:val="0"/>
        <w:keepLines w:val="0"/>
        <w:pageBreakBefore w:val="0"/>
        <w:widowControl w:val="0"/>
        <w:wordWrap/>
        <w:overflowPunct/>
        <w:topLinePunct w:val="0"/>
        <w:bidi w:val="0"/>
        <w:spacing w:line="240" w:lineRule="atLeast"/>
        <w:ind w:left="1080" w:leftChars="257" w:hanging="540"/>
        <w:jc w:val="center"/>
        <w:rPr>
          <w:rFonts w:hint="eastAsia" w:ascii="仿宋_GB2312" w:hAnsi="仿宋_GB2312" w:eastAsia="仿宋_GB2312" w:cs="仿宋_GB2312"/>
          <w:b/>
          <w:color w:val="000000" w:themeColor="text1"/>
          <w:sz w:val="48"/>
          <w:szCs w:val="48"/>
          <w:highlight w:val="none"/>
          <w14:textFill>
            <w14:solidFill>
              <w14:schemeClr w14:val="tx1"/>
            </w14:solidFill>
          </w14:textFill>
        </w:rPr>
      </w:pPr>
      <w:r>
        <w:rPr>
          <w:rFonts w:hint="eastAsia" w:ascii="仿宋_GB2312" w:hAnsi="仿宋_GB2312" w:eastAsia="仿宋_GB2312" w:cs="仿宋_GB2312"/>
          <w:b/>
          <w:color w:val="000000" w:themeColor="text1"/>
          <w:sz w:val="48"/>
          <w:szCs w:val="48"/>
          <w:highlight w:val="none"/>
          <w14:textFill>
            <w14:solidFill>
              <w14:schemeClr w14:val="tx1"/>
            </w14:solidFill>
          </w14:textFill>
        </w:rPr>
        <w:t>第二册</w:t>
      </w:r>
    </w:p>
    <w:p w14:paraId="7C272505">
      <w:pPr>
        <w:keepNext w:val="0"/>
        <w:keepLines w:val="0"/>
        <w:pageBreakBefore w:val="0"/>
        <w:widowControl w:val="0"/>
        <w:wordWrap/>
        <w:overflowPunct/>
        <w:topLinePunct w:val="0"/>
        <w:bidi w:val="0"/>
        <w:spacing w:line="240" w:lineRule="atLeast"/>
        <w:ind w:left="1080" w:leftChars="257" w:hanging="540"/>
        <w:jc w:val="left"/>
        <w:rPr>
          <w:rFonts w:hint="eastAsia" w:ascii="仿宋_GB2312" w:hAnsi="仿宋_GB2312" w:eastAsia="仿宋_GB2312" w:cs="仿宋_GB2312"/>
          <w:b/>
          <w:color w:val="000000" w:themeColor="text1"/>
          <w:sz w:val="28"/>
          <w:highlight w:val="none"/>
          <w14:textFill>
            <w14:solidFill>
              <w14:schemeClr w14:val="tx1"/>
            </w14:solidFill>
          </w14:textFill>
        </w:rPr>
      </w:pPr>
    </w:p>
    <w:p w14:paraId="416C4281">
      <w:pPr>
        <w:keepNext w:val="0"/>
        <w:keepLines w:val="0"/>
        <w:pageBreakBefore w:val="0"/>
        <w:widowControl w:val="0"/>
        <w:wordWrap/>
        <w:overflowPunct/>
        <w:topLinePunct w:val="0"/>
        <w:bidi w:val="0"/>
        <w:spacing w:line="240" w:lineRule="atLeast"/>
        <w:ind w:left="1080" w:leftChars="257" w:hanging="540"/>
        <w:jc w:val="left"/>
        <w:rPr>
          <w:rFonts w:hint="eastAsia" w:ascii="仿宋_GB2312" w:hAnsi="仿宋_GB2312" w:eastAsia="仿宋_GB2312" w:cs="仿宋_GB2312"/>
          <w:b/>
          <w:color w:val="000000" w:themeColor="text1"/>
          <w:sz w:val="28"/>
          <w:highlight w:val="none"/>
          <w14:textFill>
            <w14:solidFill>
              <w14:schemeClr w14:val="tx1"/>
            </w14:solidFill>
          </w14:textFill>
        </w:rPr>
      </w:pPr>
    </w:p>
    <w:p w14:paraId="53F83CE8">
      <w:pPr>
        <w:keepNext w:val="0"/>
        <w:keepLines w:val="0"/>
        <w:pageBreakBefore w:val="0"/>
        <w:widowControl w:val="0"/>
        <w:wordWrap/>
        <w:overflowPunct/>
        <w:topLinePunct w:val="0"/>
        <w:bidi w:val="0"/>
        <w:spacing w:line="240" w:lineRule="atLeast"/>
        <w:ind w:left="1080" w:leftChars="257" w:hanging="540"/>
        <w:jc w:val="left"/>
        <w:rPr>
          <w:rFonts w:hint="eastAsia" w:ascii="仿宋_GB2312" w:hAnsi="仿宋_GB2312" w:eastAsia="仿宋_GB2312" w:cs="仿宋_GB2312"/>
          <w:b/>
          <w:color w:val="000000" w:themeColor="text1"/>
          <w:sz w:val="28"/>
          <w:highlight w:val="none"/>
          <w14:textFill>
            <w14:solidFill>
              <w14:schemeClr w14:val="tx1"/>
            </w14:solidFill>
          </w14:textFill>
        </w:rPr>
      </w:pPr>
    </w:p>
    <w:p w14:paraId="132F4A4F">
      <w:pPr>
        <w:keepNext w:val="0"/>
        <w:keepLines w:val="0"/>
        <w:pageBreakBefore w:val="0"/>
        <w:widowControl w:val="0"/>
        <w:wordWrap/>
        <w:overflowPunct/>
        <w:topLinePunct w:val="0"/>
        <w:bidi w:val="0"/>
        <w:spacing w:line="240" w:lineRule="atLeast"/>
        <w:ind w:left="1080" w:leftChars="257" w:hanging="540"/>
        <w:jc w:val="left"/>
        <w:rPr>
          <w:rFonts w:hint="eastAsia" w:ascii="仿宋_GB2312" w:hAnsi="仿宋_GB2312" w:eastAsia="仿宋_GB2312" w:cs="仿宋_GB2312"/>
          <w:b/>
          <w:color w:val="000000" w:themeColor="text1"/>
          <w:sz w:val="28"/>
          <w:highlight w:val="none"/>
          <w14:textFill>
            <w14:solidFill>
              <w14:schemeClr w14:val="tx1"/>
            </w14:solidFill>
          </w14:textFill>
        </w:rPr>
      </w:pPr>
    </w:p>
    <w:p w14:paraId="782AB134">
      <w:pPr>
        <w:keepNext w:val="0"/>
        <w:keepLines w:val="0"/>
        <w:pageBreakBefore w:val="0"/>
        <w:widowControl w:val="0"/>
        <w:wordWrap/>
        <w:overflowPunct/>
        <w:topLinePunct w:val="0"/>
        <w:bidi w:val="0"/>
        <w:spacing w:line="240" w:lineRule="atLeast"/>
        <w:ind w:left="1080" w:leftChars="257" w:hanging="540"/>
        <w:jc w:val="left"/>
        <w:rPr>
          <w:rFonts w:hint="eastAsia" w:ascii="仿宋_GB2312" w:hAnsi="仿宋_GB2312" w:eastAsia="仿宋_GB2312" w:cs="仿宋_GB2312"/>
          <w:b/>
          <w:color w:val="000000" w:themeColor="text1"/>
          <w:sz w:val="52"/>
          <w:highlight w:val="none"/>
          <w14:textFill>
            <w14:solidFill>
              <w14:schemeClr w14:val="tx1"/>
            </w14:solidFill>
          </w14:textFill>
        </w:rPr>
      </w:pPr>
    </w:p>
    <w:p w14:paraId="5D473225">
      <w:pPr>
        <w:keepNext w:val="0"/>
        <w:keepLines w:val="0"/>
        <w:pageBreakBefore w:val="0"/>
        <w:widowControl w:val="0"/>
        <w:wordWrap/>
        <w:overflowPunct/>
        <w:topLinePunct w:val="0"/>
        <w:bidi w:val="0"/>
        <w:spacing w:line="240" w:lineRule="atLeast"/>
        <w:ind w:left="1080" w:leftChars="257" w:hanging="540"/>
        <w:jc w:val="left"/>
        <w:rPr>
          <w:rFonts w:hint="eastAsia" w:ascii="仿宋_GB2312" w:hAnsi="仿宋_GB2312" w:eastAsia="仿宋_GB2312" w:cs="仿宋_GB2312"/>
          <w:b/>
          <w:color w:val="000000" w:themeColor="text1"/>
          <w:sz w:val="52"/>
          <w:highlight w:val="none"/>
          <w14:textFill>
            <w14:solidFill>
              <w14:schemeClr w14:val="tx1"/>
            </w14:solidFill>
          </w14:textFill>
        </w:rPr>
      </w:pPr>
    </w:p>
    <w:p w14:paraId="235D42AF">
      <w:pPr>
        <w:pStyle w:val="10"/>
        <w:keepNext w:val="0"/>
        <w:keepLines w:val="0"/>
        <w:pageBreakBefore w:val="0"/>
        <w:widowControl w:val="0"/>
        <w:wordWrap/>
        <w:overflowPunct/>
        <w:topLinePunct w:val="0"/>
        <w:bidi w:val="0"/>
        <w:jc w:val="left"/>
        <w:rPr>
          <w:rFonts w:hint="eastAsia" w:ascii="仿宋_GB2312" w:hAnsi="仿宋_GB2312" w:eastAsia="仿宋_GB2312" w:cs="仿宋_GB2312"/>
          <w:b/>
          <w:color w:val="000000" w:themeColor="text1"/>
          <w:sz w:val="52"/>
          <w:highlight w:val="none"/>
          <w14:textFill>
            <w14:solidFill>
              <w14:schemeClr w14:val="tx1"/>
            </w14:solidFill>
          </w14:textFill>
        </w:rPr>
      </w:pPr>
    </w:p>
    <w:p w14:paraId="012B7675">
      <w:pPr>
        <w:keepNext w:val="0"/>
        <w:keepLines w:val="0"/>
        <w:pageBreakBefore w:val="0"/>
        <w:widowControl w:val="0"/>
        <w:wordWrap/>
        <w:overflowPunct/>
        <w:topLinePunct w:val="0"/>
        <w:bidi w:val="0"/>
        <w:jc w:val="left"/>
        <w:rPr>
          <w:rFonts w:hint="eastAsia" w:ascii="仿宋_GB2312" w:hAnsi="仿宋_GB2312" w:eastAsia="仿宋_GB2312" w:cs="仿宋_GB2312"/>
          <w:b/>
          <w:color w:val="000000" w:themeColor="text1"/>
          <w:sz w:val="52"/>
          <w:highlight w:val="none"/>
          <w14:textFill>
            <w14:solidFill>
              <w14:schemeClr w14:val="tx1"/>
            </w14:solidFill>
          </w14:textFill>
        </w:rPr>
      </w:pPr>
    </w:p>
    <w:p w14:paraId="2D72FA03">
      <w:pPr>
        <w:keepNext w:val="0"/>
        <w:keepLines w:val="0"/>
        <w:pageBreakBefore w:val="0"/>
        <w:widowControl w:val="0"/>
        <w:wordWrap/>
        <w:overflowPunct/>
        <w:topLinePunct w:val="0"/>
        <w:bidi w:val="0"/>
        <w:jc w:val="left"/>
        <w:rPr>
          <w:rFonts w:hint="eastAsia" w:ascii="仿宋_GB2312" w:hAnsi="仿宋_GB2312" w:eastAsia="仿宋_GB2312" w:cs="仿宋_GB2312"/>
          <w:b/>
          <w:color w:val="000000" w:themeColor="text1"/>
          <w:sz w:val="52"/>
          <w:highlight w:val="none"/>
          <w14:textFill>
            <w14:solidFill>
              <w14:schemeClr w14:val="tx1"/>
            </w14:solidFill>
          </w14:textFill>
        </w:rPr>
      </w:pPr>
    </w:p>
    <w:p w14:paraId="5C458C87">
      <w:pPr>
        <w:pStyle w:val="2"/>
        <w:keepNext w:val="0"/>
        <w:keepLines w:val="0"/>
        <w:pageBreakBefore w:val="0"/>
        <w:widowControl w:val="0"/>
        <w:tabs>
          <w:tab w:val="left" w:pos="0"/>
        </w:tabs>
        <w:wordWrap/>
        <w:overflowPunct/>
        <w:topLinePunct w:val="0"/>
        <w:bidi w:val="0"/>
        <w:snapToGrid w:val="0"/>
        <w:spacing w:before="0" w:after="0" w:line="240" w:lineRule="atLeast"/>
        <w:rPr>
          <w:rFonts w:hint="eastAsia" w:ascii="仿宋_GB2312" w:hAnsi="仿宋_GB2312" w:eastAsia="仿宋_GB2312" w:cs="仿宋_GB2312"/>
          <w:color w:val="000000" w:themeColor="text1"/>
          <w:sz w:val="44"/>
          <w:szCs w:val="44"/>
          <w:highlight w:val="none"/>
          <w14:textFill>
            <w14:solidFill>
              <w14:schemeClr w14:val="tx1"/>
            </w14:solidFill>
          </w14:textFill>
        </w:rPr>
      </w:pPr>
      <w:bookmarkStart w:id="887" w:name="_Toc6728"/>
      <w:bookmarkStart w:id="888" w:name="_Toc28722"/>
    </w:p>
    <w:p w14:paraId="4125FC0F">
      <w:pPr>
        <w:pStyle w:val="2"/>
        <w:keepNext w:val="0"/>
        <w:keepLines w:val="0"/>
        <w:pageBreakBefore w:val="0"/>
        <w:widowControl w:val="0"/>
        <w:tabs>
          <w:tab w:val="left" w:pos="0"/>
        </w:tabs>
        <w:wordWrap/>
        <w:overflowPunct/>
        <w:topLinePunct w:val="0"/>
        <w:bidi w:val="0"/>
        <w:snapToGrid w:val="0"/>
        <w:spacing w:before="0" w:after="0" w:line="240" w:lineRule="atLeast"/>
        <w:rPr>
          <w:rFonts w:hint="eastAsia" w:ascii="仿宋_GB2312" w:hAnsi="仿宋_GB2312" w:eastAsia="仿宋_GB2312" w:cs="仿宋_GB2312"/>
          <w:color w:val="000000" w:themeColor="text1"/>
          <w:sz w:val="44"/>
          <w:szCs w:val="44"/>
          <w:highlight w:val="none"/>
          <w14:textFill>
            <w14:solidFill>
              <w14:schemeClr w14:val="tx1"/>
            </w14:solidFill>
          </w14:textFill>
        </w:rPr>
      </w:pPr>
    </w:p>
    <w:p w14:paraId="4351C7FB">
      <w:pPr>
        <w:pStyle w:val="2"/>
        <w:keepNext w:val="0"/>
        <w:keepLines w:val="0"/>
        <w:pageBreakBefore w:val="0"/>
        <w:widowControl w:val="0"/>
        <w:tabs>
          <w:tab w:val="left" w:pos="0"/>
        </w:tabs>
        <w:wordWrap/>
        <w:overflowPunct/>
        <w:topLinePunct w:val="0"/>
        <w:bidi w:val="0"/>
        <w:snapToGrid w:val="0"/>
        <w:spacing w:before="0" w:after="0" w:line="240" w:lineRule="atLeast"/>
        <w:rPr>
          <w:rFonts w:hint="eastAsia" w:ascii="仿宋_GB2312" w:hAnsi="仿宋_GB2312" w:eastAsia="仿宋_GB2312" w:cs="仿宋_GB2312"/>
          <w:color w:val="000000" w:themeColor="text1"/>
          <w:sz w:val="44"/>
          <w:szCs w:val="44"/>
          <w:highlight w:val="none"/>
          <w14:textFill>
            <w14:solidFill>
              <w14:schemeClr w14:val="tx1"/>
            </w14:solidFill>
          </w14:textFill>
        </w:rPr>
      </w:pPr>
      <w:r>
        <w:rPr>
          <w:rFonts w:hint="eastAsia" w:ascii="仿宋_GB2312" w:hAnsi="仿宋_GB2312" w:eastAsia="仿宋_GB2312" w:cs="仿宋_GB2312"/>
          <w:color w:val="000000" w:themeColor="text1"/>
          <w:sz w:val="44"/>
          <w:szCs w:val="44"/>
          <w:highlight w:val="none"/>
          <w14:textFill>
            <w14:solidFill>
              <w14:schemeClr w14:val="tx1"/>
            </w14:solidFill>
          </w14:textFill>
        </w:rPr>
        <w:t>第三章投标邀请</w:t>
      </w:r>
      <w:bookmarkEnd w:id="887"/>
      <w:bookmarkEnd w:id="888"/>
    </w:p>
    <w:p w14:paraId="7E6587FE">
      <w:pPr>
        <w:keepNext w:val="0"/>
        <w:keepLines w:val="0"/>
        <w:pageBreakBefore w:val="0"/>
        <w:widowControl w:val="0"/>
        <w:wordWrap/>
        <w:overflowPunct/>
        <w:topLinePunct w:val="0"/>
        <w:bidi w:val="0"/>
        <w:snapToGrid w:val="0"/>
        <w:spacing w:line="276" w:lineRule="auto"/>
        <w:jc w:val="center"/>
        <w:rPr>
          <w:rStyle w:val="37"/>
          <w:rFonts w:hint="eastAsia" w:ascii="宋体" w:hAnsi="宋体" w:cs="宋体"/>
          <w:b/>
          <w:bCs/>
          <w:color w:val="000000" w:themeColor="text1"/>
          <w:sz w:val="28"/>
          <w:szCs w:val="28"/>
          <w:highlight w:val="none"/>
          <w14:textFill>
            <w14:solidFill>
              <w14:schemeClr w14:val="tx1"/>
            </w14:solidFill>
          </w14:textFill>
        </w:rPr>
      </w:pPr>
      <w:r>
        <w:rPr>
          <w:rStyle w:val="37"/>
          <w:rFonts w:ascii="宋体" w:hAnsi="宋体" w:cs="宋体"/>
          <w:b/>
          <w:bCs/>
          <w:color w:val="000000" w:themeColor="text1"/>
          <w:sz w:val="28"/>
          <w:szCs w:val="28"/>
          <w:highlight w:val="none"/>
          <w14:textFill>
            <w14:solidFill>
              <w14:schemeClr w14:val="tx1"/>
            </w14:solidFill>
          </w14:textFill>
        </w:rPr>
        <w:t>【县级】</w:t>
      </w:r>
      <w:r>
        <w:rPr>
          <w:rStyle w:val="37"/>
          <w:rFonts w:hint="eastAsia" w:ascii="宋体" w:hAnsi="宋体" w:cs="宋体"/>
          <w:b/>
          <w:bCs/>
          <w:color w:val="000000" w:themeColor="text1"/>
          <w:sz w:val="28"/>
          <w:szCs w:val="28"/>
          <w:highlight w:val="none"/>
          <w:lang w:eastAsia="zh-CN"/>
          <w14:textFill>
            <w14:solidFill>
              <w14:schemeClr w14:val="tx1"/>
            </w14:solidFill>
          </w14:textFill>
        </w:rPr>
        <w:t>伽师县学校办学能力提升项目</w:t>
      </w:r>
      <w:r>
        <w:rPr>
          <w:rStyle w:val="37"/>
          <w:rFonts w:hint="eastAsia" w:ascii="宋体" w:hAnsi="宋体" w:cs="宋体"/>
          <w:b/>
          <w:bCs/>
          <w:color w:val="000000" w:themeColor="text1"/>
          <w:sz w:val="28"/>
          <w:szCs w:val="28"/>
          <w:highlight w:val="none"/>
          <w14:textFill>
            <w14:solidFill>
              <w14:schemeClr w14:val="tx1"/>
            </w14:solidFill>
          </w14:textFill>
        </w:rPr>
        <w:t>公开招标</w:t>
      </w:r>
      <w:r>
        <w:rPr>
          <w:rStyle w:val="37"/>
          <w:rFonts w:ascii="宋体" w:hAnsi="宋体" w:cs="宋体"/>
          <w:b/>
          <w:bCs/>
          <w:color w:val="000000" w:themeColor="text1"/>
          <w:sz w:val="28"/>
          <w:szCs w:val="28"/>
          <w:highlight w:val="none"/>
          <w14:textFill>
            <w14:solidFill>
              <w14:schemeClr w14:val="tx1"/>
            </w14:solidFill>
          </w14:textFill>
        </w:rPr>
        <w:t>公告</w:t>
      </w:r>
    </w:p>
    <w:p w14:paraId="6D51D48B">
      <w:pPr>
        <w:keepNext w:val="0"/>
        <w:keepLines w:val="0"/>
        <w:pageBreakBefore w:val="0"/>
        <w:widowControl w:val="0"/>
        <w:pBdr>
          <w:top w:val="single" w:color="000000" w:sz="4" w:space="1"/>
          <w:left w:val="single" w:color="000000" w:sz="4" w:space="4"/>
          <w:bottom w:val="single" w:color="000000" w:sz="4" w:space="1"/>
          <w:right w:val="single" w:color="000000" w:sz="4" w:space="4"/>
        </w:pBdr>
        <w:wordWrap/>
        <w:overflowPunct/>
        <w:topLinePunct w:val="0"/>
        <w:bidi w:val="0"/>
        <w:snapToGrid w:val="0"/>
        <w:ind w:firstLine="560" w:firstLineChars="200"/>
        <w:jc w:val="left"/>
        <w:rPr>
          <w:rStyle w:val="37"/>
          <w:rFonts w:hint="eastAsia" w:ascii="仿宋" w:hAnsi="仿宋" w:eastAsia="仿宋"/>
          <w:color w:val="000000" w:themeColor="text1"/>
          <w:sz w:val="28"/>
          <w:szCs w:val="28"/>
          <w:highlight w:val="none"/>
          <w14:textFill>
            <w14:solidFill>
              <w14:schemeClr w14:val="tx1"/>
            </w14:solidFill>
          </w14:textFill>
        </w:rPr>
      </w:pPr>
      <w:r>
        <w:rPr>
          <w:rStyle w:val="37"/>
          <w:rFonts w:ascii="仿宋" w:hAnsi="仿宋" w:eastAsia="仿宋"/>
          <w:color w:val="000000" w:themeColor="text1"/>
          <w:sz w:val="28"/>
          <w:szCs w:val="28"/>
          <w:highlight w:val="none"/>
          <w14:textFill>
            <w14:solidFill>
              <w14:schemeClr w14:val="tx1"/>
            </w14:solidFill>
          </w14:textFill>
        </w:rPr>
        <w:t>项目概况</w:t>
      </w:r>
    </w:p>
    <w:p w14:paraId="791366F3">
      <w:pPr>
        <w:keepNext w:val="0"/>
        <w:keepLines w:val="0"/>
        <w:pageBreakBefore w:val="0"/>
        <w:widowControl w:val="0"/>
        <w:pBdr>
          <w:top w:val="single" w:color="000000" w:sz="4" w:space="1"/>
          <w:left w:val="single" w:color="000000" w:sz="4" w:space="4"/>
          <w:bottom w:val="single" w:color="000000" w:sz="4" w:space="1"/>
          <w:right w:val="single" w:color="000000" w:sz="4" w:space="4"/>
        </w:pBdr>
        <w:wordWrap/>
        <w:overflowPunct/>
        <w:topLinePunct w:val="0"/>
        <w:bidi w:val="0"/>
        <w:snapToGrid w:val="0"/>
        <w:ind w:firstLine="560" w:firstLineChars="200"/>
        <w:jc w:val="left"/>
        <w:rPr>
          <w:rStyle w:val="37"/>
          <w:rFonts w:hint="eastAsia" w:ascii="宋体" w:hAnsi="宋体"/>
          <w:color w:val="000000" w:themeColor="text1"/>
          <w:sz w:val="24"/>
          <w:szCs w:val="21"/>
          <w:highlight w:val="none"/>
          <w14:textFill>
            <w14:solidFill>
              <w14:schemeClr w14:val="tx1"/>
            </w14:solidFill>
          </w14:textFill>
        </w:rPr>
      </w:pPr>
      <w:r>
        <w:rPr>
          <w:rStyle w:val="37"/>
          <w:rFonts w:hint="eastAsia" w:ascii="仿宋" w:hAnsi="仿宋" w:eastAsia="仿宋" w:cs="Times New Roman"/>
          <w:color w:val="000000" w:themeColor="text1"/>
          <w:sz w:val="28"/>
          <w:szCs w:val="28"/>
          <w:highlight w:val="none"/>
          <w:u w:val="single"/>
          <w:lang w:eastAsia="zh-CN"/>
          <w14:textFill>
            <w14:solidFill>
              <w14:schemeClr w14:val="tx1"/>
            </w14:solidFill>
          </w14:textFill>
        </w:rPr>
        <w:t>伽师县学校办学能力提升项目</w:t>
      </w:r>
      <w:r>
        <w:rPr>
          <w:rStyle w:val="37"/>
          <w:rFonts w:ascii="仿宋" w:hAnsi="仿宋" w:eastAsia="仿宋" w:cs="Times New Roman"/>
          <w:color w:val="000000" w:themeColor="text1"/>
          <w:sz w:val="28"/>
          <w:szCs w:val="28"/>
          <w:highlight w:val="none"/>
          <w14:textFill>
            <w14:solidFill>
              <w14:schemeClr w14:val="tx1"/>
            </w14:solidFill>
          </w14:textFill>
        </w:rPr>
        <w:t>的潜在</w:t>
      </w:r>
      <w:r>
        <w:rPr>
          <w:rStyle w:val="37"/>
          <w:rFonts w:ascii="仿宋" w:hAnsi="仿宋" w:eastAsia="仿宋"/>
          <w:color w:val="000000" w:themeColor="text1"/>
          <w:sz w:val="28"/>
          <w:szCs w:val="28"/>
          <w:highlight w:val="none"/>
          <w14:textFill>
            <w14:solidFill>
              <w14:schemeClr w14:val="tx1"/>
            </w14:solidFill>
          </w14:textFill>
        </w:rPr>
        <w:t>投标人应在</w:t>
      </w:r>
      <w:r>
        <w:rPr>
          <w:rStyle w:val="31"/>
          <w:rFonts w:hAnsi="宋体"/>
          <w:color w:val="FF0000"/>
          <w:sz w:val="24"/>
          <w:highlight w:val="none"/>
          <w:u w:color="0000FF"/>
        </w:rPr>
        <w:t>http://www.ccgp-xinjiang.gov.cn</w:t>
      </w:r>
      <w:r>
        <w:rPr>
          <w:rStyle w:val="37"/>
          <w:rFonts w:ascii="仿宋" w:hAnsi="仿宋" w:eastAsia="仿宋"/>
          <w:color w:val="000000" w:themeColor="text1"/>
          <w:sz w:val="28"/>
          <w:szCs w:val="28"/>
          <w:highlight w:val="none"/>
          <w14:textFill>
            <w14:solidFill>
              <w14:schemeClr w14:val="tx1"/>
            </w14:solidFill>
          </w14:textFill>
        </w:rPr>
        <w:t>获取招标文件，</w:t>
      </w:r>
      <w:r>
        <w:rPr>
          <w:rFonts w:hint="eastAsia" w:ascii="仿宋" w:hAnsi="仿宋" w:eastAsia="仿宋"/>
          <w:color w:val="000000" w:themeColor="text1"/>
          <w:sz w:val="28"/>
          <w:szCs w:val="28"/>
          <w:highlight w:val="none"/>
          <w14:textFill>
            <w14:solidFill>
              <w14:schemeClr w14:val="tx1"/>
            </w14:solidFill>
          </w14:textFill>
        </w:rPr>
        <w:t>并于</w:t>
      </w:r>
      <w:r>
        <w:rPr>
          <w:rFonts w:hint="eastAsia" w:ascii="仿宋" w:hAnsi="仿宋" w:eastAsia="仿宋" w:cs="Times New Roman"/>
          <w:bCs/>
          <w:color w:val="auto"/>
          <w:sz w:val="28"/>
          <w:szCs w:val="28"/>
          <w:highlight w:val="none"/>
          <w:u w:val="single"/>
          <w:lang w:eastAsia="zh-CN"/>
        </w:rPr>
        <w:t>2026年</w:t>
      </w:r>
      <w:r>
        <w:rPr>
          <w:rFonts w:hint="eastAsia" w:ascii="仿宋" w:hAnsi="仿宋" w:eastAsia="仿宋" w:cs="Times New Roman"/>
          <w:bCs/>
          <w:color w:val="auto"/>
          <w:sz w:val="28"/>
          <w:szCs w:val="28"/>
          <w:highlight w:val="none"/>
          <w:u w:val="single"/>
          <w:lang w:val="en-US" w:eastAsia="zh-CN"/>
        </w:rPr>
        <w:t>5</w:t>
      </w:r>
      <w:r>
        <w:rPr>
          <w:rFonts w:hint="eastAsia" w:ascii="仿宋" w:hAnsi="仿宋" w:eastAsia="仿宋" w:cs="Times New Roman"/>
          <w:bCs/>
          <w:color w:val="auto"/>
          <w:sz w:val="28"/>
          <w:szCs w:val="28"/>
          <w:highlight w:val="none"/>
          <w:u w:val="single"/>
          <w:lang w:eastAsia="zh-CN"/>
        </w:rPr>
        <w:t>月</w:t>
      </w:r>
      <w:r>
        <w:rPr>
          <w:rFonts w:hint="eastAsia" w:ascii="仿宋" w:hAnsi="仿宋" w:eastAsia="仿宋" w:cs="Times New Roman"/>
          <w:bCs/>
          <w:color w:val="auto"/>
          <w:sz w:val="28"/>
          <w:szCs w:val="28"/>
          <w:highlight w:val="none"/>
          <w:u w:val="single"/>
          <w:lang w:val="en-US" w:eastAsia="zh-CN"/>
        </w:rPr>
        <w:t>21</w:t>
      </w:r>
      <w:r>
        <w:rPr>
          <w:rFonts w:hint="eastAsia" w:ascii="仿宋" w:hAnsi="仿宋" w:eastAsia="仿宋" w:cs="Times New Roman"/>
          <w:bCs/>
          <w:color w:val="auto"/>
          <w:sz w:val="28"/>
          <w:szCs w:val="28"/>
          <w:highlight w:val="none"/>
          <w:u w:val="single"/>
          <w:lang w:eastAsia="zh-CN"/>
        </w:rPr>
        <w:t>日</w:t>
      </w:r>
      <w:r>
        <w:rPr>
          <w:rFonts w:hint="eastAsia" w:ascii="仿宋" w:hAnsi="仿宋" w:eastAsia="仿宋" w:cs="Times New Roman"/>
          <w:bCs/>
          <w:color w:val="auto"/>
          <w:sz w:val="28"/>
          <w:szCs w:val="28"/>
          <w:highlight w:val="none"/>
          <w:u w:val="single"/>
        </w:rPr>
        <w:t>11</w:t>
      </w:r>
      <w:r>
        <w:rPr>
          <w:rFonts w:hint="eastAsia" w:ascii="仿宋" w:hAnsi="仿宋" w:eastAsia="仿宋"/>
          <w:bCs/>
          <w:color w:val="auto"/>
          <w:sz w:val="28"/>
          <w:szCs w:val="28"/>
          <w:highlight w:val="none"/>
          <w:u w:val="single"/>
        </w:rPr>
        <w:t>点00分（</w:t>
      </w:r>
      <w:r>
        <w:rPr>
          <w:rFonts w:hint="eastAsia" w:ascii="仿宋" w:hAnsi="仿宋" w:eastAsia="仿宋"/>
          <w:bCs/>
          <w:color w:val="auto"/>
          <w:sz w:val="28"/>
          <w:szCs w:val="28"/>
          <w:highlight w:val="none"/>
        </w:rPr>
        <w:t>北京时间）前递交投标</w:t>
      </w:r>
      <w:r>
        <w:rPr>
          <w:rFonts w:ascii="仿宋" w:hAnsi="仿宋" w:eastAsia="仿宋"/>
          <w:bCs/>
          <w:color w:val="auto"/>
          <w:sz w:val="28"/>
          <w:szCs w:val="28"/>
          <w:highlight w:val="none"/>
        </w:rPr>
        <w:t>文件</w:t>
      </w:r>
      <w:r>
        <w:rPr>
          <w:rFonts w:hint="eastAsia" w:ascii="仿宋" w:hAnsi="仿宋" w:eastAsia="仿宋"/>
          <w:color w:val="auto"/>
          <w:sz w:val="28"/>
          <w:szCs w:val="28"/>
          <w:highlight w:val="none"/>
        </w:rPr>
        <w:t>。</w:t>
      </w:r>
    </w:p>
    <w:p w14:paraId="76352745">
      <w:pPr>
        <w:pStyle w:val="36"/>
        <w:keepNext w:val="0"/>
        <w:keepLines w:val="0"/>
        <w:pageBreakBefore w:val="0"/>
        <w:widowControl w:val="0"/>
        <w:numPr>
          <w:ilvl w:val="0"/>
          <w:numId w:val="9"/>
        </w:numPr>
        <w:wordWrap/>
        <w:overflowPunct/>
        <w:topLinePunct w:val="0"/>
        <w:bidi w:val="0"/>
        <w:snapToGrid w:val="0"/>
        <w:spacing w:before="0" w:line="360" w:lineRule="exact"/>
        <w:jc w:val="left"/>
        <w:rPr>
          <w:rStyle w:val="37"/>
          <w:rFonts w:hint="eastAsia" w:ascii="宋体" w:hAnsi="宋体" w:eastAsia="宋体"/>
          <w:color w:val="000000" w:themeColor="text1"/>
          <w:kern w:val="2"/>
          <w:sz w:val="24"/>
          <w:szCs w:val="21"/>
          <w:highlight w:val="none"/>
          <w14:textFill>
            <w14:solidFill>
              <w14:schemeClr w14:val="tx1"/>
            </w14:solidFill>
          </w14:textFill>
        </w:rPr>
      </w:pPr>
      <w:r>
        <w:rPr>
          <w:rStyle w:val="37"/>
          <w:rFonts w:ascii="宋体" w:hAnsi="宋体" w:eastAsia="宋体"/>
          <w:color w:val="000000" w:themeColor="text1"/>
          <w:kern w:val="2"/>
          <w:sz w:val="24"/>
          <w:szCs w:val="21"/>
          <w:highlight w:val="none"/>
          <w14:textFill>
            <w14:solidFill>
              <w14:schemeClr w14:val="tx1"/>
            </w14:solidFill>
          </w14:textFill>
        </w:rPr>
        <w:t>项目基本情况</w:t>
      </w:r>
    </w:p>
    <w:p w14:paraId="34D39032">
      <w:pPr>
        <w:keepNext w:val="0"/>
        <w:keepLines w:val="0"/>
        <w:pageBreakBefore w:val="0"/>
        <w:widowControl w:val="0"/>
        <w:numPr>
          <w:ilvl w:val="0"/>
          <w:numId w:val="10"/>
        </w:numPr>
        <w:wordWrap/>
        <w:overflowPunct/>
        <w:topLinePunct w:val="0"/>
        <w:bidi w:val="0"/>
        <w:snapToGrid w:val="0"/>
        <w:spacing w:line="360" w:lineRule="exact"/>
        <w:jc w:val="left"/>
        <w:rPr>
          <w:rStyle w:val="37"/>
          <w:rFonts w:hint="eastAsia" w:ascii="宋体" w:hAnsi="宋体" w:cs="Times New Roman"/>
          <w:color w:val="000000" w:themeColor="text1"/>
          <w:sz w:val="24"/>
          <w:szCs w:val="21"/>
          <w:highlight w:val="none"/>
          <w14:textFill>
            <w14:solidFill>
              <w14:schemeClr w14:val="tx1"/>
            </w14:solidFill>
          </w14:textFill>
        </w:rPr>
      </w:pPr>
      <w:r>
        <w:rPr>
          <w:rStyle w:val="37"/>
          <w:rFonts w:hint="eastAsia" w:ascii="宋体" w:hAnsi="宋体" w:cs="Times New Roman"/>
          <w:color w:val="000000" w:themeColor="text1"/>
          <w:sz w:val="24"/>
          <w:szCs w:val="21"/>
          <w:highlight w:val="none"/>
          <w14:textFill>
            <w14:solidFill>
              <w14:schemeClr w14:val="tx1"/>
            </w14:solidFill>
          </w14:textFill>
        </w:rPr>
        <w:t>项目编号：</w:t>
      </w:r>
      <w:r>
        <w:rPr>
          <w:rStyle w:val="37"/>
          <w:rFonts w:hint="eastAsia" w:ascii="宋体" w:hAnsi="宋体" w:cs="Times New Roman"/>
          <w:color w:val="000000" w:themeColor="text1"/>
          <w:sz w:val="24"/>
          <w:szCs w:val="21"/>
          <w:highlight w:val="none"/>
          <w:lang w:eastAsia="zh-CN"/>
          <w14:textFill>
            <w14:solidFill>
              <w14:schemeClr w14:val="tx1"/>
            </w14:solidFill>
          </w14:textFill>
        </w:rPr>
        <w:t>KSJSX(GK)2026-12</w:t>
      </w:r>
    </w:p>
    <w:p w14:paraId="11AC2140">
      <w:pPr>
        <w:keepNext w:val="0"/>
        <w:keepLines w:val="0"/>
        <w:pageBreakBefore w:val="0"/>
        <w:widowControl w:val="0"/>
        <w:numPr>
          <w:ilvl w:val="0"/>
          <w:numId w:val="10"/>
        </w:numPr>
        <w:wordWrap/>
        <w:overflowPunct/>
        <w:topLinePunct w:val="0"/>
        <w:bidi w:val="0"/>
        <w:snapToGrid w:val="0"/>
        <w:spacing w:line="360" w:lineRule="exact"/>
        <w:jc w:val="left"/>
        <w:rPr>
          <w:rStyle w:val="37"/>
          <w:rFonts w:hint="eastAsia" w:ascii="宋体" w:hAnsi="宋体" w:cs="Times New Roman"/>
          <w:color w:val="000000" w:themeColor="text1"/>
          <w:sz w:val="24"/>
          <w:szCs w:val="21"/>
          <w:highlight w:val="none"/>
          <w14:textFill>
            <w14:solidFill>
              <w14:schemeClr w14:val="tx1"/>
            </w14:solidFill>
          </w14:textFill>
        </w:rPr>
      </w:pPr>
      <w:r>
        <w:rPr>
          <w:rStyle w:val="37"/>
          <w:rFonts w:hint="eastAsia" w:ascii="宋体" w:hAnsi="宋体" w:cs="Times New Roman"/>
          <w:color w:val="000000" w:themeColor="text1"/>
          <w:sz w:val="24"/>
          <w:szCs w:val="21"/>
          <w:highlight w:val="none"/>
          <w14:textFill>
            <w14:solidFill>
              <w14:schemeClr w14:val="tx1"/>
            </w14:solidFill>
          </w14:textFill>
        </w:rPr>
        <w:t>项目名称：</w:t>
      </w:r>
      <w:r>
        <w:rPr>
          <w:rStyle w:val="37"/>
          <w:rFonts w:hint="eastAsia" w:ascii="宋体" w:hAnsi="宋体" w:cs="Times New Roman"/>
          <w:color w:val="000000" w:themeColor="text1"/>
          <w:sz w:val="24"/>
          <w:szCs w:val="21"/>
          <w:highlight w:val="none"/>
          <w:lang w:eastAsia="zh-CN"/>
          <w14:textFill>
            <w14:solidFill>
              <w14:schemeClr w14:val="tx1"/>
            </w14:solidFill>
          </w14:textFill>
        </w:rPr>
        <w:t>伽师县学校办学能力提升项目</w:t>
      </w:r>
    </w:p>
    <w:p w14:paraId="0DE15375">
      <w:pPr>
        <w:keepNext w:val="0"/>
        <w:keepLines w:val="0"/>
        <w:pageBreakBefore w:val="0"/>
        <w:widowControl w:val="0"/>
        <w:numPr>
          <w:ilvl w:val="0"/>
          <w:numId w:val="10"/>
        </w:numPr>
        <w:wordWrap/>
        <w:overflowPunct/>
        <w:topLinePunct w:val="0"/>
        <w:bidi w:val="0"/>
        <w:snapToGrid w:val="0"/>
        <w:spacing w:line="360" w:lineRule="exact"/>
        <w:jc w:val="left"/>
        <w:rPr>
          <w:rStyle w:val="37"/>
          <w:rFonts w:hint="eastAsia" w:ascii="宋体" w:hAnsi="宋体" w:cs="Times New Roman"/>
          <w:color w:val="000000" w:themeColor="text1"/>
          <w:sz w:val="24"/>
          <w:szCs w:val="21"/>
          <w:highlight w:val="none"/>
          <w14:textFill>
            <w14:solidFill>
              <w14:schemeClr w14:val="tx1"/>
            </w14:solidFill>
          </w14:textFill>
        </w:rPr>
      </w:pPr>
      <w:r>
        <w:rPr>
          <w:rStyle w:val="37"/>
          <w:rFonts w:hint="eastAsia" w:ascii="宋体" w:hAnsi="宋体" w:cs="Times New Roman"/>
          <w:color w:val="000000" w:themeColor="text1"/>
          <w:sz w:val="24"/>
          <w:szCs w:val="21"/>
          <w:highlight w:val="none"/>
          <w14:textFill>
            <w14:solidFill>
              <w14:schemeClr w14:val="tx1"/>
            </w14:solidFill>
          </w14:textFill>
        </w:rPr>
        <w:t>预算金额：</w:t>
      </w:r>
      <w:r>
        <w:rPr>
          <w:rStyle w:val="37"/>
          <w:rFonts w:hint="eastAsia" w:ascii="宋体" w:hAnsi="宋体" w:cs="Times New Roman"/>
          <w:color w:val="auto"/>
          <w:sz w:val="24"/>
          <w:szCs w:val="21"/>
          <w:highlight w:val="none"/>
          <w:lang w:val="en-US" w:eastAsia="zh-CN"/>
        </w:rPr>
        <w:t>2050829.35</w:t>
      </w:r>
      <w:r>
        <w:rPr>
          <w:rStyle w:val="37"/>
          <w:rFonts w:hint="eastAsia" w:ascii="宋体" w:hAnsi="宋体" w:cs="Times New Roman"/>
          <w:color w:val="auto"/>
          <w:sz w:val="24"/>
          <w:szCs w:val="21"/>
          <w:highlight w:val="none"/>
        </w:rPr>
        <w:t>元；最高限价：</w:t>
      </w:r>
      <w:r>
        <w:rPr>
          <w:rStyle w:val="37"/>
          <w:rFonts w:hint="eastAsia" w:ascii="宋体" w:hAnsi="宋体" w:cs="Times New Roman"/>
          <w:color w:val="auto"/>
          <w:sz w:val="24"/>
          <w:szCs w:val="21"/>
          <w:highlight w:val="none"/>
          <w:lang w:val="en-US" w:eastAsia="zh-CN"/>
        </w:rPr>
        <w:t>2050829.35</w:t>
      </w:r>
      <w:r>
        <w:rPr>
          <w:rStyle w:val="37"/>
          <w:rFonts w:hint="eastAsia" w:ascii="宋体" w:hAnsi="宋体" w:cs="Times New Roman"/>
          <w:color w:val="auto"/>
          <w:sz w:val="24"/>
          <w:szCs w:val="21"/>
          <w:highlight w:val="none"/>
        </w:rPr>
        <w:t>元。</w:t>
      </w:r>
    </w:p>
    <w:p w14:paraId="676DF4A1">
      <w:pPr>
        <w:keepNext w:val="0"/>
        <w:keepLines w:val="0"/>
        <w:pageBreakBefore w:val="0"/>
        <w:widowControl w:val="0"/>
        <w:wordWrap/>
        <w:overflowPunct/>
        <w:topLinePunct w:val="0"/>
        <w:bidi w:val="0"/>
        <w:snapToGrid w:val="0"/>
        <w:spacing w:line="360" w:lineRule="exact"/>
        <w:jc w:val="left"/>
        <w:rPr>
          <w:rStyle w:val="37"/>
          <w:rFonts w:hint="default" w:ascii="宋体" w:hAnsi="宋体"/>
          <w:color w:val="000000" w:themeColor="text1"/>
          <w:sz w:val="24"/>
          <w:szCs w:val="21"/>
          <w:highlight w:val="none"/>
          <w:lang w:val="en-US"/>
          <w14:textFill>
            <w14:solidFill>
              <w14:schemeClr w14:val="tx1"/>
            </w14:solidFill>
          </w14:textFill>
        </w:rPr>
      </w:pPr>
      <w:r>
        <w:rPr>
          <w:rStyle w:val="37"/>
          <w:rFonts w:ascii="宋体" w:hAnsi="宋体"/>
          <w:color w:val="000000" w:themeColor="text1"/>
          <w:sz w:val="24"/>
          <w:szCs w:val="21"/>
          <w:highlight w:val="none"/>
          <w14:textFill>
            <w14:solidFill>
              <w14:schemeClr w14:val="tx1"/>
            </w14:solidFill>
          </w14:textFill>
        </w:rPr>
        <w:t>4.资金来源：</w:t>
      </w:r>
      <w:r>
        <w:rPr>
          <w:rStyle w:val="37"/>
          <w:rFonts w:hint="eastAsia" w:ascii="宋体" w:hAnsi="宋体"/>
          <w:color w:val="auto"/>
          <w:sz w:val="24"/>
          <w:szCs w:val="21"/>
          <w:highlight w:val="none"/>
          <w:lang w:val="en-US" w:eastAsia="zh-CN"/>
        </w:rPr>
        <w:t>中储粮资金</w:t>
      </w:r>
    </w:p>
    <w:p w14:paraId="6C14CB41">
      <w:pPr>
        <w:keepNext w:val="0"/>
        <w:keepLines w:val="0"/>
        <w:pageBreakBefore w:val="0"/>
        <w:widowControl w:val="0"/>
        <w:wordWrap/>
        <w:overflowPunct/>
        <w:topLinePunct w:val="0"/>
        <w:bidi w:val="0"/>
        <w:snapToGrid w:val="0"/>
        <w:spacing w:line="360" w:lineRule="exact"/>
        <w:jc w:val="left"/>
        <w:rPr>
          <w:rStyle w:val="37"/>
          <w:rFonts w:hint="eastAsia" w:ascii="宋体" w:hAnsi="宋体" w:cs="Times New Roman"/>
          <w:color w:val="000000" w:themeColor="text1"/>
          <w:sz w:val="24"/>
          <w:szCs w:val="21"/>
          <w:highlight w:val="none"/>
          <w:lang w:val="en-US" w:eastAsia="zh-CN"/>
          <w14:textFill>
            <w14:solidFill>
              <w14:schemeClr w14:val="tx1"/>
            </w14:solidFill>
          </w14:textFill>
        </w:rPr>
      </w:pPr>
      <w:r>
        <w:rPr>
          <w:rStyle w:val="37"/>
          <w:rFonts w:ascii="宋体" w:hAnsi="宋体"/>
          <w:color w:val="000000" w:themeColor="text1"/>
          <w:sz w:val="24"/>
          <w:szCs w:val="21"/>
          <w:highlight w:val="none"/>
          <w14:textFill>
            <w14:solidFill>
              <w14:schemeClr w14:val="tx1"/>
            </w14:solidFill>
          </w14:textFill>
        </w:rPr>
        <w:t>5.采购需求</w:t>
      </w:r>
      <w:r>
        <w:rPr>
          <w:rStyle w:val="37"/>
          <w:rFonts w:ascii="宋体" w:hAnsi="宋体" w:cs="Times New Roman"/>
          <w:color w:val="000000" w:themeColor="text1"/>
          <w:sz w:val="24"/>
          <w:szCs w:val="21"/>
          <w:highlight w:val="none"/>
          <w14:textFill>
            <w14:solidFill>
              <w14:schemeClr w14:val="tx1"/>
            </w14:solidFill>
          </w14:textFill>
        </w:rPr>
        <w:t>：</w:t>
      </w:r>
      <w:r>
        <w:rPr>
          <w:rStyle w:val="37"/>
          <w:rFonts w:hint="eastAsia" w:ascii="宋体" w:hAnsi="宋体" w:cs="Times New Roman"/>
          <w:color w:val="000000" w:themeColor="text1"/>
          <w:sz w:val="24"/>
          <w:szCs w:val="21"/>
          <w:highlight w:val="none"/>
          <w:lang w:val="en-US" w:eastAsia="zh-CN"/>
          <w14:textFill>
            <w14:solidFill>
              <w14:schemeClr w14:val="tx1"/>
            </w14:solidFill>
          </w14:textFill>
        </w:rPr>
        <w:t>标准化考场、报告厅LED屏、中小学双师课堂终端设备</w:t>
      </w:r>
    </w:p>
    <w:p w14:paraId="24C6920B">
      <w:pPr>
        <w:keepNext w:val="0"/>
        <w:keepLines w:val="0"/>
        <w:pageBreakBefore w:val="0"/>
        <w:widowControl w:val="0"/>
        <w:wordWrap/>
        <w:overflowPunct/>
        <w:topLinePunct w:val="0"/>
        <w:bidi w:val="0"/>
        <w:snapToGrid w:val="0"/>
        <w:spacing w:line="360" w:lineRule="exact"/>
        <w:jc w:val="left"/>
        <w:rPr>
          <w:rStyle w:val="37"/>
          <w:rFonts w:hint="eastAsia" w:ascii="宋体" w:hAnsi="宋体"/>
          <w:color w:val="000000" w:themeColor="text1"/>
          <w:sz w:val="24"/>
          <w:szCs w:val="21"/>
          <w:highlight w:val="none"/>
          <w14:textFill>
            <w14:solidFill>
              <w14:schemeClr w14:val="tx1"/>
            </w14:solidFill>
          </w14:textFill>
        </w:rPr>
      </w:pPr>
      <w:r>
        <w:rPr>
          <w:rStyle w:val="37"/>
          <w:rFonts w:ascii="宋体" w:hAnsi="宋体"/>
          <w:color w:val="000000" w:themeColor="text1"/>
          <w:sz w:val="24"/>
          <w:szCs w:val="21"/>
          <w:highlight w:val="none"/>
          <w14:textFill>
            <w14:solidFill>
              <w14:schemeClr w14:val="tx1"/>
            </w14:solidFill>
          </w14:textFill>
        </w:rPr>
        <w:t>6.合同履行期限：根据采购人需求，以签订合同为准。</w:t>
      </w:r>
    </w:p>
    <w:p w14:paraId="32FF5A63">
      <w:pPr>
        <w:keepNext w:val="0"/>
        <w:keepLines w:val="0"/>
        <w:pageBreakBefore w:val="0"/>
        <w:widowControl w:val="0"/>
        <w:wordWrap/>
        <w:overflowPunct/>
        <w:topLinePunct w:val="0"/>
        <w:bidi w:val="0"/>
        <w:snapToGrid w:val="0"/>
        <w:spacing w:line="360" w:lineRule="exact"/>
        <w:jc w:val="left"/>
        <w:rPr>
          <w:rStyle w:val="37"/>
          <w:rFonts w:hint="eastAsia" w:ascii="宋体" w:hAnsi="宋体"/>
          <w:color w:val="000000" w:themeColor="text1"/>
          <w:sz w:val="24"/>
          <w:szCs w:val="21"/>
          <w:highlight w:val="none"/>
          <w14:textFill>
            <w14:solidFill>
              <w14:schemeClr w14:val="tx1"/>
            </w14:solidFill>
          </w14:textFill>
        </w:rPr>
      </w:pPr>
      <w:r>
        <w:rPr>
          <w:rStyle w:val="37"/>
          <w:rFonts w:hint="eastAsia" w:ascii="宋体" w:hAnsi="宋体"/>
          <w:color w:val="000000" w:themeColor="text1"/>
          <w:sz w:val="24"/>
          <w:szCs w:val="21"/>
          <w:highlight w:val="none"/>
          <w14:textFill>
            <w14:solidFill>
              <w14:schemeClr w14:val="tx1"/>
            </w14:solidFill>
          </w14:textFill>
        </w:rPr>
        <w:t>7.</w:t>
      </w:r>
      <w:r>
        <w:rPr>
          <w:rStyle w:val="37"/>
          <w:rFonts w:ascii="宋体" w:hAnsi="宋体"/>
          <w:color w:val="000000" w:themeColor="text1"/>
          <w:sz w:val="24"/>
          <w:szCs w:val="21"/>
          <w:highlight w:val="none"/>
          <w14:textFill>
            <w14:solidFill>
              <w14:schemeClr w14:val="tx1"/>
            </w14:solidFill>
          </w14:textFill>
        </w:rPr>
        <w:t>本项目不接受联合体投标。</w:t>
      </w:r>
    </w:p>
    <w:p w14:paraId="3A7B3BE9">
      <w:pPr>
        <w:keepNext w:val="0"/>
        <w:keepLines w:val="0"/>
        <w:pageBreakBefore w:val="0"/>
        <w:widowControl w:val="0"/>
        <w:wordWrap/>
        <w:overflowPunct/>
        <w:topLinePunct w:val="0"/>
        <w:bidi w:val="0"/>
        <w:snapToGrid w:val="0"/>
        <w:spacing w:line="360" w:lineRule="exact"/>
        <w:jc w:val="left"/>
        <w:rPr>
          <w:rStyle w:val="37"/>
          <w:rFonts w:hint="eastAsia" w:ascii="宋体" w:hAnsi="宋体" w:cs="Times New Roman"/>
          <w:b/>
          <w:bCs/>
          <w:color w:val="000000" w:themeColor="text1"/>
          <w:sz w:val="24"/>
          <w:szCs w:val="21"/>
          <w:highlight w:val="none"/>
          <w14:textFill>
            <w14:solidFill>
              <w14:schemeClr w14:val="tx1"/>
            </w14:solidFill>
          </w14:textFill>
        </w:rPr>
      </w:pPr>
      <w:r>
        <w:rPr>
          <w:rStyle w:val="37"/>
          <w:rFonts w:ascii="宋体" w:hAnsi="宋体" w:cs="Times New Roman"/>
          <w:b/>
          <w:bCs/>
          <w:color w:val="000000" w:themeColor="text1"/>
          <w:sz w:val="24"/>
          <w:szCs w:val="21"/>
          <w:highlight w:val="none"/>
          <w14:textFill>
            <w14:solidFill>
              <w14:schemeClr w14:val="tx1"/>
            </w14:solidFill>
          </w14:textFill>
        </w:rPr>
        <w:t>二、申请人的资格要求：</w:t>
      </w:r>
    </w:p>
    <w:p w14:paraId="149D118F">
      <w:pPr>
        <w:keepNext w:val="0"/>
        <w:keepLines w:val="0"/>
        <w:pageBreakBefore w:val="0"/>
        <w:widowControl w:val="0"/>
        <w:wordWrap/>
        <w:overflowPunct/>
        <w:topLinePunct w:val="0"/>
        <w:bidi w:val="0"/>
        <w:spacing w:line="360" w:lineRule="exact"/>
        <w:jc w:val="left"/>
        <w:textAlignment w:val="auto"/>
        <w:rPr>
          <w:rFonts w:hint="eastAsia" w:ascii="宋体" w:hAnsi="宋体"/>
          <w:color w:val="000000" w:themeColor="text1"/>
          <w:sz w:val="24"/>
          <w:szCs w:val="21"/>
          <w:highlight w:val="none"/>
          <w14:textFill>
            <w14:solidFill>
              <w14:schemeClr w14:val="tx1"/>
            </w14:solidFill>
          </w14:textFill>
        </w:rPr>
      </w:pPr>
      <w:r>
        <w:rPr>
          <w:rFonts w:hint="eastAsia" w:ascii="宋体" w:hAnsi="宋体"/>
          <w:color w:val="000000" w:themeColor="text1"/>
          <w:sz w:val="24"/>
          <w:szCs w:val="21"/>
          <w:highlight w:val="none"/>
          <w14:textFill>
            <w14:solidFill>
              <w14:schemeClr w14:val="tx1"/>
            </w14:solidFill>
          </w14:textFill>
        </w:rPr>
        <w:t>1.满足《中华人民共和国政府采购法》第二十二条要求：</w:t>
      </w:r>
    </w:p>
    <w:p w14:paraId="4EBF0797">
      <w:pPr>
        <w:keepNext w:val="0"/>
        <w:keepLines w:val="0"/>
        <w:pageBreakBefore w:val="0"/>
        <w:widowControl w:val="0"/>
        <w:wordWrap/>
        <w:overflowPunct/>
        <w:topLinePunct w:val="0"/>
        <w:bidi w:val="0"/>
        <w:spacing w:line="360" w:lineRule="exact"/>
        <w:jc w:val="left"/>
        <w:textAlignment w:val="auto"/>
        <w:rPr>
          <w:rFonts w:hint="eastAsia" w:ascii="宋体" w:hAnsi="宋体"/>
          <w:color w:val="000000" w:themeColor="text1"/>
          <w:sz w:val="24"/>
          <w:szCs w:val="21"/>
          <w:highlight w:val="none"/>
          <w14:textFill>
            <w14:solidFill>
              <w14:schemeClr w14:val="tx1"/>
            </w14:solidFill>
          </w14:textFill>
        </w:rPr>
      </w:pPr>
      <w:r>
        <w:rPr>
          <w:rFonts w:hint="eastAsia" w:ascii="宋体" w:hAnsi="宋体"/>
          <w:color w:val="000000" w:themeColor="text1"/>
          <w:sz w:val="24"/>
          <w:szCs w:val="21"/>
          <w:highlight w:val="none"/>
          <w14:textFill>
            <w14:solidFill>
              <w14:schemeClr w14:val="tx1"/>
            </w14:solidFill>
          </w14:textFill>
        </w:rPr>
        <w:t>（1）具有独立承担民事责任的能力（营业执照及法定代表人证明或法定代表人授权委托书）；</w:t>
      </w:r>
    </w:p>
    <w:p w14:paraId="0505810F">
      <w:pPr>
        <w:keepNext w:val="0"/>
        <w:keepLines w:val="0"/>
        <w:pageBreakBefore w:val="0"/>
        <w:widowControl w:val="0"/>
        <w:wordWrap/>
        <w:overflowPunct/>
        <w:topLinePunct w:val="0"/>
        <w:bidi w:val="0"/>
        <w:spacing w:line="360" w:lineRule="exact"/>
        <w:jc w:val="left"/>
        <w:textAlignment w:val="auto"/>
        <w:rPr>
          <w:rFonts w:hint="eastAsia" w:ascii="宋体" w:hAnsi="宋体"/>
          <w:color w:val="000000" w:themeColor="text1"/>
          <w:sz w:val="24"/>
          <w:szCs w:val="21"/>
          <w:highlight w:val="none"/>
          <w14:textFill>
            <w14:solidFill>
              <w14:schemeClr w14:val="tx1"/>
            </w14:solidFill>
          </w14:textFill>
        </w:rPr>
      </w:pPr>
      <w:r>
        <w:rPr>
          <w:rFonts w:hint="eastAsia" w:ascii="宋体" w:hAnsi="宋体"/>
          <w:color w:val="000000" w:themeColor="text1"/>
          <w:sz w:val="24"/>
          <w:szCs w:val="21"/>
          <w:highlight w:val="none"/>
          <w14:textFill>
            <w14:solidFill>
              <w14:schemeClr w14:val="tx1"/>
            </w14:solidFill>
          </w14:textFill>
        </w:rPr>
        <w:t>（2）具有健全的财务会计制度（会计事务所出具的202</w:t>
      </w:r>
      <w:r>
        <w:rPr>
          <w:rFonts w:hint="eastAsia" w:ascii="宋体" w:hAnsi="宋体"/>
          <w:color w:val="000000" w:themeColor="text1"/>
          <w:sz w:val="24"/>
          <w:szCs w:val="21"/>
          <w:highlight w:val="none"/>
          <w:lang w:val="en-US" w:eastAsia="zh-CN"/>
          <w14:textFill>
            <w14:solidFill>
              <w14:schemeClr w14:val="tx1"/>
            </w14:solidFill>
          </w14:textFill>
        </w:rPr>
        <w:t>4</w:t>
      </w:r>
      <w:r>
        <w:rPr>
          <w:rFonts w:hint="eastAsia" w:ascii="宋体" w:hAnsi="宋体"/>
          <w:color w:val="000000" w:themeColor="text1"/>
          <w:sz w:val="24"/>
          <w:szCs w:val="21"/>
          <w:highlight w:val="none"/>
          <w14:textFill>
            <w14:solidFill>
              <w14:schemeClr w14:val="tx1"/>
            </w14:solidFill>
          </w14:textFill>
        </w:rPr>
        <w:t>年</w:t>
      </w:r>
      <w:r>
        <w:rPr>
          <w:rFonts w:hint="eastAsia" w:ascii="宋体" w:hAnsi="宋体"/>
          <w:color w:val="000000" w:themeColor="text1"/>
          <w:sz w:val="24"/>
          <w:szCs w:val="21"/>
          <w:highlight w:val="none"/>
          <w:lang w:val="en-US" w:eastAsia="zh-CN"/>
          <w14:textFill>
            <w14:solidFill>
              <w14:schemeClr w14:val="tx1"/>
            </w14:solidFill>
          </w14:textFill>
        </w:rPr>
        <w:t>或2025年任意一</w:t>
      </w:r>
      <w:r>
        <w:rPr>
          <w:rFonts w:hint="eastAsia" w:ascii="宋体" w:hAnsi="宋体"/>
          <w:color w:val="000000" w:themeColor="text1"/>
          <w:sz w:val="24"/>
          <w:szCs w:val="21"/>
          <w:highlight w:val="none"/>
          <w14:textFill>
            <w14:solidFill>
              <w14:schemeClr w14:val="tx1"/>
            </w14:solidFill>
          </w14:textFill>
        </w:rPr>
        <w:t>年度财务审计报告书；注册成立未满一年新公司可提供近三个月内任意一个月的银行资信证明）；</w:t>
      </w:r>
    </w:p>
    <w:p w14:paraId="4A29CCE2">
      <w:pPr>
        <w:keepNext w:val="0"/>
        <w:keepLines w:val="0"/>
        <w:pageBreakBefore w:val="0"/>
        <w:widowControl w:val="0"/>
        <w:wordWrap/>
        <w:overflowPunct/>
        <w:topLinePunct w:val="0"/>
        <w:bidi w:val="0"/>
        <w:spacing w:line="360" w:lineRule="exact"/>
        <w:jc w:val="left"/>
        <w:textAlignment w:val="auto"/>
        <w:rPr>
          <w:rFonts w:hint="eastAsia" w:ascii="宋体" w:hAnsi="宋体"/>
          <w:color w:val="000000" w:themeColor="text1"/>
          <w:sz w:val="24"/>
          <w:szCs w:val="21"/>
          <w:highlight w:val="none"/>
          <w14:textFill>
            <w14:solidFill>
              <w14:schemeClr w14:val="tx1"/>
            </w14:solidFill>
          </w14:textFill>
        </w:rPr>
      </w:pPr>
      <w:r>
        <w:rPr>
          <w:rFonts w:hint="eastAsia" w:ascii="宋体" w:hAnsi="宋体"/>
          <w:color w:val="000000" w:themeColor="text1"/>
          <w:sz w:val="24"/>
          <w:szCs w:val="21"/>
          <w:highlight w:val="none"/>
          <w14:textFill>
            <w14:solidFill>
              <w14:schemeClr w14:val="tx1"/>
            </w14:solidFill>
          </w14:textFill>
        </w:rPr>
        <w:t>（3）具有履行合同所必需的设备和专业技术能力；</w:t>
      </w:r>
    </w:p>
    <w:p w14:paraId="51F5AC07">
      <w:pPr>
        <w:keepNext w:val="0"/>
        <w:keepLines w:val="0"/>
        <w:pageBreakBefore w:val="0"/>
        <w:widowControl w:val="0"/>
        <w:wordWrap/>
        <w:overflowPunct/>
        <w:topLinePunct w:val="0"/>
        <w:bidi w:val="0"/>
        <w:spacing w:line="360" w:lineRule="exact"/>
        <w:jc w:val="left"/>
        <w:textAlignment w:val="auto"/>
        <w:rPr>
          <w:rFonts w:hint="eastAsia" w:ascii="宋体" w:hAnsi="宋体"/>
          <w:color w:val="000000" w:themeColor="text1"/>
          <w:sz w:val="24"/>
          <w:szCs w:val="21"/>
          <w:highlight w:val="none"/>
          <w14:textFill>
            <w14:solidFill>
              <w14:schemeClr w14:val="tx1"/>
            </w14:solidFill>
          </w14:textFill>
        </w:rPr>
      </w:pPr>
      <w:r>
        <w:rPr>
          <w:rFonts w:hint="eastAsia" w:ascii="宋体" w:hAnsi="宋体"/>
          <w:color w:val="000000" w:themeColor="text1"/>
          <w:sz w:val="24"/>
          <w:szCs w:val="21"/>
          <w:highlight w:val="none"/>
          <w14:textFill>
            <w14:solidFill>
              <w14:schemeClr w14:val="tx1"/>
            </w14:solidFill>
          </w14:textFill>
        </w:rPr>
        <w:t>（4）有依法缴纳税收和社会保障资金的良好记录（近三个月（任意一个月）社保证明及完税证明）；</w:t>
      </w:r>
    </w:p>
    <w:p w14:paraId="0CA0ED95">
      <w:pPr>
        <w:keepNext w:val="0"/>
        <w:keepLines w:val="0"/>
        <w:pageBreakBefore w:val="0"/>
        <w:widowControl w:val="0"/>
        <w:wordWrap/>
        <w:overflowPunct/>
        <w:topLinePunct w:val="0"/>
        <w:bidi w:val="0"/>
        <w:spacing w:line="360" w:lineRule="exact"/>
        <w:jc w:val="left"/>
        <w:textAlignment w:val="auto"/>
        <w:rPr>
          <w:rFonts w:hint="eastAsia" w:ascii="宋体" w:hAnsi="宋体"/>
          <w:color w:val="000000" w:themeColor="text1"/>
          <w:sz w:val="24"/>
          <w:szCs w:val="21"/>
          <w:highlight w:val="none"/>
          <w14:textFill>
            <w14:solidFill>
              <w14:schemeClr w14:val="tx1"/>
            </w14:solidFill>
          </w14:textFill>
        </w:rPr>
      </w:pPr>
      <w:r>
        <w:rPr>
          <w:rFonts w:hint="eastAsia" w:ascii="宋体" w:hAnsi="宋体"/>
          <w:color w:val="000000" w:themeColor="text1"/>
          <w:sz w:val="24"/>
          <w:szCs w:val="21"/>
          <w:highlight w:val="none"/>
          <w14:textFill>
            <w14:solidFill>
              <w14:schemeClr w14:val="tx1"/>
            </w14:solidFill>
          </w14:textFill>
        </w:rPr>
        <w:t>（5）参加政府采购活动前三年内，在经营活动中没有重大违法记录；</w:t>
      </w:r>
    </w:p>
    <w:p w14:paraId="3CD3F56A">
      <w:pPr>
        <w:keepNext w:val="0"/>
        <w:keepLines w:val="0"/>
        <w:pageBreakBefore w:val="0"/>
        <w:widowControl w:val="0"/>
        <w:wordWrap/>
        <w:overflowPunct/>
        <w:topLinePunct w:val="0"/>
        <w:bidi w:val="0"/>
        <w:spacing w:line="360" w:lineRule="exact"/>
        <w:jc w:val="left"/>
        <w:textAlignment w:val="auto"/>
        <w:rPr>
          <w:rFonts w:hint="eastAsia" w:ascii="宋体" w:hAnsi="宋体"/>
          <w:color w:val="000000" w:themeColor="text1"/>
          <w:sz w:val="24"/>
          <w:szCs w:val="21"/>
          <w:highlight w:val="none"/>
          <w14:textFill>
            <w14:solidFill>
              <w14:schemeClr w14:val="tx1"/>
            </w14:solidFill>
          </w14:textFill>
        </w:rPr>
      </w:pPr>
      <w:r>
        <w:rPr>
          <w:rFonts w:hint="eastAsia" w:ascii="宋体" w:hAnsi="宋体"/>
          <w:color w:val="000000" w:themeColor="text1"/>
          <w:sz w:val="24"/>
          <w:szCs w:val="21"/>
          <w:highlight w:val="none"/>
          <w14:textFill>
            <w14:solidFill>
              <w14:schemeClr w14:val="tx1"/>
            </w14:solidFill>
          </w14:textFill>
        </w:rPr>
        <w:t>（6）法律、行政法规规定的其他条件；</w:t>
      </w:r>
    </w:p>
    <w:p w14:paraId="28EF4EDD">
      <w:pPr>
        <w:keepNext w:val="0"/>
        <w:keepLines w:val="0"/>
        <w:pageBreakBefore w:val="0"/>
        <w:widowControl w:val="0"/>
        <w:wordWrap/>
        <w:overflowPunct/>
        <w:topLinePunct w:val="0"/>
        <w:bidi w:val="0"/>
        <w:spacing w:line="360" w:lineRule="exact"/>
        <w:jc w:val="left"/>
        <w:textAlignment w:val="auto"/>
        <w:rPr>
          <w:rFonts w:hint="eastAsia" w:ascii="宋体" w:hAnsi="宋体"/>
          <w:color w:val="000000" w:themeColor="text1"/>
          <w:sz w:val="24"/>
          <w:szCs w:val="21"/>
          <w:highlight w:val="none"/>
          <w14:textFill>
            <w14:solidFill>
              <w14:schemeClr w14:val="tx1"/>
            </w14:solidFill>
          </w14:textFill>
        </w:rPr>
      </w:pPr>
      <w:r>
        <w:rPr>
          <w:rFonts w:hint="eastAsia" w:ascii="宋体" w:hAnsi="宋体"/>
          <w:color w:val="000000" w:themeColor="text1"/>
          <w:sz w:val="24"/>
          <w:szCs w:val="21"/>
          <w:highlight w:val="none"/>
          <w14:textFill>
            <w14:solidFill>
              <w14:schemeClr w14:val="tx1"/>
            </w14:solidFill>
          </w14:textFill>
        </w:rPr>
        <w:t>2.在“信用中国”网站（www.creditchina.gov.cn）被列入失信被执行人、重大税收违法案件当事人名单(搜索栏输入单位全称-点击总公司-网页打印页)、中国政府采购网（http://www.ccgp.gov.cn/search/cr/）严重违法失信行为记录名单的（尚在处罚期内的），将拒绝其参加本次招标活动。</w:t>
      </w:r>
    </w:p>
    <w:p w14:paraId="09F37560">
      <w:pPr>
        <w:keepNext w:val="0"/>
        <w:keepLines w:val="0"/>
        <w:pageBreakBefore w:val="0"/>
        <w:widowControl w:val="0"/>
        <w:wordWrap/>
        <w:overflowPunct/>
        <w:topLinePunct w:val="0"/>
        <w:bidi w:val="0"/>
        <w:snapToGrid w:val="0"/>
        <w:spacing w:line="360" w:lineRule="exact"/>
        <w:jc w:val="left"/>
        <w:rPr>
          <w:rStyle w:val="37"/>
          <w:rFonts w:hint="eastAsia" w:ascii="宋体" w:hAnsi="宋体" w:cs="Times New Roman"/>
          <w:b/>
          <w:bCs/>
          <w:color w:val="000000" w:themeColor="text1"/>
          <w:sz w:val="24"/>
          <w:szCs w:val="21"/>
          <w:highlight w:val="none"/>
          <w14:textFill>
            <w14:solidFill>
              <w14:schemeClr w14:val="tx1"/>
            </w14:solidFill>
          </w14:textFill>
        </w:rPr>
      </w:pPr>
      <w:r>
        <w:rPr>
          <w:rStyle w:val="37"/>
          <w:rFonts w:ascii="宋体" w:hAnsi="宋体" w:cs="Times New Roman"/>
          <w:b/>
          <w:bCs/>
          <w:color w:val="000000" w:themeColor="text1"/>
          <w:sz w:val="24"/>
          <w:szCs w:val="21"/>
          <w:highlight w:val="none"/>
          <w14:textFill>
            <w14:solidFill>
              <w14:schemeClr w14:val="tx1"/>
            </w14:solidFill>
          </w14:textFill>
        </w:rPr>
        <w:t>三、获取招标文件</w:t>
      </w:r>
    </w:p>
    <w:p w14:paraId="7B91BB21">
      <w:pPr>
        <w:keepNext w:val="0"/>
        <w:keepLines w:val="0"/>
        <w:pageBreakBefore w:val="0"/>
        <w:widowControl w:val="0"/>
        <w:wordWrap/>
        <w:overflowPunct/>
        <w:topLinePunct w:val="0"/>
        <w:bidi w:val="0"/>
        <w:jc w:val="left"/>
        <w:rPr>
          <w:rFonts w:hint="default" w:ascii="宋体" w:hAnsi="宋体" w:eastAsia="宋体" w:cs="Times New Roman"/>
          <w:color w:val="000000" w:themeColor="text1"/>
          <w:sz w:val="24"/>
          <w:szCs w:val="21"/>
          <w:highlight w:val="none"/>
          <w:lang w:val="en-US" w:eastAsia="zh-CN"/>
          <w14:textFill>
            <w14:solidFill>
              <w14:schemeClr w14:val="tx1"/>
            </w14:solidFill>
          </w14:textFill>
        </w:rPr>
      </w:pPr>
      <w:r>
        <w:rPr>
          <w:rFonts w:hint="eastAsia" w:ascii="宋体" w:hAnsi="宋体" w:cs="Times New Roman"/>
          <w:color w:val="000000" w:themeColor="text1"/>
          <w:sz w:val="24"/>
          <w:szCs w:val="21"/>
          <w:highlight w:val="none"/>
          <w14:textFill>
            <w14:solidFill>
              <w14:schemeClr w14:val="tx1"/>
            </w14:solidFill>
          </w14:textFill>
        </w:rPr>
        <w:t>获取时间：</w:t>
      </w:r>
      <w:r>
        <w:rPr>
          <w:rFonts w:hint="eastAsia" w:ascii="宋体" w:hAnsi="宋体" w:cs="Times New Roman"/>
          <w:color w:val="000000" w:themeColor="text1"/>
          <w:sz w:val="24"/>
          <w:szCs w:val="21"/>
          <w:highlight w:val="none"/>
          <w:lang w:eastAsia="zh-CN"/>
          <w14:textFill>
            <w14:solidFill>
              <w14:schemeClr w14:val="tx1"/>
            </w14:solidFill>
          </w14:textFill>
        </w:rPr>
        <w:t>2026</w:t>
      </w:r>
      <w:r>
        <w:rPr>
          <w:rFonts w:hint="eastAsia" w:ascii="宋体" w:hAnsi="宋体" w:cs="Times New Roman"/>
          <w:color w:val="000000" w:themeColor="text1"/>
          <w:sz w:val="24"/>
          <w:szCs w:val="21"/>
          <w:highlight w:val="none"/>
          <w14:textFill>
            <w14:solidFill>
              <w14:schemeClr w14:val="tx1"/>
            </w14:solidFill>
          </w14:textFill>
        </w:rPr>
        <w:t>年</w:t>
      </w:r>
      <w:r>
        <w:rPr>
          <w:rFonts w:hint="eastAsia" w:ascii="宋体" w:hAnsi="宋体" w:cs="Times New Roman"/>
          <w:color w:val="000000" w:themeColor="text1"/>
          <w:sz w:val="24"/>
          <w:szCs w:val="21"/>
          <w:highlight w:val="none"/>
          <w:lang w:val="en-US" w:eastAsia="zh-CN"/>
          <w14:textFill>
            <w14:solidFill>
              <w14:schemeClr w14:val="tx1"/>
            </w14:solidFill>
          </w14:textFill>
        </w:rPr>
        <w:t>4</w:t>
      </w:r>
      <w:r>
        <w:rPr>
          <w:rFonts w:hint="eastAsia" w:ascii="宋体" w:hAnsi="宋体" w:cs="Times New Roman"/>
          <w:color w:val="000000" w:themeColor="text1"/>
          <w:sz w:val="24"/>
          <w:szCs w:val="21"/>
          <w:highlight w:val="none"/>
          <w14:textFill>
            <w14:solidFill>
              <w14:schemeClr w14:val="tx1"/>
            </w14:solidFill>
          </w14:textFill>
        </w:rPr>
        <w:t>月</w:t>
      </w:r>
      <w:r>
        <w:rPr>
          <w:rFonts w:hint="eastAsia" w:ascii="宋体" w:hAnsi="宋体" w:cs="Times New Roman"/>
          <w:color w:val="000000" w:themeColor="text1"/>
          <w:sz w:val="24"/>
          <w:szCs w:val="21"/>
          <w:highlight w:val="none"/>
          <w:lang w:val="en-US" w:eastAsia="zh-CN"/>
          <w14:textFill>
            <w14:solidFill>
              <w14:schemeClr w14:val="tx1"/>
            </w14:solidFill>
          </w14:textFill>
        </w:rPr>
        <w:t>30</w:t>
      </w:r>
      <w:r>
        <w:rPr>
          <w:rFonts w:hint="eastAsia" w:ascii="宋体" w:hAnsi="宋体" w:cs="Times New Roman"/>
          <w:color w:val="000000" w:themeColor="text1"/>
          <w:sz w:val="24"/>
          <w:szCs w:val="21"/>
          <w:highlight w:val="none"/>
          <w14:textFill>
            <w14:solidFill>
              <w14:schemeClr w14:val="tx1"/>
            </w14:solidFill>
          </w14:textFill>
        </w:rPr>
        <w:t>日至</w:t>
      </w:r>
      <w:r>
        <w:rPr>
          <w:rFonts w:hint="eastAsia" w:ascii="宋体" w:hAnsi="宋体" w:cs="Times New Roman"/>
          <w:color w:val="000000" w:themeColor="text1"/>
          <w:sz w:val="24"/>
          <w:szCs w:val="21"/>
          <w:highlight w:val="none"/>
          <w:lang w:eastAsia="zh-CN"/>
          <w14:textFill>
            <w14:solidFill>
              <w14:schemeClr w14:val="tx1"/>
            </w14:solidFill>
          </w14:textFill>
        </w:rPr>
        <w:t>2026</w:t>
      </w:r>
      <w:r>
        <w:rPr>
          <w:rFonts w:hint="eastAsia" w:ascii="宋体" w:hAnsi="宋体" w:cs="Times New Roman"/>
          <w:color w:val="000000" w:themeColor="text1"/>
          <w:sz w:val="24"/>
          <w:szCs w:val="21"/>
          <w:highlight w:val="none"/>
          <w14:textFill>
            <w14:solidFill>
              <w14:schemeClr w14:val="tx1"/>
            </w14:solidFill>
          </w14:textFill>
        </w:rPr>
        <w:t>年</w:t>
      </w:r>
      <w:r>
        <w:rPr>
          <w:rFonts w:hint="eastAsia" w:ascii="宋体" w:hAnsi="宋体" w:cs="Times New Roman"/>
          <w:color w:val="000000" w:themeColor="text1"/>
          <w:sz w:val="24"/>
          <w:szCs w:val="21"/>
          <w:highlight w:val="none"/>
          <w:lang w:val="en-US" w:eastAsia="zh-CN"/>
          <w14:textFill>
            <w14:solidFill>
              <w14:schemeClr w14:val="tx1"/>
            </w14:solidFill>
          </w14:textFill>
        </w:rPr>
        <w:t>5月11</w:t>
      </w:r>
      <w:r>
        <w:rPr>
          <w:rFonts w:hint="eastAsia" w:ascii="宋体" w:hAnsi="宋体" w:eastAsia="宋体" w:cs="Times New Roman"/>
          <w:color w:val="000000" w:themeColor="text1"/>
          <w:sz w:val="24"/>
          <w:szCs w:val="21"/>
          <w:highlight w:val="none"/>
          <w:lang w:val="en-US" w:eastAsia="zh-CN"/>
          <w14:textFill>
            <w14:solidFill>
              <w14:schemeClr w14:val="tx1"/>
            </w14:solidFill>
          </w14:textFill>
        </w:rPr>
        <w:t>日，每天上午00:00至12:00，下午12:00至23:59（北京时间，法定节假日除外）。</w:t>
      </w:r>
    </w:p>
    <w:p w14:paraId="08DF83CF">
      <w:pPr>
        <w:keepNext w:val="0"/>
        <w:keepLines w:val="0"/>
        <w:pageBreakBefore w:val="0"/>
        <w:widowControl w:val="0"/>
        <w:wordWrap/>
        <w:overflowPunct/>
        <w:topLinePunct w:val="0"/>
        <w:bidi w:val="0"/>
        <w:spacing w:line="36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s="Times New Roman"/>
          <w:color w:val="000000" w:themeColor="text1"/>
          <w:sz w:val="24"/>
          <w:szCs w:val="21"/>
          <w:highlight w:val="none"/>
          <w14:textFill>
            <w14:solidFill>
              <w14:schemeClr w14:val="tx1"/>
            </w14:solidFill>
          </w14:textFill>
        </w:rPr>
        <w:t>获取地点：新疆政府采购网</w:t>
      </w:r>
    </w:p>
    <w:p w14:paraId="7DA129FE">
      <w:pPr>
        <w:keepNext w:val="0"/>
        <w:keepLines w:val="0"/>
        <w:pageBreakBefore w:val="0"/>
        <w:widowControl w:val="0"/>
        <w:wordWrap/>
        <w:overflowPunct/>
        <w:topLinePunct w:val="0"/>
        <w:bidi w:val="0"/>
        <w:spacing w:line="360" w:lineRule="exact"/>
        <w:jc w:val="left"/>
        <w:textAlignment w:val="auto"/>
        <w:rPr>
          <w:rFonts w:hint="eastAsia" w:ascii="宋体" w:hAnsi="宋体" w:eastAsia="宋体" w:cs="Times New Roman"/>
          <w:color w:val="000000" w:themeColor="text1"/>
          <w:sz w:val="24"/>
          <w:szCs w:val="21"/>
          <w:highlight w:val="none"/>
          <w:lang w:eastAsia="zh-CN"/>
          <w14:textFill>
            <w14:solidFill>
              <w14:schemeClr w14:val="tx1"/>
            </w14:solidFill>
          </w14:textFill>
        </w:rPr>
      </w:pPr>
      <w:r>
        <w:rPr>
          <w:rFonts w:hint="eastAsia" w:ascii="宋体" w:hAnsi="宋体" w:cs="Times New Roman"/>
          <w:color w:val="000000" w:themeColor="text1"/>
          <w:sz w:val="24"/>
          <w:szCs w:val="21"/>
          <w:highlight w:val="none"/>
          <w14:textFill>
            <w14:solidFill>
              <w14:schemeClr w14:val="tx1"/>
            </w14:solidFill>
          </w14:textFill>
        </w:rPr>
        <w:t>获取方式：供应商登陆政采云平台http://www.zcygov.cn/，在线获取招标文件</w:t>
      </w:r>
    </w:p>
    <w:p w14:paraId="08B91663">
      <w:pPr>
        <w:keepNext w:val="0"/>
        <w:keepLines w:val="0"/>
        <w:pageBreakBefore w:val="0"/>
        <w:widowControl w:val="0"/>
        <w:wordWrap/>
        <w:overflowPunct/>
        <w:topLinePunct w:val="0"/>
        <w:bidi w:val="0"/>
        <w:spacing w:line="360" w:lineRule="exact"/>
        <w:jc w:val="left"/>
        <w:textAlignment w:val="auto"/>
        <w:rPr>
          <w:rFonts w:hint="eastAsia" w:ascii="宋体" w:hAnsi="宋体" w:eastAsia="宋体" w:cs="Times New Roman"/>
          <w:color w:val="000000" w:themeColor="text1"/>
          <w:sz w:val="24"/>
          <w:szCs w:val="21"/>
          <w:highlight w:val="none"/>
          <w:lang w:eastAsia="zh-CN"/>
          <w14:textFill>
            <w14:solidFill>
              <w14:schemeClr w14:val="tx1"/>
            </w14:solidFill>
          </w14:textFill>
        </w:rPr>
      </w:pPr>
      <w:r>
        <w:rPr>
          <w:rFonts w:hint="eastAsia" w:ascii="宋体" w:hAnsi="宋体" w:cs="Times New Roman"/>
          <w:color w:val="000000" w:themeColor="text1"/>
          <w:sz w:val="24"/>
          <w:szCs w:val="21"/>
          <w:highlight w:val="none"/>
          <w14:textFill>
            <w14:solidFill>
              <w14:schemeClr w14:val="tx1"/>
            </w14:solidFill>
          </w14:textFill>
        </w:rPr>
        <w:t>（登录政府采购云平台→项目采购→获取招标文件，通过后可下载招标文件，</w:t>
      </w:r>
    </w:p>
    <w:p w14:paraId="2203896C">
      <w:pPr>
        <w:keepNext w:val="0"/>
        <w:keepLines w:val="0"/>
        <w:pageBreakBefore w:val="0"/>
        <w:widowControl w:val="0"/>
        <w:wordWrap/>
        <w:overflowPunct/>
        <w:topLinePunct w:val="0"/>
        <w:bidi w:val="0"/>
        <w:spacing w:line="360" w:lineRule="exact"/>
        <w:jc w:val="left"/>
        <w:textAlignment w:val="auto"/>
        <w:rPr>
          <w:rFonts w:hint="eastAsia" w:ascii="宋体" w:hAnsi="宋体" w:cs="Times New Roman"/>
          <w:color w:val="000000" w:themeColor="text1"/>
          <w:sz w:val="24"/>
          <w:szCs w:val="21"/>
          <w:highlight w:val="none"/>
          <w14:textFill>
            <w14:solidFill>
              <w14:schemeClr w14:val="tx1"/>
            </w14:solidFill>
          </w14:textFill>
        </w:rPr>
      </w:pPr>
      <w:r>
        <w:rPr>
          <w:rFonts w:hint="eastAsia" w:ascii="宋体" w:hAnsi="宋体" w:cs="Times New Roman"/>
          <w:color w:val="000000" w:themeColor="text1"/>
          <w:sz w:val="24"/>
          <w:szCs w:val="21"/>
          <w:highlight w:val="none"/>
          <w14:textFill>
            <w14:solidFill>
              <w14:schemeClr w14:val="tx1"/>
            </w14:solidFill>
          </w14:textFill>
        </w:rPr>
        <w:t>如有操作性问题，可与政采云在线客服进行咨询，咨询电话：</w:t>
      </w:r>
      <w:r>
        <w:rPr>
          <w:rFonts w:ascii="微软雅黑" w:hAnsi="微软雅黑" w:eastAsia="微软雅黑" w:cs="微软雅黑"/>
          <w:color w:val="000000" w:themeColor="text1"/>
          <w:szCs w:val="21"/>
          <w:highlight w:val="none"/>
          <w:shd w:val="clear" w:color="auto" w:fill="FFFFFF"/>
          <w14:textFill>
            <w14:solidFill>
              <w14:schemeClr w14:val="tx1"/>
            </w14:solidFill>
          </w14:textFill>
        </w:rPr>
        <w:t>95763</w:t>
      </w:r>
      <w:r>
        <w:rPr>
          <w:rFonts w:hint="eastAsia" w:ascii="宋体" w:hAnsi="宋体" w:cs="Times New Roman"/>
          <w:color w:val="000000" w:themeColor="text1"/>
          <w:sz w:val="24"/>
          <w:szCs w:val="21"/>
          <w:highlight w:val="none"/>
          <w14:textFill>
            <w14:solidFill>
              <w14:schemeClr w14:val="tx1"/>
            </w14:solidFill>
          </w14:textFill>
        </w:rPr>
        <w:t>）</w:t>
      </w:r>
    </w:p>
    <w:p w14:paraId="547DF0D1">
      <w:pPr>
        <w:keepNext w:val="0"/>
        <w:keepLines w:val="0"/>
        <w:pageBreakBefore w:val="0"/>
        <w:widowControl w:val="0"/>
        <w:wordWrap/>
        <w:overflowPunct/>
        <w:topLinePunct w:val="0"/>
        <w:bidi w:val="0"/>
        <w:spacing w:line="360" w:lineRule="exact"/>
        <w:jc w:val="left"/>
        <w:rPr>
          <w:rFonts w:hint="eastAsia" w:ascii="宋体" w:hAnsi="宋体" w:cs="Times New Roman"/>
          <w:color w:val="000000" w:themeColor="text1"/>
          <w:sz w:val="24"/>
          <w:szCs w:val="21"/>
          <w:highlight w:val="none"/>
          <w14:textFill>
            <w14:solidFill>
              <w14:schemeClr w14:val="tx1"/>
            </w14:solidFill>
          </w14:textFill>
        </w:rPr>
      </w:pPr>
      <w:r>
        <w:rPr>
          <w:rFonts w:hint="eastAsia" w:ascii="宋体" w:hAnsi="宋体" w:cs="Times New Roman"/>
          <w:color w:val="000000" w:themeColor="text1"/>
          <w:sz w:val="24"/>
          <w:szCs w:val="21"/>
          <w:highlight w:val="none"/>
          <w14:textFill>
            <w14:solidFill>
              <w14:schemeClr w14:val="tx1"/>
            </w14:solidFill>
          </w14:textFill>
        </w:rPr>
        <w:t>售价：0元</w:t>
      </w:r>
    </w:p>
    <w:p w14:paraId="35A50356">
      <w:pPr>
        <w:keepNext w:val="0"/>
        <w:keepLines w:val="0"/>
        <w:pageBreakBefore w:val="0"/>
        <w:widowControl w:val="0"/>
        <w:wordWrap/>
        <w:overflowPunct/>
        <w:topLinePunct w:val="0"/>
        <w:bidi w:val="0"/>
        <w:snapToGrid w:val="0"/>
        <w:spacing w:line="360" w:lineRule="exact"/>
        <w:jc w:val="left"/>
        <w:rPr>
          <w:rStyle w:val="37"/>
          <w:rFonts w:hint="eastAsia" w:ascii="宋体" w:hAnsi="宋体" w:cs="Times New Roman"/>
          <w:b/>
          <w:bCs/>
          <w:color w:val="000000" w:themeColor="text1"/>
          <w:sz w:val="30"/>
          <w:szCs w:val="30"/>
          <w:highlight w:val="none"/>
          <w14:textFill>
            <w14:solidFill>
              <w14:schemeClr w14:val="tx1"/>
            </w14:solidFill>
          </w14:textFill>
        </w:rPr>
      </w:pPr>
      <w:r>
        <w:rPr>
          <w:rStyle w:val="37"/>
          <w:rFonts w:ascii="宋体" w:hAnsi="宋体" w:cs="Times New Roman"/>
          <w:b/>
          <w:bCs/>
          <w:color w:val="000000" w:themeColor="text1"/>
          <w:sz w:val="24"/>
          <w:szCs w:val="21"/>
          <w:highlight w:val="none"/>
          <w14:textFill>
            <w14:solidFill>
              <w14:schemeClr w14:val="tx1"/>
            </w14:solidFill>
          </w14:textFill>
        </w:rPr>
        <w:t>四、提交投标文件截止时间、开标时间和地点</w:t>
      </w:r>
    </w:p>
    <w:p w14:paraId="59F3FB57">
      <w:pPr>
        <w:keepNext w:val="0"/>
        <w:keepLines w:val="0"/>
        <w:pageBreakBefore w:val="0"/>
        <w:widowControl w:val="0"/>
        <w:wordWrap/>
        <w:overflowPunct/>
        <w:topLinePunct w:val="0"/>
        <w:bidi w:val="0"/>
        <w:spacing w:line="360" w:lineRule="exact"/>
        <w:jc w:val="left"/>
        <w:textAlignment w:val="auto"/>
        <w:rPr>
          <w:rFonts w:hint="eastAsia" w:ascii="宋体" w:hAnsi="宋体" w:cs="Times New Roman"/>
          <w:color w:val="000000" w:themeColor="text1"/>
          <w:sz w:val="24"/>
          <w:szCs w:val="21"/>
          <w:highlight w:val="none"/>
          <w14:textFill>
            <w14:solidFill>
              <w14:schemeClr w14:val="tx1"/>
            </w14:solidFill>
          </w14:textFill>
        </w:rPr>
      </w:pPr>
      <w:r>
        <w:rPr>
          <w:rFonts w:hint="eastAsia" w:ascii="宋体" w:hAnsi="宋体" w:cs="Times New Roman"/>
          <w:color w:val="000000" w:themeColor="text1"/>
          <w:sz w:val="24"/>
          <w:szCs w:val="21"/>
          <w:highlight w:val="none"/>
          <w14:textFill>
            <w14:solidFill>
              <w14:schemeClr w14:val="tx1"/>
            </w14:solidFill>
          </w14:textFill>
        </w:rPr>
        <w:t>提交投标文件截止时间：</w:t>
      </w:r>
      <w:r>
        <w:rPr>
          <w:rFonts w:hint="eastAsia" w:ascii="宋体" w:hAnsi="宋体" w:cs="Times New Roman"/>
          <w:color w:val="000000" w:themeColor="text1"/>
          <w:sz w:val="24"/>
          <w:szCs w:val="21"/>
          <w:highlight w:val="none"/>
          <w:lang w:eastAsia="zh-CN"/>
          <w14:textFill>
            <w14:solidFill>
              <w14:schemeClr w14:val="tx1"/>
            </w14:solidFill>
          </w14:textFill>
        </w:rPr>
        <w:t>2026年</w:t>
      </w:r>
      <w:r>
        <w:rPr>
          <w:rFonts w:hint="eastAsia" w:ascii="宋体" w:hAnsi="宋体" w:cs="Times New Roman"/>
          <w:color w:val="000000" w:themeColor="text1"/>
          <w:sz w:val="24"/>
          <w:szCs w:val="21"/>
          <w:highlight w:val="none"/>
          <w:lang w:val="en-US" w:eastAsia="zh-CN"/>
          <w14:textFill>
            <w14:solidFill>
              <w14:schemeClr w14:val="tx1"/>
            </w14:solidFill>
          </w14:textFill>
        </w:rPr>
        <w:t>5</w:t>
      </w:r>
      <w:r>
        <w:rPr>
          <w:rFonts w:hint="eastAsia" w:ascii="宋体" w:hAnsi="宋体" w:cs="Times New Roman"/>
          <w:color w:val="000000" w:themeColor="text1"/>
          <w:sz w:val="24"/>
          <w:szCs w:val="21"/>
          <w:highlight w:val="none"/>
          <w:lang w:eastAsia="zh-CN"/>
          <w14:textFill>
            <w14:solidFill>
              <w14:schemeClr w14:val="tx1"/>
            </w14:solidFill>
          </w14:textFill>
        </w:rPr>
        <w:t>月</w:t>
      </w:r>
      <w:r>
        <w:rPr>
          <w:rFonts w:hint="eastAsia" w:ascii="宋体" w:hAnsi="宋体" w:cs="Times New Roman"/>
          <w:color w:val="000000" w:themeColor="text1"/>
          <w:sz w:val="24"/>
          <w:szCs w:val="21"/>
          <w:highlight w:val="none"/>
          <w:lang w:val="en-US" w:eastAsia="zh-CN"/>
          <w14:textFill>
            <w14:solidFill>
              <w14:schemeClr w14:val="tx1"/>
            </w14:solidFill>
          </w14:textFill>
        </w:rPr>
        <w:t>21</w:t>
      </w:r>
      <w:r>
        <w:rPr>
          <w:rFonts w:hint="eastAsia" w:ascii="宋体" w:hAnsi="宋体" w:cs="Times New Roman"/>
          <w:color w:val="000000" w:themeColor="text1"/>
          <w:sz w:val="24"/>
          <w:szCs w:val="21"/>
          <w:highlight w:val="none"/>
          <w:lang w:eastAsia="zh-CN"/>
          <w14:textFill>
            <w14:solidFill>
              <w14:schemeClr w14:val="tx1"/>
            </w14:solidFill>
          </w14:textFill>
        </w:rPr>
        <w:t>日</w:t>
      </w:r>
      <w:r>
        <w:rPr>
          <w:rFonts w:hint="eastAsia" w:ascii="宋体" w:hAnsi="宋体" w:cs="Times New Roman"/>
          <w:color w:val="000000" w:themeColor="text1"/>
          <w:sz w:val="24"/>
          <w:szCs w:val="21"/>
          <w:highlight w:val="none"/>
          <w14:textFill>
            <w14:solidFill>
              <w14:schemeClr w14:val="tx1"/>
            </w14:solidFill>
          </w14:textFill>
        </w:rPr>
        <w:t>11时00分（北京时间）</w:t>
      </w:r>
    </w:p>
    <w:p w14:paraId="2C8BC85B">
      <w:pPr>
        <w:keepNext w:val="0"/>
        <w:keepLines w:val="0"/>
        <w:pageBreakBefore w:val="0"/>
        <w:widowControl w:val="0"/>
        <w:wordWrap/>
        <w:overflowPunct/>
        <w:topLinePunct w:val="0"/>
        <w:bidi w:val="0"/>
        <w:spacing w:line="360" w:lineRule="exact"/>
        <w:jc w:val="left"/>
        <w:textAlignment w:val="auto"/>
        <w:rPr>
          <w:rFonts w:hint="eastAsia" w:ascii="宋体" w:hAnsi="宋体" w:eastAsia="宋体" w:cs="Times New Roman"/>
          <w:color w:val="000000" w:themeColor="text1"/>
          <w:sz w:val="24"/>
          <w:szCs w:val="21"/>
          <w:highlight w:val="none"/>
          <w:lang w:eastAsia="zh-CN"/>
          <w14:textFill>
            <w14:solidFill>
              <w14:schemeClr w14:val="tx1"/>
            </w14:solidFill>
          </w14:textFill>
        </w:rPr>
      </w:pPr>
      <w:r>
        <w:rPr>
          <w:rFonts w:hint="eastAsia" w:ascii="宋体" w:hAnsi="宋体" w:cs="Times New Roman"/>
          <w:color w:val="000000" w:themeColor="text1"/>
          <w:sz w:val="24"/>
          <w:szCs w:val="21"/>
          <w:highlight w:val="none"/>
          <w14:textFill>
            <w14:solidFill>
              <w14:schemeClr w14:val="tx1"/>
            </w14:solidFill>
          </w14:textFill>
        </w:rPr>
        <w:t>投标地点：</w:t>
      </w:r>
      <w:r>
        <w:rPr>
          <w:rFonts w:hint="eastAsia" w:ascii="宋体" w:hAnsi="宋体" w:eastAsia="宋体" w:cs="Times New Roman"/>
          <w:color w:val="000000" w:themeColor="text1"/>
          <w:sz w:val="24"/>
          <w:szCs w:val="21"/>
          <w:highlight w:val="none"/>
          <w14:textFill>
            <w14:solidFill>
              <w14:schemeClr w14:val="tx1"/>
            </w14:solidFill>
          </w14:textFill>
        </w:rPr>
        <w:t>政采云平台（https://login.zcygov.cn/user-login/#/login）在线提交</w:t>
      </w:r>
    </w:p>
    <w:p w14:paraId="5AD92DC2">
      <w:pPr>
        <w:keepNext w:val="0"/>
        <w:keepLines w:val="0"/>
        <w:pageBreakBefore w:val="0"/>
        <w:widowControl w:val="0"/>
        <w:wordWrap/>
        <w:overflowPunct/>
        <w:topLinePunct w:val="0"/>
        <w:bidi w:val="0"/>
        <w:spacing w:line="360" w:lineRule="exact"/>
        <w:jc w:val="left"/>
        <w:textAlignment w:val="auto"/>
        <w:rPr>
          <w:rFonts w:hint="eastAsia" w:ascii="宋体" w:hAnsi="宋体" w:eastAsia="宋体" w:cs="Times New Roman"/>
          <w:color w:val="000000" w:themeColor="text1"/>
          <w:sz w:val="24"/>
          <w:szCs w:val="21"/>
          <w:highlight w:val="none"/>
          <w:lang w:eastAsia="zh-CN"/>
          <w14:textFill>
            <w14:solidFill>
              <w14:schemeClr w14:val="tx1"/>
            </w14:solidFill>
          </w14:textFill>
        </w:rPr>
      </w:pPr>
      <w:r>
        <w:rPr>
          <w:rFonts w:hint="eastAsia" w:ascii="宋体" w:hAnsi="宋体" w:cs="Times New Roman"/>
          <w:color w:val="000000" w:themeColor="text1"/>
          <w:sz w:val="24"/>
          <w:szCs w:val="21"/>
          <w:highlight w:val="none"/>
          <w14:textFill>
            <w14:solidFill>
              <w14:schemeClr w14:val="tx1"/>
            </w14:solidFill>
          </w14:textFill>
        </w:rPr>
        <w:t>开标时间：</w:t>
      </w:r>
      <w:r>
        <w:rPr>
          <w:rFonts w:hint="eastAsia" w:ascii="宋体" w:hAnsi="宋体" w:cs="Times New Roman"/>
          <w:color w:val="000000" w:themeColor="text1"/>
          <w:sz w:val="24"/>
          <w:szCs w:val="21"/>
          <w:highlight w:val="none"/>
          <w:lang w:eastAsia="zh-CN"/>
          <w14:textFill>
            <w14:solidFill>
              <w14:schemeClr w14:val="tx1"/>
            </w14:solidFill>
          </w14:textFill>
        </w:rPr>
        <w:t>2026年</w:t>
      </w:r>
      <w:r>
        <w:rPr>
          <w:rFonts w:hint="eastAsia" w:ascii="宋体" w:hAnsi="宋体" w:cs="Times New Roman"/>
          <w:color w:val="000000" w:themeColor="text1"/>
          <w:sz w:val="24"/>
          <w:szCs w:val="21"/>
          <w:highlight w:val="none"/>
          <w:lang w:val="en-US" w:eastAsia="zh-CN"/>
          <w14:textFill>
            <w14:solidFill>
              <w14:schemeClr w14:val="tx1"/>
            </w14:solidFill>
          </w14:textFill>
        </w:rPr>
        <w:t>5</w:t>
      </w:r>
      <w:r>
        <w:rPr>
          <w:rFonts w:hint="eastAsia" w:ascii="宋体" w:hAnsi="宋体" w:cs="Times New Roman"/>
          <w:color w:val="000000" w:themeColor="text1"/>
          <w:sz w:val="24"/>
          <w:szCs w:val="21"/>
          <w:highlight w:val="none"/>
          <w:lang w:eastAsia="zh-CN"/>
          <w14:textFill>
            <w14:solidFill>
              <w14:schemeClr w14:val="tx1"/>
            </w14:solidFill>
          </w14:textFill>
        </w:rPr>
        <w:t>月</w:t>
      </w:r>
      <w:r>
        <w:rPr>
          <w:rFonts w:hint="eastAsia" w:ascii="宋体" w:hAnsi="宋体" w:cs="Times New Roman"/>
          <w:color w:val="000000" w:themeColor="text1"/>
          <w:sz w:val="24"/>
          <w:szCs w:val="21"/>
          <w:highlight w:val="none"/>
          <w:lang w:val="en-US" w:eastAsia="zh-CN"/>
          <w14:textFill>
            <w14:solidFill>
              <w14:schemeClr w14:val="tx1"/>
            </w14:solidFill>
          </w14:textFill>
        </w:rPr>
        <w:t xml:space="preserve">21 </w:t>
      </w:r>
      <w:r>
        <w:rPr>
          <w:rFonts w:hint="eastAsia" w:ascii="宋体" w:hAnsi="宋体" w:cs="Times New Roman"/>
          <w:color w:val="000000" w:themeColor="text1"/>
          <w:sz w:val="24"/>
          <w:szCs w:val="21"/>
          <w:highlight w:val="none"/>
          <w:lang w:eastAsia="zh-CN"/>
          <w14:textFill>
            <w14:solidFill>
              <w14:schemeClr w14:val="tx1"/>
            </w14:solidFill>
          </w14:textFill>
        </w:rPr>
        <w:t>日</w:t>
      </w:r>
      <w:r>
        <w:rPr>
          <w:rFonts w:hint="eastAsia" w:ascii="宋体" w:hAnsi="宋体" w:cs="Times New Roman"/>
          <w:color w:val="000000" w:themeColor="text1"/>
          <w:sz w:val="24"/>
          <w:szCs w:val="21"/>
          <w:highlight w:val="none"/>
          <w:lang w:val="en-US" w:eastAsia="zh-CN"/>
          <w14:textFill>
            <w14:solidFill>
              <w14:schemeClr w14:val="tx1"/>
            </w14:solidFill>
          </w14:textFill>
        </w:rPr>
        <w:t>11</w:t>
      </w:r>
      <w:r>
        <w:rPr>
          <w:rFonts w:hint="eastAsia" w:ascii="宋体" w:hAnsi="宋体" w:cs="Times New Roman"/>
          <w:color w:val="000000" w:themeColor="text1"/>
          <w:sz w:val="24"/>
          <w:szCs w:val="21"/>
          <w:highlight w:val="none"/>
          <w14:textFill>
            <w14:solidFill>
              <w14:schemeClr w14:val="tx1"/>
            </w14:solidFill>
          </w14:textFill>
        </w:rPr>
        <w:t>时00分（北京时间）</w:t>
      </w:r>
    </w:p>
    <w:p w14:paraId="1D205563">
      <w:pPr>
        <w:keepNext w:val="0"/>
        <w:keepLines w:val="0"/>
        <w:pageBreakBefore w:val="0"/>
        <w:widowControl w:val="0"/>
        <w:wordWrap/>
        <w:overflowPunct/>
        <w:topLinePunct w:val="0"/>
        <w:bidi w:val="0"/>
        <w:spacing w:line="360" w:lineRule="exact"/>
        <w:jc w:val="left"/>
        <w:textAlignment w:val="auto"/>
        <w:rPr>
          <w:rFonts w:hint="eastAsia" w:ascii="宋体" w:hAnsi="宋体" w:cs="Times New Roman"/>
          <w:color w:val="000000" w:themeColor="text1"/>
          <w:sz w:val="24"/>
          <w:szCs w:val="21"/>
          <w:highlight w:val="none"/>
          <w14:textFill>
            <w14:solidFill>
              <w14:schemeClr w14:val="tx1"/>
            </w14:solidFill>
          </w14:textFill>
        </w:rPr>
      </w:pPr>
      <w:r>
        <w:rPr>
          <w:rFonts w:hint="eastAsia" w:ascii="宋体" w:hAnsi="宋体" w:cs="Times New Roman"/>
          <w:color w:val="000000" w:themeColor="text1"/>
          <w:sz w:val="24"/>
          <w:szCs w:val="21"/>
          <w:highlight w:val="none"/>
          <w14:textFill>
            <w14:solidFill>
              <w14:schemeClr w14:val="tx1"/>
            </w14:solidFill>
          </w14:textFill>
        </w:rPr>
        <w:t>开标地点：政采云平台（https://login.zcygov.cn/user-login/#/login）</w:t>
      </w:r>
      <w:r>
        <w:rPr>
          <w:rFonts w:hint="eastAsia" w:ascii="宋体" w:hAnsi="宋体" w:cs="Times New Roman"/>
          <w:color w:val="000000" w:themeColor="text1"/>
          <w:sz w:val="24"/>
          <w:szCs w:val="21"/>
          <w:highlight w:val="none"/>
          <w:lang w:eastAsia="zh-CN"/>
          <w14:textFill>
            <w14:solidFill>
              <w14:schemeClr w14:val="tx1"/>
            </w14:solidFill>
          </w14:textFill>
        </w:rPr>
        <w:t>不见面开标</w:t>
      </w:r>
    </w:p>
    <w:p w14:paraId="40AE3A95">
      <w:pPr>
        <w:keepNext w:val="0"/>
        <w:keepLines w:val="0"/>
        <w:pageBreakBefore w:val="0"/>
        <w:widowControl w:val="0"/>
        <w:wordWrap/>
        <w:overflowPunct/>
        <w:topLinePunct w:val="0"/>
        <w:bidi w:val="0"/>
        <w:snapToGrid w:val="0"/>
        <w:spacing w:line="360" w:lineRule="exact"/>
        <w:jc w:val="left"/>
        <w:rPr>
          <w:rStyle w:val="37"/>
          <w:rFonts w:hint="eastAsia" w:ascii="宋体" w:hAnsi="宋体" w:cs="Times New Roman"/>
          <w:b/>
          <w:bCs/>
          <w:color w:val="000000" w:themeColor="text1"/>
          <w:sz w:val="24"/>
          <w:szCs w:val="21"/>
          <w:highlight w:val="none"/>
          <w14:textFill>
            <w14:solidFill>
              <w14:schemeClr w14:val="tx1"/>
            </w14:solidFill>
          </w14:textFill>
        </w:rPr>
      </w:pPr>
      <w:r>
        <w:rPr>
          <w:rStyle w:val="37"/>
          <w:rFonts w:ascii="宋体" w:hAnsi="宋体" w:cs="Times New Roman"/>
          <w:b/>
          <w:bCs/>
          <w:color w:val="000000" w:themeColor="text1"/>
          <w:sz w:val="24"/>
          <w:szCs w:val="21"/>
          <w:highlight w:val="none"/>
          <w14:textFill>
            <w14:solidFill>
              <w14:schemeClr w14:val="tx1"/>
            </w14:solidFill>
          </w14:textFill>
        </w:rPr>
        <w:t>五、公告期限</w:t>
      </w:r>
    </w:p>
    <w:p w14:paraId="6F3C8465">
      <w:pPr>
        <w:keepNext w:val="0"/>
        <w:keepLines w:val="0"/>
        <w:pageBreakBefore w:val="0"/>
        <w:widowControl w:val="0"/>
        <w:wordWrap/>
        <w:overflowPunct/>
        <w:topLinePunct w:val="0"/>
        <w:bidi w:val="0"/>
        <w:snapToGrid w:val="0"/>
        <w:spacing w:line="360" w:lineRule="exact"/>
        <w:jc w:val="left"/>
        <w:rPr>
          <w:color w:val="000000" w:themeColor="text1"/>
          <w:highlight w:val="none"/>
          <w14:textFill>
            <w14:solidFill>
              <w14:schemeClr w14:val="tx1"/>
            </w14:solidFill>
          </w14:textFill>
        </w:rPr>
      </w:pPr>
      <w:r>
        <w:rPr>
          <w:rStyle w:val="37"/>
          <w:rFonts w:ascii="宋体" w:hAnsi="宋体"/>
          <w:color w:val="000000" w:themeColor="text1"/>
          <w:sz w:val="24"/>
          <w:szCs w:val="21"/>
          <w:highlight w:val="none"/>
          <w14:textFill>
            <w14:solidFill>
              <w14:schemeClr w14:val="tx1"/>
            </w14:solidFill>
          </w14:textFill>
        </w:rPr>
        <w:t>自本公告发布之日起5个工作日。</w:t>
      </w:r>
    </w:p>
    <w:p w14:paraId="2BFCA094">
      <w:pPr>
        <w:keepNext w:val="0"/>
        <w:keepLines w:val="0"/>
        <w:pageBreakBefore w:val="0"/>
        <w:widowControl w:val="0"/>
        <w:numPr>
          <w:ilvl w:val="0"/>
          <w:numId w:val="11"/>
        </w:numPr>
        <w:wordWrap/>
        <w:overflowPunct/>
        <w:topLinePunct w:val="0"/>
        <w:bidi w:val="0"/>
        <w:snapToGrid w:val="0"/>
        <w:spacing w:line="360" w:lineRule="exact"/>
        <w:jc w:val="left"/>
        <w:rPr>
          <w:rStyle w:val="37"/>
          <w:rFonts w:hint="eastAsia" w:ascii="宋体" w:hAnsi="宋体"/>
          <w:color w:val="000000" w:themeColor="text1"/>
          <w:sz w:val="24"/>
          <w:szCs w:val="21"/>
          <w:highlight w:val="none"/>
          <w14:textFill>
            <w14:solidFill>
              <w14:schemeClr w14:val="tx1"/>
            </w14:solidFill>
          </w14:textFill>
        </w:rPr>
      </w:pPr>
      <w:r>
        <w:rPr>
          <w:rStyle w:val="37"/>
          <w:rFonts w:ascii="宋体" w:hAnsi="宋体" w:cs="Times New Roman"/>
          <w:b/>
          <w:bCs/>
          <w:color w:val="000000" w:themeColor="text1"/>
          <w:sz w:val="24"/>
          <w:szCs w:val="21"/>
          <w:highlight w:val="none"/>
          <w14:textFill>
            <w14:solidFill>
              <w14:schemeClr w14:val="tx1"/>
            </w14:solidFill>
          </w14:textFill>
        </w:rPr>
        <w:t>其他补充事宜</w:t>
      </w:r>
      <w:r>
        <w:rPr>
          <w:rStyle w:val="37"/>
          <w:rFonts w:ascii="宋体" w:hAnsi="宋体"/>
          <w:color w:val="000000" w:themeColor="text1"/>
          <w:sz w:val="24"/>
          <w:szCs w:val="21"/>
          <w:highlight w:val="none"/>
          <w14:textFill>
            <w14:solidFill>
              <w14:schemeClr w14:val="tx1"/>
            </w14:solidFill>
          </w14:textFill>
        </w:rPr>
        <w:t>：</w:t>
      </w:r>
    </w:p>
    <w:p w14:paraId="0F5A5526">
      <w:pPr>
        <w:keepNext w:val="0"/>
        <w:keepLines w:val="0"/>
        <w:pageBreakBefore w:val="0"/>
        <w:widowControl w:val="0"/>
        <w:numPr>
          <w:ilvl w:val="0"/>
          <w:numId w:val="12"/>
        </w:numPr>
        <w:wordWrap/>
        <w:overflowPunct/>
        <w:topLinePunct w:val="0"/>
        <w:bidi w:val="0"/>
        <w:snapToGrid w:val="0"/>
        <w:spacing w:line="360" w:lineRule="exact"/>
        <w:ind w:firstLine="480" w:firstLineChars="200"/>
        <w:jc w:val="left"/>
        <w:rPr>
          <w:rFonts w:hint="eastAsia"/>
          <w:highlight w:val="none"/>
        </w:rPr>
      </w:pPr>
      <w:r>
        <w:rPr>
          <w:rStyle w:val="37"/>
          <w:rFonts w:ascii="宋体" w:hAnsi="宋体"/>
          <w:color w:val="000000" w:themeColor="text1"/>
          <w:sz w:val="24"/>
          <w:szCs w:val="21"/>
          <w:highlight w:val="none"/>
          <w14:textFill>
            <w14:solidFill>
              <w14:schemeClr w14:val="tx1"/>
            </w14:solidFill>
          </w14:textFill>
        </w:rPr>
        <w:t>本项目公告期限为5个工作日，供应商认为采购文件使自己的权益受到损害的，可以自采购文件公告期限届满之日（公告发布后的第6个工作日）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具体开标时间以招标文件为准。</w:t>
      </w:r>
    </w:p>
    <w:p w14:paraId="2FA69AF7">
      <w:pPr>
        <w:keepNext w:val="0"/>
        <w:keepLines w:val="0"/>
        <w:pageBreakBefore w:val="0"/>
        <w:widowControl w:val="0"/>
        <w:numPr>
          <w:ilvl w:val="0"/>
          <w:numId w:val="11"/>
        </w:numPr>
        <w:wordWrap/>
        <w:overflowPunct/>
        <w:topLinePunct w:val="0"/>
        <w:bidi w:val="0"/>
        <w:snapToGrid w:val="0"/>
        <w:spacing w:line="360" w:lineRule="exact"/>
        <w:jc w:val="left"/>
        <w:rPr>
          <w:rStyle w:val="37"/>
          <w:color w:val="000000" w:themeColor="text1"/>
          <w:highlight w:val="none"/>
          <w14:textFill>
            <w14:solidFill>
              <w14:schemeClr w14:val="tx1"/>
            </w14:solidFill>
          </w14:textFill>
        </w:rPr>
      </w:pPr>
      <w:r>
        <w:rPr>
          <w:rStyle w:val="37"/>
          <w:rFonts w:ascii="宋体" w:hAnsi="宋体" w:cs="Times New Roman"/>
          <w:b/>
          <w:bCs/>
          <w:color w:val="000000" w:themeColor="text1"/>
          <w:sz w:val="24"/>
          <w:szCs w:val="21"/>
          <w:highlight w:val="none"/>
          <w14:textFill>
            <w14:solidFill>
              <w14:schemeClr w14:val="tx1"/>
            </w14:solidFill>
          </w14:textFill>
        </w:rPr>
        <w:t>对本次招标提出询问，请按以下方式联系。</w:t>
      </w:r>
    </w:p>
    <w:p w14:paraId="559E7AC8">
      <w:pPr>
        <w:keepNext w:val="0"/>
        <w:keepLines w:val="0"/>
        <w:pageBreakBefore w:val="0"/>
        <w:widowControl w:val="0"/>
        <w:wordWrap/>
        <w:overflowPunct/>
        <w:topLinePunct w:val="0"/>
        <w:bidi w:val="0"/>
        <w:snapToGrid w:val="0"/>
        <w:spacing w:line="360" w:lineRule="exact"/>
        <w:jc w:val="left"/>
        <w:rPr>
          <w:rStyle w:val="37"/>
          <w:rFonts w:hint="eastAsia" w:ascii="宋体" w:hAnsi="宋体" w:cs="Times New Roman"/>
          <w:b/>
          <w:bCs/>
          <w:color w:val="000000" w:themeColor="text1"/>
          <w:sz w:val="24"/>
          <w:szCs w:val="21"/>
          <w:highlight w:val="none"/>
          <w14:textFill>
            <w14:solidFill>
              <w14:schemeClr w14:val="tx1"/>
            </w14:solidFill>
          </w14:textFill>
        </w:rPr>
      </w:pPr>
      <w:r>
        <w:rPr>
          <w:rStyle w:val="37"/>
          <w:rFonts w:ascii="宋体" w:hAnsi="宋体" w:cs="Times New Roman"/>
          <w:b/>
          <w:bCs/>
          <w:color w:val="000000" w:themeColor="text1"/>
          <w:sz w:val="24"/>
          <w:szCs w:val="21"/>
          <w:highlight w:val="none"/>
          <w14:textFill>
            <w14:solidFill>
              <w14:schemeClr w14:val="tx1"/>
            </w14:solidFill>
          </w14:textFill>
        </w:rPr>
        <w:t>1.采购人信息</w:t>
      </w:r>
    </w:p>
    <w:p w14:paraId="425BD2D7">
      <w:pPr>
        <w:keepNext w:val="0"/>
        <w:keepLines w:val="0"/>
        <w:pageBreakBefore w:val="0"/>
        <w:widowControl w:val="0"/>
        <w:wordWrap/>
        <w:overflowPunct/>
        <w:topLinePunct w:val="0"/>
        <w:bidi w:val="0"/>
        <w:spacing w:line="360" w:lineRule="exact"/>
        <w:jc w:val="left"/>
        <w:textAlignment w:val="auto"/>
        <w:rPr>
          <w:rFonts w:hint="eastAsia" w:ascii="宋体" w:hAnsi="宋体"/>
          <w:color w:val="000000" w:themeColor="text1"/>
          <w:sz w:val="24"/>
          <w:szCs w:val="21"/>
          <w:highlight w:val="none"/>
          <w14:textFill>
            <w14:solidFill>
              <w14:schemeClr w14:val="tx1"/>
            </w14:solidFill>
          </w14:textFill>
        </w:rPr>
      </w:pPr>
      <w:r>
        <w:rPr>
          <w:rFonts w:hint="eastAsia" w:ascii="宋体" w:hAnsi="宋体"/>
          <w:color w:val="000000" w:themeColor="text1"/>
          <w:sz w:val="24"/>
          <w:szCs w:val="21"/>
          <w:highlight w:val="none"/>
          <w14:textFill>
            <w14:solidFill>
              <w14:schemeClr w14:val="tx1"/>
            </w14:solidFill>
          </w14:textFill>
        </w:rPr>
        <w:t>名称：</w:t>
      </w:r>
      <w:r>
        <w:rPr>
          <w:rFonts w:hint="eastAsia" w:ascii="宋体" w:hAnsi="宋体" w:cs="宋体"/>
          <w:color w:val="000000" w:themeColor="text1"/>
          <w:sz w:val="24"/>
          <w:highlight w:val="none"/>
          <w:lang w:eastAsia="zh-CN"/>
          <w14:textFill>
            <w14:solidFill>
              <w14:schemeClr w14:val="tx1"/>
            </w14:solidFill>
          </w14:textFill>
        </w:rPr>
        <w:t>伽师县教育局</w:t>
      </w:r>
      <w:r>
        <w:rPr>
          <w:rFonts w:hint="eastAsia" w:ascii="宋体" w:hAnsi="宋体"/>
          <w:color w:val="000000" w:themeColor="text1"/>
          <w:sz w:val="24"/>
          <w:szCs w:val="21"/>
          <w:highlight w:val="none"/>
          <w14:textFill>
            <w14:solidFill>
              <w14:schemeClr w14:val="tx1"/>
            </w14:solidFill>
          </w14:textFill>
        </w:rPr>
        <w:t>　　　　</w:t>
      </w:r>
    </w:p>
    <w:p w14:paraId="00AAE602">
      <w:pPr>
        <w:keepNext w:val="0"/>
        <w:keepLines w:val="0"/>
        <w:pageBreakBefore w:val="0"/>
        <w:widowControl w:val="0"/>
        <w:wordWrap/>
        <w:overflowPunct/>
        <w:topLinePunct w:val="0"/>
        <w:bidi w:val="0"/>
        <w:spacing w:line="360" w:lineRule="exact"/>
        <w:jc w:val="left"/>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地址：</w:t>
      </w:r>
      <w:r>
        <w:rPr>
          <w:rFonts w:hint="eastAsia" w:ascii="宋体" w:hAnsi="宋体" w:cs="宋体"/>
          <w:color w:val="000000" w:themeColor="text1"/>
          <w:sz w:val="24"/>
          <w:highlight w:val="none"/>
          <w:lang w:eastAsia="zh-CN"/>
          <w14:textFill>
            <w14:solidFill>
              <w14:schemeClr w14:val="tx1"/>
            </w14:solidFill>
          </w14:textFill>
        </w:rPr>
        <w:t>伽师县</w:t>
      </w:r>
      <w:r>
        <w:rPr>
          <w:rFonts w:hint="eastAsia" w:ascii="宋体" w:hAnsi="宋体" w:cs="宋体"/>
          <w:color w:val="000000" w:themeColor="text1"/>
          <w:sz w:val="24"/>
          <w:highlight w:val="none"/>
          <w:lang w:val="en-US" w:eastAsia="zh-CN"/>
          <w14:textFill>
            <w14:solidFill>
              <w14:schemeClr w14:val="tx1"/>
            </w14:solidFill>
          </w14:textFill>
        </w:rPr>
        <w:t>园区路</w:t>
      </w:r>
      <w:r>
        <w:rPr>
          <w:rFonts w:hint="eastAsia" w:ascii="宋体" w:hAnsi="宋体" w:cs="宋体"/>
          <w:color w:val="000000" w:themeColor="text1"/>
          <w:sz w:val="24"/>
          <w:highlight w:val="none"/>
          <w:lang w:eastAsia="zh-CN"/>
          <w14:textFill>
            <w14:solidFill>
              <w14:schemeClr w14:val="tx1"/>
            </w14:solidFill>
          </w14:textFill>
        </w:rPr>
        <w:t>3</w:t>
      </w:r>
      <w:r>
        <w:rPr>
          <w:rFonts w:hint="eastAsia" w:ascii="宋体" w:hAnsi="宋体" w:cs="宋体"/>
          <w:color w:val="000000" w:themeColor="text1"/>
          <w:sz w:val="24"/>
          <w:highlight w:val="none"/>
          <w:lang w:val="en-US" w:eastAsia="zh-CN"/>
          <w14:textFill>
            <w14:solidFill>
              <w14:schemeClr w14:val="tx1"/>
            </w14:solidFill>
          </w14:textFill>
        </w:rPr>
        <w:t>0</w:t>
      </w:r>
      <w:r>
        <w:rPr>
          <w:rFonts w:hint="eastAsia" w:ascii="宋体" w:hAnsi="宋体" w:cs="宋体"/>
          <w:color w:val="000000" w:themeColor="text1"/>
          <w:sz w:val="24"/>
          <w:highlight w:val="none"/>
          <w:lang w:eastAsia="zh-CN"/>
          <w14:textFill>
            <w14:solidFill>
              <w14:schemeClr w14:val="tx1"/>
            </w14:solidFill>
          </w14:textFill>
        </w:rPr>
        <w:t>号</w:t>
      </w:r>
      <w:r>
        <w:rPr>
          <w:rFonts w:hint="eastAsia" w:ascii="宋体" w:hAnsi="宋体" w:cs="宋体"/>
          <w:color w:val="000000" w:themeColor="text1"/>
          <w:sz w:val="24"/>
          <w:highlight w:val="none"/>
          <w14:textFill>
            <w14:solidFill>
              <w14:schemeClr w14:val="tx1"/>
            </w14:solidFill>
          </w14:textFill>
        </w:rPr>
        <w:t>　　</w:t>
      </w:r>
    </w:p>
    <w:p w14:paraId="59AE952C">
      <w:pPr>
        <w:keepNext w:val="0"/>
        <w:keepLines w:val="0"/>
        <w:pageBreakBefore w:val="0"/>
        <w:widowControl w:val="0"/>
        <w:wordWrap/>
        <w:overflowPunct/>
        <w:topLinePunct w:val="0"/>
        <w:bidi w:val="0"/>
        <w:spacing w:line="360" w:lineRule="exact"/>
        <w:jc w:val="left"/>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联系人：</w:t>
      </w:r>
      <w:r>
        <w:rPr>
          <w:rFonts w:hint="eastAsia" w:ascii="宋体" w:hAnsi="宋体" w:cs="宋体"/>
          <w:color w:val="000000" w:themeColor="text1"/>
          <w:sz w:val="24"/>
          <w:highlight w:val="none"/>
          <w:lang w:val="en-US" w:eastAsia="zh-CN"/>
          <w14:textFill>
            <w14:solidFill>
              <w14:schemeClr w14:val="tx1"/>
            </w14:solidFill>
          </w14:textFill>
        </w:rPr>
        <w:t>蔡秀伟</w:t>
      </w:r>
      <w:r>
        <w:rPr>
          <w:rFonts w:hint="eastAsia" w:ascii="宋体" w:hAnsi="宋体" w:cs="宋体"/>
          <w:color w:val="000000" w:themeColor="text1"/>
          <w:sz w:val="24"/>
          <w:highlight w:val="none"/>
          <w14:textFill>
            <w14:solidFill>
              <w14:schemeClr w14:val="tx1"/>
            </w14:solidFill>
          </w14:textFill>
        </w:rPr>
        <w:t>　　　　　　　</w:t>
      </w:r>
    </w:p>
    <w:p w14:paraId="0BEDB1C0">
      <w:pPr>
        <w:keepNext w:val="0"/>
        <w:keepLines w:val="0"/>
        <w:pageBreakBefore w:val="0"/>
        <w:widowControl w:val="0"/>
        <w:wordWrap/>
        <w:overflowPunct/>
        <w:topLinePunct w:val="0"/>
        <w:bidi w:val="0"/>
        <w:spacing w:line="360" w:lineRule="exact"/>
        <w:jc w:val="left"/>
        <w:textAlignment w:val="auto"/>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联系方式：</w:t>
      </w:r>
      <w:r>
        <w:rPr>
          <w:rFonts w:hint="eastAsia" w:ascii="宋体" w:hAnsi="宋体" w:cs="宋体"/>
          <w:color w:val="000000" w:themeColor="text1"/>
          <w:sz w:val="24"/>
          <w:highlight w:val="none"/>
          <w:lang w:val="en-US" w:eastAsia="zh-CN"/>
          <w14:textFill>
            <w14:solidFill>
              <w14:schemeClr w14:val="tx1"/>
            </w14:solidFill>
          </w14:textFill>
        </w:rPr>
        <w:t>15999320380</w:t>
      </w:r>
    </w:p>
    <w:p w14:paraId="43A90E8B">
      <w:pPr>
        <w:keepNext w:val="0"/>
        <w:keepLines w:val="0"/>
        <w:pageBreakBefore w:val="0"/>
        <w:widowControl w:val="0"/>
        <w:wordWrap/>
        <w:overflowPunct/>
        <w:topLinePunct w:val="0"/>
        <w:bidi w:val="0"/>
        <w:spacing w:line="360" w:lineRule="exact"/>
        <w:jc w:val="left"/>
        <w:textAlignment w:val="auto"/>
        <w:rPr>
          <w:rFonts w:hint="eastAsia" w:ascii="宋体" w:hAnsi="宋体"/>
          <w:b/>
          <w:bCs/>
          <w:color w:val="000000" w:themeColor="text1"/>
          <w:sz w:val="24"/>
          <w:szCs w:val="21"/>
          <w:highlight w:val="none"/>
          <w14:textFill>
            <w14:solidFill>
              <w14:schemeClr w14:val="tx1"/>
            </w14:solidFill>
          </w14:textFill>
        </w:rPr>
      </w:pPr>
      <w:r>
        <w:rPr>
          <w:rFonts w:hint="eastAsia" w:ascii="宋体" w:hAnsi="宋体"/>
          <w:b/>
          <w:bCs/>
          <w:color w:val="000000" w:themeColor="text1"/>
          <w:sz w:val="24"/>
          <w:szCs w:val="21"/>
          <w:highlight w:val="none"/>
          <w14:textFill>
            <w14:solidFill>
              <w14:schemeClr w14:val="tx1"/>
            </w14:solidFill>
          </w14:textFill>
        </w:rPr>
        <w:t>2.采购代理机构信息</w:t>
      </w:r>
    </w:p>
    <w:p w14:paraId="05528808">
      <w:pPr>
        <w:keepNext w:val="0"/>
        <w:keepLines w:val="0"/>
        <w:pageBreakBefore w:val="0"/>
        <w:widowControl w:val="0"/>
        <w:wordWrap/>
        <w:overflowPunct/>
        <w:topLinePunct w:val="0"/>
        <w:bidi w:val="0"/>
        <w:spacing w:line="360" w:lineRule="exact"/>
        <w:jc w:val="left"/>
        <w:textAlignment w:val="auto"/>
        <w:rPr>
          <w:rFonts w:hint="eastAsia" w:ascii="宋体" w:hAnsi="宋体"/>
          <w:color w:val="000000" w:themeColor="text1"/>
          <w:sz w:val="24"/>
          <w:szCs w:val="21"/>
          <w:highlight w:val="none"/>
          <w14:textFill>
            <w14:solidFill>
              <w14:schemeClr w14:val="tx1"/>
            </w14:solidFill>
          </w14:textFill>
        </w:rPr>
      </w:pPr>
      <w:r>
        <w:rPr>
          <w:rFonts w:hint="eastAsia" w:ascii="宋体" w:hAnsi="宋体"/>
          <w:color w:val="000000" w:themeColor="text1"/>
          <w:sz w:val="24"/>
          <w:szCs w:val="21"/>
          <w:highlight w:val="none"/>
          <w14:textFill>
            <w14:solidFill>
              <w14:schemeClr w14:val="tx1"/>
            </w14:solidFill>
          </w14:textFill>
        </w:rPr>
        <w:t>名称：伽师县政府采购中心　</w:t>
      </w:r>
    </w:p>
    <w:p w14:paraId="27ED26F5">
      <w:pPr>
        <w:keepNext w:val="0"/>
        <w:keepLines w:val="0"/>
        <w:pageBreakBefore w:val="0"/>
        <w:widowControl w:val="0"/>
        <w:wordWrap/>
        <w:overflowPunct/>
        <w:topLinePunct w:val="0"/>
        <w:bidi w:val="0"/>
        <w:spacing w:line="360" w:lineRule="exact"/>
        <w:jc w:val="left"/>
        <w:textAlignment w:val="auto"/>
        <w:rPr>
          <w:rFonts w:hint="eastAsia" w:ascii="宋体" w:hAnsi="宋体"/>
          <w:color w:val="000000" w:themeColor="text1"/>
          <w:sz w:val="24"/>
          <w:szCs w:val="21"/>
          <w:highlight w:val="none"/>
          <w14:textFill>
            <w14:solidFill>
              <w14:schemeClr w14:val="tx1"/>
            </w14:solidFill>
          </w14:textFill>
        </w:rPr>
      </w:pPr>
      <w:r>
        <w:rPr>
          <w:rFonts w:hint="eastAsia" w:ascii="宋体" w:hAnsi="宋体"/>
          <w:color w:val="000000" w:themeColor="text1"/>
          <w:sz w:val="24"/>
          <w:szCs w:val="21"/>
          <w:highlight w:val="none"/>
          <w14:textFill>
            <w14:solidFill>
              <w14:schemeClr w14:val="tx1"/>
            </w14:solidFill>
          </w14:textFill>
        </w:rPr>
        <w:t>地　址：伽师县行政审批局四楼（伽师县花园路3号）　</w:t>
      </w:r>
    </w:p>
    <w:p w14:paraId="3B7EF2BD">
      <w:pPr>
        <w:keepNext w:val="0"/>
        <w:keepLines w:val="0"/>
        <w:pageBreakBefore w:val="0"/>
        <w:widowControl w:val="0"/>
        <w:wordWrap/>
        <w:overflowPunct/>
        <w:topLinePunct w:val="0"/>
        <w:bidi w:val="0"/>
        <w:spacing w:line="360" w:lineRule="exact"/>
        <w:jc w:val="left"/>
        <w:textAlignment w:val="auto"/>
        <w:rPr>
          <w:rFonts w:hint="eastAsia" w:ascii="宋体" w:hAnsi="宋体" w:eastAsia="宋体"/>
          <w:color w:val="000000" w:themeColor="text1"/>
          <w:sz w:val="24"/>
          <w:szCs w:val="21"/>
          <w:highlight w:val="none"/>
          <w14:textFill>
            <w14:solidFill>
              <w14:schemeClr w14:val="tx1"/>
            </w14:solidFill>
          </w14:textFill>
        </w:rPr>
      </w:pPr>
      <w:r>
        <w:rPr>
          <w:rFonts w:hint="eastAsia" w:ascii="宋体" w:hAnsi="宋体"/>
          <w:color w:val="000000" w:themeColor="text1"/>
          <w:sz w:val="24"/>
          <w:szCs w:val="21"/>
          <w:highlight w:val="none"/>
          <w14:textFill>
            <w14:solidFill>
              <w14:schemeClr w14:val="tx1"/>
            </w14:solidFill>
          </w14:textFill>
        </w:rPr>
        <w:t>项目联系人：</w:t>
      </w:r>
      <w:r>
        <w:rPr>
          <w:rFonts w:hint="eastAsia" w:ascii="宋体" w:hAnsi="宋体" w:eastAsia="宋体"/>
          <w:color w:val="000000" w:themeColor="text1"/>
          <w:sz w:val="24"/>
          <w:szCs w:val="21"/>
          <w:highlight w:val="none"/>
          <w14:textFill>
            <w14:solidFill>
              <w14:schemeClr w14:val="tx1"/>
            </w14:solidFill>
          </w14:textFill>
        </w:rPr>
        <w:t>贺欢欢</w:t>
      </w:r>
    </w:p>
    <w:p w14:paraId="7E2EFF65">
      <w:pPr>
        <w:keepNext w:val="0"/>
        <w:keepLines w:val="0"/>
        <w:pageBreakBefore w:val="0"/>
        <w:widowControl w:val="0"/>
        <w:wordWrap/>
        <w:overflowPunct/>
        <w:topLinePunct w:val="0"/>
        <w:bidi w:val="0"/>
        <w:spacing w:line="360" w:lineRule="exact"/>
        <w:jc w:val="left"/>
        <w:textAlignment w:val="auto"/>
        <w:rPr>
          <w:rFonts w:hint="eastAsia" w:ascii="仿宋_GB2312" w:hAnsi="宋体" w:eastAsia="仿宋_GB2312"/>
          <w:color w:val="000000" w:themeColor="text1"/>
          <w:sz w:val="24"/>
          <w:highlight w:val="none"/>
          <w14:textFill>
            <w14:solidFill>
              <w14:schemeClr w14:val="tx1"/>
            </w14:solidFill>
          </w14:textFill>
        </w:rPr>
      </w:pPr>
      <w:r>
        <w:rPr>
          <w:rFonts w:hint="eastAsia" w:ascii="宋体" w:hAnsi="宋体"/>
          <w:color w:val="000000" w:themeColor="text1"/>
          <w:sz w:val="24"/>
          <w:szCs w:val="21"/>
          <w:highlight w:val="none"/>
          <w14:textFill>
            <w14:solidFill>
              <w14:schemeClr w14:val="tx1"/>
            </w14:solidFill>
          </w14:textFill>
        </w:rPr>
        <w:t>联系方式：</w:t>
      </w:r>
      <w:r>
        <w:rPr>
          <w:rFonts w:hint="eastAsia" w:ascii="宋体" w:hAnsi="宋体"/>
          <w:color w:val="000000" w:themeColor="text1"/>
          <w:sz w:val="24"/>
          <w:szCs w:val="21"/>
          <w:highlight w:val="none"/>
          <w:lang w:val="en-US" w:eastAsia="zh-CN"/>
          <w14:textFill>
            <w14:solidFill>
              <w14:schemeClr w14:val="tx1"/>
            </w14:solidFill>
          </w14:textFill>
        </w:rPr>
        <w:t>13579055005</w:t>
      </w:r>
      <w:r>
        <w:rPr>
          <w:rFonts w:hint="eastAsia" w:ascii="仿宋_GB2312" w:hAnsi="宋体" w:eastAsia="仿宋_GB2312"/>
          <w:color w:val="000000" w:themeColor="text1"/>
          <w:sz w:val="24"/>
          <w:highlight w:val="none"/>
          <w14:textFill>
            <w14:solidFill>
              <w14:schemeClr w14:val="tx1"/>
            </w14:solidFill>
          </w14:textFill>
        </w:rPr>
        <w:t>　</w:t>
      </w:r>
    </w:p>
    <w:p w14:paraId="04705D0C">
      <w:pPr>
        <w:keepNext w:val="0"/>
        <w:keepLines w:val="0"/>
        <w:pageBreakBefore w:val="0"/>
        <w:widowControl w:val="0"/>
        <w:wordWrap/>
        <w:overflowPunct/>
        <w:topLinePunct w:val="0"/>
        <w:bidi w:val="0"/>
        <w:spacing w:line="360" w:lineRule="exact"/>
        <w:jc w:val="left"/>
        <w:textAlignment w:val="auto"/>
        <w:rPr>
          <w:rFonts w:hint="eastAsia" w:ascii="宋体" w:hAnsi="宋体"/>
          <w:color w:val="000000" w:themeColor="text1"/>
          <w:sz w:val="24"/>
          <w:szCs w:val="21"/>
          <w:highlight w:val="none"/>
          <w14:textFill>
            <w14:solidFill>
              <w14:schemeClr w14:val="tx1"/>
            </w14:solidFill>
          </w14:textFill>
        </w:rPr>
      </w:pPr>
      <w:r>
        <w:rPr>
          <w:rFonts w:hint="eastAsia" w:ascii="宋体" w:hAnsi="宋体"/>
          <w:color w:val="000000" w:themeColor="text1"/>
          <w:sz w:val="24"/>
          <w:szCs w:val="21"/>
          <w:highlight w:val="none"/>
          <w14:textFill>
            <w14:solidFill>
              <w14:schemeClr w14:val="tx1"/>
            </w14:solidFill>
          </w14:textFill>
        </w:rPr>
        <w:t>3.同级政府采购监督管理部门名称:伽师县政府采购办</w:t>
      </w:r>
    </w:p>
    <w:p w14:paraId="686691FA">
      <w:pPr>
        <w:keepNext w:val="0"/>
        <w:keepLines w:val="0"/>
        <w:pageBreakBefore w:val="0"/>
        <w:widowControl w:val="0"/>
        <w:wordWrap/>
        <w:overflowPunct/>
        <w:topLinePunct w:val="0"/>
        <w:bidi w:val="0"/>
        <w:spacing w:line="360" w:lineRule="exact"/>
        <w:jc w:val="left"/>
        <w:textAlignment w:val="auto"/>
        <w:rPr>
          <w:rFonts w:hint="eastAsia" w:ascii="宋体" w:hAnsi="宋体"/>
          <w:color w:val="000000" w:themeColor="text1"/>
          <w:sz w:val="24"/>
          <w:szCs w:val="21"/>
          <w:highlight w:val="none"/>
          <w14:textFill>
            <w14:solidFill>
              <w14:schemeClr w14:val="tx1"/>
            </w14:solidFill>
          </w14:textFill>
        </w:rPr>
      </w:pPr>
      <w:r>
        <w:rPr>
          <w:rFonts w:hint="eastAsia" w:ascii="宋体" w:hAnsi="宋体"/>
          <w:color w:val="000000" w:themeColor="text1"/>
          <w:sz w:val="24"/>
          <w:szCs w:val="21"/>
          <w:highlight w:val="none"/>
          <w14:textFill>
            <w14:solidFill>
              <w14:schemeClr w14:val="tx1"/>
            </w14:solidFill>
          </w14:textFill>
        </w:rPr>
        <w:t>联系人：阿依努尔</w:t>
      </w:r>
    </w:p>
    <w:p w14:paraId="057FF8CB">
      <w:pPr>
        <w:keepNext w:val="0"/>
        <w:keepLines w:val="0"/>
        <w:pageBreakBefore w:val="0"/>
        <w:widowControl w:val="0"/>
        <w:wordWrap/>
        <w:overflowPunct/>
        <w:topLinePunct w:val="0"/>
        <w:bidi w:val="0"/>
        <w:spacing w:line="360" w:lineRule="exact"/>
        <w:jc w:val="left"/>
        <w:textAlignment w:val="auto"/>
        <w:rPr>
          <w:rFonts w:hint="default" w:ascii="宋体" w:hAnsi="宋体" w:eastAsia="宋体"/>
          <w:color w:val="000000" w:themeColor="text1"/>
          <w:sz w:val="24"/>
          <w:szCs w:val="21"/>
          <w:highlight w:val="none"/>
          <w:lang w:val="en-US" w:eastAsia="zh-CN"/>
          <w14:textFill>
            <w14:solidFill>
              <w14:schemeClr w14:val="tx1"/>
            </w14:solidFill>
          </w14:textFill>
        </w:rPr>
      </w:pPr>
      <w:r>
        <w:rPr>
          <w:rFonts w:hint="eastAsia" w:ascii="宋体" w:hAnsi="宋体"/>
          <w:color w:val="000000" w:themeColor="text1"/>
          <w:sz w:val="24"/>
          <w:szCs w:val="21"/>
          <w:highlight w:val="none"/>
          <w14:textFill>
            <w14:solidFill>
              <w14:schemeClr w14:val="tx1"/>
            </w14:solidFill>
          </w14:textFill>
        </w:rPr>
        <w:t>监督投诉电话：</w:t>
      </w:r>
      <w:r>
        <w:rPr>
          <w:rFonts w:hint="eastAsia" w:ascii="宋体" w:hAnsi="宋体"/>
          <w:color w:val="000000" w:themeColor="text1"/>
          <w:sz w:val="24"/>
          <w:szCs w:val="21"/>
          <w:highlight w:val="none"/>
          <w:lang w:val="en-US" w:eastAsia="zh-CN"/>
          <w14:textFill>
            <w14:solidFill>
              <w14:schemeClr w14:val="tx1"/>
            </w14:solidFill>
          </w14:textFill>
        </w:rPr>
        <w:t>15384946619</w:t>
      </w:r>
    </w:p>
    <w:p w14:paraId="4F1540B0">
      <w:pPr>
        <w:pStyle w:val="20"/>
        <w:keepNext w:val="0"/>
        <w:keepLines w:val="0"/>
        <w:pageBreakBefore w:val="0"/>
        <w:widowControl w:val="0"/>
        <w:wordWrap/>
        <w:overflowPunct/>
        <w:topLinePunct w:val="0"/>
        <w:bidi w:val="0"/>
        <w:rPr>
          <w:rFonts w:hint="eastAsia"/>
          <w:highlight w:val="none"/>
        </w:rPr>
      </w:pPr>
    </w:p>
    <w:p w14:paraId="21EF7083">
      <w:pPr>
        <w:pStyle w:val="10"/>
        <w:rPr>
          <w:rFonts w:hint="eastAsia"/>
          <w:highlight w:val="none"/>
        </w:rPr>
      </w:pPr>
    </w:p>
    <w:p w14:paraId="78376706">
      <w:pPr>
        <w:pStyle w:val="24"/>
        <w:rPr>
          <w:rFonts w:hint="eastAsia"/>
          <w:highlight w:val="none"/>
        </w:rPr>
      </w:pPr>
    </w:p>
    <w:p w14:paraId="7985BD53">
      <w:pPr>
        <w:rPr>
          <w:rFonts w:hint="eastAsia"/>
          <w:highlight w:val="none"/>
        </w:rPr>
      </w:pPr>
    </w:p>
    <w:p w14:paraId="05F2C7D3">
      <w:pPr>
        <w:rPr>
          <w:rFonts w:hint="eastAsia"/>
          <w:highlight w:val="none"/>
        </w:rPr>
      </w:pPr>
    </w:p>
    <w:p w14:paraId="4D7D3FF5">
      <w:pPr>
        <w:rPr>
          <w:rFonts w:hint="eastAsia"/>
          <w:highlight w:val="none"/>
        </w:rPr>
      </w:pPr>
    </w:p>
    <w:p w14:paraId="31845850">
      <w:pPr>
        <w:rPr>
          <w:rFonts w:hint="eastAsia"/>
          <w:highlight w:val="none"/>
        </w:rPr>
      </w:pPr>
    </w:p>
    <w:p w14:paraId="284E8A65">
      <w:pPr>
        <w:rPr>
          <w:rFonts w:hint="eastAsia"/>
          <w:highlight w:val="none"/>
        </w:rPr>
      </w:pPr>
    </w:p>
    <w:p w14:paraId="4273A202">
      <w:pPr>
        <w:rPr>
          <w:rFonts w:hint="eastAsia"/>
          <w:highlight w:val="none"/>
        </w:rPr>
      </w:pPr>
    </w:p>
    <w:p w14:paraId="49AFF55A">
      <w:pPr>
        <w:rPr>
          <w:rFonts w:hint="eastAsia"/>
          <w:highlight w:val="none"/>
        </w:rPr>
      </w:pPr>
    </w:p>
    <w:p w14:paraId="4C4972A0">
      <w:pPr>
        <w:rPr>
          <w:rFonts w:hint="eastAsia"/>
          <w:highlight w:val="none"/>
        </w:rPr>
      </w:pPr>
    </w:p>
    <w:p w14:paraId="104F6550">
      <w:pPr>
        <w:pStyle w:val="10"/>
        <w:keepNext w:val="0"/>
        <w:keepLines w:val="0"/>
        <w:pageBreakBefore w:val="0"/>
        <w:widowControl w:val="0"/>
        <w:wordWrap/>
        <w:overflowPunct/>
        <w:topLinePunct w:val="0"/>
        <w:bidi w:val="0"/>
        <w:rPr>
          <w:rFonts w:hint="eastAsia"/>
          <w:highlight w:val="none"/>
        </w:rPr>
      </w:pPr>
    </w:p>
    <w:p w14:paraId="3086C095">
      <w:pPr>
        <w:keepNext w:val="0"/>
        <w:keepLines w:val="0"/>
        <w:pageBreakBefore w:val="0"/>
        <w:widowControl w:val="0"/>
        <w:wordWrap/>
        <w:overflowPunct/>
        <w:topLinePunct w:val="0"/>
        <w:bidi w:val="0"/>
        <w:jc w:val="left"/>
        <w:rPr>
          <w:color w:val="000000" w:themeColor="text1"/>
          <w:highlight w:val="none"/>
          <w14:textFill>
            <w14:solidFill>
              <w14:schemeClr w14:val="tx1"/>
            </w14:solidFill>
          </w14:textFill>
        </w:rPr>
      </w:pPr>
    </w:p>
    <w:p w14:paraId="694B1292">
      <w:pPr>
        <w:pStyle w:val="2"/>
        <w:keepNext w:val="0"/>
        <w:keepLines w:val="0"/>
        <w:pageBreakBefore w:val="0"/>
        <w:widowControl w:val="0"/>
        <w:tabs>
          <w:tab w:val="left" w:pos="0"/>
        </w:tabs>
        <w:wordWrap/>
        <w:overflowPunct/>
        <w:topLinePunct w:val="0"/>
        <w:bidi w:val="0"/>
        <w:snapToGrid w:val="0"/>
        <w:spacing w:before="0" w:after="0" w:line="240" w:lineRule="atLeast"/>
        <w:rPr>
          <w:rFonts w:hint="eastAsia" w:ascii="仿宋_GB2312" w:hAnsi="仿宋_GB2312" w:eastAsia="仿宋_GB2312" w:cs="仿宋_GB2312"/>
          <w:color w:val="000000" w:themeColor="text1"/>
          <w:sz w:val="44"/>
          <w:szCs w:val="44"/>
          <w:highlight w:val="none"/>
          <w14:textFill>
            <w14:solidFill>
              <w14:schemeClr w14:val="tx1"/>
            </w14:solidFill>
          </w14:textFill>
        </w:rPr>
      </w:pPr>
      <w:bookmarkStart w:id="889" w:name="_Toc5895"/>
      <w:bookmarkStart w:id="890" w:name="_Toc31007"/>
    </w:p>
    <w:p w14:paraId="1C96D564">
      <w:pPr>
        <w:pStyle w:val="2"/>
        <w:keepNext w:val="0"/>
        <w:keepLines w:val="0"/>
        <w:pageBreakBefore w:val="0"/>
        <w:widowControl w:val="0"/>
        <w:tabs>
          <w:tab w:val="left" w:pos="0"/>
        </w:tabs>
        <w:wordWrap/>
        <w:overflowPunct/>
        <w:topLinePunct w:val="0"/>
        <w:bidi w:val="0"/>
        <w:snapToGrid w:val="0"/>
        <w:spacing w:before="0" w:after="0" w:line="240" w:lineRule="atLeast"/>
        <w:rPr>
          <w:rFonts w:hint="eastAsia" w:ascii="仿宋_GB2312" w:hAnsi="仿宋_GB2312" w:eastAsia="仿宋_GB2312" w:cs="仿宋_GB2312"/>
          <w:color w:val="000000" w:themeColor="text1"/>
          <w:sz w:val="44"/>
          <w:szCs w:val="44"/>
          <w:highlight w:val="none"/>
          <w14:textFill>
            <w14:solidFill>
              <w14:schemeClr w14:val="tx1"/>
            </w14:solidFill>
          </w14:textFill>
        </w:rPr>
      </w:pPr>
      <w:r>
        <w:rPr>
          <w:rFonts w:hint="eastAsia" w:ascii="仿宋_GB2312" w:hAnsi="仿宋_GB2312" w:eastAsia="仿宋_GB2312" w:cs="仿宋_GB2312"/>
          <w:color w:val="000000" w:themeColor="text1"/>
          <w:sz w:val="44"/>
          <w:szCs w:val="44"/>
          <w:highlight w:val="none"/>
          <w14:textFill>
            <w14:solidFill>
              <w14:schemeClr w14:val="tx1"/>
            </w14:solidFill>
          </w14:textFill>
        </w:rPr>
        <w:t>第四章投标人须知资料表</w:t>
      </w:r>
      <w:bookmarkEnd w:id="889"/>
      <w:bookmarkEnd w:id="890"/>
    </w:p>
    <w:p w14:paraId="62E5325D">
      <w:pPr>
        <w:keepNext w:val="0"/>
        <w:keepLines w:val="0"/>
        <w:pageBreakBefore w:val="0"/>
        <w:widowControl w:val="0"/>
        <w:wordWrap/>
        <w:overflowPunct/>
        <w:topLinePunct w:val="0"/>
        <w:bidi w:val="0"/>
        <w:snapToGrid w:val="0"/>
        <w:spacing w:line="240" w:lineRule="atLeas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本表是本招标项目的具体资料，是对投标人须知的具体补充和修改，如有矛盾，应以本资料表为准。</w:t>
      </w:r>
    </w:p>
    <w:tbl>
      <w:tblPr>
        <w:tblStyle w:val="26"/>
        <w:tblW w:w="8590" w:type="dxa"/>
        <w:tblInd w:w="-28"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7487"/>
      </w:tblGrid>
      <w:tr w14:paraId="014E8F9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10" w:hRule="atLeast"/>
        </w:trPr>
        <w:tc>
          <w:tcPr>
            <w:tcW w:w="1103" w:type="dxa"/>
            <w:tcBorders>
              <w:top w:val="single" w:color="000000" w:sz="12" w:space="0"/>
              <w:left w:val="single" w:color="000000" w:sz="12" w:space="0"/>
              <w:bottom w:val="single" w:color="000000" w:sz="6" w:space="0"/>
              <w:right w:val="single" w:color="000000" w:sz="6" w:space="0"/>
            </w:tcBorders>
            <w:vAlign w:val="center"/>
          </w:tcPr>
          <w:p w14:paraId="6A16A730">
            <w:pPr>
              <w:keepNext w:val="0"/>
              <w:keepLines w:val="0"/>
              <w:pageBreakBefore w:val="0"/>
              <w:widowControl w:val="0"/>
              <w:suppressLineNumbers w:val="0"/>
              <w:wordWrap/>
              <w:overflowPunct/>
              <w:topLinePunct w:val="0"/>
              <w:bidi w:val="0"/>
              <w:snapToGrid w:val="0"/>
              <w:spacing w:before="0" w:beforeAutospacing="0" w:afterAutospacing="0" w:line="240" w:lineRule="atLeast"/>
              <w:ind w:left="0" w:right="0" w:firstLine="240" w:firstLineChars="1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hint="default" w:ascii="仿宋_GB2312" w:hAnsi="仿宋_GB2312" w:eastAsia="仿宋_GB2312"/>
                <w:color w:val="000000" w:themeColor="text1"/>
                <w:sz w:val="24"/>
                <w:highlight w:val="none"/>
                <w14:textFill>
                  <w14:solidFill>
                    <w14:schemeClr w14:val="tx1"/>
                  </w14:solidFill>
                </w14:textFill>
              </w:rPr>
              <w:t>条款号</w:t>
            </w:r>
          </w:p>
        </w:tc>
        <w:tc>
          <w:tcPr>
            <w:tcW w:w="7487" w:type="dxa"/>
            <w:tcBorders>
              <w:top w:val="single" w:color="000000" w:sz="12" w:space="0"/>
              <w:left w:val="single" w:color="000000" w:sz="6" w:space="0"/>
              <w:bottom w:val="single" w:color="000000" w:sz="6" w:space="0"/>
              <w:right w:val="single" w:color="000000" w:sz="12" w:space="0"/>
            </w:tcBorders>
            <w:vAlign w:val="center"/>
          </w:tcPr>
          <w:p w14:paraId="7B6FE2FC">
            <w:pPr>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left"/>
              <w:rPr>
                <w:rStyle w:val="37"/>
                <w:rFonts w:hint="eastAsia" w:ascii="仿宋_GB2312" w:hAnsi="仿宋_GB2312" w:eastAsia="仿宋_GB2312"/>
                <w:b/>
                <w:color w:val="000000" w:themeColor="text1"/>
                <w:sz w:val="24"/>
                <w:highlight w:val="none"/>
                <w14:textFill>
                  <w14:solidFill>
                    <w14:schemeClr w14:val="tx1"/>
                  </w14:solidFill>
                </w14:textFill>
              </w:rPr>
            </w:pPr>
            <w:r>
              <w:rPr>
                <w:rStyle w:val="37"/>
                <w:rFonts w:hint="default" w:ascii="仿宋_GB2312" w:hAnsi="仿宋_GB2312" w:eastAsia="仿宋_GB2312"/>
                <w:b/>
                <w:color w:val="000000" w:themeColor="text1"/>
                <w:sz w:val="24"/>
                <w:highlight w:val="none"/>
                <w14:textFill>
                  <w14:solidFill>
                    <w14:schemeClr w14:val="tx1"/>
                  </w14:solidFill>
                </w14:textFill>
              </w:rPr>
              <w:t>内容</w:t>
            </w:r>
          </w:p>
        </w:tc>
      </w:tr>
      <w:tr w14:paraId="5D32195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38" w:hRule="atLeast"/>
        </w:trPr>
        <w:tc>
          <w:tcPr>
            <w:tcW w:w="1103" w:type="dxa"/>
            <w:tcBorders>
              <w:top w:val="single" w:color="000000" w:sz="6" w:space="0"/>
              <w:left w:val="single" w:color="000000" w:sz="12" w:space="0"/>
              <w:bottom w:val="single" w:color="000000" w:sz="6" w:space="0"/>
              <w:right w:val="single" w:color="000000" w:sz="6" w:space="0"/>
            </w:tcBorders>
            <w:vAlign w:val="center"/>
          </w:tcPr>
          <w:p w14:paraId="392EC702">
            <w:pPr>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hint="default" w:ascii="仿宋_GB2312" w:hAnsi="仿宋_GB2312" w:eastAsia="仿宋_GB2312"/>
                <w:color w:val="000000" w:themeColor="text1"/>
                <w:sz w:val="24"/>
                <w:highlight w:val="none"/>
                <w14:textFill>
                  <w14:solidFill>
                    <w14:schemeClr w14:val="tx1"/>
                  </w14:solidFill>
                </w14:textFill>
              </w:rPr>
              <w:t>1.1</w:t>
            </w:r>
          </w:p>
        </w:tc>
        <w:tc>
          <w:tcPr>
            <w:tcW w:w="7487" w:type="dxa"/>
            <w:tcBorders>
              <w:top w:val="single" w:color="000000" w:sz="6" w:space="0"/>
              <w:left w:val="single" w:color="000000" w:sz="6" w:space="0"/>
              <w:bottom w:val="single" w:color="000000" w:sz="6" w:space="0"/>
              <w:right w:val="single" w:color="000000" w:sz="12" w:space="0"/>
            </w:tcBorders>
            <w:vAlign w:val="center"/>
          </w:tcPr>
          <w:p w14:paraId="334A407D">
            <w:pPr>
              <w:keepNext w:val="0"/>
              <w:keepLines w:val="0"/>
              <w:pageBreakBefore w:val="0"/>
              <w:widowControl w:val="0"/>
              <w:suppressLineNumbers w:val="0"/>
              <w:wordWrap/>
              <w:overflowPunct/>
              <w:topLinePunct w:val="0"/>
              <w:bidi w:val="0"/>
              <w:spacing w:before="0" w:beforeAutospacing="0" w:afterAutospacing="0"/>
              <w:ind w:left="0" w:right="0"/>
              <w:jc w:val="left"/>
              <w:rPr>
                <w:rFonts w:hint="eastAsia" w:ascii="仿宋_GB2312" w:hAnsi="仿宋_GB2312" w:eastAsia="仿宋_GB2312" w:cs="仿宋_GB2312"/>
                <w:color w:val="000000" w:themeColor="text1"/>
                <w:sz w:val="24"/>
                <w:highlight w:val="none"/>
                <w:u w:val="singl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采购人：</w:t>
            </w:r>
            <w:r>
              <w:rPr>
                <w:rFonts w:hint="eastAsia" w:ascii="仿宋_GB2312" w:hAnsi="仿宋_GB2312" w:eastAsia="仿宋_GB2312" w:cs="仿宋_GB2312"/>
                <w:color w:val="000000" w:themeColor="text1"/>
                <w:sz w:val="24"/>
                <w:highlight w:val="none"/>
                <w:u w:val="single"/>
                <w:lang w:eastAsia="zh-CN"/>
                <w14:textFill>
                  <w14:solidFill>
                    <w14:schemeClr w14:val="tx1"/>
                  </w14:solidFill>
                </w14:textFill>
              </w:rPr>
              <w:t>伽师县教育局</w:t>
            </w:r>
          </w:p>
          <w:p w14:paraId="09E2F9A0">
            <w:pPr>
              <w:keepNext w:val="0"/>
              <w:keepLines w:val="0"/>
              <w:pageBreakBefore w:val="0"/>
              <w:widowControl w:val="0"/>
              <w:suppressLineNumbers w:val="0"/>
              <w:wordWrap/>
              <w:overflowPunct/>
              <w:topLinePunct w:val="0"/>
              <w:bidi w:val="0"/>
              <w:spacing w:before="0" w:beforeAutospacing="0" w:afterAutospacing="0" w:line="360" w:lineRule="exact"/>
              <w:ind w:left="0" w:right="0"/>
              <w:jc w:val="left"/>
              <w:textAlignment w:val="auto"/>
              <w:rPr>
                <w:rStyle w:val="37"/>
                <w:rFonts w:hint="eastAsia" w:ascii="仿宋_GB2312" w:hAnsi="仿宋_GB2312" w:eastAsia="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联系人：</w:t>
            </w:r>
            <w:r>
              <w:rPr>
                <w:rFonts w:hint="eastAsia" w:ascii="仿宋_GB2312" w:hAnsi="仿宋_GB2312" w:eastAsia="仿宋_GB2312" w:cs="仿宋_GB2312"/>
                <w:color w:val="000000" w:themeColor="text1"/>
                <w:sz w:val="24"/>
                <w:highlight w:val="none"/>
                <w:u w:val="single"/>
                <w:lang w:val="en-US" w:eastAsia="zh-CN"/>
                <w14:textFill>
                  <w14:solidFill>
                    <w14:schemeClr w14:val="tx1"/>
                  </w14:solidFill>
                </w14:textFill>
              </w:rPr>
              <w:t xml:space="preserve">蔡秀伟         </w:t>
            </w:r>
            <w:r>
              <w:rPr>
                <w:rFonts w:hint="eastAsia" w:ascii="仿宋_GB2312" w:hAnsi="仿宋_GB2312" w:eastAsia="仿宋_GB2312" w:cs="仿宋_GB2312"/>
                <w:color w:val="000000" w:themeColor="text1"/>
                <w:sz w:val="24"/>
                <w:highlight w:val="none"/>
                <w14:textFill>
                  <w14:solidFill>
                    <w14:schemeClr w14:val="tx1"/>
                  </w14:solidFill>
                </w14:textFill>
              </w:rPr>
              <w:t>联系电话：</w:t>
            </w:r>
            <w:r>
              <w:rPr>
                <w:rFonts w:hint="eastAsia" w:ascii="宋体" w:hAnsi="宋体" w:cs="宋体"/>
                <w:color w:val="000000" w:themeColor="text1"/>
                <w:sz w:val="24"/>
                <w:highlight w:val="none"/>
                <w:lang w:val="en-US" w:eastAsia="zh-CN"/>
                <w14:textFill>
                  <w14:solidFill>
                    <w14:schemeClr w14:val="tx1"/>
                  </w14:solidFill>
                </w14:textFill>
              </w:rPr>
              <w:t>15999320380</w:t>
            </w:r>
          </w:p>
        </w:tc>
      </w:tr>
      <w:tr w14:paraId="111EA34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38" w:hRule="atLeast"/>
        </w:trPr>
        <w:tc>
          <w:tcPr>
            <w:tcW w:w="1103" w:type="dxa"/>
            <w:tcBorders>
              <w:top w:val="single" w:color="000000" w:sz="6" w:space="0"/>
              <w:left w:val="single" w:color="000000" w:sz="12" w:space="0"/>
              <w:bottom w:val="single" w:color="000000" w:sz="6" w:space="0"/>
              <w:right w:val="single" w:color="000000" w:sz="6" w:space="0"/>
            </w:tcBorders>
            <w:vAlign w:val="center"/>
          </w:tcPr>
          <w:p w14:paraId="7C67D913">
            <w:pPr>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hint="default" w:ascii="仿宋_GB2312" w:hAnsi="仿宋_GB2312" w:eastAsia="仿宋_GB2312"/>
                <w:color w:val="000000" w:themeColor="text1"/>
                <w:sz w:val="24"/>
                <w:highlight w:val="none"/>
                <w14:textFill>
                  <w14:solidFill>
                    <w14:schemeClr w14:val="tx1"/>
                  </w14:solidFill>
                </w14:textFill>
              </w:rPr>
              <w:t>1.2</w:t>
            </w:r>
          </w:p>
        </w:tc>
        <w:tc>
          <w:tcPr>
            <w:tcW w:w="7487" w:type="dxa"/>
            <w:tcBorders>
              <w:top w:val="single" w:color="000000" w:sz="6" w:space="0"/>
              <w:left w:val="single" w:color="000000" w:sz="6" w:space="0"/>
              <w:bottom w:val="single" w:color="000000" w:sz="6" w:space="0"/>
              <w:right w:val="single" w:color="000000" w:sz="12" w:space="0"/>
            </w:tcBorders>
            <w:vAlign w:val="center"/>
          </w:tcPr>
          <w:p w14:paraId="059F1BCF">
            <w:pPr>
              <w:keepNext w:val="0"/>
              <w:keepLines w:val="0"/>
              <w:pageBreakBefore w:val="0"/>
              <w:widowControl w:val="0"/>
              <w:suppressLineNumbers w:val="0"/>
              <w:wordWrap/>
              <w:overflowPunct/>
              <w:topLinePunct w:val="0"/>
              <w:bidi w:val="0"/>
              <w:spacing w:before="0" w:beforeAutospacing="0" w:afterAutospacing="0" w:line="240" w:lineRule="atLeast"/>
              <w:ind w:left="0" w:right="0"/>
              <w:jc w:val="left"/>
              <w:rPr>
                <w:rFonts w:hint="eastAsia" w:ascii="仿宋_GB2312" w:hAnsi="仿宋_GB2312" w:eastAsia="仿宋_GB2312" w:cs="仿宋_GB2312"/>
                <w:color w:val="000000" w:themeColor="text1"/>
                <w:sz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采购代理机构：</w:t>
            </w:r>
            <w:r>
              <w:rPr>
                <w:rFonts w:hint="eastAsia" w:ascii="仿宋_GB2312" w:hAnsi="仿宋_GB2312" w:eastAsia="仿宋_GB2312" w:cs="仿宋_GB2312"/>
                <w:color w:val="000000" w:themeColor="text1"/>
                <w:sz w:val="24"/>
                <w:highlight w:val="none"/>
                <w:u w:val="single"/>
                <w14:textFill>
                  <w14:solidFill>
                    <w14:schemeClr w14:val="tx1"/>
                  </w14:solidFill>
                </w14:textFill>
              </w:rPr>
              <w:t>伽师县政府采购中心</w:t>
            </w:r>
          </w:p>
          <w:p w14:paraId="2C658075">
            <w:pPr>
              <w:keepNext w:val="0"/>
              <w:keepLines w:val="0"/>
              <w:pageBreakBefore w:val="0"/>
              <w:widowControl w:val="0"/>
              <w:suppressLineNumbers w:val="0"/>
              <w:wordWrap/>
              <w:overflowPunct/>
              <w:topLinePunct w:val="0"/>
              <w:bidi w:val="0"/>
              <w:spacing w:before="0" w:beforeAutospacing="0" w:afterAutospacing="0" w:line="240" w:lineRule="atLeast"/>
              <w:ind w:left="0" w:right="0"/>
              <w:jc w:val="left"/>
              <w:rPr>
                <w:rFonts w:hint="eastAsia" w:ascii="仿宋_GB2312" w:hAnsi="仿宋_GB2312" w:eastAsia="仿宋_GB2312" w:cs="仿宋_GB2312"/>
                <w:color w:val="000000" w:themeColor="text1"/>
                <w:sz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地址：</w:t>
            </w:r>
            <w:r>
              <w:rPr>
                <w:rFonts w:hint="eastAsia" w:ascii="仿宋_GB2312" w:hAnsi="仿宋_GB2312" w:eastAsia="仿宋_GB2312" w:cs="仿宋_GB2312"/>
                <w:color w:val="000000" w:themeColor="text1"/>
                <w:sz w:val="24"/>
                <w:highlight w:val="none"/>
                <w:u w:val="single"/>
                <w14:textFill>
                  <w14:solidFill>
                    <w14:schemeClr w14:val="tx1"/>
                  </w14:solidFill>
                </w14:textFill>
              </w:rPr>
              <w:t>伽师县行政审批局四楼（伽师县花园路3号）</w:t>
            </w:r>
          </w:p>
          <w:p w14:paraId="3897B05F">
            <w:pPr>
              <w:keepNext w:val="0"/>
              <w:keepLines w:val="0"/>
              <w:pageBreakBefore w:val="0"/>
              <w:widowControl w:val="0"/>
              <w:suppressLineNumbers w:val="0"/>
              <w:wordWrap/>
              <w:overflowPunct/>
              <w:topLinePunct w:val="0"/>
              <w:bidi w:val="0"/>
              <w:snapToGrid w:val="0"/>
              <w:spacing w:before="0" w:beforeAutospacing="0" w:afterAutospacing="0" w:line="240" w:lineRule="atLeast"/>
              <w:ind w:left="0" w:right="0"/>
              <w:jc w:val="left"/>
              <w:rPr>
                <w:rStyle w:val="37"/>
                <w:rFonts w:hint="default" w:ascii="仿宋_GB2312" w:hAnsi="仿宋_GB2312" w:eastAsia="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联系人：</w:t>
            </w:r>
            <w:r>
              <w:rPr>
                <w:rFonts w:hint="eastAsia" w:ascii="仿宋_GB2312" w:hAnsi="仿宋_GB2312" w:eastAsia="仿宋_GB2312" w:cs="仿宋_GB2312"/>
                <w:color w:val="000000" w:themeColor="text1"/>
                <w:sz w:val="24"/>
                <w:highlight w:val="none"/>
                <w:u w:val="single"/>
                <w:lang w:eastAsia="zh-CN"/>
                <w14:textFill>
                  <w14:solidFill>
                    <w14:schemeClr w14:val="tx1"/>
                  </w14:solidFill>
                </w14:textFill>
              </w:rPr>
              <w:t>贺欢欢</w:t>
            </w:r>
            <w:r>
              <w:rPr>
                <w:rFonts w:hint="eastAsia" w:ascii="仿宋_GB2312" w:hAnsi="仿宋_GB2312" w:eastAsia="仿宋_GB2312" w:cs="仿宋_GB2312"/>
                <w:color w:val="000000" w:themeColor="text1"/>
                <w:sz w:val="24"/>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4"/>
                <w:highlight w:val="none"/>
                <w14:textFill>
                  <w14:solidFill>
                    <w14:schemeClr w14:val="tx1"/>
                  </w14:solidFill>
                </w14:textFill>
              </w:rPr>
              <w:t>电话：</w:t>
            </w:r>
            <w:r>
              <w:rPr>
                <w:rFonts w:hint="eastAsia" w:ascii="仿宋_GB2312" w:hAnsi="仿宋_GB2312" w:eastAsia="仿宋_GB2312" w:cs="仿宋_GB2312"/>
                <w:color w:val="000000" w:themeColor="text1"/>
                <w:sz w:val="24"/>
                <w:highlight w:val="none"/>
                <w:u w:val="single"/>
                <w:lang w:val="en-US" w:eastAsia="zh-CN"/>
                <w14:textFill>
                  <w14:solidFill>
                    <w14:schemeClr w14:val="tx1"/>
                  </w14:solidFill>
                </w14:textFill>
              </w:rPr>
              <w:t>13579055005</w:t>
            </w:r>
          </w:p>
        </w:tc>
      </w:tr>
      <w:tr w14:paraId="71B5C1B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1103" w:type="dxa"/>
            <w:tcBorders>
              <w:top w:val="single" w:color="000000" w:sz="6" w:space="0"/>
              <w:left w:val="single" w:color="000000" w:sz="12" w:space="0"/>
              <w:bottom w:val="single" w:color="000000" w:sz="6" w:space="0"/>
              <w:right w:val="single" w:color="000000" w:sz="6" w:space="0"/>
            </w:tcBorders>
            <w:vAlign w:val="center"/>
          </w:tcPr>
          <w:p w14:paraId="6BFE39BE">
            <w:pPr>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hint="default" w:ascii="仿宋_GB2312" w:hAnsi="仿宋_GB2312" w:eastAsia="仿宋_GB2312"/>
                <w:color w:val="000000" w:themeColor="text1"/>
                <w:sz w:val="24"/>
                <w:highlight w:val="none"/>
                <w14:textFill>
                  <w14:solidFill>
                    <w14:schemeClr w14:val="tx1"/>
                  </w14:solidFill>
                </w14:textFill>
              </w:rPr>
              <w:t>1.3.1</w:t>
            </w:r>
          </w:p>
        </w:tc>
        <w:tc>
          <w:tcPr>
            <w:tcW w:w="7487" w:type="dxa"/>
            <w:tcBorders>
              <w:top w:val="single" w:color="000000" w:sz="6" w:space="0"/>
              <w:left w:val="single" w:color="000000" w:sz="6" w:space="0"/>
              <w:bottom w:val="single" w:color="000000" w:sz="6" w:space="0"/>
              <w:right w:val="single" w:color="000000" w:sz="12" w:space="0"/>
            </w:tcBorders>
            <w:vAlign w:val="center"/>
          </w:tcPr>
          <w:p w14:paraId="3B2E3FAE">
            <w:pPr>
              <w:pStyle w:val="20"/>
              <w:widowControl/>
              <w:spacing w:line="400" w:lineRule="exact"/>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合格投标人的资格要求：</w:t>
            </w:r>
          </w:p>
          <w:p w14:paraId="60BDF547">
            <w:pPr>
              <w:pStyle w:val="20"/>
              <w:widowControl/>
              <w:spacing w:line="400" w:lineRule="exact"/>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1、提供有效期内的营业执照；</w:t>
            </w:r>
          </w:p>
          <w:p w14:paraId="7B6779A2">
            <w:pPr>
              <w:pStyle w:val="20"/>
              <w:widowControl/>
              <w:spacing w:line="400" w:lineRule="exact"/>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2、法定代表人投标提供法人身份证明书，委托代理人投标提供法定代表人授权委托书；</w:t>
            </w:r>
          </w:p>
          <w:p w14:paraId="49135DD5">
            <w:pPr>
              <w:pStyle w:val="20"/>
              <w:widowControl/>
              <w:spacing w:line="400" w:lineRule="exact"/>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3、提供近3个月（任意一个月）的社保凭证；</w:t>
            </w:r>
          </w:p>
          <w:p w14:paraId="218D9F0B">
            <w:pPr>
              <w:pStyle w:val="20"/>
              <w:widowControl/>
              <w:spacing w:line="400" w:lineRule="exact"/>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4、提供提供近3个月（任意一个月）的完税证明；</w:t>
            </w:r>
          </w:p>
          <w:p w14:paraId="64A36C4C">
            <w:pPr>
              <w:pStyle w:val="20"/>
              <w:widowControl/>
              <w:spacing w:line="400" w:lineRule="exact"/>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5、提供2024年或2025年任意一年的财务审计报告（成立时间未满12个月的新公司提供近3个月内任意1个月的银行资信证明）；</w:t>
            </w:r>
          </w:p>
          <w:p w14:paraId="7493C231">
            <w:pPr>
              <w:pStyle w:val="20"/>
              <w:widowControl/>
              <w:spacing w:line="400" w:lineRule="exact"/>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6、提供针对本次项目《反商业贿赂承诺书》；</w:t>
            </w:r>
          </w:p>
          <w:p w14:paraId="0AB57EC6">
            <w:pPr>
              <w:pStyle w:val="20"/>
              <w:widowControl/>
              <w:spacing w:line="400" w:lineRule="exact"/>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7、提供参与政府采购活动前3年内未被列入失信、重大税收违法案件、财政部门禁止参加政府采购活动的承诺书；</w:t>
            </w:r>
          </w:p>
          <w:p w14:paraId="35A9E5D7">
            <w:pPr>
              <w:pStyle w:val="20"/>
              <w:widowControl/>
              <w:spacing w:line="400" w:lineRule="exact"/>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8、根据《财政部关于在政府采购活动中查询及使用信用记录有关问题的通知》（财库﹝2016﹞125号）的要求，凡拟参加本次招标项目的供应商，如在“信用中国（www.creditchina.gov.cn）”网站（被列入失信被执行人、重大税收违法失信主体、“中国政府采购网（www.ccgp.gov.cn/search/cr/）”网站严重违法失信行为记录名单的（尚在处罚期内的），将拒绝其参加本次招标活动（开标现场查询核实）；</w:t>
            </w:r>
          </w:p>
          <w:p w14:paraId="2F5B53D4">
            <w:pPr>
              <w:pStyle w:val="20"/>
              <w:widowControl/>
              <w:spacing w:line="400" w:lineRule="exact"/>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9、缴纳投标保证金的有效凭证；</w:t>
            </w:r>
          </w:p>
          <w:p w14:paraId="75A8D7EC">
            <w:pPr>
              <w:keepNext w:val="0"/>
              <w:keepLines w:val="0"/>
              <w:widowControl w:val="0"/>
              <w:suppressLineNumbers w:val="0"/>
              <w:spacing w:before="0" w:beforeAutospacing="0" w:after="0" w:afterAutospacing="0"/>
              <w:ind w:left="0" w:right="0"/>
              <w:jc w:val="both"/>
              <w:rPr>
                <w:rFonts w:hint="eastAsia"/>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注：“提供近3个月内任意1个月的完税证明”：①若供应商某月税收为零申报，须提供当月加盖税务局公章的无欠税证明或“国家税务总局电子税务局（12366.chinatax.gov.cn/bsfw/onlinetaxation/main）”的申报结果查询截图。②完税证明中“税种”非养老保险、医疗保险、失业保险、工伤保险和生育保险。请各投标人注意！</w:t>
            </w:r>
          </w:p>
        </w:tc>
      </w:tr>
      <w:tr w14:paraId="52B23CF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1103" w:type="dxa"/>
            <w:tcBorders>
              <w:top w:val="single" w:color="000000" w:sz="6" w:space="0"/>
              <w:left w:val="single" w:color="000000" w:sz="12" w:space="0"/>
              <w:bottom w:val="single" w:color="000000" w:sz="6" w:space="0"/>
              <w:right w:val="single" w:color="000000" w:sz="6" w:space="0"/>
            </w:tcBorders>
            <w:vAlign w:val="center"/>
          </w:tcPr>
          <w:p w14:paraId="0665F7FC">
            <w:pPr>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left"/>
              <w:rPr>
                <w:rStyle w:val="37"/>
                <w:rFonts w:hint="eastAsia" w:ascii="仿宋_GB2312" w:hAnsi="仿宋_GB2312" w:eastAsia="仿宋_GB2312"/>
                <w:color w:val="000000" w:themeColor="text1"/>
                <w:sz w:val="24"/>
                <w:highlight w:val="none"/>
                <w:lang w:eastAsia="zh-CN"/>
                <w14:textFill>
                  <w14:solidFill>
                    <w14:schemeClr w14:val="tx1"/>
                  </w14:solidFill>
                </w14:textFill>
              </w:rPr>
            </w:pPr>
            <w:r>
              <w:rPr>
                <w:rStyle w:val="37"/>
                <w:rFonts w:hint="default" w:ascii="仿宋_GB2312" w:hAnsi="仿宋_GB2312" w:eastAsia="仿宋_GB2312"/>
                <w:color w:val="000000" w:themeColor="text1"/>
                <w:sz w:val="24"/>
                <w:highlight w:val="none"/>
                <w14:textFill>
                  <w14:solidFill>
                    <w14:schemeClr w14:val="tx1"/>
                  </w14:solidFill>
                </w14:textFill>
              </w:rPr>
              <w:t>1.3.2</w:t>
            </w:r>
          </w:p>
        </w:tc>
        <w:tc>
          <w:tcPr>
            <w:tcW w:w="7487" w:type="dxa"/>
            <w:tcBorders>
              <w:top w:val="single" w:color="000000" w:sz="6" w:space="0"/>
              <w:left w:val="single" w:color="000000" w:sz="6" w:space="0"/>
              <w:bottom w:val="single" w:color="000000" w:sz="6" w:space="0"/>
              <w:right w:val="single" w:color="000000" w:sz="12" w:space="0"/>
            </w:tcBorders>
            <w:vAlign w:val="center"/>
          </w:tcPr>
          <w:p w14:paraId="06295813">
            <w:pPr>
              <w:keepNext w:val="0"/>
              <w:keepLines w:val="0"/>
              <w:pageBreakBefore w:val="0"/>
              <w:widowControl w:val="0"/>
              <w:suppressLineNumbers w:val="0"/>
              <w:wordWrap/>
              <w:overflowPunct/>
              <w:topLinePunct w:val="0"/>
              <w:bidi w:val="0"/>
              <w:snapToGrid w:val="0"/>
              <w:spacing w:before="0" w:beforeAutospacing="0" w:afterAutospacing="0" w:line="240" w:lineRule="atLeast"/>
              <w:ind w:left="0" w:right="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hint="default" w:ascii="仿宋_GB2312" w:hAnsi="仿宋_GB2312" w:eastAsia="仿宋_GB2312"/>
                <w:color w:val="000000" w:themeColor="text1"/>
                <w:sz w:val="24"/>
                <w:highlight w:val="none"/>
                <w14:textFill>
                  <w14:solidFill>
                    <w14:schemeClr w14:val="tx1"/>
                  </w14:solidFill>
                </w14:textFill>
              </w:rPr>
              <w:t>是否允许采购进口产品：</w:t>
            </w:r>
            <w:r>
              <w:rPr>
                <w:rStyle w:val="37"/>
                <w:rFonts w:hint="default" w:ascii="仿宋_GB2312" w:hAnsi="仿宋_GB2312" w:eastAsia="仿宋_GB2312"/>
                <w:color w:val="000000" w:themeColor="text1"/>
                <w:sz w:val="24"/>
                <w:highlight w:val="none"/>
                <w:u w:val="single"/>
                <w14:textFill>
                  <w14:solidFill>
                    <w14:schemeClr w14:val="tx1"/>
                  </w14:solidFill>
                </w14:textFill>
              </w:rPr>
              <w:t>否</w:t>
            </w:r>
            <w:r>
              <w:rPr>
                <w:rFonts w:hint="eastAsia" w:ascii="仿宋_GB2312" w:hAnsi="仿宋_GB2312" w:eastAsia="仿宋_GB2312" w:cs="仿宋_GB2312"/>
                <w:color w:val="000000" w:themeColor="text1"/>
                <w:sz w:val="24"/>
                <w:highlight w:val="none"/>
                <w14:textFill>
                  <w14:solidFill>
                    <w14:schemeClr w14:val="tx1"/>
                  </w14:solidFill>
                </w14:textFill>
              </w:rPr>
              <w:t>（是、否）</w:t>
            </w:r>
          </w:p>
        </w:tc>
      </w:tr>
      <w:tr w14:paraId="32B729C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1" w:hRule="atLeast"/>
        </w:trPr>
        <w:tc>
          <w:tcPr>
            <w:tcW w:w="1103" w:type="dxa"/>
            <w:tcBorders>
              <w:top w:val="single" w:color="000000" w:sz="6" w:space="0"/>
              <w:left w:val="single" w:color="000000" w:sz="12" w:space="0"/>
              <w:bottom w:val="single" w:color="000000" w:sz="6" w:space="0"/>
              <w:right w:val="single" w:color="000000" w:sz="6" w:space="0"/>
            </w:tcBorders>
            <w:vAlign w:val="center"/>
          </w:tcPr>
          <w:p w14:paraId="08CC834D">
            <w:pPr>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hint="default" w:ascii="仿宋_GB2312" w:hAnsi="仿宋_GB2312" w:eastAsia="仿宋_GB2312"/>
                <w:color w:val="000000" w:themeColor="text1"/>
                <w:sz w:val="24"/>
                <w:highlight w:val="none"/>
                <w14:textFill>
                  <w14:solidFill>
                    <w14:schemeClr w14:val="tx1"/>
                  </w14:solidFill>
                </w14:textFill>
              </w:rPr>
              <w:t>1.3.3</w:t>
            </w:r>
          </w:p>
        </w:tc>
        <w:tc>
          <w:tcPr>
            <w:tcW w:w="7487" w:type="dxa"/>
            <w:tcBorders>
              <w:top w:val="single" w:color="000000" w:sz="6" w:space="0"/>
              <w:left w:val="single" w:color="000000" w:sz="6" w:space="0"/>
              <w:bottom w:val="single" w:color="000000" w:sz="6" w:space="0"/>
              <w:right w:val="single" w:color="000000" w:sz="12" w:space="0"/>
            </w:tcBorders>
            <w:vAlign w:val="center"/>
          </w:tcPr>
          <w:p w14:paraId="01458484">
            <w:pPr>
              <w:keepNext w:val="0"/>
              <w:keepLines w:val="0"/>
              <w:pageBreakBefore w:val="0"/>
              <w:widowControl w:val="0"/>
              <w:suppressLineNumbers w:val="0"/>
              <w:wordWrap/>
              <w:overflowPunct/>
              <w:topLinePunct w:val="0"/>
              <w:bidi w:val="0"/>
              <w:snapToGrid w:val="0"/>
              <w:spacing w:before="0" w:beforeAutospacing="0" w:afterAutospacing="0" w:line="240" w:lineRule="atLeast"/>
              <w:ind w:left="0" w:right="0"/>
              <w:jc w:val="left"/>
              <w:rPr>
                <w:rFonts w:hint="eastAsia" w:ascii="仿宋_GB2312" w:hAnsi="仿宋_GB2312" w:eastAsia="仿宋_GB2312" w:cs="仿宋_GB2312"/>
                <w:color w:val="FF0000"/>
                <w:sz w:val="24"/>
                <w:highlight w:val="none"/>
              </w:rPr>
            </w:pPr>
            <w:r>
              <w:rPr>
                <w:rFonts w:hint="eastAsia" w:ascii="仿宋_GB2312" w:hAnsi="仿宋_GB2312" w:eastAsia="仿宋_GB2312" w:cs="仿宋_GB2312"/>
                <w:color w:val="auto"/>
                <w:sz w:val="24"/>
                <w:highlight w:val="none"/>
              </w:rPr>
              <w:t>是否为专门面向中小企业采购：</w:t>
            </w:r>
            <w:r>
              <w:rPr>
                <w:rFonts w:hint="eastAsia" w:ascii="仿宋_GB2312" w:hAnsi="仿宋_GB2312" w:eastAsia="仿宋_GB2312" w:cs="仿宋_GB2312"/>
                <w:color w:val="auto"/>
                <w:sz w:val="24"/>
                <w:highlight w:val="none"/>
                <w:u w:val="single"/>
                <w:lang w:val="en-US" w:eastAsia="zh-CN"/>
              </w:rPr>
              <w:t>否</w:t>
            </w:r>
            <w:r>
              <w:rPr>
                <w:rFonts w:hint="eastAsia" w:ascii="仿宋_GB2312" w:hAnsi="仿宋_GB2312" w:eastAsia="仿宋_GB2312" w:cs="仿宋_GB2312"/>
                <w:color w:val="auto"/>
                <w:sz w:val="24"/>
                <w:highlight w:val="none"/>
              </w:rPr>
              <w:t>（是、否）</w:t>
            </w:r>
          </w:p>
          <w:p w14:paraId="1DFAA03C">
            <w:pPr>
              <w:keepNext w:val="0"/>
              <w:keepLines w:val="0"/>
              <w:pageBreakBefore w:val="0"/>
              <w:widowControl w:val="0"/>
              <w:suppressLineNumbers w:val="0"/>
              <w:wordWrap/>
              <w:overflowPunct/>
              <w:topLinePunct w:val="0"/>
              <w:bidi w:val="0"/>
              <w:snapToGrid w:val="0"/>
              <w:spacing w:before="0" w:beforeAutospacing="0" w:afterAutospacing="0" w:line="240" w:lineRule="atLeast"/>
              <w:ind w:left="0" w:right="0"/>
              <w:jc w:val="left"/>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本项目所属行业为“</w:t>
            </w:r>
            <w:r>
              <w:rPr>
                <w:rFonts w:hint="eastAsia" w:ascii="仿宋_GB2312" w:hAnsi="仿宋_GB2312" w:eastAsia="仿宋_GB2312" w:cs="仿宋_GB2312"/>
                <w:b/>
                <w:bCs/>
                <w:color w:val="000000" w:themeColor="text1"/>
                <w:sz w:val="24"/>
                <w:highlight w:val="none"/>
                <w:u w:val="single"/>
                <w:lang w:val="en-US" w:eastAsia="zh-CN"/>
                <w14:textFill>
                  <w14:solidFill>
                    <w14:schemeClr w14:val="tx1"/>
                  </w14:solidFill>
                </w14:textFill>
              </w:rPr>
              <w:t>工业</w:t>
            </w:r>
            <w:r>
              <w:rPr>
                <w:rFonts w:hint="eastAsia" w:ascii="仿宋_GB2312" w:hAnsi="仿宋_GB2312" w:eastAsia="仿宋_GB2312" w:cs="仿宋_GB2312"/>
                <w:color w:val="000000" w:themeColor="text1"/>
                <w:sz w:val="24"/>
                <w:highlight w:val="none"/>
                <w14:textFill>
                  <w14:solidFill>
                    <w14:schemeClr w14:val="tx1"/>
                  </w14:solidFill>
                </w14:textFill>
              </w:rPr>
              <w:t>”</w:t>
            </w:r>
          </w:p>
          <w:p w14:paraId="1F636D3A">
            <w:pPr>
              <w:keepNext w:val="0"/>
              <w:keepLines w:val="0"/>
              <w:pageBreakBefore w:val="0"/>
              <w:widowControl w:val="0"/>
              <w:suppressLineNumbers w:val="0"/>
              <w:wordWrap/>
              <w:overflowPunct/>
              <w:topLinePunct w:val="0"/>
              <w:bidi w:val="0"/>
              <w:snapToGrid w:val="0"/>
              <w:spacing w:before="0" w:beforeAutospacing="0" w:afterAutospacing="0" w:line="240" w:lineRule="atLeast"/>
              <w:ind w:left="0" w:right="0"/>
              <w:jc w:val="left"/>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注：（1）根据《政府采购促进中小企业发展管理办法》（财库[2020]46号）、财政部 财库〔2022〕19号：关于进一步加大政府采购支持中小企业力度的通知、财政部关于印发《政府采购需求管理办法》的通知（财库〔2021〕22号）、《财政部 司法部关于政府采购支持监狱企业发展有关问题的通知》（财库〔2014〕68号）和《三部门联合发布关于促进残疾人就业政府采购政策的通知》（财库〔2017〕141号）的规定，对满足价格扣除条件且在投标文件中提交了《中小企业声明函》或省级以上监狱管理局、戒毒管理局（含新疆生产建设兵团）出具的属于监狱企业的证明文件的供应商，其投标报价扣除10%后参与评审。</w:t>
            </w:r>
          </w:p>
          <w:p w14:paraId="0B1505F5">
            <w:pPr>
              <w:keepNext w:val="0"/>
              <w:keepLines w:val="0"/>
              <w:pageBreakBefore w:val="0"/>
              <w:widowControl w:val="0"/>
              <w:suppressLineNumbers w:val="0"/>
              <w:wordWrap/>
              <w:overflowPunct/>
              <w:topLinePunct w:val="0"/>
              <w:bidi w:val="0"/>
              <w:snapToGrid w:val="0"/>
              <w:spacing w:before="0" w:beforeAutospacing="0" w:afterAutospacing="0" w:line="240" w:lineRule="atLeast"/>
              <w:ind w:left="0" w:right="0"/>
              <w:jc w:val="left"/>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所投产品制造商都属于中小微企业的，潜在投标人请在投标文件中提供“中小企业声明函”，都不属于或不全属于的则不用提供。如果未提供或提供虛假的“中小企业声明函”，投标人将承担由此造成的一切不利后果。</w:t>
            </w:r>
          </w:p>
        </w:tc>
      </w:tr>
      <w:tr w14:paraId="0217645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05" w:hRule="atLeast"/>
        </w:trPr>
        <w:tc>
          <w:tcPr>
            <w:tcW w:w="1103" w:type="dxa"/>
            <w:tcBorders>
              <w:top w:val="single" w:color="000000" w:sz="6" w:space="0"/>
              <w:left w:val="single" w:color="000000" w:sz="12" w:space="0"/>
              <w:bottom w:val="single" w:color="000000" w:sz="6" w:space="0"/>
              <w:right w:val="single" w:color="000000" w:sz="6" w:space="0"/>
            </w:tcBorders>
            <w:vAlign w:val="center"/>
          </w:tcPr>
          <w:p w14:paraId="38344FA4">
            <w:pPr>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hint="default" w:ascii="仿宋_GB2312" w:hAnsi="仿宋_GB2312" w:eastAsia="仿宋_GB2312"/>
                <w:color w:val="000000" w:themeColor="text1"/>
                <w:sz w:val="24"/>
                <w:highlight w:val="none"/>
                <w14:textFill>
                  <w14:solidFill>
                    <w14:schemeClr w14:val="tx1"/>
                  </w14:solidFill>
                </w14:textFill>
              </w:rPr>
              <w:t>1.4.1</w:t>
            </w:r>
          </w:p>
        </w:tc>
        <w:tc>
          <w:tcPr>
            <w:tcW w:w="7487" w:type="dxa"/>
            <w:tcBorders>
              <w:top w:val="single" w:color="000000" w:sz="6" w:space="0"/>
              <w:left w:val="single" w:color="000000" w:sz="6" w:space="0"/>
              <w:bottom w:val="single" w:color="000000" w:sz="6" w:space="0"/>
              <w:right w:val="single" w:color="000000" w:sz="12" w:space="0"/>
            </w:tcBorders>
            <w:vAlign w:val="center"/>
          </w:tcPr>
          <w:p w14:paraId="2C9C1B27">
            <w:pPr>
              <w:keepNext w:val="0"/>
              <w:keepLines w:val="0"/>
              <w:pageBreakBefore w:val="0"/>
              <w:widowControl w:val="0"/>
              <w:suppressLineNumbers w:val="0"/>
              <w:wordWrap/>
              <w:overflowPunct/>
              <w:topLinePunct w:val="0"/>
              <w:bidi w:val="0"/>
              <w:snapToGrid w:val="0"/>
              <w:spacing w:before="0" w:beforeAutospacing="0" w:afterAutospacing="0" w:line="240" w:lineRule="atLeast"/>
              <w:ind w:left="0" w:right="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hint="default" w:ascii="仿宋_GB2312" w:hAnsi="仿宋_GB2312" w:eastAsia="仿宋_GB2312"/>
                <w:color w:val="000000" w:themeColor="text1"/>
                <w:sz w:val="24"/>
                <w:highlight w:val="none"/>
                <w14:textFill>
                  <w14:solidFill>
                    <w14:schemeClr w14:val="tx1"/>
                  </w14:solidFill>
                </w14:textFill>
              </w:rPr>
              <w:t>是否允许联合体投标：</w:t>
            </w:r>
            <w:r>
              <w:rPr>
                <w:rStyle w:val="37"/>
                <w:rFonts w:hint="default" w:ascii="仿宋_GB2312" w:hAnsi="仿宋_GB2312" w:eastAsia="仿宋_GB2312"/>
                <w:color w:val="000000" w:themeColor="text1"/>
                <w:sz w:val="24"/>
                <w:highlight w:val="none"/>
                <w:u w:val="single"/>
                <w14:textFill>
                  <w14:solidFill>
                    <w14:schemeClr w14:val="tx1"/>
                  </w14:solidFill>
                </w14:textFill>
              </w:rPr>
              <w:t>否</w:t>
            </w:r>
            <w:r>
              <w:rPr>
                <w:rFonts w:hint="eastAsia" w:ascii="仿宋_GB2312" w:hAnsi="仿宋_GB2312" w:eastAsia="仿宋_GB2312" w:cs="仿宋_GB2312"/>
                <w:color w:val="000000" w:themeColor="text1"/>
                <w:sz w:val="24"/>
                <w:highlight w:val="none"/>
                <w14:textFill>
                  <w14:solidFill>
                    <w14:schemeClr w14:val="tx1"/>
                  </w14:solidFill>
                </w14:textFill>
              </w:rPr>
              <w:t>（是、否）</w:t>
            </w:r>
          </w:p>
        </w:tc>
      </w:tr>
      <w:tr w14:paraId="1493834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1103" w:type="dxa"/>
            <w:tcBorders>
              <w:top w:val="single" w:color="000000" w:sz="6" w:space="0"/>
              <w:left w:val="single" w:color="000000" w:sz="12" w:space="0"/>
              <w:bottom w:val="single" w:color="000000" w:sz="6" w:space="0"/>
              <w:right w:val="single" w:color="000000" w:sz="6" w:space="0"/>
            </w:tcBorders>
            <w:vAlign w:val="center"/>
          </w:tcPr>
          <w:p w14:paraId="4C1B653A">
            <w:pPr>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hint="default" w:ascii="仿宋_GB2312" w:hAnsi="仿宋_GB2312" w:eastAsia="仿宋_GB2312"/>
                <w:color w:val="000000" w:themeColor="text1"/>
                <w:sz w:val="24"/>
                <w:highlight w:val="none"/>
                <w14:textFill>
                  <w14:solidFill>
                    <w14:schemeClr w14:val="tx1"/>
                  </w14:solidFill>
                </w14:textFill>
              </w:rPr>
              <w:t>1.4.2</w:t>
            </w:r>
          </w:p>
        </w:tc>
        <w:tc>
          <w:tcPr>
            <w:tcW w:w="7487" w:type="dxa"/>
            <w:tcBorders>
              <w:top w:val="single" w:color="000000" w:sz="6" w:space="0"/>
              <w:left w:val="single" w:color="000000" w:sz="6" w:space="0"/>
              <w:bottom w:val="single" w:color="000000" w:sz="6" w:space="0"/>
              <w:right w:val="single" w:color="000000" w:sz="12" w:space="0"/>
            </w:tcBorders>
            <w:vAlign w:val="center"/>
          </w:tcPr>
          <w:p w14:paraId="48D82705">
            <w:pPr>
              <w:keepNext w:val="0"/>
              <w:keepLines w:val="0"/>
              <w:pageBreakBefore w:val="0"/>
              <w:widowControl w:val="0"/>
              <w:suppressLineNumbers w:val="0"/>
              <w:wordWrap/>
              <w:overflowPunct/>
              <w:topLinePunct w:val="0"/>
              <w:bidi w:val="0"/>
              <w:snapToGrid w:val="0"/>
              <w:spacing w:before="0" w:beforeAutospacing="0" w:afterAutospacing="0" w:line="240" w:lineRule="atLeast"/>
              <w:ind w:left="0" w:right="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hint="default" w:ascii="仿宋_GB2312" w:hAnsi="仿宋_GB2312" w:eastAsia="仿宋_GB2312"/>
                <w:color w:val="000000" w:themeColor="text1"/>
                <w:sz w:val="24"/>
                <w:highlight w:val="none"/>
                <w14:textFill>
                  <w14:solidFill>
                    <w14:schemeClr w14:val="tx1"/>
                  </w14:solidFill>
                </w14:textFill>
              </w:rPr>
              <w:t>联合体的其他资格要求：</w:t>
            </w:r>
            <w:r>
              <w:rPr>
                <w:rStyle w:val="37"/>
                <w:rFonts w:hint="default" w:ascii="仿宋_GB2312" w:hAnsi="仿宋_GB2312" w:eastAsia="仿宋_GB2312"/>
                <w:color w:val="000000" w:themeColor="text1"/>
                <w:sz w:val="24"/>
                <w:highlight w:val="none"/>
                <w:u w:val="single"/>
                <w14:textFill>
                  <w14:solidFill>
                    <w14:schemeClr w14:val="tx1"/>
                  </w14:solidFill>
                </w14:textFill>
              </w:rPr>
              <w:t>无</w:t>
            </w:r>
            <w:r>
              <w:rPr>
                <w:rFonts w:hint="eastAsia" w:ascii="仿宋_GB2312" w:hAnsi="仿宋_GB2312" w:eastAsia="仿宋_GB2312" w:cs="仿宋_GB2312"/>
                <w:color w:val="000000" w:themeColor="text1"/>
                <w:sz w:val="24"/>
                <w:highlight w:val="none"/>
                <w14:textFill>
                  <w14:solidFill>
                    <w14:schemeClr w14:val="tx1"/>
                  </w14:solidFill>
                </w14:textFill>
              </w:rPr>
              <w:t>（是、否）</w:t>
            </w:r>
          </w:p>
        </w:tc>
      </w:tr>
      <w:tr w14:paraId="39A1D3E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1103" w:type="dxa"/>
            <w:tcBorders>
              <w:top w:val="single" w:color="000000" w:sz="6" w:space="0"/>
              <w:left w:val="single" w:color="000000" w:sz="12" w:space="0"/>
              <w:bottom w:val="single" w:color="000000" w:sz="6" w:space="0"/>
              <w:right w:val="single" w:color="000000" w:sz="6" w:space="0"/>
            </w:tcBorders>
            <w:vAlign w:val="center"/>
          </w:tcPr>
          <w:p w14:paraId="06214AE3">
            <w:pPr>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hint="default" w:ascii="仿宋_GB2312" w:hAnsi="仿宋_GB2312" w:eastAsia="仿宋_GB2312"/>
                <w:color w:val="000000" w:themeColor="text1"/>
                <w:sz w:val="24"/>
                <w:highlight w:val="none"/>
                <w14:textFill>
                  <w14:solidFill>
                    <w14:schemeClr w14:val="tx1"/>
                  </w14:solidFill>
                </w14:textFill>
              </w:rPr>
              <w:t>2.1</w:t>
            </w:r>
          </w:p>
        </w:tc>
        <w:tc>
          <w:tcPr>
            <w:tcW w:w="7487" w:type="dxa"/>
            <w:tcBorders>
              <w:top w:val="single" w:color="000000" w:sz="6" w:space="0"/>
              <w:left w:val="single" w:color="000000" w:sz="6" w:space="0"/>
              <w:bottom w:val="single" w:color="000000" w:sz="6" w:space="0"/>
              <w:right w:val="single" w:color="000000" w:sz="12" w:space="0"/>
            </w:tcBorders>
            <w:vAlign w:val="center"/>
          </w:tcPr>
          <w:p w14:paraId="2FEB705E">
            <w:pPr>
              <w:keepNext w:val="0"/>
              <w:keepLines w:val="0"/>
              <w:pageBreakBefore w:val="0"/>
              <w:widowControl w:val="0"/>
              <w:suppressLineNumbers w:val="0"/>
              <w:wordWrap/>
              <w:overflowPunct/>
              <w:topLinePunct w:val="0"/>
              <w:bidi w:val="0"/>
              <w:snapToGrid w:val="0"/>
              <w:spacing w:before="0" w:beforeAutospacing="0" w:afterAutospacing="0" w:line="240" w:lineRule="atLeast"/>
              <w:ind w:left="0" w:right="0"/>
              <w:jc w:val="left"/>
              <w:rPr>
                <w:rStyle w:val="37"/>
                <w:rFonts w:hint="eastAsia" w:ascii="仿宋_GB2312" w:hAnsi="仿宋_GB2312" w:eastAsia="仿宋_GB2312" w:cs="Times New Roman"/>
                <w:color w:val="auto"/>
                <w:sz w:val="24"/>
                <w:highlight w:val="none"/>
                <w:lang w:val="zh-CN"/>
              </w:rPr>
            </w:pPr>
            <w:r>
              <w:rPr>
                <w:rStyle w:val="37"/>
                <w:rFonts w:hint="eastAsia" w:ascii="仿宋_GB2312" w:hAnsi="仿宋_GB2312" w:eastAsia="仿宋_GB2312" w:cs="Times New Roman"/>
                <w:color w:val="auto"/>
                <w:sz w:val="24"/>
                <w:highlight w:val="none"/>
                <w:lang w:val="zh-CN"/>
              </w:rPr>
              <w:t>采购预算：</w:t>
            </w:r>
            <w:r>
              <w:rPr>
                <w:rStyle w:val="37"/>
                <w:rFonts w:hint="eastAsia" w:ascii="宋体" w:hAnsi="宋体" w:eastAsia="仿宋_GB2312" w:cs="Times New Roman"/>
                <w:color w:val="auto"/>
                <w:sz w:val="24"/>
                <w:szCs w:val="21"/>
                <w:highlight w:val="none"/>
                <w:lang w:val="en-US" w:eastAsia="zh-CN"/>
              </w:rPr>
              <w:t>2050829.35</w:t>
            </w:r>
            <w:r>
              <w:rPr>
                <w:rStyle w:val="37"/>
                <w:rFonts w:hint="eastAsia" w:ascii="仿宋_GB2312" w:hAnsi="仿宋_GB2312" w:eastAsia="仿宋_GB2312" w:cs="Times New Roman"/>
                <w:color w:val="auto"/>
                <w:sz w:val="24"/>
                <w:highlight w:val="none"/>
                <w:lang w:val="zh-CN"/>
              </w:rPr>
              <w:t>元；最高限价：</w:t>
            </w:r>
            <w:r>
              <w:rPr>
                <w:rStyle w:val="37"/>
                <w:rFonts w:hint="eastAsia" w:ascii="宋体" w:hAnsi="宋体" w:eastAsia="仿宋_GB2312" w:cs="Times New Roman"/>
                <w:color w:val="auto"/>
                <w:sz w:val="24"/>
                <w:szCs w:val="21"/>
                <w:highlight w:val="none"/>
                <w:lang w:val="en-US" w:eastAsia="zh-CN"/>
              </w:rPr>
              <w:t>2050829.35</w:t>
            </w:r>
            <w:r>
              <w:rPr>
                <w:rStyle w:val="37"/>
                <w:rFonts w:hint="eastAsia" w:ascii="仿宋_GB2312" w:hAnsi="仿宋_GB2312" w:eastAsia="仿宋_GB2312" w:cs="Times New Roman"/>
                <w:color w:val="auto"/>
                <w:sz w:val="24"/>
                <w:highlight w:val="none"/>
                <w:lang w:val="zh-CN"/>
              </w:rPr>
              <w:t>元</w:t>
            </w:r>
          </w:p>
          <w:p w14:paraId="04DD13DB">
            <w:pPr>
              <w:keepNext w:val="0"/>
              <w:keepLines w:val="0"/>
              <w:pageBreakBefore w:val="0"/>
              <w:widowControl w:val="0"/>
              <w:suppressLineNumbers w:val="0"/>
              <w:wordWrap/>
              <w:overflowPunct/>
              <w:topLinePunct w:val="0"/>
              <w:bidi w:val="0"/>
              <w:snapToGrid w:val="0"/>
              <w:spacing w:before="0" w:beforeAutospacing="0" w:afterAutospacing="0" w:line="240" w:lineRule="atLeast"/>
              <w:ind w:left="0" w:right="0"/>
              <w:jc w:val="left"/>
              <w:rPr>
                <w:rStyle w:val="37"/>
                <w:rFonts w:hint="eastAsia" w:ascii="仿宋" w:hAnsi="仿宋" w:eastAsia="仿宋"/>
                <w:color w:val="000000" w:themeColor="text1"/>
                <w:sz w:val="24"/>
                <w:highlight w:val="none"/>
                <w14:textFill>
                  <w14:solidFill>
                    <w14:schemeClr w14:val="tx1"/>
                  </w14:solidFill>
                </w14:textFill>
              </w:rPr>
            </w:pPr>
            <w:r>
              <w:rPr>
                <w:rStyle w:val="37"/>
                <w:rFonts w:hint="default" w:ascii="仿宋_GB2312" w:hAnsi="仿宋_GB2312" w:eastAsia="仿宋_GB2312"/>
                <w:color w:val="000000" w:themeColor="text1"/>
                <w:sz w:val="24"/>
                <w:highlight w:val="none"/>
                <w:lang w:val="zh-CN"/>
                <w14:textFill>
                  <w14:solidFill>
                    <w14:schemeClr w14:val="tx1"/>
                  </w14:solidFill>
                </w14:textFill>
              </w:rPr>
              <w:t>（超过最高限价的投标无效）</w:t>
            </w:r>
            <w:r>
              <w:rPr>
                <w:rStyle w:val="37"/>
                <w:rFonts w:hint="default" w:ascii="仿宋" w:hAnsi="仿宋" w:eastAsia="仿宋"/>
                <w:color w:val="000000" w:themeColor="text1"/>
                <w:sz w:val="24"/>
                <w:highlight w:val="none"/>
                <w:lang w:val="zh-CN"/>
                <w14:textFill>
                  <w14:solidFill>
                    <w14:schemeClr w14:val="tx1"/>
                  </w14:solidFill>
                </w14:textFill>
              </w:rPr>
              <w:t>；</w:t>
            </w:r>
          </w:p>
        </w:tc>
      </w:tr>
      <w:tr w14:paraId="3786823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89" w:hRule="atLeast"/>
        </w:trPr>
        <w:tc>
          <w:tcPr>
            <w:tcW w:w="1103" w:type="dxa"/>
            <w:tcBorders>
              <w:top w:val="single" w:color="000000" w:sz="6" w:space="0"/>
              <w:left w:val="single" w:color="000000" w:sz="12" w:space="0"/>
              <w:bottom w:val="single" w:color="000000" w:sz="6" w:space="0"/>
              <w:right w:val="single" w:color="000000" w:sz="6" w:space="0"/>
            </w:tcBorders>
            <w:vAlign w:val="center"/>
          </w:tcPr>
          <w:p w14:paraId="20F4D421">
            <w:pPr>
              <w:keepNext w:val="0"/>
              <w:keepLines w:val="0"/>
              <w:pageBreakBefore w:val="0"/>
              <w:widowControl w:val="0"/>
              <w:suppressLineNumbers w:val="0"/>
              <w:wordWrap/>
              <w:overflowPunct/>
              <w:topLinePunct w:val="0"/>
              <w:bidi w:val="0"/>
              <w:snapToGrid w:val="0"/>
              <w:spacing w:before="0" w:beforeAutospacing="0" w:afterAutospacing="0" w:line="240" w:lineRule="atLeast"/>
              <w:ind w:left="0" w:right="0" w:firstLine="480" w:firstLineChars="200"/>
              <w:jc w:val="left"/>
              <w:rPr>
                <w:rStyle w:val="37"/>
                <w:rFonts w:hint="eastAsia" w:ascii="仿宋_GB2312" w:hAnsi="仿宋_GB2312" w:eastAsia="仿宋_GB2312" w:cs="Times New Roman"/>
                <w:color w:val="000000" w:themeColor="text1"/>
                <w:sz w:val="24"/>
                <w:highlight w:val="none"/>
                <w:lang w:val="zh-CN"/>
                <w14:textFill>
                  <w14:solidFill>
                    <w14:schemeClr w14:val="tx1"/>
                  </w14:solidFill>
                </w14:textFill>
              </w:rPr>
            </w:pPr>
            <w:r>
              <w:rPr>
                <w:rStyle w:val="37"/>
                <w:rFonts w:hint="eastAsia" w:ascii="仿宋_GB2312" w:hAnsi="仿宋_GB2312" w:eastAsia="仿宋_GB2312" w:cs="Times New Roman"/>
                <w:color w:val="000000" w:themeColor="text1"/>
                <w:sz w:val="24"/>
                <w:highlight w:val="none"/>
                <w:lang w:val="zh-CN"/>
                <w14:textFill>
                  <w14:solidFill>
                    <w14:schemeClr w14:val="tx1"/>
                  </w14:solidFill>
                </w14:textFill>
              </w:rPr>
              <w:t>2.2</w:t>
            </w:r>
          </w:p>
        </w:tc>
        <w:tc>
          <w:tcPr>
            <w:tcW w:w="7487" w:type="dxa"/>
            <w:tcBorders>
              <w:top w:val="single" w:color="000000" w:sz="6" w:space="0"/>
              <w:left w:val="single" w:color="000000" w:sz="6" w:space="0"/>
              <w:bottom w:val="single" w:color="000000" w:sz="6" w:space="0"/>
              <w:right w:val="single" w:color="000000" w:sz="12" w:space="0"/>
            </w:tcBorders>
            <w:vAlign w:val="center"/>
          </w:tcPr>
          <w:p w14:paraId="33F9B3F7">
            <w:pPr>
              <w:keepNext w:val="0"/>
              <w:keepLines w:val="0"/>
              <w:pageBreakBefore w:val="0"/>
              <w:widowControl w:val="0"/>
              <w:suppressLineNumbers w:val="0"/>
              <w:wordWrap/>
              <w:overflowPunct/>
              <w:topLinePunct w:val="0"/>
              <w:bidi w:val="0"/>
              <w:snapToGrid w:val="0"/>
              <w:spacing w:before="0" w:beforeAutospacing="0" w:afterAutospacing="0" w:line="240" w:lineRule="atLeast"/>
              <w:ind w:left="0" w:right="0"/>
              <w:jc w:val="left"/>
              <w:rPr>
                <w:rStyle w:val="37"/>
                <w:rFonts w:hint="eastAsia" w:ascii="仿宋_GB2312" w:hAnsi="仿宋_GB2312" w:eastAsia="仿宋_GB2312" w:cs="Times New Roman"/>
                <w:color w:val="000000" w:themeColor="text1"/>
                <w:sz w:val="24"/>
                <w:highlight w:val="none"/>
                <w14:textFill>
                  <w14:solidFill>
                    <w14:schemeClr w14:val="tx1"/>
                  </w14:solidFill>
                </w14:textFill>
              </w:rPr>
            </w:pPr>
            <w:r>
              <w:rPr>
                <w:rStyle w:val="37"/>
                <w:rFonts w:hint="eastAsia" w:ascii="仿宋_GB2312" w:hAnsi="仿宋_GB2312" w:eastAsia="仿宋_GB2312" w:cs="Times New Roman"/>
                <w:color w:val="000000" w:themeColor="text1"/>
                <w:sz w:val="24"/>
                <w:highlight w:val="none"/>
                <w:lang w:val="zh-CN"/>
                <w14:textFill>
                  <w14:solidFill>
                    <w14:schemeClr w14:val="tx1"/>
                  </w14:solidFill>
                </w14:textFill>
              </w:rPr>
              <w:t>注：本项目不分标段</w:t>
            </w:r>
            <w:r>
              <w:rPr>
                <w:rFonts w:hint="eastAsia" w:ascii="仿宋" w:hAnsi="仿宋" w:eastAsia="仿宋" w:cs="仿宋"/>
                <w:bCs/>
                <w:color w:val="000000" w:themeColor="text1"/>
                <w:sz w:val="24"/>
                <w:highlight w:val="none"/>
                <w14:textFill>
                  <w14:solidFill>
                    <w14:schemeClr w14:val="tx1"/>
                  </w14:solidFill>
                </w14:textFill>
              </w:rPr>
              <w:t>。</w:t>
            </w:r>
          </w:p>
        </w:tc>
      </w:tr>
      <w:tr w14:paraId="764CCBF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229" w:hRule="atLeast"/>
        </w:trPr>
        <w:tc>
          <w:tcPr>
            <w:tcW w:w="1103" w:type="dxa"/>
            <w:tcBorders>
              <w:top w:val="single" w:color="000000" w:sz="6" w:space="0"/>
              <w:left w:val="single" w:color="000000" w:sz="12" w:space="0"/>
              <w:bottom w:val="single" w:color="000000" w:sz="6" w:space="0"/>
              <w:right w:val="single" w:color="000000" w:sz="6" w:space="0"/>
            </w:tcBorders>
            <w:vAlign w:val="center"/>
          </w:tcPr>
          <w:p w14:paraId="5D7F14E7">
            <w:pPr>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hint="default" w:ascii="仿宋_GB2312" w:hAnsi="仿宋_GB2312" w:eastAsia="仿宋_GB2312"/>
                <w:color w:val="000000" w:themeColor="text1"/>
                <w:sz w:val="24"/>
                <w:highlight w:val="none"/>
                <w14:textFill>
                  <w14:solidFill>
                    <w14:schemeClr w14:val="tx1"/>
                  </w14:solidFill>
                </w14:textFill>
              </w:rPr>
              <w:t>12.1</w:t>
            </w:r>
          </w:p>
        </w:tc>
        <w:tc>
          <w:tcPr>
            <w:tcW w:w="7487" w:type="dxa"/>
            <w:tcBorders>
              <w:top w:val="single" w:color="000000" w:sz="6" w:space="0"/>
              <w:left w:val="single" w:color="000000" w:sz="6" w:space="0"/>
              <w:bottom w:val="single" w:color="000000" w:sz="6" w:space="0"/>
              <w:right w:val="single" w:color="000000" w:sz="12" w:space="0"/>
            </w:tcBorders>
            <w:vAlign w:val="center"/>
          </w:tcPr>
          <w:p w14:paraId="312C995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right="0"/>
              <w:jc w:val="left"/>
              <w:textAlignment w:val="baseline"/>
              <w:rPr>
                <w:rStyle w:val="37"/>
                <w:rFonts w:hint="eastAsia" w:ascii="仿宋_GB2312" w:hAnsi="仿宋_GB2312" w:eastAsia="仿宋_GB2312" w:cs="Times New Roman"/>
                <w:color w:val="000000" w:themeColor="text1"/>
                <w:sz w:val="24"/>
                <w:highlight w:val="none"/>
                <w:lang w:val="zh-CN"/>
                <w14:textFill>
                  <w14:solidFill>
                    <w14:schemeClr w14:val="tx1"/>
                  </w14:solidFill>
                </w14:textFill>
              </w:rPr>
            </w:pPr>
            <w:r>
              <w:rPr>
                <w:rStyle w:val="37"/>
                <w:rFonts w:hint="default" w:ascii="仿宋_GB2312" w:hAnsi="仿宋_GB2312" w:eastAsia="仿宋_GB2312" w:cs="Times New Roman"/>
                <w:color w:val="000000" w:themeColor="text1"/>
                <w:sz w:val="24"/>
                <w:highlight w:val="none"/>
                <w:lang w:val="zh-CN"/>
                <w14:textFill>
                  <w14:solidFill>
                    <w14:schemeClr w14:val="tx1"/>
                  </w14:solidFill>
                </w14:textFill>
              </w:rPr>
              <w:t>投标保证金形式：</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电汇☑支票☑本票☑保函☑等非现金形式提交</w:t>
            </w:r>
            <w:r>
              <w:rPr>
                <w:rStyle w:val="37"/>
                <w:rFonts w:hint="default" w:ascii="仿宋_GB2312" w:hAnsi="仿宋_GB2312" w:eastAsia="仿宋_GB2312" w:cs="Times New Roman"/>
                <w:color w:val="000000" w:themeColor="text1"/>
                <w:sz w:val="24"/>
                <w:highlight w:val="none"/>
                <w:lang w:val="zh-CN"/>
                <w14:textFill>
                  <w14:solidFill>
                    <w14:schemeClr w14:val="tx1"/>
                  </w14:solidFill>
                </w14:textFill>
              </w:rPr>
              <w:t>投标保证金数额:</w:t>
            </w:r>
            <w:r>
              <w:rPr>
                <w:rStyle w:val="37"/>
                <w:rFonts w:hint="eastAsia" w:ascii="仿宋_GB2312" w:hAnsi="仿宋_GB2312" w:eastAsia="仿宋_GB2312" w:cs="Times New Roman"/>
                <w:color w:val="auto"/>
                <w:sz w:val="24"/>
                <w:highlight w:val="none"/>
                <w:lang w:val="en-US" w:eastAsia="zh-CN"/>
              </w:rPr>
              <w:t>40</w:t>
            </w:r>
            <w:r>
              <w:rPr>
                <w:rStyle w:val="37"/>
                <w:rFonts w:hint="eastAsia" w:ascii="仿宋_GB2312" w:hAnsi="仿宋_GB2312" w:eastAsia="仿宋_GB2312" w:cs="Times New Roman"/>
                <w:color w:val="auto"/>
                <w:sz w:val="24"/>
                <w:highlight w:val="none"/>
                <w:lang w:val="zh-CN"/>
              </w:rPr>
              <w:t>000</w:t>
            </w:r>
            <w:r>
              <w:rPr>
                <w:rStyle w:val="37"/>
                <w:rFonts w:hint="eastAsia" w:ascii="仿宋_GB2312" w:hAnsi="仿宋_GB2312" w:eastAsia="仿宋_GB2312" w:cs="Times New Roman"/>
                <w:color w:val="auto"/>
                <w:sz w:val="24"/>
                <w:highlight w:val="none"/>
                <w:lang w:val="en-US" w:eastAsia="zh-CN"/>
              </w:rPr>
              <w:t>.00</w:t>
            </w:r>
            <w:r>
              <w:rPr>
                <w:rStyle w:val="37"/>
                <w:rFonts w:hint="eastAsia" w:ascii="仿宋_GB2312" w:hAnsi="仿宋_GB2312" w:eastAsia="仿宋_GB2312" w:cs="Times New Roman"/>
                <w:color w:val="auto"/>
                <w:sz w:val="24"/>
                <w:highlight w:val="none"/>
                <w:lang w:val="zh-CN"/>
              </w:rPr>
              <w:t>元（</w:t>
            </w:r>
            <w:r>
              <w:rPr>
                <w:rStyle w:val="37"/>
                <w:rFonts w:hint="eastAsia" w:ascii="仿宋_GB2312" w:hAnsi="仿宋_GB2312" w:eastAsia="仿宋_GB2312" w:cs="Times New Roman"/>
                <w:color w:val="auto"/>
                <w:sz w:val="24"/>
                <w:highlight w:val="none"/>
                <w:lang w:val="en-US" w:eastAsia="zh-CN"/>
              </w:rPr>
              <w:t>肆万元整</w:t>
            </w:r>
            <w:r>
              <w:rPr>
                <w:rStyle w:val="37"/>
                <w:rFonts w:hint="eastAsia" w:ascii="仿宋_GB2312" w:hAnsi="仿宋_GB2312" w:eastAsia="仿宋_GB2312" w:cs="Times New Roman"/>
                <w:color w:val="auto"/>
                <w:sz w:val="24"/>
                <w:highlight w:val="none"/>
                <w:lang w:val="zh-CN"/>
              </w:rPr>
              <w:t>）</w:t>
            </w:r>
          </w:p>
          <w:p w14:paraId="7342ECD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right="0"/>
              <w:jc w:val="left"/>
              <w:textAlignment w:val="baseline"/>
              <w:rPr>
                <w:rFonts w:hint="eastAsia" w:ascii="仿宋_GB2312" w:hAnsi="仿宋_GB2312" w:eastAsia="仿宋_GB2312" w:cs="仿宋_GB2312"/>
                <w:color w:val="000000" w:themeColor="text1"/>
                <w:sz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投标保证金收款单位名称：</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伽师县教育局</w:t>
            </w:r>
          </w:p>
          <w:p w14:paraId="6C28419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right="0"/>
              <w:jc w:val="left"/>
              <w:textAlignment w:val="baseline"/>
              <w:rPr>
                <w:rFonts w:hint="eastAsia" w:ascii="仿宋_GB2312" w:hAnsi="仿宋_GB2312" w:eastAsia="仿宋_GB2312" w:cs="仿宋_GB2312"/>
                <w:color w:val="000000" w:themeColor="text1"/>
                <w:sz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eastAsia="zh-CN"/>
                <w14:textFill>
                  <w14:solidFill>
                    <w14:schemeClr w14:val="tx1"/>
                  </w14:solidFill>
                </w14:textFill>
              </w:rPr>
              <w:t>银行账号：3012000209100095893　</w:t>
            </w:r>
          </w:p>
          <w:p w14:paraId="3B08C2CC">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right="0"/>
              <w:jc w:val="left"/>
              <w:textAlignment w:val="baseline"/>
              <w:rPr>
                <w:rFonts w:hint="eastAsia" w:ascii="仿宋_GB2312" w:hAnsi="仿宋_GB2312" w:eastAsia="仿宋_GB2312" w:cs="仿宋_GB2312"/>
                <w:color w:val="000000" w:themeColor="text1"/>
                <w:sz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eastAsia="zh-CN"/>
                <w14:textFill>
                  <w14:solidFill>
                    <w14:schemeClr w14:val="tx1"/>
                  </w14:solidFill>
                </w14:textFill>
              </w:rPr>
              <w:t>开 户 行：中国工商银行股份有限公司伽师县支行</w:t>
            </w:r>
          </w:p>
          <w:p w14:paraId="4E35FA5C">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exact"/>
              <w:ind w:left="0" w:right="0"/>
              <w:jc w:val="left"/>
              <w:textAlignment w:val="baseline"/>
              <w:rPr>
                <w:rFonts w:hint="eastAsia" w:ascii="仿宋_GB2312" w:hAnsi="仿宋_GB2312" w:eastAsia="仿宋_GB2312" w:cs="仿宋_GB2312"/>
                <w:color w:val="000000" w:themeColor="text1"/>
                <w:sz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eastAsia="zh-CN"/>
                <w14:textFill>
                  <w14:solidFill>
                    <w14:schemeClr w14:val="tx1"/>
                  </w14:solidFill>
                </w14:textFill>
              </w:rPr>
              <w:t>联系人：许老师  13477473820</w:t>
            </w:r>
          </w:p>
          <w:p w14:paraId="39BE3C19">
            <w:pPr>
              <w:pStyle w:val="20"/>
              <w:keepNext w:val="0"/>
              <w:keepLines w:val="0"/>
              <w:pageBreakBefore w:val="0"/>
              <w:widowControl w:val="0"/>
              <w:kinsoku/>
              <w:wordWrap/>
              <w:overflowPunct/>
              <w:topLinePunct w:val="0"/>
              <w:autoSpaceDE/>
              <w:autoSpaceDN/>
              <w:bidi w:val="0"/>
              <w:adjustRightInd/>
              <w:spacing w:line="240" w:lineRule="exact"/>
              <w:textAlignment w:val="baseline"/>
              <w:rPr>
                <w:rFonts w:hint="eastAsia" w:ascii="仿宋" w:hAnsi="仿宋" w:eastAsia="仿宋" w:cs="仿宋"/>
                <w:b/>
                <w:bCs/>
                <w:color w:val="000000" w:themeColor="text1"/>
                <w:kern w:val="0"/>
                <w:sz w:val="24"/>
                <w:highlight w:val="none"/>
                <w14:textFill>
                  <w14:solidFill>
                    <w14:schemeClr w14:val="tx1"/>
                  </w14:solidFill>
                </w14:textFill>
              </w:rPr>
            </w:pPr>
            <w:r>
              <w:rPr>
                <w:rFonts w:ascii="仿宋" w:hAnsi="仿宋" w:eastAsia="仿宋" w:cs="仿宋"/>
                <w:b/>
                <w:bCs/>
                <w:color w:val="000000" w:themeColor="text1"/>
                <w:kern w:val="0"/>
                <w:sz w:val="24"/>
                <w:highlight w:val="none"/>
                <w14:textFill>
                  <w14:solidFill>
                    <w14:schemeClr w14:val="tx1"/>
                  </w14:solidFill>
                </w14:textFill>
              </w:rPr>
              <w:t>（根据中华人民共和国财政部令第87号《政府采购货物和服务招标投</w:t>
            </w:r>
            <w:r>
              <w:rPr>
                <w:rFonts w:hint="eastAsia" w:ascii="仿宋" w:hAnsi="仿宋" w:eastAsia="仿宋" w:cs="仿宋"/>
                <w:b/>
                <w:bCs/>
                <w:color w:val="000000" w:themeColor="text1"/>
                <w:kern w:val="0"/>
                <w:sz w:val="24"/>
                <w:highlight w:val="none"/>
                <w14:textFill>
                  <w14:solidFill>
                    <w14:schemeClr w14:val="tx1"/>
                  </w14:solidFill>
                </w14:textFill>
              </w:rPr>
              <w:t>标管理办法》第38条：投标保证金应当自中标通知书发出之日起5个工作日内退还未中标人的投标保证金，采购人自采购合同签订之日起5个工作日内退还中标人的投标保证金。）</w:t>
            </w:r>
          </w:p>
          <w:p w14:paraId="6086F1F0">
            <w:pPr>
              <w:pStyle w:val="20"/>
              <w:keepNext w:val="0"/>
              <w:keepLines w:val="0"/>
              <w:pageBreakBefore w:val="0"/>
              <w:widowControl w:val="0"/>
              <w:kinsoku/>
              <w:wordWrap/>
              <w:overflowPunct/>
              <w:topLinePunct w:val="0"/>
              <w:autoSpaceDE/>
              <w:autoSpaceDN/>
              <w:bidi w:val="0"/>
              <w:adjustRightInd/>
              <w:spacing w:line="240" w:lineRule="exact"/>
              <w:textAlignment w:val="baseline"/>
              <w:rPr>
                <w:color w:val="000000" w:themeColor="text1"/>
                <w:highlight w:val="none"/>
                <w14:textFill>
                  <w14:solidFill>
                    <w14:schemeClr w14:val="tx1"/>
                  </w14:solidFill>
                </w14:textFill>
              </w:rPr>
            </w:pPr>
            <w:r>
              <w:rPr>
                <w:rFonts w:hint="eastAsia" w:ascii="仿宋_GB2312" w:eastAsia="仿宋_GB2312"/>
                <w:b/>
                <w:bCs/>
                <w:color w:val="000000" w:themeColor="text1"/>
                <w:sz w:val="24"/>
                <w:highlight w:val="none"/>
                <w14:textFill>
                  <w14:solidFill>
                    <w14:schemeClr w14:val="tx1"/>
                  </w14:solidFill>
                </w14:textFill>
              </w:rPr>
              <w:t>投标人未按招标文件规定缴纳投标保证金的,投标文件将被拒绝评审。</w:t>
            </w:r>
          </w:p>
        </w:tc>
      </w:tr>
      <w:tr w14:paraId="2A0A409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71" w:hRule="atLeast"/>
        </w:trPr>
        <w:tc>
          <w:tcPr>
            <w:tcW w:w="1103" w:type="dxa"/>
            <w:tcBorders>
              <w:top w:val="single" w:color="000000" w:sz="6" w:space="0"/>
              <w:left w:val="single" w:color="000000" w:sz="12" w:space="0"/>
              <w:bottom w:val="single" w:color="000000" w:sz="6" w:space="0"/>
              <w:right w:val="single" w:color="000000" w:sz="6" w:space="0"/>
            </w:tcBorders>
            <w:vAlign w:val="center"/>
          </w:tcPr>
          <w:p w14:paraId="6F954A65">
            <w:pPr>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hint="default" w:ascii="仿宋_GB2312" w:hAnsi="仿宋_GB2312" w:eastAsia="仿宋_GB2312"/>
                <w:color w:val="000000" w:themeColor="text1"/>
                <w:sz w:val="24"/>
                <w:highlight w:val="none"/>
                <w14:textFill>
                  <w14:solidFill>
                    <w14:schemeClr w14:val="tx1"/>
                  </w14:solidFill>
                </w14:textFill>
              </w:rPr>
              <w:t>13.1</w:t>
            </w:r>
          </w:p>
        </w:tc>
        <w:tc>
          <w:tcPr>
            <w:tcW w:w="7487" w:type="dxa"/>
            <w:tcBorders>
              <w:top w:val="single" w:color="000000" w:sz="6" w:space="0"/>
              <w:left w:val="single" w:color="000000" w:sz="6" w:space="0"/>
              <w:bottom w:val="single" w:color="000000" w:sz="6" w:space="0"/>
              <w:right w:val="single" w:color="000000" w:sz="12" w:space="0"/>
            </w:tcBorders>
            <w:vAlign w:val="center"/>
          </w:tcPr>
          <w:p w14:paraId="59413A3A">
            <w:pPr>
              <w:keepNext w:val="0"/>
              <w:keepLines w:val="0"/>
              <w:pageBreakBefore w:val="0"/>
              <w:widowControl w:val="0"/>
              <w:suppressLineNumbers w:val="0"/>
              <w:wordWrap/>
              <w:overflowPunct/>
              <w:topLinePunct w:val="0"/>
              <w:bidi w:val="0"/>
              <w:snapToGrid w:val="0"/>
              <w:spacing w:before="0" w:beforeAutospacing="0" w:afterAutospacing="0" w:line="240" w:lineRule="atLeast"/>
              <w:ind w:left="0" w:right="0"/>
              <w:jc w:val="left"/>
              <w:rPr>
                <w:rStyle w:val="37"/>
                <w:rFonts w:hint="eastAsia" w:ascii="仿宋_GB2312" w:hAnsi="仿宋_GB2312" w:eastAsia="仿宋_GB2312"/>
                <w:color w:val="000000" w:themeColor="text1"/>
                <w:sz w:val="24"/>
                <w:highlight w:val="none"/>
                <w:u w:val="single" w:color="000000"/>
                <w14:textFill>
                  <w14:solidFill>
                    <w14:schemeClr w14:val="tx1"/>
                  </w14:solidFill>
                </w14:textFill>
              </w:rPr>
            </w:pPr>
            <w:r>
              <w:rPr>
                <w:rStyle w:val="37"/>
                <w:rFonts w:hint="default" w:ascii="仿宋_GB2312" w:hAnsi="仿宋_GB2312" w:eastAsia="仿宋_GB2312"/>
                <w:color w:val="000000" w:themeColor="text1"/>
                <w:sz w:val="24"/>
                <w:highlight w:val="none"/>
                <w14:textFill>
                  <w14:solidFill>
                    <w14:schemeClr w14:val="tx1"/>
                  </w14:solidFill>
                </w14:textFill>
              </w:rPr>
              <w:t>投标有效期：</w:t>
            </w:r>
            <w:r>
              <w:rPr>
                <w:rStyle w:val="37"/>
                <w:rFonts w:hint="eastAsia" w:ascii="仿宋_GB2312" w:hAnsi="仿宋_GB2312" w:eastAsia="仿宋_GB2312"/>
                <w:color w:val="000000" w:themeColor="text1"/>
                <w:sz w:val="24"/>
                <w:highlight w:val="none"/>
                <w:u w:val="single" w:color="000000"/>
                <w14:textFill>
                  <w14:solidFill>
                    <w14:schemeClr w14:val="tx1"/>
                  </w14:solidFill>
                </w14:textFill>
              </w:rPr>
              <w:t>90</w:t>
            </w:r>
            <w:r>
              <w:rPr>
                <w:rStyle w:val="37"/>
                <w:rFonts w:hint="default" w:ascii="仿宋_GB2312" w:hAnsi="仿宋_GB2312" w:eastAsia="仿宋_GB2312"/>
                <w:color w:val="000000" w:themeColor="text1"/>
                <w:sz w:val="24"/>
                <w:highlight w:val="none"/>
                <w14:textFill>
                  <w14:solidFill>
                    <w14:schemeClr w14:val="tx1"/>
                  </w14:solidFill>
                </w14:textFill>
              </w:rPr>
              <w:t>日历日</w:t>
            </w:r>
          </w:p>
        </w:tc>
      </w:tr>
      <w:tr w14:paraId="460AFFD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38" w:hRule="atLeast"/>
        </w:trPr>
        <w:tc>
          <w:tcPr>
            <w:tcW w:w="1103" w:type="dxa"/>
            <w:tcBorders>
              <w:top w:val="single" w:color="000000" w:sz="6" w:space="0"/>
              <w:left w:val="single" w:color="000000" w:sz="12" w:space="0"/>
              <w:bottom w:val="single" w:color="000000" w:sz="6" w:space="0"/>
              <w:right w:val="single" w:color="000000" w:sz="6" w:space="0"/>
            </w:tcBorders>
            <w:vAlign w:val="center"/>
          </w:tcPr>
          <w:p w14:paraId="5BB3A9B6">
            <w:pPr>
              <w:keepNext w:val="0"/>
              <w:keepLines w:val="0"/>
              <w:pageBreakBefore w:val="0"/>
              <w:widowControl w:val="0"/>
              <w:suppressLineNumbers w:val="0"/>
              <w:wordWrap/>
              <w:overflowPunct/>
              <w:topLinePunct w:val="0"/>
              <w:bidi w:val="0"/>
              <w:snapToGrid w:val="0"/>
              <w:spacing w:before="0" w:beforeAutospacing="0" w:afterAutospacing="0"/>
              <w:ind w:left="0" w:right="0"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hint="default" w:ascii="仿宋_GB2312" w:hAnsi="仿宋_GB2312" w:eastAsia="仿宋_GB2312"/>
                <w:color w:val="000000" w:themeColor="text1"/>
                <w:sz w:val="24"/>
                <w:highlight w:val="none"/>
                <w14:textFill>
                  <w14:solidFill>
                    <w14:schemeClr w14:val="tx1"/>
                  </w14:solidFill>
                </w14:textFill>
              </w:rPr>
              <w:t>14.1</w:t>
            </w:r>
          </w:p>
        </w:tc>
        <w:tc>
          <w:tcPr>
            <w:tcW w:w="7487" w:type="dxa"/>
            <w:tcBorders>
              <w:top w:val="single" w:color="000000" w:sz="6" w:space="0"/>
              <w:left w:val="single" w:color="000000" w:sz="6" w:space="0"/>
              <w:bottom w:val="single" w:color="000000" w:sz="6" w:space="0"/>
              <w:right w:val="single" w:color="000000" w:sz="12" w:space="0"/>
            </w:tcBorders>
            <w:vAlign w:val="center"/>
          </w:tcPr>
          <w:p w14:paraId="0CBBD5F2">
            <w:pPr>
              <w:keepNext w:val="0"/>
              <w:keepLines w:val="0"/>
              <w:pageBreakBefore w:val="0"/>
              <w:widowControl w:val="0"/>
              <w:suppressLineNumbers w:val="0"/>
              <w:kinsoku/>
              <w:wordWrap/>
              <w:overflowPunct/>
              <w:topLinePunct w:val="0"/>
              <w:autoSpaceDE/>
              <w:autoSpaceDN/>
              <w:bidi w:val="0"/>
              <w:adjustRightInd/>
              <w:spacing w:before="0" w:beforeAutospacing="0" w:afterAutospacing="0" w:line="240" w:lineRule="exact"/>
              <w:ind w:left="0" w:right="0"/>
              <w:jc w:val="left"/>
              <w:textAlignment w:val="baseline"/>
              <w:rPr>
                <w:rFonts w:hint="eastAsia" w:eastAsia="仿宋"/>
                <w:color w:val="000000" w:themeColor="text1"/>
                <w:highlight w:val="none"/>
                <w:lang w:eastAsia="zh-CN"/>
                <w14:textFill>
                  <w14:solidFill>
                    <w14:schemeClr w14:val="tx1"/>
                  </w14:solidFill>
                </w14:textFill>
              </w:rPr>
            </w:pPr>
            <w:r>
              <w:rPr>
                <w:rFonts w:hint="default" w:ascii="仿宋" w:hAnsi="仿宋" w:eastAsia="仿宋" w:cs="仿宋"/>
                <w:color w:val="000000" w:themeColor="text1"/>
                <w:kern w:val="0"/>
                <w:sz w:val="24"/>
                <w:highlight w:val="none"/>
                <w:lang w:bidi="ar"/>
                <w14:textFill>
                  <w14:solidFill>
                    <w14:schemeClr w14:val="tx1"/>
                  </w14:solidFill>
                </w14:textFill>
              </w:rPr>
              <w:t>1.本项目为电子招投标，供应商需要使用CA加密设备，凡参加本项</w:t>
            </w:r>
            <w:r>
              <w:rPr>
                <w:rFonts w:hint="eastAsia" w:ascii="仿宋" w:hAnsi="仿宋" w:eastAsia="仿宋" w:cs="仿宋"/>
                <w:color w:val="000000" w:themeColor="text1"/>
                <w:kern w:val="0"/>
                <w:sz w:val="24"/>
                <w:highlight w:val="none"/>
                <w:lang w:bidi="ar"/>
                <w14:textFill>
                  <w14:solidFill>
                    <w14:schemeClr w14:val="tx1"/>
                  </w14:solidFill>
                </w14:textFill>
              </w:rPr>
              <w:t>目必须可自主通过新疆CA申领渠道“新疆政务通”申请政采云平台可使用的CA设备，如原有兵团或公共资源使用的CA，可与新疆CA联系，申请增加电子证书即可，无需重复申领。</w:t>
            </w:r>
          </w:p>
          <w:p w14:paraId="67E43939">
            <w:pPr>
              <w:keepNext w:val="0"/>
              <w:keepLines w:val="0"/>
              <w:pageBreakBefore w:val="0"/>
              <w:widowControl w:val="0"/>
              <w:suppressLineNumbers w:val="0"/>
              <w:kinsoku/>
              <w:wordWrap/>
              <w:overflowPunct/>
              <w:topLinePunct w:val="0"/>
              <w:autoSpaceDE/>
              <w:autoSpaceDN/>
              <w:bidi w:val="0"/>
              <w:adjustRightInd/>
              <w:spacing w:before="0" w:beforeAutospacing="0" w:afterAutospacing="0" w:line="240" w:lineRule="exact"/>
              <w:ind w:left="0" w:right="0"/>
              <w:jc w:val="left"/>
              <w:textAlignment w:val="baseline"/>
              <w:rPr>
                <w:rFonts w:hint="eastAsia"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2.本项目实行网上投标，采用电子投标文件(供应商须使用CA加密设备通过政采云电子投标客户端制作投标文件)。若供应商参与投标，自行承担投标一切费用。</w:t>
            </w:r>
          </w:p>
          <w:p w14:paraId="6B25E79C">
            <w:pPr>
              <w:keepNext w:val="0"/>
              <w:keepLines w:val="0"/>
              <w:pageBreakBefore w:val="0"/>
              <w:widowControl w:val="0"/>
              <w:suppressLineNumbers w:val="0"/>
              <w:kinsoku/>
              <w:wordWrap/>
              <w:overflowPunct/>
              <w:topLinePunct w:val="0"/>
              <w:autoSpaceDE/>
              <w:autoSpaceDN/>
              <w:bidi w:val="0"/>
              <w:adjustRightInd/>
              <w:spacing w:before="0" w:beforeAutospacing="0" w:afterAutospacing="0" w:line="240" w:lineRule="exact"/>
              <w:ind w:left="0" w:right="0"/>
              <w:jc w:val="left"/>
              <w:textAlignment w:val="baseline"/>
              <w:rPr>
                <w:rFonts w:hint="eastAsia"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3.各供应商应在开标前应确保成为新疆政府采购网正式注册入库供应商，并完成CA数字证书申领。因未注册入库、未办理CA数字证书等原因造成无法投标或投标失败等后果由供应商自行承担。</w:t>
            </w:r>
          </w:p>
          <w:p w14:paraId="25D1D86C">
            <w:pPr>
              <w:keepNext w:val="0"/>
              <w:keepLines w:val="0"/>
              <w:pageBreakBefore w:val="0"/>
              <w:widowControl w:val="0"/>
              <w:suppressLineNumbers w:val="0"/>
              <w:kinsoku/>
              <w:wordWrap/>
              <w:overflowPunct/>
              <w:topLinePunct w:val="0"/>
              <w:autoSpaceDE/>
              <w:autoSpaceDN/>
              <w:bidi w:val="0"/>
              <w:adjustRightInd/>
              <w:spacing w:before="0" w:beforeAutospacing="0" w:afterAutospacing="0" w:line="240" w:lineRule="exact"/>
              <w:ind w:left="0" w:right="0"/>
              <w:jc w:val="left"/>
              <w:textAlignment w:val="baseline"/>
              <w:rPr>
                <w:rFonts w:hint="eastAsia"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4.供应商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95763进行咨询。</w:t>
            </w:r>
          </w:p>
          <w:p w14:paraId="0CFA8ED0">
            <w:pPr>
              <w:keepNext w:val="0"/>
              <w:keepLines w:val="0"/>
              <w:pageBreakBefore w:val="0"/>
              <w:widowControl w:val="0"/>
              <w:suppressLineNumbers w:val="0"/>
              <w:kinsoku/>
              <w:wordWrap/>
              <w:overflowPunct/>
              <w:topLinePunct w:val="0"/>
              <w:autoSpaceDE/>
              <w:autoSpaceDN/>
              <w:bidi w:val="0"/>
              <w:adjustRightInd/>
              <w:spacing w:before="0" w:beforeAutospacing="0" w:afterAutospacing="0" w:line="240" w:lineRule="exact"/>
              <w:ind w:left="0" w:right="0"/>
              <w:jc w:val="left"/>
              <w:textAlignment w:val="baseline"/>
              <w:rPr>
                <w:rFonts w:hint="eastAsia" w:ascii="仿宋" w:hAnsi="仿宋" w:eastAsia="仿宋" w:cs="仿宋"/>
                <w:color w:val="000000" w:themeColor="text1"/>
                <w:kern w:val="0"/>
                <w:sz w:val="24"/>
                <w:highlight w:val="none"/>
                <w:lang w:bidi="ar"/>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5.供应商在开标时须使用制作加密电子投标文件所使用的CA锁及电脑，电脑须提前配置好浏览器（建议使用谷歌浏览器），以便开标时解锁。为了保证开评标顺利进行，政采云线上开标功能完全实现，供应商开标所使用的电脑设备须具有视频及语音功能。</w:t>
            </w:r>
          </w:p>
          <w:p w14:paraId="46D9EBA8">
            <w:pPr>
              <w:keepNext w:val="0"/>
              <w:keepLines w:val="0"/>
              <w:pageBreakBefore w:val="0"/>
              <w:widowControl w:val="0"/>
              <w:suppressLineNumbers w:val="0"/>
              <w:kinsoku/>
              <w:wordWrap/>
              <w:overflowPunct/>
              <w:topLinePunct w:val="0"/>
              <w:autoSpaceDE/>
              <w:autoSpaceDN/>
              <w:bidi w:val="0"/>
              <w:adjustRightInd/>
              <w:spacing w:before="0" w:beforeAutospacing="0" w:afterAutospacing="0" w:line="240" w:lineRule="exact"/>
              <w:ind w:left="0" w:right="0"/>
              <w:jc w:val="left"/>
              <w:textAlignment w:val="baseline"/>
              <w:rPr>
                <w:rFonts w:hint="eastAsia"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6.投标保证金缴纳及确认时间：凡拟参加本次招标项目的供应商，必须在开标前将投标保证金汇入指定账户。投标保证金汇款凭证上用途栏应注明:招标项目名称+标项号+投标保证金。否则，届时其投标将被拒绝。</w:t>
            </w:r>
          </w:p>
          <w:p w14:paraId="1F7557DD">
            <w:pPr>
              <w:keepNext w:val="0"/>
              <w:keepLines w:val="0"/>
              <w:pageBreakBefore w:val="0"/>
              <w:widowControl w:val="0"/>
              <w:suppressLineNumbers w:val="0"/>
              <w:kinsoku/>
              <w:wordWrap/>
              <w:overflowPunct/>
              <w:topLinePunct w:val="0"/>
              <w:autoSpaceDE/>
              <w:autoSpaceDN/>
              <w:bidi w:val="0"/>
              <w:adjustRightInd/>
              <w:spacing w:before="0" w:beforeAutospacing="0" w:afterAutospacing="0" w:line="240" w:lineRule="exact"/>
              <w:ind w:left="0" w:right="0"/>
              <w:jc w:val="left"/>
              <w:textAlignment w:val="baseline"/>
              <w:rPr>
                <w:rFonts w:hint="eastAsia"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7.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34D41DA7">
            <w:pPr>
              <w:keepNext w:val="0"/>
              <w:keepLines w:val="0"/>
              <w:pageBreakBefore w:val="0"/>
              <w:widowControl w:val="0"/>
              <w:suppressLineNumbers w:val="0"/>
              <w:kinsoku/>
              <w:wordWrap/>
              <w:overflowPunct/>
              <w:topLinePunct w:val="0"/>
              <w:autoSpaceDE/>
              <w:autoSpaceDN/>
              <w:bidi w:val="0"/>
              <w:adjustRightInd/>
              <w:spacing w:before="0" w:beforeAutospacing="0" w:afterAutospacing="0" w:line="240" w:lineRule="exact"/>
              <w:ind w:left="0" w:right="0"/>
              <w:jc w:val="left"/>
              <w:textAlignment w:val="baseline"/>
              <w:rPr>
                <w:rFonts w:hint="eastAsia"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8.各供应商须在投标截止时间前完成在系统上递交电子投标文件。</w:t>
            </w:r>
          </w:p>
          <w:p w14:paraId="0EB157C3">
            <w:pPr>
              <w:keepNext w:val="0"/>
              <w:keepLines w:val="0"/>
              <w:pageBreakBefore w:val="0"/>
              <w:widowControl w:val="0"/>
              <w:suppressLineNumbers w:val="0"/>
              <w:kinsoku/>
              <w:wordWrap/>
              <w:overflowPunct/>
              <w:topLinePunct w:val="0"/>
              <w:autoSpaceDE/>
              <w:autoSpaceDN/>
              <w:bidi w:val="0"/>
              <w:adjustRightInd/>
              <w:spacing w:before="0" w:beforeAutospacing="0" w:afterAutospacing="0" w:line="240" w:lineRule="exact"/>
              <w:ind w:left="0" w:right="0"/>
              <w:jc w:val="left"/>
              <w:textAlignment w:val="baseline"/>
              <w:rPr>
                <w:rFonts w:hint="eastAsia" w:eastAsia="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供应商的电子投标文件是经过CA证书加密后上传提交的，任何单位或个人均无法在投标截止时间(即开标时间)之前查看或篡改，不存在泄密风险。（严格按照政采云电子投标流程制作并上传电子投标文件）</w:t>
            </w:r>
          </w:p>
          <w:p w14:paraId="2B61D28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exact"/>
              <w:ind w:left="0" w:right="0"/>
              <w:jc w:val="left"/>
              <w:textAlignment w:val="baseline"/>
              <w:rPr>
                <w:rStyle w:val="37"/>
                <w:rFonts w:hint="eastAsia" w:ascii="仿宋_GB2312" w:hAnsi="仿宋_GB2312" w:eastAsia="仿宋_GB2312"/>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bidi="ar"/>
                <w14:textFill>
                  <w14:solidFill>
                    <w14:schemeClr w14:val="tx1"/>
                  </w14:solidFill>
                </w14:textFill>
              </w:rPr>
              <w:t>9.解密时长为30分钟。</w:t>
            </w:r>
          </w:p>
        </w:tc>
      </w:tr>
      <w:tr w14:paraId="7981BD1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35" w:hRule="atLeast"/>
        </w:trPr>
        <w:tc>
          <w:tcPr>
            <w:tcW w:w="1103" w:type="dxa"/>
            <w:tcBorders>
              <w:top w:val="single" w:color="000000" w:sz="6" w:space="0"/>
              <w:left w:val="single" w:color="000000" w:sz="12" w:space="0"/>
              <w:bottom w:val="single" w:color="000000" w:sz="6" w:space="0"/>
              <w:right w:val="single" w:color="000000" w:sz="6" w:space="0"/>
            </w:tcBorders>
            <w:vAlign w:val="center"/>
          </w:tcPr>
          <w:p w14:paraId="4B99024F">
            <w:pPr>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hint="default" w:ascii="仿宋_GB2312" w:hAnsi="仿宋_GB2312" w:eastAsia="仿宋_GB2312"/>
                <w:color w:val="000000" w:themeColor="text1"/>
                <w:sz w:val="24"/>
                <w:highlight w:val="none"/>
                <w14:textFill>
                  <w14:solidFill>
                    <w14:schemeClr w14:val="tx1"/>
                  </w14:solidFill>
                </w14:textFill>
              </w:rPr>
              <w:t>16.1</w:t>
            </w:r>
          </w:p>
        </w:tc>
        <w:tc>
          <w:tcPr>
            <w:tcW w:w="7487" w:type="dxa"/>
            <w:tcBorders>
              <w:top w:val="single" w:color="000000" w:sz="6" w:space="0"/>
              <w:left w:val="single" w:color="000000" w:sz="6" w:space="0"/>
              <w:bottom w:val="single" w:color="000000" w:sz="6" w:space="0"/>
              <w:right w:val="single" w:color="000000" w:sz="12" w:space="0"/>
            </w:tcBorders>
            <w:vAlign w:val="center"/>
          </w:tcPr>
          <w:p w14:paraId="19588E3B">
            <w:pPr>
              <w:keepNext w:val="0"/>
              <w:keepLines w:val="0"/>
              <w:pageBreakBefore w:val="0"/>
              <w:widowControl w:val="0"/>
              <w:suppressLineNumbers w:val="0"/>
              <w:wordWrap/>
              <w:overflowPunct/>
              <w:topLinePunct w:val="0"/>
              <w:bidi w:val="0"/>
              <w:spacing w:before="0" w:beforeAutospacing="0" w:afterAutospacing="0" w:line="240" w:lineRule="atLeast"/>
              <w:ind w:left="0" w:right="0"/>
              <w:jc w:val="left"/>
              <w:rPr>
                <w:rStyle w:val="37"/>
                <w:rFonts w:hint="eastAsia" w:ascii="仿宋_GB2312" w:hAnsi="仿宋_GB2312" w:eastAsia="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FF0000"/>
                <w:sz w:val="24"/>
                <w:highlight w:val="none"/>
              </w:rPr>
              <w:t>投标截止时间</w:t>
            </w:r>
            <w:r>
              <w:rPr>
                <w:rFonts w:hint="eastAsia" w:ascii="仿宋_GB2312" w:hAnsi="仿宋_GB2312" w:eastAsia="仿宋_GB2312" w:cs="仿宋_GB2312"/>
                <w:color w:val="FF0000"/>
                <w:sz w:val="24"/>
                <w:highlight w:val="none"/>
                <w:lang w:eastAsia="zh-CN"/>
              </w:rPr>
              <w:t>：2026年</w:t>
            </w:r>
            <w:r>
              <w:rPr>
                <w:rFonts w:hint="eastAsia" w:ascii="仿宋_GB2312" w:hAnsi="仿宋_GB2312" w:eastAsia="仿宋_GB2312" w:cs="仿宋_GB2312"/>
                <w:color w:val="FF0000"/>
                <w:sz w:val="24"/>
                <w:highlight w:val="none"/>
                <w:lang w:val="en-US" w:eastAsia="zh-CN"/>
              </w:rPr>
              <w:t>5</w:t>
            </w:r>
            <w:r>
              <w:rPr>
                <w:rFonts w:hint="eastAsia" w:ascii="仿宋_GB2312" w:hAnsi="仿宋_GB2312" w:eastAsia="仿宋_GB2312" w:cs="仿宋_GB2312"/>
                <w:color w:val="FF0000"/>
                <w:sz w:val="24"/>
                <w:highlight w:val="none"/>
                <w:lang w:eastAsia="zh-CN"/>
              </w:rPr>
              <w:t>月</w:t>
            </w:r>
            <w:r>
              <w:rPr>
                <w:rFonts w:hint="eastAsia" w:ascii="仿宋_GB2312" w:hAnsi="仿宋_GB2312" w:eastAsia="仿宋_GB2312" w:cs="仿宋_GB2312"/>
                <w:color w:val="FF0000"/>
                <w:sz w:val="24"/>
                <w:highlight w:val="none"/>
                <w:lang w:val="en-US" w:eastAsia="zh-CN"/>
              </w:rPr>
              <w:t>21</w:t>
            </w:r>
            <w:r>
              <w:rPr>
                <w:rFonts w:hint="eastAsia" w:ascii="仿宋_GB2312" w:hAnsi="仿宋_GB2312" w:eastAsia="仿宋_GB2312" w:cs="仿宋_GB2312"/>
                <w:color w:val="FF0000"/>
                <w:sz w:val="24"/>
                <w:highlight w:val="none"/>
                <w:lang w:eastAsia="zh-CN"/>
              </w:rPr>
              <w:t>日</w:t>
            </w:r>
            <w:r>
              <w:rPr>
                <w:rFonts w:hint="eastAsia" w:ascii="仿宋_GB2312" w:hAnsi="仿宋_GB2312" w:eastAsia="仿宋_GB2312" w:cs="仿宋_GB2312"/>
                <w:color w:val="FF0000"/>
                <w:sz w:val="24"/>
                <w:highlight w:val="none"/>
              </w:rPr>
              <w:t>11：00（北京时间</w:t>
            </w:r>
            <w:r>
              <w:rPr>
                <w:rFonts w:hint="eastAsia" w:ascii="宋体" w:hAnsi="宋体" w:cs="宋体"/>
                <w:color w:val="FF0000"/>
                <w:kern w:val="0"/>
                <w:sz w:val="24"/>
                <w:highlight w:val="none"/>
              </w:rPr>
              <w:t>）</w:t>
            </w:r>
          </w:p>
        </w:tc>
      </w:tr>
      <w:tr w14:paraId="4708A8F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43" w:hRule="atLeast"/>
        </w:trPr>
        <w:tc>
          <w:tcPr>
            <w:tcW w:w="1103" w:type="dxa"/>
            <w:tcBorders>
              <w:top w:val="single" w:color="000000" w:sz="6" w:space="0"/>
              <w:left w:val="single" w:color="000000" w:sz="12" w:space="0"/>
              <w:bottom w:val="single" w:color="000000" w:sz="6" w:space="0"/>
              <w:right w:val="single" w:color="000000" w:sz="6" w:space="0"/>
            </w:tcBorders>
            <w:vAlign w:val="center"/>
          </w:tcPr>
          <w:p w14:paraId="5CCE8DD1">
            <w:pPr>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hint="default" w:ascii="仿宋_GB2312" w:hAnsi="仿宋_GB2312" w:eastAsia="仿宋_GB2312"/>
                <w:color w:val="000000" w:themeColor="text1"/>
                <w:sz w:val="24"/>
                <w:highlight w:val="none"/>
                <w14:textFill>
                  <w14:solidFill>
                    <w14:schemeClr w14:val="tx1"/>
                  </w14:solidFill>
                </w14:textFill>
              </w:rPr>
              <w:t>18.1</w:t>
            </w:r>
          </w:p>
        </w:tc>
        <w:tc>
          <w:tcPr>
            <w:tcW w:w="7487" w:type="dxa"/>
            <w:tcBorders>
              <w:top w:val="single" w:color="000000" w:sz="6" w:space="0"/>
              <w:left w:val="single" w:color="000000" w:sz="6" w:space="0"/>
              <w:bottom w:val="single" w:color="000000" w:sz="6" w:space="0"/>
              <w:right w:val="single" w:color="000000" w:sz="12" w:space="0"/>
            </w:tcBorders>
            <w:vAlign w:val="center"/>
          </w:tcPr>
          <w:p w14:paraId="2F59B65D">
            <w:pPr>
              <w:keepNext w:val="0"/>
              <w:keepLines w:val="0"/>
              <w:pageBreakBefore w:val="0"/>
              <w:widowControl w:val="0"/>
              <w:suppressLineNumbers w:val="0"/>
              <w:wordWrap/>
              <w:overflowPunct/>
              <w:topLinePunct w:val="0"/>
              <w:bidi w:val="0"/>
              <w:spacing w:before="0" w:beforeAutospacing="0" w:afterAutospacing="0" w:line="240" w:lineRule="atLeast"/>
              <w:ind w:left="0" w:right="0"/>
              <w:jc w:val="left"/>
              <w:rPr>
                <w:rFonts w:hint="eastAsia" w:ascii="仿宋_GB2312" w:hAnsi="仿宋_GB2312" w:eastAsia="仿宋_GB2312" w:cs="仿宋_GB2312"/>
                <w:color w:val="FF0000"/>
                <w:sz w:val="24"/>
                <w:highlight w:val="none"/>
              </w:rPr>
            </w:pPr>
            <w:r>
              <w:rPr>
                <w:rFonts w:hint="eastAsia" w:ascii="仿宋_GB2312" w:hAnsi="仿宋_GB2312" w:eastAsia="仿宋_GB2312" w:cs="仿宋_GB2312"/>
                <w:color w:val="FF0000"/>
                <w:sz w:val="24"/>
                <w:highlight w:val="none"/>
              </w:rPr>
              <w:t>开标时间</w:t>
            </w:r>
            <w:r>
              <w:rPr>
                <w:rFonts w:hint="eastAsia" w:ascii="仿宋_GB2312" w:hAnsi="仿宋_GB2312" w:eastAsia="仿宋_GB2312" w:cs="仿宋_GB2312"/>
                <w:color w:val="FF0000"/>
                <w:sz w:val="24"/>
                <w:highlight w:val="none"/>
                <w:lang w:eastAsia="zh-CN"/>
              </w:rPr>
              <w:t>：2026年</w:t>
            </w:r>
            <w:r>
              <w:rPr>
                <w:rFonts w:hint="eastAsia" w:ascii="仿宋_GB2312" w:hAnsi="仿宋_GB2312" w:eastAsia="仿宋_GB2312" w:cs="仿宋_GB2312"/>
                <w:color w:val="FF0000"/>
                <w:sz w:val="24"/>
                <w:highlight w:val="none"/>
                <w:lang w:val="en-US" w:eastAsia="zh-CN"/>
              </w:rPr>
              <w:t>5月21</w:t>
            </w:r>
            <w:r>
              <w:rPr>
                <w:rFonts w:hint="eastAsia" w:ascii="仿宋_GB2312" w:hAnsi="仿宋_GB2312" w:eastAsia="仿宋_GB2312" w:cs="仿宋_GB2312"/>
                <w:color w:val="FF0000"/>
                <w:sz w:val="24"/>
                <w:highlight w:val="none"/>
                <w:lang w:eastAsia="zh-CN"/>
              </w:rPr>
              <w:t>日</w:t>
            </w:r>
            <w:r>
              <w:rPr>
                <w:rFonts w:hint="eastAsia" w:ascii="仿宋_GB2312" w:hAnsi="仿宋_GB2312" w:eastAsia="仿宋_GB2312" w:cs="仿宋_GB2312"/>
                <w:color w:val="FF0000"/>
                <w:sz w:val="24"/>
                <w:highlight w:val="none"/>
              </w:rPr>
              <w:t>11：00（北京时间）</w:t>
            </w:r>
          </w:p>
          <w:p w14:paraId="6C028405">
            <w:pPr>
              <w:keepNext w:val="0"/>
              <w:keepLines w:val="0"/>
              <w:pageBreakBefore w:val="0"/>
              <w:widowControl w:val="0"/>
              <w:suppressLineNumbers w:val="0"/>
              <w:wordWrap/>
              <w:overflowPunct/>
              <w:topLinePunct w:val="0"/>
              <w:bidi w:val="0"/>
              <w:spacing w:before="0" w:beforeAutospacing="0" w:afterAutospacing="0"/>
              <w:ind w:left="0" w:right="0"/>
              <w:jc w:val="left"/>
              <w:rPr>
                <w:rStyle w:val="37"/>
                <w:rFonts w:hint="eastAsia" w:ascii="仿宋_GB2312" w:hAnsi="仿宋_GB2312" w:eastAsia="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开标地点：（https://login.zcygov.cn/user-login/#/login）</w:t>
            </w:r>
          </w:p>
        </w:tc>
      </w:tr>
      <w:tr w14:paraId="3F14B4C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50" w:hRule="atLeast"/>
        </w:trPr>
        <w:tc>
          <w:tcPr>
            <w:tcW w:w="1103" w:type="dxa"/>
            <w:tcBorders>
              <w:top w:val="single" w:color="000000" w:sz="6" w:space="0"/>
              <w:left w:val="single" w:color="000000" w:sz="12" w:space="0"/>
              <w:bottom w:val="single" w:color="000000" w:sz="6" w:space="0"/>
              <w:right w:val="single" w:color="000000" w:sz="6" w:space="0"/>
            </w:tcBorders>
            <w:vAlign w:val="center"/>
          </w:tcPr>
          <w:p w14:paraId="5DBBF3BA">
            <w:pPr>
              <w:keepNext w:val="0"/>
              <w:keepLines w:val="0"/>
              <w:pageBreakBefore w:val="0"/>
              <w:widowControl w:val="0"/>
              <w:suppressLineNumbers w:val="0"/>
              <w:wordWrap/>
              <w:overflowPunct/>
              <w:topLinePunct w:val="0"/>
              <w:bidi w:val="0"/>
              <w:spacing w:before="0" w:beforeAutospacing="0" w:afterAutospacing="0" w:line="240" w:lineRule="atLeast"/>
              <w:ind w:left="1080" w:leftChars="257" w:right="0" w:hanging="540"/>
              <w:jc w:val="left"/>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20.1</w:t>
            </w:r>
          </w:p>
        </w:tc>
        <w:tc>
          <w:tcPr>
            <w:tcW w:w="7487" w:type="dxa"/>
            <w:tcBorders>
              <w:top w:val="single" w:color="000000" w:sz="6" w:space="0"/>
              <w:left w:val="single" w:color="000000" w:sz="6" w:space="0"/>
              <w:bottom w:val="single" w:color="000000" w:sz="6" w:space="0"/>
              <w:right w:val="single" w:color="000000" w:sz="12" w:space="0"/>
            </w:tcBorders>
            <w:vAlign w:val="center"/>
          </w:tcPr>
          <w:p w14:paraId="5236AA65">
            <w:pPr>
              <w:keepNext w:val="0"/>
              <w:keepLines w:val="0"/>
              <w:pageBreakBefore w:val="0"/>
              <w:widowControl w:val="0"/>
              <w:suppressLineNumbers w:val="0"/>
              <w:wordWrap/>
              <w:overflowPunct/>
              <w:topLinePunct w:val="0"/>
              <w:bidi w:val="0"/>
              <w:spacing w:before="0" w:beforeAutospacing="0" w:afterAutospacing="0"/>
              <w:ind w:left="0" w:right="0"/>
              <w:jc w:val="left"/>
              <w:rPr>
                <w:rFonts w:hint="eastAsia" w:eastAsia="仿宋_GB2312"/>
                <w:color w:val="000000" w:themeColor="text1"/>
                <w:highlight w:val="none"/>
                <w:lang w:val="en-US" w:eastAsia="zh-CN"/>
                <w14:textFill>
                  <w14:solidFill>
                    <w14:schemeClr w14:val="tx1"/>
                  </w14:solidFill>
                </w14:textFill>
              </w:rPr>
            </w:pPr>
            <w:r>
              <w:rPr>
                <w:rStyle w:val="37"/>
                <w:rFonts w:hint="eastAsia" w:ascii="仿宋_GB2312" w:hAnsi="仿宋_GB2312" w:eastAsia="仿宋_GB2312" w:cs="Times New Roman"/>
                <w:color w:val="000000" w:themeColor="text1"/>
                <w:sz w:val="24"/>
                <w:highlight w:val="none"/>
                <w14:textFill>
                  <w14:solidFill>
                    <w14:schemeClr w14:val="tx1"/>
                  </w14:solidFill>
                </w14:textFill>
              </w:rPr>
              <w:t>核心产品：</w:t>
            </w:r>
            <w:r>
              <w:rPr>
                <w:rStyle w:val="37"/>
                <w:rFonts w:hint="eastAsia" w:ascii="仿宋_GB2312" w:hAnsi="仿宋_GB2312" w:eastAsia="仿宋_GB2312" w:cs="Times New Roman"/>
                <w:color w:val="000000" w:themeColor="text1"/>
                <w:sz w:val="24"/>
                <w:highlight w:val="none"/>
                <w:u w:val="single"/>
                <w:lang w:val="en-US" w:eastAsia="zh-CN"/>
                <w14:textFill>
                  <w14:solidFill>
                    <w14:schemeClr w14:val="tx1"/>
                  </w14:solidFill>
                </w14:textFill>
              </w:rPr>
              <w:t>标考高清SIP转发管理三合一平台、防火墙、控制主机、课堂终端</w:t>
            </w:r>
          </w:p>
        </w:tc>
      </w:tr>
      <w:tr w14:paraId="235AB06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1103" w:type="dxa"/>
            <w:tcBorders>
              <w:top w:val="single" w:color="000000" w:sz="6" w:space="0"/>
              <w:left w:val="single" w:color="000000" w:sz="12" w:space="0"/>
              <w:bottom w:val="single" w:color="000000" w:sz="6" w:space="0"/>
              <w:right w:val="single" w:color="000000" w:sz="6" w:space="0"/>
            </w:tcBorders>
            <w:vAlign w:val="center"/>
          </w:tcPr>
          <w:p w14:paraId="5F4CECD5">
            <w:pPr>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hint="default" w:ascii="仿宋_GB2312" w:hAnsi="仿宋_GB2312" w:eastAsia="仿宋_GB2312"/>
                <w:color w:val="000000" w:themeColor="text1"/>
                <w:sz w:val="24"/>
                <w:highlight w:val="none"/>
                <w14:textFill>
                  <w14:solidFill>
                    <w14:schemeClr w14:val="tx1"/>
                  </w14:solidFill>
                </w14:textFill>
              </w:rPr>
              <w:t>23.2</w:t>
            </w:r>
          </w:p>
        </w:tc>
        <w:tc>
          <w:tcPr>
            <w:tcW w:w="7487" w:type="dxa"/>
            <w:tcBorders>
              <w:top w:val="single" w:color="000000" w:sz="6" w:space="0"/>
              <w:left w:val="single" w:color="000000" w:sz="6" w:space="0"/>
              <w:bottom w:val="single" w:color="000000" w:sz="6" w:space="0"/>
              <w:right w:val="single" w:color="000000" w:sz="12" w:space="0"/>
            </w:tcBorders>
            <w:vAlign w:val="center"/>
          </w:tcPr>
          <w:p w14:paraId="294F6D88">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80" w:lineRule="exact"/>
              <w:ind w:left="0" w:right="0"/>
              <w:jc w:val="left"/>
              <w:textAlignment w:val="auto"/>
              <w:rPr>
                <w:rStyle w:val="37"/>
                <w:rFonts w:hint="eastAsia" w:ascii="Times New Roman" w:hAnsi="Times New Roman" w:cs="Times New Roman" w:eastAsiaTheme="minorEastAsia"/>
                <w:color w:val="auto"/>
                <w:sz w:val="24"/>
                <w:szCs w:val="24"/>
                <w:highlight w:val="none"/>
                <w:u w:val="single"/>
                <w:lang w:eastAsia="zh-CN"/>
              </w:rPr>
            </w:pPr>
            <w:r>
              <w:rPr>
                <w:rStyle w:val="37"/>
                <w:rFonts w:hint="default" w:ascii="仿宋_GB2312" w:hAnsi="仿宋_GB2312" w:eastAsia="仿宋_GB2312"/>
                <w:color w:val="000000" w:themeColor="text1"/>
                <w:sz w:val="24"/>
                <w:highlight w:val="none"/>
                <w14:textFill>
                  <w14:solidFill>
                    <w14:schemeClr w14:val="tx1"/>
                  </w14:solidFill>
                </w14:textFill>
              </w:rPr>
              <w:t>本项目评</w:t>
            </w:r>
            <w:r>
              <w:rPr>
                <w:rStyle w:val="37"/>
                <w:rFonts w:hint="default" w:ascii="仿宋_GB2312" w:hAnsi="仿宋_GB2312" w:eastAsia="仿宋_GB2312" w:cs="Times New Roman"/>
                <w:color w:val="000000" w:themeColor="text1"/>
                <w:sz w:val="24"/>
                <w:highlight w:val="none"/>
                <w14:textFill>
                  <w14:solidFill>
                    <w14:schemeClr w14:val="tx1"/>
                  </w14:solidFill>
                </w14:textFill>
              </w:rPr>
              <w:t>标</w:t>
            </w:r>
            <w:r>
              <w:rPr>
                <w:rStyle w:val="37"/>
                <w:rFonts w:hint="default" w:ascii="仿宋_GB2312" w:hAnsi="仿宋_GB2312" w:eastAsia="仿宋_GB2312"/>
                <w:color w:val="000000" w:themeColor="text1"/>
                <w:sz w:val="24"/>
                <w:highlight w:val="none"/>
                <w14:textFill>
                  <w14:solidFill>
                    <w14:schemeClr w14:val="tx1"/>
                  </w14:solidFill>
                </w14:textFill>
              </w:rPr>
              <w:t>方法</w:t>
            </w:r>
            <w:r>
              <w:rPr>
                <w:rStyle w:val="37"/>
                <w:rFonts w:hint="eastAsia" w:ascii="仿宋_GB2312" w:hAnsi="仿宋_GB2312" w:eastAsia="仿宋_GB2312" w:cs="Times New Roman"/>
                <w:color w:val="000000" w:themeColor="text1"/>
                <w:sz w:val="24"/>
                <w:highlight w:val="none"/>
                <w:lang w:val="en-US" w:eastAsia="zh-CN"/>
                <w14:textFill>
                  <w14:solidFill>
                    <w14:schemeClr w14:val="tx1"/>
                  </w14:solidFill>
                </w14:textFill>
              </w:rPr>
              <w:t>：</w:t>
            </w:r>
            <w:r>
              <w:rPr>
                <w:rStyle w:val="37"/>
                <w:rFonts w:hint="default" w:ascii="Times New Roman" w:hAnsi="Times New Roman" w:cs="Times New Roman" w:eastAsiaTheme="minorEastAsia"/>
                <w:color w:val="auto"/>
                <w:sz w:val="24"/>
                <w:szCs w:val="24"/>
                <w:highlight w:val="none"/>
                <w:u w:val="single"/>
                <w:lang w:eastAsia="zh-CN"/>
              </w:rPr>
              <w:t>适用综合评分法</w:t>
            </w:r>
            <w:r>
              <w:rPr>
                <w:rStyle w:val="37"/>
                <w:rFonts w:hint="eastAsia" w:ascii="Times New Roman" w:hAnsi="Times New Roman" w:cs="Times New Roman" w:eastAsiaTheme="minorEastAsia"/>
                <w:color w:val="auto"/>
                <w:sz w:val="24"/>
                <w:szCs w:val="24"/>
                <w:highlight w:val="none"/>
                <w:u w:val="single"/>
                <w:lang w:eastAsia="zh-CN"/>
              </w:rPr>
              <w:t>。</w:t>
            </w:r>
          </w:p>
          <w:p w14:paraId="10C5B02F">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80" w:lineRule="exact"/>
              <w:ind w:left="0" w:right="0"/>
              <w:jc w:val="left"/>
              <w:textAlignment w:val="auto"/>
              <w:rPr>
                <w:rFonts w:hint="default" w:ascii="仿宋" w:hAnsi="仿宋" w:eastAsia="仿宋" w:cs="仿宋"/>
                <w:color w:val="000000" w:themeColor="text1"/>
                <w:kern w:val="0"/>
                <w:sz w:val="24"/>
                <w:szCs w:val="24"/>
                <w:highlight w:val="none"/>
                <w:lang w:val="en-US" w:eastAsia="zh-CN" w:bidi="ar"/>
                <w14:textFill>
                  <w14:solidFill>
                    <w14:schemeClr w14:val="tx1"/>
                  </w14:solidFill>
                </w14:textFill>
              </w:rPr>
            </w:pPr>
            <w:r>
              <w:rPr>
                <w:rFonts w:hint="default" w:ascii="仿宋" w:hAnsi="仿宋" w:eastAsia="仿宋" w:cs="仿宋"/>
                <w:color w:val="000000" w:themeColor="text1"/>
                <w:kern w:val="0"/>
                <w:sz w:val="24"/>
                <w:szCs w:val="24"/>
                <w:highlight w:val="none"/>
                <w:lang w:val="en-US" w:eastAsia="zh-CN" w:bidi="ar"/>
                <w14:textFill>
                  <w14:solidFill>
                    <w14:schemeClr w14:val="tx1"/>
                  </w14:solidFill>
                </w14:textFill>
              </w:rPr>
              <w:t>综合评分法</w:t>
            </w:r>
            <w:r>
              <w:rPr>
                <w:rFonts w:hint="eastAsia" w:ascii="仿宋" w:hAnsi="仿宋" w:eastAsia="仿宋" w:cs="仿宋"/>
                <w:color w:val="000000" w:themeColor="text1"/>
                <w:kern w:val="0"/>
                <w:sz w:val="24"/>
                <w:szCs w:val="24"/>
                <w:highlight w:val="none"/>
                <w:lang w:val="en-US" w:eastAsia="zh-CN" w:bidi="ar"/>
                <w14:textFill>
                  <w14:solidFill>
                    <w14:schemeClr w14:val="tx1"/>
                  </w14:solidFill>
                </w14:textFill>
              </w:rPr>
              <w:t>：</w:t>
            </w:r>
            <w:r>
              <w:rPr>
                <w:rFonts w:hint="default" w:ascii="仿宋" w:hAnsi="仿宋" w:eastAsia="仿宋" w:cs="仿宋"/>
                <w:color w:val="000000" w:themeColor="text1"/>
                <w:kern w:val="0"/>
                <w:sz w:val="24"/>
                <w:szCs w:val="24"/>
                <w:highlight w:val="none"/>
                <w:lang w:val="en-US" w:eastAsia="zh-CN" w:bidi="ar"/>
                <w14:textFill>
                  <w14:solidFill>
                    <w14:schemeClr w14:val="tx1"/>
                  </w14:solidFill>
                </w14:textFill>
              </w:rPr>
              <w:t>是指投标文件满足招标文件全部实质性要求，且按照评审因素的量化指标评审得分最高的投标人为中标候选人的评标方法。</w:t>
            </w:r>
          </w:p>
          <w:p w14:paraId="7AD23CDE">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80" w:lineRule="exact"/>
              <w:ind w:left="0" w:right="0"/>
              <w:jc w:val="left"/>
              <w:textAlignment w:val="auto"/>
              <w:rPr>
                <w:rStyle w:val="37"/>
                <w:rFonts w:hint="eastAsia" w:ascii="仿宋_GB2312" w:hAnsi="仿宋_GB2312" w:eastAsia="仿宋_GB2312"/>
                <w:i/>
                <w:color w:val="000000" w:themeColor="text1"/>
                <w:sz w:val="24"/>
                <w:highlight w:val="none"/>
                <w14:textFill>
                  <w14:solidFill>
                    <w14:schemeClr w14:val="tx1"/>
                  </w14:solidFill>
                </w14:textFill>
              </w:rPr>
            </w:pPr>
            <w:r>
              <w:rPr>
                <w:rFonts w:hint="default" w:ascii="仿宋" w:hAnsi="仿宋" w:eastAsia="仿宋" w:cs="仿宋"/>
                <w:color w:val="000000" w:themeColor="text1"/>
                <w:kern w:val="0"/>
                <w:sz w:val="24"/>
                <w:szCs w:val="24"/>
                <w:highlight w:val="none"/>
                <w:lang w:val="en-US" w:eastAsia="zh-CN" w:bidi="ar"/>
                <w14:textFill>
                  <w14:solidFill>
                    <w14:schemeClr w14:val="tx1"/>
                  </w14:solidFill>
                </w14:textFill>
              </w:rPr>
              <w:t>评标结果按评审后得分由高到低顺序排列。得分相同的，按投标报价由低到高顺序排列。投标文件满足招标文件全部实质性要求，且按照评审因素的量化指标评审得分最高的投标人为排名第一的中标候选人。</w:t>
            </w:r>
          </w:p>
        </w:tc>
      </w:tr>
      <w:tr w14:paraId="4DC93D5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72" w:hRule="atLeast"/>
        </w:trPr>
        <w:tc>
          <w:tcPr>
            <w:tcW w:w="1103" w:type="dxa"/>
            <w:tcBorders>
              <w:top w:val="single" w:color="000000" w:sz="6" w:space="0"/>
              <w:left w:val="single" w:color="000000" w:sz="12" w:space="0"/>
              <w:bottom w:val="single" w:color="000000" w:sz="6" w:space="0"/>
              <w:right w:val="single" w:color="000000" w:sz="6" w:space="0"/>
            </w:tcBorders>
            <w:vAlign w:val="center"/>
          </w:tcPr>
          <w:p w14:paraId="28539168">
            <w:pPr>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hint="default" w:ascii="仿宋_GB2312" w:hAnsi="仿宋_GB2312" w:eastAsia="仿宋_GB2312"/>
                <w:color w:val="000000" w:themeColor="text1"/>
                <w:sz w:val="24"/>
                <w:highlight w:val="none"/>
                <w14:textFill>
                  <w14:solidFill>
                    <w14:schemeClr w14:val="tx1"/>
                  </w14:solidFill>
                </w14:textFill>
              </w:rPr>
              <w:t>27</w:t>
            </w:r>
          </w:p>
        </w:tc>
        <w:tc>
          <w:tcPr>
            <w:tcW w:w="7487" w:type="dxa"/>
            <w:tcBorders>
              <w:top w:val="single" w:color="000000" w:sz="6" w:space="0"/>
              <w:left w:val="single" w:color="000000" w:sz="6" w:space="0"/>
              <w:bottom w:val="single" w:color="000000" w:sz="6" w:space="0"/>
              <w:right w:val="single" w:color="000000" w:sz="12" w:space="0"/>
            </w:tcBorders>
            <w:vAlign w:val="center"/>
          </w:tcPr>
          <w:p w14:paraId="2053EB06">
            <w:pPr>
              <w:keepNext w:val="0"/>
              <w:keepLines w:val="0"/>
              <w:pageBreakBefore w:val="0"/>
              <w:widowControl w:val="0"/>
              <w:suppressLineNumbers w:val="0"/>
              <w:wordWrap/>
              <w:overflowPunct/>
              <w:topLinePunct w:val="0"/>
              <w:bidi w:val="0"/>
              <w:snapToGrid w:val="0"/>
              <w:spacing w:before="0" w:beforeAutospacing="0" w:afterAutospacing="0" w:line="240" w:lineRule="atLeast"/>
              <w:ind w:left="0" w:right="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hint="default" w:ascii="仿宋_GB2312" w:hAnsi="仿宋_GB2312" w:eastAsia="仿宋_GB2312"/>
                <w:color w:val="000000" w:themeColor="text1"/>
                <w:sz w:val="24"/>
                <w:highlight w:val="none"/>
                <w14:textFill>
                  <w14:solidFill>
                    <w14:schemeClr w14:val="tx1"/>
                  </w14:solidFill>
                </w14:textFill>
              </w:rPr>
              <w:t>招标人委托评标委员会直接</w:t>
            </w:r>
            <w:r>
              <w:rPr>
                <w:rStyle w:val="37"/>
                <w:rFonts w:hint="default" w:ascii="仿宋_GB2312" w:eastAsia="仿宋_GB2312"/>
                <w:color w:val="000000" w:themeColor="text1"/>
                <w:sz w:val="24"/>
                <w:highlight w:val="none"/>
                <w14:textFill>
                  <w14:solidFill>
                    <w14:schemeClr w14:val="tx1"/>
                  </w14:solidFill>
                </w14:textFill>
              </w:rPr>
              <w:t>确定推荐中标候选供应商的数量：</w:t>
            </w:r>
            <w:r>
              <w:rPr>
                <w:rStyle w:val="37"/>
                <w:rFonts w:hint="default" w:ascii="仿宋_GB2312" w:eastAsia="仿宋_GB2312"/>
                <w:color w:val="000000" w:themeColor="text1"/>
                <w:sz w:val="24"/>
                <w:highlight w:val="none"/>
                <w:u w:val="single" w:color="000000"/>
                <w14:textFill>
                  <w14:solidFill>
                    <w14:schemeClr w14:val="tx1"/>
                  </w14:solidFill>
                </w14:textFill>
              </w:rPr>
              <w:t>3家</w:t>
            </w:r>
          </w:p>
        </w:tc>
      </w:tr>
      <w:tr w14:paraId="6669FDC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234" w:hRule="atLeast"/>
        </w:trPr>
        <w:tc>
          <w:tcPr>
            <w:tcW w:w="1103" w:type="dxa"/>
            <w:tcBorders>
              <w:top w:val="single" w:color="000000" w:sz="6" w:space="0"/>
              <w:left w:val="single" w:color="000000" w:sz="12" w:space="0"/>
              <w:bottom w:val="single" w:color="000000" w:sz="6" w:space="0"/>
              <w:right w:val="single" w:color="000000" w:sz="6" w:space="0"/>
            </w:tcBorders>
            <w:vAlign w:val="center"/>
          </w:tcPr>
          <w:p w14:paraId="375CB9BA">
            <w:pPr>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hint="default" w:ascii="仿宋_GB2312" w:hAnsi="仿宋_GB2312" w:eastAsia="仿宋_GB2312"/>
                <w:color w:val="000000" w:themeColor="text1"/>
                <w:sz w:val="24"/>
                <w:highlight w:val="none"/>
                <w14:textFill>
                  <w14:solidFill>
                    <w14:schemeClr w14:val="tx1"/>
                  </w14:solidFill>
                </w14:textFill>
              </w:rPr>
              <w:t>31.1</w:t>
            </w:r>
          </w:p>
        </w:tc>
        <w:tc>
          <w:tcPr>
            <w:tcW w:w="7487" w:type="dxa"/>
            <w:tcBorders>
              <w:top w:val="single" w:color="000000" w:sz="6" w:space="0"/>
              <w:left w:val="single" w:color="000000" w:sz="6" w:space="0"/>
              <w:bottom w:val="single" w:color="000000" w:sz="6" w:space="0"/>
              <w:right w:val="single" w:color="000000" w:sz="12" w:space="0"/>
            </w:tcBorders>
            <w:vAlign w:val="center"/>
          </w:tcPr>
          <w:p w14:paraId="6986C82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left"/>
              <w:textAlignment w:val="baseline"/>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hint="default" w:ascii="仿宋_GB2312" w:hAnsi="仿宋_GB2312" w:eastAsia="仿宋_GB2312"/>
                <w:color w:val="000000" w:themeColor="text1"/>
                <w:sz w:val="24"/>
                <w:highlight w:val="none"/>
                <w14:textFill>
                  <w14:solidFill>
                    <w14:schemeClr w14:val="tx1"/>
                  </w14:solidFill>
                </w14:textFill>
              </w:rPr>
              <w:t>履约保证金金额：</w:t>
            </w:r>
            <w:r>
              <w:rPr>
                <w:rFonts w:hint="eastAsia" w:ascii="仿宋_GB2312" w:hAnsi="仿宋_GB2312" w:eastAsia="仿宋_GB2312" w:cs="仿宋_GB2312"/>
                <w:color w:val="000000" w:themeColor="text1"/>
                <w:sz w:val="24"/>
                <w:highlight w:val="none"/>
                <w14:textFill>
                  <w14:solidFill>
                    <w14:schemeClr w14:val="tx1"/>
                  </w14:solidFill>
                </w14:textFill>
              </w:rPr>
              <w:t>不超过合同总价金额的</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10</w:t>
            </w:r>
            <w:r>
              <w:rPr>
                <w:rFonts w:hint="eastAsia" w:ascii="仿宋_GB2312" w:hAnsi="仿宋_GB2312" w:eastAsia="仿宋_GB2312" w:cs="仿宋_GB2312"/>
                <w:color w:val="000000" w:themeColor="text1"/>
                <w:sz w:val="24"/>
                <w:highlight w:val="none"/>
                <w14:textFill>
                  <w14:solidFill>
                    <w14:schemeClr w14:val="tx1"/>
                  </w14:solidFill>
                </w14:textFill>
              </w:rPr>
              <w:t>%</w:t>
            </w:r>
          </w:p>
          <w:p w14:paraId="097538B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left"/>
              <w:textAlignment w:val="baseline"/>
              <w:rPr>
                <w:rStyle w:val="37"/>
                <w:rFonts w:hint="eastAsia" w:ascii="仿宋_GB2312" w:hAnsi="仿宋_GB2312" w:eastAsia="仿宋_GB2312"/>
                <w:color w:val="000000" w:themeColor="text1"/>
                <w:sz w:val="24"/>
                <w:highlight w:val="none"/>
                <w:u w:val="single"/>
                <w14:textFill>
                  <w14:solidFill>
                    <w14:schemeClr w14:val="tx1"/>
                  </w14:solidFill>
                </w14:textFill>
              </w:rPr>
            </w:pPr>
            <w:r>
              <w:rPr>
                <w:rStyle w:val="37"/>
                <w:rFonts w:hint="default" w:ascii="仿宋_GB2312" w:hAnsi="仿宋_GB2312" w:eastAsia="仿宋_GB2312"/>
                <w:color w:val="000000" w:themeColor="text1"/>
                <w:sz w:val="24"/>
                <w:highlight w:val="none"/>
                <w14:textFill>
                  <w14:solidFill>
                    <w14:schemeClr w14:val="tx1"/>
                  </w14:solidFill>
                </w14:textFill>
              </w:rPr>
              <w:t>履约保证金形式：</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电汇☑支票☑本票☑保函☑等非现金形式</w:t>
            </w:r>
          </w:p>
          <w:p w14:paraId="1BD839B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left"/>
              <w:textAlignment w:val="baseline"/>
              <w:rPr>
                <w:rStyle w:val="37"/>
                <w:rFonts w:hint="eastAsia" w:ascii="仿宋_GB2312" w:hAnsi="仿宋_GB2312" w:eastAsia="仿宋_GB2312"/>
                <w:color w:val="000000" w:themeColor="text1"/>
                <w:sz w:val="24"/>
                <w:highlight w:val="none"/>
                <w:u w:val="single"/>
                <w14:textFill>
                  <w14:solidFill>
                    <w14:schemeClr w14:val="tx1"/>
                  </w14:solidFill>
                </w14:textFill>
              </w:rPr>
            </w:pPr>
            <w:r>
              <w:rPr>
                <w:rStyle w:val="37"/>
                <w:rFonts w:hint="default" w:ascii="仿宋_GB2312" w:hAnsi="仿宋_GB2312" w:eastAsia="仿宋_GB2312"/>
                <w:color w:val="000000" w:themeColor="text1"/>
                <w:sz w:val="24"/>
                <w:highlight w:val="none"/>
                <w14:textFill>
                  <w14:solidFill>
                    <w14:schemeClr w14:val="tx1"/>
                  </w14:solidFill>
                </w14:textFill>
              </w:rPr>
              <w:t>提交履约保证金的时间：</w:t>
            </w:r>
            <w:r>
              <w:rPr>
                <w:rStyle w:val="37"/>
                <w:rFonts w:hint="default" w:ascii="仿宋_GB2312" w:hAnsi="仿宋_GB2312" w:eastAsia="仿宋_GB2312"/>
                <w:color w:val="000000" w:themeColor="text1"/>
                <w:sz w:val="24"/>
                <w:highlight w:val="none"/>
                <w:lang w:val="zh-CN"/>
                <w14:textFill>
                  <w14:solidFill>
                    <w14:schemeClr w14:val="tx1"/>
                  </w14:solidFill>
                </w14:textFill>
              </w:rPr>
              <w:t>中标、成交通知书发放后，政府采购合同签订前。</w:t>
            </w:r>
          </w:p>
        </w:tc>
      </w:tr>
      <w:tr w14:paraId="582DFB8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65" w:hRule="atLeast"/>
        </w:trPr>
        <w:tc>
          <w:tcPr>
            <w:tcW w:w="1103" w:type="dxa"/>
            <w:tcBorders>
              <w:top w:val="single" w:color="000000" w:sz="6" w:space="0"/>
              <w:left w:val="single" w:color="000000" w:sz="12" w:space="0"/>
              <w:bottom w:val="single" w:color="000000" w:sz="6" w:space="0"/>
              <w:right w:val="single" w:color="000000" w:sz="6" w:space="0"/>
            </w:tcBorders>
            <w:vAlign w:val="center"/>
          </w:tcPr>
          <w:p w14:paraId="356EB8DE">
            <w:pPr>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hint="default" w:ascii="仿宋_GB2312" w:hAnsi="仿宋_GB2312" w:eastAsia="仿宋_GB2312"/>
                <w:color w:val="000000" w:themeColor="text1"/>
                <w:sz w:val="24"/>
                <w:highlight w:val="none"/>
                <w14:textFill>
                  <w14:solidFill>
                    <w14:schemeClr w14:val="tx1"/>
                  </w14:solidFill>
                </w14:textFill>
              </w:rPr>
              <w:t>32</w:t>
            </w:r>
          </w:p>
        </w:tc>
        <w:tc>
          <w:tcPr>
            <w:tcW w:w="7487" w:type="dxa"/>
            <w:tcBorders>
              <w:top w:val="single" w:color="000000" w:sz="6" w:space="0"/>
              <w:left w:val="single" w:color="000000" w:sz="6" w:space="0"/>
              <w:bottom w:val="single" w:color="000000" w:sz="6" w:space="0"/>
              <w:right w:val="single" w:color="000000" w:sz="12" w:space="0"/>
            </w:tcBorders>
            <w:vAlign w:val="center"/>
          </w:tcPr>
          <w:p w14:paraId="1CB4A4CA">
            <w:pPr>
              <w:keepNext w:val="0"/>
              <w:keepLines w:val="0"/>
              <w:pageBreakBefore w:val="0"/>
              <w:widowControl w:val="0"/>
              <w:suppressLineNumbers w:val="0"/>
              <w:wordWrap/>
              <w:overflowPunct/>
              <w:topLinePunct w:val="0"/>
              <w:bidi w:val="0"/>
              <w:snapToGrid w:val="0"/>
              <w:spacing w:before="0" w:beforeAutospacing="0" w:afterAutospacing="0" w:line="240" w:lineRule="atLeast"/>
              <w:ind w:left="0" w:right="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hint="default" w:ascii="仿宋_GB2312" w:hAnsi="仿宋_GB2312" w:eastAsia="仿宋_GB2312"/>
                <w:color w:val="000000" w:themeColor="text1"/>
                <w:sz w:val="24"/>
                <w:highlight w:val="none"/>
                <w14:textFill>
                  <w14:solidFill>
                    <w14:schemeClr w14:val="tx1"/>
                  </w14:solidFill>
                </w14:textFill>
              </w:rPr>
              <w:t>中标服务费：本项目不收取中标服务费</w:t>
            </w:r>
          </w:p>
        </w:tc>
      </w:tr>
      <w:tr w14:paraId="3EACCE0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65" w:hRule="atLeast"/>
        </w:trPr>
        <w:tc>
          <w:tcPr>
            <w:tcW w:w="1103" w:type="dxa"/>
            <w:tcBorders>
              <w:top w:val="single" w:color="000000" w:sz="6" w:space="0"/>
              <w:left w:val="single" w:color="000000" w:sz="12" w:space="0"/>
              <w:bottom w:val="single" w:color="000000" w:sz="6" w:space="0"/>
              <w:right w:val="single" w:color="000000" w:sz="6" w:space="0"/>
            </w:tcBorders>
            <w:vAlign w:val="center"/>
          </w:tcPr>
          <w:p w14:paraId="0852047A">
            <w:pPr>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hint="default" w:ascii="仿宋_GB2312" w:hAnsi="仿宋_GB2312" w:eastAsia="仿宋_GB2312"/>
                <w:color w:val="000000" w:themeColor="text1"/>
                <w:sz w:val="24"/>
                <w:highlight w:val="none"/>
                <w14:textFill>
                  <w14:solidFill>
                    <w14:schemeClr w14:val="tx1"/>
                  </w14:solidFill>
                </w14:textFill>
              </w:rPr>
              <w:t>33.1</w:t>
            </w:r>
          </w:p>
        </w:tc>
        <w:tc>
          <w:tcPr>
            <w:tcW w:w="7487" w:type="dxa"/>
            <w:tcBorders>
              <w:top w:val="single" w:color="000000" w:sz="6" w:space="0"/>
              <w:left w:val="single" w:color="000000" w:sz="6" w:space="0"/>
              <w:bottom w:val="single" w:color="000000" w:sz="6" w:space="0"/>
              <w:right w:val="single" w:color="000000" w:sz="12" w:space="0"/>
            </w:tcBorders>
            <w:vAlign w:val="center"/>
          </w:tcPr>
          <w:p w14:paraId="6C2D0ED2">
            <w:pPr>
              <w:keepNext w:val="0"/>
              <w:keepLines w:val="0"/>
              <w:pageBreakBefore w:val="0"/>
              <w:widowControl w:val="0"/>
              <w:suppressLineNumbers w:val="0"/>
              <w:wordWrap/>
              <w:overflowPunct/>
              <w:topLinePunct w:val="0"/>
              <w:bidi w:val="0"/>
              <w:snapToGrid w:val="0"/>
              <w:spacing w:before="0" w:beforeAutospacing="0" w:afterAutospacing="0" w:line="240" w:lineRule="atLeast"/>
              <w:ind w:left="0" w:right="0"/>
              <w:jc w:val="left"/>
              <w:rPr>
                <w:rStyle w:val="37"/>
                <w:rFonts w:hint="eastAsia" w:ascii="仿宋_GB2312" w:hAnsi="仿宋_GB2312" w:eastAsia="仿宋_GB2312"/>
                <w:color w:val="000000" w:themeColor="text1"/>
                <w:sz w:val="24"/>
                <w:highlight w:val="none"/>
                <w:lang w:eastAsia="zh-CN"/>
                <w14:textFill>
                  <w14:solidFill>
                    <w14:schemeClr w14:val="tx1"/>
                  </w14:solidFill>
                </w14:textFill>
              </w:rPr>
            </w:pPr>
            <w:r>
              <w:rPr>
                <w:rStyle w:val="37"/>
                <w:rFonts w:hint="default" w:ascii="仿宋_GB2312" w:hAnsi="仿宋_GB2312" w:eastAsia="仿宋_GB2312"/>
                <w:color w:val="000000" w:themeColor="text1"/>
                <w:sz w:val="24"/>
                <w:highlight w:val="none"/>
                <w14:textFill>
                  <w14:solidFill>
                    <w14:schemeClr w14:val="tx1"/>
                  </w14:solidFill>
                </w14:textFill>
              </w:rPr>
              <w:t>本项目是否属于信用担保试点范围：</w:t>
            </w:r>
            <w:r>
              <w:rPr>
                <w:rStyle w:val="37"/>
                <w:rFonts w:hint="default" w:ascii="仿宋_GB2312" w:hAnsi="仿宋_GB2312" w:eastAsia="仿宋_GB2312"/>
                <w:color w:val="000000" w:themeColor="text1"/>
                <w:sz w:val="24"/>
                <w:highlight w:val="none"/>
                <w:u w:val="single"/>
                <w14:textFill>
                  <w14:solidFill>
                    <w14:schemeClr w14:val="tx1"/>
                  </w14:solidFill>
                </w14:textFill>
              </w:rPr>
              <w:t>否</w:t>
            </w:r>
          </w:p>
        </w:tc>
      </w:tr>
      <w:tr w14:paraId="6E223F2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865" w:hRule="atLeast"/>
        </w:trPr>
        <w:tc>
          <w:tcPr>
            <w:tcW w:w="1103" w:type="dxa"/>
            <w:tcBorders>
              <w:top w:val="single" w:color="000000" w:sz="6" w:space="0"/>
              <w:left w:val="single" w:color="000000" w:sz="12" w:space="0"/>
              <w:bottom w:val="single" w:color="000000" w:sz="6" w:space="0"/>
              <w:right w:val="single" w:color="000000" w:sz="6" w:space="0"/>
            </w:tcBorders>
            <w:vAlign w:val="center"/>
          </w:tcPr>
          <w:p w14:paraId="4532F0C8">
            <w:pPr>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hint="default" w:ascii="仿宋_GB2312" w:hAnsi="仿宋_GB2312" w:eastAsia="仿宋_GB2312"/>
                <w:color w:val="000000" w:themeColor="text1"/>
                <w:sz w:val="24"/>
                <w:highlight w:val="none"/>
                <w14:textFill>
                  <w14:solidFill>
                    <w14:schemeClr w14:val="tx1"/>
                  </w14:solidFill>
                </w14:textFill>
              </w:rPr>
              <w:t>33.2</w:t>
            </w:r>
          </w:p>
        </w:tc>
        <w:tc>
          <w:tcPr>
            <w:tcW w:w="7487" w:type="dxa"/>
            <w:tcBorders>
              <w:top w:val="single" w:color="000000" w:sz="6" w:space="0"/>
              <w:left w:val="single" w:color="000000" w:sz="6" w:space="0"/>
              <w:bottom w:val="single" w:color="000000" w:sz="6" w:space="0"/>
              <w:right w:val="single" w:color="000000" w:sz="12" w:space="0"/>
            </w:tcBorders>
            <w:vAlign w:val="center"/>
          </w:tcPr>
          <w:p w14:paraId="1193F4F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jc w:val="left"/>
              <w:textAlignment w:val="baseline"/>
              <w:rPr>
                <w:rStyle w:val="37"/>
                <w:rFonts w:hint="eastAsia" w:ascii="仿宋_GB2312" w:hAnsi="仿宋_GB2312" w:eastAsia="仿宋_GB2312"/>
                <w:color w:val="000000" w:themeColor="text1"/>
                <w:sz w:val="24"/>
                <w:highlight w:val="none"/>
                <w:u w:val="single"/>
                <w14:textFill>
                  <w14:solidFill>
                    <w14:schemeClr w14:val="tx1"/>
                  </w14:solidFill>
                </w14:textFill>
              </w:rPr>
            </w:pPr>
            <w:r>
              <w:rPr>
                <w:rStyle w:val="37"/>
                <w:rFonts w:hint="default" w:ascii="仿宋_GB2312" w:hAnsi="仿宋_GB2312" w:eastAsia="仿宋_GB2312"/>
                <w:color w:val="000000" w:themeColor="text1"/>
                <w:sz w:val="24"/>
                <w:highlight w:val="none"/>
                <w14:textFill>
                  <w14:solidFill>
                    <w14:schemeClr w14:val="tx1"/>
                  </w14:solidFill>
                </w14:textFill>
              </w:rPr>
              <w:t>政府采购专业担保机构：</w:t>
            </w:r>
            <w:r>
              <w:rPr>
                <w:rStyle w:val="37"/>
                <w:rFonts w:hint="default" w:ascii="仿宋_GB2312" w:hAnsi="仿宋_GB2312" w:eastAsia="仿宋_GB2312"/>
                <w:color w:val="000000" w:themeColor="text1"/>
                <w:sz w:val="24"/>
                <w:highlight w:val="none"/>
                <w:u w:val="single"/>
                <w14:textFill>
                  <w14:solidFill>
                    <w14:schemeClr w14:val="tx1"/>
                  </w14:solidFill>
                </w14:textFill>
              </w:rPr>
              <w:t>无</w:t>
            </w:r>
          </w:p>
          <w:p w14:paraId="78B5954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48" w:leftChars="-23" w:right="0" w:firstLine="48" w:firstLineChars="20"/>
              <w:jc w:val="left"/>
              <w:textAlignment w:val="baseline"/>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hint="default" w:ascii="仿宋_GB2312" w:hAnsi="仿宋_GB2312" w:eastAsia="仿宋_GB2312"/>
                <w:color w:val="000000" w:themeColor="text1"/>
                <w:sz w:val="24"/>
                <w:highlight w:val="none"/>
                <w14:textFill>
                  <w14:solidFill>
                    <w14:schemeClr w14:val="tx1"/>
                  </w14:solidFill>
                </w14:textFill>
              </w:rPr>
              <w:t>本项目采购人本级和上级财政部门政府采购有关规定增加的担保机构：无</w:t>
            </w:r>
          </w:p>
        </w:tc>
      </w:tr>
      <w:tr w14:paraId="1789AE4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65" w:hRule="atLeast"/>
        </w:trPr>
        <w:tc>
          <w:tcPr>
            <w:tcW w:w="1103" w:type="dxa"/>
            <w:tcBorders>
              <w:top w:val="single" w:color="000000" w:sz="6" w:space="0"/>
              <w:left w:val="single" w:color="000000" w:sz="12" w:space="0"/>
              <w:bottom w:val="single" w:color="000000" w:sz="6" w:space="0"/>
              <w:right w:val="single" w:color="000000" w:sz="6" w:space="0"/>
            </w:tcBorders>
            <w:vAlign w:val="center"/>
          </w:tcPr>
          <w:p w14:paraId="76F5C3CE">
            <w:pPr>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hint="default" w:ascii="仿宋_GB2312" w:hAnsi="仿宋_GB2312" w:eastAsia="仿宋_GB2312"/>
                <w:color w:val="000000" w:themeColor="text1"/>
                <w:sz w:val="24"/>
                <w:highlight w:val="none"/>
                <w14:textFill>
                  <w14:solidFill>
                    <w14:schemeClr w14:val="tx1"/>
                  </w14:solidFill>
                </w14:textFill>
              </w:rPr>
              <w:t>34.3</w:t>
            </w:r>
          </w:p>
        </w:tc>
        <w:tc>
          <w:tcPr>
            <w:tcW w:w="7487" w:type="dxa"/>
            <w:tcBorders>
              <w:top w:val="single" w:color="000000" w:sz="6" w:space="0"/>
              <w:left w:val="single" w:color="000000" w:sz="6" w:space="0"/>
              <w:bottom w:val="single" w:color="000000" w:sz="6" w:space="0"/>
              <w:right w:val="single" w:color="000000" w:sz="12" w:space="0"/>
            </w:tcBorders>
            <w:vAlign w:val="center"/>
          </w:tcPr>
          <w:p w14:paraId="69D01508">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hint="default" w:ascii="仿宋_GB2312" w:hAnsi="仿宋_GB2312" w:eastAsia="仿宋_GB2312"/>
                <w:color w:val="000000" w:themeColor="text1"/>
                <w:sz w:val="24"/>
                <w:highlight w:val="none"/>
                <w14:textFill>
                  <w14:solidFill>
                    <w14:schemeClr w14:val="tx1"/>
                  </w14:solidFill>
                </w14:textFill>
              </w:rPr>
              <w:t>反腐倡廉监督电话/邮箱：</w:t>
            </w:r>
            <w:r>
              <w:rPr>
                <w:rStyle w:val="37"/>
                <w:rFonts w:hint="default" w:ascii="仿宋_GB2312" w:hAnsi="仿宋_GB2312" w:eastAsia="仿宋_GB2312"/>
                <w:color w:val="000000" w:themeColor="text1"/>
                <w:sz w:val="24"/>
                <w:highlight w:val="none"/>
                <w:u w:val="single" w:color="000000"/>
                <w14:textFill>
                  <w14:solidFill>
                    <w14:schemeClr w14:val="tx1"/>
                  </w14:solidFill>
                </w14:textFill>
              </w:rPr>
              <w:t>0998-6722230</w:t>
            </w:r>
          </w:p>
        </w:tc>
      </w:tr>
      <w:tr w14:paraId="60771CB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206" w:hRule="atLeast"/>
        </w:trPr>
        <w:tc>
          <w:tcPr>
            <w:tcW w:w="1103" w:type="dxa"/>
            <w:tcBorders>
              <w:top w:val="single" w:color="000000" w:sz="6" w:space="0"/>
              <w:left w:val="single" w:color="000000" w:sz="12" w:space="0"/>
              <w:bottom w:val="single" w:color="000000" w:sz="6" w:space="0"/>
              <w:right w:val="single" w:color="000000" w:sz="6" w:space="0"/>
            </w:tcBorders>
            <w:vAlign w:val="center"/>
          </w:tcPr>
          <w:p w14:paraId="465E5D46">
            <w:pPr>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hint="default" w:ascii="仿宋_GB2312" w:hAnsi="仿宋_GB2312" w:eastAsia="仿宋_GB2312"/>
                <w:color w:val="000000" w:themeColor="text1"/>
                <w:sz w:val="24"/>
                <w:highlight w:val="none"/>
                <w14:textFill>
                  <w14:solidFill>
                    <w14:schemeClr w14:val="tx1"/>
                  </w14:solidFill>
                </w14:textFill>
              </w:rPr>
              <w:t>36.3</w:t>
            </w:r>
          </w:p>
        </w:tc>
        <w:tc>
          <w:tcPr>
            <w:tcW w:w="7487" w:type="dxa"/>
            <w:tcBorders>
              <w:top w:val="single" w:color="000000" w:sz="6" w:space="0"/>
              <w:left w:val="single" w:color="000000" w:sz="6" w:space="0"/>
              <w:bottom w:val="single" w:color="000000" w:sz="6" w:space="0"/>
              <w:right w:val="single" w:color="000000" w:sz="12" w:space="0"/>
            </w:tcBorders>
            <w:vAlign w:val="center"/>
          </w:tcPr>
          <w:p w14:paraId="45C20975">
            <w:pPr>
              <w:keepNext w:val="0"/>
              <w:keepLines w:val="0"/>
              <w:pageBreakBefore w:val="0"/>
              <w:widowControl w:val="0"/>
              <w:suppressLineNumbers w:val="0"/>
              <w:kinsoku/>
              <w:wordWrap/>
              <w:overflowPunct/>
              <w:topLinePunct w:val="0"/>
              <w:autoSpaceDE/>
              <w:autoSpaceDN/>
              <w:bidi w:val="0"/>
              <w:adjustRightInd/>
              <w:spacing w:before="0" w:beforeAutospacing="0" w:afterAutospacing="0" w:line="240" w:lineRule="exact"/>
              <w:ind w:left="710" w:leftChars="-23" w:right="0" w:hanging="758" w:hangingChars="316"/>
              <w:jc w:val="left"/>
              <w:textAlignment w:val="baseline"/>
              <w:rPr>
                <w:rFonts w:hint="eastAsia" w:ascii="仿宋_GB2312" w:hAnsi="仿宋_GB2312" w:eastAsia="仿宋_GB2312" w:cs="仿宋_GB2312"/>
                <w:color w:val="000000" w:themeColor="text1"/>
                <w:sz w:val="24"/>
                <w:highlight w:val="none"/>
                <w:u w:val="singl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接收部门：</w:t>
            </w:r>
            <w:r>
              <w:rPr>
                <w:rFonts w:hint="eastAsia" w:ascii="仿宋_GB2312" w:hAnsi="仿宋_GB2312" w:eastAsia="仿宋_GB2312" w:cs="仿宋_GB2312"/>
                <w:color w:val="000000" w:themeColor="text1"/>
                <w:sz w:val="24"/>
                <w:highlight w:val="none"/>
                <w:u w:val="single"/>
                <w14:textFill>
                  <w14:solidFill>
                    <w14:schemeClr w14:val="tx1"/>
                  </w14:solidFill>
                </w14:textFill>
              </w:rPr>
              <w:t>伽师县政府采购管理办公室</w:t>
            </w:r>
          </w:p>
          <w:p w14:paraId="329D9E96">
            <w:pPr>
              <w:keepNext w:val="0"/>
              <w:keepLines w:val="0"/>
              <w:pageBreakBefore w:val="0"/>
              <w:widowControl w:val="0"/>
              <w:suppressLineNumbers w:val="0"/>
              <w:wordWrap/>
              <w:overflowPunct/>
              <w:topLinePunct w:val="0"/>
              <w:bidi w:val="0"/>
              <w:spacing w:before="0" w:beforeAutospacing="0" w:afterAutospacing="0" w:line="360" w:lineRule="exact"/>
              <w:ind w:left="0" w:right="0"/>
              <w:jc w:val="left"/>
              <w:textAlignment w:val="auto"/>
              <w:rPr>
                <w:rFonts w:hint="default" w:ascii="仿宋_GB2312" w:hAnsi="仿宋_GB2312" w:eastAsia="仿宋_GB2312" w:cs="仿宋_GB2312"/>
                <w:color w:val="000000" w:themeColor="text1"/>
                <w:sz w:val="24"/>
                <w:highlight w:val="none"/>
                <w:u w:val="singl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联系电话：</w:t>
            </w:r>
            <w:r>
              <w:rPr>
                <w:rFonts w:hint="eastAsia" w:ascii="仿宋_GB2312" w:hAnsi="仿宋_GB2312" w:eastAsia="仿宋_GB2312" w:cs="仿宋_GB2312"/>
                <w:color w:val="000000" w:themeColor="text1"/>
                <w:sz w:val="24"/>
                <w:highlight w:val="none"/>
                <w:u w:val="single"/>
                <w:lang w:val="en-US" w:eastAsia="zh-CN"/>
                <w14:textFill>
                  <w14:solidFill>
                    <w14:schemeClr w14:val="tx1"/>
                  </w14:solidFill>
                </w14:textFill>
              </w:rPr>
              <w:t>15384946619</w:t>
            </w:r>
          </w:p>
          <w:p w14:paraId="3F3C3C6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240" w:lineRule="exact"/>
              <w:ind w:left="710" w:leftChars="-23" w:right="0" w:hanging="758"/>
              <w:jc w:val="left"/>
              <w:textAlignment w:val="baseline"/>
              <w:rPr>
                <w:rStyle w:val="37"/>
                <w:rFonts w:hint="eastAsia" w:ascii="仿宋_GB2312" w:hAnsi="仿宋_GB2312" w:eastAsia="仿宋_GB2312"/>
                <w:color w:val="000000" w:themeColor="text1"/>
                <w:sz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通讯地址：</w:t>
            </w:r>
            <w:r>
              <w:rPr>
                <w:rFonts w:hint="eastAsia" w:ascii="仿宋_GB2312" w:hAnsi="仿宋_GB2312" w:eastAsia="仿宋_GB2312" w:cs="仿宋_GB2312"/>
                <w:color w:val="000000" w:themeColor="text1"/>
                <w:sz w:val="24"/>
                <w:highlight w:val="none"/>
                <w:u w:val="single"/>
                <w14:textFill>
                  <w14:solidFill>
                    <w14:schemeClr w14:val="tx1"/>
                  </w14:solidFill>
                </w14:textFill>
              </w:rPr>
              <w:t>伽师县行政审批局四楼</w:t>
            </w:r>
          </w:p>
        </w:tc>
      </w:tr>
      <w:tr w14:paraId="49FED8C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094" w:hRule="atLeast"/>
        </w:trPr>
        <w:tc>
          <w:tcPr>
            <w:tcW w:w="1103" w:type="dxa"/>
            <w:tcBorders>
              <w:top w:val="single" w:color="000000" w:sz="6" w:space="0"/>
              <w:left w:val="single" w:color="000000" w:sz="12" w:space="0"/>
              <w:bottom w:val="single" w:color="000000" w:sz="6" w:space="0"/>
              <w:right w:val="single" w:color="000000" w:sz="6" w:space="0"/>
            </w:tcBorders>
            <w:vAlign w:val="center"/>
          </w:tcPr>
          <w:p w14:paraId="3C612F47">
            <w:pPr>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left"/>
              <w:rPr>
                <w:rStyle w:val="37"/>
                <w:rFonts w:hint="eastAsia" w:ascii="仿宋_GB2312" w:hAnsi="仿宋_GB2312" w:eastAsia="仿宋_GB2312"/>
                <w:color w:val="000000" w:themeColor="text1"/>
                <w:sz w:val="24"/>
                <w:highlight w:val="none"/>
                <w:lang w:val="en-US" w:eastAsia="zh-CN"/>
                <w14:textFill>
                  <w14:solidFill>
                    <w14:schemeClr w14:val="tx1"/>
                  </w14:solidFill>
                </w14:textFill>
              </w:rPr>
            </w:pPr>
            <w:r>
              <w:rPr>
                <w:rStyle w:val="37"/>
                <w:rFonts w:hint="eastAsia" w:ascii="仿宋_GB2312" w:hAnsi="仿宋_GB2312" w:eastAsia="仿宋_GB2312"/>
                <w:color w:val="000000" w:themeColor="text1"/>
                <w:sz w:val="24"/>
                <w:highlight w:val="none"/>
                <w:lang w:val="en-US" w:eastAsia="zh-CN"/>
                <w14:textFill>
                  <w14:solidFill>
                    <w14:schemeClr w14:val="tx1"/>
                  </w14:solidFill>
                </w14:textFill>
              </w:rPr>
              <w:t>注</w:t>
            </w:r>
          </w:p>
        </w:tc>
        <w:tc>
          <w:tcPr>
            <w:tcW w:w="7487" w:type="dxa"/>
            <w:tcBorders>
              <w:top w:val="single" w:color="000000" w:sz="6" w:space="0"/>
              <w:left w:val="single" w:color="000000" w:sz="6" w:space="0"/>
              <w:bottom w:val="single" w:color="000000" w:sz="6" w:space="0"/>
              <w:right w:val="single" w:color="000000" w:sz="12" w:space="0"/>
            </w:tcBorders>
            <w:vAlign w:val="center"/>
          </w:tcPr>
          <w:p w14:paraId="23592FA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712" w:leftChars="-23" w:right="0" w:hanging="760"/>
              <w:jc w:val="center"/>
              <w:textAlignment w:val="baseline"/>
              <w:rPr>
                <w:rFonts w:hint="eastAsia"/>
                <w:b/>
                <w:bCs/>
                <w:sz w:val="18"/>
                <w:szCs w:val="18"/>
                <w:highlight w:val="none"/>
              </w:rPr>
            </w:pPr>
            <w:r>
              <w:rPr>
                <w:rFonts w:hint="eastAsia"/>
                <w:b/>
                <w:bCs/>
                <w:sz w:val="18"/>
                <w:szCs w:val="18"/>
                <w:highlight w:val="none"/>
              </w:rPr>
              <w:t>《关于推动解决政府采购异常低价问题的通知》财库〔2026〕2号</w:t>
            </w:r>
          </w:p>
          <w:p w14:paraId="6D7898F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712" w:leftChars="-23" w:right="0" w:hanging="760"/>
              <w:jc w:val="left"/>
              <w:textAlignment w:val="baseline"/>
              <w:rPr>
                <w:rFonts w:hint="eastAsia"/>
                <w:b/>
                <w:bCs/>
                <w:sz w:val="18"/>
                <w:szCs w:val="18"/>
                <w:highlight w:val="none"/>
              </w:rPr>
            </w:pPr>
            <w:r>
              <w:rPr>
                <w:rFonts w:hint="eastAsia"/>
                <w:b/>
                <w:bCs/>
                <w:sz w:val="18"/>
                <w:szCs w:val="18"/>
                <w:highlight w:val="none"/>
              </w:rPr>
              <w:t>“强化政府采购异常低价审查</w:t>
            </w:r>
          </w:p>
          <w:p w14:paraId="2DFCDA6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760" w:leftChars="0" w:right="0" w:hanging="760"/>
              <w:jc w:val="left"/>
              <w:textAlignment w:val="baseline"/>
              <w:rPr>
                <w:rFonts w:hint="eastAsia"/>
                <w:b/>
                <w:bCs/>
                <w:sz w:val="18"/>
                <w:szCs w:val="18"/>
                <w:highlight w:val="none"/>
              </w:rPr>
            </w:pPr>
            <w:r>
              <w:rPr>
                <w:rFonts w:hint="eastAsia"/>
                <w:b/>
                <w:bCs/>
                <w:sz w:val="18"/>
                <w:szCs w:val="18"/>
                <w:highlight w:val="none"/>
              </w:rPr>
              <w:t>（一）采购人应当在采购文件中明确，政府采购评审中出现下列情形之一的，评审委员会应当启动异常低价投标（响应）审查程序： </w:t>
            </w:r>
          </w:p>
          <w:p w14:paraId="1CA25C4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712" w:leftChars="-23" w:right="0" w:hanging="760"/>
              <w:jc w:val="left"/>
              <w:textAlignment w:val="baseline"/>
              <w:rPr>
                <w:rFonts w:hint="eastAsia"/>
                <w:b/>
                <w:bCs/>
                <w:sz w:val="18"/>
                <w:szCs w:val="18"/>
                <w:highlight w:val="none"/>
              </w:rPr>
            </w:pPr>
            <w:r>
              <w:rPr>
                <w:rFonts w:hint="eastAsia"/>
                <w:b/>
                <w:bCs/>
                <w:sz w:val="18"/>
                <w:szCs w:val="18"/>
                <w:highlight w:val="none"/>
              </w:rPr>
              <w:t>　　1.投标（响应）报价低于全部通过符合性审查供应商投标（响应）报价平均值50%的，即投标（响应）报价&lt;全部通过符合性审查供应商投标（响应）报价平均值×50%； </w:t>
            </w:r>
          </w:p>
          <w:p w14:paraId="52E039E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712" w:leftChars="-23" w:right="0" w:hanging="760"/>
              <w:jc w:val="left"/>
              <w:textAlignment w:val="baseline"/>
              <w:rPr>
                <w:rFonts w:hint="eastAsia"/>
                <w:b/>
                <w:bCs/>
                <w:sz w:val="18"/>
                <w:szCs w:val="18"/>
                <w:highlight w:val="none"/>
              </w:rPr>
            </w:pPr>
            <w:r>
              <w:rPr>
                <w:rFonts w:hint="eastAsia"/>
                <w:b/>
                <w:bCs/>
                <w:sz w:val="18"/>
                <w:szCs w:val="18"/>
                <w:highlight w:val="none"/>
              </w:rPr>
              <w:t>　　2.投标（响应）报价低于通过符合性审查的次低报价供应商投标（响应）报价50%的，即投标（响应）报价&lt;通过符合性审查的次低报价供应商投标（响应）报价×50%； </w:t>
            </w:r>
          </w:p>
          <w:p w14:paraId="085314D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712" w:leftChars="-23" w:right="0" w:hanging="760"/>
              <w:jc w:val="left"/>
              <w:textAlignment w:val="baseline"/>
              <w:rPr>
                <w:rFonts w:hint="eastAsia"/>
                <w:b/>
                <w:bCs/>
                <w:sz w:val="18"/>
                <w:szCs w:val="18"/>
                <w:highlight w:val="none"/>
              </w:rPr>
            </w:pPr>
            <w:r>
              <w:rPr>
                <w:rFonts w:hint="eastAsia"/>
                <w:b/>
                <w:bCs/>
                <w:sz w:val="18"/>
                <w:szCs w:val="18"/>
                <w:highlight w:val="none"/>
              </w:rPr>
              <w:t>　　3.投标（响应）报价低于采购项目最高限价45%的，即投标（响应）报价&lt;采购项目最高限价×45%； </w:t>
            </w:r>
          </w:p>
          <w:p w14:paraId="6B12B74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712" w:leftChars="-23" w:right="0" w:hanging="760"/>
              <w:jc w:val="left"/>
              <w:textAlignment w:val="baseline"/>
              <w:rPr>
                <w:rFonts w:hint="eastAsia"/>
                <w:b/>
                <w:bCs/>
                <w:sz w:val="18"/>
                <w:szCs w:val="18"/>
                <w:highlight w:val="none"/>
              </w:rPr>
            </w:pPr>
            <w:r>
              <w:rPr>
                <w:rFonts w:hint="eastAsia"/>
                <w:b/>
                <w:bCs/>
                <w:sz w:val="18"/>
                <w:szCs w:val="18"/>
                <w:highlight w:val="none"/>
              </w:rPr>
              <w:t>　　4.评审委员会基于专业判断，认为供应商报价过低，有可能影响产品质量或者不能诚信履约的其他情形。 </w:t>
            </w:r>
          </w:p>
          <w:p w14:paraId="082FE9A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712" w:leftChars="-23" w:right="0" w:hanging="760"/>
              <w:jc w:val="left"/>
              <w:textAlignment w:val="baseline"/>
              <w:rPr>
                <w:rFonts w:hint="eastAsia"/>
                <w:b/>
                <w:bCs/>
                <w:sz w:val="18"/>
                <w:szCs w:val="18"/>
                <w:highlight w:val="none"/>
              </w:rPr>
            </w:pPr>
            <w:r>
              <w:rPr>
                <w:rFonts w:hint="eastAsia"/>
                <w:b/>
                <w:bCs/>
                <w:sz w:val="18"/>
                <w:szCs w:val="18"/>
                <w:highlight w:val="none"/>
              </w:rPr>
              <w:t>　　采购人可以结合具体项目实际情况，提高上述第1项至第3项中启动异常低价投标（响应）审查的数值标准，但是最高不得超过65%。 </w:t>
            </w:r>
          </w:p>
          <w:p w14:paraId="2294B3A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712" w:leftChars="-23" w:right="0" w:hanging="760"/>
              <w:jc w:val="left"/>
              <w:textAlignment w:val="baseline"/>
              <w:rPr>
                <w:rFonts w:hint="eastAsia"/>
                <w:b/>
                <w:bCs/>
                <w:sz w:val="18"/>
                <w:szCs w:val="18"/>
                <w:highlight w:val="none"/>
              </w:rPr>
            </w:pPr>
            <w:r>
              <w:rPr>
                <w:rFonts w:hint="eastAsia"/>
                <w:b/>
                <w:bCs/>
                <w:sz w:val="18"/>
                <w:szCs w:val="18"/>
                <w:highlight w:val="none"/>
              </w:rPr>
              <w:t>　　相关法律法规对供应商报价有规定的，从其规定。 </w:t>
            </w:r>
          </w:p>
          <w:p w14:paraId="78D329E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712" w:leftChars="-23" w:right="0" w:hanging="760"/>
              <w:jc w:val="left"/>
              <w:textAlignment w:val="baseline"/>
              <w:rPr>
                <w:rFonts w:hint="eastAsia"/>
                <w:b/>
                <w:bCs/>
                <w:sz w:val="18"/>
                <w:szCs w:val="18"/>
                <w:highlight w:val="none"/>
              </w:rPr>
            </w:pPr>
            <w:r>
              <w:rPr>
                <w:rFonts w:hint="eastAsia"/>
                <w:b/>
                <w:bCs/>
                <w:sz w:val="18"/>
                <w:szCs w:val="18"/>
                <w:highlight w:val="none"/>
              </w:rPr>
              <w:t>　　（二）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 </w:t>
            </w:r>
          </w:p>
          <w:p w14:paraId="72EB592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712" w:leftChars="-23" w:right="0" w:hanging="760"/>
              <w:jc w:val="left"/>
              <w:textAlignment w:val="baseline"/>
              <w:rPr>
                <w:rFonts w:hint="eastAsia"/>
                <w:b/>
                <w:bCs/>
                <w:sz w:val="18"/>
                <w:szCs w:val="18"/>
                <w:highlight w:val="none"/>
              </w:rPr>
            </w:pPr>
            <w:r>
              <w:rPr>
                <w:rFonts w:hint="eastAsia"/>
                <w:b/>
                <w:bCs/>
                <w:sz w:val="18"/>
                <w:szCs w:val="18"/>
                <w:highlight w:val="none"/>
              </w:rPr>
              <w:t>　　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 </w:t>
            </w:r>
          </w:p>
          <w:p w14:paraId="390B250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712" w:leftChars="-23" w:right="0" w:hanging="760"/>
              <w:jc w:val="left"/>
              <w:textAlignment w:val="baseline"/>
              <w:rPr>
                <w:rFonts w:hint="eastAsia"/>
                <w:b/>
                <w:bCs/>
                <w:sz w:val="18"/>
                <w:szCs w:val="18"/>
                <w:highlight w:val="none"/>
              </w:rPr>
            </w:pPr>
            <w:r>
              <w:rPr>
                <w:rFonts w:hint="eastAsia"/>
                <w:b/>
                <w:bCs/>
                <w:sz w:val="18"/>
                <w:szCs w:val="18"/>
                <w:highlight w:val="none"/>
              </w:rPr>
              <w:t>　　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72D6D60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712" w:leftChars="-23" w:right="0" w:hanging="760"/>
              <w:jc w:val="left"/>
              <w:textAlignment w:val="baseline"/>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b/>
                <w:bCs/>
                <w:sz w:val="18"/>
                <w:szCs w:val="18"/>
                <w:highlight w:val="none"/>
              </w:rPr>
              <w:t>　　异常低价投标（响应）审查的启动原因、审查意见和审查结果应当在评审报告中记录，并随供应商提供的相关书面说明及证明材料，以及评审委员会有关互联网浏览、查询历史一并归档。”</w:t>
            </w:r>
          </w:p>
        </w:tc>
      </w:tr>
      <w:tr w14:paraId="055CBF7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094" w:hRule="atLeast"/>
        </w:trPr>
        <w:tc>
          <w:tcPr>
            <w:tcW w:w="1103" w:type="dxa"/>
            <w:tcBorders>
              <w:top w:val="single" w:color="000000" w:sz="6" w:space="0"/>
              <w:left w:val="single" w:color="000000" w:sz="12" w:space="0"/>
              <w:bottom w:val="single" w:color="000000" w:sz="12" w:space="0"/>
              <w:right w:val="single" w:color="000000" w:sz="6" w:space="0"/>
            </w:tcBorders>
            <w:vAlign w:val="center"/>
          </w:tcPr>
          <w:p w14:paraId="113350B5">
            <w:pPr>
              <w:keepNext w:val="0"/>
              <w:keepLines w:val="0"/>
              <w:pageBreakBefore w:val="0"/>
              <w:widowControl w:val="0"/>
              <w:suppressLineNumbers w:val="0"/>
              <w:wordWrap/>
              <w:overflowPunct/>
              <w:topLinePunct w:val="0"/>
              <w:bidi w:val="0"/>
              <w:snapToGrid w:val="0"/>
              <w:spacing w:before="0" w:beforeAutospacing="0" w:afterAutospacing="0" w:line="240" w:lineRule="atLeast"/>
              <w:ind w:left="1080" w:leftChars="257" w:right="0" w:hanging="540"/>
              <w:jc w:val="left"/>
              <w:rPr>
                <w:rStyle w:val="37"/>
                <w:rFonts w:hint="eastAsia" w:ascii="仿宋_GB2312" w:hAnsi="仿宋_GB2312" w:eastAsia="仿宋_GB2312"/>
                <w:color w:val="000000" w:themeColor="text1"/>
                <w:sz w:val="24"/>
                <w:highlight w:val="none"/>
                <w:lang w:val="en-US" w:eastAsia="zh-CN"/>
                <w14:textFill>
                  <w14:solidFill>
                    <w14:schemeClr w14:val="tx1"/>
                  </w14:solidFill>
                </w14:textFill>
              </w:rPr>
            </w:pPr>
            <w:r>
              <w:rPr>
                <w:rStyle w:val="37"/>
                <w:rFonts w:hint="eastAsia" w:ascii="仿宋_GB2312" w:hAnsi="仿宋_GB2312" w:eastAsia="仿宋_GB2312"/>
                <w:color w:val="000000" w:themeColor="text1"/>
                <w:sz w:val="24"/>
                <w:highlight w:val="none"/>
                <w:lang w:val="en-US" w:eastAsia="zh-CN"/>
                <w14:textFill>
                  <w14:solidFill>
                    <w14:schemeClr w14:val="tx1"/>
                  </w14:solidFill>
                </w14:textFill>
              </w:rPr>
              <w:t>注</w:t>
            </w:r>
          </w:p>
        </w:tc>
        <w:tc>
          <w:tcPr>
            <w:tcW w:w="7487" w:type="dxa"/>
            <w:tcBorders>
              <w:top w:val="single" w:color="000000" w:sz="6" w:space="0"/>
              <w:left w:val="single" w:color="000000" w:sz="6" w:space="0"/>
              <w:bottom w:val="single" w:color="000000" w:sz="12" w:space="0"/>
              <w:right w:val="single" w:color="000000" w:sz="12" w:space="0"/>
            </w:tcBorders>
            <w:vAlign w:val="center"/>
          </w:tcPr>
          <w:p w14:paraId="7B70684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712" w:leftChars="-23" w:right="0" w:hanging="760"/>
              <w:jc w:val="left"/>
              <w:textAlignment w:val="baseline"/>
              <w:rPr>
                <w:rFonts w:hint="default" w:ascii="Times New Roman" w:hAnsi="Times New Roman" w:eastAsia="宋体"/>
                <w:b/>
                <w:bCs/>
                <w:sz w:val="18"/>
                <w:szCs w:val="18"/>
                <w:highlight w:val="none"/>
                <w:lang w:val="en-US" w:eastAsia="zh-CN"/>
              </w:rPr>
            </w:pPr>
            <w:r>
              <w:rPr>
                <w:rFonts w:hint="eastAsia" w:ascii="Times New Roman" w:hAnsi="Times New Roman" w:eastAsia="宋体"/>
                <w:b/>
                <w:bCs/>
                <w:sz w:val="18"/>
                <w:szCs w:val="18"/>
                <w:highlight w:val="none"/>
                <w:lang w:val="en-US" w:eastAsia="zh-CN"/>
              </w:rPr>
              <w:t>《国务院办公厅关于在政府采购中实施本国产品标准及相关政策的通知》国办发〔2025〕34号</w:t>
            </w:r>
          </w:p>
          <w:p w14:paraId="1F6CBE5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712" w:leftChars="-23" w:right="0" w:hanging="760"/>
              <w:jc w:val="left"/>
              <w:textAlignment w:val="baseline"/>
              <w:rPr>
                <w:rFonts w:hint="eastAsia" w:ascii="Times New Roman" w:hAnsi="Times New Roman" w:eastAsia="宋体"/>
                <w:b/>
                <w:bCs/>
                <w:sz w:val="18"/>
                <w:szCs w:val="18"/>
                <w:highlight w:val="none"/>
                <w:lang w:val="en-US" w:eastAsia="zh-CN"/>
              </w:rPr>
            </w:pPr>
            <w:r>
              <w:rPr>
                <w:rFonts w:hint="eastAsia" w:ascii="Times New Roman" w:hAnsi="Times New Roman" w:eastAsia="宋体"/>
                <w:b/>
                <w:bCs/>
                <w:sz w:val="18"/>
                <w:szCs w:val="18"/>
                <w:highlight w:val="none"/>
                <w:lang w:val="en-US" w:eastAsia="zh-CN"/>
              </w:rPr>
              <w:t>“本国产品标准的适用范围：</w:t>
            </w:r>
          </w:p>
          <w:p w14:paraId="087EE19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712" w:leftChars="-23" w:right="0" w:hanging="760"/>
              <w:jc w:val="left"/>
              <w:textAlignment w:val="baseline"/>
              <w:rPr>
                <w:rFonts w:hint="eastAsia" w:ascii="Times New Roman" w:hAnsi="Times New Roman" w:eastAsia="宋体"/>
                <w:b/>
                <w:bCs/>
                <w:sz w:val="18"/>
                <w:szCs w:val="18"/>
                <w:highlight w:val="none"/>
                <w:lang w:val="en-US" w:eastAsia="zh-CN"/>
              </w:rPr>
            </w:pPr>
            <w:r>
              <w:rPr>
                <w:rFonts w:hint="eastAsia" w:ascii="Times New Roman" w:hAnsi="Times New Roman" w:eastAsia="宋体"/>
                <w:b/>
                <w:bCs/>
                <w:sz w:val="18"/>
                <w:szCs w:val="18"/>
                <w:highlight w:val="none"/>
                <w:lang w:val="en-US" w:eastAsia="zh-CN"/>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775AD30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602" w:leftChars="62" w:right="0" w:hanging="472" w:hangingChars="261"/>
              <w:jc w:val="left"/>
              <w:textAlignment w:val="baseline"/>
              <w:rPr>
                <w:rFonts w:hint="eastAsia" w:ascii="Times New Roman" w:hAnsi="Times New Roman" w:eastAsia="宋体"/>
                <w:b/>
                <w:bCs/>
                <w:sz w:val="18"/>
                <w:szCs w:val="18"/>
                <w:highlight w:val="none"/>
                <w:lang w:val="en-US" w:eastAsia="zh-CN"/>
              </w:rPr>
            </w:pPr>
            <w:r>
              <w:rPr>
                <w:rFonts w:hint="eastAsia" w:ascii="Times New Roman" w:hAnsi="Times New Roman" w:eastAsia="宋体"/>
                <w:b/>
                <w:bCs/>
                <w:sz w:val="18"/>
                <w:szCs w:val="18"/>
                <w:highlight w:val="none"/>
                <w:lang w:val="en-US" w:eastAsia="zh-CN"/>
              </w:rPr>
              <w:t>对本国产品的支持政策：</w:t>
            </w:r>
          </w:p>
          <w:p w14:paraId="441B9AA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602" w:leftChars="62" w:right="0" w:hanging="472" w:hangingChars="261"/>
              <w:jc w:val="left"/>
              <w:textAlignment w:val="baseline"/>
              <w:rPr>
                <w:rFonts w:hint="eastAsia" w:ascii="Times New Roman" w:hAnsi="Times New Roman" w:eastAsia="宋体"/>
                <w:b/>
                <w:bCs/>
                <w:sz w:val="18"/>
                <w:szCs w:val="18"/>
                <w:highlight w:val="none"/>
                <w:lang w:val="en-US" w:eastAsia="zh-CN"/>
              </w:rPr>
            </w:pPr>
            <w:r>
              <w:rPr>
                <w:rFonts w:hint="eastAsia" w:ascii="Times New Roman" w:hAnsi="Times New Roman" w:eastAsia="宋体"/>
                <w:b/>
                <w:bCs/>
                <w:sz w:val="18"/>
                <w:szCs w:val="18"/>
                <w:highlight w:val="none"/>
                <w:lang w:val="en-US" w:eastAsia="zh-CN"/>
              </w:rPr>
              <w:t>政府采购活动中既有本国产品又有非本国产品参与竞争的，依法对本国产品给予价格评审优惠，对本国产品的报价给予20%的价格扣除，用扣除后的价格参与评审。</w:t>
            </w:r>
          </w:p>
          <w:p w14:paraId="6BF7391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602" w:leftChars="62" w:right="0" w:hanging="472" w:hangingChars="261"/>
              <w:jc w:val="left"/>
              <w:textAlignment w:val="baseline"/>
              <w:rPr>
                <w:rFonts w:hint="eastAsia" w:ascii="Times New Roman" w:hAnsi="Times New Roman" w:eastAsia="宋体"/>
                <w:b/>
                <w:bCs/>
                <w:sz w:val="18"/>
                <w:szCs w:val="18"/>
                <w:highlight w:val="none"/>
                <w:lang w:val="en-US" w:eastAsia="zh-CN"/>
              </w:rPr>
            </w:pPr>
            <w:r>
              <w:rPr>
                <w:rFonts w:hint="eastAsia" w:ascii="Times New Roman" w:hAnsi="Times New Roman" w:eastAsia="宋体"/>
                <w:b/>
                <w:bCs/>
                <w:sz w:val="18"/>
                <w:szCs w:val="18"/>
                <w:highlight w:val="none"/>
                <w:lang w:val="en-US" w:eastAsia="zh-CN"/>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2C2C955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602" w:leftChars="62" w:right="0" w:hanging="472" w:hangingChars="261"/>
              <w:jc w:val="left"/>
              <w:textAlignment w:val="baseline"/>
              <w:rPr>
                <w:rFonts w:hint="eastAsia" w:ascii="Times New Roman" w:hAnsi="Times New Roman" w:eastAsia="宋体"/>
                <w:b/>
                <w:bCs/>
                <w:sz w:val="18"/>
                <w:szCs w:val="18"/>
                <w:highlight w:val="none"/>
                <w:lang w:val="en-US" w:eastAsia="zh-CN"/>
              </w:rPr>
            </w:pPr>
            <w:r>
              <w:rPr>
                <w:rFonts w:hint="eastAsia" w:ascii="Times New Roman" w:hAnsi="Times New Roman" w:eastAsia="宋体"/>
                <w:b/>
                <w:bCs/>
                <w:sz w:val="18"/>
                <w:szCs w:val="18"/>
                <w:highlight w:val="none"/>
                <w:lang w:val="en-US" w:eastAsia="zh-CN"/>
              </w:rPr>
              <w:t>政策执行要求：</w:t>
            </w:r>
          </w:p>
          <w:p w14:paraId="4261BE4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712" w:leftChars="-23" w:right="0" w:hanging="760"/>
              <w:jc w:val="left"/>
              <w:textAlignment w:val="baseline"/>
              <w:rPr>
                <w:rFonts w:hint="eastAsia" w:ascii="Times New Roman" w:hAnsi="Times New Roman" w:eastAsia="宋体"/>
                <w:b/>
                <w:bCs/>
                <w:sz w:val="18"/>
                <w:szCs w:val="18"/>
                <w:highlight w:val="none"/>
                <w:lang w:val="en-US" w:eastAsia="zh-CN"/>
              </w:rPr>
            </w:pPr>
            <w:r>
              <w:rPr>
                <w:rFonts w:hint="eastAsia" w:ascii="Times New Roman" w:hAnsi="Times New Roman" w:eastAsia="宋体"/>
                <w:b/>
                <w:bCs/>
                <w:sz w:val="18"/>
                <w:szCs w:val="18"/>
                <w:highlight w:val="none"/>
                <w:lang w:val="en-US" w:eastAsia="zh-CN"/>
              </w:rPr>
              <w:t>（一）产品在中国境内生产的组件成本核算规则。产品在中国境内生产的组件成本，按照《中国境内生产的组件成本核算基本规则》（见附件1）计算。</w:t>
            </w:r>
          </w:p>
          <w:p w14:paraId="716DA64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712" w:leftChars="-23" w:right="0" w:hanging="760"/>
              <w:jc w:val="left"/>
              <w:textAlignment w:val="baseline"/>
              <w:rPr>
                <w:rFonts w:hint="eastAsia" w:ascii="Times New Roman" w:hAnsi="Times New Roman" w:eastAsia="宋体"/>
                <w:b/>
                <w:bCs/>
                <w:sz w:val="18"/>
                <w:szCs w:val="18"/>
                <w:highlight w:val="none"/>
                <w:lang w:val="en-US" w:eastAsia="zh-CN"/>
              </w:rPr>
            </w:pPr>
            <w:r>
              <w:rPr>
                <w:rFonts w:hint="eastAsia" w:ascii="Times New Roman" w:hAnsi="Times New Roman" w:eastAsia="宋体"/>
                <w:b/>
                <w:bCs/>
                <w:sz w:val="18"/>
                <w:szCs w:val="18"/>
                <w:highlight w:val="none"/>
                <w:lang w:val="en-US" w:eastAsia="zh-CN"/>
              </w:rPr>
              <w:t>（二）有关证明文件。采购人、采购代理机构应当在采购文件中明确要求供应商对其提供的产品出具《关于符合本国产品标准的声明函》（样式见附件2，以下简称《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2649FEB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602" w:leftChars="62" w:right="0" w:hanging="472" w:hangingChars="261"/>
              <w:jc w:val="left"/>
              <w:textAlignment w:val="baseline"/>
              <w:rPr>
                <w:rFonts w:hint="eastAsia" w:eastAsia="宋体"/>
                <w:b/>
                <w:bCs/>
                <w:sz w:val="18"/>
                <w:szCs w:val="18"/>
                <w:highlight w:val="none"/>
                <w:lang w:eastAsia="zh-CN"/>
              </w:rPr>
            </w:pPr>
            <w:r>
              <w:rPr>
                <w:rFonts w:hint="eastAsia" w:ascii="Times New Roman" w:hAnsi="Times New Roman" w:eastAsia="宋体"/>
                <w:b/>
                <w:bCs/>
                <w:sz w:val="18"/>
                <w:szCs w:val="18"/>
                <w:highlight w:val="none"/>
                <w:lang w:val="en-US" w:eastAsia="zh-CN"/>
              </w:rPr>
              <w:t>采购人、采购代理机构应当随中标、成交结果同时公告中标、成交供应商提供的《声明函》或有关证明文件。”</w:t>
            </w:r>
          </w:p>
        </w:tc>
      </w:tr>
    </w:tbl>
    <w:p w14:paraId="6B740570">
      <w:pPr>
        <w:keepNext w:val="0"/>
        <w:keepLines w:val="0"/>
        <w:pageBreakBefore w:val="0"/>
        <w:widowControl w:val="0"/>
        <w:wordWrap/>
        <w:overflowPunct/>
        <w:topLinePunct w:val="0"/>
        <w:bidi w:val="0"/>
        <w:snapToGrid w:val="0"/>
        <w:spacing w:line="240" w:lineRule="atLeast"/>
        <w:ind w:left="1080" w:leftChars="257" w:hanging="540"/>
        <w:jc w:val="left"/>
        <w:rPr>
          <w:rStyle w:val="37"/>
          <w:rFonts w:hint="eastAsia" w:ascii="仿宋_GB2312" w:hAnsi="仿宋_GB2312" w:eastAsia="仿宋_GB2312"/>
          <w:color w:val="000000" w:themeColor="text1"/>
          <w:sz w:val="24"/>
          <w:highlight w:val="none"/>
          <w14:textFill>
            <w14:solidFill>
              <w14:schemeClr w14:val="tx1"/>
            </w14:solidFill>
          </w14:textFill>
        </w:rPr>
        <w:sectPr>
          <w:headerReference r:id="rId15" w:type="default"/>
          <w:footerReference r:id="rId17" w:type="default"/>
          <w:headerReference r:id="rId16" w:type="even"/>
          <w:footerReference r:id="rId18" w:type="even"/>
          <w:pgSz w:w="11906" w:h="16838"/>
          <w:pgMar w:top="1383" w:right="1797" w:bottom="1383" w:left="1797" w:header="851" w:footer="992" w:gutter="0"/>
          <w:pgBorders>
            <w:top w:val="none" w:sz="0" w:space="0"/>
            <w:left w:val="none" w:sz="0" w:space="0"/>
            <w:bottom w:val="none" w:sz="0" w:space="0"/>
            <w:right w:val="none" w:sz="0" w:space="0"/>
          </w:pgBorders>
          <w:cols w:space="425" w:num="1"/>
          <w:docGrid w:linePitch="312" w:charSpace="0"/>
        </w:sectPr>
      </w:pPr>
    </w:p>
    <w:p w14:paraId="4A69B28D">
      <w:pPr>
        <w:pStyle w:val="2"/>
        <w:keepNext w:val="0"/>
        <w:keepLines w:val="0"/>
        <w:pageBreakBefore w:val="0"/>
        <w:widowControl w:val="0"/>
        <w:tabs>
          <w:tab w:val="left" w:pos="0"/>
        </w:tabs>
        <w:wordWrap/>
        <w:overflowPunct/>
        <w:topLinePunct w:val="0"/>
        <w:bidi w:val="0"/>
        <w:snapToGrid w:val="0"/>
        <w:spacing w:before="0" w:after="0" w:line="240" w:lineRule="atLeast"/>
        <w:jc w:val="center"/>
        <w:rPr>
          <w:rStyle w:val="37"/>
          <w:rFonts w:hint="eastAsia" w:ascii="仿宋_GB2312" w:hAnsi="仿宋_GB2312" w:eastAsia="仿宋_GB2312" w:cs="仿宋_GB2312"/>
          <w:bCs/>
          <w:color w:val="000000" w:themeColor="text1"/>
          <w:sz w:val="30"/>
          <w:szCs w:val="30"/>
          <w:highlight w:val="none"/>
          <w14:textFill>
            <w14:solidFill>
              <w14:schemeClr w14:val="tx1"/>
            </w14:solidFill>
          </w14:textFill>
        </w:rPr>
      </w:pPr>
      <w:bookmarkStart w:id="891" w:name="_Toc8813"/>
      <w:bookmarkStart w:id="892" w:name="_Toc16533"/>
      <w:r>
        <w:rPr>
          <w:rFonts w:hint="eastAsia" w:ascii="仿宋_GB2312" w:hAnsi="仿宋_GB2312" w:eastAsia="仿宋_GB2312" w:cs="仿宋_GB2312"/>
          <w:color w:val="000000" w:themeColor="text1"/>
          <w:sz w:val="44"/>
          <w:szCs w:val="44"/>
          <w:highlight w:val="none"/>
          <w14:textFill>
            <w14:solidFill>
              <w14:schemeClr w14:val="tx1"/>
            </w14:solidFill>
          </w14:textFill>
        </w:rPr>
        <w:t>第五章货物需求一览表及技术规格</w:t>
      </w:r>
      <w:bookmarkEnd w:id="891"/>
      <w:bookmarkEnd w:id="892"/>
    </w:p>
    <w:p w14:paraId="5E6AB5AB">
      <w:pPr>
        <w:keepNext w:val="0"/>
        <w:keepLines w:val="0"/>
        <w:pageBreakBefore w:val="0"/>
        <w:widowControl w:val="0"/>
        <w:wordWrap/>
        <w:overflowPunct/>
        <w:topLinePunct w:val="0"/>
        <w:bidi w:val="0"/>
        <w:snapToGrid w:val="0"/>
        <w:spacing w:line="520" w:lineRule="exact"/>
        <w:jc w:val="left"/>
        <w:outlineLvl w:val="9"/>
        <w:rPr>
          <w:rStyle w:val="37"/>
          <w:rFonts w:hint="eastAsia" w:ascii="仿宋" w:hAnsi="仿宋" w:eastAsia="仿宋" w:cs="Times New Roman"/>
          <w:color w:val="000000" w:themeColor="text1"/>
          <w:sz w:val="24"/>
          <w:highlight w:val="none"/>
          <w:lang w:eastAsia="zh-CN"/>
          <w14:textFill>
            <w14:solidFill>
              <w14:schemeClr w14:val="tx1"/>
            </w14:solidFill>
          </w14:textFill>
        </w:rPr>
      </w:pPr>
      <w:r>
        <w:rPr>
          <w:rStyle w:val="37"/>
          <w:rFonts w:ascii="仿宋" w:hAnsi="仿宋" w:eastAsia="仿宋"/>
          <w:color w:val="000000" w:themeColor="text1"/>
          <w:sz w:val="24"/>
          <w:highlight w:val="none"/>
          <w14:textFill>
            <w14:solidFill>
              <w14:schemeClr w14:val="tx1"/>
            </w14:solidFill>
          </w14:textFill>
        </w:rPr>
        <w:t>项目名称：</w:t>
      </w:r>
      <w:r>
        <w:rPr>
          <w:rStyle w:val="37"/>
          <w:rFonts w:hint="eastAsia" w:ascii="仿宋" w:hAnsi="仿宋" w:eastAsia="仿宋" w:cs="Times New Roman"/>
          <w:color w:val="000000" w:themeColor="text1"/>
          <w:sz w:val="24"/>
          <w:highlight w:val="none"/>
          <w:lang w:eastAsia="zh-CN"/>
          <w14:textFill>
            <w14:solidFill>
              <w14:schemeClr w14:val="tx1"/>
            </w14:solidFill>
          </w14:textFill>
        </w:rPr>
        <w:t>伽师县学校办学能力提升项目</w:t>
      </w:r>
    </w:p>
    <w:p w14:paraId="30B9B0B7">
      <w:pPr>
        <w:keepNext w:val="0"/>
        <w:keepLines w:val="0"/>
        <w:pageBreakBefore w:val="0"/>
        <w:widowControl w:val="0"/>
        <w:wordWrap/>
        <w:overflowPunct/>
        <w:topLinePunct w:val="0"/>
        <w:bidi w:val="0"/>
        <w:snapToGrid w:val="0"/>
        <w:spacing w:line="500" w:lineRule="exact"/>
        <w:jc w:val="left"/>
        <w:outlineLvl w:val="9"/>
        <w:rPr>
          <w:rStyle w:val="37"/>
          <w:rFonts w:hint="eastAsia" w:ascii="仿宋" w:hAnsi="仿宋" w:eastAsia="仿宋" w:cs="Times New Roman"/>
          <w:color w:val="000000" w:themeColor="text1"/>
          <w:sz w:val="24"/>
          <w:highlight w:val="none"/>
          <w:lang w:val="en-US" w:eastAsia="zh-CN"/>
          <w14:textFill>
            <w14:solidFill>
              <w14:schemeClr w14:val="tx1"/>
            </w14:solidFill>
          </w14:textFill>
        </w:rPr>
      </w:pPr>
      <w:r>
        <w:rPr>
          <w:rStyle w:val="37"/>
          <w:rFonts w:ascii="仿宋" w:hAnsi="仿宋" w:eastAsia="仿宋"/>
          <w:color w:val="000000" w:themeColor="text1"/>
          <w:sz w:val="24"/>
          <w:highlight w:val="none"/>
          <w14:textFill>
            <w14:solidFill>
              <w14:schemeClr w14:val="tx1"/>
            </w14:solidFill>
          </w14:textFill>
        </w:rPr>
        <w:t>项目编号</w:t>
      </w:r>
      <w:r>
        <w:rPr>
          <w:rStyle w:val="37"/>
          <w:rFonts w:hint="eastAsia" w:ascii="仿宋" w:hAnsi="仿宋" w:eastAsia="仿宋" w:cs="Times New Roman"/>
          <w:color w:val="000000" w:themeColor="text1"/>
          <w:sz w:val="24"/>
          <w:highlight w:val="none"/>
          <w14:textFill>
            <w14:solidFill>
              <w14:schemeClr w14:val="tx1"/>
            </w14:solidFill>
          </w14:textFill>
        </w:rPr>
        <w:t>：</w:t>
      </w:r>
      <w:r>
        <w:rPr>
          <w:rStyle w:val="37"/>
          <w:rFonts w:hint="eastAsia" w:ascii="仿宋" w:hAnsi="仿宋" w:eastAsia="仿宋" w:cs="Times New Roman"/>
          <w:color w:val="000000" w:themeColor="text1"/>
          <w:sz w:val="24"/>
          <w:highlight w:val="none"/>
          <w:lang w:eastAsia="zh-CN"/>
          <w14:textFill>
            <w14:solidFill>
              <w14:schemeClr w14:val="tx1"/>
            </w14:solidFill>
          </w14:textFill>
        </w:rPr>
        <w:t>KSJSX(GK)2026-12</w:t>
      </w:r>
    </w:p>
    <w:p w14:paraId="40F3B16A">
      <w:pPr>
        <w:keepNext w:val="0"/>
        <w:keepLines w:val="0"/>
        <w:pageBreakBefore w:val="0"/>
        <w:widowControl w:val="0"/>
        <w:numPr>
          <w:ilvl w:val="0"/>
          <w:numId w:val="13"/>
        </w:numPr>
        <w:wordWrap/>
        <w:overflowPunct/>
        <w:topLinePunct w:val="0"/>
        <w:bidi w:val="0"/>
        <w:snapToGrid w:val="0"/>
        <w:spacing w:line="288" w:lineRule="auto"/>
        <w:jc w:val="left"/>
        <w:outlineLvl w:val="9"/>
        <w:rPr>
          <w:rStyle w:val="37"/>
          <w:rFonts w:ascii="仿宋" w:hAnsi="仿宋" w:eastAsia="仿宋"/>
          <w:color w:val="000000" w:themeColor="text1"/>
          <w:sz w:val="28"/>
          <w:szCs w:val="36"/>
          <w:highlight w:val="none"/>
          <w14:textFill>
            <w14:solidFill>
              <w14:schemeClr w14:val="tx1"/>
            </w14:solidFill>
          </w14:textFill>
        </w:rPr>
      </w:pPr>
      <w:r>
        <w:rPr>
          <w:rStyle w:val="37"/>
          <w:rFonts w:ascii="仿宋_GB2312" w:hAnsi="仿宋_GB2312" w:eastAsia="仿宋_GB2312"/>
          <w:b/>
          <w:color w:val="000000" w:themeColor="text1"/>
          <w:sz w:val="30"/>
          <w:szCs w:val="30"/>
          <w:highlight w:val="none"/>
          <w14:textFill>
            <w14:solidFill>
              <w14:schemeClr w14:val="tx1"/>
            </w14:solidFill>
          </w14:textFill>
        </w:rPr>
        <w:t>投标企业资格要求：</w:t>
      </w:r>
      <w:r>
        <w:rPr>
          <w:rStyle w:val="37"/>
          <w:rFonts w:ascii="仿宋" w:hAnsi="仿宋" w:eastAsia="仿宋"/>
          <w:color w:val="000000" w:themeColor="text1"/>
          <w:sz w:val="28"/>
          <w:szCs w:val="36"/>
          <w:highlight w:val="none"/>
          <w14:textFill>
            <w14:solidFill>
              <w14:schemeClr w14:val="tx1"/>
            </w14:solidFill>
          </w14:textFill>
        </w:rPr>
        <w:t>按照须知表内要求。</w:t>
      </w:r>
    </w:p>
    <w:p w14:paraId="2FFC2B1F">
      <w:pPr>
        <w:keepNext w:val="0"/>
        <w:keepLines w:val="0"/>
        <w:pageBreakBefore w:val="0"/>
        <w:widowControl w:val="0"/>
        <w:numPr>
          <w:ilvl w:val="0"/>
          <w:numId w:val="0"/>
        </w:numPr>
        <w:wordWrap/>
        <w:overflowPunct/>
        <w:topLinePunct w:val="0"/>
        <w:bidi w:val="0"/>
        <w:snapToGrid w:val="0"/>
        <w:spacing w:line="288" w:lineRule="auto"/>
        <w:rPr>
          <w:rStyle w:val="37"/>
          <w:rFonts w:hint="eastAsia" w:ascii="仿宋_GB2312" w:hAnsi="仿宋_GB2312" w:eastAsia="仿宋_GB2312"/>
          <w:b/>
          <w:sz w:val="30"/>
          <w:szCs w:val="30"/>
          <w:highlight w:val="none"/>
          <w:lang w:val="en-US" w:eastAsia="zh-CN"/>
        </w:rPr>
      </w:pPr>
      <w:r>
        <w:rPr>
          <w:rStyle w:val="37"/>
          <w:rFonts w:hint="eastAsia" w:ascii="仿宋_GB2312" w:hAnsi="仿宋_GB2312" w:eastAsia="仿宋_GB2312"/>
          <w:b/>
          <w:sz w:val="30"/>
          <w:szCs w:val="30"/>
          <w:highlight w:val="none"/>
          <w:lang w:val="en-US" w:eastAsia="zh-CN"/>
        </w:rPr>
        <w:t>二、产品需求及</w:t>
      </w:r>
      <w:r>
        <w:rPr>
          <w:rStyle w:val="37"/>
          <w:rFonts w:hint="eastAsia" w:ascii="仿宋_GB2312" w:hAnsi="仿宋_GB2312" w:eastAsia="仿宋_GB2312" w:cs="Times New Roman"/>
          <w:b/>
          <w:kern w:val="2"/>
          <w:sz w:val="30"/>
          <w:szCs w:val="30"/>
          <w:highlight w:val="none"/>
          <w:lang w:val="en-US" w:eastAsia="zh-CN" w:bidi="ar-SA"/>
        </w:rPr>
        <w:t>技术参数</w:t>
      </w:r>
      <w:r>
        <w:rPr>
          <w:rStyle w:val="37"/>
          <w:rFonts w:hint="eastAsia" w:ascii="仿宋_GB2312" w:hAnsi="仿宋_GB2312" w:eastAsia="仿宋_GB2312"/>
          <w:b/>
          <w:sz w:val="30"/>
          <w:szCs w:val="30"/>
          <w:highlight w:val="none"/>
          <w:lang w:val="en-US" w:eastAsia="zh-CN"/>
        </w:rPr>
        <w:t>：</w:t>
      </w:r>
    </w:p>
    <w:tbl>
      <w:tblPr>
        <w:tblStyle w:val="26"/>
        <w:tblW w:w="1028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02"/>
        <w:gridCol w:w="1184"/>
        <w:gridCol w:w="6391"/>
        <w:gridCol w:w="653"/>
        <w:gridCol w:w="623"/>
        <w:gridCol w:w="936"/>
      </w:tblGrid>
      <w:tr w14:paraId="756B3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63F7D3B">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auto"/>
              <w:ind w:left="0" w:leftChars="0" w:right="0" w:rightChars="0" w:firstLine="0" w:firstLineChars="0"/>
              <w:jc w:val="center"/>
              <w:textAlignment w:val="center"/>
              <w:rPr>
                <w:rFonts w:hint="default" w:ascii="方正仿宋_GB2312" w:hAnsi="方正仿宋_GB2312" w:eastAsia="方正仿宋_GB2312" w:cs="方正仿宋_GB2312"/>
                <w:b/>
                <w:bCs/>
                <w:i w:val="0"/>
                <w:iCs w:val="0"/>
                <w:color w:val="auto"/>
                <w:kern w:val="0"/>
                <w:sz w:val="24"/>
                <w:szCs w:val="24"/>
                <w:highlight w:val="none"/>
                <w:u w:val="none"/>
                <w:lang w:val="en-US" w:eastAsia="zh-CN" w:bidi="ar"/>
              </w:rPr>
            </w:pPr>
            <w:bookmarkStart w:id="893" w:name="_Toc7966"/>
            <w:bookmarkStart w:id="894" w:name="_Toc30046"/>
            <w:bookmarkStart w:id="895" w:name="_Toc11639"/>
            <w:bookmarkStart w:id="896" w:name="_Toc140751559"/>
            <w:bookmarkStart w:id="897" w:name="_Toc21816"/>
            <w:r>
              <w:rPr>
                <w:rFonts w:hint="eastAsia" w:ascii="方正仿宋_GB2312" w:hAnsi="方正仿宋_GB2312" w:eastAsia="方正仿宋_GB2312" w:cs="方正仿宋_GB2312"/>
                <w:b/>
                <w:bCs/>
                <w:i w:val="0"/>
                <w:iCs w:val="0"/>
                <w:color w:val="auto"/>
                <w:kern w:val="0"/>
                <w:sz w:val="24"/>
                <w:szCs w:val="24"/>
                <w:highlight w:val="none"/>
                <w:u w:val="none"/>
                <w:lang w:val="en-US" w:eastAsia="zh-CN" w:bidi="ar"/>
              </w:rPr>
              <w:t>序号</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139306C">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auto"/>
              <w:ind w:left="0" w:leftChars="0" w:right="0" w:rightChars="0" w:firstLine="0" w:firstLineChars="0"/>
              <w:jc w:val="center"/>
              <w:textAlignment w:val="center"/>
              <w:rPr>
                <w:rFonts w:hint="default" w:ascii="方正仿宋_GB2312" w:hAnsi="方正仿宋_GB2312" w:eastAsia="方正仿宋_GB2312" w:cs="方正仿宋_GB2312"/>
                <w:b/>
                <w:bCs/>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b/>
                <w:bCs/>
                <w:i w:val="0"/>
                <w:iCs w:val="0"/>
                <w:color w:val="auto"/>
                <w:kern w:val="0"/>
                <w:sz w:val="24"/>
                <w:szCs w:val="24"/>
                <w:highlight w:val="none"/>
                <w:u w:val="none"/>
                <w:lang w:val="en-US" w:eastAsia="zh-CN" w:bidi="ar"/>
              </w:rPr>
              <w:t>名称</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98B6B8F">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auto"/>
              <w:ind w:left="0" w:leftChars="0" w:right="0" w:rightChars="0" w:firstLine="0" w:firstLineChars="0"/>
              <w:jc w:val="center"/>
              <w:textAlignment w:val="center"/>
              <w:rPr>
                <w:rFonts w:hint="default" w:ascii="方正仿宋_GB2312" w:hAnsi="方正仿宋_GB2312" w:eastAsia="方正仿宋_GB2312" w:cs="方正仿宋_GB2312"/>
                <w:b/>
                <w:bCs/>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b/>
                <w:bCs/>
                <w:i w:val="0"/>
                <w:iCs w:val="0"/>
                <w:color w:val="auto"/>
                <w:kern w:val="0"/>
                <w:sz w:val="24"/>
                <w:szCs w:val="24"/>
                <w:highlight w:val="none"/>
                <w:u w:val="none"/>
                <w:lang w:val="en-US" w:eastAsia="zh-CN" w:bidi="ar"/>
              </w:rPr>
              <w:t>技术参数</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3F8815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auto"/>
              <w:ind w:left="0" w:leftChars="0" w:right="0" w:rightChars="0" w:firstLine="0" w:firstLineChars="0"/>
              <w:jc w:val="center"/>
              <w:textAlignment w:val="center"/>
              <w:rPr>
                <w:rFonts w:hint="default" w:ascii="方正仿宋_GB2312" w:hAnsi="方正仿宋_GB2312" w:eastAsia="方正仿宋_GB2312" w:cs="方正仿宋_GB2312"/>
                <w:b/>
                <w:bCs/>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b/>
                <w:bCs/>
                <w:i w:val="0"/>
                <w:iCs w:val="0"/>
                <w:color w:val="auto"/>
                <w:kern w:val="0"/>
                <w:sz w:val="24"/>
                <w:szCs w:val="24"/>
                <w:highlight w:val="none"/>
                <w:u w:val="none"/>
                <w:lang w:val="en-US" w:eastAsia="zh-CN" w:bidi="ar"/>
              </w:rPr>
              <w:t>单位</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4ABBED3">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auto"/>
              <w:ind w:left="0" w:leftChars="0" w:right="0" w:rightChars="0" w:firstLine="0" w:firstLineChars="0"/>
              <w:jc w:val="center"/>
              <w:textAlignment w:val="center"/>
              <w:rPr>
                <w:rFonts w:hint="default" w:ascii="方正仿宋_GB2312" w:hAnsi="方正仿宋_GB2312" w:eastAsia="方正仿宋_GB2312" w:cs="方正仿宋_GB2312"/>
                <w:b/>
                <w:bCs/>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b/>
                <w:bCs/>
                <w:i w:val="0"/>
                <w:iCs w:val="0"/>
                <w:color w:val="auto"/>
                <w:kern w:val="0"/>
                <w:sz w:val="24"/>
                <w:szCs w:val="24"/>
                <w:highlight w:val="none"/>
                <w:u w:val="none"/>
                <w:lang w:val="en-US" w:eastAsia="zh-CN" w:bidi="ar"/>
              </w:rPr>
              <w:t>数量</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DC8F898">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auto"/>
              <w:ind w:left="0" w:leftChars="0" w:right="0" w:rightChars="0" w:firstLine="0" w:firstLineChars="0"/>
              <w:jc w:val="center"/>
              <w:textAlignment w:val="center"/>
              <w:rPr>
                <w:rFonts w:hint="default" w:ascii="方正仿宋_GB2312" w:hAnsi="方正仿宋_GB2312" w:eastAsia="方正仿宋_GB2312" w:cs="方正仿宋_GB2312"/>
                <w:b/>
                <w:bCs/>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b/>
                <w:bCs/>
                <w:i w:val="0"/>
                <w:iCs w:val="0"/>
                <w:color w:val="auto"/>
                <w:kern w:val="0"/>
                <w:sz w:val="24"/>
                <w:szCs w:val="24"/>
                <w:highlight w:val="none"/>
                <w:u w:val="none"/>
                <w:lang w:val="en-US" w:eastAsia="zh-CN" w:bidi="ar"/>
              </w:rPr>
              <w:t>备注</w:t>
            </w:r>
          </w:p>
        </w:tc>
      </w:tr>
      <w:tr w14:paraId="240EF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9726" w:type="dxa"/>
            <w:gridSpan w:val="5"/>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7EB08E9">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auto"/>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Style w:val="37"/>
                <w:rFonts w:hint="eastAsia" w:ascii="方正仿宋_GB2312" w:hAnsi="方正仿宋_GB2312" w:eastAsia="方正仿宋_GB2312" w:cs="方正仿宋_GB2312"/>
                <w:b/>
                <w:bCs/>
                <w:color w:val="000000" w:themeColor="text1"/>
                <w:sz w:val="24"/>
                <w:szCs w:val="24"/>
                <w:highlight w:val="none"/>
                <w:lang w:val="en-US" w:eastAsia="zh-CN"/>
                <w14:textFill>
                  <w14:solidFill>
                    <w14:schemeClr w14:val="tx1"/>
                  </w14:solidFill>
                </w14:textFill>
              </w:rPr>
              <w:t>一、标准化考场</w:t>
            </w:r>
          </w:p>
        </w:tc>
        <w:tc>
          <w:tcPr>
            <w:tcW w:w="563"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2144B46">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auto"/>
              <w:ind w:left="0" w:leftChars="0" w:right="0" w:rightChars="0" w:firstLine="0" w:firstLineChars="0"/>
              <w:jc w:val="center"/>
              <w:textAlignment w:val="center"/>
              <w:rPr>
                <w:rStyle w:val="37"/>
                <w:rFonts w:hint="eastAsia" w:ascii="方正仿宋_GB2312" w:hAnsi="方正仿宋_GB2312" w:eastAsia="方正仿宋_GB2312" w:cs="方正仿宋_GB2312"/>
                <w:color w:val="000000" w:themeColor="text1"/>
                <w:sz w:val="24"/>
                <w:szCs w:val="24"/>
                <w:highlight w:val="none"/>
                <w:lang w:val="en-US" w:eastAsia="zh-CN"/>
                <w14:textFill>
                  <w14:solidFill>
                    <w14:schemeClr w14:val="tx1"/>
                  </w14:solidFill>
                </w14:textFill>
              </w:rPr>
            </w:pPr>
          </w:p>
        </w:tc>
      </w:tr>
      <w:tr w14:paraId="5C1E7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1A82AAE">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69CF120">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标考高清SIP转发管理三合一平台★</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A562EB5">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1.符合《国家教育考试网上巡查系统视频标准技术规范（2017版）》相关技术规范；需与伽师县教育局、喀什地区教育局及新疆维吾尔自治区考试院考务平台无缝对接，并提供供应商承诺书。</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2.采用国产服务器操作系统；采用国产CPU芯片、通过软件产品互认证明，满足功能及兼容性测试要求，适应国产操作系统；</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3.支持标准SIP2.0；</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4.支持MPEG4、H.264、H.264H、H.264M、H.264B、H.265、MJPEG视频格式；</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5.支持G.722、G.711A、G.726、G.711U、MPEG2-L2、AAC音频格式；</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6.支持TS（Transition Stream）、PS（Program Stream）流封装；</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7.同时支持管理平安校园设备接入管理，实现统一管理、统一控制、统一解码上墙；</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8.支持SIP URI统一命名规则、分级命名、联合定位；支持SIP URI组、用户、树形列表管理；支持SIP URI地址解析；</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9.系统管理员用户分组，可对平台设置多个管理员，对每个管理员赋予不同的管理权限，如添加删除设备、账号权限，查看权限、设置</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权限等；</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10.支持多转发分布式部署协同工作，满足大路数高清视频流的转发需求；</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11.支持根据网络情况和使用需求，动态调整视频分辨率；</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12.支持系统基本参数设置，如是否跨级管理、上级SIP参数、本级SIP参数、转发参数、端口等设置；</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13.支持核心数据库的备份；</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14.支持采用基于B/S架构的管理模式；</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15.支持查看系统内设备的在线信息；</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16.支持多码流选取；</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17.支持远程云台/镜头控制；</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18.支持SIP代理功能，信令转发和路由；</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19.支持NAT穿越控制；</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20.支持SIP向上级的主动注册与多级注册管理；</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21.支持IP、UDP、RTP、RTCP、SIP、TCP/IP、DHCP、PPPOE等网络协议；</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22.支持媒体流分发；支持点播、组播、广播；</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23.支持通过web端无需安装任何播放插件的情况下直接播放实时音视频图像；</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24.支持转发干线传输协议：在巡查系统中转发服务器与转发服务器之间建立一个双向视频</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传输通道，实现最底层网上巡查系统（学校级）不需要外网IP(或NAT映射)就可实现和上级巡查系统的对接；</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25.支持网络拥塞控制等功能；</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26.支持视频多路复用、视频路由控制；</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27.支持视频传输优先级控制；</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28.支持对静态列表进行访问并可向本级以及向上级传输；</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29.支持音/视频数据压缩及封装；</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30.支持客户端远程登录实现实时图像预览、历史数据回放下载设置；</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a.规则配置：可配置监测事件的报警阈值和业务应用规则；</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b.报警管理：支持报警推送、报警确认、布放/撤防、报警统计；</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c.值班计划：实现对值班模式、值班排班、值班历史记录的管理；</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d.在岗检查：实现对值班人员到岗情况的检查；</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e.人数统计：实现对实时人数的监测，记录变动时刻数据；</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f.违规出入记录：支持对人员身份进行核验，识别违规人员并生成记录；</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430C40D">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FB23E8D">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254516C">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default"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核心产品</w:t>
            </w:r>
          </w:p>
        </w:tc>
      </w:tr>
      <w:tr w14:paraId="1E39C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9A428FD">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190D8CE">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服务器机柜</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A4A506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1.服务器标准机柜42U（600*1000*2000）</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6A5CA3A">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个</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D8F693B">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F3E17D6">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76AD2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EA3147D">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367ADFF">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标考网络流媒体存储平台（128路）</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EBD470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1.符合《国家教育考试网上巡查系统视频标准技术规范（2017版）》（JY/T-KS-JS-2017-1）规范；需与伽师县教育局、喀什地区教育局及新疆维吾尔自治区考试院考务平台无缝对接，并提供供应商承诺书。</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2.可自适应接入H.265、H.264、MPEG4视频编码格式，MPEG LayerⅡ、G711和BC音频编码格式，</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3.Program Stream（系统流）和Transition Stream（传输流）封装格式的网络视频，并对接入的网络视频进行存储、解码和转发；</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4.嵌入式设备，Linux操作系统；</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5.不少于128路网络视频接入，最大转发码流≥768Mbps；</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6.可以对主码流、子码流分别或同时进行录像，并支持对同一通道主码流、辅码流分配不同的存储空间；</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7.报警联动触发信号时，能启动设备相应的通道进行联动记录，能够预录报警触发前≥600s的音视频；</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8.录像安全管理：支持录像加锁功能，加锁后录像不会被覆盖，并支持录像添加数字水印，支持九宫格图案密码解锁功能；</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9.数据备份功能：支持USB本地备份、USB DVD刻录机备份、eSata接口同步备份、Web端网络下载备份；</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10.运行稳定性：支持设备集群管理方式，当设备故障时备机可替换故障设备工作，故障恢复后可将存储的录像回传会原设备，同时支持双系统切换功能，当一个系统无法正常启动时，另一个操作系统能够正常工作；</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11.回放功能：支持秒级回放、即时回放、常规回放、事件回放、智能回放、切片回放、标签回放、外部文件回放、日志回放等多种回放方式；</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12.支持视频质量诊断，并对条纹、偏色、噪声、失焦等异常现象发出报警；</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22D6B22">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2D6765C">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599BB8D">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489A5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9300A27">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76AF4AA">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防火墙★</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148B812">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1.产品需提供不少于8个以太网电口，2个千兆光口SFP，内存配置不少于4G，硬盘容量不少于128G SSD。</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2.网络层吞吐量不低于4G，应用层吞吐量不低于2G，IPS吞吐量不低于600M，并发连接数&gt;200万。</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技术参数:</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1.产品支持路由模式、透明模式、虚拟网线模式、旁路镜像模式等多种部署方式。</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2.产品支持路由类型、协议类型、网络对象、国家地区等条件进行自动选路的策略路由，支持不少于3种的调度算法，至少包括带宽比例、加权流量、线路优先等。</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3.产品支持对不少于9000种应用的识别和控制，应用类型包括游戏、购物、图书百科、工作招聘、P2P下载、聊天工具、旅游出行、股票软件等类型应用进行检测与控制。</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b w:val="0"/>
                <w:bCs w:val="0"/>
                <w:color w:val="auto"/>
                <w:sz w:val="24"/>
                <w:szCs w:val="24"/>
                <w:highlight w:val="none"/>
              </w:rPr>
              <w:t>▲</w:t>
            </w:r>
            <w:r>
              <w:rPr>
                <w:rFonts w:hint="eastAsia" w:ascii="方正仿宋_GB2312" w:hAnsi="方正仿宋_GB2312" w:eastAsia="方正仿宋_GB2312" w:cs="方正仿宋_GB2312"/>
                <w:b w:val="0"/>
                <w:bCs w:val="0"/>
                <w:i w:val="0"/>
                <w:iCs w:val="0"/>
                <w:color w:val="auto"/>
                <w:kern w:val="0"/>
                <w:sz w:val="24"/>
                <w:szCs w:val="24"/>
                <w:highlight w:val="none"/>
                <w:u w:val="none"/>
                <w:lang w:val="en-US" w:eastAsia="zh-CN" w:bidi="ar"/>
              </w:rPr>
              <w:t>4.产品支持对压缩病毒文件进行检测和拦截，压缩层数支持15层及以上。（提供设备功能配置截图）。</w:t>
            </w:r>
            <w:r>
              <w:rPr>
                <w:rFonts w:hint="eastAsia" w:ascii="方正仿宋_GB2312" w:hAnsi="方正仿宋_GB2312" w:eastAsia="方正仿宋_GB2312" w:cs="方正仿宋_GB2312"/>
                <w:b w:val="0"/>
                <w:bCs w:val="0"/>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b w:val="0"/>
                <w:bCs w:val="0"/>
                <w:color w:val="auto"/>
                <w:sz w:val="24"/>
                <w:szCs w:val="24"/>
                <w:highlight w:val="none"/>
              </w:rPr>
              <w:t>▲</w:t>
            </w:r>
            <w:r>
              <w:rPr>
                <w:rFonts w:hint="eastAsia" w:ascii="方正仿宋_GB2312" w:hAnsi="方正仿宋_GB2312" w:eastAsia="方正仿宋_GB2312" w:cs="方正仿宋_GB2312"/>
                <w:b w:val="0"/>
                <w:bCs w:val="0"/>
                <w:i w:val="0"/>
                <w:iCs w:val="0"/>
                <w:color w:val="auto"/>
                <w:kern w:val="0"/>
                <w:sz w:val="24"/>
                <w:szCs w:val="24"/>
                <w:highlight w:val="none"/>
                <w:u w:val="none"/>
                <w:lang w:val="en-US" w:eastAsia="zh-CN" w:bidi="ar"/>
              </w:rPr>
              <w:t>5.产品应具备独立的勒索病毒防护模块，非普通防病毒功能，支持对特定的业务进行勒索风险自动化评估，并依据评估结果自动生成防护策略。（提供设备功能配置截图）。</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6.产品支持X-Forworded-For字段检测，并对非法源IP进行日志记录和联动封锁。</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.产品内置不低于16000种漏洞规则，同时支持在控制台界面通过漏洞ID、漏洞名称、危险等级、漏洞CVE标识、漏洞描述等条件查询漏洞特征信息，支持用户自定义IPs规则。</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8.产品支持僵尸主机检测功能，产品内置僵尸网络特征库超过128万种，可识别主机的异常外联行为。</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9.产品支持服务器漏洞防扫描功能，并对扫描源IP进行日志记录和联动封锁。</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10.产品支持安全策略有效性分析功能，分析内容至少包括策略冗余分析、策略匹配分析、风险端口风险等内容，提供安全策略优化建议</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648626C">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491A745">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4BCB9C4">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default" w:ascii="方正仿宋_GB2312" w:hAnsi="方正仿宋_GB2312" w:eastAsia="方正仿宋_GB2312" w:cs="方正仿宋_GB2312"/>
                <w:i w:val="0"/>
                <w:iCs w:val="0"/>
                <w:color w:val="auto"/>
                <w:kern w:val="0"/>
                <w:sz w:val="10"/>
                <w:szCs w:val="10"/>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核心产品</w:t>
            </w:r>
          </w:p>
        </w:tc>
      </w:tr>
      <w:tr w14:paraId="14624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90B5162">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616AF27">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硬盘8T</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C1F03F2">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1.名称：硬盘</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标称容量：8TB  外形规格：3.5-inch  接口类型：SATA  刻录技术：CMR  转速：7200RPM  缓存：256MB  最大读取速度：67MB/s  接口传输速率（最大值）：6.0Gb/s 平均读写功率（W）：7.3W 加载/卸载周期：600,000 MTBF：2,000,000 年负荷（TB/年）：550TB 工作状态温度(°C)：0-65℃</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53211DA">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块</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A139B1C">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16</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8851715">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34683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94B519A">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7801912">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核心交换机</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105DDF9">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名称：交换机</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1.交换容量：≥38.4Tbps  槽位数量：≥3 业务槽位数量：≥3 包转发率：≥7200Mpps；</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2.端口：套包支持24个千兆电口、24个千兆光口、2个万兆光口的业务卡；</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3.支持IEEE 802.3、IEEE 802.3u、IEEE802.3x、IEEE 802.3ab、IEEE 802.3z标准，支持静态路由、策略路由、RIP、OSPF等三层路由协议，支持DHCP Server、DHCP Relay、DHCP Snooping，支持SP、WRR、SP+WRR等队列调度方式， 支持IEEE 802.1x认证、Radius认证</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6E12D15">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EBA39E5">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F5EF552">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4714E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7DB6F0B">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7</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E982BEC">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楼宇交换机</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C2C9C13">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24个10/100/1000Base-T自适应以太网端口，4个千兆SFP口；包转发率：126Mpps；交换容量：336Gbps/3.36Tbps</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C7BD255">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44E88B7">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D7B86D8">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4B287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20F7156">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53993F8">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标考红外高清半球摄像机</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7FD1B9F">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1.符合《国家教育考试网上巡查系统视频标准技术规范（2017版）》（JY/T-KS-JS-2017-1）规范；需与伽师县教育局、喀什地区教育局及新疆维吾尔自治区考试院考务平台无缝对接，并提供供应商承诺书。</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2.嵌入式设备，具备实时操作系统；</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3.像素≥200万（1920×1080）；</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4.H.264 High profile编码；</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5.支持三码流，ACF（活动帧率控制）；</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6.最大支持256GB SD卡，支持录像断网续传功能；</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7.支持设备认证功能、加密传输能力及数字水印加密，防数据被篡改；</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8.支持宽动态、3D 降噪、强光抑制、走廊模式、去雾；</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9.最大红外距离:≥100m；</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10.支持智能红外功能：当开启红外灯光功能后，能根据所射目标距离自动调节红外辐射功率；</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11.支持28个视频窗口进行预览；</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12.支持区域入侵，拌线入侵，物品遗留/消失，虚焦侦测，场景变更的侦测，并且可以与报警联动；</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13.支持无SD卡、SD卡空间不足、SD卡出错、网络断开、IP冲突、移动检测、视频遮挡智能报警；</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14.最低照度：彩色≤0.001LX，黑白≤0.0001Lx,</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15.支持可伸缩视频编码（SVC）技术，支持感兴趣区域 （（ROI）</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16.防护等级：IP67，IK10；</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667BD3B">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套</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2DCC7B4">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89</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33E7C6A">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仿宋" w:hAnsi="仿宋" w:eastAsia="仿宋" w:cs="仿宋"/>
                <w:i w:val="0"/>
                <w:iCs w:val="0"/>
                <w:color w:val="FF0000"/>
                <w:kern w:val="0"/>
                <w:sz w:val="18"/>
                <w:szCs w:val="18"/>
                <w:highlight w:val="none"/>
                <w:u w:val="none"/>
                <w:lang w:val="en-US" w:eastAsia="zh-CN" w:bidi="ar"/>
              </w:rPr>
              <w:t>按照新管发【2023】61号文件规定：购置价格上限不得超过6000元/台，否则视为无效投标。</w:t>
            </w:r>
          </w:p>
        </w:tc>
      </w:tr>
      <w:tr w14:paraId="3E55E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6AE4052">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9</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7D17483">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标考红外高清球型摄像机</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096A43B">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1.符合《国家教育考试网上巡查系统视频标准技术规范（2017版）》（JY/T-KS-JS-2017-1）规范；</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2.像素≥200万（1920×1080）；</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3.支持不低于16 倍数字变倍，23倍光学变倍；</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4.支持MPEG-4 和H.264视频编码、支持MPEG  Layer II、G711和BC音频编码标准，并支持PS系统流和TS传输流的封装；</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5.支持设备认证功能、加密传输能力及数字水印加密，防数据被篡改；</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6.支持绊线入侵、区域入侵、物品遗留与物品消失多种行为检测，支持人脸检测；</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7.支持宽动态、图像降噪、图像防抖动功能；</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8.垂直旋转 -15°～90°自动翻转180°后连续监视；</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9.水平旋转 0°～360°连续旋转；</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10.键控速度 水平：0.1°～200°/s 垂直：0.1°～120°/s；</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11.SD卡本地存储，解决网络异常状态的监控存储问题,支持 FTP 存储录像，录像可断网续传；</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12.内置红外灯补光，补光距离≥100米；</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13.因各种原因导致与网络链接断开，当与网络恢复链接时，应能自动侦测到网络状态的恢复，并自动重新建立连接；</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14.最低照度：彩色≤0.0031x，能分辨反射式视频矩阵测试卡中彩色色块，黑白≤0.00011x能分辨反射式视频矩阵测试卡中彩色色块；</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31B43B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套</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A24BF0B">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C4C88A4">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仿宋" w:hAnsi="仿宋" w:eastAsia="仿宋" w:cs="仿宋"/>
                <w:i w:val="0"/>
                <w:iCs w:val="0"/>
                <w:color w:val="FF0000"/>
                <w:kern w:val="0"/>
                <w:sz w:val="18"/>
                <w:szCs w:val="18"/>
                <w:highlight w:val="none"/>
                <w:u w:val="none"/>
                <w:lang w:val="en-US" w:eastAsia="zh-CN" w:bidi="ar"/>
              </w:rPr>
              <w:t>按照新管发【2023】61号文件规定：购置价格上限不得超过6000元/台，否则视为无效投标。</w:t>
            </w:r>
          </w:p>
        </w:tc>
      </w:tr>
      <w:tr w14:paraId="3A1DA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1174EA2">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10</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1DEC448">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拾音器</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18C1E2E">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1.采用高灵敏度全指向性电容咪头，全向拾音、声音清晰自然，内置专用音频信号处理器，降噪的同时有效防止语音信号失真及衰减，内置雷击保护、电源极性反接保护和静电保护。</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2.符合标准：ROHS认证， ISO9000认证。</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3.灵敏度：-32dB。</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4.频率响应：20Hz～20KHz。</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5.指向特性：全指向性。</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6.信噪比：80dB（1米40 dB音源SPL）30dB(10米40 dB 音源SPL)1KHz at 1 Pa。</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7.动态范围：104dB(1KHz at Max dB SPL)。</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8.最大承受音压：120dB SPL（1KHz，THD 1%）。</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9.输出阻抗：最大600欧姆非平衡。</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10.输出信号幅度：2.5Vpp。</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11.麦克风：震膜电容咪头。</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110DA6E">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个</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99E6E08">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89</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7A82C1E">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1548A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EED77D2">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11</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4A59D2C">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楼栋墙柜</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9C56B33">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default" w:ascii="方正仿宋_GB2312" w:hAnsi="方正仿宋_GB2312" w:eastAsia="方正仿宋_GB2312" w:cs="方正仿宋_GB2312"/>
                <w:i w:val="0"/>
                <w:iCs w:val="0"/>
                <w:color w:val="auto"/>
                <w:sz w:val="24"/>
                <w:szCs w:val="24"/>
                <w:highlight w:val="none"/>
                <w:u w:val="none"/>
                <w:lang w:val="en-US"/>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规格型号：根据现场实际情况定制，材质、颜色等与采购人协商确定。</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6E0899B">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57B915B">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569DA7E">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04FE4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D88541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12</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A15ED0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小电源</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15B83E3">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1.名称：电源</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2.规格:12V30A</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D7D8607">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个</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128FF42">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89</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33648B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178B6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00E735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13</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291914D">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工程线缆</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1566B6E">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1.规格:电源线、网线等</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B018C36">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批</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70D476D">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92</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0DEA727">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127F4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DAAC2D6">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14</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7522E66">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管材和辅料</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F4BA3C0">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1.支架、PVC线槽、线管、扎带、插线板、胶带等</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FD8B9B6">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批</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08F194F">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92</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FE21F22">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2B3EF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4A41E6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15</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3ED3525">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巡查指挥终端</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A4903D9">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1.整机采用嵌入式操作系统加嵌入式DSP硬件设计（非PC架构及非工控机架构），具有极强的稳定性和抗病毒攻击能力，一体式设备包含高清会议摄像机。</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2.支持双流108030fps图像传输。</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3.视频编解码协议应满足H.265、H.264HP、H.264SVC、H.264 MP等主流视频编解码协议。</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4.音频提供Opus、G.711、AAC-LD、AAC-LC、G.719、G.722、G.729A、G.722.1等音频编解码协议,可达到20KHz以上的宽频语音效果。</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5.具备超强抗丢包能力，IP网络丢包达到30%时，会议音视频不受影响，会议仍可进行。</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6.具备强大的低带宽处理能力，在384Kbps带宽下实1080P30fps的活动视频，在192Kbps带宽下实现720P30fps的活动视频。</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7.硬件终端提供直接接入鼠标、键盘进行方便快捷控制，方便用户在不同场景灵活使用。</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8.800ms延时情况会议正常召开。</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9.高清摄像头支持1080P30fps视频采集，支持10倍光学变焦，62.9°水平视场角。设备同时支持有线和无线WIFI两种接入模式，终端支持通过WIFI网络进行视音频通信，方便会议室网络布线。</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E0E1004">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个</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F4D808A">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FDA0EC2">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3BE7C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FC1867E">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16</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A003723">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三脚架</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882AA5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1.名称:视频会议终端三脚架</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0E61078">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套</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6194F62">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4F74FBA">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4629D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741E37C">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17</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1113140">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巡查指挥全向麦克风</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9B9FFA6">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1.名称：麦克风</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2.规格：360度全向拾音、支持热插拔</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F95452C">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4659E17">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868B8B9">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293B3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CC3D10E">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18</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20575B4">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音箱</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4E6C654">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1.名称：音箱</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2.规格:扬声器单元 5 寸低音×2/23 芯驱动高音 整体铝型材成型，防水防锈防腐蚀 额定功率（PHC） 60W 额定电压 100V</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7B0CF82">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套</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F4D4B7C">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11CB370">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0029B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2A89B30">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19</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33DBC4F">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功放</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6A6F11B">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1.面板具有≥3个自定义功能按键，可定义播放曲目、执行区域、任务音量、优先级、持续时间、播放模式。</w:t>
            </w:r>
          </w:p>
          <w:p w14:paraId="6C585989">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2.具有≥1路100V定压信号备份输入接口，在机器无网络的状态下切换到备份通道。支持网络与模拟100V主备切换功能。</w:t>
            </w:r>
          </w:p>
          <w:p w14:paraId="1BEEF5A9">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3.内置网络音频解码模块，支持MP3、WAV、FLAC、OGG、AAC、OPUS主流音频格式，兼容等同或优于8kHz-48kHz全采样率。</w:t>
            </w:r>
          </w:p>
          <w:p w14:paraId="6C7A8F3C">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4.设备采用ARM架构等同或优于四核CPU芯片和音频算法处理技术，内置DSP音频处理，支持数字混音，≥10段EQ均衡配置。</w:t>
            </w:r>
          </w:p>
          <w:p w14:paraId="0403F82B">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5.面板自带≥3.9英寸TFT彩屏，可以显示动态图像和机器工作状态；具有自旋式飞梭旋钮，可控制终端输出音量大小。</w:t>
            </w:r>
          </w:p>
          <w:p w14:paraId="19C89884">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6.具有≥1路USB接口；具有≥1路LINE OUT线路输出接口；具有≥1路短路输入接口；具有≥1路短路输出接口；具有≥1路RS-485控制接口。</w:t>
            </w:r>
          </w:p>
          <w:p w14:paraId="0701F185">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7.功放输出功率≥240W。</w:t>
            </w:r>
          </w:p>
          <w:p w14:paraId="7984B4B7">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8.系统采用数据冗余编解码算法，支持抗丢包恢复功能，网络丢包≥37.5%时，音频播放无卡顿。</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15F4539">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7C7C342">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F6D5873">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5CDFA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58CFB03">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20</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F876DBD">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标考高清电视墙管理平台</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3564AB6">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1.符合《国家教育考试网上巡查系统视频标准技术规范（2017版）》相关技术规范；</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 支持模拟，数字视频信号的输入和矩阵输出；</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 支持高清视频信号的矩阵切换和输出；</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4.支持模拟/SDI/同轴高清信号无压缩直接输出上墙；</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 支持双码流技术，可变码流，支持复合流和视频流编码，且音频和视频同步；</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 80路高清视频编码能力（满配）或320路标清视频编码能力（满配）；</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7. 支持4K点对点输出显示；</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 支持300W/500W/800W/1200W解码；</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9.满配最大支持80路3840*2160 30fps/320 1080p</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24D6A13">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BD5EC9F">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E558E57">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38827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B0FEFEB">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21</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46F1112">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大屏中控管理平台</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56E4D8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1.符合《国家教育考试网上巡查系统视频标准技术规范（2017 版）》相关技术规范；</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2.支持通过配置电视墙布局及视频源连接关系，屏幕上的布局和控制可与电视墙的显示同步；</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3.支持鹰眼地图对电视墙局部显示进行放大、缩小或全局查看，可查看每个窗口、通道图像的状态信息；</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4.支持 GIS 地图信息查看；</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5.支持双屏扩展显示；</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6.支持灵活的屏幕、窗口控制特性；</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7.支持输出屏幕的自由绑定、自由开窗、窗口放缩融合拼接以及漫游等功能；</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8.支持远程控制解码矩阵和电视墙管理平台对音视频图像以及编码图像的上墙解码和管理；</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9.支持控制电视墙多种分屏模式；</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10.支持设置多种自定义的轮巡设置；支持独立轮巡和组合轮巡，同步轮巡和异步轮巡，定点轮巡和定长轮巡；</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11.支持显示当前受控设备的状态，包括：当前屏幕的布局信息、窗口获取的图像信息、窗口全屏、码流信息、音频开启标志等；</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12.支持设置，计划，载入与保存方案等功能，并支持多种不同方案，包括屏幕布局方案、窗口图像轮巡方案、预置场景方案及时间计划方案；</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13.支持云台设置方向、焦距、步长、自由旋转、左右边界以及预置点和 3D 快速定位等多种模式；</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14.支持屏幕的拼接融合；</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15.支持接收视频丢失、遮挡、动检、报警器报警、系统资源过高报警、视频质量诊断报警、人脸检测报警、音频检测报警、区域入侵报警等智能报警，系统自诊断和网络中断报警等功能，并可及时控制其报警图像上墙以及弹窗或者蜂鸣提示，并支持报警联动；</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16.支持非考试期间查看所有监控点列表信息，考试期间自动切换到对应考试列表；</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6017E68">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26D1BC2">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3973472">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71746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3446065">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22</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A27473E">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UPS(含电池）30KVA</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826B936">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1.规格:30KVA主机  100AH/12V电池32块。包含设备供电相关材料。</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2B57E05">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套</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ACC7AF6">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1C0430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47527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BE42F06">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23</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C49A604">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UPS(含电池）3KVA</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F22E923">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1.规格:3KVA主机  100AH/12V电池8块。包含设备供电相关材料。</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0BB2C0B">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套</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77040DC">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A4F2598">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46B46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8698D1D">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24</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8B6ADD8">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立式空调</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1E7DA0F">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1.规格:3P 冷暖 一级能耗</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E67D89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DDE8CE2">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E88366B">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仿宋" w:hAnsi="仿宋" w:eastAsia="仿宋" w:cs="仿宋"/>
                <w:i w:val="0"/>
                <w:iCs w:val="0"/>
                <w:color w:val="FF0000"/>
                <w:kern w:val="0"/>
                <w:sz w:val="18"/>
                <w:szCs w:val="18"/>
                <w:highlight w:val="none"/>
                <w:u w:val="none"/>
                <w:lang w:val="en-US" w:eastAsia="zh-CN" w:bidi="ar"/>
              </w:rPr>
              <w:t>按照新管发【2023】61号文件规定：购置价格上限不得超过6000元/台，否则视为无效投标。</w:t>
            </w:r>
          </w:p>
        </w:tc>
      </w:tr>
      <w:tr w14:paraId="4655F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3B036CE">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25</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5ED2414">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智能安检门</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64C42AC">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1.外形尺寸：长≥880mm，宽≥800mm，高≥2420mm</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2.主控板操作系统：安卓11及以上</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3.屏幕规格：前后≥29寸，刷新率≥75HZ ADS-IPS；分辨率≥2560*1080</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4.硬件规格：处理器：等同或高于四核 A55(2GHz)；RAM≥ 2G；ROM≥16G；千兆以太网接口。</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5.外观：1)无裂纹、起泡、腐蚀、明显划痕或永久污渍;2)便于人无障碍地步行通过;3)无能勾扯衣物或划伤皮肤的尖角锐棱;4)无高度超过5mm或头部曲率半径小于2mm的突出物;5)无裸露的导线或悬挂的物体。</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结构布局：1)设有总电源开关，以便能切断和接通全部电源；2)设有操作面板，以方便控制和操作；3)在人走进通道的一面设有是否允许通行的显示装置；4)设有报警信息指示装置；5)提供安全的连接，电源插头不应暴露，避免无意的断开电源线；6)便于装配、运输和维修。</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7.人行通道尺寸：1)高度(Z轴方向)应大于等于1980mm;2)宽度(X轴方向)应大于等于710mm;3)深度(Y轴方向)应小于等于910mm。</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结构稳定性：1)机械连接或构件不应松动、位移或脱落。2)立地应平稳，应能抵抗正常的撞击而不产生滑动失衡；3)底部设计有脚踏板的安检门,脚踏板与安检门主体结构之间缝陳应小于等于10mm;脚踏板负重120kg时不应出现明显的塌陷、扭曲、翘动或移位。</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9.运行控制：1)操作的授权:应对影响探测性能的装置和参数加以保护,避免非授权人员擅自改动；2)按键和控制装置:按键和控制装置应操作灵活，手感明确，功能可靠。如果配有遥控器,则遥控距离应大于等于2m；3)参数存储:安检门应具有对所设定的参数进行存储的能力，断电后再次上电启动时不应改变；4)远程控制:如果允许通过远程计算机或网络进行集中控制,则应提供相应的控制程序，且应具备远程参数调整、远程诊断以及报警相关数据存储的功能。当远程控制因故中断时，安检门应能自动恢复本地控制。</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 xml:space="preserve">10.电源适应性：1) 使用交流供电的金属门，至少应能在187V～242V,47.5Hz～52.5Hz的供电范围内无需调整而正常工作；2) 至少应能在额定电压±10%的供电范围内无需调整而正常工作； </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11.高温试验：+60℃± 2℃、2h、试验后样品应能正常工作。</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12.低温试验：-20℃±3℃、2h、试验后样品应能正常工作。</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13.探测模式检查：安检门应能在电子产品（手机）探测模式、电子产品和违禁品探测模式及全金属探测模式间进行切换。</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14.调节探测灵敏度：安检门应能从低到高方便地调节灵敏度，灵敏度调节应大于等于100个级别。应内置多种工作模式或工作场景，每种模式或场景对应一套参数设置值，应可一键设置。</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15.安检门探测区位：支持36区位探测，根椐人体基本结构划分金属探测门的探测区域，采用相互重叠的左中右、正面、背面网状探测方式,多区位报警,准确判断物品的位置。</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16.电子产品（手机）探测模式下灵敏度可调，人员以标准姿势通过安检门时，正常着装上的机械手表、金属纽扣、项链、打火机、钥匙、硬币、皮带扣、金属肩章、警帽帽徽、制服金属标牌、钥匙、钢笔、折叠雨伞、不锈钢水杯等小金属通过时系统应不报警，当携带以下电子产品通过时，系统应有声光报警，并以图形和文字的形式提示，应能提示藏匿位置。</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17.全金属探测功能：全金属探测模式下灵敏度应可调，人员以标准姿势通过安检门时，正常着装上的硬币、钥匙、金属纽扣、皮带扣等小金属及违禁品通过时均应报警并提示违禁品的藏匿位置。</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18.状态指示：安检门应具有系统未就绪状态、系统工作状态、系统故障状态指示。</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25.报警响应时间：应报警测试物进入探测区1s内，安检门应发出报警指示，此测试物离开探测区后报警指示延续应小于等于1s。</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19.计数功能：安检门应能记录有效受检人数和发生过报警的人次,并能复位清零。</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20.磁感应强度限制：在探测区左右边界各向内150mm的区域中，任意一点的磁感应强度均应小于等于30uT。</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21.稳定工作时间：稳定工作时间应大于等于96h，待机期间不应出现误报警。</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22.抗静止金属物影响：1).抗周围静止金属物影响:金属门探测性能应不受门体四周20cm范围以外的大静止金属物体的影响。2).抗地面内部金属结构影响:金属探测门性能应不受地面0.1m 以下的金属结构的影响。</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23.抗周围运动金属物干扰试验: 金属门不应对门体四周1.5m范围以外的运动金属物产生报警信号。</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24.网络功能检查: 安检门应能组网连接，各安检门工作参数应能上传云平台。云平台中心管理软件应能进行多级权限分级，应可根据权限对安检门进行统一监控，实现远程管理等功能。</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25.设备在线管理功能：支持显示安检门设备在线、设备离线状态。</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26.数据存储功能检查：安检门应可配置串口、USB 口、网线接口、WIFI设备，应可组网，应具有数据存储功能，应能将通过人数、告警次数，报警人数、报警抓取照片、违禁品携带位置、故障告警、人脸比对结果等工作参数保存在数据库。数据应与测温数据进行绑定，数据库应能根据条件进行查询、统计并导出数据，应可与其他电子设备进行数据交换。</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摄像机巡查功能：</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1.摄像机符合《国家教育考试网上巡查系统视频标准技术规范（2017版）》相关技术标准</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2.采用一体化设计，摄像机可通过安检门网线接口统一上传数据，无需再单独接入网络。</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3.像素：≥200万</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4.最大分辨率：≥1920×1080</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6.最低照度：0.002Lux（彩色模式）；0.0002Lux（黑白模式）；0Lux（补光灯开启）</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7.日夜转换：ICR自动切换</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8.日夜转换方式：普通、全时、按时间切换、按日夜切换</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9.扫描方式：逐行扫描</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5522AF3">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套</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5D693E5">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CC382A3">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0975E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34760FA">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26</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1D9931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慧穹智能行为分析平台（100路）</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1F58888">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 符合《国家教育考试网上巡查系统视频标准技术规范（2017版）》相关技术规范，需与伽师县教育局、喀什地区教育局及新疆维吾尔自治区考试院考务平台无缝对接，并提供供应商承诺书。</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2.采用国产CPU芯片，且在“中国信息安全测评中心 国家保密科技测评中心” 公布的可靠测评结果清单中；</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3.采用国产操作系统，且在“中国信息安全测评中心 国家保密科技测评中心”公布的可靠测评结果清单中；</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4.支持MPEG4、H.264、H.264H、H.264M、H.264B、H.265、MJPEG视频格式；</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5.支持G.722、G.711A、G.726、G.711U、MPEG2-L2、AAC音频格式；</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6.支持标准SIP2.0；SIP URI统一命名规则、分级命名、联合定位；SIP URI组、用户、树形列表管理；SIP URI地址解析；支持TS（Transition Stream）、PS（Program Stream）流封装；</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7.支持SIP网关向上级的主动注册与多级注册的管理，支持NAT穿越控制；</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8.建立SIP网关间的信任关系；路由控制功能；视频访问呼叫过程控制；视频远程访问权限控制；</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9.用户和权限管理，设定管辖范围内用户、组、角色的权限。用户管理可包括用户注册、用户查询、用户增加删除、用户访问权限管理、用户锁定和解锁、用户分组管理、用户访问记录查看功能；</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10.系统管理员，可添加、删除、修改组、用户、设备；可对远程用户设定视频浏览权限、前端设备控制权限和历史数据的删除、复制、浏览等操作权限，也可收回权限；远程用户的权限可精确到每一个教室（考场）的图像访问、控制、历史数据播放；</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11.支持用户的接入认证以及安全锁定；用户、设备在线信息统计，设备数据同步到上级机构；</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12.支持机构拓扑、设备拓扑图形化操作及呈现；支持电子地图呈现；支持机构拓扑图实时显示网络视频流量；</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13.支持日志管理查询，系统日志、告警日志、操作日志的搜索查看；</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14.支持设备主动注册到管理平台进行设备管理的功能；</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15.采用基于B/S架构的管理模式，通过WEB浏览器访问管理平台；</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16.能实现系统核心数据库的备份；</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17.支持巡查事务功能，包括考试计划管理、编排任务管理、考点巡检及统计、机构或设备注册情况查看；</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18.智能分析并发能力：支持最大60路视频流的行为智能分析；</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19.支持11种考生个体行为智能监测：包括提前作答、考生举手、传递可疑物品、捡可疑物品、携带可疑物品、考生站立、向后偏头、左右偏头、手放桌下并埋头、中途出入考场、考后继续作答；</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20.支持13种监考行为智能监测：包括监考员未按时到达考场、监考员提前发试卷/答题卡、监考员未按时发放试卷/答题卡、监考员发卷不规范、监考员未核对钟表时间、监考员未展示试卷/答题卡袋、监考员疑似离场、监考员在固定区域停留时间过长、监考员在考生旁停留过长、监考员间聚集时间过长、监考员提前收卷、监考员延迟收卷、监考员未在讲台监督收卷；</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21.支持6种考生群体行为智能监测：包括考生群体考中停止作答、考生群体举手、考生群体站立、考生群体交头接耳、多人向同一方向偏头、群体考后继续作答；</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22.支持告警等级配置：支持自定义每个行为的告警等级，包括一级告警、二级告警、三级告警；支持为每个告警等级配置不同的预警方式，包括人工审核、预警提示；</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23.支持考试计划模板管理、监测参数模板管理，便于快速调用；</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24.支持考试计划管理：实现对AI行为分析任务的管理，包括考试信息配置、监考考场选择、审核员选择以及监考任务分配；</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25.视频审核：实现对AI自动识别的告警事件的人工复核；复核支持初审和复审；支持分场次、类型、审核状态、考场名称、告警等级筛选告警事件；</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26.支持查询考试告警记录、考务规范记录、考试统计数据，包括查看审核记录、异常行为截图和视频片段等数据，实现关键数据的快速获取；</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27.总览看板：汇总展示所选考试计划的各项业务数据，包括审核员处理情况、标记违规数据、考务规范完成率、考场异常告警统计和异常行为类型统计；并支持按场次查看；</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28.支持数据导出，并可根据实际需求选择导出的数据包含图片、包含视频，满足多样化的报表需求；</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C78866B">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1A5D1A6">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1173164">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7DFE6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602DFD0">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27</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C713E53">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身份验证终端</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BDD06FF">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1.规格:处理器：等同或高于ARM Cortex-A534核1.3GHz</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存储器： RAM≥1GB</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 xml:space="preserve"> Flash:≥8GB TF卡</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 xml:space="preserve"> TF扩展：≥32GB</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显示屏 屏幕尺寸：≥4.6英寸，分辨率：≥720*1280</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触摸屏 ≥五点电容屏</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操作系统≥ Android4.4</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摄像头 后置：1300万自动对焦，LED闪光灯</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多媒体 内置多媒体引擎，MIC、扬声器，支持免提</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卫星定位模块 GPS</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WIFI 802.11ac/bgn</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 xml:space="preserve">蓝牙 4.0 </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USB接口 USB3.1C</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二代证模块 内置读卡模块</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电池容量≥3800mAh,可更换"平均无故障工作时间(MTBF)" ≥5 0 0 0 小 时</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1E367C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个</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08B0F36">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262527B">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72EA5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499E7BE">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28</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84A21F8">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双屏人证核验终端</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245D873">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1、具有居民二代身份证阅读模块、居民二代身份证ID号读取模块、人像比对模块、指纹采集模块、智能拍照模块等多种功能模块，无需外接任何模块，无需外接PC机即可独立完成验证采集；</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2.处理器：等同或高于RK3288 四核处理器；储存≥8G,内存≥2G，并支持TF容量扩充；</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3.显示屏≥10.1 英寸，；分辨率分：≥800（H）*1280(V)；双屏显示输出；</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4.USB接口≥2；RJ45 10M/100M/1000M自适应以太网口≥1；HDMI接口≥1，可联动大屏投屏显示；</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5.人脸识别算法，1:1识别准确率≥99.8%，识别速度≤1秒</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6.居民二代身份证读取模块：符合ISO14443TypeB国际标准、符合GA450标准，可读取二代证芯片内信息；包括含指纹二代身份证中的指纹信息；RFID读卡距离0-5cm；读取时间≤1秒；</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7.指纹图像录入时间＜1.1秒；指纹比对时间＜0.3秒;</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8.支持通过移动存储介质（离线）和有线网络(在线实时)传输数据；</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07B25BD">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只</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5AD9042">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9F02532">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3074A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6030A4A">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29</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C060EB7">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身份验证管理平台</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49B3B3F">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平台功能 数据下载 按设定时间计划主动下载本辖区内所有考生的身份信息。</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 xml:space="preserve"> 1.数据上传 按设定时间计划主动上传验证结果数据。</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 xml:space="preserve"> 2.数据下达 提供数据接口供下级服务器按考点编号或考区编号下载本区域内所有考生身份数据库。</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 xml:space="preserve"> 3.报表输出 汇总与统计结果以报表和图表形式输出</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 xml:space="preserve"> 4.人脸识别 使用考生的证件照片、采集照片、考试入场照片实时的智能的进行自动关联比对，并返回比对结果。</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 xml:space="preserve"> 5.数据编排 根据用户的实际使用需要，在平台上提供多种不同的编排方式。</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 xml:space="preserve"> 6.打印功能 支持考务需求的各类报表打印、套打、批量打印等</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 xml:space="preserve"> 7.系统联动 可扩展与已建电子监控、应急指挥系统的对接</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 xml:space="preserve"> 8.运维管理 统一账户管理，统一认证管理</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 xml:space="preserve"> 9.高并发技术 支持2000以上并发访问/秒</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 xml:space="preserve"> 10.完整性 支持面颊比对、多场次关联比对验证</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 xml:space="preserve"> 11.数据库 支持MYSQL 5.5</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 xml:space="preserve"> 12.易集成 支持C/S、B/S架构系统无缝集成</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 xml:space="preserve"> 13.可扩展 支持分布式网络部署架构，可根据业务需要不断扩展</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 xml:space="preserve"> 14.维护容易 支持远程自动升级维护</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03C48C8">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套</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6A45330">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A4AC6C4">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1BEE6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C911267">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30</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972991D">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智能存储分析服务器</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EB9C3A5">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 符合《国家教育考试网上巡查系统视频标准技术规范（2017版）》；</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2.3路HDMI输出，2路VGA输出，其中HDMI1和VGA1同源输出，HDMI2和VGA2同源输出，可支持4K显示输出；</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 支持4个10/100/1000Mbps自适应以太网口（千兆电口）；</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 支持32路H.264/H.265混合接入，网络带宽400Mbps接入、320Mbps存储、96Mbps转发；</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 支持16路1080P解码显示输出，支持H.264、H.265混合解码；</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 支持50万张人脸图片，50个人脸名单库；</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7. 支持5000张工作服图片，5个工作服库；</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 支持8路人脸识别（1080p视频流）或40张/秒图片流比对报警；</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9. 支持前FR，前FD+后FR，后FD+后FR，前结构化+后人脸FR，前ITC+后人脸FR；</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10. 支持8路通用行为分析检测，每路支持5条规则；</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11. 支持4路岗位行为检测，包含打电话、睡觉、玩手机、离岗、人数异常、吸烟检测；</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12. 支持4路安全行为分析，包含安全帽检测（关联人脸）、工作服检测；</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13. 支持4路人员行为分析，包含人员跌倒、人员奔跑、剧烈运动、尾随；</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14. 支持1000万条人脸历史抓拍库；</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15. 支持500万条通用行为历史抓拍库；</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16. 支持500万条岗位行为历史抓拍库；</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17. 支持500万条人员行为历史抓拍库；</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18. 支持500万条安全行为历史抓拍库；</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19. 支持单通道设置多种智能，支持智能分时轮巡检查；</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20. 支持联动录像，抓图，蜂鸣，邮件，预置点，本地报警输出，IPC报警输出，语音播报。</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B3D69A6">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920D3CF">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5EF243E">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6AD40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F5D943F">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31</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6AA2B5E">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控制主机★</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70CA76F">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1.采用工控机机箱设计，具有LED液晶显示屏，支持触摸控制屏，支持等同或优于1920×1080分辨率；服务器运载Windows Server 2008 R2 Standard(x64),Windows Server 2012 R2 Standard(x64)及以上操作系统。</w:t>
            </w:r>
          </w:p>
          <w:p w14:paraId="619E5024">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2.具备抽拉式键盘设计；支持≥1路短路触发开机接口，用于实现定时驱动开机运行。</w:t>
            </w:r>
          </w:p>
          <w:p w14:paraId="2484E092">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 xml:space="preserve">3.具有≥1×PS/2接口、≥6×串口、≥1×VGA接口、≥1×HDMI接口、≥8×USB接口、≥2×千兆网口、≥1×Audio接口、≥1×DVI接口。 </w:t>
            </w:r>
          </w:p>
          <w:p w14:paraId="37013FD8">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4.配置等同或优于4核 8线程 3.4GHz处理器。</w:t>
            </w:r>
          </w:p>
          <w:p w14:paraId="1B9667F7">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5.支持录音存储功能，可在后台自定义设置录音文件保存路径。</w:t>
            </w:r>
          </w:p>
          <w:p w14:paraId="0E51AA20">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color w:val="auto"/>
                <w:sz w:val="24"/>
                <w:szCs w:val="24"/>
                <w:highlight w:val="none"/>
              </w:rPr>
              <w:t>▲</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6.产品制造商已建立业务连续性管理体系，可提供符合GB/T30146-2023或ISO22301:2019标准的《业务连续性管理体系认证证书》</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D3E676B">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5C16717">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A90504D">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default"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核心产品</w:t>
            </w:r>
          </w:p>
        </w:tc>
      </w:tr>
      <w:tr w14:paraId="63C41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700AB8E">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32</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4F74237">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数字化IP网络广播客户端管理软件</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8865DC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1.设备接入能力：最大可支持1500路广播点接入，响应时间≤5秒</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2.查询配置：支持实时查询和设置终端设备的IP地址、任务程序、在线情况、音量大小等状态</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3.系统架构：同时支持B/S架构和C/S架构两种模式，可通过网页端或客户端登陆实现网络终端管理、权限管理、播音管理、多媒体资料管理、录音保存、内部信息传输等功能</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4.广播资源管理：具备媒体库文件夹与文件分级管理功能，可上传音频文件，同步广播管理主机的媒体库数据、同步级联广播平台的媒体库数据，为所有定时广播、实时广播、预案广播提供音频内容</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5.对讲监听：支持平台端对现场的监听与对讲，支持和网络寻呼话筒、网络音柱音箱进行双向对讲，可对网络音箱音柱进行监听</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6.实时广播：支持实时喊话广播与紧急广播，通过主机上接入的采集设备将采集到的音频数据实时播放到前端设备</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7.广播任务配置：具备广播设备定时任务配置功能，并按时间计划模板进行统一管理，并可控制定时任务的使能状态</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8.定时广播：定时广播任务关联广播点具备分区广播和定点广播功能，可选择音频文件、TTS、终端采集等多种音源，同时关联多个音频文件，做单次或循环播放</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9.消防联动：具备全区、分区消防报警联动功能，丰富多样的联动功能，如I/O联动、离线事件保存功能、离线事件满90%警告功能</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10.权限管理：具备配置不同角色权限功能，包括菜单权限、组织权限、区域权限、资源权限、功能控制权限、广播分区权限，支持用户关联角色，通过给用户绑定相应角色的方式给用户配置不同的系统权限</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11.优先级定义：具备平台自定义任务优先级功能，终端自身支持优先级，用户广播优先级</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12.录音功能：具备录音功能：对实时广播、智能播报、定时广播操作、广播监听、广播对讲进行录音</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13.音频采集：具备网络终端音频采集功能，可搭配教学电脑实现音频文件播放；具备本地音频采集功能，可自定义播放到任意指定终端</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14.离线广播：具备离线广播功能，终端内置大容量存储器，支持接收通过管理机或平台远程下发的音频文件、定时广播任务和报警触发任务</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15.TTS广播：具备文字播报功能，可配置转换语速、音量调节，支持播报配置的效果试听、支持男/女声可选</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16.一键预案：支持一键预案广播，将需要进行广播的内容预先设置好，使用时一键触发</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17.一键下发：支持将所管理终端一键下发给网络寻呼话筒，在网络寻呼话筒上可以进行一键寻呼</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18.远程升级：具备对网络音柱音箱和网络功放进行远程升级功能</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19.NTP校时：支持对接北斗、GPS定时系统功能，可脱离公共互联网独立进对广播系统进行时间校准，使所管理设备的时间与主机时间统一</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20.广播记录分析：支持所有广播操作的记录，便于用户对广播数据进行分析</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21.隔天续播：支持系统设置隔天续播功能，每日同时段的循环播放具备断点记忆，并在下一个音频文件开始播放</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22.数据备份：支持数据自动备份与手动恢复功能，保证数据的可持续性与可移植性</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23.联动功能：支持报警输入、布防计划及语音联动，支持TTS语音合成和文本广播，自然流畅的标准男女双声可选</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2AD1903">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套</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2100C27">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1AB230E">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55A6D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391AEA0">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33</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558E120">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控制器</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57EB743">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1.设备采用机柜式设计，自动实现卫星自动校时，使用地球同步卫星作为校时基准，与格林威治时间误差≤0.1秒。</w:t>
            </w:r>
          </w:p>
          <w:p w14:paraId="20091CC9">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2.液晶显示屏可显示时间。</w:t>
            </w:r>
          </w:p>
          <w:p w14:paraId="63224BD6">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3.支持与公共广播系统对接作为校时系统。</w:t>
            </w:r>
          </w:p>
          <w:p w14:paraId="23DA5BED">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4.系统带A类北斗卫星导航系统（BDS）+GPS卫星定位系统两大定位系统，可以实现后台远程切换两个不同系统。</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1DAF5FC">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941343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3F1B9CF">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213F4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C20AE7A">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34</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91C05E5">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前置放大器</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4447286">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1、前置放大器，具有≥5路话筒(MIC)输入，第1路话筒(MIC1)具有优先级。</w:t>
            </w:r>
          </w:p>
          <w:p w14:paraId="047F0F7D">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2、设备具有≥3线路标准信号(AUX输入；≥2路EMC线路RCA输入，≥2路EMC话筒MIC输入。</w:t>
            </w:r>
          </w:p>
          <w:p w14:paraId="6F28B42E">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3、MIC1和EMC最高优先权限功能可通过拨动开关选择；MIC2、3、4、5和AUX1、2、3可交叉混合输出；</w:t>
            </w:r>
          </w:p>
          <w:p w14:paraId="5F84EC0A">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4、话筒(MIC)输入和线路(AUX输入可独立调节，设有总音量调节，高低音调节，具有默音调节和EMC输入增益调节。</w:t>
            </w:r>
          </w:p>
          <w:p w14:paraId="51D070E9">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5、信噪比≥75dB，总谐波失真THD≤1%，频率响应20Hz-20KHz。</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7475169">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C3DE817">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BFC1E3C">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6D1CB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E521C4F">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35</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AB70DAE">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IP音频采集器</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CAFAF15">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1.内置≥1路网络硬件音频解码模块,具有≥1路RJ45网络接口，≥100Mbps传输速率。</w:t>
            </w:r>
          </w:p>
          <w:p w14:paraId="7911F995">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2.支持≥1路音频线路输入接口，具有独立的音量调节功能。</w:t>
            </w:r>
          </w:p>
          <w:p w14:paraId="3855234F">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3.设备集成有数字功放，功率≥2×20W（MAX），≥1路接主音箱，≥1路外接到副音箱。</w:t>
            </w:r>
          </w:p>
          <w:p w14:paraId="20D01B9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4.设备内置有主备切换检测模块，在断网或断电的故障情况下，实现自动切换到≥100V定压备份通道，主备切换过程无卡顿、不掉字；在通网或通电情况下，恢复主通道。</w:t>
            </w:r>
          </w:p>
          <w:p w14:paraId="64AC7FF0">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5.设备内置2.4G无线音频模块，配备头戴式话筒，支持音量调节。</w:t>
            </w:r>
          </w:p>
          <w:p w14:paraId="128E54D2">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6.多功能话筒支持调节2.4G麦克风音量功能，支持录音功能，带激光笔和PPT翻页功能。</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C2BB8BB">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5102A16">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DDDB6BA">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3EA7A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7453DFC">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36</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CADD4E4">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寻呼话筒</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8F02777">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1.采用话筒桌面式设计，带有显示屏，带触摸控制功能；显示屏自带数字键、功能键，支持通过触摸呼叫广播，支持呼叫分区及多个分区，呼叫全区广播；可支持≥10个按键自定义一键呼叫广播功能。</w:t>
            </w:r>
          </w:p>
          <w:p w14:paraId="30135583">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2.内置≥1路网络硬件音频解码模块，具有≥1路RJ45网络接口，≥100Mbps传输速率。</w:t>
            </w:r>
          </w:p>
          <w:p w14:paraId="1AC25C97">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3.支持监听任意终端功能，内置≥2W全频扬声器，实现双向通话和网络监听。</w:t>
            </w:r>
          </w:p>
          <w:p w14:paraId="443B5083">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4.具有≥1路音频线路输入接口，支持采集播放功能；具有≥1路音频线路输出接口，可外接功率放大器。</w:t>
            </w:r>
          </w:p>
          <w:p w14:paraId="5DA01DED">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5.支持直接操作呼叫或对讲任意终端，支持通过话筒广播呼叫功能，广播延时≤100ms。</w:t>
            </w:r>
          </w:p>
          <w:p w14:paraId="10905DC7">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6.支持多种呼叫策略，包括无响应转移、占线转移、关机转移，支持自定义接听提示音，支持转移时间、无人接听时间、呼叫等待时间自定义。</w:t>
            </w:r>
          </w:p>
          <w:p w14:paraId="06E6940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7.具有≥1个3.5耳机接口、≥1路3.5话筒输入接口。</w:t>
            </w:r>
          </w:p>
          <w:p w14:paraId="5A9A814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8.具有≥1路短路输出接口、≥1路短路输入接口。</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C8FEA8F">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4DDBB37">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5AEB3E9">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18E9E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6103F4A">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37</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63C0AC0">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IP网络音箱</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62EF9B5">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1.内置≥1路网络硬件音频解码模块,具有≥1路RJ45网络接口，≥100Mbps传输速率。</w:t>
            </w:r>
          </w:p>
          <w:p w14:paraId="57CE15F5">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2.支持≥1路音频线路输入接口，具有独立的音量调节功能。</w:t>
            </w:r>
          </w:p>
          <w:p w14:paraId="007BD1BF">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3.设备集成有数字功放，功率≥2×20W（MAX），≥1路接主音箱，≥1路外接到副音箱。</w:t>
            </w:r>
          </w:p>
          <w:p w14:paraId="3E00EDD6">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4.设备内置有主备切换检测模块，在断网或断电的故障情况下，实现自动切换到≥100V定压备份通道，主备切换过程无卡顿、不掉字；在通网或通电情况下，恢复主通道。</w:t>
            </w:r>
          </w:p>
          <w:p w14:paraId="66A2E97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5.设备内置2.4G无线音频模块，配备头戴式话筒，支持音量调节。</w:t>
            </w:r>
          </w:p>
          <w:p w14:paraId="020432B2">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6.多功能话筒支持调节2.4G麦克风音量功能，支持录音功能，带激光笔和PPT翻页功能。</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29664A4">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套</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9F21DB3">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420E3C6">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3CCF5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93B4633">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38</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F214B95">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电源管理器</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5C0C852">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1.电源控制：8通道独立控制的时序通道，8通道独立常开控制，8通道独立硬件开关式应急停止设置</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2.延时开关机：可自行设置更改，开机延时为1至999秒，关机延时为1至999秒</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3.定时开关机：内置万年历，可以对设备进行日、周设备定时，每天可设置定时开关机6次</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4.总回路控制：单相63A空气开关，有限流保护和短路保护</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5.通道能力：8路通道总承受功率为8KW电源，每通道拥有独立高性能RFI/EMI电源滤波器，每路极限总电流都为20A（音频负载）。</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6.通道分配：4路国标10A安全划盖插座，4路国标16A安全划盖插座。</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7.供电方式：220V~50HZ，自带定制3芯单相电缆</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8.安装方式：19英寸机架式安装</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1EBEF9D">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5E16072">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A8948D2">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2B4DE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5EBA420">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39</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5F3373F">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机柜</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8FA9A07">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1.42U，网孔门，落地机柜</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2.承重：静态1000KG</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3.前后门材质：前单开网孔门，后网孔门，冷轧板 T=1.2门开孔百分比：前门，78%；后门，77.2%；</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4.侧门材质：冷轧板 T=1.2 门框左右立柱材质：冷轧板 T=1.2（框架）</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5.左右支架：冷轧板 T=2.0 横梁：冷轧板 T=1.2 滚轮：支持，4个 脚撑：支持，4个 风扇：无辅件：40套安装螺丝，前/后侧门钥匙各两把</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6.尺寸（宽*深*高）：600*600*2000 mm</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D977C22">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231C707">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425E4C2">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76F35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1280DC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40</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CC4FA0E">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default" w:ascii="方正仿宋_GB2312" w:hAnsi="方正仿宋_GB2312" w:eastAsia="方正仿宋_GB2312" w:cs="方正仿宋_GB2312"/>
                <w:i w:val="0"/>
                <w:iCs w:val="0"/>
                <w:color w:val="auto"/>
                <w:sz w:val="24"/>
                <w:szCs w:val="24"/>
                <w:highlight w:val="none"/>
                <w:u w:val="none"/>
                <w:lang w:val="en-US"/>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台式机</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98B047A">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1.规格:第十代英特尔酷睿i5，台式机（I5-12500 8G 1T Win10 ）23英寸显示器</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32466D6">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72BA6F7">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D30F0E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仿宋" w:hAnsi="仿宋" w:eastAsia="仿宋" w:cs="仿宋"/>
                <w:i w:val="0"/>
                <w:iCs w:val="0"/>
                <w:color w:val="FF0000"/>
                <w:kern w:val="0"/>
                <w:sz w:val="18"/>
                <w:szCs w:val="18"/>
                <w:highlight w:val="none"/>
                <w:u w:val="none"/>
                <w:lang w:val="en-US" w:eastAsia="zh-CN" w:bidi="ar"/>
              </w:rPr>
              <w:t>按照新管发【2023】61号文件规定：购置价格上限不得超过5000元/台，否则视为无效投标。</w:t>
            </w:r>
          </w:p>
        </w:tc>
      </w:tr>
      <w:tr w14:paraId="1E50C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E2F2B6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41</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9A681E4">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IP网络广播系统分控软件</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6AFE513">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 xml:space="preserve">1.配套数字化IP网络广播使用 </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D2BE7C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套</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4E3DBB9">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B5E22FF">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2D0DA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DFFF1C5">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42</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29DE4D5">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调音台</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C71D636">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1.支持≥4路Mic输入兼容≥4路线路输入接口，话筒接口幻象电源：≥+48V，≥4组立体线性输入。</w:t>
            </w:r>
          </w:p>
          <w:p w14:paraId="01655179">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2.具有≥1组立体声主输出、≥1组辅助输出、≥1路耳机监听输出、≥1组CD/Tape输出。</w:t>
            </w:r>
          </w:p>
          <w:p w14:paraId="5B2009EE">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3.每路单声道输入通道设有≥3段EQ，设有峰值LED指示灯。</w:t>
            </w:r>
          </w:p>
          <w:p w14:paraId="3635F8F7">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4.内置≥24位DSP效果器，提供≥100种预设效果。</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17CD00E">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8CD7B43">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060BBF5">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352E5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9A0224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43</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9656352">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话筒</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104E44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1.指向性：心形指向性</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2.信噪比：≥65dB SPL 1KHz at 1Pa</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3.频率响应等同或优于20-18KHz</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4.输出阻抗：≥75Ω</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5.灵敏度：≥-40dB±2dB</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C58206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只</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94919F8">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1D19387">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3ADED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A152734">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44</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56432D8">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CD播放器</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D4C7C00">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1.吸入式机芯；</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2.自动播放控制；</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3.可播放：CD/VCD/MP3/DVD碟片；</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4.内置宽频监听扬声器；</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5.内置MP3播放器，可读USB和SD卡；</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6.可通过面板按键或红外遥控器控制操作。</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7.支持上电自动播放功能。</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D700606">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22CCACA">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3C05886">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4A29A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28E8A9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45</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442C3DF">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控制主机</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DD688CA">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1.支持编程自动控制，每天可多达≥200步，并设有晴天、雨天运行模式；</w:t>
            </w:r>
          </w:p>
          <w:p w14:paraId="3723F14A">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2.内置音频矩阵，≥8路输入，≥16路输出，可手动或自动任意切换；各区可同时播放不同节目；</w:t>
            </w:r>
          </w:p>
          <w:p w14:paraId="3912FF15">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3.内置可编程控制的MP3音源；采用SD卡存储，随机附送读卡器；</w:t>
            </w:r>
          </w:p>
          <w:p w14:paraId="7A9BBE6B">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4.外控各种音源设备，实现在规定时间、指定地点（区域），播放对应的节目（音乐）；</w:t>
            </w:r>
          </w:p>
          <w:p w14:paraId="0A9D8E95">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5.支持电源管理，内置≥6路可编程控制的电源，并可外控电源时序器进行扩充；</w:t>
            </w:r>
          </w:p>
          <w:p w14:paraId="041BD90A">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6.多模式的消防报警功能，包括全区独立报警、分区独立报警、相邻（1.2.3.4）分区≥6种报警模式；</w:t>
            </w:r>
          </w:p>
          <w:p w14:paraId="75D7E2F3">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 xml:space="preserve">7.本地广播寻呼功能，可实现全区，分区广播寻呼； </w:t>
            </w:r>
          </w:p>
          <w:p w14:paraId="0DEBB25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8.配合呼叫站可进行远程寻呼广播；通过呼叫站的音频接入口；</w:t>
            </w:r>
          </w:p>
          <w:p w14:paraId="6D8C3CCB">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9.与电话寻呼器连接则可实现电话远程全区，分区寻呼广播。</w:t>
            </w:r>
          </w:p>
          <w:p w14:paraId="5FA53792">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10.产品制造商已建立业务连续性管理体系，可提供符合GB/T30146-2023或ISO22301:2019标准的《业务连续性管理体系认证证书》</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8338059">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AD77D4C">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B67443C">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4C46B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4953EC2">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46</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02DA92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前置放大器</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AE89E09">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1、前置放大器，具有≥5路话筒(MIC)输入，第1路话筒(MIC1)具有优先级。</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2、设备具有≥3线路标准信号(AUX输入；≥2路EMC线路RCA输入，≥2路EMC话筒MIC输入。</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3、MIC1和EMC最高优先权限功能可通过拨动开关选择；MIC2、3、4、5和AUX1、2、3可交叉混合输出；</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4、话筒(MIC)输入和线路(AUX输入可独立调节，设有总音量调节，高低音调节，具有默音调节和EMC输入增益调节。</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5、信噪比≥75dB，总谐波失真THD≤1%，频率响应20Hz-20KHz。</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60015B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7ACF80F">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A9F4C18">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14464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ED7A42A">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47</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990E420">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音频处理器</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F01E41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后面板具有≥4路线路音频凤凰端子平衡输入接口（具有48V幻象供电）、≥4路线路音频凤凰端子平衡输出接口、≥1个拨码开关、≥1个RJ45接口、≥1个RS232接口、≥1个RS485接口、≥8个可编程GPIO控制接口、≥1个接地柱；前面板具有≥2.0英寸 IPS 真彩显示屏、≥1个编码旋钮、≥1个USB存储设备接口。</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color w:val="auto"/>
                <w:sz w:val="24"/>
                <w:szCs w:val="24"/>
                <w:highlight w:val="none"/>
              </w:rPr>
              <w:t>▲</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输入通道支持前级放大、信号发生器、扩展器、压缩器、均衡器（≥12段参量均衡、可选10/15/31段图示均衡器可调，图示均衡器可用于单独调节带宽）、闪避器、AGC自动增益、AM自动混音功能（门限式、增益共享式）、AFC自适应反馈消除、AEC回声消除、ANC噪声消除、音频矩阵；输出通道支持均衡器（≥12段参量均衡、可选10/15/31段图示均衡器可调，图示均衡器可用于单独调节带宽）、延时器、分频器、高低通滤波器、限幅器；基于啸叫检测门限更新法，具有移频+陷波组合反馈抑制，可以使用≥24个可编程陷波点，可自由分配动态/静态点，自动/手动切换。（提供功能截图佐证）（需提供得到CMA或CNAS认可的检测机构出具的检测报告作为该技术参数证明材料）</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3.具有矩阵增益调节功能，每个输入通道参与混音的增益可调，增益调节范围等同或优于-72db到12db。</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color w:val="auto"/>
                <w:sz w:val="24"/>
                <w:szCs w:val="24"/>
                <w:highlight w:val="none"/>
              </w:rPr>
              <w:t>▲</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音频处理器具有跨平台软件，可运行的操作系统版本≥8种，包括Windows7/10/11、银河麒麟桌面操作系统（兆芯版）、银河麒麟桌面操作系统（飞腾版）、macOS系统、统信UOS、Ubuntu桌面版操作系统。（提供功能截图佐证）（需提供得到CMA或CNAS认可的检测机构出具的检测报告作为该技术参数证明材料）</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5.产品具有PC客户端、手机移动端、安卓平板端不同控制方式，可以通同时登入APP软件、PC客户端同时连接设备，并实现多端数据的同步。</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6.设备具有编码旋钮和IPS屏幕，可用于控制和配置设备静音，增益，场景；IPS屏幕能够显示IP地址，输入和输出通道的实时电平。</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7.具有设备定位功能，客户端一键定位局域网内同类设备，被定位的设备会显示定位信息。</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8.设备具有统一集中控制功能，支持≥65535台设备通过软件集中控制。</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color w:val="auto"/>
                <w:sz w:val="24"/>
                <w:szCs w:val="24"/>
                <w:highlight w:val="none"/>
              </w:rPr>
              <w:t>▲</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9.音频处理器软件可融入会议音频综合管理平台实现音频设备统一管理，平台可扫描数字会议主机、音频处理器、混音器、抑制器、功放类产品在线情况，同款产品多台在线设备也可扫描，并显示设备硬件名称、硬件IP地址、在线、离线状态信息；具备一键上传配置信息至云端或保存本地进行备份和一键还原配置信息功能。（提供功能截图佐证）（需提供得到CMA或CNAS认可的检测机构出具的检测报告作为该技术参数证明材料）</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DA7442E">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99984EE">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1D53034">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6CEA4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F992555">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48</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5B88D88">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纯后级功放</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3417045">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1、2000W纯后级功放D类</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2、AUX1不平衡TRS输入，AUX2不平衡TRS输入，可做为级联输出，AUX1不平衡XLR输入，AUX2不平衡XLR输入，可做为级联输出。</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3、保护功能:峰值限幅，过载，直流，短路，过热，软启动.VHF(高频).开机延时.关机快断，开机淡入。</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4、支持多种指示灯显示（电源、信号、峰值、故障）。</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5、采用风机强制散热结构，可以让机器长时间工作。</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6、本机有热保护、过流、过压、短路保护，开机延时等功能。</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 xml:space="preserve">7、信噪比：≥95dB </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8、灵敏度（1 m，1 W）：0dB</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9、功率输出方式:输出4-16Ω，70V，110V。</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 xml:space="preserve">10、总谐波失真THD：≤0.1% </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 xml:space="preserve">11、输出通道功能：定压100V输出 </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12、输入电源：100-240V~  50Hz/60Hz</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 xml:space="preserve">13、频率响应：80Hz-16KHz </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14、工作温度和湿度：-10~ 40℃；20%~ 80%相对湿度</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 xml:space="preserve">15、存储湿度：20%~ 80%相对湿度 </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905DB37">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CDBBEC6">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F1B46D4">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1599B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C0D31D4">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49</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A72DEBA">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主备切换器</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7208C8E">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1.轻触式按键操作，LED指示灯显示工作状态，一目了然。</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2.具有4路完全相同的独立切换通道，供4台主功放和4台备用功放通道切换。</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3.自动检测声频功放故障并在主功放和备功放之间自动切换，自动切换时间小于0.1S。</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4.可手动切换主功放和备功放。有4组功率信号输出端子，接扬声器。</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5.输入电源：AC 220V±10%  50-60Hz。</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6.输出通道：四组CH1～CH4。</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7.音频输出：主功放输出口：MAIN1、MAIN2、MAIN3、MAIN4。</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8.备用功放输出口：SUB1、SUB2、SUB3、SUB4。</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9.功耗：12-15W。</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10.信号输入口参数：0.775V（0dB）,非平衡。</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 xml:space="preserve">11.巡回检测周期：500MS,巡回检测6次 </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 xml:space="preserve">12.工作温度和湿度：-20~+50°C，95%无冷凝 </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35DECC4">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BADE77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A40F3CA">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52CD6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9A10EA2">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50</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121CE7E">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专业数字播放器</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DC6804A">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1.采用≥3.99英寸LCD屏显示。</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2.支持光盘：CD-ROM/数据光盘、CD-DA/音乐光盘、DVD-ROM/数据型光盘、DVD+R9(DL)刻录光盘。</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3.支持音频格式：MP3、WMA、WAV、FLAC、AIFF、AAC、AMR、M4A、AC3、MIDI、TAK、OGG Vorbis、APE、MP2、M4R、MPC、MMF、TrueHD、RA(RealAudio)、OPUS、MKA、MLP、TTA、DTS、VOC、WV、AU、DFF、DSF、VQF、PVF、CAF、PAF、SF、W64、AVR、RF64、EAC3。</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4.具有≥2组线路输出接口（≥1组主输出，≥1组延时输出），适用外接音频信号放大设备。内置音频延时输出功能，调节范围1ms~100000ms。</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5.可读单分区U盘，支持FAT32、NTFS、exFAT格式。可读单分区SD卡，支持FAT32、exFAT格式。</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BE3B833">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B588EB6">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4EECE67">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34C42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8C5D7D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51</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7DD6D6F">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IP网络音箱</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8D5B374">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1.具备有≥1路线路（AUX）输入接口，具有独立的音量电位器控制。</w:t>
            </w:r>
          </w:p>
          <w:p w14:paraId="06405060">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2.可扩展2.4G无线音频模块，实现2.4G无线麦克风进行本地扩音。</w:t>
            </w:r>
          </w:p>
          <w:p w14:paraId="78687A85">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3.可扩展连接蓝牙接收器实现接收蓝牙音频进行本地扩声。</w:t>
            </w:r>
          </w:p>
          <w:p w14:paraId="0BB8F49F">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4.内置≥2*20W（MAX）功率放大器，≥1路接主音箱，≥1路外接到副音箱。具有网络音量设置功能。</w:t>
            </w:r>
          </w:p>
          <w:p w14:paraId="46777053">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5.内置主备切换模块，断网断电主/备切换时间≤0.3秒，通网上电备/主切换时间≤0.3秒。</w:t>
            </w:r>
          </w:p>
          <w:p w14:paraId="13A41814">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6.具有红外播报本地IP地址功能。</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25267DA">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套</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D801EDA">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84</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B8D6008">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0C536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25D047B">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52</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AA40904">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IP终端</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39B3FD5">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1.2U机架式设计，高性能的网络定压功放，启动时间≤1秒；</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2.支持将网络音频解码成模拟音源，解码完成后可通过外接的功放进行扩音，带本地音频输入功能，1路话筒输入、1路RCA输入、1路网络音频， 各音频通道均有独立的音量调节；</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3.设备具有音量环形指示灯，支持远程或本地音量调节旋钮调节网络通道的输出音量；</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4.支持被广播主机或平台发起实时广播，可对单个通道进行广播；</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5.支持通过6.5 mm、莲花头输入进行实时广播；</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6.内置大容量存储器，支持接收通过管理机或平台远程下发的音频文件、定时广播任务和报警触发任务；</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7.支持离线广播，当网络中断时、可自动开启本地播放；支持网络输入和本地音频输入进行混音支持中心下发报警联动信息、或检测到本地报警输入时，联动输出报警信号、或联动播放指定的音频文件；</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8.内置完备的保护电路，支持短路、超负载线路保护等多种保护功能；</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9.支持通过Web进行参数配置、系统维护等操作；具有红绿双色指示灯，显示设备工作状态；标准RJ45接口，有以太网口地方即可接入，支持跨网段和跨路由。</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2281E95">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83ACCFC">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1E2A7D3">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2AF3F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A216CCB">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53</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1E1CD44">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前置放大器</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2A2BE4F">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1、前置放大器，具有≥5路话筒(MIC)输入，第1路话筒(MIC1)具有优先级。</w:t>
            </w:r>
          </w:p>
          <w:p w14:paraId="1F22628A">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2、设备具有≥3线路标准信号(AUX输入；≥2路EMC线路RCA输入，≥2路EMC话筒MIC输入。</w:t>
            </w:r>
          </w:p>
          <w:p w14:paraId="30696EAC">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3、MIC1和EMC最高优先权限功能可通过拨动开关选择；MIC2、3、4、5和AUX1、2、3可交叉混合输出；</w:t>
            </w:r>
          </w:p>
          <w:p w14:paraId="07996A7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4、话筒(MIC)输入和线路(AUX输入可独立调节，设有总音量调节，高低音调节，具有默音调节和EMC输入增益调节。</w:t>
            </w:r>
          </w:p>
          <w:p w14:paraId="3AF00300">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5、信噪比≥75dB，总谐波失真THD≤1%，频率响应20Hz-20KHz。</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7C44264">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76D42C6">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EE5171D">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174E3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FFF2365">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54</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683EDB2">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纯后级功放</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AE00D0F">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1、1500W纯后级功放D类；</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2、两路线路输入，第二组PIN2可作为输出级联下一台功放。</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3、设有热保护、过流、过压、短路保护等功能。</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4、支持多种指示灯显示（电源、信号、峰值、故障）。</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5、采用风机强制散热结构，可以让机器长时间工作。</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6、本机有热保护、过流、过压、短路保护，开机延时等功能。</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7、信噪比：≥85dB ；</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8、灵敏度（1 m，1 W）：0dB</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9、额定功率：1500W；</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 xml:space="preserve">10、总谐波失真THD：≤0.1% </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11、输出通道功能：定压100V输出 ；</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12、输入电源：100-240V~  50Hz/60Hz</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13、频率响应：80Hz-16KHz ；</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14、工作温度和湿度：-10~ 40℃；20%~ 80%相对湿度</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 xml:space="preserve">15、存储湿度：20%~ 80%相对湿度 </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4D84D90">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145137F">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3B3AA04">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0A945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13CA68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55</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B8D7CC4">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音柱</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EF0E27D">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1．额定功率(100V)：120W</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2．额定功率(70V)：60W</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3．灵敏度≥94dB</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4．频率范围（-10dB）：80-16kHz</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5．最大声压级：113dB</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6．输入接口：2-芯连接线  连接方式：音频线接入  工作电压：100V</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7．防护等级：IP66</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8．喇叭单元：低音扬声器：4  高音扬声器：2</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77DCF43">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只</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B7D867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11522CF">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27361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19C3B1C">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56</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70BD1DB">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IP网络功放终端</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22626E9">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1.设备采用标准≥19英寸机架设计，带有LCD显示屏。</w:t>
            </w:r>
          </w:p>
          <w:p w14:paraId="61AE2395">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2.内置≥1路网络硬件音频解码模块。</w:t>
            </w:r>
          </w:p>
          <w:p w14:paraId="5A7DB596">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3.支持≥1路线路输入和≥1路话筒输入接口，可独立调节音量。</w:t>
            </w:r>
          </w:p>
          <w:p w14:paraId="56513AF7">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4.支持高低音调节电位器控制。</w:t>
            </w:r>
          </w:p>
          <w:p w14:paraId="0A17ECA3">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5.具有≥1路EMC输入接口，具有最高优先级。</w:t>
            </w:r>
          </w:p>
          <w:p w14:paraId="7657CD47">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6.具有≥1路音频输出接口。</w:t>
            </w:r>
          </w:p>
          <w:p w14:paraId="40E50D0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7.具有≥1路三线制强切输出接口，无需强切电源。</w:t>
            </w:r>
          </w:p>
          <w:p w14:paraId="4DC496F3">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8.集成数字功放，功率≥120W；支持定压方式输出。</w:t>
            </w:r>
          </w:p>
          <w:p w14:paraId="0D67280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9.支持通过后台软件对终端进行远程固件升级。</w:t>
            </w:r>
          </w:p>
          <w:p w14:paraId="498558BA">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10.具有≥1路RJ45网络接口，≥100Mbps传输速率。</w:t>
            </w:r>
          </w:p>
          <w:p w14:paraId="7ED498C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11.自带≥1路≥100V定压功率备份输入接口，可组成一主多备、多主一备、多主多备的公共打铃系统。</w:t>
            </w:r>
          </w:p>
          <w:p w14:paraId="3AAEFA14">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color w:val="auto"/>
                <w:sz w:val="24"/>
                <w:szCs w:val="24"/>
                <w:highlight w:val="none"/>
              </w:rPr>
              <w:t>▲</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12.内置主备切换检测模块，断网断电以及本机故障时≤0.3秒内切换到备份功率输入，主备切换过程无卡顿、不掉字。（需提供得到CMA或CNAS认可的检测机构出具的检测报告作为该技术参数证明材料）</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9581D23">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96FA1DE">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7EB6332">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361BC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13BA552">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57</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AD99A2A">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壁挂音箱</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4AE9E24">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 xml:space="preserve">1．额定输入电压（V）：100 V  额定功率：10 W </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2.最大声压级（1 m）：97.5 dBSPL</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3．灵敏度：92dB±3dB</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4．频率响应：200 Hz~15 kHz</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 xml:space="preserve">5．喇叭单元：全频 6.5′′ × 1 </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6．防护等级：IP5X</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5B4CB07">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只</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0CC2CC4">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40</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3CB5B59">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78A1A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9641276">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58</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2D3D90E">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交换机</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8F10B80">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1.固定端口：24个10/100/1000Base-T电口，2个1000Base-XSFP端口</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2.交换容量：52Gbps</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3.转发能力：38.7MppS</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4.模式切换：标准交换，网络克隆，汇聚上联，端囗隔离</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5.MAC表：8K</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6.交换模式：存储转发</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9619054">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75917EB">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0D26B99">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64C7A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041572E">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59</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0C8E15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考场信号屏蔽器</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70CE770">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1.名称:考场信号屏蔽器</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2.规格:1、有效屏蔽移动、联通、电信2G、3G、4G、5G、广电5G、2.4GWIFI、蓝牙、5.8GWIFI等无线通信信号，选配屏蔽5.2GWIFI、对讲机信号；</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2、机器带有双LED液晶显示自动检测系统，开机自动侦测信号，检测机器电压、电流、温度、信号正常与否，并同步显示检测情况；</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3、塑料外壳，内置天线，电源内置，方便移动使用，也可以固定使用；</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4、有效屏蔽距离：1～40米（视现场基站远近、信号强弱而异）；</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5、仪器配置22个信道工作指示灯，可直观查看产品运行工作状态；</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6、完成屏蔽时间≤30 秒；环境温度：-25～+60℃；相对湿度：25～95%；</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7、由最新贴片元件和集成电路组成，性能先进、安装使用简便；</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8、操作简单、即插即用，产品接通电源即可进入工作状态；</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9、绿色环保，电磁场辐射远低于国家标准；</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 xml:space="preserve">10、采用高密度大散热片和多风扇组成高效散热系统，保证性能稳定、安全可靠；                                       </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11、缓启动电路设计可避免机械开关产生的打火现象。</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5251CC5">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402D58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40</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7FE21B8">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5F0A0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9726" w:type="dxa"/>
            <w:gridSpan w:val="5"/>
            <w:tcBorders>
              <w:top w:val="single" w:color="000000" w:sz="4" w:space="0"/>
              <w:left w:val="single" w:color="000000" w:sz="4" w:space="0"/>
              <w:bottom w:val="single" w:color="000000" w:sz="4" w:space="0"/>
              <w:right w:val="single" w:color="000000" w:sz="4" w:space="0"/>
            </w:tcBorders>
            <w:shd w:val="clear" w:color="auto" w:fill="auto"/>
            <w:noWrap w:val="0"/>
            <w:tcMar>
              <w:top w:w="-1" w:type="dxa"/>
              <w:left w:w="-1" w:type="dxa"/>
              <w:bottom w:w="-1" w:type="dxa"/>
              <w:right w:w="-1" w:type="dxa"/>
            </w:tcMar>
            <w:vAlign w:val="center"/>
          </w:tcPr>
          <w:p w14:paraId="346B96AB">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rPr>
                <w:rFonts w:hint="eastAsia" w:ascii="方正仿宋_GB2312" w:hAnsi="方正仿宋_GB2312" w:eastAsia="方正仿宋_GB2312" w:cs="方正仿宋_GB2312"/>
                <w:i w:val="0"/>
                <w:iCs w:val="0"/>
                <w:color w:val="auto"/>
                <w:sz w:val="24"/>
                <w:szCs w:val="24"/>
                <w:highlight w:val="none"/>
                <w:u w:val="none"/>
              </w:rPr>
            </w:pPr>
            <w:r>
              <w:rPr>
                <w:rStyle w:val="37"/>
                <w:rFonts w:hint="eastAsia" w:ascii="方正仿宋_GB2312" w:hAnsi="方正仿宋_GB2312" w:eastAsia="方正仿宋_GB2312" w:cs="方正仿宋_GB2312"/>
                <w:b/>
                <w:bCs/>
                <w:color w:val="000000" w:themeColor="text1"/>
                <w:sz w:val="24"/>
                <w:szCs w:val="24"/>
                <w:highlight w:val="none"/>
                <w:lang w:val="en-US" w:eastAsia="zh-CN"/>
                <w14:textFill>
                  <w14:solidFill>
                    <w14:schemeClr w14:val="tx1"/>
                  </w14:solidFill>
                </w14:textFill>
              </w:rPr>
              <w:t>二、报告厅LED屏</w:t>
            </w: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val="0"/>
            <w:tcMar>
              <w:top w:w="-1" w:type="dxa"/>
              <w:left w:w="-1" w:type="dxa"/>
              <w:bottom w:w="-1" w:type="dxa"/>
              <w:right w:w="-1" w:type="dxa"/>
            </w:tcMar>
            <w:vAlign w:val="center"/>
          </w:tcPr>
          <w:p w14:paraId="3A28D3F4">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rPr>
                <w:rStyle w:val="37"/>
                <w:rFonts w:hint="eastAsia" w:ascii="方正仿宋_GB2312" w:hAnsi="方正仿宋_GB2312" w:eastAsia="方正仿宋_GB2312" w:cs="方正仿宋_GB2312"/>
                <w:b/>
                <w:bCs/>
                <w:color w:val="000000" w:themeColor="text1"/>
                <w:sz w:val="24"/>
                <w:szCs w:val="24"/>
                <w:highlight w:val="none"/>
                <w:lang w:val="en-US" w:eastAsia="zh-CN"/>
                <w14:textFill>
                  <w14:solidFill>
                    <w14:schemeClr w14:val="tx1"/>
                  </w14:solidFill>
                </w14:textFill>
              </w:rPr>
            </w:pPr>
          </w:p>
        </w:tc>
      </w:tr>
      <w:tr w14:paraId="7B377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CC4FF84">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5662850">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室内全彩LED屏</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B25706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1.像素点间距：≤2.5mm，模组尺寸：320mm*160mm，像素密度：≥160000Dots/㎡；</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2.模块级数字校正储存技术，每个基本模块上都装有CPU,将亮度、色度、色温、刷新率、灰度等级等校正数据储存在模块上，更新模块同时也更换了校正数据，彻底消除因更换模块导致的花屏现象；</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3.LED显示屏支持手机远程监测功能，可实时显示屏幕温湿度，支持远程开关显示屏播放系统功能；</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4.灰度处理能力：红、绿、蓝各16384级，支持色彩和亮度自动调整，对色彩及亮度自动调整，保持色彩亮度一致性；</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5.亮度衰减率≤4％/Y；</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6.LED灯内三基色光源采用一字型线性排列，有效扩大屏幕视角范围，确保在可视角度内不发生偏色现象；</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7.支持VGA校正功能，解决模拟信号在传输过程中容易产生的黑边、偏移的问题，可对VGA输入信号产生的黑边及图像偏移进行校正；</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8.支持对图像清晰度、饱和度、色度调节、对比度、亮度进行综合式一键视觉修正；</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9.信噪比≥60dB；</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10.黑屏非均匀性：≤8％；</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11.支持一键自检，实时监控显示屏工作状态，实现远程监督控制，对可能发生的潜在故障记录日志,并向操作员发出警报信号；</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12.LED显示屏具备单电源漏电电流≤0.3mA，杜绝多个电源形成的漏电电流对上级电箱造成跳闸等风险；</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13.防电离辐射≤0.1mR/h；</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14.LED显示屏运行时闪烁值≥-44.3db；</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15.支持信源接入状态显示，可通过物理按键、客户端、遥控器、设备自带Web浏览器进行信源切换；</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16.具备SELV电路，在SELV电路中任何两个导体之间或任何一个这样的导体和地之间的电压的限值为：正常工作条件下，不超过42.4V交流峰值或60V直流值，单一故障条件下，在200ms后不超过42.4V(30V有效值)交流峰值或60V直流值，并且在200ms内其极限值不超过71V(50V有效值)交流峰值或120v直流值；</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17.电源和信号I/O连接均采用高可靠性的防水插头；</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18.散热系数≤200（W/m·K）；</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19.信号衰减≤200mV；</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20.具备OTP power功能，可实现RT检测；</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21.支持颜色增强功能，改善画质，画面变得更加真实；</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22.以上参数提供首页带有“CNAS”和“CMA”标志的检测报告加盖供应商公章，为防止供应商虚假应标，供应商在中标后签订合同时需提供检测报告复印件加盖LED显示屏生产企业公章。</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23.LED显示屏需提供：CCC认证。</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【此开关电源参数仅限同一品牌控标使用，请根据项目情况及自身需要进行选择】</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1.输入电压：176VAC~264VAC，输出电压：4.5V，输出电流：40A；</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2.抗电强度：输入对输出，施加象AC2000V/1min,应无击穿和飞弧现象；输入对地，施加AC1500V/1min,应无击穿和飞弧现象；输出对地，施加AC500V/1min,应无击穿和飞弧现象；</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3.具有功率因数校正功能(PFC),在输入电压为标称值，负载电流分别为100%额定值，功率因数≥98%,转换效率≥90%；50%额定值，功率因数≥96%,转换效率≥88%；20%额定值，功率因数≥80%,转换效率≥82%；</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4.浪涌电流：≤60A/230VAC；</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5.所投开关电源通过电压稳定度试验、稳压范围试验、负载稳定度试验。</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6.以上参数需提供首页具有“CNAS”或“ilac-MRA”标识的第三方权威检测报告并加盖供应商公章。</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7.为保证系统的一致性与稳定性，开关电源必须与LED显示屏为同一品牌，需提供开关电源CCC认证证书复印件加盖供应商公章加以佐证。</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5AEEA35">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m2</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D58EFEE">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62</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D956400">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6620A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31A44B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7D98C3E">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default" w:ascii="方正仿宋_GB2312" w:hAnsi="方正仿宋_GB2312" w:eastAsia="方正仿宋_GB2312" w:cs="方正仿宋_GB2312"/>
                <w:i w:val="0"/>
                <w:iCs w:val="0"/>
                <w:color w:val="auto"/>
                <w:sz w:val="24"/>
                <w:szCs w:val="24"/>
                <w:highlight w:val="none"/>
                <w:u w:val="none"/>
                <w:lang w:val="en-US"/>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台式机</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F3E5E75">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1.CPU 核心参数：采用7nm工艺， 6核12线程，基准频率3.7GHz，最大睿频4.2GHz，TDP 65W，集成显卡基本频率： 1900MHz/8G/256G SSD+1T硬盘/21.5LED显示器</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7288532">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A01AB6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005AA9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仿宋" w:hAnsi="仿宋" w:eastAsia="仿宋" w:cs="仿宋"/>
                <w:i w:val="0"/>
                <w:iCs w:val="0"/>
                <w:color w:val="FF0000"/>
                <w:kern w:val="0"/>
                <w:sz w:val="18"/>
                <w:szCs w:val="18"/>
                <w:highlight w:val="none"/>
                <w:u w:val="none"/>
                <w:lang w:val="en-US" w:eastAsia="zh-CN" w:bidi="ar"/>
              </w:rPr>
              <w:t>按照新管发【2023】61号文件规定：购置价格上限不得超过5000元/台，否则视为无效投标。</w:t>
            </w:r>
          </w:p>
        </w:tc>
      </w:tr>
      <w:tr w14:paraId="7B4E5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5DD9F88">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E5D96BC">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视频处理器</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1755F16">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1.图像开窗功能：支持在输出通道打开一个或多个窗口，显 示图像内容，单屏最多开 8 窗</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2.窗口叠加功能：支持多个窗口以互相叠加的形式显示</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3.窗口漫游功能：支持窗口在多个输出通道的任意位置移 动显示（漫游）</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4.窗口缩放功能：支持窗口大小更改，支持任意长宽比缩放</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5.字符叠加功能：支持在输入通道上叠加任意字符</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6.保存场景功能：支持窗口布局保存至设备</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7.读取场景功能：支持调取预先存好的窗口布局</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8.图像截取功能：支持截取输入图像的局部进行显示</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9.大底图显示：支持超大分辨率底图显示，横纵分辨率最大可达到 32768 像素</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10.支持场景轮巡：支持选择不同场景一键调用轮巡</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11.多用户多权限管理：支持对不同用户设置不同输入输出应用权限</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12.多设备同时管理：同一软件可对多台设备进行控制管理</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13.输入全预览：可对所有输入信号不掉帧视频信号预览</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14.点对点 LED 拼接：支持输出分辨率自定义，输出匹配 LED 显示屏的点对点画面</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15.支持音频解嵌：输入板卡支持音频解嵌，满足 AV 系统对 AUDIO 需求</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16.支持云台控制：通过上位机软件，可对 IP 摄像机进行云台控制</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17.画中画：支持画中画显示</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18.硬件授时：支持设备硬件时钟授时管理，保障设备安全使用</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19.智能开窗：输出可针对输出智能开窗，不需操作员点对点拖动像素点</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20.亮度调节：输出图像可进行亮度调节，实现对不同环境应用的友好交互</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21.第三方串口控制：支持第三方串口控制，可快速对接集成控 制平台</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22.分布式集成：可与分布系统 EMX 控制系统进行集成，可实现本地高清应用与 IP 远程应用实现互联互通</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23.LED 一体集成：LED 发送卡一体集成，减少项目 LED 发送卡与处理器额外连接，节省工程性故障</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24.动态字幕：输出支持动态字幕显示</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25.动态码流适应：回显可根据项目需要进行码流调节，保证不因回显占用系统网络资源</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26.B/S 架构：支持 WEB 端控制</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27.防掉线处理：支持上位机软件长时间不操作后自动与 设备握手，防止掉线</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28.第三方控制集成：支持第三方设备控制集成，实现多机操作 一体化</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29.全屏置顶：支持一键全屏置顶技术，实现全屏显示无 干扰</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30.支持环出：SDI 卡支持本地控制环出</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31.异形拼接：支持不同点间距尺寸、像素点 LED 灯板同 一屏组拼接</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32.帧同步：输入输出帧同步处理，完美支持多屏显示 画面输出</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33.租赁模式：支持设备用时统计，实现设备租赁用时管 理</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34.动态移动：画面可跟随开窗实时移动显示，支持动态 移动实时显示</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35.读取输入信号参 数功能：持对输入信号读取属性指标</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36.支持所有主流信号格式接入：可通过调整输入板卡形式进行接入</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37.信号实时处理功 能：对各个输入通道采用纯硬件处理技术，采 用独享带宽方式 为每个输入通道分配带 宽，切换过程中对其他信号无影响，实现了对输入通道的实时处理功能</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39.图像信号无损实 时传输：图像信号无压缩、无失真实时传输</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40.整墙显示同步功 能：支持整面多行拼接屏的画面同步功能，针 对快速变化的画 面不会出现撕裂、错位 等现象</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41.输出显示一致性：对于输入信号源进行单点采集，采用数字化方式传输及调度，使得各个显示单元间的信号窗口显示一致</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42.预监功能：支持浏览所有输入信号的实时预览画面</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43.回显功能：可在控制端显示整面拼接墙的显示图像</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44.支持拼缝补偿：支持设置拼接屏的拼缝补偿，可精确至 1 像素</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45.RRTA 分辨率实时全兼容：支持 RRTA 分辨率实时全兼容，应能通过 控制软件实现分 成 4 组不同分辨率显示</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46.输出通道宏定义（通道映射）：（通道映射）可设置拼接处理器输出通道与物理显示 设备的逻辑对应 关系</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47.C/S 软件控制：支持外部软件控制</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48.故障检测功能：支持输入信号丢失检测</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49.支持 HDMI 1.4信号输入：信号最大支持 3840x2160@30hz</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50.支持 HDBaseT 信号输入：符合 HDBaseT 标准协议，信号最大支持 1920x1200@60Hz，最大传 输距离 100 米</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51.支持 DisplayPort 信号输入：信号最大支持 3840x2400@30Hz</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52.支持 VGA 信号 输入：信号最大支持 1920x1200@60Hz</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53.支持 YPbPr 信 号输入：信号最大支持 1920x1080@60Hz</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54.支持 DVI 信号 输入：信号最大支持 1920x1200@60Hz</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55.支持 IP H.264信号输：信号最大支持 1920x1080@60Hz</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56.支持 CVBS 信号 输入：支持 NTSC 及 PAL 制式</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57.支持 HDMI 1.3信号输入：信号最大支持 1920x1080@60Hz</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58.支持 SDI 信号 输入：支持 SD/HD/3G-SDI</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59.支持光纤信号输 入：支持光纤信号直接输入设备解码，最大传 输距离 10km</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60.支持光纤信号输 出：支持输出单模光纤信号，最大传输距离 10km</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61.支持 DVI 信号 输出：信号最大支持 1920x1200@60hz</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62.支持 HDMI 1.3信号输出：信号最大支持 1920@1080@60Hz</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63.支持 HDBaseT 信号输出符合 HDBaseT 标准协议，信号最大支持 1920x1200@60Hz，最大传输距离 100 米</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64.单台最大输入路 数：最大可达 72 路输入</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65.单台最大输出路 数：最大可达 72 路输出</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66.输出信号分辨率：2560x1536、2048x1080、1920x1200、1920x1080、1600x1200、1440x900、1366x768、1360x768、1280x800、1280x720、1024x768、800x600</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67.最大单机背板信号处理带宽：468Gbps</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68.图像开窗响应速度：&lt;15ms</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69.场景调取响应速度：&lt;20ms</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70.输入板卡热插拔恢复时间：&lt;2s</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71.输出板卡热插拔恢复时间：&lt;8s</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72.电源冗余及热插 拔功能：电支持冗余电源并且支持热插拔</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73.风扇热插拔功能：风扇板支持热插拔</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74.信号与桌面独立处理：全硬件架构，系统采用嵌入式处理方式， 不受操作系统影响，信号与桌面分别独立处理</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75.软件在线维护 级：支持软件在线维护升级</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76.业务智能恢复功能：输入输出卡更换后无需配置，可自动恢复 至原来正常的工作状态</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77.输出画面帧率可调：可调，最高可达 60 帧/秒</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78.开机时间：10s（启动电源至输出最终画面的时间 间隔）</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79.无缝切换：&lt;20ms</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80.设备采用抗高温 低温设计：工 作 温 度 范 围 可 达 到 -5 ℃~45℃</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81.具备 7x24 小时 连续工作能力：具备长时间连续开机工作的能力</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82.信号显示帧率不 受开窗大小及输 入路数的 限制：输出信号的帧率与开窗大小及输入</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处理 路数无关</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83.PC 客户端支持 Windows 操作系 统</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84.PC 客户端支持 Windows 操作系统</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85.PC 客户端支持麒麟操作系统：PC 客户端支持麒麟操作系统</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86.支持拼接单元控制协议：实现对大屏幕的开关控制</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87.支持移动终端控制：支持多种移动终端软件控制（iPad 软件控制）</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88.支持网络运维管理：支持视频网络运维管理协议，实时监测设 备运行状态。对设备异常情况进行报警。</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89.HDMI/DVI 输出极：限线长输出线长支持≤30m</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90.HDMI/DVI 输入极 限线长：输入线长支持≤30m</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91. 可提供相关资质文件证明：CQC, FCC, CE, RoHS, 授权及售后承诺函，企业资质+相关专利+软件著作权</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400A3C5">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3AA57E9">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FFC94C9">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3BC0BD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E7B447D">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BDF376E">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无缝高清矩阵切换器</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A43E47C">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2U机箱，8*8混合矩阵，产品具有以下特点：</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1.支持HDMI, SVI, SDI, VGA, AV, CVBS, YPBPR, HDBaseT, 光纤信号输入输出</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2.输出支持36种分辨率，支持1080P无缝输出，支持4K无缝出</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3.支持输入信号预览</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4.支持输入输出信号检测</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5.支持EDID, HDCP管理</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6.支持RS232, 按键, TCP/IP控制</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7.支持简单画面拼接</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8.支持输入信号字符叠加</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9.支持场景调用保存</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10.支持B\S架构网页控制</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6E034F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80C5D98">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0652473">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41ABC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1C40826">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ECDDAE0">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高清无缝混插矩阵切换内嵌软件</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6FC75C5">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技术参数：</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1.软件内嵌于高清混插矩阵切换系统，实现各类高清晰数字/模拟信号的处理、切换等功能。</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2.支持分辨率高达4K@60Hz的处理能力。</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3.支持信号无缝切换，切换过程无黑屏信号。</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4.支持通过专业的PC上位机管理软件控制。</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5.通过矩阵切换信号或通过软件切换信号。</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73C154A">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套</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87C7DBD">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742D538">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441D6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A714A3E">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4B4D91D">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HDMI超高清无缝输入卡</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A8166A2">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HDMI单卡4路4K无缝输入板卡：</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1.支持HDMI1.3, HDCP1.4</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 xml:space="preserve">2.最大分辨率支持4096*2160@30HZ </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3.输入支持字符叠加功能（字符大小、颜色、透明度、位置）</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4.支持通过指令调整输入图像亮度、对比度、色度、锐度、色温、比例、模式</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5.支持音频信号独立传输</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DE4F5C6">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块</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8CC62AC">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98127DA">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67DBB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1A8D6F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7</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C2B0E74">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高清矩阵输入板卡内嵌软件</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2D53C72">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技术参数：</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1.软件内嵌于高清矩阵系统板卡设备，实现信号的处理功能。</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2.支持分辨率高达3840×2160P@60Hz的处理能力。</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3.通过矩阵切换信号或通过软件切换信号。</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8045669">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套</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A116969">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E85761C">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5A2DB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B8428A0">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D583E14">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HDMI超高清无缝输出卡</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38DF35E">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HDMI单卡4路4K无缝输出板卡：</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1.支持HDMI1.3, HDCP1.4</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 xml:space="preserve">2.最大分辨率支持4096*2160@30HZ </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3.输出支持8种分辨率</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4.输出支持10米传输距离</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5.支持音频信号独立传输（不接显示屏）</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CE18AFA">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块</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3BA1C0A">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44F2B89">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0511B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607B6DD">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9</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7A4C7AC">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高清矩阵输出板卡内嵌软件</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F7BAF40">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技术参数：</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1.软件内嵌于高清矩阵系统板卡设备，实现信号的处理功能。</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2.支持分辨率高达3840×2160P@60Hz的处理能力。</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3.通过矩阵切换信号或通过软件切换信号。</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471FDBF">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套</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4A8A917">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4E1BE8D">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3F271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8704E2B">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10</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0CE6F3A">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背景音乐系统设备</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D11EEF0">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音箱</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系统类型Sy                                                     stem type：2分频2单元全频箱</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低音LF driver：1×15"</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高音HF driver：1×1.75"</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 xml:space="preserve">频响范围Frequency response(Hz)：45-20KHz </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阻抗Impedance(ohms)：8Ω</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额定功率Rms power (W)：450W</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峰值功率Peak power (W)：1400W</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灵敏度Sensitivity(SPL 1W@1M)：98dB</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最大声压Maximum SPL(dB)：123dB</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 xml:space="preserve">覆盖角度Coverage </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angle(Hx V): 100°×70°</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箱体结构Structure: 高品质中纤板(MDF)</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箱体表面处理Finish: 黑色点漆</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连接器Connector ：2 x Speakon NL4</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净重 Net weight(Kg):22Kg</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箱体尺寸Box size(高H*宽W*深D）mm：680x412x445mm</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3CD14C6">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229E2EF">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8758654">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7BCEE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8AFFDEF">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11</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1FD93F9">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背景音乐系统设备</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3723465">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MA系列四通道功放</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主声道8Ω*：800w×4；</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频响：20~20kHz(-0.5dB);</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总谐波失真：&lt;0.05;</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信噪比：&gt;90dB;</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阻尼系数：&gt;400;</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输入灵敏度：32dB/1v/1.4v;</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输入阻抗：20k/10k;</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电压增益：32dB;</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产品尺寸：483x430x88;</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5B354C6">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A802617">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817B5DF">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31DEC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E5B4EC3">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12</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62D990C">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背景音乐系统设备</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9991565">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2进2出会议反馈抑制器</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1数字处理反馈抑制器，采用专业32bit 浮点运算双 DSP处理器快速检测并抑制啸叫.</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2:2.0寸TFT彩屏，中英文可选；</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3:24BIT高性能A/D及D/A转换；</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 采用双DSP设计，内置18段A、B双通道高精度数字限波器，可精准找到啸叫的频率点而将其消除，同时兼具自动移相移频功能，不变声.</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 双12段参量均衡，高低通分频，粉红噪声检测.对不同的环境声学环境缺陷进行修正。</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6:噪声门功能：-99dB--30 dB门限值可以调整</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7:输入压缩功能，消除反馈同时更可扩展人声动态；</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8:每通道输入增益-80dB到0dB；</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9: 12个场景保存调用功能，可保存和调用12个场景的12段均衡和啸叫抵制滤波器的参数，下次开机，会自动调用</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10：USB通讯接口，可以联接上位机调试各功能参数调试</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技术参数：</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2-XLR和2-TRS 平衡或非平衡输入方式</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输入阻抗 平衡：30K，非平衡：15K</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最大输入电平    8V(VPP)</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2-XLR和2-TRS 平衡或非平衡输出方式</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输出阻抗 平衡：150欧，非平衡： 300欧</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最大输出电平 4V(VPP)</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动态范围 &gt;100dB（A计权</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失真度 0.005%（+ 4dBu, 1kHz）</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频率响应   +/- 0.5dB （20Hz-20kHz）</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通道分离度 &gt;90dB</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电源 AC850-240V/50-60Hz</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电源消耗 &lt;20W</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体积（宽X深X高） 480*220*44MM</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毛重 3.3KG</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37BD4F0">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7B930D3">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33BF7A7">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6FDDA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EFE8BDC">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13</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34A7BEF">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背景音乐系统设备</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1718692">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4进8出音频处理器</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4个输入/ 8输出的数字信号处理器， 通过前面板界面上的具体功能按钮，调整所有控制参数，消除隐藏子菜单。白色背光2x20特性LCD显示通道和功能设置。相关具体按钮可访问所有音频功能和系统工具。更快捷设置和强大的可视输入/输出路由，EQ，滤波曲线系统，1个USB接口和RS-232接口可用于控制软件和PC连接。在音频路由与控制处理方面非常的直观。</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 xml:space="preserve"> 4.8SP采用先进的高性能DSP处理器，输入采用24 bit，48kHz的AKM  A / D转换器。数字处理包括：增益、极性转换、参量均衡器、棚架滤波器、时间延时、分频功能、压缩、限制和信号路由，D / A转换器使用24位delta-sigma转换器。</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每路输入可控制增益、延迟和六个滤波器（您所选择的每一个参数，高或低棚架） 。除了设定分频点，每个输入可被分配到任何一个或一组输出，可以设置四个参数，高或低棚架滤波器，延迟调整，输出增益，极性和压缩器/ 限制器对扬声器的保护。</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4.8SP可存储多达30个预置。预设文件完全存储当前所有通道的所有控制数据。</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41474D0">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849FA57">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AF68435">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27861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2FD15D2">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14</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D0BF76C">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背景音乐系统设备</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4317D37">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12路调音台</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单声输入</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 xml:space="preserve">通道3段均衡加中频可选 </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二组编组，三组输助输出，一组返回</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100MM高精度对数式衰减推子</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256/24Bit DSP效果器</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9段主控均衡</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一组立体声输出</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+48V幻象电源</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USB录音，播放功能</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通道哑音功能</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30165EC">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F16C5D4">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6AFB712">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706D4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44616F2">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15</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4576567">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背景音乐系统设备</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7242920">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电源时序器</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 面板颜色：铝银色面板</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 电力输入条件(单相3线)：AC90-240V 50-60HZ两相（三线：零，火，地）</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 通道数量：8路万用插座继电器受控与2路万用插座直接输出</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 继电器受控输出最大承受单路功率/总功率(无功功率）：2000W/6000W最大承受无功功率</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 输出电源插座规格：阻燃ABS材料，最大可承受13A电流磷铜材质，标准万用插座</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 功能特点：1.顺序开启逆序关闭 2.精准电压显示</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7 每路开关间隔时间/定时时间：1.5秒</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 输出继电器触点电流：30A 277VAC</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9 电路板规格：双面纤维板，主电源走线二次加厚加粗处理</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10 供电规格：开关电源适用全球电压AC90-260V 50-60HZ</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11 主电缆线规格：3*4平方电缆线，总长度为1米（配电源输入插头）</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12 开启类型：圆型钢开关</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13 功能显示电压显示表类型：大屏显示液晶电压表（蓝底黑字）</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15 机身尺寸：:长480MM * 宽186MM * 高48MM（非标准1U）</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16 单机包装尺寸：长555MM * 宽260MM * 高85MM(彩印盒）</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17 数量总重量与外包装尺寸：1件5台装共15.5KG，外包装尺寸：长562MM * 宽274MM * 高450MM</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18 总重量（含包装）：2.8KG</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DE5C6C9">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561D50A">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4C806B4">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784FD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CDF8C56">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16</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77256A4">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背景音乐系统设备</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662AB67">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真分集一拖二</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接收机技术参数</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 金属外壳的1U标准机柜设计结构，双通道接收；</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 采用纯自动选讯（真正分集）接收方式，不但接收距离远，而且能消除接收断音；</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 具有先进的频率自动扫描功能（Auto Scan），可以在工作的环境中快速搜寻并锁定不受干扰的频率；</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 红外线数据自动同步功能（SYNC）；</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 采用特性最稳定的锁相环回路合成调谐器（PLL），可有效阻隔环境中的嘈杂射频干扰；</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 200个UHF可选频道，与工厂预设的互不干扰的32个频组；</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7. OLED屏幕，没有视觉，任何角度都能清晰显示系统资料；</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 平衡式XLR输出和非平衡式6.3mm (1/4”)输出；</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9. 专为舞台演出而设计，具有话音高保真、功能特强大、特性最稳定的专业品质。</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机箱规格: EIA 标准 1U</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通道组数:双通道</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频率稳定性: ± 0.005% ，PLL 鎖相回路頻率控制</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载波频段: UHF620-850 MHz</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调制方式: FM</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 xml:space="preserve">工作有效距离: 300米 typical </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振荡方式: PLL相位锁定频率合成</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灵敏度: 5dBμV, S/N&gt;60dB at 25 deviation</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频带宽度: 40MHz</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最大偏移度S/N: ＞108dB</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综合T.H.D. : ＜0.4% @ 1KHz</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综合频率响应:: 65Hz～18KHz ± 3dB</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供电: 100-240V AC50/60 Hz, 10W</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发射器技术参数</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 采用超宽频120MHz，以特性稳定而又有出色话音表现的标准设计的演出话筒；</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 音频讯号具有平稳及宽广的频率响应曲线；</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 音头模组分离式设计、可选配其它的音头组件；</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 OLED屏幕，没有视觉，任何角度都能清晰显示频道及电池电量；</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 红外线数据同步功能，能自动、快速及精确地与接收机对频；</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6.智能电池欠压预警显示</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7.动态音频压缩及自动电平控制电路</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8.使用电池：2节AA电池-可连续使用约8小时</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88622BB">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E4B8AD4">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03C2576">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5E4B0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843094F">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17</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0288F2B">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背景音乐系统设备</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9F4EF48">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数字会议主机</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系统主机</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主要功能特点</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1.一拖无限个会议单元</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2.单元位置可预设视像跟踪功能，一台主机可直接1台高清摄像云台，接多台摄像云台配视频距阵</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3.单元可设主席和列席</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4.无线主控机采用5寸触控显示屏，简洁时尚</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 xml:space="preserve">5.单元采用3寸TFT高清彩色显示屏 </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6.设有自动扫频功能主机雷达扫描周边环境无线电波自动选择一个没有干扰的频率使用</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7.实时语音录音方便回放</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8.无线对频技术，会议单元随时可增加数量</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9.会议模式（主席优先/轮替模式/限制模式）</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10.语音智能视像跟踪功能准确快速拍摄到发言中的会议成员</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11.5G通讯超算处理器实现语音切换零延时</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12.分集式语音接收更稳定距离更远</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13.内置7段EQ调节，更好应对每一个场合所需要的音色</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接收机参数:</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主机工作电压：DC-12V2A</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工作电流：2000mAh</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功耗：24W</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显示屏：5寸TFT触摸屏</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wifi通信通道：60个</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射频载波范围： 615-695MHZ</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工作距离：120M</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制式：FM</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导频方式：数字导频</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最大频道数：520</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 xml:space="preserve">系统兼容性：30台同时使用                                                       </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频率响应：50HZ - 15KHz (±3db)</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动态范围：&gt; 110db</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系统失真/总谐波失真THD：&lt; 0.5%</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信噪比：S/N&gt; 100db（A）</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射频灵敏度： -98dbm for 30db S/N Ratio</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镜像抑制：&gt; 75db</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输出接口： (XLRx1)/(1/4-inch connector×1)</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音频输出水平： (XLR:+10dbV) / (1/4-inch connector:+8dbV)</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输出阻抗： (XLR:3KΩ) / (1/4-inch connector:3KΩ)</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显示方式：LEDx1</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电源要求： 12V/2A</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工作温度范围：-15--50 ℃</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接收灵敏度：-105dBM</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 xml:space="preserve">失真度THD：&lt;0.01% </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音频输出电压：0.3V</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邻频干扰抑制：&gt;60dB</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通信接口：RCS232/RCS485</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支持摄像机协议：VISCA/PELCOD/PELCOP</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14AA98F">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3D99E1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6C658C6">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43CCA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26CE253">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18</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030AC7A">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背景音乐系统设备</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2B88C5A">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主席单元（金属座 锂电池 方管）</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拾音器类型：电容/柱极体（双电容咪芯）</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咪芯指向性：心形指向</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拾音灵敏度：&gt;-20dBM（1V）</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发射功率：&gt;+10dBM(10mWH)</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麦克风功耗：110mHA</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有效距离：无障碍直线120米</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音频响应：50HZ—18KHZ</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 xml:space="preserve">频率稳定度：+-0.001% </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 xml:space="preserve">防手机电磁波：有 </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增益：10db</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输入阻抗：5KΩ</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射频输出功率：30mW</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副波抑制：&gt; 50db</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导频：数字导频</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显示方式：LCD（3.5寸显示屏）</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供电方式：1.5V*3(AA)或2000mAh锂电池/3.7V</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电池寿命：&gt; 8小时/ 以1800mAH计算</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拾音有效距离：50cm</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工作频率:610-780MHz采用微电脑CPU控制</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频率稳定度：±0.002%</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FM最大调制频率偏: ±45KHz</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通讯指令：采用微电脑CPU控制</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电量提醒：智能电池欠压预警显示</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电路指标：PLL锁相环频率合成技术动态音频压缩及自动电平控制电路</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杂讯锁定静噪控制+音码导航锁定静噪控</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8088116">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F404036">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B2D5B8D">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77572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5550F16">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19</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DD00090">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背景音乐系统设备</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1745A28">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代表单元（金属座 锂电池 方管）</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主席/代表单元参数：</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拾音器类型：电容/柱极体（双电容咪芯）</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咪芯指向性：心形指向</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拾音灵敏度：&gt;-20dBM（1V）</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发射功率：&gt;+10dBM(10mWH)</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麦克风功耗：110mHA</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有效距离：无障碍直线120米</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音频响应：50HZ—18KHZ</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 xml:space="preserve">频率稳定度：+-0.001% </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 xml:space="preserve">防手机电磁波：有 </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增益：10db</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输入阻抗：5KΩ</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射频输出功率：30mW</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副波抑制：&gt; 50db</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导频：数字导频</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显示方式：LCD（3.5寸显示屏）</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供电方式：1.5V*3(AA)或2000mAh锂电池/3.7V</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电池寿命：&gt; 8小时/ 以1800mAH计算</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拾音有效距离：50cm</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工作频率:610-780MHz采用微电脑CPU控制</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频率稳定度：±0.002%</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FM最大调制频率偏: ±45KHz</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通讯指令：采用微电脑CPU控制</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电量提醒：智能电池欠压预警显示</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电路指标：PLL锁相环频率合成技术动态音频压缩及自动电平控制电路</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杂讯锁定静噪控制+音码导航锁定静噪控</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8C6648A">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09425DE">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93A40FF">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6C519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EB45B2D">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20</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A7FDB95">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背景音乐系统设备</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B51E65A">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机柜</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2000×600×600规格</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可同时放置功放、调音台、话放等多种专业音频设备</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1D2FDFA">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1176325">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8CAFBCA">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575AC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7CD402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21</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2727839">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射频同轴电缆</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0A0D3F0">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无氧铜音箱线</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1.规格：500芯</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9F1880A">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m</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0D8B377">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400</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01A7B0F">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21E11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9FCAB77">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22</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196D5FD">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配电柜</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094D8C8">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1.额定功率：≥40kW，输出路数：≥12路</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2.输入电压：三相五线制AC380V±10%，频率50Hz±5%，具有高温断电、浪涌、短路、过流、过载保护功能；</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3.输出电压：单相三线制AC220V±10%；</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4.内置避雷器，具有避雷防雷功能；</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5.配电柜含多功能卡控制，具有远程控制功能、RS232串口或千兆网口通信；</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6.通过LED显示屏智慧控制系统软件搭配多功能卡实现电源监视、温度监控操作；</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2468296">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136A7F8">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628257F">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37F85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34503C6">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23</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8B9C713">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背景音乐系统调试</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01715EE">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1.音响设备系统调试</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br w:type="textWrapping"/>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2.整个演出播放系统调试</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A924779">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系统</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4648E17">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46EBA8D">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4D16A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C6A17D3">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24</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A3FB975">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包装材料</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83B954D">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1.8mm胶合免熏蒸木箱</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080FD62">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m2</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D01EE80">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sz w:val="24"/>
                <w:szCs w:val="24"/>
                <w:highlight w:val="none"/>
                <w:u w:val="none"/>
              </w:rPr>
            </w:pP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62</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D12FAA8">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p>
        </w:tc>
      </w:tr>
      <w:tr w14:paraId="26789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9726" w:type="dxa"/>
            <w:gridSpan w:val="5"/>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4CC9B50">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方正仿宋_GB2312" w:eastAsia="方正仿宋_GB2312" w:cs="方正仿宋_GB2312"/>
                <w:b/>
                <w:bCs/>
                <w:i w:val="0"/>
                <w:iCs w:val="0"/>
                <w:color w:val="auto"/>
                <w:kern w:val="0"/>
                <w:sz w:val="24"/>
                <w:szCs w:val="24"/>
                <w:highlight w:val="none"/>
                <w:u w:val="none"/>
                <w:lang w:val="en-US" w:eastAsia="zh-CN" w:bidi="ar"/>
              </w:rPr>
              <w:t>三、中小学双师课堂终端设备</w:t>
            </w:r>
          </w:p>
        </w:tc>
        <w:tc>
          <w:tcPr>
            <w:tcW w:w="563"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5433DE6">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b/>
                <w:bCs/>
                <w:i w:val="0"/>
                <w:iCs w:val="0"/>
                <w:color w:val="auto"/>
                <w:kern w:val="0"/>
                <w:sz w:val="24"/>
                <w:szCs w:val="24"/>
                <w:highlight w:val="none"/>
                <w:u w:val="none"/>
                <w:lang w:val="en-US" w:eastAsia="zh-CN" w:bidi="ar"/>
              </w:rPr>
            </w:pPr>
          </w:p>
        </w:tc>
      </w:tr>
      <w:tr w14:paraId="4DFEB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755CAA6">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1</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08929D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课堂终端</w:t>
            </w:r>
            <w: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t>★</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D7CB45F">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宋体" w:eastAsia="方正仿宋_GB2312" w:cs="宋体"/>
                <w:i w:val="0"/>
                <w:iCs w:val="0"/>
                <w:color w:val="000000"/>
                <w:kern w:val="0"/>
                <w:sz w:val="24"/>
                <w:szCs w:val="18"/>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1.名称:课堂终端</w:t>
            </w:r>
          </w:p>
          <w:p w14:paraId="1D227A5F">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宋体" w:eastAsia="方正仿宋_GB2312" w:cs="宋体"/>
                <w:i w:val="0"/>
                <w:iCs w:val="0"/>
                <w:color w:val="000000"/>
                <w:kern w:val="0"/>
                <w:sz w:val="24"/>
                <w:szCs w:val="18"/>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2.功能:▲1、摄录一体化设计高清终端；嵌入式架构，支持高清摄像、自动跟踪、视音频互动、直播、音频编码等功能，采用全景、云台双镜头，提供有效的检测/检验报告证明。</w:t>
            </w:r>
          </w:p>
          <w:p w14:paraId="5049BC6E">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宋体" w:eastAsia="方正仿宋_GB2312" w:cs="宋体"/>
                <w:i w:val="0"/>
                <w:iCs w:val="0"/>
                <w:color w:val="000000"/>
                <w:kern w:val="0"/>
                <w:sz w:val="24"/>
                <w:szCs w:val="18"/>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2、支持第二路外接摄像机输入，支持 4K画质显示输出；</w:t>
            </w:r>
          </w:p>
          <w:p w14:paraId="6B4120AE">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宋体" w:eastAsia="方正仿宋_GB2312" w:cs="宋体"/>
                <w:i w:val="0"/>
                <w:iCs w:val="0"/>
                <w:color w:val="000000"/>
                <w:kern w:val="0"/>
                <w:sz w:val="24"/>
                <w:szCs w:val="18"/>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3、支持编解码，实时分辨率（接收）4K(3840×2160) /30，SSD256G; 1080p/60、1080p/30，向下兼容；实时分辨率（发送）1080p/60、1080p/30，向下兼容；</w:t>
            </w:r>
          </w:p>
          <w:p w14:paraId="0ECF60B4">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宋体" w:eastAsia="方正仿宋_GB2312" w:cs="宋体"/>
                <w:i w:val="0"/>
                <w:iCs w:val="0"/>
                <w:color w:val="000000"/>
                <w:kern w:val="0"/>
                <w:sz w:val="24"/>
                <w:szCs w:val="18"/>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4、网络：内置自适应 10/100/1000Mbps 以太网卡；</w:t>
            </w:r>
          </w:p>
          <w:p w14:paraId="52FD1C1E">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宋体" w:eastAsia="方正仿宋_GB2312" w:cs="宋体"/>
                <w:i w:val="0"/>
                <w:iCs w:val="0"/>
                <w:color w:val="000000"/>
                <w:kern w:val="0"/>
                <w:sz w:val="24"/>
                <w:szCs w:val="18"/>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5、输入输出支持转接3.5mm音频接口，支持USB2.0、3.0 A型接口，支持双向音频数据传输。</w:t>
            </w:r>
          </w:p>
          <w:p w14:paraId="625DAA95">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宋体" w:eastAsia="方正仿宋_GB2312" w:cs="宋体"/>
                <w:i w:val="0"/>
                <w:iCs w:val="0"/>
                <w:color w:val="000000"/>
                <w:kern w:val="0"/>
                <w:sz w:val="24"/>
                <w:szCs w:val="18"/>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6、支持UVC/UAC协议，输出音视频供第三方视频会议等软件</w:t>
            </w:r>
          </w:p>
          <w:p w14:paraId="01821416">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宋体" w:eastAsia="方正仿宋_GB2312" w:cs="宋体"/>
                <w:i w:val="0"/>
                <w:iCs w:val="0"/>
                <w:color w:val="000000"/>
                <w:kern w:val="0"/>
                <w:sz w:val="24"/>
                <w:szCs w:val="18"/>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7、支持自适应回声消除和自动增益控制；</w:t>
            </w:r>
          </w:p>
          <w:p w14:paraId="750A0DB7">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宋体" w:eastAsia="方正仿宋_GB2312" w:cs="宋体"/>
                <w:i w:val="0"/>
                <w:iCs w:val="0"/>
                <w:color w:val="000000"/>
                <w:kern w:val="0"/>
                <w:sz w:val="24"/>
                <w:szCs w:val="18"/>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8、▲图像传感器：传感器有效像素大于1000万，视频格式；H.264/H.265:4K画质,视频通讯协议支持UVC；提供有效的检测/检验报告证明。</w:t>
            </w:r>
          </w:p>
          <w:p w14:paraId="54E42CA8">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宋体" w:eastAsia="方正仿宋_GB2312" w:cs="宋体"/>
                <w:i w:val="0"/>
                <w:iCs w:val="0"/>
                <w:color w:val="000000"/>
                <w:kern w:val="0"/>
                <w:sz w:val="24"/>
                <w:szCs w:val="18"/>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9、镜头支持光学变焦，视角大于110°；</w:t>
            </w:r>
          </w:p>
          <w:p w14:paraId="0F2D4990">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10、云台支持水平转动大于150°，支持俯仰转动°，水平转动"</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98090D8">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7B7C3B7">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3</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3D7806A">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default" w:ascii="方正仿宋_GB2312" w:hAnsi="宋体" w:eastAsia="方正仿宋_GB2312" w:cs="宋体"/>
                <w:i w:val="0"/>
                <w:iCs w:val="0"/>
                <w:color w:val="000000"/>
                <w:kern w:val="0"/>
                <w:sz w:val="24"/>
                <w:szCs w:val="18"/>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核心产品</w:t>
            </w:r>
          </w:p>
        </w:tc>
      </w:tr>
      <w:tr w14:paraId="4F15C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A24294C">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2</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C14687E">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高清摄像头</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C583BF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1.名称:高清摄像头</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2.规格:1、采用双目摄像设计，有效像素不低于800万，最大可提供4KP30/25 图像编码输出，同时向下兼容1080p，720p 等分辨率；</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2、水平转动范围达±155°，支持自动对焦；</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 xml:space="preserve">3、支 持 POC（Power Over Cable） 或 POE（Power Over </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Ethernet）一线通功能，电源、视频、音频、控制三线合一；</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4、支持自动跟踪技术，对人物移动的画面跟踪拍摄，包括水平运动、俯仰运动、变焦、聚焦四维实时跟踪。</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5、视频输出口：RJ45≥1、HDMI≥1。</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6、支持H.265、H.264高清视频编码协议。</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1741F40">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78D0879">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3</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A03082C">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宋体" w:eastAsia="方正仿宋_GB2312" w:cs="宋体"/>
                <w:i w:val="0"/>
                <w:iCs w:val="0"/>
                <w:color w:val="000000"/>
                <w:kern w:val="0"/>
                <w:sz w:val="24"/>
                <w:szCs w:val="18"/>
                <w:highlight w:val="none"/>
                <w:u w:val="none"/>
                <w:lang w:val="en-US" w:eastAsia="zh-CN" w:bidi="ar"/>
              </w:rPr>
            </w:pPr>
            <w:r>
              <w:rPr>
                <w:rFonts w:hint="eastAsia" w:ascii="仿宋" w:hAnsi="仿宋" w:eastAsia="仿宋" w:cs="仿宋"/>
                <w:i w:val="0"/>
                <w:iCs w:val="0"/>
                <w:color w:val="FF0000"/>
                <w:kern w:val="0"/>
                <w:sz w:val="18"/>
                <w:szCs w:val="18"/>
                <w:highlight w:val="none"/>
                <w:u w:val="none"/>
                <w:lang w:val="en-US" w:eastAsia="zh-CN" w:bidi="ar"/>
              </w:rPr>
              <w:t>按照新管发【2023】61号文件规定：购置价格上限不得超过6000元/台，否则视为无效投标。</w:t>
            </w:r>
          </w:p>
        </w:tc>
      </w:tr>
      <w:tr w14:paraId="7B63F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B67CAB5">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3</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322FE1A">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音频处理器</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0E0E834">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1.名称:音频处理器</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2.规格:1、内置功放功能，支持直接对接无源扬声器进行扩音；</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2、具备一键调试功能：短按一下主机上的复位键，根据检测的声场数据，麦克风和音箱的数据自动配置相应的设备参数模板；</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3、≥4路输入，支持软硬件48V幻象供电开启关闭；</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4、≥4路输出，支持软硬件48V幻象供电开启关闭；</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5、支持智能混音、抗混响功能、回声消除、AGC功能；</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6、频率响应：20-20KHz。</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7、THD+N：≤0.005 。</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8、动态范围：≥100dB。</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7042A68">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9EF026E">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3</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67082EF">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宋体" w:eastAsia="方正仿宋_GB2312" w:cs="宋体"/>
                <w:i w:val="0"/>
                <w:iCs w:val="0"/>
                <w:color w:val="000000"/>
                <w:kern w:val="0"/>
                <w:sz w:val="24"/>
                <w:szCs w:val="18"/>
                <w:highlight w:val="none"/>
                <w:u w:val="none"/>
                <w:lang w:val="en-US" w:eastAsia="zh-CN" w:bidi="ar"/>
              </w:rPr>
            </w:pPr>
          </w:p>
        </w:tc>
      </w:tr>
      <w:tr w14:paraId="30988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FE8AEAD">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4</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164B42E">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吊顶式指向性麦克风</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9BEAAF5">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1.名称:吊顶式指向性麦克风</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2.规格:一套4个吊顶式指向性麦克风</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1. 单体：背极式驻极体</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2. 指向性：超心型</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3. 频率响应：40Hz—16kHz</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4. 低频衰减：内置</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5. 灵敏度：-29dB±3dB</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6. 输出抗阻：≥500</w:t>
            </w:r>
            <w:r>
              <w:rPr>
                <w:rFonts w:hint="default" w:ascii="方正仿宋_GB2312" w:hAnsi="Calibri" w:eastAsia="方正仿宋_GB2312" w:cs="Calibri"/>
                <w:i w:val="0"/>
                <w:iCs w:val="0"/>
                <w:color w:val="000000"/>
                <w:kern w:val="0"/>
                <w:sz w:val="24"/>
                <w:szCs w:val="18"/>
                <w:highlight w:val="none"/>
                <w:u w:val="none"/>
                <w:lang w:val="en-US" w:eastAsia="zh-CN" w:bidi="ar"/>
              </w:rPr>
              <w:t>Ω</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7. 最大声压级：≥130dB</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8. 信噪比：≥70dB</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9. 动态范围：≥106dB</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10. 使用电源：48V 幻象电源（48V DC）</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201D7E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套</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102BED5">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3</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76DB02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宋体" w:eastAsia="方正仿宋_GB2312" w:cs="宋体"/>
                <w:i w:val="0"/>
                <w:iCs w:val="0"/>
                <w:color w:val="000000"/>
                <w:kern w:val="0"/>
                <w:sz w:val="24"/>
                <w:szCs w:val="18"/>
                <w:highlight w:val="none"/>
                <w:u w:val="none"/>
                <w:lang w:val="en-US" w:eastAsia="zh-CN" w:bidi="ar"/>
              </w:rPr>
            </w:pPr>
          </w:p>
        </w:tc>
      </w:tr>
      <w:tr w14:paraId="73C34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CD94C3E">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5</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EDB14D5">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OPS模块</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DA7BE65">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1.名称:OPS模块</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2.规格:1.可插拔电脑模块，无需工具即可快速拆卸模块。内置风扇，配置散热孔，内置电脑噪声声压等级不超过20dB。</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2.供电保护：电脑模块未固定完全插入插槽时，无法向电脑模块供电。</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3.WiFi和蓝牙：内置电脑具备WiFi6和蓝牙5.2功能，集成10/100/1000M以太网卡。</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4.OPS采用符合Intel标准协议的80pin OPS接口。</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5.CPU型号≥i5-12代或以上。RAM≥8G DDR4，ROM≥256G固态。</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6.具备标准PC防盗锁孔，确保电脑模块安全防盗。</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7.具有独立非扩展的接口，USB≥6，Type-C≥1，mic in≥1，line out≥1，HDMI OUT≥1，RJ45≥1。</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4D81EDB">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347BC0E">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3</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0E9B534">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宋体" w:eastAsia="方正仿宋_GB2312" w:cs="宋体"/>
                <w:i w:val="0"/>
                <w:iCs w:val="0"/>
                <w:color w:val="000000"/>
                <w:kern w:val="0"/>
                <w:sz w:val="24"/>
                <w:szCs w:val="18"/>
                <w:highlight w:val="none"/>
                <w:u w:val="none"/>
                <w:lang w:val="en-US" w:eastAsia="zh-CN" w:bidi="ar"/>
              </w:rPr>
            </w:pPr>
          </w:p>
        </w:tc>
      </w:tr>
      <w:tr w14:paraId="3F203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697685E">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6</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F87F9B5">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智能大屏（不含OPS）</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7C93534">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1.名称:智能大屏（不含OPS）</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2.规格:1.外观结构：整机采用一体化设计，外部无任何可见内部功能模块的连接线；全金属背板，边角采用弧形设计，表面无尖锐边缘或凸起；前置端子接口边缘无棱角、无毛刺。</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2.液晶屏参数：液晶屏显示尺寸≥86英寸；LCD背光源：DLED；显示比例：16:9；水平、垂直可视角度≥178°；图像分辨率≥3840×2160；灰阶等级≥256级，液晶屏达到A级标准；整机支持1.07B(10bit)色深，显示色彩过渡自然。</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3.玻璃工艺：采用≤3mm厚防眩光钢化玻璃，具有防飞溅功能，玻璃破碎不会溅出伤人，玻璃表面硬度≥9H，莫氏硬度≥8级，透光率≥95%，雾度≤5%，光泽度≥79，反射率≤1%。</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4.全贴合触控显示：采用全贴合工艺，无可见金属网丝，书写无悬空感，触控无偏移，侧视无重影。</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5.抗光强度：在照度400Klux环境下正常工作。</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6.操作系统：整机自带安卓系统，安卓版本≥Android14 ，与可插拔式电脑系统形成双系统；RAM≥4G，ROM≥32G；整机适配国产化芯片， 4核CPU，2核GPU,共6核。</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7.具备抗干扰驱动算法，可减少安装施工误差导致的触控不灵敏、跳点等问题。</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8.触摸屏通道切换速度：触摸屏切换到内部通道后在1s内达到可触摸状态。触摸屏切换到外部通道后在3s内达到可触摸状态</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9.显示性能：对比度≥5000:1；色域覆盖率（NTSC）≥95%；色域覆盖率（sRGB）≥130%；整机待机状态下节能≥99.8%；亮度均匀性≥90%；产品使用时屏幕亮度≥300cd/㎡；待机功率≤0.5W。</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10.高清显示：使用ISO12233标准分辨率测试卡的4K显示分辨率≥1800线。</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11.硬件低蓝光背光技术：整机采用硬件低蓝光背光技术，采用低蓝光护眼LED灯珠，从源头减少有害蓝光波段能量。蓝光占比(有害蓝光415~455nm能量综合)/(整体蓝光400~500能量综合)≤30%，低蓝光保护显示不偏色，不泛黄。</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12.直流无频闪调光：整机采用直流无频闪DC调光技术，消除闪烁在人眼观看显示器时带来的疲劳感。</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13.符合闪烁和蓝光防护标准要求：无可察觉的闪烁，符合GB/T 18910.61标准，闪烁等级≤-65dB（60Hz）；蓝光防护符合IEC/TR 62778标准，等级为RG0级。</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14.响应时间: 首点响应时间≤4ms，连续响应时间≤2ms，书写延迟≤10ms。</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15.信号指示灯: 整机具备设备状态指示灯，可通过指示灯的颜色判断OPS电脑和整机的工作状态，待机时显示红色，整机工作时显示蓝色，电脑工作时显示绿色。</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16.支持格式：图片格式支持：JPEG、BMP、PNG；图像格式支持：PAL/SECAM/NTSC；音频格式支持：MP3,ogg,m4a,wav,flac,aa，视频格式支持：MPEG1、MPEG2、MPEG4、H.264、H.265、AVS、VP9、FLV 、RMVB、AVI、FLV；支持PPT、word、PDF、Excel格式文档。</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17.高清编解码：整机产品支持纯硬件高清解码技术，支持H.265 解码（高效视频编码(HighEfficiency Video Coding)）；可无损播放4K片源；支持 4K(3840×2160)超高清视频。</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18.整机扬声器在100%音量下，可做到1米处声压级≥91dB，10米处声压级≥85dB，响度差距≤6dB。</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19.内置摄像头：内置≥3200万像素摄像头，支持拍摄≥6528*4896分辨率照片，对角线视场角≥141°，支持3D降噪，便于教室拍照、师生画面采集。</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20.环境色温感知：摄像头支持环境色温监测，能感知周围环境色温，匹配最佳色温显示效果。</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21.内置麦克风：内置≥8路麦克风阵列，支持≥14m拾音，支持抗混响、噪声抑制、自动增益控制、远程回声消除等功能，180°广角拾音，方便对课堂音频进行采集；内置防啸叫电路，麦克风与喇叭单元啸叫距离≤20cm，有效抑制自激啸叫声。</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22.拍照和录像：整机支持拍照和录像，拍照支持延时拍照，可分别选择3s、6s、10s进行延时拍照。拍照支持快门声音开启关闭。拍照后可保存本地，也可一键二维码分享照片。</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23.扩音功能：整机本身支持扩音功能，无需外接音响，连接无线麦克风可通过大屏扩音，延时≤30ms。</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3CC9913">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5E3852F">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6</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A0760EA">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宋体" w:eastAsia="方正仿宋_GB2312" w:cs="宋体"/>
                <w:i w:val="0"/>
                <w:iCs w:val="0"/>
                <w:color w:val="000000"/>
                <w:kern w:val="0"/>
                <w:sz w:val="24"/>
                <w:szCs w:val="18"/>
                <w:highlight w:val="none"/>
                <w:u w:val="none"/>
                <w:lang w:val="en-US" w:eastAsia="zh-CN" w:bidi="ar"/>
              </w:rPr>
            </w:pPr>
          </w:p>
        </w:tc>
      </w:tr>
      <w:tr w14:paraId="18F50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C7A7744">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7</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5B5FF95">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物理白板</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8A85C40">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1.面层材料品种、规格、颜色:物理白板</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2.1、边框：采用特制电泳铝合金外框，重要组件不可视，同时能有效阻止任何故障发生，可靠性好；外框规格：90mm*45mm 壁厚1.2mm。内框采用与外框同色的铝合金材质，规格：60mm*22mm壁厚0.5mm.</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2、板面：采用美国e³ 搪瓷白板，由0.4mm厚的冷軋钢基板，以滚筒方式涂上搪瓷面层，再经800度高溫烤製而成，总厚度为0.6mm。除非常好擦外，还具有耐刮、耐磨、耐久、抗化学物等特性，同时具有超长使用寿命。e³ 搪瓷板均符合环保标准，产品涂层中不含重金属，原材料均适合回收再造。e³ 搪瓷板本身是具备耐火性的，即使在燃烧状态下都不会冒出有毒气体。磁性板面能把纸质等轻便物品吸附在板面上。不同的图案、线条、标志或其他资讯都可以用搪瓷烤製的工艺列印在搪瓷板面上。一般的水性白板笔都可以干擦，而油性白板笔可用相应的清洁剂去擦拭。UG类搪瓷板的平滑表面是经过特別工序所制成，平滑表面使其保持优良的擦拭度及減少板面的光线反射。光泽的量度单位为光泽度(GU)，根据ISO 2813标准，在20º的反射角时，UG搪瓷板的表面光泽度约为70(+10/-5)GU。同时，本搪瓷板面符合 (i)EN14864及 (ii) EEA 的7.17章(歐洲搪瓷協會)內有关书写板面的要求。</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3、夹层：采用高密度隔音、防潮的聚苯乙烯泡沫板，每平方承重范围为18公斤。</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4、背板：采用永不生锈的镀锌金属薄板。</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5、转角：ABS工程塑料，表面光滑无塑料毛刺，防撞、能充分保护师生日常使用过程中的安全。</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36E4606">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套</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998C51D">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3</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072D56E">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宋体" w:eastAsia="方正仿宋_GB2312" w:cs="宋体"/>
                <w:i w:val="0"/>
                <w:iCs w:val="0"/>
                <w:color w:val="000000"/>
                <w:kern w:val="0"/>
                <w:sz w:val="24"/>
                <w:szCs w:val="18"/>
                <w:highlight w:val="none"/>
                <w:u w:val="none"/>
                <w:lang w:val="en-US" w:eastAsia="zh-CN" w:bidi="ar"/>
              </w:rPr>
            </w:pPr>
          </w:p>
        </w:tc>
      </w:tr>
      <w:tr w14:paraId="6882C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22BA17F">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8</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65C9882">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回音壁</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9DE7C6A">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1.名称:回音壁</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 xml:space="preserve">2.规格:扬声器单元 2英寸中高音+2.25英寸低音 </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 xml:space="preserve">电源 AC220V~50/60Hz </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音频输入同轴输入/光纤输入/LINEIN HDMI输入/蓝牙连接/USB无损输入</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 xml:space="preserve">输入灵敏度 700+50mv </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 xml:space="preserve">失真度 S0.5% </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信噪比 289dB</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87C2C20">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套</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062C2E7">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3</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362A25E">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宋体" w:eastAsia="方正仿宋_GB2312" w:cs="宋体"/>
                <w:i w:val="0"/>
                <w:iCs w:val="0"/>
                <w:color w:val="000000"/>
                <w:kern w:val="0"/>
                <w:sz w:val="24"/>
                <w:szCs w:val="18"/>
                <w:highlight w:val="none"/>
                <w:u w:val="none"/>
                <w:lang w:val="en-US" w:eastAsia="zh-CN" w:bidi="ar"/>
              </w:rPr>
            </w:pPr>
          </w:p>
        </w:tc>
      </w:tr>
      <w:tr w14:paraId="0FF48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02F413C7">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9</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3F76CA8">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机柜</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72AE413">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1.名称:机柜</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2.规格:尺寸：550*400*450，材质：钢板采用1.1厚的冷轧碳素钢板，立柱1.5，前后密集网孔门，内外表面先喷砂，后喷塑的表面处理工艺，耐酸碱，耐腐蚀，防静电，所检项目符合GB/T15395-1994标准。</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6BAC857">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个</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4F15AEA5">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3</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3B9A62BB">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宋体" w:eastAsia="方正仿宋_GB2312" w:cs="宋体"/>
                <w:i w:val="0"/>
                <w:iCs w:val="0"/>
                <w:color w:val="000000"/>
                <w:kern w:val="0"/>
                <w:sz w:val="24"/>
                <w:szCs w:val="18"/>
                <w:highlight w:val="none"/>
                <w:u w:val="none"/>
                <w:lang w:val="en-US" w:eastAsia="zh-CN" w:bidi="ar"/>
              </w:rPr>
            </w:pPr>
          </w:p>
        </w:tc>
      </w:tr>
      <w:tr w14:paraId="5C680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5" w:type="dxa"/>
            <w:tcBorders>
              <w:top w:val="single" w:color="000000" w:sz="4" w:space="0"/>
              <w:left w:val="single" w:color="000000" w:sz="8"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656194C">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10</w:t>
            </w:r>
          </w:p>
        </w:tc>
        <w:tc>
          <w:tcPr>
            <w:tcW w:w="1211"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1082330C">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交换机</w:t>
            </w:r>
          </w:p>
        </w:tc>
        <w:tc>
          <w:tcPr>
            <w:tcW w:w="6715"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75BEB158">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1.名称:POE交换机</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2.规格:1、交换容量≥20Gbps，包转发率≥14.9Mpps；</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2、端口类型≥10个10/100/1000Mbps自适应以太网端口；</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3、支持PoE供电，PoE整机功耗≥120W，支持供电端口≥8口；</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4、MAC地址容量≥4K，端口缓存：2Mbit；</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5、采用54V DC电源供电，电源更易适配；</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6、无风扇设计，自然散热，更静音；</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7、每个端口都支持Auto-MDI/MDIX功能；</w:t>
            </w:r>
            <w:r>
              <w:rPr>
                <w:rFonts w:hint="eastAsia" w:ascii="方正仿宋_GB2312" w:hAnsi="宋体" w:eastAsia="方正仿宋_GB2312" w:cs="宋体"/>
                <w:i w:val="0"/>
                <w:iCs w:val="0"/>
                <w:color w:val="000000"/>
                <w:kern w:val="0"/>
                <w:sz w:val="24"/>
                <w:szCs w:val="18"/>
                <w:highlight w:val="none"/>
                <w:u w:val="none"/>
                <w:lang w:val="en-US" w:eastAsia="zh-CN" w:bidi="ar"/>
              </w:rPr>
              <w:br w:type="textWrapping"/>
            </w:r>
            <w:r>
              <w:rPr>
                <w:rFonts w:hint="eastAsia" w:ascii="方正仿宋_GB2312" w:hAnsi="宋体" w:eastAsia="方正仿宋_GB2312" w:cs="宋体"/>
                <w:i w:val="0"/>
                <w:iCs w:val="0"/>
                <w:color w:val="000000"/>
                <w:kern w:val="0"/>
                <w:sz w:val="24"/>
                <w:szCs w:val="18"/>
                <w:highlight w:val="none"/>
                <w:u w:val="none"/>
                <w:lang w:val="en-US" w:eastAsia="zh-CN" w:bidi="ar"/>
              </w:rPr>
              <w:t>8、工作温度：0℃～45℃ ；</w:t>
            </w:r>
          </w:p>
        </w:tc>
        <w:tc>
          <w:tcPr>
            <w:tcW w:w="668"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6D048651">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left"/>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台</w:t>
            </w:r>
          </w:p>
        </w:tc>
        <w:tc>
          <w:tcPr>
            <w:tcW w:w="627"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55C4625A">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方正仿宋_GB2312" w:eastAsia="方正仿宋_GB2312" w:cs="方正仿宋_GB2312"/>
                <w:i w:val="0"/>
                <w:iCs w:val="0"/>
                <w:color w:val="auto"/>
                <w:kern w:val="0"/>
                <w:sz w:val="24"/>
                <w:szCs w:val="24"/>
                <w:highlight w:val="none"/>
                <w:u w:val="none"/>
                <w:lang w:val="en-US" w:eastAsia="zh-CN" w:bidi="ar"/>
              </w:rPr>
            </w:pPr>
            <w:r>
              <w:rPr>
                <w:rFonts w:hint="eastAsia" w:ascii="方正仿宋_GB2312" w:hAnsi="宋体" w:eastAsia="方正仿宋_GB2312" w:cs="宋体"/>
                <w:i w:val="0"/>
                <w:iCs w:val="0"/>
                <w:color w:val="000000"/>
                <w:kern w:val="0"/>
                <w:sz w:val="24"/>
                <w:szCs w:val="18"/>
                <w:highlight w:val="none"/>
                <w:u w:val="none"/>
                <w:lang w:val="en-US" w:eastAsia="zh-CN" w:bidi="ar"/>
              </w:rPr>
              <w:t>3</w:t>
            </w:r>
          </w:p>
        </w:tc>
        <w:tc>
          <w:tcPr>
            <w:tcW w:w="563" w:type="dxa"/>
            <w:tcBorders>
              <w:top w:val="single" w:color="000000" w:sz="4" w:space="0"/>
              <w:left w:val="single" w:color="000000" w:sz="4" w:space="0"/>
              <w:bottom w:val="single" w:color="000000" w:sz="4" w:space="0"/>
              <w:right w:val="single" w:color="000000" w:sz="4" w:space="0"/>
            </w:tcBorders>
            <w:shd w:val="clear" w:color="FFFFFF" w:fill="FFFFFF"/>
            <w:noWrap w:val="0"/>
            <w:tcMar>
              <w:top w:w="-1" w:type="dxa"/>
              <w:left w:w="-1" w:type="dxa"/>
              <w:bottom w:w="-1" w:type="dxa"/>
              <w:right w:w="-1" w:type="dxa"/>
            </w:tcMar>
            <w:vAlign w:val="center"/>
          </w:tcPr>
          <w:p w14:paraId="2DEC7BFC">
            <w:pPr>
              <w:keepNext/>
              <w:keepLines w:val="0"/>
              <w:pageBreakBefore w:val="0"/>
              <w:widowControl/>
              <w:suppressLineNumbers w:val="0"/>
              <w:kinsoku/>
              <w:wordWrap/>
              <w:overflowPunct/>
              <w:topLinePunct w:val="0"/>
              <w:autoSpaceDE/>
              <w:autoSpaceDN/>
              <w:bidi w:val="0"/>
              <w:adjustRightInd/>
              <w:snapToGrid w:val="0"/>
              <w:spacing w:before="0" w:beforeAutospacing="0" w:afterAutospacing="0" w:line="240" w:lineRule="exact"/>
              <w:ind w:left="0" w:leftChars="0" w:right="0" w:rightChars="0" w:firstLine="0" w:firstLineChars="0"/>
              <w:jc w:val="center"/>
              <w:textAlignment w:val="center"/>
              <w:rPr>
                <w:rFonts w:hint="eastAsia" w:ascii="方正仿宋_GB2312" w:hAnsi="宋体" w:eastAsia="方正仿宋_GB2312" w:cs="宋体"/>
                <w:i w:val="0"/>
                <w:iCs w:val="0"/>
                <w:color w:val="000000"/>
                <w:kern w:val="0"/>
                <w:sz w:val="24"/>
                <w:szCs w:val="18"/>
                <w:highlight w:val="none"/>
                <w:u w:val="none"/>
                <w:lang w:val="en-US" w:eastAsia="zh-CN" w:bidi="ar"/>
              </w:rPr>
            </w:pPr>
          </w:p>
        </w:tc>
      </w:tr>
    </w:tbl>
    <w:p w14:paraId="73CB6F29">
      <w:pPr>
        <w:numPr>
          <w:ilvl w:val="0"/>
          <w:numId w:val="0"/>
        </w:numPr>
        <w:ind w:leftChars="0"/>
        <w:rPr>
          <w:rStyle w:val="37"/>
          <w:rFonts w:hint="eastAsia" w:ascii="仿宋_GB2312" w:hAnsi="仿宋_GB2312" w:eastAsia="仿宋_GB2312" w:cs="Times New Roman"/>
          <w:b/>
          <w:kern w:val="2"/>
          <w:sz w:val="30"/>
          <w:szCs w:val="30"/>
          <w:highlight w:val="none"/>
          <w:lang w:val="en-US" w:eastAsia="zh-CN" w:bidi="ar-SA"/>
        </w:rPr>
      </w:pPr>
    </w:p>
    <w:p w14:paraId="1188884E">
      <w:pPr>
        <w:numPr>
          <w:ilvl w:val="0"/>
          <w:numId w:val="0"/>
        </w:numPr>
        <w:ind w:leftChars="0"/>
        <w:rPr>
          <w:rStyle w:val="37"/>
          <w:rFonts w:hint="default" w:ascii="仿宋_GB2312" w:hAnsi="仿宋_GB2312" w:eastAsia="仿宋_GB2312" w:cs="Times New Roman"/>
          <w:b/>
          <w:color w:val="FF0000"/>
          <w:kern w:val="2"/>
          <w:sz w:val="30"/>
          <w:szCs w:val="30"/>
          <w:highlight w:val="none"/>
          <w:lang w:val="en-US" w:eastAsia="zh-CN" w:bidi="ar-SA"/>
        </w:rPr>
      </w:pPr>
      <w:r>
        <w:rPr>
          <w:rStyle w:val="37"/>
          <w:rFonts w:hint="eastAsia" w:ascii="仿宋_GB2312" w:hAnsi="仿宋_GB2312" w:eastAsia="仿宋_GB2312" w:cs="Times New Roman"/>
          <w:b/>
          <w:kern w:val="2"/>
          <w:sz w:val="30"/>
          <w:szCs w:val="30"/>
          <w:highlight w:val="none"/>
          <w:lang w:val="en-US" w:eastAsia="zh-CN" w:bidi="ar-SA"/>
        </w:rPr>
        <w:t>注：</w:t>
      </w:r>
      <w:r>
        <w:rPr>
          <w:rStyle w:val="37"/>
          <w:rFonts w:hint="eastAsia" w:ascii="仿宋_GB2312" w:hAnsi="仿宋_GB2312" w:eastAsia="仿宋_GB2312" w:cs="Times New Roman"/>
          <w:b/>
          <w:color w:val="FF0000"/>
          <w:kern w:val="2"/>
          <w:sz w:val="30"/>
          <w:szCs w:val="30"/>
          <w:highlight w:val="none"/>
          <w:lang w:val="en-US" w:eastAsia="zh-CN" w:bidi="ar-SA"/>
        </w:rPr>
        <w:t>本项目所投产品中办公设备家具的单价不得高于《关于印发&lt;新疆维吾尔自治区本级行政事业单位通用办公设备家具配置标准&gt;的通知》即新管发【2023】61号文件中规定的购置价格上限，否则视为无效投标。</w:t>
      </w:r>
    </w:p>
    <w:p w14:paraId="3E5294C7">
      <w:pPr>
        <w:pStyle w:val="117"/>
        <w:keepNext w:val="0"/>
        <w:keepLines w:val="0"/>
        <w:pageBreakBefore w:val="0"/>
        <w:widowControl w:val="0"/>
        <w:numPr>
          <w:ilvl w:val="0"/>
          <w:numId w:val="0"/>
        </w:numPr>
        <w:kinsoku/>
        <w:wordWrap/>
        <w:overflowPunct/>
        <w:topLinePunct w:val="0"/>
        <w:bidi w:val="0"/>
        <w:snapToGrid/>
        <w:spacing w:line="440" w:lineRule="exact"/>
        <w:ind w:leftChars="0"/>
        <w:jc w:val="left"/>
        <w:textAlignment w:val="auto"/>
        <w:outlineLvl w:val="9"/>
        <w:rPr>
          <w:rStyle w:val="37"/>
          <w:rFonts w:hint="eastAsia" w:ascii="仿宋_GB2312" w:hAnsi="仿宋_GB2312" w:eastAsia="仿宋_GB2312" w:cs="Times New Roman"/>
          <w:b/>
          <w:kern w:val="2"/>
          <w:sz w:val="30"/>
          <w:szCs w:val="30"/>
          <w:highlight w:val="none"/>
          <w:lang w:val="en-US" w:eastAsia="zh-CN" w:bidi="ar-SA"/>
        </w:rPr>
      </w:pPr>
      <w:r>
        <w:rPr>
          <w:rStyle w:val="37"/>
          <w:rFonts w:hint="eastAsia" w:ascii="仿宋_GB2312" w:hAnsi="仿宋_GB2312" w:eastAsia="仿宋_GB2312" w:cs="Times New Roman"/>
          <w:b/>
          <w:kern w:val="2"/>
          <w:sz w:val="30"/>
          <w:szCs w:val="30"/>
          <w:highlight w:val="none"/>
          <w:lang w:val="en-US" w:eastAsia="zh-CN" w:bidi="ar-SA"/>
        </w:rPr>
        <w:t>三、商务要求</w:t>
      </w:r>
      <w:bookmarkEnd w:id="893"/>
    </w:p>
    <w:p w14:paraId="1F4F3250">
      <w:pPr>
        <w:keepNext w:val="0"/>
        <w:keepLines w:val="0"/>
        <w:pageBreakBefore w:val="0"/>
        <w:widowControl w:val="0"/>
        <w:numPr>
          <w:ilvl w:val="0"/>
          <w:numId w:val="0"/>
        </w:numPr>
        <w:kinsoku/>
        <w:wordWrap/>
        <w:overflowPunct/>
        <w:topLinePunct w:val="0"/>
        <w:bidi w:val="0"/>
        <w:snapToGrid/>
        <w:spacing w:after="0" w:line="440" w:lineRule="exact"/>
        <w:ind w:firstLine="0" w:firstLineChars="0"/>
        <w:jc w:val="left"/>
        <w:textAlignment w:val="auto"/>
        <w:outlineLvl w:val="9"/>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（一）质量要求</w:t>
      </w:r>
    </w:p>
    <w:p w14:paraId="5707118D">
      <w:pPr>
        <w:keepNext w:val="0"/>
        <w:keepLines w:val="0"/>
        <w:pageBreakBefore w:val="0"/>
        <w:widowControl w:val="0"/>
        <w:numPr>
          <w:ilvl w:val="0"/>
          <w:numId w:val="0"/>
        </w:numPr>
        <w:kinsoku/>
        <w:wordWrap/>
        <w:overflowPunct/>
        <w:topLinePunct w:val="0"/>
        <w:bidi w:val="0"/>
        <w:snapToGrid/>
        <w:spacing w:after="0" w:line="440" w:lineRule="exact"/>
        <w:ind w:firstLine="0" w:firstLineChars="0"/>
        <w:jc w:val="left"/>
        <w:textAlignment w:val="auto"/>
        <w:outlineLvl w:val="9"/>
        <w:rPr>
          <w:rFonts w:hint="default" w:ascii="仿宋" w:hAnsi="仿宋" w:eastAsia="仿宋" w:cs="仿宋"/>
          <w:b/>
          <w:bCs/>
          <w:color w:val="000000" w:themeColor="text1"/>
          <w:sz w:val="24"/>
          <w:highlight w:val="none"/>
          <w:lang w:val="en-US" w:eastAsia="zh-CN"/>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1、</w:t>
      </w:r>
      <w:r>
        <w:rPr>
          <w:rFonts w:hint="default" w:ascii="仿宋" w:hAnsi="仿宋" w:eastAsia="仿宋" w:cs="仿宋"/>
          <w:b/>
          <w:bCs/>
          <w:color w:val="000000" w:themeColor="text1"/>
          <w:sz w:val="24"/>
          <w:highlight w:val="none"/>
          <w:lang w:val="en-US" w:eastAsia="zh-CN"/>
          <w14:textFill>
            <w14:solidFill>
              <w14:schemeClr w14:val="tx1"/>
            </w14:solidFill>
          </w14:textFill>
        </w:rPr>
        <w:t>标注：“★”的产品</w:t>
      </w:r>
      <w:r>
        <w:rPr>
          <w:rFonts w:hint="eastAsia" w:ascii="仿宋" w:hAnsi="仿宋" w:eastAsia="仿宋" w:cs="仿宋"/>
          <w:b/>
          <w:bCs/>
          <w:color w:val="000000" w:themeColor="text1"/>
          <w:sz w:val="24"/>
          <w:highlight w:val="none"/>
          <w:lang w:val="en-US" w:eastAsia="zh-CN"/>
          <w14:textFill>
            <w14:solidFill>
              <w14:schemeClr w14:val="tx1"/>
            </w14:solidFill>
          </w14:textFill>
        </w:rPr>
        <w:t>为本项目核心产品，</w:t>
      </w:r>
      <w:r>
        <w:rPr>
          <w:rFonts w:hint="default" w:ascii="仿宋" w:hAnsi="仿宋" w:eastAsia="仿宋" w:cs="仿宋"/>
          <w:b/>
          <w:bCs/>
          <w:color w:val="000000" w:themeColor="text1"/>
          <w:sz w:val="24"/>
          <w:highlight w:val="none"/>
          <w:lang w:val="en-US" w:eastAsia="zh-CN"/>
          <w14:textFill>
            <w14:solidFill>
              <w14:schemeClr w14:val="tx1"/>
            </w14:solidFill>
          </w14:textFill>
        </w:rPr>
        <w:t>如采购需求中有明确要求提供证明材料（佐证材料）的，以采购需求要求为准提供相关证明材料；未响应或未按要求提供证明材料或提供的证明材料无法证明满足采购需求技术参数要求的，视为</w:t>
      </w:r>
      <w:r>
        <w:rPr>
          <w:rFonts w:hint="eastAsia" w:ascii="仿宋" w:hAnsi="仿宋" w:eastAsia="仿宋" w:cs="仿宋"/>
          <w:b/>
          <w:bCs/>
          <w:color w:val="000000" w:themeColor="text1"/>
          <w:sz w:val="24"/>
          <w:highlight w:val="none"/>
          <w:lang w:val="en-US" w:eastAsia="zh-CN"/>
          <w14:textFill>
            <w14:solidFill>
              <w14:schemeClr w14:val="tx1"/>
            </w14:solidFill>
          </w14:textFill>
        </w:rPr>
        <w:t>负偏离</w:t>
      </w:r>
      <w:r>
        <w:rPr>
          <w:rFonts w:hint="default" w:ascii="仿宋" w:hAnsi="仿宋" w:eastAsia="仿宋" w:cs="仿宋"/>
          <w:b/>
          <w:bCs/>
          <w:color w:val="000000" w:themeColor="text1"/>
          <w:sz w:val="24"/>
          <w:highlight w:val="none"/>
          <w:lang w:val="en-US" w:eastAsia="zh-CN"/>
          <w14:textFill>
            <w14:solidFill>
              <w14:schemeClr w14:val="tx1"/>
            </w14:solidFill>
          </w14:textFill>
        </w:rPr>
        <w:t>。</w:t>
      </w:r>
    </w:p>
    <w:p w14:paraId="4B294AE8">
      <w:pPr>
        <w:keepNext w:val="0"/>
        <w:keepLines w:val="0"/>
        <w:pageBreakBefore w:val="0"/>
        <w:widowControl w:val="0"/>
        <w:numPr>
          <w:ilvl w:val="0"/>
          <w:numId w:val="0"/>
        </w:numPr>
        <w:kinsoku/>
        <w:wordWrap/>
        <w:overflowPunct/>
        <w:topLinePunct w:val="0"/>
        <w:bidi w:val="0"/>
        <w:snapToGrid/>
        <w:spacing w:after="0" w:line="440" w:lineRule="exact"/>
        <w:ind w:firstLine="0" w:firstLineChars="0"/>
        <w:jc w:val="left"/>
        <w:textAlignment w:val="auto"/>
        <w:outlineLvl w:val="9"/>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2、</w:t>
      </w:r>
      <w:r>
        <w:rPr>
          <w:rFonts w:hint="default" w:ascii="仿宋" w:hAnsi="仿宋" w:eastAsia="仿宋" w:cs="仿宋"/>
          <w:sz w:val="24"/>
          <w:highlight w:val="none"/>
          <w:lang w:val="en-US" w:eastAsia="zh-CN"/>
        </w:rPr>
        <w:t>一般参数相关证明材料须按参数内相关要求提供证明材料。</w:t>
      </w:r>
    </w:p>
    <w:p w14:paraId="46C5FFF9">
      <w:pPr>
        <w:keepNext w:val="0"/>
        <w:keepLines w:val="0"/>
        <w:pageBreakBefore w:val="0"/>
        <w:widowControl w:val="0"/>
        <w:numPr>
          <w:ilvl w:val="0"/>
          <w:numId w:val="0"/>
        </w:numPr>
        <w:kinsoku/>
        <w:wordWrap/>
        <w:overflowPunct/>
        <w:topLinePunct w:val="0"/>
        <w:bidi w:val="0"/>
        <w:snapToGrid/>
        <w:spacing w:after="0" w:line="440" w:lineRule="exact"/>
        <w:ind w:firstLine="0" w:firstLineChars="0"/>
        <w:jc w:val="left"/>
        <w:textAlignment w:val="auto"/>
        <w:outlineLvl w:val="9"/>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（一）项目的交货期和质保期。</w:t>
      </w:r>
    </w:p>
    <w:p w14:paraId="57CEDBD9">
      <w:pPr>
        <w:keepNext w:val="0"/>
        <w:keepLines w:val="0"/>
        <w:pageBreakBefore w:val="0"/>
        <w:widowControl w:val="0"/>
        <w:numPr>
          <w:ilvl w:val="0"/>
          <w:numId w:val="0"/>
        </w:numPr>
        <w:kinsoku/>
        <w:wordWrap/>
        <w:overflowPunct/>
        <w:topLinePunct w:val="0"/>
        <w:bidi w:val="0"/>
        <w:snapToGrid/>
        <w:spacing w:after="0" w:line="440" w:lineRule="exact"/>
        <w:ind w:firstLine="0" w:firstLineChars="0"/>
        <w:jc w:val="left"/>
        <w:textAlignment w:val="auto"/>
        <w:outlineLvl w:val="9"/>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1、交货期：在签订合同后45天内完成供货、安装、调试、人员培训及验收。（具体以签订合同为准）。</w:t>
      </w:r>
    </w:p>
    <w:p w14:paraId="061F95C6">
      <w:pPr>
        <w:keepNext w:val="0"/>
        <w:keepLines w:val="0"/>
        <w:pageBreakBefore w:val="0"/>
        <w:widowControl w:val="0"/>
        <w:numPr>
          <w:ilvl w:val="0"/>
          <w:numId w:val="0"/>
        </w:numPr>
        <w:kinsoku/>
        <w:wordWrap/>
        <w:overflowPunct/>
        <w:topLinePunct w:val="0"/>
        <w:bidi w:val="0"/>
        <w:snapToGrid/>
        <w:spacing w:after="0" w:line="440" w:lineRule="exact"/>
        <w:ind w:firstLine="0" w:firstLineChars="0"/>
        <w:jc w:val="left"/>
        <w:textAlignment w:val="auto"/>
        <w:outlineLvl w:val="9"/>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2、质保期：本项目质保期3年。</w:t>
      </w:r>
    </w:p>
    <w:p w14:paraId="4730BD12">
      <w:pPr>
        <w:keepNext w:val="0"/>
        <w:keepLines w:val="0"/>
        <w:pageBreakBefore w:val="0"/>
        <w:widowControl w:val="0"/>
        <w:numPr>
          <w:ilvl w:val="0"/>
          <w:numId w:val="0"/>
        </w:numPr>
        <w:kinsoku/>
        <w:wordWrap/>
        <w:overflowPunct/>
        <w:topLinePunct w:val="0"/>
        <w:bidi w:val="0"/>
        <w:snapToGrid/>
        <w:spacing w:after="0" w:line="440" w:lineRule="exact"/>
        <w:ind w:firstLine="0" w:firstLineChars="0"/>
        <w:jc w:val="left"/>
        <w:textAlignment w:val="auto"/>
        <w:outlineLvl w:val="9"/>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二</w:t>
      </w:r>
      <w:r>
        <w:rPr>
          <w:rFonts w:hint="eastAsia" w:ascii="仿宋" w:hAnsi="仿宋" w:eastAsia="仿宋" w:cs="仿宋"/>
          <w:sz w:val="24"/>
          <w:highlight w:val="none"/>
          <w:lang w:eastAsia="zh-CN"/>
        </w:rPr>
        <w:t>）交货地点</w:t>
      </w:r>
      <w:r>
        <w:rPr>
          <w:rFonts w:hint="eastAsia" w:ascii="仿宋" w:hAnsi="仿宋" w:eastAsia="仿宋" w:cs="仿宋"/>
          <w:sz w:val="24"/>
          <w:highlight w:val="none"/>
          <w:lang w:val="en-US" w:eastAsia="zh-CN"/>
        </w:rPr>
        <w:t>和</w:t>
      </w:r>
      <w:r>
        <w:rPr>
          <w:rFonts w:hint="eastAsia" w:ascii="仿宋" w:hAnsi="仿宋" w:eastAsia="仿宋" w:cs="仿宋"/>
          <w:sz w:val="24"/>
          <w:highlight w:val="none"/>
          <w:lang w:eastAsia="zh-CN"/>
        </w:rPr>
        <w:t>付款方式</w:t>
      </w:r>
    </w:p>
    <w:p w14:paraId="512C85E9">
      <w:pPr>
        <w:keepNext w:val="0"/>
        <w:keepLines w:val="0"/>
        <w:pageBreakBefore w:val="0"/>
        <w:widowControl w:val="0"/>
        <w:kinsoku/>
        <w:wordWrap/>
        <w:overflowPunct/>
        <w:topLinePunct w:val="0"/>
        <w:bidi w:val="0"/>
        <w:spacing w:before="0" w:after="0" w:line="440" w:lineRule="exact"/>
        <w:ind w:firstLine="0" w:firstLineChars="0"/>
        <w:jc w:val="left"/>
        <w:outlineLvl w:val="9"/>
        <w:rPr>
          <w:rFonts w:hint="default"/>
          <w:color w:val="auto"/>
          <w:highlight w:val="none"/>
          <w:lang w:val="en-US" w:eastAsia="zh-CN"/>
        </w:rPr>
      </w:pPr>
      <w:r>
        <w:rPr>
          <w:rFonts w:hint="eastAsia" w:ascii="仿宋" w:hAnsi="仿宋" w:eastAsia="仿宋" w:cs="仿宋"/>
          <w:b w:val="0"/>
          <w:color w:val="auto"/>
          <w:kern w:val="2"/>
          <w:sz w:val="24"/>
          <w:szCs w:val="24"/>
          <w:highlight w:val="none"/>
          <w:u w:val="none"/>
          <w:lang w:val="en-US" w:eastAsia="zh-CN" w:bidi="ar-SA"/>
        </w:rPr>
        <w:t>1、交货地点：伽师县教育局（伽师县第六中学）。</w:t>
      </w:r>
    </w:p>
    <w:p w14:paraId="19B06C15">
      <w:pPr>
        <w:keepNext w:val="0"/>
        <w:keepLines w:val="0"/>
        <w:pageBreakBefore w:val="0"/>
        <w:widowControl w:val="0"/>
        <w:numPr>
          <w:ilvl w:val="0"/>
          <w:numId w:val="0"/>
        </w:numPr>
        <w:kinsoku/>
        <w:wordWrap/>
        <w:overflowPunct/>
        <w:topLinePunct w:val="0"/>
        <w:bidi w:val="0"/>
        <w:snapToGrid/>
        <w:spacing w:after="0" w:line="440" w:lineRule="exact"/>
        <w:ind w:firstLine="0" w:firstLineChars="0"/>
        <w:jc w:val="left"/>
        <w:textAlignment w:val="auto"/>
        <w:outlineLvl w:val="9"/>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2、付款方式：供货安装调试、培训、验收合格且无质量问题一次性无息付清。</w:t>
      </w:r>
    </w:p>
    <w:p w14:paraId="7D36BAB4">
      <w:pPr>
        <w:pStyle w:val="116"/>
        <w:keepNext w:val="0"/>
        <w:keepLines w:val="0"/>
        <w:pageBreakBefore w:val="0"/>
        <w:widowControl w:val="0"/>
        <w:kinsoku/>
        <w:wordWrap/>
        <w:overflowPunct/>
        <w:topLinePunct w:val="0"/>
        <w:autoSpaceDE/>
        <w:autoSpaceDN/>
        <w:bidi w:val="0"/>
        <w:adjustRightInd/>
        <w:snapToGrid w:val="0"/>
        <w:spacing w:beforeAutospacing="0" w:after="0" w:afterAutospacing="0" w:line="440" w:lineRule="exact"/>
        <w:ind w:left="0" w:leftChars="0" w:firstLine="0" w:firstLineChars="0"/>
        <w:jc w:val="left"/>
        <w:textAlignment w:val="baseline"/>
        <w:outlineLvl w:val="9"/>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（四）售后服务及其他要求</w:t>
      </w:r>
    </w:p>
    <w:p w14:paraId="1AE0BD80">
      <w:pPr>
        <w:pStyle w:val="116"/>
        <w:keepNext w:val="0"/>
        <w:keepLines w:val="0"/>
        <w:pageBreakBefore w:val="0"/>
        <w:widowControl w:val="0"/>
        <w:kinsoku/>
        <w:wordWrap/>
        <w:overflowPunct/>
        <w:topLinePunct w:val="0"/>
        <w:autoSpaceDE/>
        <w:autoSpaceDN/>
        <w:bidi w:val="0"/>
        <w:adjustRightInd/>
        <w:snapToGrid w:val="0"/>
        <w:spacing w:beforeAutospacing="0" w:after="0" w:afterAutospacing="0" w:line="440" w:lineRule="exact"/>
        <w:ind w:left="0" w:leftChars="0" w:firstLine="0" w:firstLineChars="0"/>
        <w:jc w:val="left"/>
        <w:textAlignment w:val="baseline"/>
        <w:outlineLvl w:val="9"/>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1、备件、技术及维修、培训服务要求</w:t>
      </w:r>
    </w:p>
    <w:p w14:paraId="66C4AD01">
      <w:pPr>
        <w:pStyle w:val="116"/>
        <w:keepNext w:val="0"/>
        <w:keepLines w:val="0"/>
        <w:pageBreakBefore w:val="0"/>
        <w:widowControl w:val="0"/>
        <w:kinsoku/>
        <w:wordWrap/>
        <w:overflowPunct/>
        <w:topLinePunct w:val="0"/>
        <w:autoSpaceDE/>
        <w:autoSpaceDN/>
        <w:bidi w:val="0"/>
        <w:adjustRightInd/>
        <w:snapToGrid w:val="0"/>
        <w:spacing w:beforeAutospacing="0" w:after="0" w:afterAutospacing="0" w:line="440" w:lineRule="exact"/>
        <w:ind w:firstLine="0" w:firstLineChars="0"/>
        <w:jc w:val="left"/>
        <w:textAlignment w:val="baseline"/>
        <w:outlineLvl w:val="9"/>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投标方若中标须随时提供设备调试及维修等相关服务。提供现场技术培训，确保使用人员能够熟练、正常操作设备各项功能。</w:t>
      </w:r>
    </w:p>
    <w:p w14:paraId="5797B8C2">
      <w:pPr>
        <w:pStyle w:val="116"/>
        <w:keepNext w:val="0"/>
        <w:keepLines w:val="0"/>
        <w:pageBreakBefore w:val="0"/>
        <w:widowControl w:val="0"/>
        <w:kinsoku/>
        <w:wordWrap/>
        <w:overflowPunct/>
        <w:topLinePunct w:val="0"/>
        <w:autoSpaceDE/>
        <w:autoSpaceDN/>
        <w:bidi w:val="0"/>
        <w:adjustRightInd/>
        <w:snapToGrid w:val="0"/>
        <w:spacing w:beforeAutospacing="0" w:after="0" w:afterAutospacing="0" w:line="440" w:lineRule="exact"/>
        <w:ind w:left="0" w:leftChars="0" w:firstLine="0" w:firstLineChars="0"/>
        <w:jc w:val="left"/>
        <w:textAlignment w:val="baseline"/>
        <w:outlineLvl w:val="9"/>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2、维保要求</w:t>
      </w:r>
    </w:p>
    <w:p w14:paraId="57D3AE3B">
      <w:pPr>
        <w:pStyle w:val="116"/>
        <w:keepNext w:val="0"/>
        <w:keepLines w:val="0"/>
        <w:pageBreakBefore w:val="0"/>
        <w:widowControl w:val="0"/>
        <w:kinsoku/>
        <w:wordWrap/>
        <w:overflowPunct/>
        <w:topLinePunct w:val="0"/>
        <w:autoSpaceDE/>
        <w:autoSpaceDN/>
        <w:bidi w:val="0"/>
        <w:adjustRightInd/>
        <w:snapToGrid w:val="0"/>
        <w:spacing w:beforeAutospacing="0" w:after="0" w:afterAutospacing="0" w:line="440" w:lineRule="exact"/>
        <w:ind w:left="0" w:leftChars="0" w:firstLine="0" w:firstLineChars="0"/>
        <w:jc w:val="left"/>
        <w:textAlignment w:val="baseline"/>
        <w:outlineLvl w:val="9"/>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质保期内，设备及系统出现任何故障，均由中标供应商负责维修保养，并免费更换所有损坏零配件。质保期内，供应商须安排工程师定期回访、维护、检查及免费升级，采购单位不承担任何费用。</w:t>
      </w:r>
    </w:p>
    <w:p w14:paraId="7C367A68">
      <w:pPr>
        <w:pStyle w:val="116"/>
        <w:keepNext w:val="0"/>
        <w:keepLines w:val="0"/>
        <w:pageBreakBefore w:val="0"/>
        <w:widowControl w:val="0"/>
        <w:kinsoku/>
        <w:wordWrap/>
        <w:overflowPunct/>
        <w:topLinePunct w:val="0"/>
        <w:autoSpaceDE/>
        <w:autoSpaceDN/>
        <w:bidi w:val="0"/>
        <w:adjustRightInd/>
        <w:snapToGrid w:val="0"/>
        <w:spacing w:beforeAutospacing="0" w:after="0" w:afterAutospacing="0" w:line="440" w:lineRule="exact"/>
        <w:ind w:left="0" w:leftChars="0" w:firstLine="0" w:firstLineChars="0"/>
        <w:jc w:val="left"/>
        <w:textAlignment w:val="baseline"/>
        <w:outlineLvl w:val="9"/>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3、报价包含内容</w:t>
      </w:r>
    </w:p>
    <w:p w14:paraId="65AF6423">
      <w:pPr>
        <w:pStyle w:val="116"/>
        <w:keepNext w:val="0"/>
        <w:keepLines w:val="0"/>
        <w:pageBreakBefore w:val="0"/>
        <w:widowControl w:val="0"/>
        <w:kinsoku/>
        <w:wordWrap/>
        <w:overflowPunct/>
        <w:topLinePunct w:val="0"/>
        <w:autoSpaceDE/>
        <w:autoSpaceDN/>
        <w:bidi w:val="0"/>
        <w:adjustRightInd/>
        <w:snapToGrid w:val="0"/>
        <w:spacing w:beforeAutospacing="0" w:after="0" w:afterAutospacing="0" w:line="440" w:lineRule="exact"/>
        <w:ind w:firstLine="0" w:firstLineChars="0"/>
        <w:jc w:val="left"/>
        <w:textAlignment w:val="baseline"/>
        <w:outlineLvl w:val="9"/>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报价为总价包干，包含设备费、运输费、安装费、税费、质保费等所有相关费用，采购单位不再另行支付任何费用。</w:t>
      </w:r>
    </w:p>
    <w:p w14:paraId="17BB8F1A">
      <w:pPr>
        <w:pStyle w:val="116"/>
        <w:keepNext w:val="0"/>
        <w:keepLines w:val="0"/>
        <w:pageBreakBefore w:val="0"/>
        <w:widowControl w:val="0"/>
        <w:kinsoku/>
        <w:wordWrap/>
        <w:overflowPunct/>
        <w:topLinePunct w:val="0"/>
        <w:autoSpaceDE/>
        <w:autoSpaceDN/>
        <w:bidi w:val="0"/>
        <w:adjustRightInd/>
        <w:snapToGrid w:val="0"/>
        <w:spacing w:beforeAutospacing="0" w:after="0" w:afterAutospacing="0" w:line="440" w:lineRule="exact"/>
        <w:ind w:left="0" w:leftChars="0" w:firstLine="0" w:firstLineChars="0"/>
        <w:jc w:val="left"/>
        <w:textAlignment w:val="baseline"/>
        <w:outlineLvl w:val="9"/>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4、违约责任</w:t>
      </w:r>
    </w:p>
    <w:p w14:paraId="31F5E218">
      <w:pPr>
        <w:pStyle w:val="116"/>
        <w:keepNext w:val="0"/>
        <w:keepLines w:val="0"/>
        <w:pageBreakBefore w:val="0"/>
        <w:widowControl w:val="0"/>
        <w:kinsoku/>
        <w:wordWrap/>
        <w:overflowPunct/>
        <w:topLinePunct w:val="0"/>
        <w:autoSpaceDE/>
        <w:autoSpaceDN/>
        <w:bidi w:val="0"/>
        <w:adjustRightInd/>
        <w:snapToGrid w:val="0"/>
        <w:spacing w:beforeAutospacing="0" w:after="0" w:afterAutospacing="0" w:line="440" w:lineRule="exact"/>
        <w:ind w:firstLine="0" w:firstLineChars="0"/>
        <w:jc w:val="left"/>
        <w:textAlignment w:val="baseline"/>
        <w:outlineLvl w:val="9"/>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中标人未按本招标文件及合同约定履行义务（包括但不限于设备质量、质保服务、培训、安装调试、配套设备、免费维保等），均视为违约。甲方有权暂缓验收、暂缓付款，并责令中标人限期整改；逾期未整改或整改不合格的，甲方有权单方面解除合同、没收履约保证金，并追究中标人相应违约责任。由此造成的一切损失、费用和法律责任，均由中标人自行承担。</w:t>
      </w:r>
    </w:p>
    <w:p w14:paraId="72341D73">
      <w:pPr>
        <w:pStyle w:val="116"/>
        <w:keepNext w:val="0"/>
        <w:keepLines w:val="0"/>
        <w:pageBreakBefore w:val="0"/>
        <w:widowControl w:val="0"/>
        <w:kinsoku/>
        <w:wordWrap/>
        <w:overflowPunct/>
        <w:topLinePunct w:val="0"/>
        <w:autoSpaceDE/>
        <w:autoSpaceDN/>
        <w:bidi w:val="0"/>
        <w:adjustRightInd/>
        <w:snapToGrid w:val="0"/>
        <w:spacing w:beforeAutospacing="0" w:after="0" w:afterAutospacing="0" w:line="440" w:lineRule="exact"/>
        <w:ind w:firstLine="0" w:firstLineChars="0"/>
        <w:jc w:val="left"/>
        <w:textAlignment w:val="baseline"/>
        <w:outlineLvl w:val="9"/>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如有未尽事宜双方可协商决定，但决定权在采购单位，采购单位有权利退回不符合参数技术要求的产品。</w:t>
      </w:r>
    </w:p>
    <w:p w14:paraId="4B76E2C4">
      <w:pPr>
        <w:pStyle w:val="116"/>
        <w:keepNext w:val="0"/>
        <w:keepLines w:val="0"/>
        <w:pageBreakBefore w:val="0"/>
        <w:widowControl w:val="0"/>
        <w:kinsoku/>
        <w:wordWrap/>
        <w:overflowPunct/>
        <w:topLinePunct w:val="0"/>
        <w:autoSpaceDE/>
        <w:autoSpaceDN/>
        <w:bidi w:val="0"/>
        <w:adjustRightInd/>
        <w:snapToGrid w:val="0"/>
        <w:spacing w:beforeAutospacing="0" w:after="0" w:afterAutospacing="0" w:line="440" w:lineRule="exact"/>
        <w:ind w:left="0" w:leftChars="0" w:firstLine="0" w:firstLineChars="0"/>
        <w:jc w:val="left"/>
        <w:textAlignment w:val="baseline"/>
        <w:outlineLvl w:val="9"/>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（五）验收</w:t>
      </w:r>
    </w:p>
    <w:p w14:paraId="7800B216">
      <w:pPr>
        <w:pStyle w:val="116"/>
        <w:keepNext w:val="0"/>
        <w:keepLines w:val="0"/>
        <w:pageBreakBefore w:val="0"/>
        <w:widowControl w:val="0"/>
        <w:kinsoku/>
        <w:wordWrap/>
        <w:overflowPunct/>
        <w:topLinePunct w:val="0"/>
        <w:autoSpaceDE/>
        <w:autoSpaceDN/>
        <w:bidi w:val="0"/>
        <w:adjustRightInd/>
        <w:snapToGrid w:val="0"/>
        <w:spacing w:beforeAutospacing="0" w:after="0" w:afterAutospacing="0" w:line="440" w:lineRule="exact"/>
        <w:ind w:firstLine="0" w:firstLineChars="0"/>
        <w:jc w:val="left"/>
        <w:textAlignment w:val="baseline"/>
        <w:outlineLvl w:val="9"/>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验收程序：货物包装应符合国家标准，以保证货物在运输过程中不受损伤。货物在运输途中发生毁损或丢失，由乙方负责。在运输途中、交货前、卸货中发生人身伤害或货物受损的，由乙方负责承担。货物到达后，甲乙双方均须在场确认包装完好后由甲方验货，并对货物进行清点验收，共同签字确认。如验收不合格，一切损失由乙方自行承担。</w:t>
      </w:r>
    </w:p>
    <w:bookmarkEnd w:id="894"/>
    <w:bookmarkEnd w:id="895"/>
    <w:bookmarkEnd w:id="896"/>
    <w:bookmarkEnd w:id="897"/>
    <w:p w14:paraId="68E8CB69">
      <w:pPr>
        <w:rPr>
          <w:rFonts w:hint="eastAsia" w:ascii="仿宋_GB2312" w:hAnsi="仿宋_GB2312" w:eastAsia="仿宋_GB2312" w:cs="仿宋_GB2312"/>
          <w:sz w:val="44"/>
          <w:szCs w:val="44"/>
          <w:highlight w:val="none"/>
        </w:rPr>
      </w:pPr>
      <w:r>
        <w:rPr>
          <w:rFonts w:hint="eastAsia" w:ascii="仿宋_GB2312" w:hAnsi="仿宋_GB2312" w:eastAsia="仿宋_GB2312" w:cs="仿宋_GB2312"/>
          <w:sz w:val="44"/>
          <w:szCs w:val="44"/>
          <w:highlight w:val="none"/>
        </w:rPr>
        <w:br w:type="page"/>
      </w:r>
    </w:p>
    <w:p w14:paraId="63FBF191">
      <w:pPr>
        <w:pStyle w:val="2"/>
        <w:keepNext w:val="0"/>
        <w:keepLines w:val="0"/>
        <w:pageBreakBefore w:val="0"/>
        <w:widowControl w:val="0"/>
        <w:tabs>
          <w:tab w:val="left" w:pos="0"/>
        </w:tabs>
        <w:wordWrap/>
        <w:overflowPunct/>
        <w:topLinePunct w:val="0"/>
        <w:bidi w:val="0"/>
        <w:snapToGrid w:val="0"/>
        <w:spacing w:before="0" w:after="0" w:line="240" w:lineRule="atLeast"/>
        <w:jc w:val="center"/>
        <w:rPr>
          <w:rFonts w:ascii="仿宋_GB2312" w:hAnsi="仿宋_GB2312" w:eastAsia="仿宋_GB2312" w:cs="仿宋_GB2312"/>
          <w:sz w:val="44"/>
          <w:szCs w:val="44"/>
          <w:highlight w:val="none"/>
        </w:rPr>
      </w:pPr>
      <w:r>
        <w:rPr>
          <w:rFonts w:hint="eastAsia" w:ascii="仿宋_GB2312" w:hAnsi="仿宋_GB2312" w:eastAsia="仿宋_GB2312" w:cs="仿宋_GB2312"/>
          <w:sz w:val="44"/>
          <w:szCs w:val="44"/>
          <w:highlight w:val="none"/>
        </w:rPr>
        <w:t>第六章评标方法和标准</w:t>
      </w:r>
    </w:p>
    <w:p w14:paraId="3EB33F64">
      <w:pPr>
        <w:pStyle w:val="10"/>
        <w:keepNext w:val="0"/>
        <w:keepLines w:val="0"/>
        <w:pageBreakBefore w:val="0"/>
        <w:widowControl w:val="0"/>
        <w:wordWrap/>
        <w:overflowPunct/>
        <w:topLinePunct w:val="0"/>
        <w:bidi w:val="0"/>
        <w:snapToGrid w:val="0"/>
        <w:spacing w:before="0" w:line="240" w:lineRule="atLeast"/>
        <w:ind w:firstLine="540" w:firstLineChars="225"/>
        <w:rPr>
          <w:rFonts w:ascii="仿宋_GB2312" w:hAnsi="仿宋_GB2312" w:eastAsia="仿宋_GB2312" w:cs="仿宋_GB2312"/>
          <w:highlight w:val="none"/>
        </w:rPr>
      </w:pPr>
    </w:p>
    <w:p w14:paraId="694C72B0">
      <w:pPr>
        <w:pStyle w:val="10"/>
        <w:keepNext w:val="0"/>
        <w:keepLines w:val="0"/>
        <w:pageBreakBefore w:val="0"/>
        <w:widowControl w:val="0"/>
        <w:wordWrap/>
        <w:overflowPunct/>
        <w:topLinePunct w:val="0"/>
        <w:bidi w:val="0"/>
        <w:snapToGrid w:val="0"/>
        <w:spacing w:before="0" w:line="360" w:lineRule="auto"/>
        <w:ind w:left="-181" w:leftChars="-86" w:firstLine="660" w:firstLineChars="275"/>
        <w:rPr>
          <w:rFonts w:ascii="仿宋_GB2312" w:hAnsi="仿宋_GB2312" w:eastAsia="仿宋_GB2312" w:cs="仿宋_GB2312"/>
          <w:iCs/>
          <w:highlight w:val="none"/>
        </w:rPr>
      </w:pPr>
      <w:r>
        <w:rPr>
          <w:rFonts w:hint="eastAsia" w:ascii="仿宋_GB2312" w:hAnsi="仿宋_GB2312" w:eastAsia="仿宋_GB2312" w:cs="仿宋_GB2312"/>
          <w:iCs/>
          <w:highlight w:val="none"/>
        </w:rPr>
        <w:t>1.总则</w:t>
      </w:r>
    </w:p>
    <w:p w14:paraId="46481927">
      <w:pPr>
        <w:pStyle w:val="10"/>
        <w:keepNext w:val="0"/>
        <w:keepLines w:val="0"/>
        <w:pageBreakBefore w:val="0"/>
        <w:widowControl w:val="0"/>
        <w:wordWrap/>
        <w:overflowPunct/>
        <w:topLinePunct w:val="0"/>
        <w:bidi w:val="0"/>
        <w:snapToGrid w:val="0"/>
        <w:spacing w:before="0" w:line="360" w:lineRule="auto"/>
        <w:ind w:left="-181" w:leftChars="-86" w:firstLine="660" w:firstLineChars="275"/>
        <w:rPr>
          <w:rFonts w:ascii="仿宋_GB2312" w:hAnsi="仿宋_GB2312" w:eastAsia="仿宋_GB2312" w:cs="仿宋_GB2312"/>
          <w:iCs/>
          <w:highlight w:val="none"/>
        </w:rPr>
      </w:pPr>
      <w:r>
        <w:rPr>
          <w:rFonts w:hint="eastAsia" w:ascii="仿宋_GB2312" w:hAnsi="仿宋_GB2312" w:eastAsia="仿宋_GB2312" w:cs="仿宋_GB2312"/>
          <w:iCs/>
          <w:highlight w:val="none"/>
        </w:rPr>
        <w:t>1.1根据《中华人民共和国政府采购法》、《中华人民共和国政府采购法实施条例》、《政府采购货物和服务招标投标管理办法（财政部第87号令）》等法律制度，结合采购项目特点制定本评标办法。</w:t>
      </w:r>
    </w:p>
    <w:p w14:paraId="050DB2BE">
      <w:pPr>
        <w:pStyle w:val="10"/>
        <w:keepNext w:val="0"/>
        <w:keepLines w:val="0"/>
        <w:pageBreakBefore w:val="0"/>
        <w:widowControl w:val="0"/>
        <w:wordWrap/>
        <w:overflowPunct/>
        <w:topLinePunct w:val="0"/>
        <w:bidi w:val="0"/>
        <w:snapToGrid w:val="0"/>
        <w:spacing w:before="0" w:line="360" w:lineRule="auto"/>
        <w:ind w:left="-181" w:leftChars="-86" w:firstLine="660" w:firstLineChars="275"/>
        <w:rPr>
          <w:rFonts w:ascii="仿宋_GB2312" w:hAnsi="仿宋_GB2312" w:eastAsia="仿宋_GB2312" w:cs="仿宋_GB2312"/>
          <w:iCs/>
          <w:highlight w:val="none"/>
        </w:rPr>
      </w:pPr>
      <w:r>
        <w:rPr>
          <w:rFonts w:hint="eastAsia" w:ascii="仿宋_GB2312" w:hAnsi="仿宋_GB2312" w:eastAsia="仿宋_GB2312" w:cs="仿宋_GB2312"/>
          <w:iCs/>
          <w:highlight w:val="none"/>
        </w:rPr>
        <w:t>1.2评标工作由采购代理机构负责组织，具体评标事务由采购代理机构依法组建的评标委员会负责。评标委员会由采购人代表和有关技术、经济、法律等方面的专家组成。</w:t>
      </w:r>
    </w:p>
    <w:p w14:paraId="397A39BA">
      <w:pPr>
        <w:pStyle w:val="10"/>
        <w:keepNext w:val="0"/>
        <w:keepLines w:val="0"/>
        <w:pageBreakBefore w:val="0"/>
        <w:widowControl w:val="0"/>
        <w:wordWrap/>
        <w:overflowPunct/>
        <w:topLinePunct w:val="0"/>
        <w:bidi w:val="0"/>
        <w:snapToGrid w:val="0"/>
        <w:spacing w:before="0" w:line="360" w:lineRule="auto"/>
        <w:ind w:left="-181" w:leftChars="-86" w:firstLine="660" w:firstLineChars="275"/>
        <w:rPr>
          <w:rFonts w:ascii="仿宋_GB2312" w:hAnsi="仿宋_GB2312" w:eastAsia="仿宋_GB2312" w:cs="仿宋_GB2312"/>
          <w:iCs/>
          <w:highlight w:val="none"/>
        </w:rPr>
      </w:pPr>
      <w:r>
        <w:rPr>
          <w:rFonts w:hint="eastAsia" w:ascii="仿宋_GB2312" w:hAnsi="仿宋_GB2312" w:eastAsia="仿宋_GB2312" w:cs="仿宋_GB2312"/>
          <w:iCs/>
          <w:highlight w:val="none"/>
        </w:rPr>
        <w:t>1.3评标工作应遵循公平、公正、科学及择优的原则，并以相同的评标程序和标准对待所有的投标人。</w:t>
      </w:r>
    </w:p>
    <w:p w14:paraId="23587281">
      <w:pPr>
        <w:pStyle w:val="10"/>
        <w:keepNext w:val="0"/>
        <w:keepLines w:val="0"/>
        <w:pageBreakBefore w:val="0"/>
        <w:widowControl w:val="0"/>
        <w:wordWrap/>
        <w:overflowPunct/>
        <w:topLinePunct w:val="0"/>
        <w:bidi w:val="0"/>
        <w:snapToGrid w:val="0"/>
        <w:spacing w:before="0" w:line="360" w:lineRule="auto"/>
        <w:ind w:left="-181" w:leftChars="-86" w:firstLine="660" w:firstLineChars="275"/>
        <w:rPr>
          <w:rFonts w:ascii="仿宋_GB2312" w:hAnsi="仿宋_GB2312" w:eastAsia="仿宋_GB2312" w:cs="仿宋_GB2312"/>
          <w:iCs/>
          <w:highlight w:val="none"/>
        </w:rPr>
      </w:pPr>
      <w:r>
        <w:rPr>
          <w:rFonts w:hint="eastAsia" w:ascii="仿宋_GB2312" w:hAnsi="仿宋_GB2312" w:eastAsia="仿宋_GB2312" w:cs="仿宋_GB2312"/>
          <w:iCs/>
          <w:highlight w:val="none"/>
        </w:rPr>
        <w:t>1.4评标委员会按照招标文件规定的评标方法和标准进行评标，并独立履行下列职责：</w:t>
      </w:r>
    </w:p>
    <w:p w14:paraId="6D60F5C9">
      <w:pPr>
        <w:pStyle w:val="10"/>
        <w:keepNext w:val="0"/>
        <w:keepLines w:val="0"/>
        <w:pageBreakBefore w:val="0"/>
        <w:widowControl w:val="0"/>
        <w:wordWrap/>
        <w:overflowPunct/>
        <w:topLinePunct w:val="0"/>
        <w:bidi w:val="0"/>
        <w:snapToGrid w:val="0"/>
        <w:spacing w:before="0" w:line="360" w:lineRule="auto"/>
        <w:rPr>
          <w:rFonts w:ascii="仿宋_GB2312" w:hAnsi="仿宋_GB2312" w:eastAsia="仿宋_GB2312" w:cs="仿宋_GB2312"/>
          <w:iCs/>
          <w:highlight w:val="none"/>
        </w:rPr>
      </w:pPr>
      <w:r>
        <w:rPr>
          <w:rFonts w:hint="eastAsia" w:ascii="仿宋_GB2312" w:hAnsi="仿宋_GB2312" w:eastAsia="仿宋_GB2312" w:cs="仿宋_GB2312"/>
          <w:iCs/>
          <w:highlight w:val="none"/>
        </w:rPr>
        <w:t>（一）审查、评价投标文件是否符合招标文件的商务、技术等实质性要求；</w:t>
      </w:r>
    </w:p>
    <w:p w14:paraId="6A5F8377">
      <w:pPr>
        <w:pStyle w:val="10"/>
        <w:keepNext w:val="0"/>
        <w:keepLines w:val="0"/>
        <w:pageBreakBefore w:val="0"/>
        <w:widowControl w:val="0"/>
        <w:wordWrap/>
        <w:overflowPunct/>
        <w:topLinePunct w:val="0"/>
        <w:bidi w:val="0"/>
        <w:snapToGrid w:val="0"/>
        <w:spacing w:before="0" w:line="360" w:lineRule="auto"/>
        <w:rPr>
          <w:rFonts w:ascii="仿宋_GB2312" w:hAnsi="仿宋_GB2312" w:eastAsia="仿宋_GB2312" w:cs="仿宋_GB2312"/>
          <w:iCs/>
          <w:highlight w:val="none"/>
        </w:rPr>
      </w:pPr>
      <w:r>
        <w:rPr>
          <w:rFonts w:hint="eastAsia" w:ascii="仿宋_GB2312" w:hAnsi="仿宋_GB2312" w:eastAsia="仿宋_GB2312" w:cs="仿宋_GB2312"/>
          <w:iCs/>
          <w:highlight w:val="none"/>
        </w:rPr>
        <w:t>（二）要求投标人对投标文件有关事项作出澄清或者说明；</w:t>
      </w:r>
    </w:p>
    <w:p w14:paraId="436A8962">
      <w:pPr>
        <w:pStyle w:val="10"/>
        <w:keepNext w:val="0"/>
        <w:keepLines w:val="0"/>
        <w:pageBreakBefore w:val="0"/>
        <w:widowControl w:val="0"/>
        <w:wordWrap/>
        <w:overflowPunct/>
        <w:topLinePunct w:val="0"/>
        <w:bidi w:val="0"/>
        <w:snapToGrid w:val="0"/>
        <w:spacing w:before="0" w:line="360" w:lineRule="auto"/>
        <w:rPr>
          <w:rFonts w:ascii="仿宋_GB2312" w:hAnsi="仿宋_GB2312" w:eastAsia="仿宋_GB2312" w:cs="仿宋_GB2312"/>
          <w:iCs/>
          <w:highlight w:val="none"/>
        </w:rPr>
      </w:pPr>
      <w:r>
        <w:rPr>
          <w:rFonts w:hint="eastAsia" w:ascii="仿宋_GB2312" w:hAnsi="仿宋_GB2312" w:eastAsia="仿宋_GB2312" w:cs="仿宋_GB2312"/>
          <w:iCs/>
          <w:highlight w:val="none"/>
        </w:rPr>
        <w:t>（三）对投标文件进行比较和评价；</w:t>
      </w:r>
    </w:p>
    <w:p w14:paraId="53F78E69">
      <w:pPr>
        <w:pStyle w:val="10"/>
        <w:keepNext w:val="0"/>
        <w:keepLines w:val="0"/>
        <w:pageBreakBefore w:val="0"/>
        <w:widowControl w:val="0"/>
        <w:wordWrap/>
        <w:overflowPunct/>
        <w:topLinePunct w:val="0"/>
        <w:bidi w:val="0"/>
        <w:snapToGrid w:val="0"/>
        <w:spacing w:before="0" w:line="360" w:lineRule="auto"/>
        <w:rPr>
          <w:rFonts w:ascii="仿宋_GB2312" w:hAnsi="仿宋_GB2312" w:eastAsia="仿宋_GB2312" w:cs="仿宋_GB2312"/>
          <w:iCs/>
          <w:highlight w:val="none"/>
        </w:rPr>
      </w:pPr>
      <w:r>
        <w:rPr>
          <w:rFonts w:hint="eastAsia" w:ascii="仿宋_GB2312" w:hAnsi="仿宋_GB2312" w:eastAsia="仿宋_GB2312" w:cs="仿宋_GB2312"/>
          <w:iCs/>
          <w:highlight w:val="none"/>
        </w:rPr>
        <w:t>（四）确定中标候选人名单，以及根据采购人委托直接确定中标人；</w:t>
      </w:r>
    </w:p>
    <w:p w14:paraId="193130FB">
      <w:pPr>
        <w:pStyle w:val="10"/>
        <w:keepNext w:val="0"/>
        <w:keepLines w:val="0"/>
        <w:pageBreakBefore w:val="0"/>
        <w:widowControl w:val="0"/>
        <w:wordWrap/>
        <w:overflowPunct/>
        <w:topLinePunct w:val="0"/>
        <w:bidi w:val="0"/>
        <w:snapToGrid w:val="0"/>
        <w:spacing w:before="0" w:line="360" w:lineRule="auto"/>
        <w:rPr>
          <w:rFonts w:ascii="仿宋_GB2312" w:hAnsi="仿宋_GB2312" w:eastAsia="仿宋_GB2312" w:cs="仿宋_GB2312"/>
          <w:iCs/>
          <w:highlight w:val="none"/>
        </w:rPr>
      </w:pPr>
      <w:r>
        <w:rPr>
          <w:rFonts w:hint="eastAsia" w:ascii="仿宋_GB2312" w:hAnsi="仿宋_GB2312" w:eastAsia="仿宋_GB2312" w:cs="仿宋_GB2312"/>
          <w:iCs/>
          <w:highlight w:val="none"/>
        </w:rPr>
        <w:t>（五）向采购人、采购代理机构或者有关部门报告评标中发现的违法行为。</w:t>
      </w:r>
    </w:p>
    <w:p w14:paraId="6A0B45CD">
      <w:pPr>
        <w:pStyle w:val="10"/>
        <w:keepNext w:val="0"/>
        <w:keepLines w:val="0"/>
        <w:pageBreakBefore w:val="0"/>
        <w:widowControl w:val="0"/>
        <w:wordWrap/>
        <w:overflowPunct/>
        <w:topLinePunct w:val="0"/>
        <w:bidi w:val="0"/>
        <w:snapToGrid w:val="0"/>
        <w:spacing w:before="0" w:line="360" w:lineRule="auto"/>
        <w:rPr>
          <w:rFonts w:ascii="仿宋_GB2312" w:hAnsi="仿宋_GB2312" w:eastAsia="仿宋_GB2312" w:cs="仿宋_GB2312"/>
          <w:iCs/>
          <w:highlight w:val="none"/>
        </w:rPr>
      </w:pPr>
      <w:r>
        <w:rPr>
          <w:rFonts w:hint="eastAsia" w:ascii="仿宋_GB2312" w:hAnsi="仿宋_GB2312" w:eastAsia="仿宋_GB2312" w:cs="仿宋_GB2312"/>
          <w:iCs/>
          <w:highlight w:val="none"/>
        </w:rPr>
        <w:t>（六）法律、法规和规章规定的其他职责。</w:t>
      </w:r>
    </w:p>
    <w:p w14:paraId="5304B8C7">
      <w:pPr>
        <w:pStyle w:val="10"/>
        <w:keepNext w:val="0"/>
        <w:keepLines w:val="0"/>
        <w:pageBreakBefore w:val="0"/>
        <w:widowControl w:val="0"/>
        <w:wordWrap/>
        <w:overflowPunct/>
        <w:topLinePunct w:val="0"/>
        <w:bidi w:val="0"/>
        <w:snapToGrid w:val="0"/>
        <w:spacing w:before="0" w:line="360" w:lineRule="auto"/>
        <w:ind w:left="-181" w:leftChars="-86" w:firstLine="660" w:firstLineChars="275"/>
        <w:rPr>
          <w:rFonts w:ascii="仿宋_GB2312" w:hAnsi="仿宋_GB2312" w:eastAsia="仿宋_GB2312" w:cs="仿宋_GB2312"/>
          <w:iCs/>
          <w:highlight w:val="none"/>
        </w:rPr>
      </w:pPr>
      <w:r>
        <w:rPr>
          <w:rFonts w:hint="eastAsia" w:ascii="仿宋_GB2312" w:hAnsi="仿宋_GB2312" w:eastAsia="仿宋_GB2312" w:cs="仿宋_GB2312"/>
          <w:iCs/>
          <w:highlight w:val="none"/>
        </w:rPr>
        <w:t>1.5评标过程独立、保密。投标人非法干预评标过程的行为将导致其投标文件作为无效处理。</w:t>
      </w:r>
    </w:p>
    <w:p w14:paraId="2FD5A79E">
      <w:pPr>
        <w:pStyle w:val="10"/>
        <w:keepNext w:val="0"/>
        <w:keepLines w:val="0"/>
        <w:pageBreakBefore w:val="0"/>
        <w:widowControl w:val="0"/>
        <w:wordWrap/>
        <w:overflowPunct/>
        <w:topLinePunct w:val="0"/>
        <w:bidi w:val="0"/>
        <w:snapToGrid w:val="0"/>
        <w:spacing w:before="0" w:line="360" w:lineRule="auto"/>
        <w:ind w:left="-181" w:leftChars="-86" w:firstLine="660" w:firstLineChars="275"/>
        <w:rPr>
          <w:rFonts w:ascii="仿宋_GB2312" w:hAnsi="仿宋_GB2312" w:eastAsia="仿宋_GB2312" w:cs="仿宋_GB2312"/>
          <w:iCs/>
          <w:highlight w:val="none"/>
        </w:rPr>
      </w:pPr>
      <w:r>
        <w:rPr>
          <w:rFonts w:hint="eastAsia" w:ascii="仿宋_GB2312" w:hAnsi="仿宋_GB2312" w:eastAsia="仿宋_GB2312" w:cs="仿宋_GB2312"/>
          <w:iCs/>
          <w:highlight w:val="none"/>
        </w:rPr>
        <w:t>1.6评标委员会评价投标文件的响应性，对于投标人而言，除评标委员会要求其澄清、说明或者更正而提供的资料外，仅依据投标文件本身的内容，不寻求其他外部证据。</w:t>
      </w:r>
    </w:p>
    <w:p w14:paraId="49865203">
      <w:pPr>
        <w:pStyle w:val="10"/>
        <w:keepNext w:val="0"/>
        <w:keepLines w:val="0"/>
        <w:pageBreakBefore w:val="0"/>
        <w:widowControl w:val="0"/>
        <w:wordWrap/>
        <w:overflowPunct/>
        <w:topLinePunct w:val="0"/>
        <w:bidi w:val="0"/>
        <w:snapToGrid w:val="0"/>
        <w:spacing w:before="0" w:line="360" w:lineRule="auto"/>
        <w:ind w:firstLine="240" w:firstLineChars="100"/>
        <w:rPr>
          <w:rFonts w:ascii="仿宋_GB2312" w:hAnsi="仿宋_GB2312" w:eastAsia="仿宋_GB2312" w:cs="仿宋_GB2312"/>
          <w:iCs/>
          <w:highlight w:val="none"/>
        </w:rPr>
      </w:pPr>
      <w:r>
        <w:rPr>
          <w:rFonts w:hint="eastAsia" w:ascii="仿宋_GB2312" w:hAnsi="仿宋_GB2312" w:eastAsia="仿宋_GB2312" w:cs="仿宋_GB2312"/>
          <w:iCs/>
          <w:highlight w:val="none"/>
        </w:rPr>
        <w:t>1.7采购人或者采购代理机构负责组织评标工作，并履行下列职责：</w:t>
      </w:r>
    </w:p>
    <w:p w14:paraId="57CE28E3">
      <w:pPr>
        <w:pStyle w:val="10"/>
        <w:keepNext w:val="0"/>
        <w:keepLines w:val="0"/>
        <w:pageBreakBefore w:val="0"/>
        <w:widowControl w:val="0"/>
        <w:wordWrap/>
        <w:overflowPunct/>
        <w:topLinePunct w:val="0"/>
        <w:bidi w:val="0"/>
        <w:snapToGrid w:val="0"/>
        <w:spacing w:before="0" w:line="360" w:lineRule="auto"/>
        <w:ind w:firstLine="240" w:firstLineChars="100"/>
        <w:rPr>
          <w:rFonts w:ascii="仿宋_GB2312" w:hAnsi="仿宋_GB2312" w:eastAsia="仿宋_GB2312" w:cs="仿宋_GB2312"/>
          <w:iCs/>
          <w:highlight w:val="none"/>
        </w:rPr>
      </w:pPr>
      <w:r>
        <w:rPr>
          <w:rFonts w:hint="eastAsia" w:ascii="仿宋_GB2312" w:hAnsi="仿宋_GB2312" w:eastAsia="仿宋_GB2312" w:cs="仿宋_GB2312"/>
          <w:iCs/>
          <w:highlight w:val="none"/>
        </w:rPr>
        <w:t>（一）核对评审专家身份和采购人代表信息，对评审专家在政府采购活动中的职责履行情况予以记录，并及时将有关违法违规行为向财政部门报告；</w:t>
      </w:r>
    </w:p>
    <w:p w14:paraId="223368F3">
      <w:pPr>
        <w:pStyle w:val="10"/>
        <w:keepNext w:val="0"/>
        <w:keepLines w:val="0"/>
        <w:pageBreakBefore w:val="0"/>
        <w:widowControl w:val="0"/>
        <w:wordWrap/>
        <w:overflowPunct/>
        <w:topLinePunct w:val="0"/>
        <w:bidi w:val="0"/>
        <w:snapToGrid w:val="0"/>
        <w:spacing w:before="0" w:line="360" w:lineRule="auto"/>
        <w:ind w:firstLine="240" w:firstLineChars="100"/>
        <w:rPr>
          <w:rFonts w:ascii="仿宋_GB2312" w:hAnsi="仿宋_GB2312" w:eastAsia="仿宋_GB2312" w:cs="仿宋_GB2312"/>
          <w:iCs/>
          <w:highlight w:val="none"/>
        </w:rPr>
      </w:pPr>
      <w:r>
        <w:rPr>
          <w:rFonts w:hint="eastAsia" w:ascii="仿宋_GB2312" w:hAnsi="仿宋_GB2312" w:eastAsia="仿宋_GB2312" w:cs="仿宋_GB2312"/>
          <w:iCs/>
          <w:highlight w:val="none"/>
        </w:rPr>
        <w:t>（二）宣布评标纪律；</w:t>
      </w:r>
    </w:p>
    <w:p w14:paraId="48513A9A">
      <w:pPr>
        <w:pStyle w:val="10"/>
        <w:keepNext w:val="0"/>
        <w:keepLines w:val="0"/>
        <w:pageBreakBefore w:val="0"/>
        <w:widowControl w:val="0"/>
        <w:wordWrap/>
        <w:overflowPunct/>
        <w:topLinePunct w:val="0"/>
        <w:bidi w:val="0"/>
        <w:snapToGrid w:val="0"/>
        <w:spacing w:before="0" w:line="360" w:lineRule="auto"/>
        <w:ind w:firstLine="240" w:firstLineChars="100"/>
        <w:rPr>
          <w:rFonts w:ascii="仿宋_GB2312" w:hAnsi="仿宋_GB2312" w:eastAsia="仿宋_GB2312" w:cs="仿宋_GB2312"/>
          <w:iCs/>
          <w:highlight w:val="none"/>
        </w:rPr>
      </w:pPr>
      <w:r>
        <w:rPr>
          <w:rFonts w:hint="eastAsia" w:ascii="仿宋_GB2312" w:hAnsi="仿宋_GB2312" w:eastAsia="仿宋_GB2312" w:cs="仿宋_GB2312"/>
          <w:iCs/>
          <w:highlight w:val="none"/>
        </w:rPr>
        <w:t>（三）公布投标人名单，告知评审专家应当回避的情形；</w:t>
      </w:r>
    </w:p>
    <w:p w14:paraId="7375FFFC">
      <w:pPr>
        <w:pStyle w:val="10"/>
        <w:keepNext w:val="0"/>
        <w:keepLines w:val="0"/>
        <w:pageBreakBefore w:val="0"/>
        <w:widowControl w:val="0"/>
        <w:wordWrap/>
        <w:overflowPunct/>
        <w:topLinePunct w:val="0"/>
        <w:bidi w:val="0"/>
        <w:snapToGrid w:val="0"/>
        <w:spacing w:before="0" w:line="360" w:lineRule="auto"/>
        <w:ind w:firstLine="240" w:firstLineChars="100"/>
        <w:rPr>
          <w:rFonts w:ascii="仿宋_GB2312" w:hAnsi="仿宋_GB2312" w:eastAsia="仿宋_GB2312" w:cs="仿宋_GB2312"/>
          <w:iCs/>
          <w:highlight w:val="none"/>
        </w:rPr>
      </w:pPr>
      <w:r>
        <w:rPr>
          <w:rFonts w:hint="eastAsia" w:ascii="仿宋_GB2312" w:hAnsi="仿宋_GB2312" w:eastAsia="仿宋_GB2312" w:cs="仿宋_GB2312"/>
          <w:iCs/>
          <w:highlight w:val="none"/>
        </w:rPr>
        <w:t>（四）组织评标委员会推选评标组长，采购人代表不得担任组长；</w:t>
      </w:r>
    </w:p>
    <w:p w14:paraId="69CDE38F">
      <w:pPr>
        <w:pStyle w:val="10"/>
        <w:keepNext w:val="0"/>
        <w:keepLines w:val="0"/>
        <w:pageBreakBefore w:val="0"/>
        <w:widowControl w:val="0"/>
        <w:wordWrap/>
        <w:overflowPunct/>
        <w:topLinePunct w:val="0"/>
        <w:bidi w:val="0"/>
        <w:snapToGrid w:val="0"/>
        <w:spacing w:before="0" w:line="360" w:lineRule="auto"/>
        <w:ind w:firstLine="240" w:firstLineChars="100"/>
        <w:rPr>
          <w:rFonts w:ascii="仿宋_GB2312" w:hAnsi="仿宋_GB2312" w:eastAsia="仿宋_GB2312" w:cs="仿宋_GB2312"/>
          <w:iCs/>
          <w:highlight w:val="none"/>
        </w:rPr>
      </w:pPr>
      <w:r>
        <w:rPr>
          <w:rFonts w:hint="eastAsia" w:ascii="仿宋_GB2312" w:hAnsi="仿宋_GB2312" w:eastAsia="仿宋_GB2312" w:cs="仿宋_GB2312"/>
          <w:iCs/>
          <w:highlight w:val="none"/>
        </w:rPr>
        <w:t>（五）在评标期间采取必要的通讯管理措施，保证评标活动不受外界干扰；</w:t>
      </w:r>
    </w:p>
    <w:p w14:paraId="3140741B">
      <w:pPr>
        <w:pStyle w:val="10"/>
        <w:keepNext w:val="0"/>
        <w:keepLines w:val="0"/>
        <w:pageBreakBefore w:val="0"/>
        <w:widowControl w:val="0"/>
        <w:wordWrap/>
        <w:overflowPunct/>
        <w:topLinePunct w:val="0"/>
        <w:bidi w:val="0"/>
        <w:snapToGrid w:val="0"/>
        <w:spacing w:before="0" w:line="360" w:lineRule="auto"/>
        <w:ind w:firstLine="240" w:firstLineChars="100"/>
        <w:rPr>
          <w:rFonts w:ascii="仿宋_GB2312" w:hAnsi="仿宋_GB2312" w:eastAsia="仿宋_GB2312" w:cs="仿宋_GB2312"/>
          <w:iCs/>
          <w:highlight w:val="none"/>
        </w:rPr>
      </w:pPr>
      <w:r>
        <w:rPr>
          <w:rFonts w:hint="eastAsia" w:ascii="仿宋_GB2312" w:hAnsi="仿宋_GB2312" w:eastAsia="仿宋_GB2312" w:cs="仿宋_GB2312"/>
          <w:iCs/>
          <w:highlight w:val="none"/>
        </w:rPr>
        <w:t>（六）根据评标委员会的要求介绍政府采购相关政策法规、招标文件；</w:t>
      </w:r>
    </w:p>
    <w:p w14:paraId="4055023B">
      <w:pPr>
        <w:pStyle w:val="10"/>
        <w:keepNext w:val="0"/>
        <w:keepLines w:val="0"/>
        <w:pageBreakBefore w:val="0"/>
        <w:widowControl w:val="0"/>
        <w:kinsoku/>
        <w:wordWrap/>
        <w:overflowPunct/>
        <w:topLinePunct w:val="0"/>
        <w:autoSpaceDE/>
        <w:autoSpaceDN/>
        <w:bidi w:val="0"/>
        <w:adjustRightInd/>
        <w:snapToGrid w:val="0"/>
        <w:spacing w:before="0" w:after="0" w:line="360" w:lineRule="auto"/>
        <w:ind w:firstLine="240" w:firstLineChars="100"/>
        <w:textAlignment w:val="baseline"/>
        <w:rPr>
          <w:rFonts w:ascii="仿宋_GB2312" w:hAnsi="仿宋_GB2312" w:eastAsia="仿宋_GB2312" w:cs="仿宋_GB2312"/>
          <w:iCs/>
          <w:highlight w:val="none"/>
        </w:rPr>
      </w:pPr>
      <w:r>
        <w:rPr>
          <w:rFonts w:hint="eastAsia" w:ascii="仿宋_GB2312" w:hAnsi="仿宋_GB2312" w:eastAsia="仿宋_GB2312" w:cs="仿宋_GB2312"/>
          <w:iCs/>
          <w:highlight w:val="none"/>
        </w:rPr>
        <w:t>（七）维护评标秩序，监督评标委员会依照招标文件规定的评标程序、方法和标准进行独立评审，及时制止和纠正采购人代表、评审专家的倾向性言论或者违法违规行为；</w:t>
      </w:r>
    </w:p>
    <w:p w14:paraId="30732800">
      <w:pPr>
        <w:pStyle w:val="10"/>
        <w:keepNext w:val="0"/>
        <w:keepLines w:val="0"/>
        <w:pageBreakBefore w:val="0"/>
        <w:widowControl w:val="0"/>
        <w:kinsoku/>
        <w:wordWrap/>
        <w:overflowPunct/>
        <w:topLinePunct w:val="0"/>
        <w:autoSpaceDE/>
        <w:autoSpaceDN/>
        <w:bidi w:val="0"/>
        <w:adjustRightInd/>
        <w:snapToGrid w:val="0"/>
        <w:spacing w:before="0" w:after="0" w:line="360" w:lineRule="auto"/>
        <w:ind w:firstLine="240" w:firstLineChars="100"/>
        <w:textAlignment w:val="baseline"/>
        <w:rPr>
          <w:rFonts w:ascii="仿宋_GB2312" w:hAnsi="仿宋_GB2312" w:eastAsia="仿宋_GB2312" w:cs="仿宋_GB2312"/>
          <w:iCs/>
          <w:highlight w:val="none"/>
        </w:rPr>
      </w:pPr>
      <w:r>
        <w:rPr>
          <w:rFonts w:hint="eastAsia" w:ascii="仿宋_GB2312" w:hAnsi="仿宋_GB2312" w:eastAsia="仿宋_GB2312" w:cs="仿宋_GB2312"/>
          <w:iCs/>
          <w:highlight w:val="none"/>
        </w:rPr>
        <w:t>（八）核对评标结果，有财政部87号令第六十四条规定情形的，要求评标委员会复核或者书面说明理由，评标委员会拒绝的，应予记录并向本级财政部门报告；</w:t>
      </w:r>
    </w:p>
    <w:p w14:paraId="620E5CB0">
      <w:pPr>
        <w:pStyle w:val="10"/>
        <w:keepNext w:val="0"/>
        <w:keepLines w:val="0"/>
        <w:pageBreakBefore w:val="0"/>
        <w:widowControl w:val="0"/>
        <w:kinsoku/>
        <w:wordWrap/>
        <w:overflowPunct/>
        <w:topLinePunct w:val="0"/>
        <w:autoSpaceDE/>
        <w:autoSpaceDN/>
        <w:bidi w:val="0"/>
        <w:adjustRightInd/>
        <w:snapToGrid w:val="0"/>
        <w:spacing w:before="0" w:after="0" w:line="360" w:lineRule="auto"/>
        <w:ind w:left="480" w:hanging="480" w:hangingChars="200"/>
        <w:textAlignment w:val="baseline"/>
        <w:rPr>
          <w:rFonts w:hint="eastAsia" w:ascii="仿宋_GB2312" w:hAnsi="仿宋_GB2312" w:eastAsia="仿宋_GB2312" w:cs="仿宋_GB2312"/>
          <w:iCs/>
          <w:highlight w:val="none"/>
        </w:rPr>
      </w:pPr>
      <w:r>
        <w:rPr>
          <w:rFonts w:hint="eastAsia" w:ascii="仿宋_GB2312" w:hAnsi="仿宋_GB2312" w:eastAsia="仿宋_GB2312" w:cs="仿宋_GB2312"/>
          <w:iCs/>
          <w:highlight w:val="none"/>
        </w:rPr>
        <w:t>　（九）处理与评标有关的其他事项。</w:t>
      </w:r>
    </w:p>
    <w:p w14:paraId="13B6BEB0">
      <w:pPr>
        <w:pStyle w:val="10"/>
        <w:keepNext w:val="0"/>
        <w:keepLines w:val="0"/>
        <w:pageBreakBefore w:val="0"/>
        <w:widowControl w:val="0"/>
        <w:kinsoku/>
        <w:wordWrap/>
        <w:overflowPunct/>
        <w:topLinePunct w:val="0"/>
        <w:autoSpaceDE/>
        <w:autoSpaceDN/>
        <w:bidi w:val="0"/>
        <w:adjustRightInd/>
        <w:snapToGrid w:val="0"/>
        <w:spacing w:before="0" w:line="360" w:lineRule="auto"/>
        <w:ind w:firstLine="480" w:firstLineChars="200"/>
        <w:textAlignment w:val="baseline"/>
        <w:rPr>
          <w:rFonts w:ascii="仿宋_GB2312" w:hAnsi="仿宋_GB2312" w:eastAsia="仿宋_GB2312" w:cs="仿宋_GB2312"/>
          <w:iCs/>
          <w:highlight w:val="none"/>
        </w:rPr>
      </w:pPr>
      <w:r>
        <w:rPr>
          <w:rFonts w:hint="eastAsia" w:ascii="仿宋_GB2312" w:hAnsi="仿宋_GB2312" w:eastAsia="仿宋_GB2312" w:cs="仿宋_GB2312"/>
          <w:iCs/>
          <w:highlight w:val="none"/>
        </w:rPr>
        <w:t>采购人可以在评标前说明项目背景和采购需求，说明内容不得含有歧视性、倾向性意见，不得超出招标文件所述范围。说明应当提交书面材料，并随采购文件一并存档。</w:t>
      </w:r>
    </w:p>
    <w:p w14:paraId="008E87FF">
      <w:pPr>
        <w:pStyle w:val="10"/>
        <w:keepNext w:val="0"/>
        <w:keepLines w:val="0"/>
        <w:pageBreakBefore w:val="0"/>
        <w:widowControl w:val="0"/>
        <w:wordWrap/>
        <w:overflowPunct/>
        <w:topLinePunct w:val="0"/>
        <w:bidi w:val="0"/>
        <w:snapToGrid w:val="0"/>
        <w:spacing w:before="0" w:line="360" w:lineRule="auto"/>
        <w:ind w:left="-181" w:leftChars="-86" w:firstLine="660" w:firstLineChars="275"/>
        <w:rPr>
          <w:rFonts w:ascii="仿宋_GB2312" w:hAnsi="仿宋_GB2312" w:eastAsia="仿宋_GB2312" w:cs="仿宋_GB2312"/>
          <w:iCs/>
          <w:highlight w:val="none"/>
        </w:rPr>
      </w:pPr>
      <w:r>
        <w:rPr>
          <w:rFonts w:hint="eastAsia" w:ascii="仿宋_GB2312" w:hAnsi="仿宋_GB2312" w:eastAsia="仿宋_GB2312" w:cs="仿宋_GB2312"/>
          <w:iCs/>
          <w:highlight w:val="none"/>
        </w:rPr>
        <w:t>2、评标方法</w:t>
      </w:r>
    </w:p>
    <w:p w14:paraId="56FB0E49">
      <w:pPr>
        <w:pStyle w:val="10"/>
        <w:keepNext w:val="0"/>
        <w:keepLines w:val="0"/>
        <w:pageBreakBefore w:val="0"/>
        <w:widowControl w:val="0"/>
        <w:kinsoku/>
        <w:wordWrap/>
        <w:overflowPunct/>
        <w:topLinePunct w:val="0"/>
        <w:autoSpaceDE/>
        <w:autoSpaceDN/>
        <w:bidi w:val="0"/>
        <w:adjustRightInd/>
        <w:snapToGrid w:val="0"/>
        <w:spacing w:before="0" w:line="360" w:lineRule="auto"/>
        <w:ind w:left="-181" w:leftChars="-86" w:firstLine="660" w:firstLineChars="275"/>
        <w:textAlignment w:val="baseline"/>
        <w:rPr>
          <w:rFonts w:hint="eastAsia" w:ascii="仿宋_GB2312" w:hAnsi="仿宋_GB2312" w:eastAsia="仿宋_GB2312" w:cs="仿宋_GB2312"/>
          <w:iCs/>
          <w:highlight w:val="none"/>
        </w:rPr>
      </w:pPr>
      <w:r>
        <w:rPr>
          <w:rFonts w:hint="eastAsia" w:ascii="仿宋_GB2312" w:hAnsi="仿宋_GB2312" w:eastAsia="仿宋_GB2312" w:cs="仿宋_GB2312"/>
          <w:iCs/>
          <w:highlight w:val="none"/>
        </w:rPr>
        <w:t>本项目评标方法为：</w:t>
      </w:r>
      <w:r>
        <w:rPr>
          <w:rFonts w:hint="eastAsia" w:ascii="仿宋_GB2312" w:hAnsi="仿宋_GB2312" w:eastAsia="仿宋_GB2312" w:cs="仿宋_GB2312"/>
          <w:b/>
          <w:bCs/>
          <w:iCs/>
          <w:kern w:val="2"/>
          <w:highlight w:val="none"/>
          <w:lang w:val="en-US" w:eastAsia="zh-CN"/>
        </w:rPr>
        <w:t>综合评分</w:t>
      </w:r>
      <w:r>
        <w:rPr>
          <w:rFonts w:hint="eastAsia" w:ascii="仿宋_GB2312" w:hAnsi="仿宋_GB2312" w:eastAsia="仿宋_GB2312" w:cs="仿宋_GB2312"/>
          <w:b/>
          <w:bCs/>
          <w:iCs/>
          <w:kern w:val="2"/>
          <w:highlight w:val="none"/>
        </w:rPr>
        <w:t>法</w:t>
      </w:r>
      <w:r>
        <w:rPr>
          <w:rFonts w:hint="eastAsia" w:ascii="仿宋_GB2312" w:hAnsi="仿宋_GB2312" w:eastAsia="仿宋_GB2312" w:cs="仿宋_GB2312"/>
          <w:iCs/>
          <w:highlight w:val="none"/>
        </w:rPr>
        <w:t>。</w:t>
      </w:r>
    </w:p>
    <w:p w14:paraId="55982745">
      <w:pPr>
        <w:pStyle w:val="10"/>
        <w:keepNext w:val="0"/>
        <w:keepLines w:val="0"/>
        <w:pageBreakBefore w:val="0"/>
        <w:widowControl w:val="0"/>
        <w:kinsoku/>
        <w:wordWrap/>
        <w:overflowPunct/>
        <w:topLinePunct w:val="0"/>
        <w:autoSpaceDE/>
        <w:autoSpaceDN/>
        <w:bidi w:val="0"/>
        <w:adjustRightInd/>
        <w:snapToGrid w:val="0"/>
        <w:spacing w:before="0" w:line="360" w:lineRule="auto"/>
        <w:ind w:left="-181" w:leftChars="-86" w:firstLine="660" w:firstLineChars="275"/>
        <w:textAlignment w:val="baseline"/>
        <w:rPr>
          <w:rFonts w:ascii="仿宋_GB2312" w:hAnsi="仿宋_GB2312" w:eastAsia="仿宋_GB2312" w:cs="仿宋_GB2312"/>
          <w:iCs/>
          <w:highlight w:val="none"/>
        </w:rPr>
      </w:pPr>
      <w:r>
        <w:rPr>
          <w:rFonts w:hint="eastAsia" w:ascii="仿宋_GB2312" w:hAnsi="仿宋_GB2312" w:eastAsia="仿宋_GB2312" w:cs="仿宋_GB2312"/>
          <w:iCs/>
          <w:highlight w:val="none"/>
        </w:rPr>
        <w:t>3、评标程序</w:t>
      </w:r>
    </w:p>
    <w:p w14:paraId="09A405C8">
      <w:pPr>
        <w:pStyle w:val="10"/>
        <w:keepNext w:val="0"/>
        <w:keepLines w:val="0"/>
        <w:pageBreakBefore w:val="0"/>
        <w:widowControl w:val="0"/>
        <w:kinsoku/>
        <w:wordWrap/>
        <w:overflowPunct/>
        <w:topLinePunct w:val="0"/>
        <w:autoSpaceDE/>
        <w:autoSpaceDN/>
        <w:bidi w:val="0"/>
        <w:adjustRightInd/>
        <w:snapToGrid w:val="0"/>
        <w:spacing w:before="0" w:line="360" w:lineRule="auto"/>
        <w:ind w:left="-181" w:leftChars="-86" w:firstLine="660" w:firstLineChars="275"/>
        <w:textAlignment w:val="baseline"/>
        <w:rPr>
          <w:rFonts w:ascii="仿宋_GB2312" w:hAnsi="仿宋_GB2312" w:eastAsia="仿宋_GB2312" w:cs="仿宋_GB2312"/>
          <w:iCs/>
          <w:highlight w:val="none"/>
        </w:rPr>
      </w:pPr>
      <w:r>
        <w:rPr>
          <w:rFonts w:hint="eastAsia" w:ascii="仿宋_GB2312" w:hAnsi="仿宋_GB2312" w:eastAsia="仿宋_GB2312" w:cs="仿宋_GB2312"/>
          <w:iCs/>
          <w:highlight w:val="none"/>
        </w:rPr>
        <w:t>3.1熟悉和理解招标文件和停止评标。</w:t>
      </w:r>
    </w:p>
    <w:p w14:paraId="0CF562C9">
      <w:pPr>
        <w:pStyle w:val="10"/>
        <w:keepNext w:val="0"/>
        <w:keepLines w:val="0"/>
        <w:pageBreakBefore w:val="0"/>
        <w:widowControl w:val="0"/>
        <w:kinsoku/>
        <w:wordWrap/>
        <w:overflowPunct/>
        <w:topLinePunct w:val="0"/>
        <w:autoSpaceDE/>
        <w:autoSpaceDN/>
        <w:bidi w:val="0"/>
        <w:adjustRightInd/>
        <w:snapToGrid w:val="0"/>
        <w:spacing w:before="0" w:line="360" w:lineRule="auto"/>
        <w:ind w:left="-181" w:leftChars="-86" w:firstLine="660" w:firstLineChars="275"/>
        <w:textAlignment w:val="baseline"/>
        <w:rPr>
          <w:rFonts w:hint="eastAsia" w:ascii="仿宋_GB2312" w:hAnsi="仿宋_GB2312" w:eastAsia="仿宋_GB2312" w:cs="仿宋_GB2312"/>
          <w:iCs/>
          <w:highlight w:val="none"/>
        </w:rPr>
      </w:pPr>
      <w:r>
        <w:rPr>
          <w:rFonts w:hint="eastAsia" w:ascii="仿宋_GB2312" w:hAnsi="仿宋_GB2312" w:eastAsia="仿宋_GB2312" w:cs="仿宋_GB2312"/>
          <w:iCs/>
          <w:highlight w:val="none"/>
        </w:rPr>
        <w:t>3.1.1评标委员会正式评标前，应当对招标文件进行熟悉和理解，内容主要包括招标文件中采购项目技术、服务和商务要求、评标方法和标准以及可能涉及签订政府采购合同的内容等。</w:t>
      </w:r>
    </w:p>
    <w:p w14:paraId="7B2E9060">
      <w:pPr>
        <w:pStyle w:val="10"/>
        <w:keepNext w:val="0"/>
        <w:keepLines w:val="0"/>
        <w:pageBreakBefore w:val="0"/>
        <w:widowControl w:val="0"/>
        <w:kinsoku/>
        <w:wordWrap/>
        <w:overflowPunct/>
        <w:topLinePunct w:val="0"/>
        <w:autoSpaceDE/>
        <w:autoSpaceDN/>
        <w:bidi w:val="0"/>
        <w:adjustRightInd/>
        <w:snapToGrid w:val="0"/>
        <w:spacing w:before="0" w:line="360" w:lineRule="auto"/>
        <w:ind w:left="-181" w:leftChars="-86" w:firstLine="660" w:firstLineChars="275"/>
        <w:textAlignment w:val="baseline"/>
        <w:rPr>
          <w:rFonts w:hint="eastAsia" w:ascii="仿宋_GB2312" w:hAnsi="仿宋_GB2312" w:eastAsia="仿宋_GB2312" w:cs="仿宋_GB2312"/>
          <w:iCs/>
          <w:highlight w:val="none"/>
        </w:rPr>
      </w:pPr>
      <w:r>
        <w:rPr>
          <w:rFonts w:hint="eastAsia" w:ascii="仿宋_GB2312" w:hAnsi="仿宋_GB2312" w:eastAsia="仿宋_GB2312" w:cs="仿宋_GB2312"/>
          <w:iCs/>
          <w:highlight w:val="none"/>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33773D98">
      <w:pPr>
        <w:pStyle w:val="10"/>
        <w:keepNext w:val="0"/>
        <w:keepLines w:val="0"/>
        <w:pageBreakBefore w:val="0"/>
        <w:widowControl w:val="0"/>
        <w:wordWrap/>
        <w:overflowPunct/>
        <w:topLinePunct w:val="0"/>
        <w:bidi w:val="0"/>
        <w:snapToGrid w:val="0"/>
        <w:spacing w:before="0" w:line="360" w:lineRule="auto"/>
        <w:rPr>
          <w:rFonts w:hint="eastAsia" w:ascii="仿宋_GB2312" w:hAnsi="仿宋_GB2312" w:eastAsia="仿宋_GB2312" w:cs="仿宋_GB2312"/>
          <w:iCs/>
          <w:kern w:val="2"/>
          <w:sz w:val="24"/>
          <w:szCs w:val="24"/>
          <w:highlight w:val="none"/>
          <w:lang w:val="en-US" w:eastAsia="zh-CN" w:bidi="ar-SA"/>
        </w:rPr>
      </w:pPr>
      <w:r>
        <w:rPr>
          <w:rFonts w:hint="eastAsia" w:ascii="仿宋_GB2312" w:hAnsi="仿宋_GB2312" w:eastAsia="仿宋_GB2312" w:cs="仿宋_GB2312"/>
          <w:iCs/>
          <w:kern w:val="2"/>
          <w:sz w:val="24"/>
          <w:szCs w:val="24"/>
          <w:highlight w:val="none"/>
          <w:lang w:val="en-US" w:eastAsia="zh-CN" w:bidi="ar-SA"/>
        </w:rPr>
        <w:t>4.1根据《关于落实好政府采购支持中小企业发展的通知》（新财购〔2022〕22号）、《关于进一步加大政府采购支持中小企业力度的通知》（财库(2022〕19号）、《政府采购促进中小企业发展管理办法》（财库[2020]46号）、《财政部司法部关于政府采购支持监狱企业发展有关问题的通知》（财库〔2014〕68号）和《三部门联合发布关于促进残疾人就业政府采购政策的通知》（财库〔2017〕141号）的规定，对满足价格扣除条件且在投标文件中提交了《投标人企业类型声明函》或省级以上监狱管理局、戒毒管理局（含新疆生产建设兵团）出具的属于监狱企业的证明文件的投标人，其投标报价扣除10%后参与评审。具体办法详见招标文件第6章。</w:t>
      </w:r>
    </w:p>
    <w:p w14:paraId="7BD4D4B4">
      <w:pPr>
        <w:keepNext w:val="0"/>
        <w:keepLines w:val="0"/>
        <w:pageBreakBefore w:val="0"/>
        <w:widowControl/>
        <w:kinsoku/>
        <w:wordWrap/>
        <w:overflowPunct/>
        <w:topLinePunct w:val="0"/>
        <w:bidi w:val="0"/>
        <w:snapToGrid/>
        <w:spacing w:line="400" w:lineRule="exact"/>
        <w:textAlignment w:val="auto"/>
        <w:rPr>
          <w:rFonts w:hint="eastAsia" w:ascii="仿宋_GB2312" w:hAnsi="仿宋_GB2312" w:eastAsia="仿宋_GB2312" w:cs="仿宋_GB2312"/>
          <w:iCs/>
          <w:kern w:val="2"/>
          <w:sz w:val="24"/>
          <w:szCs w:val="24"/>
          <w:highlight w:val="none"/>
          <w:lang w:val="en-US" w:eastAsia="zh-CN" w:bidi="ar-SA"/>
        </w:rPr>
      </w:pPr>
      <w:r>
        <w:rPr>
          <w:rFonts w:hint="eastAsia" w:ascii="仿宋_GB2312" w:hAnsi="仿宋_GB2312" w:eastAsia="仿宋_GB2312" w:cs="仿宋_GB2312"/>
          <w:iCs/>
          <w:kern w:val="2"/>
          <w:sz w:val="24"/>
          <w:szCs w:val="24"/>
          <w:highlight w:val="none"/>
          <w:lang w:val="en-US" w:eastAsia="zh-CN" w:bidi="ar-SA"/>
        </w:rPr>
        <w:t>4.2落实本国产品标准及相关政策：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对于符合要求的，价格评审优惠对本国产品的报价给予20%的价格扣除。</w:t>
      </w:r>
    </w:p>
    <w:p w14:paraId="0E4F26D2">
      <w:pPr>
        <w:keepNext w:val="0"/>
        <w:keepLines w:val="0"/>
        <w:pageBreakBefore w:val="0"/>
        <w:widowControl/>
        <w:kinsoku/>
        <w:wordWrap/>
        <w:overflowPunct/>
        <w:topLinePunct w:val="0"/>
        <w:bidi w:val="0"/>
        <w:snapToGrid/>
        <w:spacing w:line="400" w:lineRule="exact"/>
        <w:textAlignment w:val="auto"/>
        <w:rPr>
          <w:rFonts w:hint="default" w:ascii="仿宋_GB2312" w:hAnsi="仿宋_GB2312" w:eastAsia="仿宋_GB2312" w:cs="仿宋_GB2312"/>
          <w:iCs/>
          <w:kern w:val="2"/>
          <w:sz w:val="24"/>
          <w:szCs w:val="24"/>
          <w:highlight w:val="none"/>
          <w:lang w:val="en-US" w:eastAsia="zh-CN" w:bidi="ar-SA"/>
        </w:rPr>
      </w:pPr>
      <w:r>
        <w:rPr>
          <w:rFonts w:hint="eastAsia" w:ascii="仿宋_GB2312" w:hAnsi="仿宋_GB2312" w:eastAsia="仿宋_GB2312" w:cs="仿宋_GB2312"/>
          <w:iCs/>
          <w:kern w:val="2"/>
          <w:sz w:val="24"/>
          <w:szCs w:val="24"/>
          <w:highlight w:val="none"/>
          <w:lang w:val="en-US" w:eastAsia="zh-CN" w:bidi="ar-SA"/>
        </w:rPr>
        <w:t>提供</w:t>
      </w:r>
      <w:r>
        <w:rPr>
          <w:rFonts w:hint="default" w:ascii="仿宋_GB2312" w:hAnsi="仿宋_GB2312" w:eastAsia="仿宋_GB2312" w:cs="仿宋_GB2312"/>
          <w:iCs/>
          <w:kern w:val="2"/>
          <w:sz w:val="24"/>
          <w:szCs w:val="24"/>
          <w:highlight w:val="none"/>
          <w:lang w:val="en-US" w:eastAsia="zh-CN" w:bidi="ar-SA"/>
        </w:rPr>
        <w:t>有关证明文件</w:t>
      </w:r>
      <w:r>
        <w:rPr>
          <w:rFonts w:hint="eastAsia" w:ascii="仿宋_GB2312" w:hAnsi="仿宋_GB2312" w:eastAsia="仿宋_GB2312" w:cs="仿宋_GB2312"/>
          <w:iCs/>
          <w:kern w:val="2"/>
          <w:sz w:val="24"/>
          <w:szCs w:val="24"/>
          <w:highlight w:val="none"/>
          <w:lang w:val="en-US" w:eastAsia="zh-CN" w:bidi="ar-SA"/>
        </w:rPr>
        <w:t>：</w:t>
      </w:r>
      <w:r>
        <w:rPr>
          <w:rFonts w:hint="default" w:ascii="仿宋_GB2312" w:hAnsi="仿宋_GB2312" w:eastAsia="仿宋_GB2312" w:cs="仿宋_GB2312"/>
          <w:iCs/>
          <w:kern w:val="2"/>
          <w:sz w:val="24"/>
          <w:szCs w:val="24"/>
          <w:highlight w:val="none"/>
          <w:lang w:val="en-US" w:eastAsia="zh-CN" w:bidi="ar-SA"/>
        </w:rPr>
        <w:t>采购人、采购代理机构应当在采购文件中明确要求供应商对其提供的产品出具《关于符合本国产品标准的声明函》，以下简称《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180B7D7C">
      <w:pPr>
        <w:pageBreakBefore w:val="0"/>
        <w:kinsoku/>
        <w:wordWrap/>
        <w:overflowPunct/>
        <w:topLinePunct w:val="0"/>
        <w:bidi w:val="0"/>
        <w:spacing w:line="400" w:lineRule="exact"/>
        <w:textAlignment w:val="auto"/>
        <w:rPr>
          <w:rFonts w:hint="eastAsia" w:ascii="仿宋_GB2312" w:hAnsi="仿宋_GB2312" w:eastAsia="仿宋_GB2312" w:cs="仿宋_GB2312"/>
          <w:iCs/>
          <w:kern w:val="2"/>
          <w:sz w:val="24"/>
          <w:szCs w:val="24"/>
          <w:highlight w:val="none"/>
          <w:lang w:val="en-US" w:eastAsia="zh-CN" w:bidi="ar-SA"/>
        </w:rPr>
      </w:pPr>
      <w:r>
        <w:rPr>
          <w:rFonts w:hint="eastAsia" w:ascii="仿宋_GB2312" w:hAnsi="仿宋_GB2312" w:eastAsia="仿宋_GB2312" w:cs="仿宋_GB2312"/>
          <w:iCs/>
          <w:kern w:val="2"/>
          <w:sz w:val="24"/>
          <w:szCs w:val="24"/>
          <w:highlight w:val="none"/>
          <w:lang w:val="en-US" w:eastAsia="zh-CN" w:bidi="ar-SA"/>
        </w:rPr>
        <w:t>4.3在政府采购活动中，投标人提供的货物、工程或者服务符合下列情形的，享受本办法规定的中小企业扶持政策：</w:t>
      </w:r>
    </w:p>
    <w:p w14:paraId="1B33466E">
      <w:pPr>
        <w:pageBreakBefore w:val="0"/>
        <w:kinsoku/>
        <w:wordWrap/>
        <w:overflowPunct/>
        <w:topLinePunct w:val="0"/>
        <w:bidi w:val="0"/>
        <w:spacing w:line="400" w:lineRule="exact"/>
        <w:textAlignment w:val="auto"/>
        <w:rPr>
          <w:rFonts w:hint="eastAsia" w:ascii="仿宋_GB2312" w:hAnsi="仿宋_GB2312" w:eastAsia="仿宋_GB2312" w:cs="仿宋_GB2312"/>
          <w:iCs/>
          <w:kern w:val="2"/>
          <w:sz w:val="24"/>
          <w:szCs w:val="24"/>
          <w:highlight w:val="none"/>
          <w:lang w:val="en-US" w:eastAsia="zh-CN" w:bidi="ar-SA"/>
        </w:rPr>
      </w:pPr>
      <w:r>
        <w:rPr>
          <w:rFonts w:hint="eastAsia" w:ascii="仿宋_GB2312" w:hAnsi="仿宋_GB2312" w:eastAsia="仿宋_GB2312" w:cs="仿宋_GB2312"/>
          <w:iCs/>
          <w:kern w:val="2"/>
          <w:sz w:val="24"/>
          <w:szCs w:val="24"/>
          <w:highlight w:val="none"/>
          <w:lang w:val="en-US" w:eastAsia="zh-CN" w:bidi="ar-SA"/>
        </w:rPr>
        <w:t>（一）在货物采购项目中，货物由中小企业制造，即货物由中小企业生产且使用该中小企业商号或者注册商标；</w:t>
      </w:r>
    </w:p>
    <w:p w14:paraId="505D05E8">
      <w:pPr>
        <w:pageBreakBefore w:val="0"/>
        <w:kinsoku/>
        <w:wordWrap/>
        <w:overflowPunct/>
        <w:topLinePunct w:val="0"/>
        <w:bidi w:val="0"/>
        <w:spacing w:line="400" w:lineRule="exact"/>
        <w:textAlignment w:val="auto"/>
        <w:rPr>
          <w:rFonts w:hint="eastAsia" w:ascii="仿宋_GB2312" w:hAnsi="仿宋_GB2312" w:eastAsia="仿宋_GB2312" w:cs="仿宋_GB2312"/>
          <w:iCs/>
          <w:kern w:val="2"/>
          <w:sz w:val="24"/>
          <w:szCs w:val="24"/>
          <w:highlight w:val="none"/>
          <w:lang w:val="en-US" w:eastAsia="zh-CN" w:bidi="ar-SA"/>
        </w:rPr>
      </w:pPr>
      <w:r>
        <w:rPr>
          <w:rFonts w:hint="eastAsia" w:ascii="仿宋_GB2312" w:hAnsi="仿宋_GB2312" w:eastAsia="仿宋_GB2312" w:cs="仿宋_GB2312"/>
          <w:iCs/>
          <w:kern w:val="2"/>
          <w:sz w:val="24"/>
          <w:szCs w:val="24"/>
          <w:highlight w:val="none"/>
          <w:lang w:val="en-US" w:eastAsia="zh-CN" w:bidi="ar-SA"/>
        </w:rPr>
        <w:t>（二）在工程采购项目中，工程由中小企业承建，即工程施工单位为中小企业；</w:t>
      </w:r>
    </w:p>
    <w:p w14:paraId="220DEB38">
      <w:pPr>
        <w:pageBreakBefore w:val="0"/>
        <w:kinsoku/>
        <w:wordWrap/>
        <w:overflowPunct/>
        <w:topLinePunct w:val="0"/>
        <w:bidi w:val="0"/>
        <w:spacing w:line="400" w:lineRule="exact"/>
        <w:textAlignment w:val="auto"/>
        <w:rPr>
          <w:rFonts w:hint="eastAsia" w:ascii="仿宋_GB2312" w:hAnsi="仿宋_GB2312" w:eastAsia="仿宋_GB2312" w:cs="仿宋_GB2312"/>
          <w:iCs/>
          <w:kern w:val="2"/>
          <w:sz w:val="24"/>
          <w:szCs w:val="24"/>
          <w:highlight w:val="none"/>
          <w:lang w:val="en-US" w:eastAsia="zh-CN" w:bidi="ar-SA"/>
        </w:rPr>
      </w:pPr>
      <w:r>
        <w:rPr>
          <w:rFonts w:hint="eastAsia" w:ascii="仿宋_GB2312" w:hAnsi="仿宋_GB2312" w:eastAsia="仿宋_GB2312" w:cs="仿宋_GB2312"/>
          <w:iCs/>
          <w:kern w:val="2"/>
          <w:sz w:val="24"/>
          <w:szCs w:val="24"/>
          <w:highlight w:val="none"/>
          <w:lang w:val="en-US" w:eastAsia="zh-CN" w:bidi="ar-SA"/>
        </w:rPr>
        <w:t>（三）在服务采购项目中，服务由中小企业承接，即提供服务的人员为中小企业依照《中华人民共和国劳动合同法》订立劳动合同的从业人员。</w:t>
      </w:r>
    </w:p>
    <w:p w14:paraId="4B753F82">
      <w:pPr>
        <w:pageBreakBefore w:val="0"/>
        <w:kinsoku/>
        <w:wordWrap/>
        <w:overflowPunct/>
        <w:topLinePunct w:val="0"/>
        <w:bidi w:val="0"/>
        <w:spacing w:line="400" w:lineRule="exact"/>
        <w:textAlignment w:val="auto"/>
        <w:rPr>
          <w:rFonts w:hint="eastAsia" w:ascii="仿宋_GB2312" w:hAnsi="仿宋_GB2312" w:eastAsia="仿宋_GB2312" w:cs="仿宋_GB2312"/>
          <w:iCs/>
          <w:kern w:val="2"/>
          <w:sz w:val="24"/>
          <w:szCs w:val="24"/>
          <w:highlight w:val="none"/>
          <w:lang w:val="en-US" w:eastAsia="zh-CN" w:bidi="ar-SA"/>
        </w:rPr>
      </w:pPr>
      <w:r>
        <w:rPr>
          <w:rFonts w:hint="eastAsia" w:ascii="仿宋_GB2312" w:hAnsi="仿宋_GB2312" w:eastAsia="仿宋_GB2312" w:cs="仿宋_GB2312"/>
          <w:iCs/>
          <w:kern w:val="2"/>
          <w:sz w:val="24"/>
          <w:szCs w:val="24"/>
          <w:highlight w:val="none"/>
          <w:lang w:val="en-US" w:eastAsia="zh-CN" w:bidi="ar-SA"/>
        </w:rPr>
        <w:t>在货物采购项目中，投标人提供的货物既有中小企业制造货物，也有大型企业制造货物的，不享受本办法规定的中小企业扶持政策。</w:t>
      </w:r>
    </w:p>
    <w:p w14:paraId="33620184">
      <w:pPr>
        <w:pageBreakBefore w:val="0"/>
        <w:kinsoku/>
        <w:wordWrap/>
        <w:overflowPunct/>
        <w:topLinePunct w:val="0"/>
        <w:bidi w:val="0"/>
        <w:spacing w:line="400" w:lineRule="exact"/>
        <w:textAlignment w:val="auto"/>
        <w:rPr>
          <w:rFonts w:hint="eastAsia" w:ascii="仿宋_GB2312" w:hAnsi="仿宋_GB2312" w:eastAsia="仿宋_GB2312" w:cs="仿宋_GB2312"/>
          <w:iCs/>
          <w:kern w:val="2"/>
          <w:sz w:val="24"/>
          <w:szCs w:val="24"/>
          <w:highlight w:val="none"/>
          <w:lang w:val="en-US" w:eastAsia="zh-CN" w:bidi="ar-SA"/>
        </w:rPr>
      </w:pPr>
      <w:r>
        <w:rPr>
          <w:rFonts w:hint="eastAsia" w:ascii="仿宋_GB2312" w:hAnsi="仿宋_GB2312" w:eastAsia="仿宋_GB2312" w:cs="仿宋_GB2312"/>
          <w:iCs/>
          <w:kern w:val="2"/>
          <w:sz w:val="24"/>
          <w:szCs w:val="24"/>
          <w:highlight w:val="none"/>
          <w:lang w:val="en-US" w:eastAsia="zh-CN" w:bidi="ar-SA"/>
        </w:rPr>
        <w:t>以联合体形式参加政府采购活动，联合体各方均为中小企业的，联合体视同中小企业。其中，联合体各方均为小微企业的，联合体视同小微企业。</w:t>
      </w:r>
    </w:p>
    <w:p w14:paraId="764FA72D">
      <w:pPr>
        <w:keepNext w:val="0"/>
        <w:keepLines w:val="0"/>
        <w:pageBreakBefore w:val="0"/>
        <w:widowControl/>
        <w:numPr>
          <w:ilvl w:val="0"/>
          <w:numId w:val="0"/>
        </w:numPr>
        <w:kinsoku/>
        <w:wordWrap/>
        <w:overflowPunct/>
        <w:topLinePunct w:val="0"/>
        <w:bidi w:val="0"/>
        <w:snapToGrid/>
        <w:spacing w:line="400" w:lineRule="exact"/>
        <w:textAlignment w:val="auto"/>
        <w:rPr>
          <w:rFonts w:hint="eastAsia" w:ascii="仿宋_GB2312" w:hAnsi="仿宋_GB2312" w:eastAsia="仿宋_GB2312" w:cs="仿宋_GB2312"/>
          <w:iCs/>
          <w:kern w:val="2"/>
          <w:sz w:val="24"/>
          <w:szCs w:val="24"/>
          <w:highlight w:val="none"/>
          <w:lang w:val="en-US" w:eastAsia="zh-CN" w:bidi="ar-SA"/>
        </w:rPr>
      </w:pPr>
      <w:r>
        <w:rPr>
          <w:rFonts w:hint="eastAsia" w:ascii="仿宋_GB2312" w:hAnsi="仿宋_GB2312" w:eastAsia="仿宋_GB2312" w:cs="仿宋_GB2312"/>
          <w:iCs/>
          <w:kern w:val="2"/>
          <w:sz w:val="24"/>
          <w:szCs w:val="24"/>
          <w:highlight w:val="none"/>
          <w:lang w:val="en-US" w:eastAsia="zh-CN" w:bidi="ar-SA"/>
        </w:rPr>
        <w:t>4.4对创新产品或创新性企业的优惠措施为：</w:t>
      </w:r>
      <w:r>
        <w:rPr>
          <w:rFonts w:hint="eastAsia" w:ascii="仿宋_GB2312" w:hAnsi="仿宋_GB2312" w:eastAsia="仿宋_GB2312" w:cs="仿宋_GB2312"/>
          <w:b/>
          <w:bCs/>
          <w:iCs/>
          <w:kern w:val="2"/>
          <w:sz w:val="24"/>
          <w:szCs w:val="24"/>
          <w:highlight w:val="none"/>
          <w:u w:val="single"/>
          <w:lang w:val="en-US" w:eastAsia="zh-CN" w:bidi="ar-SA"/>
        </w:rPr>
        <w:t xml:space="preserve">无 </w:t>
      </w:r>
      <w:r>
        <w:rPr>
          <w:rFonts w:hint="eastAsia" w:ascii="仿宋_GB2312" w:hAnsi="仿宋_GB2312" w:eastAsia="仿宋_GB2312" w:cs="仿宋_GB2312"/>
          <w:iCs/>
          <w:kern w:val="2"/>
          <w:sz w:val="24"/>
          <w:szCs w:val="24"/>
          <w:highlight w:val="none"/>
          <w:lang w:val="en-US" w:eastAsia="zh-CN" w:bidi="ar-SA"/>
        </w:rPr>
        <w:t xml:space="preserve">  </w:t>
      </w:r>
    </w:p>
    <w:p w14:paraId="3DF849B0">
      <w:pPr>
        <w:pStyle w:val="10"/>
        <w:keepNext w:val="0"/>
        <w:keepLines w:val="0"/>
        <w:pageBreakBefore w:val="0"/>
        <w:tabs>
          <w:tab w:val="clear" w:pos="567"/>
        </w:tabs>
        <w:kinsoku/>
        <w:wordWrap/>
        <w:overflowPunct/>
        <w:topLinePunct w:val="0"/>
        <w:autoSpaceDE/>
        <w:autoSpaceDN/>
        <w:bidi w:val="0"/>
        <w:adjustRightInd/>
        <w:snapToGrid/>
        <w:spacing w:before="0" w:line="400" w:lineRule="exact"/>
        <w:textAlignment w:val="auto"/>
        <w:rPr>
          <w:rFonts w:hint="eastAsia" w:ascii="仿宋_GB2312" w:hAnsi="仿宋_GB2312" w:eastAsia="仿宋_GB2312" w:cs="仿宋_GB2312"/>
          <w:iCs/>
          <w:kern w:val="2"/>
          <w:sz w:val="24"/>
          <w:szCs w:val="24"/>
          <w:highlight w:val="none"/>
          <w:lang w:val="en-US" w:eastAsia="zh-CN" w:bidi="ar-SA"/>
        </w:rPr>
      </w:pPr>
      <w:r>
        <w:rPr>
          <w:rFonts w:hint="eastAsia" w:ascii="仿宋_GB2312" w:hAnsi="仿宋_GB2312" w:eastAsia="仿宋_GB2312" w:cs="仿宋_GB2312"/>
          <w:iCs/>
          <w:kern w:val="2"/>
          <w:sz w:val="24"/>
          <w:szCs w:val="24"/>
          <w:highlight w:val="none"/>
          <w:lang w:val="en-US" w:eastAsia="zh-CN" w:bidi="ar-SA"/>
        </w:rPr>
        <w:t>投标人所投产品如被列入财政部与国家主管部门颁发的节能产品目录或环境标志产品目录或无线局域网产品目录，应提供相关证明，在评标时予以优先采购，具体优惠措施为：投标商所投产品应优先选择《财政部 国家发展改革委关于调整公布第二十四期节能产品政府采购清单的通知》（财库〔2018〕73号）、《财政部 环境保护部关于调整公布第二十二期环境标志产品政府采购清单的通知》（财库〔2018〕70号）目录内的产品（须提供节能、环保认证证书复印件加盖公章）。</w:t>
      </w:r>
    </w:p>
    <w:p w14:paraId="148BCC3A">
      <w:pPr>
        <w:pStyle w:val="6"/>
        <w:pageBreakBefore w:val="0"/>
        <w:numPr>
          <w:ilvl w:val="0"/>
          <w:numId w:val="0"/>
        </w:numPr>
        <w:kinsoku/>
        <w:wordWrap/>
        <w:overflowPunct/>
        <w:topLinePunct w:val="0"/>
        <w:bidi w:val="0"/>
        <w:spacing w:line="400" w:lineRule="exact"/>
        <w:rPr>
          <w:rFonts w:hint="eastAsia" w:ascii="仿宋_GB2312" w:hAnsi="仿宋_GB2312" w:eastAsia="仿宋_GB2312" w:cs="仿宋_GB2312"/>
          <w:iCs/>
          <w:kern w:val="2"/>
          <w:sz w:val="24"/>
          <w:szCs w:val="24"/>
          <w:highlight w:val="none"/>
          <w:lang w:val="en-US" w:eastAsia="zh-CN" w:bidi="ar-SA"/>
        </w:rPr>
      </w:pPr>
      <w:r>
        <w:rPr>
          <w:rFonts w:hint="eastAsia" w:ascii="仿宋_GB2312" w:hAnsi="仿宋_GB2312" w:eastAsia="仿宋_GB2312" w:cs="仿宋_GB2312"/>
          <w:iCs/>
          <w:kern w:val="2"/>
          <w:sz w:val="24"/>
          <w:szCs w:val="24"/>
          <w:highlight w:val="none"/>
          <w:lang w:val="en-US" w:eastAsia="zh-CN" w:bidi="ar-SA"/>
        </w:rPr>
        <w:t>投标人为提供服务在招标中伴随招标的产品如被列入财政部与国家主管部门颁发的节能产品目录或环境标志产品目录或无线局域网产品目录，应提供相关证明，在评标时予以优先采购，具体优惠措施为：投标人所投产品应优先选择《关于印发节能产品政府采购品目清单的通知》（财库〔2019〕19号）、《关于印发环境标志产品政府采购品目清单的通知》（财库〔2019〕18号）目录内的产品。</w:t>
      </w:r>
    </w:p>
    <w:p w14:paraId="7F5272C0">
      <w:pPr>
        <w:keepNext w:val="0"/>
        <w:keepLines w:val="0"/>
        <w:pageBreakBefore w:val="0"/>
        <w:widowControl/>
        <w:numPr>
          <w:ilvl w:val="0"/>
          <w:numId w:val="0"/>
        </w:numPr>
        <w:kinsoku/>
        <w:wordWrap/>
        <w:overflowPunct/>
        <w:topLinePunct w:val="0"/>
        <w:bidi w:val="0"/>
        <w:snapToGrid/>
        <w:spacing w:line="400" w:lineRule="exact"/>
        <w:textAlignment w:val="auto"/>
        <w:rPr>
          <w:rFonts w:hint="eastAsia" w:ascii="仿宋_GB2312" w:hAnsi="仿宋_GB2312" w:eastAsia="仿宋_GB2312" w:cs="仿宋_GB2312"/>
          <w:iCs/>
          <w:kern w:val="2"/>
          <w:sz w:val="24"/>
          <w:szCs w:val="24"/>
          <w:highlight w:val="none"/>
          <w:lang w:val="en-US" w:eastAsia="zh-CN" w:bidi="ar-SA"/>
        </w:rPr>
      </w:pPr>
      <w:r>
        <w:rPr>
          <w:rFonts w:hint="eastAsia" w:ascii="仿宋_GB2312" w:hAnsi="仿宋_GB2312" w:eastAsia="仿宋_GB2312" w:cs="仿宋_GB2312"/>
          <w:iCs/>
          <w:kern w:val="2"/>
          <w:sz w:val="24"/>
          <w:szCs w:val="24"/>
          <w:highlight w:val="none"/>
          <w:lang w:val="en-US" w:eastAsia="zh-CN" w:bidi="ar-SA"/>
        </w:rPr>
        <w:t>4.5同品牌处理办法</w:t>
      </w:r>
    </w:p>
    <w:p w14:paraId="17C3A3E9">
      <w:pPr>
        <w:keepNext w:val="0"/>
        <w:keepLines w:val="0"/>
        <w:pageBreakBefore w:val="0"/>
        <w:widowControl/>
        <w:kinsoku/>
        <w:wordWrap/>
        <w:overflowPunct/>
        <w:topLinePunct w:val="0"/>
        <w:bidi w:val="0"/>
        <w:snapToGrid/>
        <w:spacing w:line="400" w:lineRule="exact"/>
        <w:textAlignment w:val="auto"/>
        <w:rPr>
          <w:rFonts w:hint="eastAsia" w:ascii="仿宋_GB2312" w:hAnsi="仿宋_GB2312" w:eastAsia="仿宋_GB2312" w:cs="仿宋_GB2312"/>
          <w:iCs/>
          <w:kern w:val="2"/>
          <w:sz w:val="24"/>
          <w:szCs w:val="24"/>
          <w:highlight w:val="none"/>
          <w:lang w:val="en-US" w:eastAsia="zh-CN" w:bidi="ar-SA"/>
        </w:rPr>
      </w:pPr>
      <w:r>
        <w:rPr>
          <w:rFonts w:hint="eastAsia" w:ascii="仿宋_GB2312" w:hAnsi="仿宋_GB2312" w:eastAsia="仿宋_GB2312" w:cs="仿宋_GB2312"/>
          <w:iCs/>
          <w:kern w:val="2"/>
          <w:sz w:val="24"/>
          <w:szCs w:val="24"/>
          <w:highlight w:val="none"/>
          <w:lang w:val="en-US" w:eastAsia="zh-CN" w:bidi="ar-SA"/>
        </w:rPr>
        <w:t>本项目采用综合评标法，则：提供相同品牌产品且通过资格复核、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D3F86EA">
      <w:pPr>
        <w:rPr>
          <w:rFonts w:hint="eastAsia"/>
          <w:highlight w:val="none"/>
          <w:lang w:val="en-US" w:eastAsia="zh-CN"/>
        </w:rPr>
      </w:pPr>
    </w:p>
    <w:p w14:paraId="2C906985">
      <w:pPr>
        <w:keepNext w:val="0"/>
        <w:keepLines w:val="0"/>
        <w:pageBreakBefore w:val="0"/>
        <w:widowControl w:val="0"/>
        <w:wordWrap/>
        <w:overflowPunct/>
        <w:topLinePunct w:val="0"/>
        <w:bidi w:val="0"/>
        <w:rPr>
          <w:rFonts w:hint="eastAsia"/>
          <w:highlight w:val="none"/>
          <w:lang w:val="en-US" w:eastAsia="zh-CN"/>
        </w:rPr>
      </w:pPr>
    </w:p>
    <w:p w14:paraId="037DB073">
      <w:pPr>
        <w:jc w:val="center"/>
        <w:rPr>
          <w:rFonts w:hint="eastAsia" w:ascii="方正仿宋_GB2312" w:hAnsi="方正仿宋_GB2312" w:eastAsia="方正仿宋_GB2312" w:cs="方正仿宋_GB2312"/>
          <w:color w:val="auto"/>
          <w:sz w:val="28"/>
          <w:szCs w:val="28"/>
          <w:highlight w:val="none"/>
        </w:rPr>
      </w:pPr>
      <w:r>
        <w:rPr>
          <w:rFonts w:hint="eastAsia" w:ascii="方正仿宋_GB2312" w:hAnsi="方正仿宋_GB2312" w:eastAsia="方正仿宋_GB2312" w:cs="方正仿宋_GB2312"/>
          <w:b/>
          <w:bCs/>
          <w:iCs/>
          <w:color w:val="auto"/>
          <w:sz w:val="28"/>
          <w:szCs w:val="28"/>
          <w:highlight w:val="none"/>
        </w:rPr>
        <w:t>5.1资格性检查</w:t>
      </w:r>
    </w:p>
    <w:tbl>
      <w:tblPr>
        <w:tblStyle w:val="26"/>
        <w:tblW w:w="90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9"/>
        <w:gridCol w:w="7161"/>
        <w:gridCol w:w="1220"/>
      </w:tblGrid>
      <w:tr w14:paraId="2CFDB3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8" w:hRule="atLeast"/>
        </w:trPr>
        <w:tc>
          <w:tcPr>
            <w:tcW w:w="659" w:type="dxa"/>
            <w:tcBorders>
              <w:tl2br w:val="nil"/>
              <w:tr2bl w:val="nil"/>
            </w:tcBorders>
            <w:shd w:val="clear" w:color="000000" w:fill="E2EFDA"/>
            <w:vAlign w:val="center"/>
          </w:tcPr>
          <w:p w14:paraId="28F7E288">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序号</w:t>
            </w:r>
          </w:p>
        </w:tc>
        <w:tc>
          <w:tcPr>
            <w:tcW w:w="7161" w:type="dxa"/>
            <w:tcBorders>
              <w:tl2br w:val="nil"/>
              <w:tr2bl w:val="nil"/>
            </w:tcBorders>
            <w:shd w:val="clear" w:color="000000" w:fill="E2EFDA"/>
            <w:vAlign w:val="center"/>
          </w:tcPr>
          <w:p w14:paraId="2F6B3935">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审核项目</w:t>
            </w:r>
          </w:p>
        </w:tc>
        <w:tc>
          <w:tcPr>
            <w:tcW w:w="1220" w:type="dxa"/>
            <w:tcBorders>
              <w:tl2br w:val="nil"/>
              <w:tr2bl w:val="nil"/>
            </w:tcBorders>
            <w:shd w:val="clear" w:color="000000" w:fill="E2EFDA"/>
            <w:vAlign w:val="center"/>
          </w:tcPr>
          <w:p w14:paraId="68938765">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评审意见</w:t>
            </w:r>
          </w:p>
          <w:p w14:paraId="2F36D46A">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是否合格</w:t>
            </w:r>
          </w:p>
        </w:tc>
      </w:tr>
      <w:tr w14:paraId="2F41F2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4" w:hRule="atLeast"/>
        </w:trPr>
        <w:tc>
          <w:tcPr>
            <w:tcW w:w="659" w:type="dxa"/>
            <w:tcBorders>
              <w:tl2br w:val="nil"/>
              <w:tr2bl w:val="nil"/>
            </w:tcBorders>
            <w:vAlign w:val="center"/>
          </w:tcPr>
          <w:p w14:paraId="5E3E2606">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p>
        </w:tc>
        <w:tc>
          <w:tcPr>
            <w:tcW w:w="7161" w:type="dxa"/>
            <w:tcBorders>
              <w:tl2br w:val="nil"/>
              <w:tr2bl w:val="nil"/>
            </w:tcBorders>
            <w:vAlign w:val="center"/>
          </w:tcPr>
          <w:p w14:paraId="2FFBAA31">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400" w:lineRule="exact"/>
              <w:ind w:left="0" w:right="0"/>
              <w:jc w:val="both"/>
              <w:textAlignment w:val="auto"/>
              <w:outlineLvl w:val="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auto"/>
                <w:sz w:val="24"/>
                <w:highlight w:val="none"/>
                <w:lang w:val="en-US" w:eastAsia="zh-CN"/>
              </w:rPr>
              <w:t>提供有效期内的营业执照；</w:t>
            </w:r>
          </w:p>
        </w:tc>
        <w:tc>
          <w:tcPr>
            <w:tcW w:w="1220" w:type="dxa"/>
            <w:tcBorders>
              <w:tl2br w:val="nil"/>
              <w:tr2bl w:val="nil"/>
            </w:tcBorders>
            <w:vAlign w:val="center"/>
          </w:tcPr>
          <w:p w14:paraId="22C83DDA">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left"/>
              <w:rPr>
                <w:rFonts w:hint="eastAsia" w:ascii="仿宋_GB2312" w:hAnsi="仿宋_GB2312" w:eastAsia="仿宋_GB2312" w:cs="仿宋_GB2312"/>
                <w:color w:val="000000" w:themeColor="text1"/>
                <w:sz w:val="24"/>
                <w:highlight w:val="none"/>
                <w14:textFill>
                  <w14:solidFill>
                    <w14:schemeClr w14:val="tx1"/>
                  </w14:solidFill>
                </w14:textFill>
              </w:rPr>
            </w:pPr>
          </w:p>
        </w:tc>
      </w:tr>
      <w:tr w14:paraId="7CC018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0" w:hRule="atLeast"/>
        </w:trPr>
        <w:tc>
          <w:tcPr>
            <w:tcW w:w="659" w:type="dxa"/>
            <w:tcBorders>
              <w:tl2br w:val="nil"/>
              <w:tr2bl w:val="nil"/>
            </w:tcBorders>
            <w:vAlign w:val="center"/>
          </w:tcPr>
          <w:p w14:paraId="17262FCD">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p>
        </w:tc>
        <w:tc>
          <w:tcPr>
            <w:tcW w:w="7161" w:type="dxa"/>
            <w:tcBorders>
              <w:tl2br w:val="nil"/>
              <w:tr2bl w:val="nil"/>
            </w:tcBorders>
            <w:vAlign w:val="center"/>
          </w:tcPr>
          <w:p w14:paraId="1A332F53">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400" w:lineRule="exact"/>
              <w:ind w:left="0" w:right="0"/>
              <w:jc w:val="both"/>
              <w:textAlignment w:val="auto"/>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auto"/>
                <w:kern w:val="0"/>
                <w:sz w:val="24"/>
                <w:szCs w:val="24"/>
                <w:highlight w:val="none"/>
                <w:lang w:val="en-US" w:eastAsia="zh-CN" w:bidi="ar-SA"/>
              </w:rPr>
              <w:t>法定代表人投标提供法人身份证明书，委托代理人投标提供法定代表人授权委托书；</w:t>
            </w:r>
          </w:p>
        </w:tc>
        <w:tc>
          <w:tcPr>
            <w:tcW w:w="1220" w:type="dxa"/>
            <w:tcBorders>
              <w:tl2br w:val="nil"/>
              <w:tr2bl w:val="nil"/>
            </w:tcBorders>
            <w:vAlign w:val="center"/>
          </w:tcPr>
          <w:p w14:paraId="4FA33725">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left"/>
              <w:rPr>
                <w:rFonts w:hint="eastAsia" w:ascii="仿宋_GB2312" w:hAnsi="仿宋_GB2312" w:eastAsia="仿宋_GB2312" w:cs="仿宋_GB2312"/>
                <w:color w:val="000000" w:themeColor="text1"/>
                <w:sz w:val="24"/>
                <w:highlight w:val="none"/>
                <w14:textFill>
                  <w14:solidFill>
                    <w14:schemeClr w14:val="tx1"/>
                  </w14:solidFill>
                </w14:textFill>
              </w:rPr>
            </w:pPr>
          </w:p>
        </w:tc>
      </w:tr>
      <w:tr w14:paraId="7CE69D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659" w:type="dxa"/>
            <w:tcBorders>
              <w:tl2br w:val="nil"/>
              <w:tr2bl w:val="nil"/>
            </w:tcBorders>
            <w:vAlign w:val="center"/>
          </w:tcPr>
          <w:p w14:paraId="04A01FB3">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w:t>
            </w:r>
          </w:p>
        </w:tc>
        <w:tc>
          <w:tcPr>
            <w:tcW w:w="7161" w:type="dxa"/>
            <w:tcBorders>
              <w:tl2br w:val="nil"/>
              <w:tr2bl w:val="nil"/>
            </w:tcBorders>
            <w:vAlign w:val="center"/>
          </w:tcPr>
          <w:p w14:paraId="7CB1E132">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400" w:lineRule="exact"/>
              <w:ind w:left="0" w:right="0"/>
              <w:jc w:val="both"/>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auto"/>
                <w:kern w:val="0"/>
                <w:sz w:val="24"/>
                <w:szCs w:val="24"/>
                <w:highlight w:val="none"/>
                <w:lang w:val="en-US" w:eastAsia="zh-CN" w:bidi="ar-SA"/>
              </w:rPr>
              <w:t>提供近3个月内任意1个月的社保凭证；</w:t>
            </w:r>
          </w:p>
        </w:tc>
        <w:tc>
          <w:tcPr>
            <w:tcW w:w="1220" w:type="dxa"/>
            <w:tcBorders>
              <w:tl2br w:val="nil"/>
              <w:tr2bl w:val="nil"/>
            </w:tcBorders>
            <w:vAlign w:val="center"/>
          </w:tcPr>
          <w:p w14:paraId="463E6EE2">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left"/>
              <w:rPr>
                <w:rFonts w:hint="eastAsia" w:ascii="仿宋_GB2312" w:hAnsi="仿宋_GB2312" w:eastAsia="仿宋_GB2312" w:cs="仿宋_GB2312"/>
                <w:color w:val="000000" w:themeColor="text1"/>
                <w:sz w:val="24"/>
                <w:highlight w:val="none"/>
                <w14:textFill>
                  <w14:solidFill>
                    <w14:schemeClr w14:val="tx1"/>
                  </w14:solidFill>
                </w14:textFill>
              </w:rPr>
            </w:pPr>
          </w:p>
        </w:tc>
      </w:tr>
      <w:tr w14:paraId="713F8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6" w:hRule="atLeast"/>
        </w:trPr>
        <w:tc>
          <w:tcPr>
            <w:tcW w:w="659" w:type="dxa"/>
            <w:tcBorders>
              <w:tl2br w:val="nil"/>
              <w:tr2bl w:val="nil"/>
            </w:tcBorders>
            <w:vAlign w:val="center"/>
          </w:tcPr>
          <w:p w14:paraId="1E7A57A1">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w:t>
            </w:r>
          </w:p>
        </w:tc>
        <w:tc>
          <w:tcPr>
            <w:tcW w:w="7161" w:type="dxa"/>
            <w:tcBorders>
              <w:tl2br w:val="nil"/>
              <w:tr2bl w:val="nil"/>
            </w:tcBorders>
            <w:vAlign w:val="center"/>
          </w:tcPr>
          <w:p w14:paraId="146FDC6F">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400" w:lineRule="exact"/>
              <w:ind w:left="0" w:right="0"/>
              <w:jc w:val="both"/>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auto"/>
                <w:kern w:val="0"/>
                <w:sz w:val="24"/>
                <w:szCs w:val="24"/>
                <w:highlight w:val="none"/>
                <w:lang w:val="en-US" w:eastAsia="zh-CN" w:bidi="ar-SA"/>
              </w:rPr>
              <w:t>提供近3个月内任意1个月的完税证明；</w:t>
            </w:r>
          </w:p>
        </w:tc>
        <w:tc>
          <w:tcPr>
            <w:tcW w:w="1220" w:type="dxa"/>
            <w:tcBorders>
              <w:tl2br w:val="nil"/>
              <w:tr2bl w:val="nil"/>
            </w:tcBorders>
            <w:vAlign w:val="center"/>
          </w:tcPr>
          <w:p w14:paraId="16DC7F42">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left"/>
              <w:rPr>
                <w:rFonts w:hint="eastAsia" w:ascii="仿宋_GB2312" w:hAnsi="仿宋_GB2312" w:eastAsia="仿宋_GB2312" w:cs="仿宋_GB2312"/>
                <w:color w:val="000000" w:themeColor="text1"/>
                <w:sz w:val="24"/>
                <w:highlight w:val="none"/>
                <w14:textFill>
                  <w14:solidFill>
                    <w14:schemeClr w14:val="tx1"/>
                  </w14:solidFill>
                </w14:textFill>
              </w:rPr>
            </w:pPr>
          </w:p>
        </w:tc>
      </w:tr>
      <w:tr w14:paraId="3B9238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7" w:hRule="atLeast"/>
        </w:trPr>
        <w:tc>
          <w:tcPr>
            <w:tcW w:w="659" w:type="dxa"/>
            <w:tcBorders>
              <w:tl2br w:val="nil"/>
              <w:tr2bl w:val="nil"/>
            </w:tcBorders>
            <w:vAlign w:val="center"/>
          </w:tcPr>
          <w:p w14:paraId="27EF1599">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w:t>
            </w:r>
          </w:p>
        </w:tc>
        <w:tc>
          <w:tcPr>
            <w:tcW w:w="7161" w:type="dxa"/>
            <w:tcBorders>
              <w:tl2br w:val="nil"/>
              <w:tr2bl w:val="nil"/>
            </w:tcBorders>
            <w:vAlign w:val="center"/>
          </w:tcPr>
          <w:p w14:paraId="349E123F">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400" w:lineRule="exact"/>
              <w:ind w:left="0" w:right="0"/>
              <w:jc w:val="both"/>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auto"/>
                <w:kern w:val="0"/>
                <w:sz w:val="24"/>
                <w:szCs w:val="24"/>
                <w:highlight w:val="none"/>
                <w:lang w:val="en-US" w:eastAsia="zh-CN" w:bidi="ar-SA"/>
              </w:rPr>
              <w:t>提供</w:t>
            </w:r>
            <w:r>
              <w:rPr>
                <w:rFonts w:hint="eastAsia" w:ascii="仿宋_GB2312" w:hAnsi="仿宋_GB2312" w:eastAsia="仿宋_GB2312" w:cs="仿宋_GB2312"/>
                <w:color w:val="auto"/>
                <w:sz w:val="24"/>
                <w:highlight w:val="none"/>
                <w:lang w:val="en-US" w:eastAsia="zh-CN"/>
              </w:rPr>
              <w:t>2024年或2025年任意一年</w:t>
            </w:r>
            <w:r>
              <w:rPr>
                <w:rFonts w:hint="eastAsia" w:ascii="仿宋_GB2312" w:hAnsi="仿宋_GB2312" w:eastAsia="仿宋_GB2312" w:cs="仿宋_GB2312"/>
                <w:color w:val="auto"/>
                <w:kern w:val="0"/>
                <w:sz w:val="24"/>
                <w:szCs w:val="24"/>
                <w:highlight w:val="none"/>
                <w:lang w:val="en-US" w:eastAsia="zh-CN" w:bidi="ar-SA"/>
              </w:rPr>
              <w:t>财务审计报告（成立时间未满12个月的新公司提供近3个月内任意1个月的银行资信证明）；</w:t>
            </w:r>
          </w:p>
        </w:tc>
        <w:tc>
          <w:tcPr>
            <w:tcW w:w="1220" w:type="dxa"/>
            <w:tcBorders>
              <w:tl2br w:val="nil"/>
              <w:tr2bl w:val="nil"/>
            </w:tcBorders>
            <w:vAlign w:val="center"/>
          </w:tcPr>
          <w:p w14:paraId="26AD4DAE">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left"/>
              <w:rPr>
                <w:rFonts w:hint="eastAsia" w:ascii="仿宋_GB2312" w:hAnsi="仿宋_GB2312" w:eastAsia="仿宋_GB2312" w:cs="仿宋_GB2312"/>
                <w:color w:val="000000" w:themeColor="text1"/>
                <w:sz w:val="24"/>
                <w:highlight w:val="none"/>
                <w14:textFill>
                  <w14:solidFill>
                    <w14:schemeClr w14:val="tx1"/>
                  </w14:solidFill>
                </w14:textFill>
              </w:rPr>
            </w:pPr>
          </w:p>
        </w:tc>
      </w:tr>
      <w:tr w14:paraId="256D01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0" w:hRule="atLeast"/>
        </w:trPr>
        <w:tc>
          <w:tcPr>
            <w:tcW w:w="659" w:type="dxa"/>
            <w:tcBorders>
              <w:tl2br w:val="nil"/>
              <w:tr2bl w:val="nil"/>
            </w:tcBorders>
            <w:vAlign w:val="center"/>
          </w:tcPr>
          <w:p w14:paraId="46F6443C">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6</w:t>
            </w:r>
          </w:p>
        </w:tc>
        <w:tc>
          <w:tcPr>
            <w:tcW w:w="7161" w:type="dxa"/>
            <w:tcBorders>
              <w:tl2br w:val="nil"/>
              <w:tr2bl w:val="nil"/>
            </w:tcBorders>
            <w:vAlign w:val="center"/>
          </w:tcPr>
          <w:p w14:paraId="6B12A41A">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400" w:lineRule="exact"/>
              <w:ind w:left="0" w:right="0"/>
              <w:jc w:val="both"/>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auto"/>
                <w:kern w:val="0"/>
                <w:sz w:val="24"/>
                <w:szCs w:val="24"/>
                <w:highlight w:val="none"/>
                <w:lang w:val="en-US" w:eastAsia="zh-CN" w:bidi="ar-SA"/>
              </w:rPr>
              <w:t>提供针对本次项目《反商业贿赂承诺书》；</w:t>
            </w:r>
          </w:p>
        </w:tc>
        <w:tc>
          <w:tcPr>
            <w:tcW w:w="1220" w:type="dxa"/>
            <w:tcBorders>
              <w:tl2br w:val="nil"/>
              <w:tr2bl w:val="nil"/>
            </w:tcBorders>
            <w:vAlign w:val="center"/>
          </w:tcPr>
          <w:p w14:paraId="54F21F1E">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left"/>
              <w:rPr>
                <w:rFonts w:hint="eastAsia" w:ascii="仿宋_GB2312" w:hAnsi="仿宋_GB2312" w:eastAsia="仿宋_GB2312" w:cs="仿宋_GB2312"/>
                <w:color w:val="000000" w:themeColor="text1"/>
                <w:sz w:val="24"/>
                <w:highlight w:val="none"/>
                <w14:textFill>
                  <w14:solidFill>
                    <w14:schemeClr w14:val="tx1"/>
                  </w14:solidFill>
                </w14:textFill>
              </w:rPr>
            </w:pPr>
          </w:p>
        </w:tc>
      </w:tr>
      <w:tr w14:paraId="7DDC4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659" w:type="dxa"/>
            <w:tcBorders>
              <w:tl2br w:val="nil"/>
              <w:tr2bl w:val="nil"/>
            </w:tcBorders>
            <w:vAlign w:val="center"/>
          </w:tcPr>
          <w:p w14:paraId="50C3B8B1">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eastAsia" w:ascii="仿宋_GB2312" w:hAnsi="仿宋_GB2312" w:eastAsia="仿宋_GB2312" w:cs="仿宋_GB2312"/>
                <w:color w:val="000000" w:themeColor="text1"/>
                <w:sz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7</w:t>
            </w:r>
          </w:p>
        </w:tc>
        <w:tc>
          <w:tcPr>
            <w:tcW w:w="7161" w:type="dxa"/>
            <w:tcBorders>
              <w:tl2br w:val="nil"/>
              <w:tr2bl w:val="nil"/>
            </w:tcBorders>
            <w:vAlign w:val="center"/>
          </w:tcPr>
          <w:p w14:paraId="34BB88DE">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400" w:lineRule="exact"/>
              <w:ind w:left="0" w:right="0"/>
              <w:jc w:val="both"/>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auto"/>
                <w:kern w:val="0"/>
                <w:sz w:val="24"/>
                <w:szCs w:val="24"/>
                <w:highlight w:val="none"/>
                <w:lang w:val="en-US" w:eastAsia="zh-CN" w:bidi="ar-SA"/>
              </w:rPr>
              <w:t>参与政府采购活动前3年内未被列入失信、重大税收违法案件、财政部门禁止参加政府采购活动的承诺书；</w:t>
            </w:r>
          </w:p>
        </w:tc>
        <w:tc>
          <w:tcPr>
            <w:tcW w:w="1220" w:type="dxa"/>
            <w:tcBorders>
              <w:tl2br w:val="nil"/>
              <w:tr2bl w:val="nil"/>
            </w:tcBorders>
            <w:vAlign w:val="center"/>
          </w:tcPr>
          <w:p w14:paraId="04DB8957">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left"/>
              <w:rPr>
                <w:rFonts w:hint="eastAsia" w:ascii="仿宋_GB2312" w:hAnsi="仿宋_GB2312" w:eastAsia="仿宋_GB2312" w:cs="仿宋_GB2312"/>
                <w:color w:val="000000" w:themeColor="text1"/>
                <w:sz w:val="24"/>
                <w:highlight w:val="none"/>
                <w14:textFill>
                  <w14:solidFill>
                    <w14:schemeClr w14:val="tx1"/>
                  </w14:solidFill>
                </w14:textFill>
              </w:rPr>
            </w:pPr>
          </w:p>
        </w:tc>
      </w:tr>
      <w:tr w14:paraId="75BF3E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8" w:hRule="atLeast"/>
        </w:trPr>
        <w:tc>
          <w:tcPr>
            <w:tcW w:w="659" w:type="dxa"/>
            <w:tcBorders>
              <w:tl2br w:val="nil"/>
              <w:tr2bl w:val="nil"/>
            </w:tcBorders>
            <w:vAlign w:val="center"/>
          </w:tcPr>
          <w:p w14:paraId="3BA94553">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eastAsia" w:ascii="仿宋_GB2312" w:hAnsi="仿宋_GB2312" w:eastAsia="仿宋_GB2312" w:cs="仿宋_GB2312"/>
                <w:color w:val="000000" w:themeColor="text1"/>
                <w:sz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8</w:t>
            </w:r>
          </w:p>
        </w:tc>
        <w:tc>
          <w:tcPr>
            <w:tcW w:w="7161" w:type="dxa"/>
            <w:tcBorders>
              <w:tl2br w:val="nil"/>
              <w:tr2bl w:val="nil"/>
            </w:tcBorders>
            <w:vAlign w:val="center"/>
          </w:tcPr>
          <w:p w14:paraId="4627EE93">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400" w:lineRule="exact"/>
              <w:ind w:left="0" w:right="0"/>
              <w:jc w:val="both"/>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auto"/>
                <w:sz w:val="24"/>
                <w:highlight w:val="none"/>
                <w:lang w:val="en-US" w:eastAsia="zh-CN"/>
              </w:rPr>
              <w:t>根据《财政部关于在政府采购活动中查询及使用信用记录有关问题的通知》（财库﹝2016﹞125号）的要求，凡拟参加本次招标项目的供应商，如在“信用中国（www.creditchina.gov.cn）”网站（被列入失信被执行人、重大税收违法失信主体、“中国政府采购网（www.ccgp.gov.cn/search/cr/）”网站严重违法失信行为记录名单的（尚在处罚期内的），将拒绝其参加本次招标活动（开标现场查询核实）；</w:t>
            </w:r>
          </w:p>
        </w:tc>
        <w:tc>
          <w:tcPr>
            <w:tcW w:w="1220" w:type="dxa"/>
            <w:tcBorders>
              <w:tl2br w:val="nil"/>
              <w:tr2bl w:val="nil"/>
            </w:tcBorders>
            <w:vAlign w:val="center"/>
          </w:tcPr>
          <w:p w14:paraId="1810A6FC">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left"/>
              <w:rPr>
                <w:rFonts w:hint="eastAsia" w:ascii="仿宋_GB2312" w:hAnsi="仿宋_GB2312" w:eastAsia="仿宋_GB2312" w:cs="仿宋_GB2312"/>
                <w:color w:val="000000" w:themeColor="text1"/>
                <w:sz w:val="24"/>
                <w:highlight w:val="none"/>
                <w14:textFill>
                  <w14:solidFill>
                    <w14:schemeClr w14:val="tx1"/>
                  </w14:solidFill>
                </w14:textFill>
              </w:rPr>
            </w:pPr>
          </w:p>
        </w:tc>
      </w:tr>
      <w:tr w14:paraId="362007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9" w:hRule="atLeast"/>
        </w:trPr>
        <w:tc>
          <w:tcPr>
            <w:tcW w:w="659" w:type="dxa"/>
            <w:tcBorders>
              <w:tl2br w:val="nil"/>
              <w:tr2bl w:val="nil"/>
            </w:tcBorders>
            <w:vAlign w:val="center"/>
          </w:tcPr>
          <w:p w14:paraId="7BF33957">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9</w:t>
            </w:r>
          </w:p>
        </w:tc>
        <w:tc>
          <w:tcPr>
            <w:tcW w:w="7161" w:type="dxa"/>
            <w:tcBorders>
              <w:tl2br w:val="nil"/>
              <w:tr2bl w:val="nil"/>
            </w:tcBorders>
            <w:vAlign w:val="center"/>
          </w:tcPr>
          <w:p w14:paraId="2AFBA404">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400" w:lineRule="exact"/>
              <w:ind w:left="0" w:right="0"/>
              <w:jc w:val="both"/>
              <w:textAlignment w:val="auto"/>
              <w:rPr>
                <w:rFonts w:hint="eastAsia" w:ascii="仿宋_GB2312" w:hAnsi="仿宋_GB2312" w:eastAsia="仿宋_GB2312" w:cs="仿宋_GB2312"/>
                <w:color w:val="000000" w:themeColor="text1"/>
                <w:sz w:val="24"/>
                <w:highlight w:val="none"/>
                <w:lang w:eastAsia="zh-CN"/>
                <w14:textFill>
                  <w14:solidFill>
                    <w14:schemeClr w14:val="tx1"/>
                  </w14:solidFill>
                </w14:textFill>
              </w:rPr>
            </w:pPr>
            <w:r>
              <w:rPr>
                <w:rFonts w:hint="eastAsia" w:ascii="仿宋_GB2312" w:hAnsi="仿宋_GB2312" w:eastAsia="仿宋_GB2312" w:cs="仿宋_GB2312"/>
                <w:color w:val="auto"/>
                <w:sz w:val="24"/>
                <w:highlight w:val="none"/>
                <w:lang w:eastAsia="zh-CN"/>
              </w:rPr>
              <w:t>缴纳投标保证金的有效凭证；</w:t>
            </w:r>
          </w:p>
        </w:tc>
        <w:tc>
          <w:tcPr>
            <w:tcW w:w="1220" w:type="dxa"/>
            <w:tcBorders>
              <w:tl2br w:val="nil"/>
              <w:tr2bl w:val="nil"/>
            </w:tcBorders>
            <w:vAlign w:val="center"/>
          </w:tcPr>
          <w:p w14:paraId="5C1F4FF7">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left"/>
              <w:rPr>
                <w:rFonts w:hint="eastAsia" w:ascii="仿宋_GB2312" w:hAnsi="仿宋_GB2312" w:eastAsia="仿宋_GB2312" w:cs="仿宋_GB2312"/>
                <w:color w:val="000000" w:themeColor="text1"/>
                <w:sz w:val="24"/>
                <w:highlight w:val="none"/>
                <w14:textFill>
                  <w14:solidFill>
                    <w14:schemeClr w14:val="tx1"/>
                  </w14:solidFill>
                </w14:textFill>
              </w:rPr>
            </w:pPr>
          </w:p>
        </w:tc>
      </w:tr>
      <w:tr w14:paraId="7794BD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9" w:hRule="atLeast"/>
        </w:trPr>
        <w:tc>
          <w:tcPr>
            <w:tcW w:w="659" w:type="dxa"/>
            <w:tcBorders>
              <w:tl2br w:val="nil"/>
              <w:tr2bl w:val="nil"/>
            </w:tcBorders>
            <w:vAlign w:val="center"/>
          </w:tcPr>
          <w:p w14:paraId="2D0945E8">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default" w:ascii="仿宋_GB2312" w:hAnsi="仿宋_GB2312" w:eastAsia="仿宋_GB2312" w:cs="仿宋_GB2312"/>
                <w:color w:val="000000" w:themeColor="text1"/>
                <w:sz w:val="24"/>
                <w:highlight w:val="none"/>
                <w:lang w:val="en-US" w:eastAsia="zh-CN"/>
                <w14:textFill>
                  <w14:solidFill>
                    <w14:schemeClr w14:val="tx1"/>
                  </w14:solidFill>
                </w14:textFill>
              </w:rPr>
            </w:pPr>
          </w:p>
        </w:tc>
        <w:tc>
          <w:tcPr>
            <w:tcW w:w="7161" w:type="dxa"/>
            <w:tcBorders>
              <w:tl2br w:val="nil"/>
              <w:tr2bl w:val="nil"/>
            </w:tcBorders>
            <w:vAlign w:val="center"/>
          </w:tcPr>
          <w:p w14:paraId="070D29A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Autospacing="0" w:line="400" w:lineRule="exact"/>
              <w:ind w:left="0" w:right="0"/>
              <w:jc w:val="both"/>
              <w:textAlignment w:val="center"/>
              <w:outlineLvl w:val="0"/>
              <w:rPr>
                <w:rFonts w:hint="eastAsia" w:ascii="仿宋_GB2312" w:hAnsi="仿宋_GB2312" w:eastAsia="仿宋_GB2312" w:cs="仿宋_GB2312"/>
                <w:color w:val="auto"/>
                <w:sz w:val="24"/>
                <w:highlight w:val="none"/>
                <w:lang w:val="en-US" w:eastAsia="zh-CN"/>
              </w:rPr>
            </w:pPr>
          </w:p>
        </w:tc>
        <w:tc>
          <w:tcPr>
            <w:tcW w:w="1220" w:type="dxa"/>
            <w:tcBorders>
              <w:tl2br w:val="nil"/>
              <w:tr2bl w:val="nil"/>
            </w:tcBorders>
            <w:vAlign w:val="center"/>
          </w:tcPr>
          <w:p w14:paraId="2F47E0B2">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left"/>
              <w:rPr>
                <w:rFonts w:hint="eastAsia" w:ascii="仿宋_GB2312" w:hAnsi="仿宋_GB2312" w:eastAsia="仿宋_GB2312" w:cs="仿宋_GB2312"/>
                <w:color w:val="000000" w:themeColor="text1"/>
                <w:sz w:val="24"/>
                <w:highlight w:val="none"/>
                <w14:textFill>
                  <w14:solidFill>
                    <w14:schemeClr w14:val="tx1"/>
                  </w14:solidFill>
                </w14:textFill>
              </w:rPr>
            </w:pPr>
          </w:p>
        </w:tc>
      </w:tr>
      <w:tr w14:paraId="0B105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trPr>
        <w:tc>
          <w:tcPr>
            <w:tcW w:w="7820" w:type="dxa"/>
            <w:gridSpan w:val="2"/>
            <w:tcBorders>
              <w:tl2br w:val="nil"/>
              <w:tr2bl w:val="nil"/>
            </w:tcBorders>
            <w:vAlign w:val="center"/>
          </w:tcPr>
          <w:p w14:paraId="56F606B7">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eastAsia" w:ascii="仿宋_GB2312" w:hAnsi="仿宋_GB2312" w:eastAsia="仿宋_GB2312" w:cs="仿宋_GB2312"/>
                <w:color w:val="000000" w:themeColor="text1"/>
                <w:sz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结论</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（通过/不通过）</w:t>
            </w:r>
          </w:p>
        </w:tc>
        <w:tc>
          <w:tcPr>
            <w:tcW w:w="1220" w:type="dxa"/>
            <w:tcBorders>
              <w:tl2br w:val="nil"/>
              <w:tr2bl w:val="nil"/>
            </w:tcBorders>
            <w:vAlign w:val="center"/>
          </w:tcPr>
          <w:p w14:paraId="7B3E6695">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eastAsia" w:ascii="仿宋_GB2312" w:hAnsi="仿宋_GB2312" w:eastAsia="仿宋_GB2312" w:cs="仿宋_GB2312"/>
                <w:color w:val="000000" w:themeColor="text1"/>
                <w:sz w:val="24"/>
                <w:highlight w:val="none"/>
                <w14:textFill>
                  <w14:solidFill>
                    <w14:schemeClr w14:val="tx1"/>
                  </w14:solidFill>
                </w14:textFill>
              </w:rPr>
            </w:pPr>
          </w:p>
        </w:tc>
      </w:tr>
    </w:tbl>
    <w:p w14:paraId="1BCF24DB">
      <w:pPr>
        <w:keepNext w:val="0"/>
        <w:keepLines w:val="0"/>
        <w:pageBreakBefore w:val="0"/>
        <w:widowControl w:val="0"/>
        <w:kinsoku/>
        <w:wordWrap/>
        <w:overflowPunct/>
        <w:topLinePunct w:val="0"/>
        <w:autoSpaceDE/>
        <w:autoSpaceDN/>
        <w:bidi w:val="0"/>
        <w:adjustRightInd/>
        <w:snapToGrid/>
        <w:spacing w:after="0" w:line="240" w:lineRule="exact"/>
        <w:textAlignment w:val="baseline"/>
        <w:rPr>
          <w:rFonts w:hint="eastAsia" w:ascii="仿宋" w:hAnsi="仿宋" w:eastAsia="仿宋" w:cs="宋体"/>
          <w:b/>
          <w:bCs/>
          <w:sz w:val="21"/>
          <w:szCs w:val="21"/>
          <w:highlight w:val="none"/>
        </w:rPr>
      </w:pPr>
      <w:r>
        <w:rPr>
          <w:rFonts w:hint="eastAsia" w:ascii="仿宋" w:hAnsi="仿宋" w:eastAsia="仿宋" w:cs="宋体"/>
          <w:b/>
          <w:bCs/>
          <w:sz w:val="21"/>
          <w:szCs w:val="21"/>
          <w:highlight w:val="none"/>
        </w:rPr>
        <w:t>说明：上述各项中如有一项为不符合，则结论为不符合，表示该投标文件中存在重大偏差，不能通过资格审查，资格审查小组将认定整个投标文件未响应招标文件而予以废标处理。资格审查小组对某一分项评审认为不符合时，必须要写明原因。</w:t>
      </w:r>
    </w:p>
    <w:p w14:paraId="25D6D193">
      <w:pPr>
        <w:keepNext w:val="0"/>
        <w:keepLines w:val="0"/>
        <w:pageBreakBefore w:val="0"/>
        <w:widowControl w:val="0"/>
        <w:kinsoku/>
        <w:wordWrap/>
        <w:overflowPunct/>
        <w:topLinePunct w:val="0"/>
        <w:autoSpaceDE/>
        <w:autoSpaceDN/>
        <w:bidi w:val="0"/>
        <w:adjustRightInd/>
        <w:snapToGrid/>
        <w:spacing w:after="0" w:line="240" w:lineRule="exact"/>
        <w:textAlignment w:val="baseline"/>
        <w:rPr>
          <w:sz w:val="21"/>
          <w:szCs w:val="21"/>
          <w:highlight w:val="none"/>
        </w:rPr>
      </w:pPr>
      <w:r>
        <w:rPr>
          <w:rFonts w:hint="eastAsia" w:ascii="仿宋" w:hAnsi="仿宋" w:eastAsia="仿宋" w:cs="宋体"/>
          <w:b/>
          <w:bCs/>
          <w:sz w:val="21"/>
          <w:szCs w:val="21"/>
          <w:highlight w:val="none"/>
        </w:rPr>
        <w:t>投标文件最终符合与否，以所有资格审查小组的评审意见中少数服从多数为原则定论。未通过资格审查的投标人不进入评审；通过资格审查的投标人不足三家的，不得评审。</w:t>
      </w:r>
    </w:p>
    <w:p w14:paraId="041797BB">
      <w:pPr>
        <w:rPr>
          <w:rFonts w:hint="eastAsia" w:ascii="宋体" w:hAnsi="宋体" w:cs="宋体"/>
          <w:b/>
          <w:sz w:val="24"/>
          <w:highlight w:val="none"/>
        </w:rPr>
      </w:pPr>
    </w:p>
    <w:p w14:paraId="5DBE5C4E">
      <w:pPr>
        <w:jc w:val="center"/>
        <w:rPr>
          <w:rFonts w:hint="default" w:ascii="方正仿宋_GB2312" w:hAnsi="方正仿宋_GB2312" w:eastAsia="方正仿宋_GB2312" w:cs="方正仿宋_GB2312"/>
          <w:b/>
          <w:bCs/>
          <w:iCs/>
          <w:color w:val="auto"/>
          <w:sz w:val="28"/>
          <w:szCs w:val="28"/>
          <w:highlight w:val="none"/>
        </w:rPr>
      </w:pPr>
      <w:r>
        <w:rPr>
          <w:rFonts w:hint="default" w:ascii="方正仿宋_GB2312" w:hAnsi="方正仿宋_GB2312" w:eastAsia="方正仿宋_GB2312" w:cs="方正仿宋_GB2312"/>
          <w:b/>
          <w:bCs/>
          <w:iCs/>
          <w:color w:val="auto"/>
          <w:sz w:val="28"/>
          <w:szCs w:val="28"/>
          <w:highlight w:val="none"/>
        </w:rPr>
        <w:t>5.2符合性审查</w:t>
      </w:r>
    </w:p>
    <w:tbl>
      <w:tblPr>
        <w:tblStyle w:val="26"/>
        <w:tblW w:w="8729" w:type="dxa"/>
        <w:jc w:val="righ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5"/>
        <w:gridCol w:w="6428"/>
        <w:gridCol w:w="743"/>
        <w:gridCol w:w="743"/>
      </w:tblGrid>
      <w:tr w14:paraId="5401B2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053" w:hRule="atLeast"/>
          <w:jc w:val="right"/>
        </w:trPr>
        <w:tc>
          <w:tcPr>
            <w:tcW w:w="815" w:type="dxa"/>
            <w:vAlign w:val="center"/>
          </w:tcPr>
          <w:p w14:paraId="03E3CA72">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default" w:ascii="仿宋_GB2312" w:hAnsi="仿宋_GB2312" w:eastAsia="仿宋_GB2312" w:cs="仿宋_GB2312"/>
                <w:color w:val="000000" w:themeColor="text1"/>
                <w:sz w:val="24"/>
                <w:highlight w:val="none"/>
                <w14:textFill>
                  <w14:solidFill>
                    <w14:schemeClr w14:val="tx1"/>
                  </w14:solidFill>
                </w14:textFill>
              </w:rPr>
            </w:pPr>
            <w:r>
              <w:rPr>
                <w:rFonts w:hint="default" w:ascii="仿宋_GB2312" w:hAnsi="仿宋_GB2312" w:eastAsia="仿宋_GB2312" w:cs="仿宋_GB2312"/>
                <w:color w:val="000000" w:themeColor="text1"/>
                <w:sz w:val="24"/>
                <w:highlight w:val="none"/>
                <w14:textFill>
                  <w14:solidFill>
                    <w14:schemeClr w14:val="tx1"/>
                  </w14:solidFill>
                </w14:textFill>
              </w:rPr>
              <w:t>序号</w:t>
            </w:r>
          </w:p>
        </w:tc>
        <w:tc>
          <w:tcPr>
            <w:tcW w:w="6428" w:type="dxa"/>
            <w:vAlign w:val="center"/>
          </w:tcPr>
          <w:p w14:paraId="41D7C2A1">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default" w:ascii="仿宋_GB2312" w:hAnsi="仿宋_GB2312" w:eastAsia="仿宋_GB2312" w:cs="仿宋_GB2312"/>
                <w:color w:val="000000" w:themeColor="text1"/>
                <w:sz w:val="24"/>
                <w:highlight w:val="none"/>
                <w14:textFill>
                  <w14:solidFill>
                    <w14:schemeClr w14:val="tx1"/>
                  </w14:solidFill>
                </w14:textFill>
              </w:rPr>
            </w:pPr>
            <w:r>
              <w:rPr>
                <w:rFonts w:hint="default" w:ascii="仿宋_GB2312" w:hAnsi="仿宋_GB2312" w:eastAsia="仿宋_GB2312" w:cs="仿宋_GB2312"/>
                <w:color w:val="000000" w:themeColor="text1"/>
                <w:sz w:val="24"/>
                <w:highlight w:val="none"/>
                <w14:textFill>
                  <w14:solidFill>
                    <w14:schemeClr w14:val="tx1"/>
                  </w14:solidFill>
                </w14:textFill>
              </w:rPr>
              <w:t>审查标准</w:t>
            </w:r>
          </w:p>
        </w:tc>
        <w:tc>
          <w:tcPr>
            <w:tcW w:w="1486" w:type="dxa"/>
            <w:gridSpan w:val="2"/>
            <w:vAlign w:val="center"/>
          </w:tcPr>
          <w:p w14:paraId="3777D62F">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评审意见</w:t>
            </w:r>
          </w:p>
          <w:p w14:paraId="47C82DCA">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default"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是否合格</w:t>
            </w:r>
          </w:p>
        </w:tc>
      </w:tr>
      <w:tr w14:paraId="4B5F0F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1" w:hRule="atLeast"/>
          <w:jc w:val="right"/>
        </w:trPr>
        <w:tc>
          <w:tcPr>
            <w:tcW w:w="815" w:type="dxa"/>
            <w:vAlign w:val="bottom"/>
          </w:tcPr>
          <w:p w14:paraId="6106EDA3">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default" w:ascii="仿宋_GB2312" w:hAnsi="仿宋_GB2312" w:eastAsia="仿宋_GB2312" w:cs="仿宋_GB2312"/>
                <w:color w:val="000000" w:themeColor="text1"/>
                <w:sz w:val="24"/>
                <w:highlight w:val="none"/>
                <w14:textFill>
                  <w14:solidFill>
                    <w14:schemeClr w14:val="tx1"/>
                  </w14:solidFill>
                </w14:textFill>
              </w:rPr>
            </w:pPr>
            <w:r>
              <w:rPr>
                <w:rFonts w:hint="default" w:ascii="仿宋_GB2312" w:hAnsi="仿宋_GB2312" w:eastAsia="仿宋_GB2312" w:cs="仿宋_GB2312"/>
                <w:color w:val="000000" w:themeColor="text1"/>
                <w:sz w:val="24"/>
                <w:highlight w:val="none"/>
                <w14:textFill>
                  <w14:solidFill>
                    <w14:schemeClr w14:val="tx1"/>
                  </w14:solidFill>
                </w14:textFill>
              </w:rPr>
              <w:t>1</w:t>
            </w:r>
          </w:p>
        </w:tc>
        <w:tc>
          <w:tcPr>
            <w:tcW w:w="6428" w:type="dxa"/>
            <w:vAlign w:val="center"/>
          </w:tcPr>
          <w:p w14:paraId="66D9B3FD">
            <w:pPr>
              <w:keepNext w:val="0"/>
              <w:keepLines w:val="0"/>
              <w:pageBreakBefore w:val="0"/>
              <w:widowControl/>
              <w:suppressLineNumbers w:val="0"/>
              <w:shd w:val="clear" w:color="auto" w:fill="auto"/>
              <w:kinsoku/>
              <w:wordWrap/>
              <w:overflowPunct/>
              <w:topLinePunct w:val="0"/>
              <w:bidi w:val="0"/>
              <w:spacing w:before="0" w:beforeAutospacing="0" w:after="0" w:afterAutospacing="0" w:line="400" w:lineRule="exact"/>
              <w:ind w:left="0" w:leftChars="0" w:right="0" w:rightChars="0" w:firstLine="0" w:firstLineChars="0"/>
              <w:jc w:val="both"/>
              <w:rPr>
                <w:rFonts w:hint="default" w:ascii="仿宋_GB2312" w:hAnsi="仿宋_GB2312" w:eastAsia="仿宋_GB2312" w:cs="仿宋_GB2312"/>
                <w:color w:val="000000" w:themeColor="text1"/>
                <w:sz w:val="24"/>
                <w:highlight w:val="none"/>
                <w14:textFill>
                  <w14:solidFill>
                    <w14:schemeClr w14:val="tx1"/>
                  </w14:solidFill>
                </w14:textFill>
              </w:rPr>
            </w:pPr>
            <w:r>
              <w:rPr>
                <w:rFonts w:hint="eastAsia" w:ascii="微软雅黑 Light" w:hAnsi="微软雅黑 Light" w:eastAsia="微软雅黑 Light" w:cs="微软雅黑 Light"/>
                <w:i w:val="0"/>
                <w:iCs w:val="0"/>
                <w:color w:val="auto"/>
                <w:sz w:val="24"/>
                <w:szCs w:val="24"/>
                <w:highlight w:val="none"/>
                <w:lang w:eastAsia="zh-CN"/>
              </w:rPr>
              <w:t>投标文件按招标文件要求编制、签署、盖章；</w:t>
            </w:r>
          </w:p>
        </w:tc>
        <w:tc>
          <w:tcPr>
            <w:tcW w:w="743" w:type="dxa"/>
            <w:vAlign w:val="center"/>
          </w:tcPr>
          <w:p w14:paraId="2F3B892E">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default" w:ascii="仿宋_GB2312" w:hAnsi="仿宋_GB2312" w:eastAsia="仿宋_GB2312" w:cs="仿宋_GB2312"/>
                <w:color w:val="000000" w:themeColor="text1"/>
                <w:sz w:val="24"/>
                <w:highlight w:val="none"/>
                <w14:textFill>
                  <w14:solidFill>
                    <w14:schemeClr w14:val="tx1"/>
                  </w14:solidFill>
                </w14:textFill>
              </w:rPr>
            </w:pPr>
          </w:p>
        </w:tc>
        <w:tc>
          <w:tcPr>
            <w:tcW w:w="743" w:type="dxa"/>
            <w:vAlign w:val="center"/>
          </w:tcPr>
          <w:p w14:paraId="63FF522A">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default" w:ascii="仿宋_GB2312" w:hAnsi="仿宋_GB2312" w:eastAsia="仿宋_GB2312" w:cs="仿宋_GB2312"/>
                <w:color w:val="000000" w:themeColor="text1"/>
                <w:sz w:val="24"/>
                <w:highlight w:val="none"/>
                <w14:textFill>
                  <w14:solidFill>
                    <w14:schemeClr w14:val="tx1"/>
                  </w14:solidFill>
                </w14:textFill>
              </w:rPr>
            </w:pPr>
          </w:p>
        </w:tc>
      </w:tr>
      <w:tr w14:paraId="1B3E3C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1" w:hRule="atLeast"/>
          <w:jc w:val="right"/>
        </w:trPr>
        <w:tc>
          <w:tcPr>
            <w:tcW w:w="815" w:type="dxa"/>
            <w:vAlign w:val="bottom"/>
          </w:tcPr>
          <w:p w14:paraId="1180DB8A">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default" w:ascii="仿宋_GB2312" w:hAnsi="仿宋_GB2312" w:eastAsia="仿宋_GB2312" w:cs="仿宋_GB2312"/>
                <w:color w:val="000000" w:themeColor="text1"/>
                <w:sz w:val="24"/>
                <w:highlight w:val="none"/>
                <w14:textFill>
                  <w14:solidFill>
                    <w14:schemeClr w14:val="tx1"/>
                  </w14:solidFill>
                </w14:textFill>
              </w:rPr>
            </w:pPr>
            <w:r>
              <w:rPr>
                <w:rFonts w:hint="default" w:ascii="仿宋_GB2312" w:hAnsi="仿宋_GB2312" w:eastAsia="仿宋_GB2312" w:cs="仿宋_GB2312"/>
                <w:color w:val="000000" w:themeColor="text1"/>
                <w:sz w:val="24"/>
                <w:highlight w:val="none"/>
                <w14:textFill>
                  <w14:solidFill>
                    <w14:schemeClr w14:val="tx1"/>
                  </w14:solidFill>
                </w14:textFill>
              </w:rPr>
              <w:t>2</w:t>
            </w:r>
          </w:p>
        </w:tc>
        <w:tc>
          <w:tcPr>
            <w:tcW w:w="6428" w:type="dxa"/>
            <w:vAlign w:val="center"/>
          </w:tcPr>
          <w:p w14:paraId="64C145DE">
            <w:pPr>
              <w:keepNext w:val="0"/>
              <w:keepLines w:val="0"/>
              <w:pageBreakBefore w:val="0"/>
              <w:widowControl/>
              <w:suppressLineNumbers w:val="0"/>
              <w:shd w:val="clear" w:color="auto" w:fill="auto"/>
              <w:kinsoku/>
              <w:wordWrap/>
              <w:overflowPunct/>
              <w:topLinePunct w:val="0"/>
              <w:bidi w:val="0"/>
              <w:spacing w:before="0" w:beforeAutospacing="0" w:after="0" w:afterAutospacing="0" w:line="400" w:lineRule="exact"/>
              <w:ind w:left="0" w:leftChars="0" w:right="0" w:rightChars="0" w:firstLine="0" w:firstLineChars="0"/>
              <w:jc w:val="both"/>
              <w:rPr>
                <w:rFonts w:hint="default" w:ascii="仿宋_GB2312" w:hAnsi="仿宋_GB2312" w:eastAsia="仿宋_GB2312" w:cs="仿宋_GB2312"/>
                <w:color w:val="000000" w:themeColor="text1"/>
                <w:sz w:val="24"/>
                <w:highlight w:val="none"/>
                <w14:textFill>
                  <w14:solidFill>
                    <w14:schemeClr w14:val="tx1"/>
                  </w14:solidFill>
                </w14:textFill>
              </w:rPr>
            </w:pPr>
            <w:r>
              <w:rPr>
                <w:rFonts w:hint="eastAsia" w:ascii="微软雅黑 Light" w:hAnsi="微软雅黑 Light" w:eastAsia="微软雅黑 Light" w:cs="微软雅黑 Light"/>
                <w:i w:val="0"/>
                <w:iCs w:val="0"/>
                <w:color w:val="auto"/>
                <w:sz w:val="24"/>
                <w:szCs w:val="24"/>
                <w:highlight w:val="none"/>
                <w:lang w:eastAsia="zh-CN"/>
              </w:rPr>
              <w:t>投标文件记载的招标项目完成期限未超过招标文件规定的完成期限；</w:t>
            </w:r>
          </w:p>
        </w:tc>
        <w:tc>
          <w:tcPr>
            <w:tcW w:w="743" w:type="dxa"/>
            <w:vAlign w:val="center"/>
          </w:tcPr>
          <w:p w14:paraId="1D421400">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default" w:ascii="仿宋_GB2312" w:hAnsi="仿宋_GB2312" w:eastAsia="仿宋_GB2312" w:cs="仿宋_GB2312"/>
                <w:color w:val="000000" w:themeColor="text1"/>
                <w:sz w:val="24"/>
                <w:highlight w:val="none"/>
                <w14:textFill>
                  <w14:solidFill>
                    <w14:schemeClr w14:val="tx1"/>
                  </w14:solidFill>
                </w14:textFill>
              </w:rPr>
            </w:pPr>
          </w:p>
        </w:tc>
        <w:tc>
          <w:tcPr>
            <w:tcW w:w="743" w:type="dxa"/>
            <w:vAlign w:val="center"/>
          </w:tcPr>
          <w:p w14:paraId="0F352722">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default" w:ascii="仿宋_GB2312" w:hAnsi="仿宋_GB2312" w:eastAsia="仿宋_GB2312" w:cs="仿宋_GB2312"/>
                <w:color w:val="000000" w:themeColor="text1"/>
                <w:sz w:val="24"/>
                <w:highlight w:val="none"/>
                <w14:textFill>
                  <w14:solidFill>
                    <w14:schemeClr w14:val="tx1"/>
                  </w14:solidFill>
                </w14:textFill>
              </w:rPr>
            </w:pPr>
          </w:p>
        </w:tc>
      </w:tr>
      <w:tr w14:paraId="3A0D3C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1" w:hRule="atLeast"/>
          <w:jc w:val="right"/>
        </w:trPr>
        <w:tc>
          <w:tcPr>
            <w:tcW w:w="815" w:type="dxa"/>
            <w:vAlign w:val="bottom"/>
          </w:tcPr>
          <w:p w14:paraId="6F02569A">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default" w:ascii="仿宋_GB2312" w:hAnsi="仿宋_GB2312" w:eastAsia="仿宋_GB2312" w:cs="仿宋_GB2312"/>
                <w:color w:val="000000" w:themeColor="text1"/>
                <w:sz w:val="24"/>
                <w:highlight w:val="none"/>
                <w14:textFill>
                  <w14:solidFill>
                    <w14:schemeClr w14:val="tx1"/>
                  </w14:solidFill>
                </w14:textFill>
              </w:rPr>
            </w:pPr>
            <w:r>
              <w:rPr>
                <w:rFonts w:hint="default" w:ascii="仿宋_GB2312" w:hAnsi="仿宋_GB2312" w:eastAsia="仿宋_GB2312" w:cs="仿宋_GB2312"/>
                <w:color w:val="000000" w:themeColor="text1"/>
                <w:sz w:val="24"/>
                <w:highlight w:val="none"/>
                <w14:textFill>
                  <w14:solidFill>
                    <w14:schemeClr w14:val="tx1"/>
                  </w14:solidFill>
                </w14:textFill>
              </w:rPr>
              <w:t>3</w:t>
            </w:r>
          </w:p>
        </w:tc>
        <w:tc>
          <w:tcPr>
            <w:tcW w:w="6428" w:type="dxa"/>
            <w:vAlign w:val="center"/>
          </w:tcPr>
          <w:p w14:paraId="36B0400A">
            <w:pPr>
              <w:keepNext w:val="0"/>
              <w:keepLines w:val="0"/>
              <w:pageBreakBefore w:val="0"/>
              <w:widowControl/>
              <w:suppressLineNumbers w:val="0"/>
              <w:shd w:val="clear" w:color="auto" w:fill="auto"/>
              <w:kinsoku/>
              <w:wordWrap/>
              <w:overflowPunct/>
              <w:topLinePunct w:val="0"/>
              <w:bidi w:val="0"/>
              <w:spacing w:before="0" w:beforeAutospacing="0" w:after="0" w:afterAutospacing="0" w:line="400" w:lineRule="exact"/>
              <w:ind w:left="0" w:leftChars="0" w:right="0" w:rightChars="0" w:firstLine="0" w:firstLineChars="0"/>
              <w:jc w:val="both"/>
              <w:rPr>
                <w:rFonts w:hint="default" w:ascii="仿宋_GB2312" w:hAnsi="仿宋_GB2312" w:eastAsia="仿宋_GB2312" w:cs="仿宋_GB2312"/>
                <w:color w:val="000000" w:themeColor="text1"/>
                <w:sz w:val="24"/>
                <w:highlight w:val="none"/>
                <w:lang w:eastAsia="zh-CN"/>
                <w14:textFill>
                  <w14:solidFill>
                    <w14:schemeClr w14:val="tx1"/>
                  </w14:solidFill>
                </w14:textFill>
              </w:rPr>
            </w:pPr>
            <w:r>
              <w:rPr>
                <w:rFonts w:hint="eastAsia" w:ascii="微软雅黑 Light" w:hAnsi="微软雅黑 Light" w:eastAsia="微软雅黑 Light" w:cs="微软雅黑 Light"/>
                <w:i w:val="0"/>
                <w:iCs w:val="0"/>
                <w:color w:val="auto"/>
                <w:sz w:val="24"/>
                <w:szCs w:val="24"/>
                <w:highlight w:val="none"/>
                <w:lang w:val="en-US" w:eastAsia="zh-CN"/>
              </w:rPr>
              <w:t>未</w:t>
            </w:r>
            <w:r>
              <w:rPr>
                <w:rFonts w:hint="eastAsia" w:ascii="微软雅黑 Light" w:hAnsi="微软雅黑 Light" w:eastAsia="微软雅黑 Light" w:cs="微软雅黑 Light"/>
                <w:i w:val="0"/>
                <w:iCs w:val="0"/>
                <w:color w:val="auto"/>
                <w:sz w:val="24"/>
                <w:szCs w:val="24"/>
                <w:highlight w:val="none"/>
                <w:lang w:eastAsia="zh-CN"/>
              </w:rPr>
              <w:t>与其他供应商</w:t>
            </w:r>
            <w:r>
              <w:rPr>
                <w:rFonts w:hint="eastAsia" w:ascii="微软雅黑 Light" w:hAnsi="微软雅黑 Light" w:eastAsia="微软雅黑 Light" w:cs="微软雅黑 Light"/>
                <w:i w:val="0"/>
                <w:iCs w:val="0"/>
                <w:color w:val="auto"/>
                <w:sz w:val="24"/>
                <w:szCs w:val="24"/>
                <w:highlight w:val="none"/>
                <w:lang w:val="en-US" w:eastAsia="zh-CN"/>
              </w:rPr>
              <w:t>围标串标；</w:t>
            </w:r>
          </w:p>
        </w:tc>
        <w:tc>
          <w:tcPr>
            <w:tcW w:w="743" w:type="dxa"/>
            <w:vAlign w:val="center"/>
          </w:tcPr>
          <w:p w14:paraId="45D798A4">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default" w:ascii="仿宋_GB2312" w:hAnsi="仿宋_GB2312" w:eastAsia="仿宋_GB2312" w:cs="仿宋_GB2312"/>
                <w:color w:val="000000" w:themeColor="text1"/>
                <w:sz w:val="24"/>
                <w:highlight w:val="none"/>
                <w14:textFill>
                  <w14:solidFill>
                    <w14:schemeClr w14:val="tx1"/>
                  </w14:solidFill>
                </w14:textFill>
              </w:rPr>
            </w:pPr>
          </w:p>
        </w:tc>
        <w:tc>
          <w:tcPr>
            <w:tcW w:w="743" w:type="dxa"/>
            <w:vAlign w:val="center"/>
          </w:tcPr>
          <w:p w14:paraId="3C4B4534">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default" w:ascii="仿宋_GB2312" w:hAnsi="仿宋_GB2312" w:eastAsia="仿宋_GB2312" w:cs="仿宋_GB2312"/>
                <w:color w:val="000000" w:themeColor="text1"/>
                <w:sz w:val="24"/>
                <w:highlight w:val="none"/>
                <w14:textFill>
                  <w14:solidFill>
                    <w14:schemeClr w14:val="tx1"/>
                  </w14:solidFill>
                </w14:textFill>
              </w:rPr>
            </w:pPr>
          </w:p>
        </w:tc>
      </w:tr>
      <w:tr w14:paraId="418062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1" w:hRule="atLeast"/>
          <w:jc w:val="right"/>
        </w:trPr>
        <w:tc>
          <w:tcPr>
            <w:tcW w:w="815" w:type="dxa"/>
            <w:vAlign w:val="bottom"/>
          </w:tcPr>
          <w:p w14:paraId="162DDF86">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default" w:ascii="仿宋_GB2312" w:hAnsi="仿宋_GB2312" w:eastAsia="仿宋_GB2312" w:cs="仿宋_GB2312"/>
                <w:color w:val="000000" w:themeColor="text1"/>
                <w:sz w:val="24"/>
                <w:highlight w:val="none"/>
                <w14:textFill>
                  <w14:solidFill>
                    <w14:schemeClr w14:val="tx1"/>
                  </w14:solidFill>
                </w14:textFill>
              </w:rPr>
            </w:pPr>
            <w:r>
              <w:rPr>
                <w:rFonts w:hint="default" w:ascii="仿宋_GB2312" w:hAnsi="仿宋_GB2312" w:eastAsia="仿宋_GB2312" w:cs="仿宋_GB2312"/>
                <w:color w:val="000000" w:themeColor="text1"/>
                <w:sz w:val="24"/>
                <w:highlight w:val="none"/>
                <w14:textFill>
                  <w14:solidFill>
                    <w14:schemeClr w14:val="tx1"/>
                  </w14:solidFill>
                </w14:textFill>
              </w:rPr>
              <w:t>4</w:t>
            </w:r>
          </w:p>
        </w:tc>
        <w:tc>
          <w:tcPr>
            <w:tcW w:w="6428" w:type="dxa"/>
            <w:vAlign w:val="center"/>
          </w:tcPr>
          <w:p w14:paraId="1685AD9A">
            <w:pPr>
              <w:keepNext w:val="0"/>
              <w:keepLines w:val="0"/>
              <w:pageBreakBefore w:val="0"/>
              <w:widowControl/>
              <w:suppressLineNumbers w:val="0"/>
              <w:shd w:val="clear" w:color="auto" w:fill="auto"/>
              <w:kinsoku/>
              <w:wordWrap/>
              <w:overflowPunct/>
              <w:topLinePunct w:val="0"/>
              <w:bidi w:val="0"/>
              <w:spacing w:before="0" w:beforeAutospacing="0" w:after="0" w:afterAutospacing="0" w:line="400" w:lineRule="exact"/>
              <w:ind w:left="0" w:leftChars="0" w:right="0" w:rightChars="0" w:firstLine="0" w:firstLineChars="0"/>
              <w:jc w:val="both"/>
              <w:rPr>
                <w:rFonts w:hint="default" w:ascii="仿宋_GB2312" w:hAnsi="仿宋_GB2312" w:eastAsia="仿宋_GB2312" w:cs="仿宋_GB2312"/>
                <w:color w:val="000000" w:themeColor="text1"/>
                <w:sz w:val="24"/>
                <w:highlight w:val="none"/>
                <w14:textFill>
                  <w14:solidFill>
                    <w14:schemeClr w14:val="tx1"/>
                  </w14:solidFill>
                </w14:textFill>
              </w:rPr>
            </w:pPr>
            <w:r>
              <w:rPr>
                <w:rFonts w:hint="eastAsia" w:ascii="微软雅黑 Light" w:hAnsi="微软雅黑 Light" w:eastAsia="微软雅黑 Light" w:cs="微软雅黑 Light"/>
                <w:i w:val="0"/>
                <w:iCs w:val="0"/>
                <w:color w:val="auto"/>
                <w:sz w:val="24"/>
                <w:szCs w:val="24"/>
                <w:highlight w:val="none"/>
                <w:lang w:eastAsia="zh-CN"/>
              </w:rPr>
              <w:t>投标有效期满足招标文件要求；</w:t>
            </w:r>
          </w:p>
        </w:tc>
        <w:tc>
          <w:tcPr>
            <w:tcW w:w="743" w:type="dxa"/>
            <w:vAlign w:val="center"/>
          </w:tcPr>
          <w:p w14:paraId="54CB010C">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default" w:ascii="仿宋_GB2312" w:hAnsi="仿宋_GB2312" w:eastAsia="仿宋_GB2312" w:cs="仿宋_GB2312"/>
                <w:color w:val="000000" w:themeColor="text1"/>
                <w:sz w:val="24"/>
                <w:highlight w:val="none"/>
                <w14:textFill>
                  <w14:solidFill>
                    <w14:schemeClr w14:val="tx1"/>
                  </w14:solidFill>
                </w14:textFill>
              </w:rPr>
            </w:pPr>
          </w:p>
        </w:tc>
        <w:tc>
          <w:tcPr>
            <w:tcW w:w="743" w:type="dxa"/>
            <w:vAlign w:val="center"/>
          </w:tcPr>
          <w:p w14:paraId="5EAB44B6">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default" w:ascii="仿宋_GB2312" w:hAnsi="仿宋_GB2312" w:eastAsia="仿宋_GB2312" w:cs="仿宋_GB2312"/>
                <w:color w:val="000000" w:themeColor="text1"/>
                <w:sz w:val="24"/>
                <w:highlight w:val="none"/>
                <w14:textFill>
                  <w14:solidFill>
                    <w14:schemeClr w14:val="tx1"/>
                  </w14:solidFill>
                </w14:textFill>
              </w:rPr>
            </w:pPr>
          </w:p>
        </w:tc>
      </w:tr>
      <w:tr w14:paraId="00CB1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1" w:hRule="atLeast"/>
          <w:jc w:val="right"/>
        </w:trPr>
        <w:tc>
          <w:tcPr>
            <w:tcW w:w="815" w:type="dxa"/>
            <w:vAlign w:val="bottom"/>
          </w:tcPr>
          <w:p w14:paraId="7108CD4A">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default" w:ascii="仿宋_GB2312" w:hAnsi="仿宋_GB2312" w:eastAsia="仿宋_GB2312" w:cs="仿宋_GB2312"/>
                <w:color w:val="000000" w:themeColor="text1"/>
                <w:sz w:val="24"/>
                <w:highlight w:val="none"/>
                <w14:textFill>
                  <w14:solidFill>
                    <w14:schemeClr w14:val="tx1"/>
                  </w14:solidFill>
                </w14:textFill>
              </w:rPr>
            </w:pPr>
            <w:r>
              <w:rPr>
                <w:rFonts w:hint="default" w:ascii="仿宋_GB2312" w:hAnsi="仿宋_GB2312" w:eastAsia="仿宋_GB2312" w:cs="仿宋_GB2312"/>
                <w:color w:val="000000" w:themeColor="text1"/>
                <w:sz w:val="24"/>
                <w:highlight w:val="none"/>
                <w14:textFill>
                  <w14:solidFill>
                    <w14:schemeClr w14:val="tx1"/>
                  </w14:solidFill>
                </w14:textFill>
              </w:rPr>
              <w:t>5</w:t>
            </w:r>
          </w:p>
        </w:tc>
        <w:tc>
          <w:tcPr>
            <w:tcW w:w="6428" w:type="dxa"/>
            <w:vAlign w:val="center"/>
          </w:tcPr>
          <w:p w14:paraId="7FCBFE7B">
            <w:pPr>
              <w:keepNext w:val="0"/>
              <w:keepLines w:val="0"/>
              <w:pageBreakBefore w:val="0"/>
              <w:widowControl/>
              <w:suppressLineNumbers w:val="0"/>
              <w:shd w:val="clear" w:color="auto" w:fill="auto"/>
              <w:kinsoku/>
              <w:wordWrap/>
              <w:overflowPunct/>
              <w:topLinePunct w:val="0"/>
              <w:bidi w:val="0"/>
              <w:spacing w:before="0" w:beforeAutospacing="0" w:after="0" w:afterAutospacing="0" w:line="400" w:lineRule="exact"/>
              <w:ind w:left="0" w:leftChars="0" w:right="0" w:rightChars="0" w:firstLine="0" w:firstLineChars="0"/>
              <w:jc w:val="both"/>
              <w:rPr>
                <w:rFonts w:hint="default" w:ascii="仿宋_GB2312" w:hAnsi="仿宋_GB2312" w:eastAsia="仿宋_GB2312" w:cs="仿宋_GB2312"/>
                <w:color w:val="000000" w:themeColor="text1"/>
                <w:sz w:val="24"/>
                <w:highlight w:val="none"/>
                <w14:textFill>
                  <w14:solidFill>
                    <w14:schemeClr w14:val="tx1"/>
                  </w14:solidFill>
                </w14:textFill>
              </w:rPr>
            </w:pPr>
            <w:r>
              <w:rPr>
                <w:rFonts w:hint="eastAsia" w:ascii="微软雅黑 Light" w:hAnsi="微软雅黑 Light" w:eastAsia="微软雅黑 Light" w:cs="微软雅黑 Light"/>
                <w:i w:val="0"/>
                <w:iCs w:val="0"/>
                <w:color w:val="auto"/>
                <w:sz w:val="24"/>
                <w:szCs w:val="24"/>
                <w:highlight w:val="none"/>
                <w:lang w:eastAsia="zh-CN"/>
              </w:rPr>
              <w:t>投标报价</w:t>
            </w:r>
            <w:r>
              <w:rPr>
                <w:rFonts w:hint="eastAsia" w:ascii="微软雅黑 Light" w:hAnsi="微软雅黑 Light" w:eastAsia="微软雅黑 Light" w:cs="微软雅黑 Light"/>
                <w:i w:val="0"/>
                <w:iCs w:val="0"/>
                <w:color w:val="auto"/>
                <w:sz w:val="24"/>
                <w:szCs w:val="24"/>
                <w:highlight w:val="none"/>
                <w:lang w:val="en-US" w:eastAsia="zh-CN"/>
              </w:rPr>
              <w:t>未</w:t>
            </w:r>
            <w:r>
              <w:rPr>
                <w:rFonts w:hint="eastAsia" w:ascii="微软雅黑 Light" w:hAnsi="微软雅黑 Light" w:eastAsia="微软雅黑 Light" w:cs="微软雅黑 Light"/>
                <w:i w:val="0"/>
                <w:iCs w:val="0"/>
                <w:color w:val="auto"/>
                <w:sz w:val="24"/>
                <w:szCs w:val="24"/>
                <w:highlight w:val="none"/>
                <w:lang w:eastAsia="zh-CN"/>
              </w:rPr>
              <w:t>高于</w:t>
            </w:r>
            <w:r>
              <w:rPr>
                <w:rFonts w:hint="eastAsia" w:ascii="微软雅黑 Light" w:hAnsi="微软雅黑 Light" w:eastAsia="微软雅黑 Light" w:cs="微软雅黑 Light"/>
                <w:i w:val="0"/>
                <w:iCs w:val="0"/>
                <w:color w:val="auto"/>
                <w:sz w:val="24"/>
                <w:szCs w:val="24"/>
                <w:highlight w:val="none"/>
                <w:lang w:val="en-US" w:eastAsia="zh-CN"/>
              </w:rPr>
              <w:t>采购预算价</w:t>
            </w:r>
            <w:r>
              <w:rPr>
                <w:rFonts w:hint="eastAsia" w:ascii="微软雅黑 Light" w:hAnsi="微软雅黑 Light" w:eastAsia="微软雅黑 Light" w:cs="微软雅黑 Light"/>
                <w:i w:val="0"/>
                <w:iCs w:val="0"/>
                <w:color w:val="auto"/>
                <w:sz w:val="24"/>
                <w:szCs w:val="24"/>
                <w:highlight w:val="none"/>
                <w:lang w:eastAsia="zh-CN"/>
              </w:rPr>
              <w:t>；</w:t>
            </w:r>
          </w:p>
        </w:tc>
        <w:tc>
          <w:tcPr>
            <w:tcW w:w="743" w:type="dxa"/>
            <w:vAlign w:val="center"/>
          </w:tcPr>
          <w:p w14:paraId="6C73666D">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default" w:ascii="仿宋_GB2312" w:hAnsi="仿宋_GB2312" w:eastAsia="仿宋_GB2312" w:cs="仿宋_GB2312"/>
                <w:color w:val="000000" w:themeColor="text1"/>
                <w:sz w:val="24"/>
                <w:highlight w:val="none"/>
                <w14:textFill>
                  <w14:solidFill>
                    <w14:schemeClr w14:val="tx1"/>
                  </w14:solidFill>
                </w14:textFill>
              </w:rPr>
            </w:pPr>
          </w:p>
        </w:tc>
        <w:tc>
          <w:tcPr>
            <w:tcW w:w="743" w:type="dxa"/>
            <w:vAlign w:val="center"/>
          </w:tcPr>
          <w:p w14:paraId="0A89FDDA">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default" w:ascii="仿宋_GB2312" w:hAnsi="仿宋_GB2312" w:eastAsia="仿宋_GB2312" w:cs="仿宋_GB2312"/>
                <w:color w:val="000000" w:themeColor="text1"/>
                <w:sz w:val="24"/>
                <w:highlight w:val="none"/>
                <w14:textFill>
                  <w14:solidFill>
                    <w14:schemeClr w14:val="tx1"/>
                  </w14:solidFill>
                </w14:textFill>
              </w:rPr>
            </w:pPr>
          </w:p>
        </w:tc>
      </w:tr>
      <w:tr w14:paraId="732D58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1" w:hRule="atLeast"/>
          <w:jc w:val="right"/>
        </w:trPr>
        <w:tc>
          <w:tcPr>
            <w:tcW w:w="815" w:type="dxa"/>
            <w:vAlign w:val="bottom"/>
          </w:tcPr>
          <w:p w14:paraId="4A50528D">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default" w:ascii="仿宋_GB2312" w:hAnsi="仿宋_GB2312" w:eastAsia="仿宋_GB2312" w:cs="仿宋_GB2312"/>
                <w:color w:val="000000" w:themeColor="text1"/>
                <w:sz w:val="24"/>
                <w:highlight w:val="none"/>
                <w14:textFill>
                  <w14:solidFill>
                    <w14:schemeClr w14:val="tx1"/>
                  </w14:solidFill>
                </w14:textFill>
              </w:rPr>
            </w:pPr>
            <w:r>
              <w:rPr>
                <w:rFonts w:hint="default" w:ascii="仿宋_GB2312" w:hAnsi="仿宋_GB2312" w:eastAsia="仿宋_GB2312" w:cs="仿宋_GB2312"/>
                <w:color w:val="000000" w:themeColor="text1"/>
                <w:sz w:val="24"/>
                <w:highlight w:val="none"/>
                <w14:textFill>
                  <w14:solidFill>
                    <w14:schemeClr w14:val="tx1"/>
                  </w14:solidFill>
                </w14:textFill>
              </w:rPr>
              <w:t>6</w:t>
            </w:r>
          </w:p>
        </w:tc>
        <w:tc>
          <w:tcPr>
            <w:tcW w:w="6428" w:type="dxa"/>
            <w:vAlign w:val="center"/>
          </w:tcPr>
          <w:p w14:paraId="6ACD0CE1">
            <w:pPr>
              <w:keepNext w:val="0"/>
              <w:keepLines w:val="0"/>
              <w:pageBreakBefore w:val="0"/>
              <w:widowControl/>
              <w:suppressLineNumbers w:val="0"/>
              <w:shd w:val="clear" w:color="auto" w:fill="auto"/>
              <w:kinsoku/>
              <w:wordWrap/>
              <w:overflowPunct/>
              <w:topLinePunct w:val="0"/>
              <w:bidi w:val="0"/>
              <w:spacing w:before="0" w:beforeAutospacing="0" w:after="0" w:afterAutospacing="0" w:line="400" w:lineRule="exact"/>
              <w:ind w:left="0" w:leftChars="0" w:right="0" w:rightChars="0" w:firstLine="0" w:firstLineChars="0"/>
              <w:jc w:val="both"/>
              <w:rPr>
                <w:rFonts w:hint="default" w:ascii="仿宋_GB2312" w:hAnsi="仿宋_GB2312" w:eastAsia="仿宋_GB2312" w:cs="仿宋_GB2312"/>
                <w:color w:val="000000" w:themeColor="text1"/>
                <w:sz w:val="24"/>
                <w:highlight w:val="none"/>
                <w:lang w:eastAsia="zh-CN"/>
                <w14:textFill>
                  <w14:solidFill>
                    <w14:schemeClr w14:val="tx1"/>
                  </w14:solidFill>
                </w14:textFill>
              </w:rPr>
            </w:pPr>
            <w:r>
              <w:rPr>
                <w:rFonts w:hint="eastAsia" w:ascii="微软雅黑 Light" w:hAnsi="微软雅黑 Light" w:eastAsia="微软雅黑 Light" w:cs="微软雅黑 Light"/>
                <w:i w:val="0"/>
                <w:iCs w:val="0"/>
                <w:color w:val="auto"/>
                <w:sz w:val="24"/>
                <w:szCs w:val="24"/>
                <w:highlight w:val="none"/>
                <w:lang w:eastAsia="zh-CN"/>
              </w:rPr>
              <w:t>评审小组认为投标人的报价未明显低于其他通过符合性审查的投标人报价且符合招标文件要求；如有可能影响履约的，投标人是否按照规定证明其报价合理性；</w:t>
            </w:r>
          </w:p>
        </w:tc>
        <w:tc>
          <w:tcPr>
            <w:tcW w:w="743" w:type="dxa"/>
            <w:vAlign w:val="center"/>
          </w:tcPr>
          <w:p w14:paraId="6343D480">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default" w:ascii="仿宋_GB2312" w:hAnsi="仿宋_GB2312" w:eastAsia="仿宋_GB2312" w:cs="仿宋_GB2312"/>
                <w:color w:val="000000" w:themeColor="text1"/>
                <w:sz w:val="24"/>
                <w:highlight w:val="none"/>
                <w14:textFill>
                  <w14:solidFill>
                    <w14:schemeClr w14:val="tx1"/>
                  </w14:solidFill>
                </w14:textFill>
              </w:rPr>
            </w:pPr>
          </w:p>
        </w:tc>
        <w:tc>
          <w:tcPr>
            <w:tcW w:w="743" w:type="dxa"/>
            <w:vAlign w:val="center"/>
          </w:tcPr>
          <w:p w14:paraId="41304ED8">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default" w:ascii="仿宋_GB2312" w:hAnsi="仿宋_GB2312" w:eastAsia="仿宋_GB2312" w:cs="仿宋_GB2312"/>
                <w:color w:val="000000" w:themeColor="text1"/>
                <w:sz w:val="24"/>
                <w:highlight w:val="none"/>
                <w14:textFill>
                  <w14:solidFill>
                    <w14:schemeClr w14:val="tx1"/>
                  </w14:solidFill>
                </w14:textFill>
              </w:rPr>
            </w:pPr>
          </w:p>
        </w:tc>
      </w:tr>
      <w:tr w14:paraId="132B4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1" w:hRule="atLeast"/>
          <w:jc w:val="right"/>
        </w:trPr>
        <w:tc>
          <w:tcPr>
            <w:tcW w:w="815" w:type="dxa"/>
            <w:vAlign w:val="bottom"/>
          </w:tcPr>
          <w:p w14:paraId="6871D7A2">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default" w:ascii="仿宋_GB2312" w:hAnsi="仿宋_GB2312" w:eastAsia="仿宋_GB2312" w:cs="仿宋_GB2312"/>
                <w:color w:val="000000" w:themeColor="text1"/>
                <w:sz w:val="24"/>
                <w:highlight w:val="none"/>
                <w14:textFill>
                  <w14:solidFill>
                    <w14:schemeClr w14:val="tx1"/>
                  </w14:solidFill>
                </w14:textFill>
              </w:rPr>
            </w:pPr>
            <w:r>
              <w:rPr>
                <w:rFonts w:hint="default" w:ascii="仿宋_GB2312" w:hAnsi="仿宋_GB2312" w:eastAsia="仿宋_GB2312" w:cs="仿宋_GB2312"/>
                <w:color w:val="000000" w:themeColor="text1"/>
                <w:sz w:val="24"/>
                <w:highlight w:val="none"/>
                <w14:textFill>
                  <w14:solidFill>
                    <w14:schemeClr w14:val="tx1"/>
                  </w14:solidFill>
                </w14:textFill>
              </w:rPr>
              <w:t>7</w:t>
            </w:r>
          </w:p>
        </w:tc>
        <w:tc>
          <w:tcPr>
            <w:tcW w:w="6428" w:type="dxa"/>
            <w:vAlign w:val="center"/>
          </w:tcPr>
          <w:p w14:paraId="51AE2E6E">
            <w:pPr>
              <w:keepNext w:val="0"/>
              <w:keepLines w:val="0"/>
              <w:pageBreakBefore w:val="0"/>
              <w:widowControl/>
              <w:suppressLineNumbers w:val="0"/>
              <w:shd w:val="clear" w:color="auto" w:fill="auto"/>
              <w:kinsoku/>
              <w:wordWrap/>
              <w:overflowPunct/>
              <w:topLinePunct w:val="0"/>
              <w:bidi w:val="0"/>
              <w:spacing w:before="0" w:beforeAutospacing="0" w:after="0" w:afterAutospacing="0" w:line="400" w:lineRule="exact"/>
              <w:ind w:left="0" w:leftChars="0" w:right="0" w:rightChars="0" w:firstLine="0" w:firstLineChars="0"/>
              <w:jc w:val="both"/>
              <w:rPr>
                <w:rFonts w:hint="default" w:ascii="仿宋_GB2312" w:hAnsi="仿宋_GB2312" w:eastAsia="仿宋_GB2312" w:cs="仿宋_GB2312"/>
                <w:color w:val="000000" w:themeColor="text1"/>
                <w:sz w:val="24"/>
                <w:highlight w:val="none"/>
                <w:lang w:eastAsia="zh-CN"/>
                <w14:textFill>
                  <w14:solidFill>
                    <w14:schemeClr w14:val="tx1"/>
                  </w14:solidFill>
                </w14:textFill>
              </w:rPr>
            </w:pPr>
            <w:r>
              <w:rPr>
                <w:rFonts w:hint="eastAsia" w:ascii="微软雅黑 Light" w:hAnsi="微软雅黑 Light" w:eastAsia="微软雅黑 Light" w:cs="微软雅黑 Light"/>
                <w:i w:val="0"/>
                <w:iCs w:val="0"/>
                <w:color w:val="auto"/>
                <w:sz w:val="24"/>
                <w:szCs w:val="24"/>
                <w:highlight w:val="none"/>
                <w:lang w:eastAsia="zh-CN"/>
              </w:rPr>
              <w:t>商务条款是否有偏离情况的，</w:t>
            </w:r>
            <w:r>
              <w:rPr>
                <w:rFonts w:hint="eastAsia" w:ascii="微软雅黑 Light" w:hAnsi="微软雅黑 Light" w:eastAsia="微软雅黑 Light" w:cs="微软雅黑 Light"/>
                <w:i w:val="0"/>
                <w:iCs w:val="0"/>
                <w:color w:val="auto"/>
                <w:sz w:val="24"/>
                <w:szCs w:val="24"/>
                <w:highlight w:val="none"/>
                <w:lang w:val="en-US" w:eastAsia="zh-CN"/>
              </w:rPr>
              <w:t>投标人</w:t>
            </w:r>
            <w:r>
              <w:rPr>
                <w:rFonts w:hint="eastAsia" w:ascii="微软雅黑 Light" w:hAnsi="微软雅黑 Light" w:eastAsia="微软雅黑 Light" w:cs="微软雅黑 Light"/>
                <w:i w:val="0"/>
                <w:iCs w:val="0"/>
                <w:color w:val="auto"/>
                <w:sz w:val="24"/>
                <w:szCs w:val="24"/>
                <w:highlight w:val="none"/>
                <w:lang w:eastAsia="zh-CN"/>
              </w:rPr>
              <w:t>是否对招标文件所列的所有内容进行投标；</w:t>
            </w:r>
          </w:p>
        </w:tc>
        <w:tc>
          <w:tcPr>
            <w:tcW w:w="743" w:type="dxa"/>
            <w:vAlign w:val="center"/>
          </w:tcPr>
          <w:p w14:paraId="29ACB988">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default" w:ascii="仿宋_GB2312" w:hAnsi="仿宋_GB2312" w:eastAsia="仿宋_GB2312" w:cs="仿宋_GB2312"/>
                <w:color w:val="000000" w:themeColor="text1"/>
                <w:sz w:val="24"/>
                <w:highlight w:val="none"/>
                <w14:textFill>
                  <w14:solidFill>
                    <w14:schemeClr w14:val="tx1"/>
                  </w14:solidFill>
                </w14:textFill>
              </w:rPr>
            </w:pPr>
          </w:p>
        </w:tc>
        <w:tc>
          <w:tcPr>
            <w:tcW w:w="743" w:type="dxa"/>
            <w:vAlign w:val="center"/>
          </w:tcPr>
          <w:p w14:paraId="4ED4E3F0">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default" w:ascii="仿宋_GB2312" w:hAnsi="仿宋_GB2312" w:eastAsia="仿宋_GB2312" w:cs="仿宋_GB2312"/>
                <w:color w:val="000000" w:themeColor="text1"/>
                <w:sz w:val="24"/>
                <w:highlight w:val="none"/>
                <w14:textFill>
                  <w14:solidFill>
                    <w14:schemeClr w14:val="tx1"/>
                  </w14:solidFill>
                </w14:textFill>
              </w:rPr>
            </w:pPr>
          </w:p>
        </w:tc>
      </w:tr>
      <w:tr w14:paraId="7D7668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1" w:hRule="atLeast"/>
          <w:jc w:val="right"/>
        </w:trPr>
        <w:tc>
          <w:tcPr>
            <w:tcW w:w="815" w:type="dxa"/>
            <w:vAlign w:val="bottom"/>
          </w:tcPr>
          <w:p w14:paraId="71860E2B">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default" w:ascii="仿宋_GB2312" w:hAnsi="仿宋_GB2312" w:eastAsia="仿宋_GB2312" w:cs="仿宋_GB2312"/>
                <w:color w:val="000000" w:themeColor="text1"/>
                <w:sz w:val="24"/>
                <w:highlight w:val="none"/>
                <w14:textFill>
                  <w14:solidFill>
                    <w14:schemeClr w14:val="tx1"/>
                  </w14:solidFill>
                </w14:textFill>
              </w:rPr>
            </w:pPr>
            <w:r>
              <w:rPr>
                <w:rFonts w:hint="default" w:ascii="仿宋_GB2312" w:hAnsi="仿宋_GB2312" w:eastAsia="仿宋_GB2312" w:cs="仿宋_GB2312"/>
                <w:color w:val="000000" w:themeColor="text1"/>
                <w:sz w:val="24"/>
                <w:highlight w:val="none"/>
                <w14:textFill>
                  <w14:solidFill>
                    <w14:schemeClr w14:val="tx1"/>
                  </w14:solidFill>
                </w14:textFill>
              </w:rPr>
              <w:t>8</w:t>
            </w:r>
          </w:p>
        </w:tc>
        <w:tc>
          <w:tcPr>
            <w:tcW w:w="6428" w:type="dxa"/>
            <w:vAlign w:val="center"/>
          </w:tcPr>
          <w:p w14:paraId="466DD14D">
            <w:pPr>
              <w:keepNext w:val="0"/>
              <w:keepLines w:val="0"/>
              <w:pageBreakBefore w:val="0"/>
              <w:widowControl/>
              <w:suppressLineNumbers w:val="0"/>
              <w:shd w:val="clear" w:color="auto" w:fill="auto"/>
              <w:kinsoku/>
              <w:wordWrap/>
              <w:overflowPunct/>
              <w:topLinePunct w:val="0"/>
              <w:bidi w:val="0"/>
              <w:spacing w:before="0" w:beforeAutospacing="0" w:after="0" w:afterAutospacing="0" w:line="400" w:lineRule="exact"/>
              <w:ind w:left="0" w:leftChars="0" w:right="0" w:rightChars="0" w:firstLine="0" w:firstLineChars="0"/>
              <w:jc w:val="both"/>
              <w:rPr>
                <w:rFonts w:hint="default" w:ascii="仿宋_GB2312" w:hAnsi="仿宋_GB2312" w:eastAsia="仿宋_GB2312" w:cs="仿宋_GB2312"/>
                <w:color w:val="000000" w:themeColor="text1"/>
                <w:sz w:val="24"/>
                <w:highlight w:val="none"/>
                <w:lang w:eastAsia="zh-CN"/>
                <w14:textFill>
                  <w14:solidFill>
                    <w14:schemeClr w14:val="tx1"/>
                  </w14:solidFill>
                </w14:textFill>
              </w:rPr>
            </w:pPr>
            <w:r>
              <w:rPr>
                <w:rFonts w:hint="eastAsia" w:ascii="微软雅黑 Light" w:hAnsi="微软雅黑 Light" w:eastAsia="微软雅黑 Light" w:cs="微软雅黑 Light"/>
                <w:i w:val="0"/>
                <w:iCs w:val="0"/>
                <w:color w:val="auto"/>
                <w:sz w:val="24"/>
                <w:szCs w:val="24"/>
                <w:highlight w:val="none"/>
                <w:lang w:eastAsia="zh-CN"/>
              </w:rPr>
              <w:t>投标文件</w:t>
            </w:r>
            <w:r>
              <w:rPr>
                <w:rFonts w:hint="eastAsia" w:ascii="微软雅黑 Light" w:hAnsi="微软雅黑 Light" w:eastAsia="微软雅黑 Light" w:cs="微软雅黑 Light"/>
                <w:i w:val="0"/>
                <w:iCs w:val="0"/>
                <w:color w:val="auto"/>
                <w:sz w:val="24"/>
                <w:szCs w:val="24"/>
                <w:highlight w:val="none"/>
                <w:lang w:val="en-US" w:eastAsia="zh-CN"/>
              </w:rPr>
              <w:t>未</w:t>
            </w:r>
            <w:r>
              <w:rPr>
                <w:rFonts w:hint="eastAsia" w:ascii="微软雅黑 Light" w:hAnsi="微软雅黑 Light" w:eastAsia="微软雅黑 Light" w:cs="微软雅黑 Light"/>
                <w:i w:val="0"/>
                <w:iCs w:val="0"/>
                <w:color w:val="auto"/>
                <w:sz w:val="24"/>
                <w:szCs w:val="24"/>
                <w:highlight w:val="none"/>
                <w:lang w:eastAsia="zh-CN"/>
              </w:rPr>
              <w:t>含有采购人不能接受的附加条件的；</w:t>
            </w:r>
          </w:p>
        </w:tc>
        <w:tc>
          <w:tcPr>
            <w:tcW w:w="743" w:type="dxa"/>
            <w:vAlign w:val="center"/>
          </w:tcPr>
          <w:p w14:paraId="7382B9C4">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default" w:ascii="仿宋_GB2312" w:hAnsi="仿宋_GB2312" w:eastAsia="仿宋_GB2312" w:cs="仿宋_GB2312"/>
                <w:color w:val="000000" w:themeColor="text1"/>
                <w:sz w:val="24"/>
                <w:highlight w:val="none"/>
                <w14:textFill>
                  <w14:solidFill>
                    <w14:schemeClr w14:val="tx1"/>
                  </w14:solidFill>
                </w14:textFill>
              </w:rPr>
            </w:pPr>
          </w:p>
        </w:tc>
        <w:tc>
          <w:tcPr>
            <w:tcW w:w="743" w:type="dxa"/>
            <w:vAlign w:val="center"/>
          </w:tcPr>
          <w:p w14:paraId="080D8CDD">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default" w:ascii="仿宋_GB2312" w:hAnsi="仿宋_GB2312" w:eastAsia="仿宋_GB2312" w:cs="仿宋_GB2312"/>
                <w:color w:val="000000" w:themeColor="text1"/>
                <w:sz w:val="24"/>
                <w:highlight w:val="none"/>
                <w14:textFill>
                  <w14:solidFill>
                    <w14:schemeClr w14:val="tx1"/>
                  </w14:solidFill>
                </w14:textFill>
              </w:rPr>
            </w:pPr>
          </w:p>
        </w:tc>
      </w:tr>
      <w:tr w14:paraId="2118B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1" w:hRule="atLeast"/>
          <w:jc w:val="right"/>
        </w:trPr>
        <w:tc>
          <w:tcPr>
            <w:tcW w:w="815" w:type="dxa"/>
            <w:vAlign w:val="bottom"/>
          </w:tcPr>
          <w:p w14:paraId="646BEDAB">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default" w:ascii="仿宋_GB2312" w:hAnsi="仿宋_GB2312" w:eastAsia="仿宋_GB2312" w:cs="仿宋_GB2312"/>
                <w:color w:val="000000" w:themeColor="text1"/>
                <w:sz w:val="24"/>
                <w:highlight w:val="none"/>
                <w14:textFill>
                  <w14:solidFill>
                    <w14:schemeClr w14:val="tx1"/>
                  </w14:solidFill>
                </w14:textFill>
              </w:rPr>
            </w:pPr>
            <w:r>
              <w:rPr>
                <w:rFonts w:hint="default" w:ascii="仿宋_GB2312" w:hAnsi="仿宋_GB2312" w:eastAsia="仿宋_GB2312" w:cs="仿宋_GB2312"/>
                <w:color w:val="000000" w:themeColor="text1"/>
                <w:sz w:val="24"/>
                <w:highlight w:val="none"/>
                <w14:textFill>
                  <w14:solidFill>
                    <w14:schemeClr w14:val="tx1"/>
                  </w14:solidFill>
                </w14:textFill>
              </w:rPr>
              <w:t>9</w:t>
            </w:r>
          </w:p>
        </w:tc>
        <w:tc>
          <w:tcPr>
            <w:tcW w:w="6428" w:type="dxa"/>
            <w:vAlign w:val="center"/>
          </w:tcPr>
          <w:p w14:paraId="5D6769F8">
            <w:pPr>
              <w:keepNext w:val="0"/>
              <w:keepLines w:val="0"/>
              <w:pageBreakBefore w:val="0"/>
              <w:widowControl/>
              <w:suppressLineNumbers w:val="0"/>
              <w:shd w:val="clear" w:color="auto" w:fill="auto"/>
              <w:kinsoku/>
              <w:wordWrap/>
              <w:overflowPunct/>
              <w:topLinePunct w:val="0"/>
              <w:bidi w:val="0"/>
              <w:spacing w:before="0" w:beforeAutospacing="0" w:after="0" w:afterAutospacing="0" w:line="400" w:lineRule="exact"/>
              <w:ind w:left="0" w:leftChars="0" w:right="0" w:rightChars="0" w:firstLine="0" w:firstLineChars="0"/>
              <w:jc w:val="both"/>
              <w:rPr>
                <w:rFonts w:hint="default" w:ascii="仿宋_GB2312" w:hAnsi="仿宋_GB2312" w:eastAsia="仿宋_GB2312" w:cs="仿宋_GB2312"/>
                <w:color w:val="000000" w:themeColor="text1"/>
                <w:sz w:val="24"/>
                <w:highlight w:val="none"/>
                <w14:textFill>
                  <w14:solidFill>
                    <w14:schemeClr w14:val="tx1"/>
                  </w14:solidFill>
                </w14:textFill>
              </w:rPr>
            </w:pPr>
            <w:r>
              <w:rPr>
                <w:rFonts w:hint="eastAsia" w:ascii="微软雅黑 Light" w:hAnsi="微软雅黑 Light" w:eastAsia="微软雅黑 Light" w:cs="微软雅黑 Light"/>
                <w:i w:val="0"/>
                <w:iCs w:val="0"/>
                <w:color w:val="auto"/>
                <w:sz w:val="24"/>
                <w:szCs w:val="24"/>
                <w:highlight w:val="none"/>
                <w:lang w:val="en-US" w:eastAsia="zh-CN"/>
              </w:rPr>
              <w:t>满足招标</w:t>
            </w:r>
            <w:r>
              <w:rPr>
                <w:rFonts w:hint="eastAsia" w:ascii="微软雅黑 Light" w:hAnsi="微软雅黑 Light" w:eastAsia="微软雅黑 Light" w:cs="微软雅黑 Light"/>
                <w:i w:val="0"/>
                <w:iCs w:val="0"/>
                <w:color w:val="auto"/>
                <w:sz w:val="24"/>
                <w:szCs w:val="24"/>
                <w:highlight w:val="none"/>
                <w:lang w:eastAsia="zh-CN"/>
              </w:rPr>
              <w:t>文件中规定的其他实质性要求的；</w:t>
            </w:r>
          </w:p>
        </w:tc>
        <w:tc>
          <w:tcPr>
            <w:tcW w:w="743" w:type="dxa"/>
            <w:vAlign w:val="center"/>
          </w:tcPr>
          <w:p w14:paraId="3786602F">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default" w:ascii="仿宋_GB2312" w:hAnsi="仿宋_GB2312" w:eastAsia="仿宋_GB2312" w:cs="仿宋_GB2312"/>
                <w:color w:val="000000" w:themeColor="text1"/>
                <w:sz w:val="24"/>
                <w:highlight w:val="none"/>
                <w14:textFill>
                  <w14:solidFill>
                    <w14:schemeClr w14:val="tx1"/>
                  </w14:solidFill>
                </w14:textFill>
              </w:rPr>
            </w:pPr>
          </w:p>
        </w:tc>
        <w:tc>
          <w:tcPr>
            <w:tcW w:w="743" w:type="dxa"/>
            <w:vAlign w:val="center"/>
          </w:tcPr>
          <w:p w14:paraId="29F4A432">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default" w:ascii="仿宋_GB2312" w:hAnsi="仿宋_GB2312" w:eastAsia="仿宋_GB2312" w:cs="仿宋_GB2312"/>
                <w:color w:val="000000" w:themeColor="text1"/>
                <w:sz w:val="24"/>
                <w:highlight w:val="none"/>
                <w14:textFill>
                  <w14:solidFill>
                    <w14:schemeClr w14:val="tx1"/>
                  </w14:solidFill>
                </w14:textFill>
              </w:rPr>
            </w:pPr>
          </w:p>
        </w:tc>
      </w:tr>
      <w:tr w14:paraId="1A686B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1" w:hRule="atLeast"/>
          <w:jc w:val="right"/>
        </w:trPr>
        <w:tc>
          <w:tcPr>
            <w:tcW w:w="815" w:type="dxa"/>
            <w:vAlign w:val="bottom"/>
          </w:tcPr>
          <w:p w14:paraId="6B9D521A">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default" w:ascii="仿宋_GB2312" w:hAnsi="仿宋_GB2312" w:eastAsia="仿宋_GB2312" w:cs="仿宋_GB2312"/>
                <w:color w:val="000000" w:themeColor="text1"/>
                <w:sz w:val="24"/>
                <w:highlight w:val="none"/>
                <w14:textFill>
                  <w14:solidFill>
                    <w14:schemeClr w14:val="tx1"/>
                  </w14:solidFill>
                </w14:textFill>
              </w:rPr>
            </w:pPr>
            <w:r>
              <w:rPr>
                <w:rFonts w:hint="default" w:ascii="仿宋_GB2312" w:hAnsi="仿宋_GB2312" w:eastAsia="仿宋_GB2312" w:cs="仿宋_GB2312"/>
                <w:color w:val="000000" w:themeColor="text1"/>
                <w:sz w:val="24"/>
                <w:highlight w:val="none"/>
                <w14:textFill>
                  <w14:solidFill>
                    <w14:schemeClr w14:val="tx1"/>
                  </w14:solidFill>
                </w14:textFill>
              </w:rPr>
              <w:t>10</w:t>
            </w:r>
          </w:p>
        </w:tc>
        <w:tc>
          <w:tcPr>
            <w:tcW w:w="6428" w:type="dxa"/>
            <w:vAlign w:val="center"/>
          </w:tcPr>
          <w:p w14:paraId="54BD02B0">
            <w:pPr>
              <w:keepNext w:val="0"/>
              <w:keepLines w:val="0"/>
              <w:pageBreakBefore w:val="0"/>
              <w:widowControl/>
              <w:suppressLineNumbers w:val="0"/>
              <w:shd w:val="clear" w:color="auto" w:fill="auto"/>
              <w:kinsoku/>
              <w:wordWrap/>
              <w:overflowPunct/>
              <w:topLinePunct w:val="0"/>
              <w:bidi w:val="0"/>
              <w:spacing w:before="0" w:beforeAutospacing="0" w:after="0" w:afterAutospacing="0" w:line="400" w:lineRule="exact"/>
              <w:ind w:left="0" w:leftChars="0" w:right="0" w:rightChars="0" w:firstLine="0" w:firstLineChars="0"/>
              <w:jc w:val="both"/>
              <w:rPr>
                <w:rFonts w:hint="default" w:ascii="仿宋_GB2312" w:hAnsi="仿宋_GB2312" w:eastAsia="仿宋_GB2312" w:cs="仿宋_GB2312"/>
                <w:color w:val="000000" w:themeColor="text1"/>
                <w:sz w:val="24"/>
                <w:highlight w:val="none"/>
                <w14:textFill>
                  <w14:solidFill>
                    <w14:schemeClr w14:val="tx1"/>
                  </w14:solidFill>
                </w14:textFill>
              </w:rPr>
            </w:pPr>
            <w:r>
              <w:rPr>
                <w:rFonts w:hint="eastAsia" w:ascii="微软雅黑 Light" w:hAnsi="微软雅黑 Light" w:eastAsia="微软雅黑 Light" w:cs="微软雅黑 Light"/>
                <w:i w:val="0"/>
                <w:iCs w:val="0"/>
                <w:color w:val="auto"/>
                <w:sz w:val="24"/>
                <w:szCs w:val="24"/>
                <w:highlight w:val="none"/>
                <w:lang w:val="en-US" w:eastAsia="zh-CN"/>
              </w:rPr>
              <w:t>未</w:t>
            </w:r>
            <w:r>
              <w:rPr>
                <w:rFonts w:hint="eastAsia" w:ascii="微软雅黑 Light" w:hAnsi="微软雅黑 Light" w:eastAsia="微软雅黑 Light" w:cs="微软雅黑 Light"/>
                <w:i w:val="0"/>
                <w:iCs w:val="0"/>
                <w:color w:val="auto"/>
                <w:sz w:val="24"/>
                <w:szCs w:val="24"/>
                <w:highlight w:val="none"/>
                <w:lang w:eastAsia="zh-CN"/>
              </w:rPr>
              <w:t>存在法律、法规和招标文件规定的其他无效情形。</w:t>
            </w:r>
          </w:p>
        </w:tc>
        <w:tc>
          <w:tcPr>
            <w:tcW w:w="743" w:type="dxa"/>
            <w:vAlign w:val="center"/>
          </w:tcPr>
          <w:p w14:paraId="134FBCC7">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default" w:ascii="仿宋_GB2312" w:hAnsi="仿宋_GB2312" w:eastAsia="仿宋_GB2312" w:cs="仿宋_GB2312"/>
                <w:color w:val="000000" w:themeColor="text1"/>
                <w:sz w:val="24"/>
                <w:highlight w:val="none"/>
                <w14:textFill>
                  <w14:solidFill>
                    <w14:schemeClr w14:val="tx1"/>
                  </w14:solidFill>
                </w14:textFill>
              </w:rPr>
            </w:pPr>
          </w:p>
        </w:tc>
        <w:tc>
          <w:tcPr>
            <w:tcW w:w="743" w:type="dxa"/>
            <w:vAlign w:val="center"/>
          </w:tcPr>
          <w:p w14:paraId="72BEA78A">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default" w:ascii="仿宋_GB2312" w:hAnsi="仿宋_GB2312" w:eastAsia="仿宋_GB2312" w:cs="仿宋_GB2312"/>
                <w:color w:val="000000" w:themeColor="text1"/>
                <w:sz w:val="24"/>
                <w:highlight w:val="none"/>
                <w14:textFill>
                  <w14:solidFill>
                    <w14:schemeClr w14:val="tx1"/>
                  </w14:solidFill>
                </w14:textFill>
              </w:rPr>
            </w:pPr>
          </w:p>
        </w:tc>
      </w:tr>
      <w:tr w14:paraId="351EB6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1" w:hRule="atLeast"/>
          <w:jc w:val="right"/>
        </w:trPr>
        <w:tc>
          <w:tcPr>
            <w:tcW w:w="815" w:type="dxa"/>
            <w:vAlign w:val="bottom"/>
          </w:tcPr>
          <w:p w14:paraId="087AF105">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default" w:ascii="仿宋_GB2312" w:hAnsi="仿宋_GB2312" w:eastAsia="仿宋_GB2312" w:cs="仿宋_GB2312"/>
                <w:color w:val="000000" w:themeColor="text1"/>
                <w:sz w:val="24"/>
                <w:highlight w:val="none"/>
                <w:lang w:val="en-US" w:eastAsia="zh-CN"/>
                <w14:textFill>
                  <w14:solidFill>
                    <w14:schemeClr w14:val="tx1"/>
                  </w14:solidFill>
                </w14:textFill>
              </w:rPr>
            </w:pPr>
          </w:p>
        </w:tc>
        <w:tc>
          <w:tcPr>
            <w:tcW w:w="6428" w:type="dxa"/>
            <w:vAlign w:val="center"/>
          </w:tcPr>
          <w:p w14:paraId="123AC5BB">
            <w:pPr>
              <w:keepNext w:val="0"/>
              <w:keepLines w:val="0"/>
              <w:pageBreakBefore w:val="0"/>
              <w:widowControl/>
              <w:suppressLineNumbers w:val="0"/>
              <w:shd w:val="clear" w:color="auto" w:fill="auto"/>
              <w:kinsoku/>
              <w:wordWrap/>
              <w:overflowPunct/>
              <w:topLinePunct w:val="0"/>
              <w:bidi w:val="0"/>
              <w:spacing w:before="0" w:beforeAutospacing="0" w:after="0" w:afterAutospacing="0" w:line="400" w:lineRule="exact"/>
              <w:ind w:left="0" w:leftChars="0" w:right="0" w:rightChars="0" w:firstLine="0" w:firstLineChars="0"/>
              <w:jc w:val="both"/>
              <w:rPr>
                <w:rFonts w:hint="default" w:ascii="仿宋_GB2312" w:hAnsi="仿宋_GB2312" w:eastAsia="仿宋_GB2312" w:cs="仿宋_GB2312"/>
                <w:color w:val="000000" w:themeColor="text1"/>
                <w:sz w:val="24"/>
                <w:highlight w:val="none"/>
                <w14:textFill>
                  <w14:solidFill>
                    <w14:schemeClr w14:val="tx1"/>
                  </w14:solidFill>
                </w14:textFill>
              </w:rPr>
            </w:pPr>
          </w:p>
        </w:tc>
        <w:tc>
          <w:tcPr>
            <w:tcW w:w="743" w:type="dxa"/>
            <w:vAlign w:val="center"/>
          </w:tcPr>
          <w:p w14:paraId="6AD2E8F0">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default" w:ascii="仿宋_GB2312" w:hAnsi="仿宋_GB2312" w:eastAsia="仿宋_GB2312" w:cs="仿宋_GB2312"/>
                <w:color w:val="000000" w:themeColor="text1"/>
                <w:sz w:val="24"/>
                <w:highlight w:val="none"/>
                <w14:textFill>
                  <w14:solidFill>
                    <w14:schemeClr w14:val="tx1"/>
                  </w14:solidFill>
                </w14:textFill>
              </w:rPr>
            </w:pPr>
          </w:p>
        </w:tc>
        <w:tc>
          <w:tcPr>
            <w:tcW w:w="743" w:type="dxa"/>
            <w:vAlign w:val="center"/>
          </w:tcPr>
          <w:p w14:paraId="5D5CF5BA">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default" w:ascii="仿宋_GB2312" w:hAnsi="仿宋_GB2312" w:eastAsia="仿宋_GB2312" w:cs="仿宋_GB2312"/>
                <w:color w:val="000000" w:themeColor="text1"/>
                <w:sz w:val="24"/>
                <w:highlight w:val="none"/>
                <w14:textFill>
                  <w14:solidFill>
                    <w14:schemeClr w14:val="tx1"/>
                  </w14:solidFill>
                </w14:textFill>
              </w:rPr>
            </w:pPr>
          </w:p>
        </w:tc>
      </w:tr>
      <w:tr w14:paraId="077B48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1" w:hRule="atLeast"/>
          <w:jc w:val="right"/>
        </w:trPr>
        <w:tc>
          <w:tcPr>
            <w:tcW w:w="7243" w:type="dxa"/>
            <w:gridSpan w:val="2"/>
            <w:vAlign w:val="bottom"/>
          </w:tcPr>
          <w:p w14:paraId="4C69BC24">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default" w:ascii="仿宋_GB2312" w:hAnsi="仿宋_GB2312" w:eastAsia="仿宋_GB2312" w:cs="仿宋_GB2312"/>
                <w:color w:val="000000" w:themeColor="text1"/>
                <w:sz w:val="24"/>
                <w:highlight w:val="none"/>
                <w14:textFill>
                  <w14:solidFill>
                    <w14:schemeClr w14:val="tx1"/>
                  </w14:solidFill>
                </w14:textFill>
              </w:rPr>
            </w:pPr>
            <w:r>
              <w:rPr>
                <w:rFonts w:hint="eastAsia" w:ascii="微软雅黑 Light" w:hAnsi="微软雅黑 Light" w:eastAsia="微软雅黑 Light" w:cs="微软雅黑 Light"/>
                <w:color w:val="auto"/>
                <w:kern w:val="2"/>
                <w:sz w:val="24"/>
                <w:szCs w:val="24"/>
                <w:highlight w:val="none"/>
                <w:lang w:val="en-US" w:eastAsia="zh-CN" w:bidi="ar-SA"/>
              </w:rPr>
              <w:t>结论：（通过/不通过）</w:t>
            </w:r>
          </w:p>
        </w:tc>
        <w:tc>
          <w:tcPr>
            <w:tcW w:w="743" w:type="dxa"/>
            <w:vAlign w:val="center"/>
          </w:tcPr>
          <w:p w14:paraId="618869FB">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default" w:ascii="仿宋_GB2312" w:hAnsi="仿宋_GB2312" w:eastAsia="仿宋_GB2312" w:cs="仿宋_GB2312"/>
                <w:color w:val="000000" w:themeColor="text1"/>
                <w:sz w:val="24"/>
                <w:highlight w:val="none"/>
                <w14:textFill>
                  <w14:solidFill>
                    <w14:schemeClr w14:val="tx1"/>
                  </w14:solidFill>
                </w14:textFill>
              </w:rPr>
            </w:pPr>
          </w:p>
        </w:tc>
        <w:tc>
          <w:tcPr>
            <w:tcW w:w="743" w:type="dxa"/>
            <w:vAlign w:val="center"/>
          </w:tcPr>
          <w:p w14:paraId="7179E31F">
            <w:pPr>
              <w:keepNext w:val="0"/>
              <w:keepLines w:val="0"/>
              <w:pageBreakBefore w:val="0"/>
              <w:widowControl w:val="0"/>
              <w:suppressLineNumbers w:val="0"/>
              <w:wordWrap/>
              <w:overflowPunct/>
              <w:topLinePunct w:val="0"/>
              <w:bidi w:val="0"/>
              <w:snapToGrid w:val="0"/>
              <w:spacing w:before="0" w:beforeAutospacing="0" w:afterAutospacing="0" w:line="240" w:lineRule="atLeast"/>
              <w:ind w:left="710" w:leftChars="-23" w:right="0" w:hanging="758"/>
              <w:jc w:val="center"/>
              <w:rPr>
                <w:rFonts w:hint="default" w:ascii="仿宋_GB2312" w:hAnsi="仿宋_GB2312" w:eastAsia="仿宋_GB2312" w:cs="仿宋_GB2312"/>
                <w:color w:val="000000" w:themeColor="text1"/>
                <w:sz w:val="24"/>
                <w:highlight w:val="none"/>
                <w14:textFill>
                  <w14:solidFill>
                    <w14:schemeClr w14:val="tx1"/>
                  </w14:solidFill>
                </w14:textFill>
              </w:rPr>
            </w:pPr>
          </w:p>
        </w:tc>
      </w:tr>
    </w:tbl>
    <w:p w14:paraId="189CDC7A">
      <w:pPr>
        <w:keepNext w:val="0"/>
        <w:keepLines w:val="0"/>
        <w:pageBreakBefore w:val="0"/>
        <w:widowControl w:val="0"/>
        <w:wordWrap/>
        <w:overflowPunct/>
        <w:topLinePunct w:val="0"/>
        <w:bidi w:val="0"/>
        <w:spacing w:line="300" w:lineRule="auto"/>
        <w:rPr>
          <w:highlight w:val="none"/>
        </w:rPr>
      </w:pPr>
      <w:r>
        <w:rPr>
          <w:rFonts w:hint="eastAsia" w:ascii="仿宋" w:hAnsi="仿宋" w:eastAsia="仿宋" w:cs="宋体"/>
          <w:b/>
          <w:bCs/>
          <w:sz w:val="28"/>
          <w:szCs w:val="28"/>
          <w:highlight w:val="none"/>
        </w:rPr>
        <w:t>注：如果投标文件中有一项未通过上述审查标准，评标委员会将认定整个投标文件未响应招标文件而予以废标处理。</w:t>
      </w:r>
    </w:p>
    <w:p w14:paraId="49E0D218">
      <w:pPr>
        <w:pStyle w:val="10"/>
        <w:keepNext w:val="0"/>
        <w:keepLines w:val="0"/>
        <w:pageBreakBefore w:val="0"/>
        <w:widowControl w:val="0"/>
        <w:wordWrap/>
        <w:overflowPunct/>
        <w:topLinePunct w:val="0"/>
        <w:bidi w:val="0"/>
        <w:rPr>
          <w:highlight w:val="none"/>
        </w:rPr>
      </w:pPr>
    </w:p>
    <w:p w14:paraId="1FCE31A9">
      <w:pPr>
        <w:rPr>
          <w:highlight w:val="none"/>
        </w:rPr>
      </w:pPr>
    </w:p>
    <w:p w14:paraId="7E2D88F0">
      <w:pPr>
        <w:rPr>
          <w:highlight w:val="none"/>
        </w:rPr>
      </w:pPr>
    </w:p>
    <w:p w14:paraId="747FE8FA">
      <w:pPr>
        <w:rPr>
          <w:highlight w:val="none"/>
        </w:rPr>
      </w:pPr>
    </w:p>
    <w:p w14:paraId="742FA0FC">
      <w:pPr>
        <w:pStyle w:val="10"/>
        <w:keepNext/>
        <w:keepLines/>
        <w:pageBreakBefore w:val="0"/>
        <w:widowControl/>
        <w:kinsoku/>
        <w:wordWrap/>
        <w:overflowPunct/>
        <w:topLinePunct w:val="0"/>
        <w:autoSpaceDE/>
        <w:autoSpaceDN/>
        <w:bidi w:val="0"/>
        <w:adjustRightInd/>
        <w:spacing w:after="0" w:line="360" w:lineRule="auto"/>
        <w:jc w:val="center"/>
        <w:textAlignment w:val="baseline"/>
        <w:rPr>
          <w:rFonts w:hint="eastAsia" w:ascii="仿宋_GB2312" w:hAnsi="仿宋_GB2312" w:eastAsia="仿宋_GB2312" w:cs="仿宋_GB2312"/>
          <w:b/>
          <w:bCs/>
          <w:iCs/>
          <w:color w:val="auto"/>
          <w:kern w:val="2"/>
          <w:sz w:val="28"/>
          <w:szCs w:val="28"/>
          <w:highlight w:val="none"/>
          <w:lang w:val="en-US" w:eastAsia="zh-CN" w:bidi="ar-SA"/>
        </w:rPr>
      </w:pPr>
      <w:r>
        <w:rPr>
          <w:rFonts w:hint="eastAsia" w:ascii="仿宋_GB2312" w:hAnsi="仿宋_GB2312" w:eastAsia="仿宋_GB2312" w:cs="仿宋_GB2312"/>
          <w:b/>
          <w:bCs/>
          <w:iCs/>
          <w:color w:val="auto"/>
          <w:kern w:val="2"/>
          <w:sz w:val="28"/>
          <w:szCs w:val="28"/>
          <w:highlight w:val="none"/>
          <w:lang w:val="en-US" w:eastAsia="zh-CN" w:bidi="ar-SA"/>
        </w:rPr>
        <w:t>综合评分表</w:t>
      </w:r>
    </w:p>
    <w:tbl>
      <w:tblPr>
        <w:tblStyle w:val="129"/>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9"/>
        <w:gridCol w:w="650"/>
        <w:gridCol w:w="6642"/>
        <w:gridCol w:w="581"/>
      </w:tblGrid>
      <w:tr w14:paraId="3C6925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299" w:type="dxa"/>
            <w:gridSpan w:val="2"/>
            <w:noWrap w:val="0"/>
            <w:vAlign w:val="center"/>
          </w:tcPr>
          <w:p w14:paraId="50D43BB2">
            <w:pPr>
              <w:keepNext/>
              <w:keepLines/>
              <w:pageBreakBefore w:val="0"/>
              <w:widowControl/>
              <w:kinsoku/>
              <w:wordWrap/>
              <w:overflowPunct/>
              <w:topLinePunct w:val="0"/>
              <w:autoSpaceDE/>
              <w:autoSpaceDN/>
              <w:bidi w:val="0"/>
              <w:adjustRightInd/>
              <w:snapToGrid w:val="0"/>
              <w:spacing w:before="184" w:after="0" w:line="240" w:lineRule="auto"/>
              <w:ind w:left="0" w:leftChars="0" w:right="0" w:rightChars="0" w:firstLine="0" w:firstLineChars="0"/>
              <w:jc w:val="center"/>
              <w:textAlignment w:val="baseline"/>
              <w:rPr>
                <w:rFonts w:hint="eastAsia" w:ascii="方正仿宋_GB2312" w:hAnsi="方正仿宋_GB2312" w:eastAsia="方正仿宋_GB2312" w:cs="方正仿宋_GB2312"/>
                <w:b/>
                <w:color w:val="auto"/>
                <w:sz w:val="24"/>
                <w:szCs w:val="24"/>
                <w:highlight w:val="none"/>
              </w:rPr>
            </w:pPr>
            <w:r>
              <w:rPr>
                <w:rFonts w:hint="eastAsia" w:ascii="方正仿宋_GB2312" w:hAnsi="方正仿宋_GB2312" w:eastAsia="方正仿宋_GB2312" w:cs="方正仿宋_GB2312"/>
                <w:b/>
                <w:bCs/>
                <w:color w:val="auto"/>
                <w:spacing w:val="-4"/>
                <w:sz w:val="24"/>
                <w:szCs w:val="24"/>
                <w:highlight w:val="none"/>
              </w:rPr>
              <w:t>考核项目</w:t>
            </w:r>
          </w:p>
        </w:tc>
        <w:tc>
          <w:tcPr>
            <w:tcW w:w="6642" w:type="dxa"/>
            <w:noWrap w:val="0"/>
            <w:vAlign w:val="center"/>
          </w:tcPr>
          <w:p w14:paraId="1C12670C">
            <w:pPr>
              <w:keepNext/>
              <w:keepLines/>
              <w:pageBreakBefore w:val="0"/>
              <w:widowControl/>
              <w:kinsoku/>
              <w:wordWrap/>
              <w:overflowPunct/>
              <w:topLinePunct w:val="0"/>
              <w:autoSpaceDE/>
              <w:autoSpaceDN/>
              <w:bidi w:val="0"/>
              <w:adjustRightInd/>
              <w:snapToGrid w:val="0"/>
              <w:spacing w:before="185" w:after="0" w:line="240" w:lineRule="auto"/>
              <w:ind w:left="0" w:leftChars="0" w:right="0" w:rightChars="0" w:firstLine="0" w:firstLineChars="0"/>
              <w:jc w:val="center"/>
              <w:textAlignment w:val="baseline"/>
              <w:rPr>
                <w:rFonts w:hint="eastAsia" w:ascii="方正仿宋_GB2312" w:hAnsi="方正仿宋_GB2312" w:eastAsia="方正仿宋_GB2312" w:cs="方正仿宋_GB2312"/>
                <w:b/>
                <w:color w:val="auto"/>
                <w:sz w:val="24"/>
                <w:szCs w:val="24"/>
                <w:highlight w:val="none"/>
              </w:rPr>
            </w:pPr>
            <w:r>
              <w:rPr>
                <w:rFonts w:hint="eastAsia" w:ascii="方正仿宋_GB2312" w:hAnsi="方正仿宋_GB2312" w:eastAsia="方正仿宋_GB2312" w:cs="方正仿宋_GB2312"/>
                <w:b/>
                <w:bCs/>
                <w:color w:val="auto"/>
                <w:spacing w:val="-3"/>
                <w:sz w:val="24"/>
                <w:szCs w:val="24"/>
                <w:highlight w:val="none"/>
              </w:rPr>
              <w:t>评分标准</w:t>
            </w:r>
          </w:p>
        </w:tc>
        <w:tc>
          <w:tcPr>
            <w:tcW w:w="581" w:type="dxa"/>
            <w:noWrap w:val="0"/>
            <w:vAlign w:val="center"/>
          </w:tcPr>
          <w:p w14:paraId="494869CD">
            <w:pPr>
              <w:keepNext/>
              <w:keepLines/>
              <w:pageBreakBefore w:val="0"/>
              <w:widowControl/>
              <w:kinsoku/>
              <w:wordWrap/>
              <w:overflowPunct/>
              <w:topLinePunct w:val="0"/>
              <w:autoSpaceDE/>
              <w:autoSpaceDN/>
              <w:bidi w:val="0"/>
              <w:adjustRightInd/>
              <w:snapToGrid w:val="0"/>
              <w:spacing w:before="68" w:after="0" w:line="240" w:lineRule="auto"/>
              <w:ind w:left="0" w:leftChars="0" w:right="0" w:rightChars="0" w:firstLine="0" w:firstLineChars="0"/>
              <w:jc w:val="center"/>
              <w:textAlignment w:val="baseline"/>
              <w:rPr>
                <w:rFonts w:hint="eastAsia" w:ascii="方正仿宋_GB2312" w:hAnsi="方正仿宋_GB2312" w:eastAsia="方正仿宋_GB2312" w:cs="方正仿宋_GB2312"/>
                <w:b/>
                <w:color w:val="auto"/>
                <w:sz w:val="24"/>
                <w:szCs w:val="24"/>
                <w:highlight w:val="none"/>
                <w:lang w:eastAsia="zh-CN"/>
              </w:rPr>
            </w:pPr>
            <w:r>
              <w:rPr>
                <w:rFonts w:hint="eastAsia" w:ascii="方正仿宋_GB2312" w:hAnsi="方正仿宋_GB2312" w:eastAsia="方正仿宋_GB2312" w:cs="方正仿宋_GB2312"/>
                <w:b/>
                <w:bCs/>
                <w:color w:val="auto"/>
                <w:spacing w:val="-7"/>
                <w:sz w:val="24"/>
                <w:szCs w:val="24"/>
                <w:highlight w:val="none"/>
                <w:lang w:val="en-US" w:eastAsia="zh-CN"/>
              </w:rPr>
              <w:t>得分</w:t>
            </w:r>
          </w:p>
        </w:tc>
      </w:tr>
      <w:tr w14:paraId="485BC8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49" w:type="dxa"/>
            <w:noWrap w:val="0"/>
            <w:vAlign w:val="center"/>
          </w:tcPr>
          <w:p w14:paraId="289BDD16">
            <w:pPr>
              <w:keepNext/>
              <w:keepLines/>
              <w:pageBreakBefore w:val="0"/>
              <w:widowControl/>
              <w:kinsoku/>
              <w:wordWrap/>
              <w:overflowPunct/>
              <w:topLinePunct w:val="0"/>
              <w:autoSpaceDE/>
              <w:autoSpaceDN/>
              <w:bidi w:val="0"/>
              <w:adjustRightInd/>
              <w:snapToGrid w:val="0"/>
              <w:spacing w:before="59" w:after="0" w:line="240" w:lineRule="auto"/>
              <w:ind w:left="0" w:leftChars="0" w:right="0" w:rightChars="0" w:firstLine="0" w:firstLineChars="0"/>
              <w:jc w:val="center"/>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pacing w:val="-2"/>
                <w:sz w:val="24"/>
                <w:szCs w:val="24"/>
                <w:highlight w:val="none"/>
              </w:rPr>
              <w:t>价格部</w:t>
            </w:r>
          </w:p>
          <w:p w14:paraId="36E52DFE">
            <w:pPr>
              <w:keepNext/>
              <w:keepLines/>
              <w:pageBreakBefore w:val="0"/>
              <w:widowControl/>
              <w:kinsoku/>
              <w:wordWrap/>
              <w:overflowPunct/>
              <w:topLinePunct w:val="0"/>
              <w:autoSpaceDE/>
              <w:autoSpaceDN/>
              <w:bidi w:val="0"/>
              <w:adjustRightInd/>
              <w:snapToGrid w:val="0"/>
              <w:spacing w:before="21" w:after="0" w:line="240" w:lineRule="auto"/>
              <w:ind w:left="0" w:leftChars="0" w:right="0" w:rightChars="0" w:firstLine="0" w:firstLineChars="0"/>
              <w:jc w:val="center"/>
              <w:textAlignment w:val="baseline"/>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pacing w:val="-2"/>
                <w:sz w:val="24"/>
                <w:szCs w:val="24"/>
                <w:highlight w:val="none"/>
              </w:rPr>
              <w:t>分（</w:t>
            </w:r>
            <w:r>
              <w:rPr>
                <w:rFonts w:hint="eastAsia" w:ascii="方正仿宋_GB2312" w:hAnsi="方正仿宋_GB2312" w:eastAsia="方正仿宋_GB2312" w:cs="方正仿宋_GB2312"/>
                <w:color w:val="auto"/>
                <w:spacing w:val="-2"/>
                <w:sz w:val="24"/>
                <w:szCs w:val="24"/>
                <w:highlight w:val="none"/>
                <w:lang w:val="en-US" w:eastAsia="zh-CN"/>
              </w:rPr>
              <w:t>40</w:t>
            </w:r>
          </w:p>
          <w:p w14:paraId="46B2D0E7">
            <w:pPr>
              <w:keepNext/>
              <w:keepLines/>
              <w:pageBreakBefore w:val="0"/>
              <w:widowControl/>
              <w:kinsoku/>
              <w:wordWrap/>
              <w:overflowPunct/>
              <w:topLinePunct w:val="0"/>
              <w:autoSpaceDE/>
              <w:autoSpaceDN/>
              <w:bidi w:val="0"/>
              <w:adjustRightInd/>
              <w:snapToGrid w:val="0"/>
              <w:spacing w:before="18" w:after="0" w:line="240" w:lineRule="auto"/>
              <w:ind w:left="0" w:leftChars="0" w:right="0" w:rightChars="0" w:firstLine="0" w:firstLineChars="0"/>
              <w:jc w:val="center"/>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pacing w:val="-6"/>
                <w:sz w:val="24"/>
                <w:szCs w:val="24"/>
                <w:highlight w:val="none"/>
              </w:rPr>
              <w:t>分）</w:t>
            </w:r>
          </w:p>
        </w:tc>
        <w:tc>
          <w:tcPr>
            <w:tcW w:w="650" w:type="dxa"/>
            <w:noWrap w:val="0"/>
            <w:vAlign w:val="center"/>
          </w:tcPr>
          <w:p w14:paraId="4F32C2D2">
            <w:pPr>
              <w:keepNext/>
              <w:keepLines/>
              <w:pageBreakBefore w:val="0"/>
              <w:widowControl/>
              <w:kinsoku/>
              <w:wordWrap/>
              <w:overflowPunct/>
              <w:topLinePunct w:val="0"/>
              <w:autoSpaceDE/>
              <w:autoSpaceDN/>
              <w:bidi w:val="0"/>
              <w:adjustRightInd/>
              <w:snapToGrid w:val="0"/>
              <w:spacing w:before="170" w:after="0" w:line="240" w:lineRule="auto"/>
              <w:ind w:left="0" w:leftChars="0" w:right="0" w:rightChars="0" w:firstLine="0" w:firstLineChars="0"/>
              <w:jc w:val="left"/>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价格评分标准</w:t>
            </w:r>
          </w:p>
        </w:tc>
        <w:tc>
          <w:tcPr>
            <w:tcW w:w="6642" w:type="dxa"/>
            <w:noWrap w:val="0"/>
            <w:vAlign w:val="center"/>
          </w:tcPr>
          <w:p w14:paraId="0F099B80">
            <w:pPr>
              <w:keepNext/>
              <w:keepLines/>
              <w:pageBreakBefore w:val="0"/>
              <w:widowControl/>
              <w:kinsoku/>
              <w:wordWrap/>
              <w:overflowPunct/>
              <w:topLinePunct w:val="0"/>
              <w:autoSpaceDE/>
              <w:autoSpaceDN/>
              <w:bidi w:val="0"/>
              <w:adjustRightInd/>
              <w:snapToGrid w:val="0"/>
              <w:spacing w:before="17" w:after="0" w:line="240" w:lineRule="exact"/>
              <w:ind w:left="0" w:leftChars="0" w:right="0" w:rightChars="0" w:firstLine="0" w:firstLineChars="0"/>
              <w:jc w:val="left"/>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投标报价中的最低报价为评标基准价，按照下列公式计算每个投标人的投标价格得分。</w:t>
            </w:r>
          </w:p>
          <w:p w14:paraId="02318865">
            <w:pPr>
              <w:keepNext/>
              <w:keepLines/>
              <w:pageBreakBefore w:val="0"/>
              <w:widowControl/>
              <w:kinsoku/>
              <w:wordWrap/>
              <w:overflowPunct/>
              <w:topLinePunct w:val="0"/>
              <w:autoSpaceDE/>
              <w:autoSpaceDN/>
              <w:bidi w:val="0"/>
              <w:adjustRightInd/>
              <w:snapToGrid w:val="0"/>
              <w:spacing w:before="17" w:after="0" w:line="240" w:lineRule="exact"/>
              <w:ind w:left="0" w:leftChars="0" w:right="0" w:rightChars="0" w:firstLine="0" w:firstLineChars="0"/>
              <w:jc w:val="left"/>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评分标准=（评标基准价/有效投标报价）*最大分值，其中：评标基准价=最低投标报价</w:t>
            </w:r>
          </w:p>
          <w:p w14:paraId="4138B6F8">
            <w:pPr>
              <w:keepNext/>
              <w:keepLines/>
              <w:pageBreakBefore w:val="0"/>
              <w:widowControl/>
              <w:kinsoku/>
              <w:wordWrap/>
              <w:overflowPunct/>
              <w:topLinePunct w:val="0"/>
              <w:autoSpaceDE/>
              <w:autoSpaceDN/>
              <w:bidi w:val="0"/>
              <w:adjustRightInd/>
              <w:snapToGrid w:val="0"/>
              <w:spacing w:before="17" w:after="0" w:line="240" w:lineRule="exact"/>
              <w:ind w:left="0" w:leftChars="0" w:right="0" w:rightChars="0" w:firstLine="0" w:firstLineChars="0"/>
              <w:jc w:val="left"/>
              <w:textAlignment w:val="baseline"/>
              <w:rPr>
                <w:rFonts w:hint="eastAsia" w:ascii="方正仿宋_GB2312" w:hAnsi="方正仿宋_GB2312" w:eastAsia="方正仿宋_GB2312" w:cs="方正仿宋_GB2312"/>
                <w:color w:val="auto"/>
                <w:sz w:val="24"/>
                <w:szCs w:val="24"/>
                <w:highlight w:val="none"/>
                <w:lang w:eastAsia="zh-CN"/>
              </w:rPr>
            </w:pPr>
            <w:r>
              <w:rPr>
                <w:rFonts w:hint="eastAsia" w:ascii="方正仿宋_GB2312" w:hAnsi="方正仿宋_GB2312" w:eastAsia="方正仿宋_GB2312" w:cs="方正仿宋_GB2312"/>
                <w:color w:val="auto"/>
                <w:sz w:val="24"/>
                <w:szCs w:val="24"/>
                <w:highlight w:val="none"/>
              </w:rPr>
              <w:t>有效投标报价=投标报价（若存在价格评审优惠的场景，此处投标报价为进行相应价格评审优惠后的价格，最终以评标结果为准）</w:t>
            </w:r>
            <w:r>
              <w:rPr>
                <w:rFonts w:hint="eastAsia" w:ascii="方正仿宋_GB2312" w:hAnsi="方正仿宋_GB2312" w:eastAsia="方正仿宋_GB2312" w:cs="方正仿宋_GB2312"/>
                <w:color w:val="auto"/>
                <w:sz w:val="24"/>
                <w:szCs w:val="24"/>
                <w:highlight w:val="none"/>
                <w:lang w:eastAsia="zh-CN"/>
              </w:rPr>
              <w:t>。</w:t>
            </w:r>
          </w:p>
          <w:p w14:paraId="2CBF4F84">
            <w:pPr>
              <w:keepNext/>
              <w:keepLines/>
              <w:pageBreakBefore w:val="0"/>
              <w:widowControl/>
              <w:kinsoku/>
              <w:wordWrap/>
              <w:overflowPunct/>
              <w:topLinePunct w:val="0"/>
              <w:autoSpaceDE/>
              <w:autoSpaceDN/>
              <w:bidi w:val="0"/>
              <w:adjustRightInd/>
              <w:snapToGrid w:val="0"/>
              <w:spacing w:before="17" w:after="0" w:line="240" w:lineRule="exact"/>
              <w:ind w:left="0" w:leftChars="0" w:right="0" w:rightChars="0" w:firstLine="0" w:firstLineChars="0"/>
              <w:jc w:val="left"/>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注：落实相关价格评审优惠政策：根据《政府采购促进中小企业发展管理办法》（财库[2020]46号）、财政部 财库〔2022〕19号：关于进一步加大政府采购支持中小企业力度的通知、财政部关于印发《政府采购需求管理办法》的通知（财库〔2021〕22号）、《财政部 司法部关于政府采购支持监狱企业发展有关问题的通知》（财库〔2014〕68号）和《三部门联合发布关于促进残疾人就业政府采购政策的通知》（财库〔2017〕141号）的规定，对满足价格扣除条件且在响应文件中提交了《中小企业声明函》或省级以上监狱管理局、戒毒管理局（含新疆生产建设兵团）出具的属于监狱企业的证明文件的供应商，其投标报价扣除10%后参与评审。</w:t>
            </w:r>
          </w:p>
          <w:p w14:paraId="70168BB4">
            <w:pPr>
              <w:keepNext/>
              <w:keepLines/>
              <w:pageBreakBefore w:val="0"/>
              <w:widowControl/>
              <w:kinsoku/>
              <w:wordWrap/>
              <w:overflowPunct/>
              <w:topLinePunct w:val="0"/>
              <w:autoSpaceDE/>
              <w:autoSpaceDN/>
              <w:bidi w:val="0"/>
              <w:adjustRightInd/>
              <w:snapToGrid w:val="0"/>
              <w:spacing w:before="17" w:after="0" w:line="240" w:lineRule="exact"/>
              <w:ind w:left="0" w:leftChars="0" w:right="0" w:rightChars="0" w:firstLine="0" w:firstLineChars="0"/>
              <w:jc w:val="left"/>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根据《国务院办公厅关于在政府采购中实施本国产品标准及相关政策的通知》国办发〔2025〕34号，对于符合本国产品政策要求的，价格评审优惠对本国产品的报价给予20%的价格扣除。</w:t>
            </w:r>
          </w:p>
        </w:tc>
        <w:tc>
          <w:tcPr>
            <w:tcW w:w="581" w:type="dxa"/>
            <w:noWrap w:val="0"/>
            <w:vAlign w:val="center"/>
          </w:tcPr>
          <w:p w14:paraId="37AB8CE7">
            <w:pPr>
              <w:pStyle w:val="132"/>
              <w:keepNext/>
              <w:keepLines/>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left"/>
              <w:textAlignment w:val="baseline"/>
              <w:rPr>
                <w:rFonts w:hint="eastAsia" w:ascii="方正仿宋_GB2312" w:hAnsi="方正仿宋_GB2312" w:eastAsia="方正仿宋_GB2312" w:cs="方正仿宋_GB2312"/>
                <w:color w:val="auto"/>
                <w:sz w:val="24"/>
                <w:szCs w:val="24"/>
                <w:highlight w:val="none"/>
              </w:rPr>
            </w:pPr>
          </w:p>
        </w:tc>
      </w:tr>
      <w:tr w14:paraId="538601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49" w:type="dxa"/>
            <w:vMerge w:val="restart"/>
            <w:noWrap w:val="0"/>
            <w:vAlign w:val="center"/>
          </w:tcPr>
          <w:p w14:paraId="1D5E4B51">
            <w:pPr>
              <w:keepNext/>
              <w:keepLines/>
              <w:pageBreakBefore w:val="0"/>
              <w:widowControl/>
              <w:kinsoku/>
              <w:wordWrap/>
              <w:overflowPunct/>
              <w:topLinePunct w:val="0"/>
              <w:autoSpaceDE/>
              <w:autoSpaceDN/>
              <w:bidi w:val="0"/>
              <w:adjustRightInd/>
              <w:snapToGrid w:val="0"/>
              <w:spacing w:before="58" w:after="0" w:line="240" w:lineRule="auto"/>
              <w:ind w:left="0" w:leftChars="0" w:right="0" w:rightChars="0" w:firstLine="0" w:firstLineChars="0"/>
              <w:jc w:val="center"/>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pacing w:val="-2"/>
                <w:sz w:val="24"/>
                <w:szCs w:val="24"/>
                <w:highlight w:val="none"/>
                <w:lang w:val="en-US" w:eastAsia="zh-CN"/>
              </w:rPr>
              <w:t>商务</w:t>
            </w:r>
            <w:r>
              <w:rPr>
                <w:rFonts w:hint="eastAsia" w:ascii="方正仿宋_GB2312" w:hAnsi="方正仿宋_GB2312" w:eastAsia="方正仿宋_GB2312" w:cs="方正仿宋_GB2312"/>
                <w:color w:val="auto"/>
                <w:spacing w:val="-2"/>
                <w:sz w:val="24"/>
                <w:szCs w:val="24"/>
                <w:highlight w:val="none"/>
              </w:rPr>
              <w:t>部</w:t>
            </w:r>
          </w:p>
          <w:p w14:paraId="036DC0AE">
            <w:pPr>
              <w:keepNext/>
              <w:keepLines/>
              <w:pageBreakBefore w:val="0"/>
              <w:widowControl/>
              <w:kinsoku/>
              <w:wordWrap/>
              <w:overflowPunct/>
              <w:topLinePunct w:val="0"/>
              <w:autoSpaceDE/>
              <w:autoSpaceDN/>
              <w:bidi w:val="0"/>
              <w:adjustRightInd/>
              <w:snapToGrid w:val="0"/>
              <w:spacing w:before="19" w:after="0" w:line="240" w:lineRule="auto"/>
              <w:ind w:left="0" w:leftChars="0" w:right="0" w:rightChars="0" w:firstLine="0" w:firstLineChars="0"/>
              <w:jc w:val="center"/>
              <w:textAlignment w:val="baseline"/>
              <w:rPr>
                <w:rFonts w:hint="default"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pacing w:val="-2"/>
                <w:sz w:val="24"/>
                <w:szCs w:val="24"/>
                <w:highlight w:val="none"/>
              </w:rPr>
              <w:t>分（</w:t>
            </w:r>
            <w:r>
              <w:rPr>
                <w:rFonts w:hint="eastAsia" w:ascii="方正仿宋_GB2312" w:hAnsi="方正仿宋_GB2312" w:eastAsia="方正仿宋_GB2312" w:cs="方正仿宋_GB2312"/>
                <w:color w:val="auto"/>
                <w:spacing w:val="-2"/>
                <w:sz w:val="24"/>
                <w:szCs w:val="24"/>
                <w:highlight w:val="none"/>
                <w:lang w:val="en-US" w:eastAsia="zh-CN"/>
              </w:rPr>
              <w:t>36</w:t>
            </w:r>
          </w:p>
          <w:p w14:paraId="493C6EB3">
            <w:pPr>
              <w:keepNext/>
              <w:keepLines/>
              <w:pageBreakBefore w:val="0"/>
              <w:widowControl/>
              <w:kinsoku/>
              <w:wordWrap/>
              <w:overflowPunct/>
              <w:topLinePunct w:val="0"/>
              <w:autoSpaceDE/>
              <w:autoSpaceDN/>
              <w:bidi w:val="0"/>
              <w:adjustRightInd/>
              <w:snapToGrid w:val="0"/>
              <w:spacing w:before="18" w:after="0" w:line="240" w:lineRule="auto"/>
              <w:ind w:left="0" w:leftChars="0" w:right="0" w:rightChars="0" w:firstLine="0" w:firstLineChars="0"/>
              <w:jc w:val="center"/>
              <w:textAlignment w:val="baseline"/>
              <w:rPr>
                <w:rFonts w:hint="default"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pacing w:val="-6"/>
                <w:sz w:val="24"/>
                <w:szCs w:val="24"/>
                <w:highlight w:val="none"/>
              </w:rPr>
              <w:t>分）</w:t>
            </w:r>
          </w:p>
        </w:tc>
        <w:tc>
          <w:tcPr>
            <w:tcW w:w="650" w:type="dxa"/>
            <w:noWrap w:val="0"/>
            <w:vAlign w:val="center"/>
          </w:tcPr>
          <w:p w14:paraId="4933414C">
            <w:pPr>
              <w:keepNext/>
              <w:keepLines/>
              <w:pageBreakBefore w:val="0"/>
              <w:widowControl/>
              <w:kinsoku/>
              <w:wordWrap/>
              <w:overflowPunct/>
              <w:topLinePunct w:val="0"/>
              <w:autoSpaceDE/>
              <w:autoSpaceDN/>
              <w:bidi w:val="0"/>
              <w:adjustRightInd/>
              <w:snapToGrid w:val="0"/>
              <w:spacing w:before="52" w:after="0" w:line="240" w:lineRule="auto"/>
              <w:ind w:left="0" w:leftChars="0" w:right="0" w:rightChars="0" w:firstLine="0" w:firstLineChars="0"/>
              <w:jc w:val="left"/>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pacing w:val="-2"/>
                <w:sz w:val="24"/>
                <w:szCs w:val="24"/>
                <w:highlight w:val="none"/>
              </w:rPr>
              <w:t>配置性能指标</w:t>
            </w:r>
            <w:r>
              <w:rPr>
                <w:rFonts w:hint="eastAsia" w:ascii="方正仿宋_GB2312" w:hAnsi="方正仿宋_GB2312" w:eastAsia="方正仿宋_GB2312" w:cs="方正仿宋_GB2312"/>
                <w:color w:val="auto"/>
                <w:spacing w:val="-2"/>
                <w:sz w:val="24"/>
                <w:szCs w:val="24"/>
                <w:highlight w:val="none"/>
                <w:lang w:eastAsia="zh-CN"/>
              </w:rPr>
              <w:t>（</w:t>
            </w:r>
            <w:r>
              <w:rPr>
                <w:rFonts w:hint="eastAsia" w:ascii="方正仿宋_GB2312" w:hAnsi="方正仿宋_GB2312" w:eastAsia="方正仿宋_GB2312" w:cs="方正仿宋_GB2312"/>
                <w:color w:val="auto"/>
                <w:spacing w:val="-2"/>
                <w:sz w:val="24"/>
                <w:szCs w:val="24"/>
                <w:highlight w:val="none"/>
                <w:lang w:val="en-US" w:eastAsia="zh-CN"/>
              </w:rPr>
              <w:t>27</w:t>
            </w:r>
            <w:r>
              <w:rPr>
                <w:rFonts w:hint="eastAsia" w:ascii="方正仿宋_GB2312" w:hAnsi="方正仿宋_GB2312" w:eastAsia="方正仿宋_GB2312" w:cs="方正仿宋_GB2312"/>
                <w:color w:val="auto"/>
                <w:spacing w:val="-5"/>
                <w:sz w:val="24"/>
                <w:szCs w:val="24"/>
                <w:highlight w:val="none"/>
              </w:rPr>
              <w:t>分）</w:t>
            </w:r>
          </w:p>
        </w:tc>
        <w:tc>
          <w:tcPr>
            <w:tcW w:w="6642" w:type="dxa"/>
            <w:noWrap w:val="0"/>
            <w:vAlign w:val="center"/>
          </w:tcPr>
          <w:p w14:paraId="1CE69B8B">
            <w:pPr>
              <w:keepNext/>
              <w:keepLines/>
              <w:pageBreakBefore w:val="0"/>
              <w:widowControl/>
              <w:kinsoku/>
              <w:wordWrap/>
              <w:overflowPunct/>
              <w:topLinePunct w:val="0"/>
              <w:autoSpaceDE/>
              <w:autoSpaceDN/>
              <w:bidi w:val="0"/>
              <w:adjustRightInd/>
              <w:snapToGrid w:val="0"/>
              <w:spacing w:before="17" w:after="0" w:line="240" w:lineRule="exact"/>
              <w:ind w:left="0" w:leftChars="0" w:right="0" w:rightChars="0" w:firstLine="0" w:firstLineChars="0"/>
              <w:jc w:val="left"/>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根据所投产品清单的技术参数配置与性能指标的响应程度打分，招标文件中所有技术参数应逐条响应，所提供的设备资料应尽可能全面详细。</w:t>
            </w:r>
          </w:p>
          <w:p w14:paraId="6831A328">
            <w:pPr>
              <w:keepNext/>
              <w:keepLines/>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left"/>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 xml:space="preserve">全部满足招标文件技术参数要求的得 </w:t>
            </w:r>
            <w:r>
              <w:rPr>
                <w:rFonts w:hint="eastAsia" w:ascii="方正仿宋_GB2312" w:hAnsi="方正仿宋_GB2312" w:eastAsia="方正仿宋_GB2312" w:cs="方正仿宋_GB2312"/>
                <w:color w:val="auto"/>
                <w:sz w:val="24"/>
                <w:szCs w:val="24"/>
                <w:highlight w:val="none"/>
                <w:lang w:val="en-US" w:eastAsia="zh-CN"/>
              </w:rPr>
              <w:t>27</w:t>
            </w:r>
            <w:r>
              <w:rPr>
                <w:rFonts w:hint="eastAsia" w:ascii="方正仿宋_GB2312" w:hAnsi="方正仿宋_GB2312" w:eastAsia="方正仿宋_GB2312" w:cs="方正仿宋_GB2312"/>
                <w:color w:val="auto"/>
                <w:sz w:val="24"/>
                <w:szCs w:val="24"/>
                <w:highlight w:val="none"/>
              </w:rPr>
              <w:t xml:space="preserve">分。标▲的参数为重要技术参数，每出现一项负偏离扣 </w:t>
            </w:r>
            <w:r>
              <w:rPr>
                <w:rFonts w:hint="eastAsia" w:ascii="方正仿宋_GB2312" w:hAnsi="方正仿宋_GB2312" w:eastAsia="方正仿宋_GB2312" w:cs="方正仿宋_GB2312"/>
                <w:color w:val="auto"/>
                <w:sz w:val="24"/>
                <w:szCs w:val="24"/>
                <w:highlight w:val="none"/>
                <w:lang w:val="en-US" w:eastAsia="zh-CN"/>
              </w:rPr>
              <w:t>3</w:t>
            </w:r>
            <w:r>
              <w:rPr>
                <w:rFonts w:hint="eastAsia" w:ascii="方正仿宋_GB2312" w:hAnsi="方正仿宋_GB2312" w:eastAsia="方正仿宋_GB2312" w:cs="方正仿宋_GB2312"/>
                <w:color w:val="auto"/>
                <w:sz w:val="24"/>
                <w:szCs w:val="24"/>
                <w:highlight w:val="none"/>
              </w:rPr>
              <w:t xml:space="preserve"> 分（允许正偏离）；其他一般参数每出现一项负偏</w:t>
            </w:r>
            <w:bookmarkStart w:id="900" w:name="_GoBack"/>
            <w:bookmarkEnd w:id="900"/>
            <w:r>
              <w:rPr>
                <w:rFonts w:hint="eastAsia" w:ascii="方正仿宋_GB2312" w:hAnsi="方正仿宋_GB2312" w:eastAsia="方正仿宋_GB2312" w:cs="方正仿宋_GB2312"/>
                <w:color w:val="auto"/>
                <w:sz w:val="24"/>
                <w:szCs w:val="24"/>
                <w:highlight w:val="none"/>
              </w:rPr>
              <w:t xml:space="preserve">离扣 </w:t>
            </w:r>
            <w:r>
              <w:rPr>
                <w:rFonts w:hint="eastAsia" w:ascii="方正仿宋_GB2312" w:hAnsi="方正仿宋_GB2312" w:eastAsia="方正仿宋_GB2312" w:cs="方正仿宋_GB2312"/>
                <w:color w:val="auto"/>
                <w:sz w:val="24"/>
                <w:szCs w:val="24"/>
                <w:highlight w:val="none"/>
                <w:lang w:val="en-US" w:eastAsia="zh-CN"/>
              </w:rPr>
              <w:t>1</w:t>
            </w:r>
            <w:r>
              <w:rPr>
                <w:rFonts w:hint="eastAsia" w:ascii="方正仿宋_GB2312" w:hAnsi="方正仿宋_GB2312" w:eastAsia="方正仿宋_GB2312" w:cs="方正仿宋_GB2312"/>
                <w:color w:val="auto"/>
                <w:sz w:val="24"/>
                <w:szCs w:val="24"/>
                <w:highlight w:val="none"/>
              </w:rPr>
              <w:t xml:space="preserve"> 分。</w:t>
            </w:r>
          </w:p>
          <w:p w14:paraId="678299C2">
            <w:pPr>
              <w:keepNext/>
              <w:keepLines/>
              <w:pageBreakBefore w:val="0"/>
              <w:widowControl/>
              <w:kinsoku/>
              <w:wordWrap/>
              <w:overflowPunct/>
              <w:topLinePunct w:val="0"/>
              <w:autoSpaceDE/>
              <w:autoSpaceDN/>
              <w:bidi w:val="0"/>
              <w:adjustRightInd/>
              <w:snapToGrid w:val="0"/>
              <w:spacing w:before="17" w:after="0" w:line="240" w:lineRule="exact"/>
              <w:ind w:left="0" w:leftChars="0" w:right="0" w:rightChars="0" w:firstLine="0" w:firstLineChars="0"/>
              <w:jc w:val="left"/>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（为保障产品质量，一般参数最多允许负偏离 1</w:t>
            </w:r>
            <w:r>
              <w:rPr>
                <w:rFonts w:hint="eastAsia" w:ascii="方正仿宋_GB2312" w:hAnsi="方正仿宋_GB2312" w:eastAsia="方正仿宋_GB2312" w:cs="方正仿宋_GB2312"/>
                <w:color w:val="auto"/>
                <w:sz w:val="24"/>
                <w:szCs w:val="24"/>
                <w:highlight w:val="none"/>
                <w:lang w:val="en-US" w:eastAsia="zh-CN"/>
              </w:rPr>
              <w:t>0</w:t>
            </w:r>
            <w:r>
              <w:rPr>
                <w:rFonts w:hint="eastAsia" w:ascii="方正仿宋_GB2312" w:hAnsi="方正仿宋_GB2312" w:eastAsia="方正仿宋_GB2312" w:cs="方正仿宋_GB2312"/>
                <w:color w:val="auto"/>
                <w:sz w:val="24"/>
                <w:szCs w:val="24"/>
                <w:highlight w:val="none"/>
              </w:rPr>
              <w:t xml:space="preserve"> 项；一般参数负偏离超过 1</w:t>
            </w:r>
            <w:r>
              <w:rPr>
                <w:rFonts w:hint="eastAsia" w:ascii="方正仿宋_GB2312" w:hAnsi="方正仿宋_GB2312" w:eastAsia="方正仿宋_GB2312" w:cs="方正仿宋_GB2312"/>
                <w:color w:val="auto"/>
                <w:sz w:val="24"/>
                <w:szCs w:val="24"/>
                <w:highlight w:val="none"/>
                <w:lang w:val="en-US" w:eastAsia="zh-CN"/>
              </w:rPr>
              <w:t>0</w:t>
            </w:r>
            <w:r>
              <w:rPr>
                <w:rFonts w:hint="eastAsia" w:ascii="方正仿宋_GB2312" w:hAnsi="方正仿宋_GB2312" w:eastAsia="方正仿宋_GB2312" w:cs="方正仿宋_GB2312"/>
                <w:color w:val="auto"/>
                <w:sz w:val="24"/>
                <w:szCs w:val="24"/>
                <w:highlight w:val="none"/>
              </w:rPr>
              <w:t>项的，本项不得分。本项最低得分为 0 分）</w:t>
            </w:r>
          </w:p>
          <w:p w14:paraId="34021FA2">
            <w:pPr>
              <w:keepNext/>
              <w:keepLines/>
              <w:pageBreakBefore w:val="0"/>
              <w:widowControl/>
              <w:kinsoku/>
              <w:wordWrap/>
              <w:overflowPunct/>
              <w:topLinePunct w:val="0"/>
              <w:autoSpaceDE/>
              <w:autoSpaceDN/>
              <w:bidi w:val="0"/>
              <w:adjustRightInd/>
              <w:snapToGrid w:val="0"/>
              <w:spacing w:before="18" w:after="0" w:line="240" w:lineRule="exact"/>
              <w:ind w:left="0" w:leftChars="0" w:right="0" w:rightChars="0" w:firstLine="0" w:firstLineChars="0"/>
              <w:jc w:val="left"/>
              <w:textAlignment w:val="baseline"/>
              <w:rPr>
                <w:rFonts w:hint="eastAsia" w:ascii="方正仿宋_GB2312" w:hAnsi="方正仿宋_GB2312" w:eastAsia="方正仿宋_GB2312" w:cs="方正仿宋_GB2312"/>
                <w:color w:val="auto"/>
                <w:spacing w:val="-1"/>
                <w:sz w:val="24"/>
                <w:szCs w:val="24"/>
                <w:highlight w:val="none"/>
              </w:rPr>
            </w:pPr>
            <w:r>
              <w:rPr>
                <w:rFonts w:hint="eastAsia" w:ascii="方正仿宋_GB2312" w:hAnsi="方正仿宋_GB2312" w:eastAsia="方正仿宋_GB2312" w:cs="方正仿宋_GB2312"/>
                <w:b w:val="0"/>
                <w:bCs/>
                <w:color w:val="auto"/>
                <w:kern w:val="2"/>
                <w:sz w:val="24"/>
                <w:szCs w:val="24"/>
                <w:highlight w:val="none"/>
                <w:lang w:val="en-US" w:eastAsia="zh-CN" w:bidi="ar-SA"/>
              </w:rPr>
              <w:t>注：技术参数中要求提供证明材料的，以投标人提供的有效证明材料为准，不提供证明材料或证明材料不符合技术参数要求的视为不满足。</w:t>
            </w:r>
            <w:r>
              <w:rPr>
                <w:rFonts w:hint="eastAsia" w:ascii="方正仿宋_GB2312" w:hAnsi="方正仿宋_GB2312" w:eastAsia="方正仿宋_GB2312" w:cs="方正仿宋_GB2312"/>
                <w:color w:val="auto"/>
                <w:sz w:val="24"/>
                <w:szCs w:val="24"/>
                <w:highlight w:val="none"/>
              </w:rPr>
              <w:t xml:space="preserve"> </w:t>
            </w:r>
          </w:p>
        </w:tc>
        <w:tc>
          <w:tcPr>
            <w:tcW w:w="581" w:type="dxa"/>
            <w:noWrap w:val="0"/>
            <w:vAlign w:val="center"/>
          </w:tcPr>
          <w:p w14:paraId="529A0156">
            <w:pPr>
              <w:pStyle w:val="132"/>
              <w:keepNext/>
              <w:keepLines/>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left"/>
              <w:textAlignment w:val="baseline"/>
              <w:rPr>
                <w:rFonts w:hint="eastAsia" w:ascii="方正仿宋_GB2312" w:hAnsi="方正仿宋_GB2312" w:eastAsia="方正仿宋_GB2312" w:cs="方正仿宋_GB2312"/>
                <w:color w:val="auto"/>
                <w:sz w:val="24"/>
                <w:szCs w:val="24"/>
                <w:highlight w:val="none"/>
              </w:rPr>
            </w:pPr>
          </w:p>
        </w:tc>
      </w:tr>
      <w:tr w14:paraId="187389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5" w:hRule="atLeast"/>
          <w:jc w:val="center"/>
        </w:trPr>
        <w:tc>
          <w:tcPr>
            <w:tcW w:w="649" w:type="dxa"/>
            <w:vMerge w:val="continue"/>
            <w:noWrap w:val="0"/>
            <w:vAlign w:val="center"/>
          </w:tcPr>
          <w:p w14:paraId="0ABEEF86">
            <w:pPr>
              <w:pStyle w:val="132"/>
              <w:keepNext/>
              <w:keepLines/>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baseline"/>
              <w:rPr>
                <w:rFonts w:hint="eastAsia" w:ascii="方正仿宋_GB2312" w:hAnsi="方正仿宋_GB2312" w:eastAsia="方正仿宋_GB2312" w:cs="方正仿宋_GB2312"/>
                <w:color w:val="auto"/>
                <w:sz w:val="24"/>
                <w:szCs w:val="24"/>
                <w:highlight w:val="none"/>
              </w:rPr>
            </w:pPr>
          </w:p>
        </w:tc>
        <w:tc>
          <w:tcPr>
            <w:tcW w:w="650" w:type="dxa"/>
            <w:noWrap w:val="0"/>
            <w:vAlign w:val="center"/>
          </w:tcPr>
          <w:p w14:paraId="3769DA7A">
            <w:pPr>
              <w:keepNext/>
              <w:keepLines/>
              <w:pageBreakBefore w:val="0"/>
              <w:widowControl/>
              <w:kinsoku/>
              <w:wordWrap/>
              <w:overflowPunct/>
              <w:topLinePunct w:val="0"/>
              <w:autoSpaceDE/>
              <w:autoSpaceDN/>
              <w:bidi w:val="0"/>
              <w:adjustRightInd/>
              <w:snapToGrid w:val="0"/>
              <w:spacing w:before="143" w:after="0" w:line="240" w:lineRule="auto"/>
              <w:ind w:left="0" w:leftChars="0" w:right="0" w:rightChars="0" w:firstLine="0" w:firstLineChars="0"/>
              <w:jc w:val="left"/>
              <w:textAlignment w:val="baseline"/>
              <w:rPr>
                <w:rFonts w:hint="eastAsia" w:ascii="方正仿宋_GB2312" w:hAnsi="方正仿宋_GB2312" w:eastAsia="方正仿宋_GB2312" w:cs="方正仿宋_GB2312"/>
                <w:color w:val="auto"/>
                <w:spacing w:val="-3"/>
                <w:sz w:val="24"/>
                <w:szCs w:val="24"/>
                <w:highlight w:val="none"/>
              </w:rPr>
            </w:pPr>
            <w:r>
              <w:rPr>
                <w:rFonts w:hint="eastAsia" w:ascii="方正仿宋_GB2312" w:hAnsi="方正仿宋_GB2312" w:eastAsia="方正仿宋_GB2312" w:cs="方正仿宋_GB2312"/>
                <w:color w:val="auto"/>
                <w:spacing w:val="-3"/>
                <w:sz w:val="24"/>
                <w:szCs w:val="24"/>
                <w:highlight w:val="none"/>
              </w:rPr>
              <w:t>投标产品质量保证（</w:t>
            </w:r>
            <w:r>
              <w:rPr>
                <w:rFonts w:hint="eastAsia" w:ascii="方正仿宋_GB2312" w:hAnsi="方正仿宋_GB2312" w:eastAsia="方正仿宋_GB2312" w:cs="方正仿宋_GB2312"/>
                <w:color w:val="auto"/>
                <w:spacing w:val="-3"/>
                <w:sz w:val="24"/>
                <w:szCs w:val="24"/>
                <w:highlight w:val="none"/>
                <w:lang w:val="en-US" w:eastAsia="zh-CN"/>
              </w:rPr>
              <w:t>9</w:t>
            </w:r>
            <w:r>
              <w:rPr>
                <w:rFonts w:hint="eastAsia" w:ascii="方正仿宋_GB2312" w:hAnsi="方正仿宋_GB2312" w:eastAsia="方正仿宋_GB2312" w:cs="方正仿宋_GB2312"/>
                <w:color w:val="auto"/>
                <w:spacing w:val="-3"/>
                <w:sz w:val="24"/>
                <w:szCs w:val="24"/>
                <w:highlight w:val="none"/>
              </w:rPr>
              <w:t>分）</w:t>
            </w:r>
          </w:p>
        </w:tc>
        <w:tc>
          <w:tcPr>
            <w:tcW w:w="6642" w:type="dxa"/>
            <w:noWrap w:val="0"/>
            <w:vAlign w:val="center"/>
          </w:tcPr>
          <w:p w14:paraId="147FD7D8">
            <w:pPr>
              <w:keepNext/>
              <w:keepLines/>
              <w:pageBreakBefore w:val="0"/>
              <w:widowControl/>
              <w:kinsoku/>
              <w:wordWrap/>
              <w:overflowPunct/>
              <w:topLinePunct w:val="0"/>
              <w:autoSpaceDE/>
              <w:autoSpaceDN/>
              <w:bidi w:val="0"/>
              <w:adjustRightInd/>
              <w:snapToGrid w:val="0"/>
              <w:spacing w:before="17" w:after="0" w:line="240" w:lineRule="exact"/>
              <w:ind w:left="0" w:leftChars="0" w:right="0" w:rightChars="0" w:firstLine="0" w:firstLineChars="0"/>
              <w:jc w:val="left"/>
              <w:textAlignment w:val="baseline"/>
              <w:rPr>
                <w:rFonts w:hint="eastAsia" w:ascii="方正仿宋_GB2312" w:hAnsi="方正仿宋_GB2312" w:eastAsia="方正仿宋_GB2312" w:cs="方正仿宋_GB2312"/>
                <w:color w:val="auto"/>
                <w:spacing w:val="-3"/>
                <w:sz w:val="24"/>
                <w:szCs w:val="24"/>
                <w:highlight w:val="none"/>
              </w:rPr>
            </w:pPr>
            <w:r>
              <w:rPr>
                <w:rFonts w:hint="eastAsia" w:ascii="方正仿宋_GB2312" w:hAnsi="方正仿宋_GB2312" w:eastAsia="方正仿宋_GB2312" w:cs="方正仿宋_GB2312"/>
                <w:color w:val="auto"/>
                <w:spacing w:val="-3"/>
                <w:sz w:val="24"/>
                <w:szCs w:val="24"/>
                <w:highlight w:val="none"/>
              </w:rPr>
              <w:t>投标产品质量保证（</w:t>
            </w:r>
            <w:r>
              <w:rPr>
                <w:rFonts w:hint="eastAsia" w:ascii="方正仿宋_GB2312" w:hAnsi="方正仿宋_GB2312" w:eastAsia="方正仿宋_GB2312" w:cs="方正仿宋_GB2312"/>
                <w:color w:val="auto"/>
                <w:spacing w:val="-3"/>
                <w:sz w:val="24"/>
                <w:szCs w:val="24"/>
                <w:highlight w:val="none"/>
                <w:lang w:val="en-US" w:eastAsia="zh-CN"/>
              </w:rPr>
              <w:t>9</w:t>
            </w:r>
            <w:r>
              <w:rPr>
                <w:rFonts w:hint="eastAsia" w:ascii="方正仿宋_GB2312" w:hAnsi="方正仿宋_GB2312" w:eastAsia="方正仿宋_GB2312" w:cs="方正仿宋_GB2312"/>
                <w:color w:val="auto"/>
                <w:spacing w:val="-3"/>
                <w:sz w:val="24"/>
                <w:szCs w:val="24"/>
                <w:highlight w:val="none"/>
              </w:rPr>
              <w:t>分）</w:t>
            </w:r>
          </w:p>
          <w:p w14:paraId="2AC9F17D">
            <w:pPr>
              <w:keepNext/>
              <w:keepLines/>
              <w:pageBreakBefore w:val="0"/>
              <w:widowControl/>
              <w:kinsoku/>
              <w:wordWrap/>
              <w:overflowPunct/>
              <w:topLinePunct w:val="0"/>
              <w:autoSpaceDE/>
              <w:autoSpaceDN/>
              <w:bidi w:val="0"/>
              <w:adjustRightInd/>
              <w:snapToGrid w:val="0"/>
              <w:spacing w:before="17" w:after="0" w:line="240" w:lineRule="exact"/>
              <w:ind w:left="0" w:leftChars="0" w:right="0" w:rightChars="0" w:firstLine="0" w:firstLineChars="0"/>
              <w:jc w:val="left"/>
              <w:textAlignment w:val="baseline"/>
              <w:rPr>
                <w:rFonts w:hint="eastAsia" w:ascii="方正仿宋_GB2312" w:hAnsi="方正仿宋_GB2312" w:eastAsia="方正仿宋_GB2312" w:cs="方正仿宋_GB2312"/>
                <w:color w:val="auto"/>
                <w:spacing w:val="-3"/>
                <w:sz w:val="24"/>
                <w:szCs w:val="24"/>
                <w:highlight w:val="none"/>
              </w:rPr>
            </w:pPr>
            <w:r>
              <w:rPr>
                <w:rFonts w:hint="eastAsia" w:ascii="方正仿宋_GB2312" w:hAnsi="方正仿宋_GB2312" w:eastAsia="方正仿宋_GB2312" w:cs="方正仿宋_GB2312"/>
                <w:color w:val="auto"/>
                <w:sz w:val="24"/>
                <w:szCs w:val="24"/>
                <w:highlight w:val="none"/>
              </w:rPr>
              <w:t>1.为保障产品质量，投标人应根据参数清单中核心产品（1.标考高清SIP转发管理三合一平台、2.防火墙3.控制主机提供相应产品检测报告；每提供任意一个检测报告得2分，满分6分,不提供不得分。</w:t>
            </w:r>
          </w:p>
          <w:p w14:paraId="044EE75B">
            <w:pPr>
              <w:keepNext/>
              <w:keepLines/>
              <w:pageBreakBefore w:val="0"/>
              <w:widowControl/>
              <w:kinsoku/>
              <w:wordWrap/>
              <w:overflowPunct/>
              <w:topLinePunct w:val="0"/>
              <w:autoSpaceDE/>
              <w:autoSpaceDN/>
              <w:bidi w:val="0"/>
              <w:adjustRightInd/>
              <w:snapToGrid w:val="0"/>
              <w:spacing w:before="17" w:after="0" w:line="240" w:lineRule="exact"/>
              <w:ind w:left="0" w:leftChars="0" w:right="0" w:rightChars="0" w:firstLine="0" w:firstLineChars="0"/>
              <w:jc w:val="left"/>
              <w:textAlignment w:val="baseline"/>
              <w:rPr>
                <w:rFonts w:hint="eastAsia" w:ascii="方正仿宋_GB2312" w:hAnsi="方正仿宋_GB2312" w:eastAsia="方正仿宋_GB2312" w:cs="方正仿宋_GB2312"/>
                <w:color w:val="auto"/>
                <w:spacing w:val="-1"/>
                <w:sz w:val="24"/>
                <w:szCs w:val="24"/>
                <w:highlight w:val="none"/>
              </w:rPr>
            </w:pPr>
            <w:r>
              <w:rPr>
                <w:rFonts w:hint="eastAsia" w:ascii="方正仿宋_GB2312" w:hAnsi="方正仿宋_GB2312" w:eastAsia="方正仿宋_GB2312" w:cs="方正仿宋_GB2312"/>
                <w:color w:val="auto"/>
                <w:sz w:val="24"/>
                <w:szCs w:val="24"/>
                <w:highlight w:val="none"/>
                <w:lang w:val="en-US" w:eastAsia="zh-CN"/>
              </w:rPr>
              <w:t>2.</w:t>
            </w:r>
            <w:r>
              <w:rPr>
                <w:rFonts w:hint="eastAsia" w:ascii="方正仿宋_GB2312" w:hAnsi="方正仿宋_GB2312" w:eastAsia="方正仿宋_GB2312" w:cs="方正仿宋_GB2312"/>
                <w:color w:val="auto"/>
                <w:sz w:val="24"/>
                <w:szCs w:val="24"/>
                <w:highlight w:val="none"/>
              </w:rPr>
              <w:t>为保证高考数据信息安全，投标人具备以下证书（1.具备有效的ISO27001信息安全管理体系认证证书、 2.具备有效的ISO20000信息技术服务管理体系认证证书、3.具备有效的ITSS信息技术服务标准符合性证书二级及以上），每提供1项得</w:t>
            </w:r>
            <w:r>
              <w:rPr>
                <w:rFonts w:hint="eastAsia" w:ascii="方正仿宋_GB2312" w:hAnsi="方正仿宋_GB2312" w:eastAsia="方正仿宋_GB2312" w:cs="方正仿宋_GB2312"/>
                <w:color w:val="auto"/>
                <w:sz w:val="24"/>
                <w:szCs w:val="24"/>
                <w:highlight w:val="none"/>
                <w:lang w:val="en-US" w:eastAsia="zh-CN"/>
              </w:rPr>
              <w:t>1</w:t>
            </w:r>
            <w:r>
              <w:rPr>
                <w:rFonts w:hint="eastAsia" w:ascii="方正仿宋_GB2312" w:hAnsi="方正仿宋_GB2312" w:eastAsia="方正仿宋_GB2312" w:cs="方正仿宋_GB2312"/>
                <w:color w:val="auto"/>
                <w:sz w:val="24"/>
                <w:szCs w:val="24"/>
                <w:highlight w:val="none"/>
              </w:rPr>
              <w:t>分，满分</w:t>
            </w:r>
            <w:r>
              <w:rPr>
                <w:rFonts w:hint="eastAsia" w:ascii="方正仿宋_GB2312" w:hAnsi="方正仿宋_GB2312" w:eastAsia="方正仿宋_GB2312" w:cs="方正仿宋_GB2312"/>
                <w:color w:val="auto"/>
                <w:sz w:val="24"/>
                <w:szCs w:val="24"/>
                <w:highlight w:val="none"/>
                <w:lang w:val="en-US" w:eastAsia="zh-CN"/>
              </w:rPr>
              <w:t>3</w:t>
            </w:r>
            <w:r>
              <w:rPr>
                <w:rFonts w:hint="eastAsia" w:ascii="方正仿宋_GB2312" w:hAnsi="方正仿宋_GB2312" w:eastAsia="方正仿宋_GB2312" w:cs="方正仿宋_GB2312"/>
                <w:color w:val="auto"/>
                <w:sz w:val="24"/>
                <w:szCs w:val="24"/>
                <w:highlight w:val="none"/>
              </w:rPr>
              <w:t>分，不提供不得分。</w:t>
            </w:r>
          </w:p>
        </w:tc>
        <w:tc>
          <w:tcPr>
            <w:tcW w:w="581" w:type="dxa"/>
            <w:noWrap w:val="0"/>
            <w:vAlign w:val="center"/>
          </w:tcPr>
          <w:p w14:paraId="0AE8A820">
            <w:pPr>
              <w:pStyle w:val="132"/>
              <w:keepNext/>
              <w:keepLines/>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left"/>
              <w:textAlignment w:val="baseline"/>
              <w:rPr>
                <w:rFonts w:hint="eastAsia" w:ascii="方正仿宋_GB2312" w:hAnsi="方正仿宋_GB2312" w:eastAsia="方正仿宋_GB2312" w:cs="方正仿宋_GB2312"/>
                <w:color w:val="auto"/>
                <w:sz w:val="24"/>
                <w:szCs w:val="24"/>
                <w:highlight w:val="none"/>
              </w:rPr>
            </w:pPr>
          </w:p>
        </w:tc>
      </w:tr>
      <w:tr w14:paraId="235270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49" w:type="dxa"/>
            <w:vMerge w:val="restart"/>
            <w:noWrap w:val="0"/>
            <w:vAlign w:val="center"/>
          </w:tcPr>
          <w:p w14:paraId="54598439">
            <w:pPr>
              <w:pStyle w:val="132"/>
              <w:keepNext/>
              <w:keepLines/>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baseline"/>
              <w:rPr>
                <w:rFonts w:hint="default"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技术部分（24）</w:t>
            </w:r>
          </w:p>
        </w:tc>
        <w:tc>
          <w:tcPr>
            <w:tcW w:w="650" w:type="dxa"/>
            <w:noWrap w:val="0"/>
            <w:vAlign w:val="center"/>
          </w:tcPr>
          <w:p w14:paraId="744F7CCF">
            <w:pPr>
              <w:keepNext/>
              <w:keepLines/>
              <w:pageBreakBefore w:val="0"/>
              <w:widowControl/>
              <w:kinsoku/>
              <w:wordWrap/>
              <w:overflowPunct/>
              <w:topLinePunct w:val="0"/>
              <w:autoSpaceDE/>
              <w:autoSpaceDN/>
              <w:bidi w:val="0"/>
              <w:adjustRightInd/>
              <w:snapToGrid w:val="0"/>
              <w:spacing w:before="52" w:after="0" w:line="240" w:lineRule="auto"/>
              <w:ind w:left="0" w:leftChars="0" w:right="0" w:rightChars="0" w:firstLine="0" w:firstLineChars="0"/>
              <w:jc w:val="left"/>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pacing w:val="-3"/>
                <w:sz w:val="24"/>
                <w:szCs w:val="24"/>
                <w:highlight w:val="none"/>
              </w:rPr>
              <w:t>项目服务实施方案</w:t>
            </w:r>
            <w:r>
              <w:rPr>
                <w:rFonts w:hint="eastAsia" w:ascii="方正仿宋_GB2312" w:hAnsi="方正仿宋_GB2312" w:eastAsia="方正仿宋_GB2312" w:cs="方正仿宋_GB2312"/>
                <w:color w:val="auto"/>
                <w:spacing w:val="-5"/>
                <w:sz w:val="24"/>
                <w:szCs w:val="24"/>
                <w:highlight w:val="none"/>
              </w:rPr>
              <w:t>（</w:t>
            </w:r>
            <w:r>
              <w:rPr>
                <w:rFonts w:hint="eastAsia" w:ascii="方正仿宋_GB2312" w:hAnsi="方正仿宋_GB2312" w:eastAsia="方正仿宋_GB2312" w:cs="方正仿宋_GB2312"/>
                <w:color w:val="auto"/>
                <w:spacing w:val="-5"/>
                <w:sz w:val="24"/>
                <w:szCs w:val="24"/>
                <w:highlight w:val="none"/>
                <w:lang w:val="en-US" w:eastAsia="zh-CN"/>
              </w:rPr>
              <w:t>8</w:t>
            </w:r>
            <w:r>
              <w:rPr>
                <w:rFonts w:hint="eastAsia" w:ascii="方正仿宋_GB2312" w:hAnsi="方正仿宋_GB2312" w:eastAsia="方正仿宋_GB2312" w:cs="方正仿宋_GB2312"/>
                <w:color w:val="auto"/>
                <w:spacing w:val="-5"/>
                <w:sz w:val="24"/>
                <w:szCs w:val="24"/>
                <w:highlight w:val="none"/>
              </w:rPr>
              <w:t>分)</w:t>
            </w:r>
          </w:p>
        </w:tc>
        <w:tc>
          <w:tcPr>
            <w:tcW w:w="6642" w:type="dxa"/>
            <w:noWrap w:val="0"/>
            <w:vAlign w:val="center"/>
          </w:tcPr>
          <w:p w14:paraId="50A46BCE">
            <w:pPr>
              <w:keepNext/>
              <w:keepLines/>
              <w:pageBreakBefore w:val="0"/>
              <w:widowControl/>
              <w:kinsoku/>
              <w:wordWrap/>
              <w:overflowPunct/>
              <w:topLinePunct w:val="0"/>
              <w:autoSpaceDE/>
              <w:autoSpaceDN/>
              <w:bidi w:val="0"/>
              <w:adjustRightInd/>
              <w:snapToGrid w:val="0"/>
              <w:spacing w:before="18" w:after="0" w:line="240" w:lineRule="exact"/>
              <w:ind w:left="0" w:leftChars="0" w:right="0" w:rightChars="0" w:firstLine="0" w:firstLineChars="0"/>
              <w:jc w:val="left"/>
              <w:textAlignment w:val="baseline"/>
              <w:rPr>
                <w:rFonts w:hint="eastAsia" w:ascii="方正仿宋_GB2312" w:hAnsi="方正仿宋_GB2312" w:eastAsia="方正仿宋_GB2312" w:cs="方正仿宋_GB2312"/>
                <w:color w:val="auto"/>
                <w:spacing w:val="-1"/>
                <w:sz w:val="24"/>
                <w:szCs w:val="24"/>
                <w:highlight w:val="none"/>
              </w:rPr>
            </w:pPr>
            <w:r>
              <w:rPr>
                <w:rFonts w:hint="eastAsia" w:ascii="方正仿宋_GB2312" w:hAnsi="方正仿宋_GB2312" w:eastAsia="方正仿宋_GB2312" w:cs="方正仿宋_GB2312"/>
                <w:color w:val="auto"/>
                <w:sz w:val="24"/>
                <w:szCs w:val="24"/>
                <w:highlight w:val="none"/>
              </w:rPr>
              <w:t>项目服务实施方案（</w:t>
            </w:r>
            <w:r>
              <w:rPr>
                <w:rFonts w:hint="eastAsia" w:ascii="方正仿宋_GB2312" w:hAnsi="方正仿宋_GB2312" w:eastAsia="方正仿宋_GB2312" w:cs="方正仿宋_GB2312"/>
                <w:color w:val="auto"/>
                <w:sz w:val="24"/>
                <w:szCs w:val="24"/>
                <w:highlight w:val="none"/>
                <w:lang w:val="en-US" w:eastAsia="zh-CN"/>
              </w:rPr>
              <w:t>8</w:t>
            </w:r>
            <w:r>
              <w:rPr>
                <w:rFonts w:hint="eastAsia" w:ascii="方正仿宋_GB2312" w:hAnsi="方正仿宋_GB2312" w:eastAsia="方正仿宋_GB2312" w:cs="方正仿宋_GB2312"/>
                <w:color w:val="auto"/>
                <w:sz w:val="24"/>
                <w:szCs w:val="24"/>
                <w:highlight w:val="none"/>
              </w:rPr>
              <w:t>分）：根据投标人对本</w:t>
            </w:r>
            <w:r>
              <w:rPr>
                <w:rFonts w:hint="eastAsia" w:ascii="方正仿宋_GB2312" w:hAnsi="方正仿宋_GB2312" w:eastAsia="方正仿宋_GB2312" w:cs="方正仿宋_GB2312"/>
                <w:color w:val="auto"/>
                <w:spacing w:val="-1"/>
                <w:sz w:val="24"/>
                <w:szCs w:val="24"/>
                <w:highlight w:val="none"/>
              </w:rPr>
              <w:t>项目实际情况，阐述内容须包括但不限于以下内容：</w:t>
            </w:r>
          </w:p>
          <w:p w14:paraId="2DC8498E">
            <w:pPr>
              <w:keepNext/>
              <w:keepLines/>
              <w:pageBreakBefore w:val="0"/>
              <w:widowControl/>
              <w:kinsoku/>
              <w:wordWrap/>
              <w:overflowPunct/>
              <w:topLinePunct w:val="0"/>
              <w:autoSpaceDE/>
              <w:autoSpaceDN/>
              <w:bidi w:val="0"/>
              <w:adjustRightInd/>
              <w:snapToGrid w:val="0"/>
              <w:spacing w:before="18" w:after="0" w:line="240" w:lineRule="exact"/>
              <w:ind w:left="0" w:leftChars="0" w:right="0" w:rightChars="0" w:firstLine="0" w:firstLineChars="0"/>
              <w:jc w:val="left"/>
              <w:textAlignment w:val="baseline"/>
              <w:rPr>
                <w:rFonts w:hint="eastAsia" w:ascii="方正仿宋_GB2312" w:hAnsi="方正仿宋_GB2312" w:eastAsia="方正仿宋_GB2312" w:cs="方正仿宋_GB2312"/>
                <w:color w:val="auto"/>
                <w:spacing w:val="-1"/>
                <w:sz w:val="24"/>
                <w:szCs w:val="24"/>
                <w:highlight w:val="none"/>
              </w:rPr>
            </w:pPr>
            <w:r>
              <w:rPr>
                <w:rFonts w:hint="eastAsia" w:ascii="方正仿宋_GB2312" w:hAnsi="方正仿宋_GB2312" w:eastAsia="方正仿宋_GB2312" w:cs="方正仿宋_GB2312"/>
                <w:color w:val="auto"/>
                <w:spacing w:val="-1"/>
                <w:sz w:val="24"/>
                <w:szCs w:val="24"/>
                <w:highlight w:val="none"/>
              </w:rPr>
              <w:t>①整体实施方案；</w:t>
            </w:r>
          </w:p>
          <w:p w14:paraId="56058767">
            <w:pPr>
              <w:keepNext/>
              <w:keepLines/>
              <w:pageBreakBefore w:val="0"/>
              <w:widowControl/>
              <w:kinsoku/>
              <w:wordWrap/>
              <w:overflowPunct/>
              <w:topLinePunct w:val="0"/>
              <w:autoSpaceDE/>
              <w:autoSpaceDN/>
              <w:bidi w:val="0"/>
              <w:adjustRightInd/>
              <w:snapToGrid w:val="0"/>
              <w:spacing w:before="18" w:after="0" w:line="240" w:lineRule="exact"/>
              <w:ind w:left="0" w:leftChars="0" w:right="0" w:rightChars="0" w:firstLine="0" w:firstLineChars="0"/>
              <w:jc w:val="left"/>
              <w:textAlignment w:val="baseline"/>
              <w:rPr>
                <w:rFonts w:hint="eastAsia" w:ascii="方正仿宋_GB2312" w:hAnsi="方正仿宋_GB2312" w:eastAsia="方正仿宋_GB2312" w:cs="方正仿宋_GB2312"/>
                <w:color w:val="auto"/>
                <w:spacing w:val="-1"/>
                <w:sz w:val="24"/>
                <w:szCs w:val="24"/>
                <w:highlight w:val="none"/>
              </w:rPr>
            </w:pPr>
            <w:r>
              <w:rPr>
                <w:rFonts w:hint="eastAsia" w:ascii="方正仿宋_GB2312" w:hAnsi="方正仿宋_GB2312" w:eastAsia="方正仿宋_GB2312" w:cs="方正仿宋_GB2312"/>
                <w:color w:val="auto"/>
                <w:spacing w:val="-1"/>
                <w:sz w:val="24"/>
                <w:szCs w:val="24"/>
                <w:highlight w:val="none"/>
              </w:rPr>
              <w:t>②质量保证措施；</w:t>
            </w:r>
          </w:p>
          <w:p w14:paraId="6C214801">
            <w:pPr>
              <w:keepNext/>
              <w:keepLines/>
              <w:pageBreakBefore w:val="0"/>
              <w:widowControl/>
              <w:kinsoku/>
              <w:wordWrap/>
              <w:overflowPunct/>
              <w:topLinePunct w:val="0"/>
              <w:autoSpaceDE/>
              <w:autoSpaceDN/>
              <w:bidi w:val="0"/>
              <w:adjustRightInd/>
              <w:snapToGrid w:val="0"/>
              <w:spacing w:before="18" w:after="0" w:line="240" w:lineRule="exact"/>
              <w:ind w:left="0" w:leftChars="0" w:right="0" w:rightChars="0" w:firstLine="0" w:firstLineChars="0"/>
              <w:jc w:val="left"/>
              <w:textAlignment w:val="baseline"/>
              <w:rPr>
                <w:rFonts w:hint="eastAsia" w:ascii="方正仿宋_GB2312" w:hAnsi="方正仿宋_GB2312" w:eastAsia="方正仿宋_GB2312" w:cs="方正仿宋_GB2312"/>
                <w:color w:val="auto"/>
                <w:spacing w:val="-1"/>
                <w:sz w:val="24"/>
                <w:szCs w:val="24"/>
                <w:highlight w:val="none"/>
              </w:rPr>
            </w:pPr>
            <w:r>
              <w:rPr>
                <w:rFonts w:hint="eastAsia" w:ascii="方正仿宋_GB2312" w:hAnsi="方正仿宋_GB2312" w:eastAsia="方正仿宋_GB2312" w:cs="方正仿宋_GB2312"/>
                <w:color w:val="auto"/>
                <w:spacing w:val="-1"/>
                <w:sz w:val="24"/>
                <w:szCs w:val="24"/>
                <w:highlight w:val="none"/>
              </w:rPr>
              <w:t>③项目实施人员配置方案；</w:t>
            </w:r>
          </w:p>
          <w:p w14:paraId="19D899F0">
            <w:pPr>
              <w:keepNext/>
              <w:keepLines/>
              <w:pageBreakBefore w:val="0"/>
              <w:widowControl/>
              <w:kinsoku/>
              <w:wordWrap/>
              <w:overflowPunct/>
              <w:topLinePunct w:val="0"/>
              <w:autoSpaceDE/>
              <w:autoSpaceDN/>
              <w:bidi w:val="0"/>
              <w:adjustRightInd/>
              <w:snapToGrid w:val="0"/>
              <w:spacing w:before="18" w:after="0" w:line="240" w:lineRule="exact"/>
              <w:ind w:left="0" w:leftChars="0" w:right="0" w:rightChars="0" w:firstLine="0" w:firstLineChars="0"/>
              <w:jc w:val="left"/>
              <w:textAlignment w:val="baseline"/>
              <w:rPr>
                <w:rFonts w:hint="eastAsia" w:ascii="方正仿宋_GB2312" w:hAnsi="方正仿宋_GB2312" w:eastAsia="方正仿宋_GB2312" w:cs="方正仿宋_GB2312"/>
                <w:color w:val="auto"/>
                <w:spacing w:val="-1"/>
                <w:sz w:val="24"/>
                <w:szCs w:val="24"/>
                <w:highlight w:val="none"/>
                <w:lang w:eastAsia="zh-CN"/>
              </w:rPr>
            </w:pPr>
            <w:r>
              <w:rPr>
                <w:rFonts w:hint="eastAsia" w:ascii="方正仿宋_GB2312" w:hAnsi="方正仿宋_GB2312" w:eastAsia="方正仿宋_GB2312" w:cs="方正仿宋_GB2312"/>
                <w:color w:val="auto"/>
                <w:spacing w:val="-1"/>
                <w:sz w:val="24"/>
                <w:szCs w:val="24"/>
                <w:highlight w:val="none"/>
              </w:rPr>
              <w:t>④产品包装运输方案、供货、安装方案</w:t>
            </w:r>
            <w:r>
              <w:rPr>
                <w:rFonts w:hint="eastAsia" w:ascii="方正仿宋_GB2312" w:hAnsi="方正仿宋_GB2312" w:eastAsia="方正仿宋_GB2312" w:cs="方正仿宋_GB2312"/>
                <w:color w:val="auto"/>
                <w:spacing w:val="-1"/>
                <w:sz w:val="24"/>
                <w:szCs w:val="24"/>
                <w:highlight w:val="none"/>
                <w:lang w:eastAsia="zh-CN"/>
              </w:rPr>
              <w:t>、</w:t>
            </w:r>
            <w:r>
              <w:rPr>
                <w:rFonts w:hint="eastAsia" w:ascii="方正仿宋_GB2312" w:hAnsi="方正仿宋_GB2312" w:eastAsia="方正仿宋_GB2312" w:cs="方正仿宋_GB2312"/>
                <w:color w:val="auto"/>
                <w:spacing w:val="-1"/>
                <w:sz w:val="24"/>
                <w:szCs w:val="24"/>
                <w:highlight w:val="none"/>
              </w:rPr>
              <w:t>应急管理方案</w:t>
            </w:r>
            <w:r>
              <w:rPr>
                <w:rFonts w:hint="eastAsia" w:ascii="方正仿宋_GB2312" w:hAnsi="方正仿宋_GB2312" w:eastAsia="方正仿宋_GB2312" w:cs="方正仿宋_GB2312"/>
                <w:color w:val="auto"/>
                <w:spacing w:val="-1"/>
                <w:sz w:val="24"/>
                <w:szCs w:val="24"/>
                <w:highlight w:val="none"/>
                <w:lang w:eastAsia="zh-CN"/>
              </w:rPr>
              <w:t>。</w:t>
            </w:r>
          </w:p>
          <w:p w14:paraId="6EE60A93">
            <w:pPr>
              <w:keepNext/>
              <w:keepLines/>
              <w:pageBreakBefore w:val="0"/>
              <w:widowControl/>
              <w:kinsoku/>
              <w:wordWrap/>
              <w:overflowPunct/>
              <w:topLinePunct w:val="0"/>
              <w:autoSpaceDE/>
              <w:autoSpaceDN/>
              <w:bidi w:val="0"/>
              <w:adjustRightInd/>
              <w:snapToGrid w:val="0"/>
              <w:spacing w:before="18" w:after="0" w:line="240" w:lineRule="exact"/>
              <w:ind w:left="0" w:leftChars="0" w:right="0" w:rightChars="0" w:firstLine="0" w:firstLineChars="0"/>
              <w:jc w:val="left"/>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pacing w:val="-1"/>
                <w:sz w:val="24"/>
                <w:szCs w:val="24"/>
                <w:highlight w:val="none"/>
              </w:rPr>
              <w:t>评标委员会根据各投标人方案内容完整性和是否符合本项目实际进行评审，评审内容包含以上</w:t>
            </w:r>
            <w:r>
              <w:rPr>
                <w:rFonts w:hint="eastAsia" w:ascii="方正仿宋_GB2312" w:hAnsi="方正仿宋_GB2312" w:eastAsia="方正仿宋_GB2312" w:cs="方正仿宋_GB2312"/>
                <w:color w:val="auto"/>
                <w:spacing w:val="-1"/>
                <w:sz w:val="24"/>
                <w:szCs w:val="24"/>
                <w:highlight w:val="none"/>
                <w:lang w:val="en-US" w:eastAsia="zh-CN"/>
              </w:rPr>
              <w:t>4</w:t>
            </w:r>
            <w:r>
              <w:rPr>
                <w:rFonts w:hint="eastAsia" w:ascii="方正仿宋_GB2312" w:hAnsi="方正仿宋_GB2312" w:eastAsia="方正仿宋_GB2312" w:cs="方正仿宋_GB2312"/>
                <w:color w:val="auto"/>
                <w:spacing w:val="-1"/>
                <w:sz w:val="24"/>
                <w:szCs w:val="24"/>
                <w:highlight w:val="none"/>
              </w:rPr>
              <w:t>项，内容完整且符合项目实际得</w:t>
            </w:r>
            <w:r>
              <w:rPr>
                <w:rFonts w:hint="eastAsia" w:ascii="方正仿宋_GB2312" w:hAnsi="方正仿宋_GB2312" w:eastAsia="方正仿宋_GB2312" w:cs="方正仿宋_GB2312"/>
                <w:color w:val="auto"/>
                <w:spacing w:val="-1"/>
                <w:sz w:val="24"/>
                <w:szCs w:val="24"/>
                <w:highlight w:val="none"/>
                <w:lang w:val="en-US" w:eastAsia="zh-CN"/>
              </w:rPr>
              <w:t>8</w:t>
            </w:r>
            <w:r>
              <w:rPr>
                <w:rFonts w:hint="eastAsia" w:ascii="方正仿宋_GB2312" w:hAnsi="方正仿宋_GB2312" w:eastAsia="方正仿宋_GB2312" w:cs="方正仿宋_GB2312"/>
                <w:color w:val="auto"/>
                <w:spacing w:val="-1"/>
                <w:sz w:val="24"/>
                <w:szCs w:val="24"/>
                <w:highlight w:val="none"/>
              </w:rPr>
              <w:t>分，</w:t>
            </w:r>
            <w:r>
              <w:rPr>
                <w:rFonts w:hint="eastAsia" w:ascii="方正仿宋_GB2312" w:hAnsi="方正仿宋_GB2312" w:eastAsia="方正仿宋_GB2312" w:cs="方正仿宋_GB2312"/>
                <w:color w:val="auto"/>
                <w:spacing w:val="-1"/>
                <w:sz w:val="24"/>
                <w:szCs w:val="24"/>
                <w:highlight w:val="none"/>
                <w:lang w:val="en-US" w:eastAsia="zh-CN"/>
              </w:rPr>
              <w:t>以上4项</w:t>
            </w:r>
            <w:r>
              <w:rPr>
                <w:rFonts w:hint="eastAsia" w:ascii="方正仿宋_GB2312" w:hAnsi="方正仿宋_GB2312" w:eastAsia="方正仿宋_GB2312" w:cs="方正仿宋_GB2312"/>
                <w:color w:val="auto"/>
                <w:spacing w:val="-1"/>
                <w:sz w:val="24"/>
                <w:szCs w:val="24"/>
                <w:highlight w:val="none"/>
              </w:rPr>
              <w:t>方案内容完整性</w:t>
            </w:r>
            <w:r>
              <w:rPr>
                <w:rFonts w:hint="eastAsia" w:ascii="方正仿宋_GB2312" w:hAnsi="方正仿宋_GB2312" w:eastAsia="方正仿宋_GB2312" w:cs="方正仿宋_GB2312"/>
                <w:color w:val="auto"/>
                <w:spacing w:val="-1"/>
                <w:sz w:val="24"/>
                <w:szCs w:val="24"/>
                <w:highlight w:val="none"/>
                <w:lang w:val="en-US" w:eastAsia="zh-CN"/>
              </w:rPr>
              <w:t>且</w:t>
            </w:r>
            <w:r>
              <w:rPr>
                <w:rFonts w:hint="eastAsia" w:ascii="方正仿宋_GB2312" w:hAnsi="方正仿宋_GB2312" w:eastAsia="方正仿宋_GB2312" w:cs="方正仿宋_GB2312"/>
                <w:color w:val="auto"/>
                <w:spacing w:val="-1"/>
                <w:sz w:val="24"/>
                <w:szCs w:val="24"/>
                <w:highlight w:val="none"/>
              </w:rPr>
              <w:t>符合本项目实际</w:t>
            </w:r>
            <w:r>
              <w:rPr>
                <w:rFonts w:hint="eastAsia" w:ascii="方正仿宋_GB2312" w:hAnsi="方正仿宋_GB2312" w:eastAsia="方正仿宋_GB2312" w:cs="方正仿宋_GB2312"/>
                <w:color w:val="auto"/>
                <w:spacing w:val="-1"/>
                <w:sz w:val="24"/>
                <w:szCs w:val="24"/>
                <w:highlight w:val="none"/>
                <w:lang w:val="en-US" w:eastAsia="zh-CN"/>
              </w:rPr>
              <w:t>每项得2</w:t>
            </w:r>
            <w:r>
              <w:rPr>
                <w:rFonts w:hint="eastAsia" w:ascii="方正仿宋_GB2312" w:hAnsi="方正仿宋_GB2312" w:eastAsia="方正仿宋_GB2312" w:cs="方正仿宋_GB2312"/>
                <w:color w:val="auto"/>
                <w:spacing w:val="-1"/>
                <w:sz w:val="24"/>
                <w:szCs w:val="24"/>
                <w:highlight w:val="none"/>
              </w:rPr>
              <w:t>分，每有一项表述混乱或不完善</w:t>
            </w:r>
            <w:r>
              <w:rPr>
                <w:rFonts w:hint="eastAsia" w:ascii="方正仿宋_GB2312" w:hAnsi="方正仿宋_GB2312" w:eastAsia="方正仿宋_GB2312" w:cs="方正仿宋_GB2312"/>
                <w:color w:val="auto"/>
                <w:spacing w:val="-1"/>
                <w:sz w:val="24"/>
                <w:szCs w:val="24"/>
                <w:highlight w:val="none"/>
                <w:lang w:val="en-US" w:eastAsia="zh-CN"/>
              </w:rPr>
              <w:t>扣1</w:t>
            </w:r>
            <w:r>
              <w:rPr>
                <w:rFonts w:hint="eastAsia" w:ascii="方正仿宋_GB2312" w:hAnsi="方正仿宋_GB2312" w:eastAsia="方正仿宋_GB2312" w:cs="方正仿宋_GB2312"/>
                <w:color w:val="auto"/>
                <w:spacing w:val="-1"/>
                <w:sz w:val="24"/>
                <w:szCs w:val="24"/>
                <w:highlight w:val="none"/>
              </w:rPr>
              <w:t>分如有一项缺失的不得分，未提供不得分。 （缺陷是指：内容描述不清晰、配置不科学、与本项目采购标的无关、方案内容前后不一致、前后逻辑错误、涉及的相关规范及标准错误、地点区域错误、内容缺失、只有简单描述无实质性内容）。</w:t>
            </w:r>
          </w:p>
        </w:tc>
        <w:tc>
          <w:tcPr>
            <w:tcW w:w="581" w:type="dxa"/>
            <w:noWrap w:val="0"/>
            <w:vAlign w:val="center"/>
          </w:tcPr>
          <w:p w14:paraId="41FF0E13">
            <w:pPr>
              <w:pStyle w:val="132"/>
              <w:keepNext/>
              <w:keepLines/>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left"/>
              <w:textAlignment w:val="baseline"/>
              <w:rPr>
                <w:rFonts w:hint="eastAsia" w:ascii="方正仿宋_GB2312" w:hAnsi="方正仿宋_GB2312" w:eastAsia="方正仿宋_GB2312" w:cs="方正仿宋_GB2312"/>
                <w:color w:val="auto"/>
                <w:sz w:val="24"/>
                <w:szCs w:val="24"/>
                <w:highlight w:val="none"/>
              </w:rPr>
            </w:pPr>
          </w:p>
        </w:tc>
      </w:tr>
      <w:tr w14:paraId="67D4AA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49" w:type="dxa"/>
            <w:vMerge w:val="continue"/>
            <w:noWrap w:val="0"/>
            <w:vAlign w:val="center"/>
          </w:tcPr>
          <w:p w14:paraId="798373D9">
            <w:pPr>
              <w:pStyle w:val="132"/>
              <w:keepNext/>
              <w:snapToGrid w:val="0"/>
              <w:spacing w:line="240" w:lineRule="auto"/>
              <w:ind w:left="0" w:leftChars="0" w:right="0" w:rightChars="0" w:firstLine="0" w:firstLineChars="0"/>
              <w:jc w:val="center"/>
              <w:rPr>
                <w:rFonts w:hint="eastAsia" w:ascii="方正仿宋_GB2312" w:hAnsi="方正仿宋_GB2312" w:eastAsia="方正仿宋_GB2312" w:cs="方正仿宋_GB2312"/>
                <w:color w:val="auto"/>
                <w:sz w:val="24"/>
                <w:szCs w:val="24"/>
                <w:highlight w:val="none"/>
              </w:rPr>
            </w:pPr>
          </w:p>
        </w:tc>
        <w:tc>
          <w:tcPr>
            <w:tcW w:w="650" w:type="dxa"/>
            <w:noWrap w:val="0"/>
            <w:vAlign w:val="center"/>
          </w:tcPr>
          <w:p w14:paraId="0B1E811F">
            <w:pPr>
              <w:keepNext/>
              <w:snapToGrid w:val="0"/>
              <w:spacing w:before="52" w:line="240" w:lineRule="auto"/>
              <w:ind w:left="0" w:leftChars="0" w:right="0" w:rightChars="0" w:firstLine="0" w:firstLineChars="0"/>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pacing w:val="-2"/>
                <w:sz w:val="24"/>
                <w:szCs w:val="24"/>
                <w:highlight w:val="none"/>
              </w:rPr>
              <w:t>售后服务方案</w:t>
            </w:r>
          </w:p>
          <w:p w14:paraId="3E38FA26">
            <w:pPr>
              <w:keepNext/>
              <w:snapToGrid w:val="0"/>
              <w:spacing w:line="240" w:lineRule="auto"/>
              <w:ind w:left="0" w:leftChars="0" w:right="0" w:rightChars="0" w:firstLine="0" w:firstLineChars="0"/>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pacing w:val="-13"/>
                <w:sz w:val="24"/>
                <w:szCs w:val="24"/>
                <w:highlight w:val="none"/>
              </w:rPr>
              <w:t>（</w:t>
            </w:r>
            <w:r>
              <w:rPr>
                <w:rFonts w:hint="eastAsia" w:ascii="方正仿宋_GB2312" w:hAnsi="方正仿宋_GB2312" w:eastAsia="方正仿宋_GB2312" w:cs="方正仿宋_GB2312"/>
                <w:color w:val="auto"/>
                <w:spacing w:val="-13"/>
                <w:sz w:val="24"/>
                <w:szCs w:val="24"/>
                <w:highlight w:val="none"/>
                <w:lang w:val="en-US" w:eastAsia="zh-CN"/>
              </w:rPr>
              <w:t>8</w:t>
            </w:r>
            <w:r>
              <w:rPr>
                <w:rFonts w:hint="eastAsia" w:ascii="方正仿宋_GB2312" w:hAnsi="方正仿宋_GB2312" w:eastAsia="方正仿宋_GB2312" w:cs="方正仿宋_GB2312"/>
                <w:color w:val="auto"/>
                <w:spacing w:val="-13"/>
                <w:sz w:val="24"/>
                <w:szCs w:val="24"/>
                <w:highlight w:val="none"/>
              </w:rPr>
              <w:t>分)</w:t>
            </w:r>
          </w:p>
        </w:tc>
        <w:tc>
          <w:tcPr>
            <w:tcW w:w="6642" w:type="dxa"/>
            <w:noWrap w:val="0"/>
            <w:vAlign w:val="center"/>
          </w:tcPr>
          <w:p w14:paraId="5171E5B8">
            <w:pPr>
              <w:keepNext/>
              <w:keepLines w:val="0"/>
              <w:pageBreakBefore w:val="0"/>
              <w:widowControl/>
              <w:kinsoku/>
              <w:wordWrap/>
              <w:overflowPunct/>
              <w:topLinePunct w:val="0"/>
              <w:autoSpaceDE/>
              <w:autoSpaceDN/>
              <w:bidi w:val="0"/>
              <w:adjustRightInd/>
              <w:snapToGrid w:val="0"/>
              <w:spacing w:before="17" w:line="240" w:lineRule="exact"/>
              <w:ind w:left="0" w:leftChars="0" w:right="0" w:rightChars="0" w:firstLine="0" w:firstLineChars="0"/>
              <w:jc w:val="left"/>
              <w:textAlignment w:val="baseline"/>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pacing w:val="-1"/>
                <w:sz w:val="24"/>
                <w:szCs w:val="24"/>
                <w:highlight w:val="none"/>
                <w:lang w:val="en-US" w:eastAsia="zh-CN"/>
              </w:rPr>
              <w:t>投标人针对本项目的情况编制详细的售后服务方案</w:t>
            </w:r>
            <w:r>
              <w:rPr>
                <w:rFonts w:hint="eastAsia" w:ascii="方正仿宋_GB2312" w:hAnsi="方正仿宋_GB2312" w:eastAsia="方正仿宋_GB2312" w:cs="方正仿宋_GB2312"/>
                <w:color w:val="auto"/>
                <w:spacing w:val="-1"/>
                <w:sz w:val="24"/>
                <w:szCs w:val="24"/>
                <w:highlight w:val="none"/>
                <w:lang w:eastAsia="zh-CN"/>
              </w:rPr>
              <w:t>（</w:t>
            </w:r>
            <w:r>
              <w:rPr>
                <w:rFonts w:hint="eastAsia" w:ascii="方正仿宋_GB2312" w:hAnsi="方正仿宋_GB2312" w:eastAsia="方正仿宋_GB2312" w:cs="方正仿宋_GB2312"/>
                <w:color w:val="auto"/>
                <w:spacing w:val="-1"/>
                <w:sz w:val="24"/>
                <w:szCs w:val="24"/>
                <w:highlight w:val="none"/>
                <w:lang w:val="en-US" w:eastAsia="zh-CN"/>
              </w:rPr>
              <w:t>包含但不限于</w:t>
            </w:r>
            <w:r>
              <w:rPr>
                <w:rFonts w:hint="eastAsia" w:ascii="方正仿宋_GB2312" w:hAnsi="方正仿宋_GB2312" w:eastAsia="方正仿宋_GB2312" w:cs="方正仿宋_GB2312"/>
                <w:color w:val="auto"/>
                <w:spacing w:val="-1"/>
                <w:sz w:val="24"/>
                <w:szCs w:val="24"/>
                <w:highlight w:val="none"/>
                <w:lang w:eastAsia="zh-CN"/>
              </w:rPr>
              <w:t>）</w:t>
            </w:r>
            <w:r>
              <w:rPr>
                <w:rFonts w:hint="eastAsia" w:ascii="方正仿宋_GB2312" w:hAnsi="方正仿宋_GB2312" w:eastAsia="方正仿宋_GB2312" w:cs="方正仿宋_GB2312"/>
                <w:color w:val="auto"/>
                <w:spacing w:val="-1"/>
                <w:sz w:val="24"/>
                <w:szCs w:val="24"/>
                <w:highlight w:val="none"/>
                <w:lang w:val="en-US" w:eastAsia="zh-CN"/>
              </w:rPr>
              <w:t>：①售后保障措施与总体承诺；②质保期内、外服务计划；③备品备件；④产品的故障处理及响应方案、售后服务网点证明。以上4项内容完整满足采购需求且合理可行得8分，每有一项表述混乱或不完善扣1分，如有一项缺失的不得分，未提供不得分。</w:t>
            </w:r>
          </w:p>
        </w:tc>
        <w:tc>
          <w:tcPr>
            <w:tcW w:w="581" w:type="dxa"/>
            <w:noWrap w:val="0"/>
            <w:vAlign w:val="center"/>
          </w:tcPr>
          <w:p w14:paraId="3F32792B">
            <w:pPr>
              <w:pStyle w:val="132"/>
              <w:keepNext/>
              <w:snapToGrid w:val="0"/>
              <w:spacing w:line="240" w:lineRule="auto"/>
              <w:ind w:left="0" w:leftChars="0" w:right="0" w:rightChars="0" w:firstLine="0" w:firstLineChars="0"/>
              <w:jc w:val="left"/>
              <w:rPr>
                <w:rFonts w:hint="eastAsia" w:ascii="方正仿宋_GB2312" w:hAnsi="方正仿宋_GB2312" w:eastAsia="方正仿宋_GB2312" w:cs="方正仿宋_GB2312"/>
                <w:color w:val="auto"/>
                <w:sz w:val="24"/>
                <w:szCs w:val="24"/>
                <w:highlight w:val="none"/>
              </w:rPr>
            </w:pPr>
          </w:p>
        </w:tc>
      </w:tr>
      <w:tr w14:paraId="0C979F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49" w:type="dxa"/>
            <w:vMerge w:val="continue"/>
            <w:tcBorders>
              <w:bottom w:val="single" w:color="000000" w:sz="4" w:space="0"/>
            </w:tcBorders>
            <w:noWrap w:val="0"/>
            <w:vAlign w:val="center"/>
          </w:tcPr>
          <w:p w14:paraId="017EA4DC">
            <w:pPr>
              <w:keepNext/>
              <w:snapToGrid w:val="0"/>
              <w:spacing w:before="18" w:line="240" w:lineRule="auto"/>
              <w:ind w:left="0" w:leftChars="0" w:right="0" w:rightChars="0" w:firstLine="0" w:firstLineChars="0"/>
              <w:jc w:val="center"/>
              <w:rPr>
                <w:rFonts w:hint="eastAsia" w:ascii="方正仿宋_GB2312" w:hAnsi="方正仿宋_GB2312" w:eastAsia="方正仿宋_GB2312" w:cs="方正仿宋_GB2312"/>
                <w:color w:val="auto"/>
                <w:spacing w:val="-6"/>
                <w:sz w:val="24"/>
                <w:szCs w:val="24"/>
                <w:highlight w:val="none"/>
              </w:rPr>
            </w:pPr>
          </w:p>
        </w:tc>
        <w:tc>
          <w:tcPr>
            <w:tcW w:w="650" w:type="dxa"/>
            <w:tcBorders>
              <w:bottom w:val="single" w:color="000000" w:sz="4" w:space="0"/>
            </w:tcBorders>
            <w:noWrap w:val="0"/>
            <w:vAlign w:val="center"/>
          </w:tcPr>
          <w:p w14:paraId="44276149">
            <w:pPr>
              <w:keepNext/>
              <w:snapToGrid w:val="0"/>
              <w:spacing w:before="52" w:line="240" w:lineRule="auto"/>
              <w:ind w:left="0" w:leftChars="0" w:right="0" w:rightChars="0" w:firstLine="0" w:firstLineChars="0"/>
              <w:jc w:val="left"/>
              <w:rPr>
                <w:rFonts w:hint="eastAsia" w:ascii="方正仿宋_GB2312" w:hAnsi="方正仿宋_GB2312" w:eastAsia="方正仿宋_GB2312" w:cs="方正仿宋_GB2312"/>
                <w:color w:val="auto"/>
                <w:spacing w:val="-2"/>
                <w:sz w:val="24"/>
                <w:szCs w:val="24"/>
                <w:highlight w:val="none"/>
                <w:lang w:eastAsia="zh-CN"/>
              </w:rPr>
            </w:pPr>
            <w:r>
              <w:rPr>
                <w:rFonts w:hint="eastAsia" w:ascii="方正仿宋_GB2312" w:hAnsi="方正仿宋_GB2312" w:eastAsia="方正仿宋_GB2312" w:cs="方正仿宋_GB2312"/>
                <w:color w:val="auto"/>
                <w:spacing w:val="-2"/>
                <w:sz w:val="24"/>
                <w:szCs w:val="24"/>
                <w:highlight w:val="none"/>
              </w:rPr>
              <w:t>培训方案</w:t>
            </w:r>
            <w:r>
              <w:rPr>
                <w:rFonts w:hint="eastAsia" w:ascii="方正仿宋_GB2312" w:hAnsi="方正仿宋_GB2312" w:eastAsia="方正仿宋_GB2312" w:cs="方正仿宋_GB2312"/>
                <w:color w:val="auto"/>
                <w:spacing w:val="-2"/>
                <w:sz w:val="24"/>
                <w:szCs w:val="24"/>
                <w:highlight w:val="none"/>
                <w:lang w:eastAsia="zh-CN"/>
              </w:rPr>
              <w:t>（</w:t>
            </w:r>
            <w:r>
              <w:rPr>
                <w:rFonts w:hint="eastAsia" w:ascii="方正仿宋_GB2312" w:hAnsi="方正仿宋_GB2312" w:eastAsia="方正仿宋_GB2312" w:cs="方正仿宋_GB2312"/>
                <w:color w:val="auto"/>
                <w:spacing w:val="-2"/>
                <w:sz w:val="24"/>
                <w:szCs w:val="24"/>
                <w:highlight w:val="none"/>
                <w:lang w:val="en-US" w:eastAsia="zh-CN"/>
              </w:rPr>
              <w:t>8分</w:t>
            </w:r>
            <w:r>
              <w:rPr>
                <w:rFonts w:hint="eastAsia" w:ascii="方正仿宋_GB2312" w:hAnsi="方正仿宋_GB2312" w:eastAsia="方正仿宋_GB2312" w:cs="方正仿宋_GB2312"/>
                <w:color w:val="auto"/>
                <w:spacing w:val="-2"/>
                <w:sz w:val="24"/>
                <w:szCs w:val="24"/>
                <w:highlight w:val="none"/>
                <w:lang w:eastAsia="zh-CN"/>
              </w:rPr>
              <w:t>）</w:t>
            </w:r>
          </w:p>
        </w:tc>
        <w:tc>
          <w:tcPr>
            <w:tcW w:w="6642" w:type="dxa"/>
            <w:noWrap w:val="0"/>
            <w:vAlign w:val="center"/>
          </w:tcPr>
          <w:p w14:paraId="2CA39BBE">
            <w:pPr>
              <w:keepNext/>
              <w:keepLines w:val="0"/>
              <w:pageBreakBefore w:val="0"/>
              <w:widowControl/>
              <w:kinsoku/>
              <w:wordWrap/>
              <w:overflowPunct/>
              <w:topLinePunct w:val="0"/>
              <w:autoSpaceDE/>
              <w:autoSpaceDN/>
              <w:bidi w:val="0"/>
              <w:adjustRightInd/>
              <w:snapToGrid w:val="0"/>
              <w:spacing w:before="195" w:line="240" w:lineRule="exact"/>
              <w:ind w:left="0" w:leftChars="0" w:right="0" w:rightChars="0" w:firstLine="0" w:firstLineChars="0"/>
              <w:jc w:val="left"/>
              <w:textAlignment w:val="baseline"/>
              <w:rPr>
                <w:rFonts w:hint="eastAsia" w:ascii="方正仿宋_GB2312" w:hAnsi="方正仿宋_GB2312" w:eastAsia="方正仿宋_GB2312" w:cs="方正仿宋_GB2312"/>
                <w:color w:val="auto"/>
                <w:spacing w:val="-3"/>
                <w:sz w:val="24"/>
                <w:szCs w:val="24"/>
                <w:highlight w:val="none"/>
              </w:rPr>
            </w:pPr>
            <w:r>
              <w:rPr>
                <w:rFonts w:hint="eastAsia" w:ascii="方正仿宋_GB2312" w:hAnsi="方正仿宋_GB2312" w:eastAsia="方正仿宋_GB2312" w:cs="方正仿宋_GB2312"/>
                <w:color w:val="auto"/>
                <w:spacing w:val="-3"/>
                <w:sz w:val="24"/>
                <w:szCs w:val="24"/>
                <w:highlight w:val="none"/>
                <w:lang w:val="en-US" w:eastAsia="zh-CN"/>
              </w:rPr>
              <w:t>投</w:t>
            </w:r>
            <w:r>
              <w:rPr>
                <w:rFonts w:hint="eastAsia" w:ascii="方正仿宋_GB2312" w:hAnsi="方正仿宋_GB2312" w:eastAsia="方正仿宋_GB2312" w:cs="方正仿宋_GB2312"/>
                <w:color w:val="auto"/>
                <w:spacing w:val="-3"/>
                <w:sz w:val="24"/>
                <w:szCs w:val="24"/>
                <w:highlight w:val="none"/>
              </w:rPr>
              <w:t>标人根据本项目特点对甲方操作及维修技术人员进行培训，提供项目培训方案文本，包括但不限于：1.培训计划；2.培训人员配置；3.设备设施使用方法培训</w:t>
            </w:r>
            <w:r>
              <w:rPr>
                <w:rFonts w:hint="eastAsia" w:ascii="方正仿宋_GB2312" w:hAnsi="方正仿宋_GB2312" w:eastAsia="方正仿宋_GB2312" w:cs="方正仿宋_GB2312"/>
                <w:color w:val="auto"/>
                <w:spacing w:val="-3"/>
                <w:sz w:val="24"/>
                <w:szCs w:val="24"/>
                <w:highlight w:val="none"/>
                <w:lang w:eastAsia="zh-CN"/>
              </w:rPr>
              <w:t>（</w:t>
            </w:r>
            <w:r>
              <w:rPr>
                <w:rFonts w:hint="eastAsia" w:ascii="方正仿宋_GB2312" w:hAnsi="方正仿宋_GB2312" w:eastAsia="方正仿宋_GB2312" w:cs="方正仿宋_GB2312"/>
                <w:color w:val="auto"/>
                <w:spacing w:val="-3"/>
                <w:sz w:val="24"/>
                <w:szCs w:val="24"/>
                <w:highlight w:val="none"/>
                <w:lang w:val="en-US" w:eastAsia="zh-CN"/>
              </w:rPr>
              <w:t>含</w:t>
            </w:r>
            <w:r>
              <w:rPr>
                <w:rFonts w:hint="eastAsia" w:ascii="方正仿宋_GB2312" w:hAnsi="方正仿宋_GB2312" w:eastAsia="方正仿宋_GB2312" w:cs="方正仿宋_GB2312"/>
                <w:color w:val="auto"/>
                <w:spacing w:val="-3"/>
                <w:sz w:val="24"/>
                <w:szCs w:val="24"/>
                <w:highlight w:val="none"/>
              </w:rPr>
              <w:t>设备日常维护保养</w:t>
            </w:r>
            <w:r>
              <w:rPr>
                <w:rFonts w:hint="eastAsia" w:ascii="方正仿宋_GB2312" w:hAnsi="方正仿宋_GB2312" w:eastAsia="方正仿宋_GB2312" w:cs="方正仿宋_GB2312"/>
                <w:color w:val="auto"/>
                <w:spacing w:val="-3"/>
                <w:sz w:val="24"/>
                <w:szCs w:val="24"/>
                <w:highlight w:val="none"/>
                <w:lang w:eastAsia="zh-CN"/>
              </w:rPr>
              <w:t>）</w:t>
            </w:r>
            <w:r>
              <w:rPr>
                <w:rFonts w:hint="eastAsia" w:ascii="方正仿宋_GB2312" w:hAnsi="方正仿宋_GB2312" w:eastAsia="方正仿宋_GB2312" w:cs="方正仿宋_GB2312"/>
                <w:color w:val="auto"/>
                <w:spacing w:val="-3"/>
                <w:sz w:val="24"/>
                <w:szCs w:val="24"/>
                <w:highlight w:val="none"/>
              </w:rPr>
              <w:t>；</w:t>
            </w:r>
            <w:r>
              <w:rPr>
                <w:rFonts w:hint="eastAsia" w:ascii="方正仿宋_GB2312" w:hAnsi="方正仿宋_GB2312" w:eastAsia="方正仿宋_GB2312" w:cs="方正仿宋_GB2312"/>
                <w:color w:val="auto"/>
                <w:spacing w:val="-3"/>
                <w:sz w:val="24"/>
                <w:szCs w:val="24"/>
                <w:highlight w:val="none"/>
                <w:lang w:val="en-US" w:eastAsia="zh-CN"/>
              </w:rPr>
              <w:t>4</w:t>
            </w:r>
            <w:r>
              <w:rPr>
                <w:rFonts w:hint="eastAsia" w:ascii="方正仿宋_GB2312" w:hAnsi="方正仿宋_GB2312" w:eastAsia="方正仿宋_GB2312" w:cs="方正仿宋_GB2312"/>
                <w:color w:val="auto"/>
                <w:spacing w:val="-3"/>
                <w:sz w:val="24"/>
                <w:szCs w:val="24"/>
                <w:highlight w:val="none"/>
              </w:rPr>
              <w:t>.设备常见故障的排查及简单维修等。</w:t>
            </w:r>
          </w:p>
          <w:p w14:paraId="7C5374F4">
            <w:pPr>
              <w:keepNext/>
              <w:keepLines w:val="0"/>
              <w:pageBreakBefore w:val="0"/>
              <w:widowControl/>
              <w:kinsoku/>
              <w:wordWrap/>
              <w:overflowPunct/>
              <w:topLinePunct w:val="0"/>
              <w:autoSpaceDE/>
              <w:autoSpaceDN/>
              <w:bidi w:val="0"/>
              <w:adjustRightInd/>
              <w:snapToGrid w:val="0"/>
              <w:spacing w:before="195" w:line="240" w:lineRule="exact"/>
              <w:ind w:left="0" w:leftChars="0" w:right="0" w:rightChars="0" w:firstLine="0" w:firstLineChars="0"/>
              <w:jc w:val="left"/>
              <w:textAlignment w:val="baseline"/>
              <w:rPr>
                <w:rFonts w:hint="eastAsia" w:ascii="方正仿宋_GB2312" w:hAnsi="方正仿宋_GB2312" w:eastAsia="方正仿宋_GB2312" w:cs="方正仿宋_GB2312"/>
                <w:color w:val="auto"/>
                <w:spacing w:val="-3"/>
                <w:sz w:val="24"/>
                <w:szCs w:val="24"/>
                <w:highlight w:val="none"/>
              </w:rPr>
            </w:pPr>
            <w:r>
              <w:rPr>
                <w:rFonts w:hint="eastAsia" w:ascii="方正仿宋_GB2312" w:hAnsi="方正仿宋_GB2312" w:eastAsia="方正仿宋_GB2312" w:cs="方正仿宋_GB2312"/>
                <w:color w:val="auto"/>
                <w:sz w:val="24"/>
                <w:szCs w:val="24"/>
                <w:highlight w:val="none"/>
                <w:lang w:val="en-US" w:eastAsia="zh-CN"/>
              </w:rPr>
              <w:t>评</w:t>
            </w:r>
            <w:r>
              <w:rPr>
                <w:rFonts w:hint="eastAsia" w:ascii="方正仿宋_GB2312" w:hAnsi="方正仿宋_GB2312" w:eastAsia="方正仿宋_GB2312" w:cs="方正仿宋_GB2312"/>
                <w:color w:val="auto"/>
                <w:sz w:val="24"/>
                <w:szCs w:val="24"/>
                <w:highlight w:val="none"/>
              </w:rPr>
              <w:t>标委员会根据各投标人方案内容完整性和是否符合本项目实际进行评审，评审内容包含以上</w:t>
            </w:r>
            <w:r>
              <w:rPr>
                <w:rFonts w:hint="eastAsia" w:ascii="方正仿宋_GB2312" w:hAnsi="方正仿宋_GB2312" w:eastAsia="方正仿宋_GB2312" w:cs="方正仿宋_GB2312"/>
                <w:color w:val="auto"/>
                <w:sz w:val="24"/>
                <w:szCs w:val="24"/>
                <w:highlight w:val="none"/>
                <w:lang w:val="en-US" w:eastAsia="zh-CN"/>
              </w:rPr>
              <w:t>4</w:t>
            </w:r>
            <w:r>
              <w:rPr>
                <w:rFonts w:hint="eastAsia" w:ascii="方正仿宋_GB2312" w:hAnsi="方正仿宋_GB2312" w:eastAsia="方正仿宋_GB2312" w:cs="方正仿宋_GB2312"/>
                <w:color w:val="auto"/>
                <w:sz w:val="24"/>
                <w:szCs w:val="24"/>
                <w:highlight w:val="none"/>
              </w:rPr>
              <w:t>项，内容完整且符合项目实际得</w:t>
            </w:r>
            <w:r>
              <w:rPr>
                <w:rFonts w:hint="eastAsia" w:ascii="方正仿宋_GB2312" w:hAnsi="方正仿宋_GB2312" w:eastAsia="方正仿宋_GB2312" w:cs="方正仿宋_GB2312"/>
                <w:color w:val="auto"/>
                <w:sz w:val="24"/>
                <w:szCs w:val="24"/>
                <w:highlight w:val="none"/>
                <w:lang w:val="en-US" w:eastAsia="zh-CN"/>
              </w:rPr>
              <w:t>8</w:t>
            </w:r>
            <w:r>
              <w:rPr>
                <w:rFonts w:hint="eastAsia" w:ascii="方正仿宋_GB2312" w:hAnsi="方正仿宋_GB2312" w:eastAsia="方正仿宋_GB2312" w:cs="方正仿宋_GB2312"/>
                <w:color w:val="auto"/>
                <w:sz w:val="24"/>
                <w:szCs w:val="24"/>
                <w:highlight w:val="none"/>
              </w:rPr>
              <w:t>分，每有一项表述混乱或不完善扣1分</w:t>
            </w:r>
            <w:r>
              <w:rPr>
                <w:rFonts w:hint="eastAsia" w:ascii="方正仿宋_GB2312" w:hAnsi="方正仿宋_GB2312" w:eastAsia="方正仿宋_GB2312" w:cs="方正仿宋_GB2312"/>
                <w:color w:val="auto"/>
                <w:sz w:val="24"/>
                <w:szCs w:val="24"/>
                <w:highlight w:val="none"/>
                <w:lang w:eastAsia="zh-CN"/>
              </w:rPr>
              <w:t>，</w:t>
            </w:r>
            <w:r>
              <w:rPr>
                <w:rFonts w:hint="eastAsia" w:ascii="方正仿宋_GB2312" w:hAnsi="方正仿宋_GB2312" w:eastAsia="方正仿宋_GB2312" w:cs="方正仿宋_GB2312"/>
                <w:color w:val="auto"/>
                <w:sz w:val="24"/>
                <w:szCs w:val="24"/>
                <w:highlight w:val="none"/>
              </w:rPr>
              <w:t>如有一项缺失的不得分，未提供不得分。 （缺陷是指：内容描述不清晰、配置不科学、与本项目采购标的无关、方案内容前后不一致、前后逻辑错误、涉及的相关规范及标准错误、地点区域错误、内容缺失、只有简单描述无实质性内容）</w:t>
            </w:r>
          </w:p>
        </w:tc>
        <w:tc>
          <w:tcPr>
            <w:tcW w:w="581" w:type="dxa"/>
            <w:noWrap w:val="0"/>
            <w:vAlign w:val="center"/>
          </w:tcPr>
          <w:p w14:paraId="4C97F1EE">
            <w:pPr>
              <w:pStyle w:val="132"/>
              <w:keepNext/>
              <w:snapToGrid w:val="0"/>
              <w:spacing w:line="240" w:lineRule="auto"/>
              <w:ind w:left="0" w:leftChars="0" w:right="0" w:rightChars="0" w:firstLine="0" w:firstLineChars="0"/>
              <w:jc w:val="left"/>
              <w:rPr>
                <w:rFonts w:hint="eastAsia" w:ascii="方正仿宋_GB2312" w:hAnsi="方正仿宋_GB2312" w:eastAsia="方正仿宋_GB2312" w:cs="方正仿宋_GB2312"/>
                <w:color w:val="auto"/>
                <w:sz w:val="24"/>
                <w:szCs w:val="24"/>
                <w:highlight w:val="none"/>
                <w:lang w:val="en-US" w:eastAsia="zh-CN"/>
              </w:rPr>
            </w:pPr>
          </w:p>
        </w:tc>
      </w:tr>
      <w:tr w14:paraId="337A9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941" w:type="dxa"/>
            <w:gridSpan w:val="3"/>
            <w:noWrap w:val="0"/>
            <w:vAlign w:val="center"/>
          </w:tcPr>
          <w:p w14:paraId="6620A9D3">
            <w:pPr>
              <w:keepNext/>
              <w:snapToGrid w:val="0"/>
              <w:spacing w:before="87" w:line="240" w:lineRule="auto"/>
              <w:ind w:left="0" w:leftChars="0" w:right="0" w:rightChars="0" w:firstLine="0" w:firstLineChars="0"/>
              <w:jc w:val="center"/>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pacing w:val="-3"/>
                <w:sz w:val="24"/>
                <w:szCs w:val="24"/>
                <w:highlight w:val="none"/>
              </w:rPr>
              <w:t>最</w:t>
            </w:r>
            <w:r>
              <w:rPr>
                <w:rFonts w:hint="eastAsia" w:ascii="方正仿宋_GB2312" w:hAnsi="方正仿宋_GB2312" w:eastAsia="方正仿宋_GB2312" w:cs="方正仿宋_GB2312"/>
                <w:color w:val="auto"/>
                <w:spacing w:val="-3"/>
                <w:sz w:val="24"/>
                <w:szCs w:val="24"/>
                <w:highlight w:val="none"/>
                <w:lang w:val="en-US" w:eastAsia="zh-CN"/>
              </w:rPr>
              <w:t>终</w:t>
            </w:r>
            <w:r>
              <w:rPr>
                <w:rFonts w:hint="eastAsia" w:ascii="方正仿宋_GB2312" w:hAnsi="方正仿宋_GB2312" w:eastAsia="方正仿宋_GB2312" w:cs="方正仿宋_GB2312"/>
                <w:color w:val="auto"/>
                <w:spacing w:val="-3"/>
                <w:sz w:val="24"/>
                <w:szCs w:val="24"/>
                <w:highlight w:val="none"/>
              </w:rPr>
              <w:t>得分</w:t>
            </w:r>
          </w:p>
        </w:tc>
        <w:tc>
          <w:tcPr>
            <w:tcW w:w="581" w:type="dxa"/>
            <w:noWrap w:val="0"/>
            <w:vAlign w:val="center"/>
          </w:tcPr>
          <w:p w14:paraId="4B95FCC2">
            <w:pPr>
              <w:pStyle w:val="132"/>
              <w:keepNext/>
              <w:snapToGrid w:val="0"/>
              <w:spacing w:line="240" w:lineRule="auto"/>
              <w:ind w:left="0" w:leftChars="0" w:right="0" w:rightChars="0" w:firstLine="0" w:firstLineChars="0"/>
              <w:jc w:val="left"/>
              <w:rPr>
                <w:rFonts w:hint="eastAsia" w:ascii="方正仿宋_GB2312" w:hAnsi="方正仿宋_GB2312" w:eastAsia="方正仿宋_GB2312" w:cs="方正仿宋_GB2312"/>
                <w:color w:val="auto"/>
                <w:sz w:val="24"/>
                <w:szCs w:val="24"/>
                <w:highlight w:val="none"/>
              </w:rPr>
            </w:pPr>
          </w:p>
        </w:tc>
      </w:tr>
    </w:tbl>
    <w:p w14:paraId="52D87DE5">
      <w:pPr>
        <w:rPr>
          <w:rFonts w:hint="eastAsia" w:ascii="仿宋_GB2312" w:hAnsi="仿宋_GB2312" w:eastAsia="仿宋_GB2312" w:cs="仿宋_GB2312"/>
          <w:b/>
          <w:color w:val="000000" w:themeColor="text1"/>
          <w:sz w:val="52"/>
          <w:szCs w:val="52"/>
          <w:highlight w:val="none"/>
          <w14:textFill>
            <w14:solidFill>
              <w14:schemeClr w14:val="tx1"/>
            </w14:solidFill>
          </w14:textFill>
        </w:rPr>
      </w:pPr>
      <w:r>
        <w:rPr>
          <w:rFonts w:hint="eastAsia" w:ascii="仿宋_GB2312" w:hAnsi="仿宋_GB2312" w:eastAsia="仿宋_GB2312" w:cs="仿宋_GB2312"/>
          <w:b/>
          <w:color w:val="000000" w:themeColor="text1"/>
          <w:sz w:val="52"/>
          <w:szCs w:val="52"/>
          <w:highlight w:val="none"/>
          <w14:textFill>
            <w14:solidFill>
              <w14:schemeClr w14:val="tx1"/>
            </w14:solidFill>
          </w14:textFill>
        </w:rPr>
        <w:br w:type="page"/>
      </w:r>
    </w:p>
    <w:p w14:paraId="4D4AA959">
      <w:pPr>
        <w:keepNext w:val="0"/>
        <w:keepLines w:val="0"/>
        <w:pageBreakBefore w:val="0"/>
        <w:widowControl w:val="0"/>
        <w:wordWrap/>
        <w:overflowPunct/>
        <w:topLinePunct w:val="0"/>
        <w:bidi w:val="0"/>
        <w:snapToGrid w:val="0"/>
        <w:spacing w:line="240" w:lineRule="atLeast"/>
        <w:ind w:left="1080" w:leftChars="257" w:hanging="540"/>
        <w:jc w:val="center"/>
        <w:rPr>
          <w:rStyle w:val="37"/>
          <w:rFonts w:hint="eastAsia" w:ascii="仿宋_GB2312" w:hAnsi="仿宋_GB2312" w:eastAsia="仿宋_GB2312"/>
          <w:b/>
          <w:color w:val="000000" w:themeColor="text1"/>
          <w:sz w:val="52"/>
          <w:szCs w:val="52"/>
          <w:highlight w:val="none"/>
          <w14:textFill>
            <w14:solidFill>
              <w14:schemeClr w14:val="tx1"/>
            </w14:solidFill>
          </w14:textFill>
        </w:rPr>
      </w:pPr>
      <w:r>
        <w:rPr>
          <w:rFonts w:hint="eastAsia" w:ascii="仿宋_GB2312" w:hAnsi="仿宋_GB2312" w:eastAsia="仿宋_GB2312" w:cs="仿宋_GB2312"/>
          <w:b/>
          <w:color w:val="000000" w:themeColor="text1"/>
          <w:sz w:val="52"/>
          <w:szCs w:val="52"/>
          <w:highlight w:val="none"/>
          <w14:textFill>
            <w14:solidFill>
              <w14:schemeClr w14:val="tx1"/>
            </w14:solidFill>
          </w14:textFill>
        </w:rPr>
        <w:t>伽师县学校办学能力提升项目</w:t>
      </w:r>
    </w:p>
    <w:p w14:paraId="27EC4C00">
      <w:pPr>
        <w:keepNext w:val="0"/>
        <w:keepLines w:val="0"/>
        <w:pageBreakBefore w:val="0"/>
        <w:widowControl w:val="0"/>
        <w:wordWrap/>
        <w:overflowPunct/>
        <w:topLinePunct w:val="0"/>
        <w:bidi w:val="0"/>
        <w:snapToGrid w:val="0"/>
        <w:spacing w:line="240" w:lineRule="atLeast"/>
        <w:ind w:left="1080" w:leftChars="257" w:hanging="540"/>
        <w:jc w:val="center"/>
        <w:rPr>
          <w:rStyle w:val="37"/>
          <w:rFonts w:hint="eastAsia" w:ascii="仿宋_GB2312" w:hAnsi="仿宋_GB2312" w:eastAsia="仿宋_GB2312"/>
          <w:b/>
          <w:color w:val="000000" w:themeColor="text1"/>
          <w:sz w:val="32"/>
          <w:szCs w:val="32"/>
          <w:highlight w:val="none"/>
          <w14:textFill>
            <w14:solidFill>
              <w14:schemeClr w14:val="tx1"/>
            </w14:solidFill>
          </w14:textFill>
        </w:rPr>
      </w:pPr>
      <w:r>
        <w:rPr>
          <w:rStyle w:val="37"/>
          <w:rFonts w:ascii="仿宋_GB2312" w:hAnsi="仿宋_GB2312" w:eastAsia="仿宋_GB2312"/>
          <w:b/>
          <w:color w:val="000000" w:themeColor="text1"/>
          <w:sz w:val="52"/>
          <w:szCs w:val="52"/>
          <w:highlight w:val="none"/>
          <w14:textFill>
            <w14:solidFill>
              <w14:schemeClr w14:val="tx1"/>
            </w14:solidFill>
          </w14:textFill>
        </w:rPr>
        <w:t>公开招标文件</w:t>
      </w:r>
    </w:p>
    <w:p w14:paraId="1DE5526D">
      <w:pPr>
        <w:pStyle w:val="10"/>
        <w:keepNext w:val="0"/>
        <w:keepLines w:val="0"/>
        <w:pageBreakBefore w:val="0"/>
        <w:widowControl w:val="0"/>
        <w:wordWrap/>
        <w:overflowPunct/>
        <w:topLinePunct w:val="0"/>
        <w:bidi w:val="0"/>
        <w:jc w:val="left"/>
        <w:rPr>
          <w:rFonts w:hint="eastAsia"/>
          <w:color w:val="000000" w:themeColor="text1"/>
          <w:highlight w:val="none"/>
          <w14:textFill>
            <w14:solidFill>
              <w14:schemeClr w14:val="tx1"/>
            </w14:solidFill>
          </w14:textFill>
        </w:rPr>
      </w:pPr>
    </w:p>
    <w:p w14:paraId="08474B4A">
      <w:pPr>
        <w:keepNext w:val="0"/>
        <w:keepLines w:val="0"/>
        <w:pageBreakBefore w:val="0"/>
        <w:widowControl w:val="0"/>
        <w:wordWrap/>
        <w:overflowPunct/>
        <w:topLinePunct w:val="0"/>
        <w:bidi w:val="0"/>
        <w:snapToGrid w:val="0"/>
        <w:spacing w:line="240" w:lineRule="atLeast"/>
        <w:jc w:val="left"/>
        <w:rPr>
          <w:rStyle w:val="37"/>
          <w:rFonts w:hint="eastAsia" w:ascii="仿宋_GB2312" w:hAnsi="仿宋_GB2312" w:eastAsia="仿宋_GB2312"/>
          <w:b/>
          <w:color w:val="000000" w:themeColor="text1"/>
          <w:sz w:val="28"/>
          <w:highlight w:val="none"/>
          <w14:textFill>
            <w14:solidFill>
              <w14:schemeClr w14:val="tx1"/>
            </w14:solidFill>
          </w14:textFill>
        </w:rPr>
      </w:pPr>
    </w:p>
    <w:p w14:paraId="4F540BEB">
      <w:pPr>
        <w:keepNext w:val="0"/>
        <w:keepLines w:val="0"/>
        <w:pageBreakBefore w:val="0"/>
        <w:widowControl w:val="0"/>
        <w:wordWrap/>
        <w:overflowPunct/>
        <w:topLinePunct w:val="0"/>
        <w:bidi w:val="0"/>
        <w:snapToGrid w:val="0"/>
        <w:spacing w:line="240" w:lineRule="atLeast"/>
        <w:ind w:left="1080" w:leftChars="257" w:hanging="540"/>
        <w:jc w:val="center"/>
        <w:rPr>
          <w:rStyle w:val="37"/>
          <w:rFonts w:hint="eastAsia" w:ascii="仿宋_GB2312" w:hAnsi="仿宋_GB2312" w:eastAsia="仿宋_GB2312"/>
          <w:b/>
          <w:color w:val="000000" w:themeColor="text1"/>
          <w:sz w:val="48"/>
          <w:szCs w:val="48"/>
          <w:highlight w:val="none"/>
          <w14:textFill>
            <w14:solidFill>
              <w14:schemeClr w14:val="tx1"/>
            </w14:solidFill>
          </w14:textFill>
        </w:rPr>
      </w:pPr>
      <w:r>
        <w:rPr>
          <w:rStyle w:val="37"/>
          <w:rFonts w:ascii="仿宋_GB2312" w:hAnsi="仿宋_GB2312" w:eastAsia="仿宋_GB2312"/>
          <w:b/>
          <w:color w:val="000000" w:themeColor="text1"/>
          <w:sz w:val="48"/>
          <w:szCs w:val="48"/>
          <w:highlight w:val="none"/>
          <w14:textFill>
            <w14:solidFill>
              <w14:schemeClr w14:val="tx1"/>
            </w14:solidFill>
          </w14:textFill>
        </w:rPr>
        <w:t>第三册</w:t>
      </w:r>
    </w:p>
    <w:p w14:paraId="223D577B">
      <w:pPr>
        <w:pStyle w:val="2"/>
        <w:keepNext w:val="0"/>
        <w:keepLines w:val="0"/>
        <w:pageBreakBefore w:val="0"/>
        <w:widowControl w:val="0"/>
        <w:tabs>
          <w:tab w:val="left" w:pos="0"/>
        </w:tabs>
        <w:wordWrap/>
        <w:overflowPunct/>
        <w:topLinePunct w:val="0"/>
        <w:bidi w:val="0"/>
        <w:snapToGrid w:val="0"/>
        <w:spacing w:before="0" w:after="0" w:line="240" w:lineRule="atLeast"/>
        <w:rPr>
          <w:rFonts w:hint="eastAsia" w:ascii="仿宋_GB2312" w:hAnsi="仿宋_GB2312" w:eastAsia="仿宋_GB2312" w:cs="仿宋_GB2312"/>
          <w:color w:val="000000" w:themeColor="text1"/>
          <w:sz w:val="44"/>
          <w:szCs w:val="44"/>
          <w:highlight w:val="none"/>
          <w14:textFill>
            <w14:solidFill>
              <w14:schemeClr w14:val="tx1"/>
            </w14:solidFill>
          </w14:textFill>
        </w:rPr>
      </w:pPr>
      <w:bookmarkStart w:id="898" w:name="_Toc31957"/>
    </w:p>
    <w:p w14:paraId="4268979D">
      <w:pPr>
        <w:keepNext w:val="0"/>
        <w:keepLines w:val="0"/>
        <w:pageBreakBefore w:val="0"/>
        <w:widowControl w:val="0"/>
        <w:wordWrap/>
        <w:overflowPunct/>
        <w:topLinePunct w:val="0"/>
        <w:bidi w:val="0"/>
        <w:rPr>
          <w:rFonts w:hint="eastAsia" w:ascii="仿宋_GB2312" w:hAnsi="仿宋_GB2312" w:eastAsia="仿宋_GB2312" w:cs="仿宋_GB2312"/>
          <w:color w:val="000000" w:themeColor="text1"/>
          <w:sz w:val="44"/>
          <w:szCs w:val="44"/>
          <w:highlight w:val="none"/>
          <w14:textFill>
            <w14:solidFill>
              <w14:schemeClr w14:val="tx1"/>
            </w14:solidFill>
          </w14:textFill>
        </w:rPr>
      </w:pPr>
    </w:p>
    <w:p w14:paraId="281CA84D">
      <w:pPr>
        <w:pStyle w:val="20"/>
        <w:keepNext w:val="0"/>
        <w:keepLines w:val="0"/>
        <w:pageBreakBefore w:val="0"/>
        <w:widowControl w:val="0"/>
        <w:wordWrap/>
        <w:overflowPunct/>
        <w:topLinePunct w:val="0"/>
        <w:bidi w:val="0"/>
        <w:rPr>
          <w:rFonts w:hint="eastAsia" w:ascii="仿宋_GB2312" w:hAnsi="仿宋_GB2312" w:eastAsia="仿宋_GB2312" w:cs="仿宋_GB2312"/>
          <w:color w:val="000000" w:themeColor="text1"/>
          <w:sz w:val="44"/>
          <w:szCs w:val="44"/>
          <w:highlight w:val="none"/>
          <w14:textFill>
            <w14:solidFill>
              <w14:schemeClr w14:val="tx1"/>
            </w14:solidFill>
          </w14:textFill>
        </w:rPr>
      </w:pPr>
    </w:p>
    <w:p w14:paraId="39789449">
      <w:pPr>
        <w:pStyle w:val="10"/>
        <w:keepNext w:val="0"/>
        <w:keepLines w:val="0"/>
        <w:pageBreakBefore w:val="0"/>
        <w:widowControl w:val="0"/>
        <w:wordWrap/>
        <w:overflowPunct/>
        <w:topLinePunct w:val="0"/>
        <w:bidi w:val="0"/>
        <w:rPr>
          <w:rFonts w:hint="eastAsia" w:ascii="仿宋_GB2312" w:hAnsi="仿宋_GB2312" w:eastAsia="仿宋_GB2312" w:cs="仿宋_GB2312"/>
          <w:color w:val="000000" w:themeColor="text1"/>
          <w:sz w:val="44"/>
          <w:szCs w:val="44"/>
          <w:highlight w:val="none"/>
          <w14:textFill>
            <w14:solidFill>
              <w14:schemeClr w14:val="tx1"/>
            </w14:solidFill>
          </w14:textFill>
        </w:rPr>
      </w:pPr>
    </w:p>
    <w:p w14:paraId="61E1B585">
      <w:pPr>
        <w:keepNext w:val="0"/>
        <w:keepLines w:val="0"/>
        <w:pageBreakBefore w:val="0"/>
        <w:widowControl w:val="0"/>
        <w:wordWrap/>
        <w:overflowPunct/>
        <w:topLinePunct w:val="0"/>
        <w:bidi w:val="0"/>
        <w:rPr>
          <w:rFonts w:hint="eastAsia" w:ascii="仿宋_GB2312" w:hAnsi="仿宋_GB2312" w:eastAsia="仿宋_GB2312" w:cs="仿宋_GB2312"/>
          <w:color w:val="000000" w:themeColor="text1"/>
          <w:sz w:val="44"/>
          <w:szCs w:val="44"/>
          <w:highlight w:val="none"/>
          <w14:textFill>
            <w14:solidFill>
              <w14:schemeClr w14:val="tx1"/>
            </w14:solidFill>
          </w14:textFill>
        </w:rPr>
      </w:pPr>
    </w:p>
    <w:p w14:paraId="09BDA567">
      <w:pPr>
        <w:pStyle w:val="20"/>
        <w:keepNext w:val="0"/>
        <w:keepLines w:val="0"/>
        <w:pageBreakBefore w:val="0"/>
        <w:widowControl w:val="0"/>
        <w:wordWrap/>
        <w:overflowPunct/>
        <w:topLinePunct w:val="0"/>
        <w:bidi w:val="0"/>
        <w:rPr>
          <w:highlight w:val="none"/>
        </w:rPr>
      </w:pPr>
    </w:p>
    <w:p w14:paraId="7B585676">
      <w:pPr>
        <w:pStyle w:val="10"/>
        <w:rPr>
          <w:highlight w:val="none"/>
        </w:rPr>
      </w:pPr>
    </w:p>
    <w:p w14:paraId="33F6DBC1">
      <w:pPr>
        <w:pStyle w:val="24"/>
        <w:rPr>
          <w:highlight w:val="none"/>
        </w:rPr>
      </w:pPr>
    </w:p>
    <w:p w14:paraId="4507AE45">
      <w:pPr>
        <w:pStyle w:val="10"/>
        <w:rPr>
          <w:highlight w:val="none"/>
        </w:rPr>
      </w:pPr>
    </w:p>
    <w:p w14:paraId="514C6E57">
      <w:pPr>
        <w:pStyle w:val="2"/>
        <w:keepNext w:val="0"/>
        <w:keepLines w:val="0"/>
        <w:pageBreakBefore w:val="0"/>
        <w:widowControl w:val="0"/>
        <w:tabs>
          <w:tab w:val="left" w:pos="0"/>
        </w:tabs>
        <w:wordWrap/>
        <w:overflowPunct/>
        <w:topLinePunct w:val="0"/>
        <w:bidi w:val="0"/>
        <w:snapToGrid w:val="0"/>
        <w:spacing w:before="0" w:after="0" w:line="240" w:lineRule="atLeast"/>
        <w:rPr>
          <w:rFonts w:hint="eastAsia" w:ascii="仿宋_GB2312" w:hAnsi="仿宋_GB2312" w:eastAsia="仿宋_GB2312" w:cs="仿宋_GB2312"/>
          <w:color w:val="000000" w:themeColor="text1"/>
          <w:sz w:val="44"/>
          <w:szCs w:val="44"/>
          <w:highlight w:val="none"/>
          <w14:textFill>
            <w14:solidFill>
              <w14:schemeClr w14:val="tx1"/>
            </w14:solidFill>
          </w14:textFill>
        </w:rPr>
      </w:pPr>
    </w:p>
    <w:p w14:paraId="17863E88">
      <w:pPr>
        <w:pStyle w:val="2"/>
        <w:keepNext w:val="0"/>
        <w:keepLines w:val="0"/>
        <w:pageBreakBefore w:val="0"/>
        <w:widowControl w:val="0"/>
        <w:tabs>
          <w:tab w:val="left" w:pos="0"/>
        </w:tabs>
        <w:wordWrap/>
        <w:overflowPunct/>
        <w:topLinePunct w:val="0"/>
        <w:bidi w:val="0"/>
        <w:snapToGrid w:val="0"/>
        <w:spacing w:before="0" w:after="0" w:line="240" w:lineRule="atLeast"/>
        <w:rPr>
          <w:rFonts w:hint="eastAsia" w:ascii="仿宋_GB2312" w:hAnsi="仿宋_GB2312" w:eastAsia="仿宋_GB2312" w:cs="仿宋_GB2312"/>
          <w:color w:val="000000" w:themeColor="text1"/>
          <w:sz w:val="44"/>
          <w:szCs w:val="44"/>
          <w:highlight w:val="none"/>
          <w14:textFill>
            <w14:solidFill>
              <w14:schemeClr w14:val="tx1"/>
            </w14:solidFill>
          </w14:textFill>
        </w:rPr>
      </w:pPr>
      <w:bookmarkStart w:id="899" w:name="_Toc3264"/>
    </w:p>
    <w:p w14:paraId="3755E872">
      <w:pPr>
        <w:pStyle w:val="2"/>
        <w:keepNext w:val="0"/>
        <w:keepLines w:val="0"/>
        <w:pageBreakBefore w:val="0"/>
        <w:widowControl w:val="0"/>
        <w:tabs>
          <w:tab w:val="left" w:pos="0"/>
        </w:tabs>
        <w:wordWrap/>
        <w:overflowPunct/>
        <w:topLinePunct w:val="0"/>
        <w:bidi w:val="0"/>
        <w:snapToGrid w:val="0"/>
        <w:spacing w:before="0" w:after="0" w:line="240" w:lineRule="atLeast"/>
        <w:rPr>
          <w:rFonts w:hint="eastAsia" w:ascii="仿宋_GB2312" w:hAnsi="仿宋_GB2312" w:eastAsia="仿宋_GB2312" w:cs="仿宋_GB2312"/>
          <w:color w:val="000000" w:themeColor="text1"/>
          <w:sz w:val="44"/>
          <w:szCs w:val="44"/>
          <w:highlight w:val="none"/>
          <w14:textFill>
            <w14:solidFill>
              <w14:schemeClr w14:val="tx1"/>
            </w14:solidFill>
          </w14:textFill>
        </w:rPr>
      </w:pPr>
    </w:p>
    <w:p w14:paraId="338E50ED">
      <w:pPr>
        <w:rPr>
          <w:rFonts w:hint="eastAsia" w:ascii="仿宋_GB2312" w:hAnsi="仿宋_GB2312" w:eastAsia="仿宋_GB2312" w:cs="仿宋_GB2312"/>
          <w:color w:val="000000" w:themeColor="text1"/>
          <w:sz w:val="44"/>
          <w:szCs w:val="44"/>
          <w:highlight w:val="none"/>
          <w14:textFill>
            <w14:solidFill>
              <w14:schemeClr w14:val="tx1"/>
            </w14:solidFill>
          </w14:textFill>
        </w:rPr>
      </w:pPr>
    </w:p>
    <w:p w14:paraId="063CAB4D">
      <w:pPr>
        <w:rPr>
          <w:rFonts w:hint="eastAsia" w:ascii="仿宋_GB2312" w:hAnsi="仿宋_GB2312" w:eastAsia="仿宋_GB2312" w:cs="仿宋_GB2312"/>
          <w:color w:val="000000" w:themeColor="text1"/>
          <w:sz w:val="44"/>
          <w:szCs w:val="44"/>
          <w:highlight w:val="none"/>
          <w14:textFill>
            <w14:solidFill>
              <w14:schemeClr w14:val="tx1"/>
            </w14:solidFill>
          </w14:textFill>
        </w:rPr>
      </w:pPr>
    </w:p>
    <w:p w14:paraId="0AFA5350">
      <w:pPr>
        <w:rPr>
          <w:rFonts w:hint="eastAsia" w:ascii="仿宋_GB2312" w:hAnsi="仿宋_GB2312" w:eastAsia="仿宋_GB2312" w:cs="仿宋_GB2312"/>
          <w:color w:val="000000" w:themeColor="text1"/>
          <w:sz w:val="44"/>
          <w:szCs w:val="44"/>
          <w:highlight w:val="none"/>
          <w14:textFill>
            <w14:solidFill>
              <w14:schemeClr w14:val="tx1"/>
            </w14:solidFill>
          </w14:textFill>
        </w:rPr>
      </w:pPr>
    </w:p>
    <w:p w14:paraId="28FCA17A">
      <w:pPr>
        <w:pStyle w:val="2"/>
        <w:keepNext w:val="0"/>
        <w:keepLines w:val="0"/>
        <w:pageBreakBefore w:val="0"/>
        <w:widowControl w:val="0"/>
        <w:tabs>
          <w:tab w:val="left" w:pos="0"/>
        </w:tabs>
        <w:wordWrap/>
        <w:overflowPunct/>
        <w:topLinePunct w:val="0"/>
        <w:bidi w:val="0"/>
        <w:snapToGrid w:val="0"/>
        <w:spacing w:before="0" w:after="0" w:line="240" w:lineRule="atLeast"/>
        <w:rPr>
          <w:rFonts w:hint="eastAsia" w:ascii="仿宋_GB2312" w:hAnsi="仿宋_GB2312" w:eastAsia="仿宋_GB2312" w:cs="仿宋_GB2312"/>
          <w:color w:val="000000" w:themeColor="text1"/>
          <w:sz w:val="44"/>
          <w:szCs w:val="44"/>
          <w:highlight w:val="none"/>
          <w14:textFill>
            <w14:solidFill>
              <w14:schemeClr w14:val="tx1"/>
            </w14:solidFill>
          </w14:textFill>
        </w:rPr>
      </w:pPr>
    </w:p>
    <w:p w14:paraId="03013AF7">
      <w:pPr>
        <w:pStyle w:val="2"/>
        <w:keepNext w:val="0"/>
        <w:keepLines w:val="0"/>
        <w:pageBreakBefore w:val="0"/>
        <w:widowControl w:val="0"/>
        <w:tabs>
          <w:tab w:val="left" w:pos="0"/>
        </w:tabs>
        <w:wordWrap/>
        <w:overflowPunct/>
        <w:topLinePunct w:val="0"/>
        <w:bidi w:val="0"/>
        <w:snapToGrid w:val="0"/>
        <w:spacing w:before="0" w:after="0" w:line="240" w:lineRule="atLeast"/>
        <w:rPr>
          <w:rFonts w:hint="eastAsia" w:ascii="仿宋_GB2312" w:hAnsi="仿宋_GB2312" w:eastAsia="仿宋_GB2312" w:cs="仿宋_GB2312"/>
          <w:color w:val="000000" w:themeColor="text1"/>
          <w:sz w:val="44"/>
          <w:szCs w:val="44"/>
          <w:highlight w:val="none"/>
          <w14:textFill>
            <w14:solidFill>
              <w14:schemeClr w14:val="tx1"/>
            </w14:solidFill>
          </w14:textFill>
        </w:rPr>
      </w:pPr>
      <w:r>
        <w:rPr>
          <w:rFonts w:hint="eastAsia" w:ascii="仿宋_GB2312" w:hAnsi="仿宋_GB2312" w:eastAsia="仿宋_GB2312" w:cs="仿宋_GB2312"/>
          <w:color w:val="000000" w:themeColor="text1"/>
          <w:sz w:val="44"/>
          <w:szCs w:val="44"/>
          <w:highlight w:val="none"/>
          <w14:textFill>
            <w14:solidFill>
              <w14:schemeClr w14:val="tx1"/>
            </w14:solidFill>
          </w14:textFill>
        </w:rPr>
        <w:t>第七章政府采购合同</w:t>
      </w:r>
      <w:bookmarkEnd w:id="898"/>
      <w:bookmarkEnd w:id="899"/>
    </w:p>
    <w:p w14:paraId="73940AB6">
      <w:pPr>
        <w:keepNext w:val="0"/>
        <w:keepLines w:val="0"/>
        <w:pageBreakBefore w:val="0"/>
        <w:widowControl w:val="0"/>
        <w:wordWrap/>
        <w:overflowPunct/>
        <w:topLinePunct w:val="0"/>
        <w:bidi w:val="0"/>
        <w:snapToGrid w:val="0"/>
        <w:spacing w:line="240" w:lineRule="atLeast"/>
        <w:jc w:val="left"/>
        <w:rPr>
          <w:rStyle w:val="37"/>
          <w:rFonts w:hint="eastAsia" w:ascii="仿宋_GB2312" w:hAnsi="仿宋_GB2312" w:eastAsia="仿宋_GB2312"/>
          <w:b/>
          <w:color w:val="000000" w:themeColor="text1"/>
          <w:kern w:val="44"/>
          <w:sz w:val="32"/>
          <w:szCs w:val="20"/>
          <w:highlight w:val="none"/>
          <w14:textFill>
            <w14:solidFill>
              <w14:schemeClr w14:val="tx1"/>
            </w14:solidFill>
          </w14:textFill>
        </w:rPr>
      </w:pPr>
    </w:p>
    <w:p w14:paraId="317952CC">
      <w:pPr>
        <w:keepNext w:val="0"/>
        <w:keepLines w:val="0"/>
        <w:pageBreakBefore w:val="0"/>
        <w:widowControl w:val="0"/>
        <w:wordWrap/>
        <w:overflowPunct/>
        <w:topLinePunct w:val="0"/>
        <w:bidi w:val="0"/>
        <w:snapToGrid w:val="0"/>
        <w:spacing w:line="480" w:lineRule="auto"/>
        <w:jc w:val="left"/>
        <w:rPr>
          <w:rStyle w:val="37"/>
          <w:rFonts w:hint="eastAsia" w:ascii="仿宋_GB2312" w:hAnsi="仿宋_GB2312" w:eastAsia="仿宋_GB2312"/>
          <w:b/>
          <w:color w:val="000000" w:themeColor="text1"/>
          <w:sz w:val="28"/>
          <w:szCs w:val="28"/>
          <w:highlight w:val="none"/>
          <w14:textFill>
            <w14:solidFill>
              <w14:schemeClr w14:val="tx1"/>
            </w14:solidFill>
          </w14:textFill>
        </w:rPr>
      </w:pPr>
    </w:p>
    <w:p w14:paraId="33F3D4AB">
      <w:pPr>
        <w:keepNext w:val="0"/>
        <w:keepLines w:val="0"/>
        <w:pageBreakBefore w:val="0"/>
        <w:widowControl w:val="0"/>
        <w:wordWrap/>
        <w:overflowPunct/>
        <w:topLinePunct w:val="0"/>
        <w:bidi w:val="0"/>
        <w:snapToGrid w:val="0"/>
        <w:spacing w:line="480" w:lineRule="auto"/>
        <w:jc w:val="center"/>
        <w:rPr>
          <w:rStyle w:val="37"/>
          <w:rFonts w:hint="eastAsia" w:ascii="仿宋_GB2312" w:hAnsi="仿宋_GB2312" w:eastAsia="仿宋_GB2312"/>
          <w:b/>
          <w:color w:val="000000" w:themeColor="text1"/>
          <w:sz w:val="44"/>
          <w:szCs w:val="44"/>
          <w:highlight w:val="none"/>
          <w14:textFill>
            <w14:solidFill>
              <w14:schemeClr w14:val="tx1"/>
            </w14:solidFill>
          </w14:textFill>
        </w:rPr>
      </w:pPr>
      <w:r>
        <w:rPr>
          <w:rStyle w:val="37"/>
          <w:rFonts w:ascii="仿宋_GB2312" w:hAnsi="仿宋_GB2312" w:eastAsia="仿宋_GB2312"/>
          <w:b/>
          <w:color w:val="000000" w:themeColor="text1"/>
          <w:sz w:val="44"/>
          <w:szCs w:val="44"/>
          <w:highlight w:val="none"/>
          <w14:textFill>
            <w14:solidFill>
              <w14:schemeClr w14:val="tx1"/>
            </w14:solidFill>
          </w14:textFill>
        </w:rPr>
        <w:t>政府采购合同草案</w:t>
      </w:r>
    </w:p>
    <w:p w14:paraId="7AEB89AA">
      <w:pPr>
        <w:keepNext w:val="0"/>
        <w:keepLines w:val="0"/>
        <w:pageBreakBefore w:val="0"/>
        <w:widowControl w:val="0"/>
        <w:wordWrap/>
        <w:overflowPunct/>
        <w:topLinePunct w:val="0"/>
        <w:bidi w:val="0"/>
        <w:snapToGrid w:val="0"/>
        <w:spacing w:line="480" w:lineRule="auto"/>
        <w:jc w:val="center"/>
        <w:rPr>
          <w:rStyle w:val="37"/>
          <w:rFonts w:hint="eastAsia" w:ascii="仿宋_GB2312" w:hAnsi="仿宋_GB2312" w:eastAsia="仿宋_GB2312"/>
          <w:b/>
          <w:color w:val="000000" w:themeColor="text1"/>
          <w:sz w:val="24"/>
          <w:highlight w:val="none"/>
          <w14:textFill>
            <w14:solidFill>
              <w14:schemeClr w14:val="tx1"/>
            </w14:solidFill>
          </w14:textFill>
        </w:rPr>
      </w:pPr>
      <w:r>
        <w:rPr>
          <w:rStyle w:val="37"/>
          <w:rFonts w:ascii="仿宋_GB2312" w:hAnsi="仿宋_GB2312" w:eastAsia="仿宋_GB2312"/>
          <w:b/>
          <w:color w:val="000000" w:themeColor="text1"/>
          <w:sz w:val="24"/>
          <w:highlight w:val="none"/>
          <w14:textFill>
            <w14:solidFill>
              <w14:schemeClr w14:val="tx1"/>
            </w14:solidFill>
          </w14:textFill>
        </w:rPr>
        <w:t>（货物类）</w:t>
      </w:r>
    </w:p>
    <w:p w14:paraId="53E57A98">
      <w:pPr>
        <w:pStyle w:val="84"/>
        <w:keepNext w:val="0"/>
        <w:keepLines w:val="0"/>
        <w:pageBreakBefore w:val="0"/>
        <w:widowControl w:val="0"/>
        <w:wordWrap/>
        <w:overflowPunct/>
        <w:topLinePunct w:val="0"/>
        <w:bidi w:val="0"/>
        <w:snapToGrid w:val="0"/>
        <w:ind w:firstLine="0"/>
        <w:jc w:val="center"/>
        <w:rPr>
          <w:rStyle w:val="37"/>
          <w:rFonts w:hint="eastAsia" w:ascii="仿宋_GB2312" w:hAnsi="仿宋_GB2312" w:eastAsia="仿宋_GB2312"/>
          <w:color w:val="000000" w:themeColor="text1"/>
          <w:szCs w:val="24"/>
          <w:highlight w:val="none"/>
          <w14:textFill>
            <w14:solidFill>
              <w14:schemeClr w14:val="tx1"/>
            </w14:solidFill>
          </w14:textFill>
        </w:rPr>
      </w:pPr>
    </w:p>
    <w:p w14:paraId="12C2678A">
      <w:pPr>
        <w:pStyle w:val="84"/>
        <w:keepNext w:val="0"/>
        <w:keepLines w:val="0"/>
        <w:pageBreakBefore w:val="0"/>
        <w:widowControl w:val="0"/>
        <w:wordWrap/>
        <w:overflowPunct/>
        <w:topLinePunct w:val="0"/>
        <w:bidi w:val="0"/>
        <w:snapToGrid w:val="0"/>
        <w:ind w:firstLine="0"/>
        <w:jc w:val="center"/>
        <w:rPr>
          <w:rStyle w:val="37"/>
          <w:rFonts w:hint="eastAsia" w:ascii="仿宋_GB2312" w:hAnsi="仿宋_GB2312" w:eastAsia="仿宋_GB2312"/>
          <w:color w:val="000000" w:themeColor="text1"/>
          <w:szCs w:val="24"/>
          <w:highlight w:val="none"/>
          <w14:textFill>
            <w14:solidFill>
              <w14:schemeClr w14:val="tx1"/>
            </w14:solidFill>
          </w14:textFill>
        </w:rPr>
      </w:pPr>
    </w:p>
    <w:p w14:paraId="7302B54A">
      <w:pPr>
        <w:pStyle w:val="84"/>
        <w:keepNext w:val="0"/>
        <w:keepLines w:val="0"/>
        <w:pageBreakBefore w:val="0"/>
        <w:widowControl w:val="0"/>
        <w:wordWrap/>
        <w:overflowPunct/>
        <w:topLinePunct w:val="0"/>
        <w:bidi w:val="0"/>
        <w:snapToGrid w:val="0"/>
        <w:ind w:firstLine="0"/>
        <w:jc w:val="center"/>
        <w:rPr>
          <w:rStyle w:val="37"/>
          <w:rFonts w:hint="eastAsia" w:ascii="仿宋_GB2312" w:hAnsi="仿宋_GB2312" w:eastAsia="仿宋_GB2312"/>
          <w:color w:val="000000" w:themeColor="text1"/>
          <w:szCs w:val="24"/>
          <w:highlight w:val="none"/>
          <w14:textFill>
            <w14:solidFill>
              <w14:schemeClr w14:val="tx1"/>
            </w14:solidFill>
          </w14:textFill>
        </w:rPr>
      </w:pPr>
    </w:p>
    <w:p w14:paraId="1D98791D">
      <w:pPr>
        <w:pStyle w:val="84"/>
        <w:keepNext w:val="0"/>
        <w:keepLines w:val="0"/>
        <w:pageBreakBefore w:val="0"/>
        <w:widowControl w:val="0"/>
        <w:wordWrap/>
        <w:overflowPunct/>
        <w:topLinePunct w:val="0"/>
        <w:bidi w:val="0"/>
        <w:snapToGrid w:val="0"/>
        <w:ind w:firstLine="0"/>
        <w:jc w:val="center"/>
        <w:rPr>
          <w:rStyle w:val="37"/>
          <w:rFonts w:hint="eastAsia" w:ascii="仿宋_GB2312" w:hAnsi="仿宋_GB2312" w:eastAsia="仿宋_GB2312"/>
          <w:b/>
          <w:color w:val="000000" w:themeColor="text1"/>
          <w:szCs w:val="24"/>
          <w:highlight w:val="none"/>
          <w14:textFill>
            <w14:solidFill>
              <w14:schemeClr w14:val="tx1"/>
            </w14:solidFill>
          </w14:textFill>
        </w:rPr>
      </w:pPr>
      <w:r>
        <w:rPr>
          <w:rStyle w:val="37"/>
          <w:rFonts w:ascii="仿宋_GB2312" w:hAnsi="仿宋_GB2312" w:eastAsia="仿宋_GB2312"/>
          <w:b/>
          <w:color w:val="000000" w:themeColor="text1"/>
          <w:szCs w:val="24"/>
          <w:highlight w:val="none"/>
          <w14:textFill>
            <w14:solidFill>
              <w14:schemeClr w14:val="tx1"/>
            </w14:solidFill>
          </w14:textFill>
        </w:rPr>
        <w:t>第一部分合同书</w:t>
      </w:r>
    </w:p>
    <w:p w14:paraId="467C6FDF">
      <w:pPr>
        <w:pStyle w:val="84"/>
        <w:keepNext w:val="0"/>
        <w:keepLines w:val="0"/>
        <w:pageBreakBefore w:val="0"/>
        <w:widowControl w:val="0"/>
        <w:wordWrap/>
        <w:overflowPunct/>
        <w:topLinePunct w:val="0"/>
        <w:bidi w:val="0"/>
        <w:snapToGrid w:val="0"/>
        <w:ind w:firstLine="0"/>
        <w:jc w:val="center"/>
        <w:rPr>
          <w:rStyle w:val="37"/>
          <w:rFonts w:hint="eastAsia" w:ascii="仿宋_GB2312" w:hAnsi="仿宋_GB2312" w:eastAsia="仿宋_GB2312"/>
          <w:color w:val="000000" w:themeColor="text1"/>
          <w:szCs w:val="24"/>
          <w:highlight w:val="none"/>
          <w14:textFill>
            <w14:solidFill>
              <w14:schemeClr w14:val="tx1"/>
            </w14:solidFill>
          </w14:textFill>
        </w:rPr>
      </w:pPr>
    </w:p>
    <w:p w14:paraId="158EFB6C">
      <w:pPr>
        <w:pStyle w:val="84"/>
        <w:keepNext w:val="0"/>
        <w:keepLines w:val="0"/>
        <w:pageBreakBefore w:val="0"/>
        <w:widowControl w:val="0"/>
        <w:wordWrap/>
        <w:overflowPunct/>
        <w:topLinePunct w:val="0"/>
        <w:bidi w:val="0"/>
        <w:snapToGrid w:val="0"/>
        <w:ind w:firstLine="0"/>
        <w:rPr>
          <w:rStyle w:val="37"/>
          <w:rFonts w:hint="eastAsia" w:ascii="仿宋_GB2312" w:hAnsi="仿宋_GB2312" w:eastAsia="仿宋_GB2312"/>
          <w:color w:val="000000" w:themeColor="text1"/>
          <w:szCs w:val="24"/>
          <w:highlight w:val="none"/>
          <w14:textFill>
            <w14:solidFill>
              <w14:schemeClr w14:val="tx1"/>
            </w14:solidFill>
          </w14:textFill>
        </w:rPr>
      </w:pPr>
    </w:p>
    <w:p w14:paraId="1EC75DAD">
      <w:pPr>
        <w:keepNext w:val="0"/>
        <w:keepLines w:val="0"/>
        <w:pageBreakBefore w:val="0"/>
        <w:widowControl w:val="0"/>
        <w:wordWrap/>
        <w:overflowPunct/>
        <w:topLinePunct w:val="0"/>
        <w:bidi w:val="0"/>
        <w:snapToGrid w:val="0"/>
        <w:spacing w:before="120" w:line="240" w:lineRule="atLeast"/>
        <w:jc w:val="left"/>
        <w:rPr>
          <w:rStyle w:val="37"/>
          <w:rFonts w:hint="eastAsia" w:ascii="仿宋_GB2312" w:hAnsi="仿宋_GB2312" w:eastAsia="仿宋_GB2312"/>
          <w:color w:val="000000" w:themeColor="text1"/>
          <w:sz w:val="24"/>
          <w:highlight w:val="none"/>
          <w14:textFill>
            <w14:solidFill>
              <w14:schemeClr w14:val="tx1"/>
            </w14:solidFill>
          </w14:textFill>
        </w:rPr>
      </w:pPr>
    </w:p>
    <w:p w14:paraId="236B1D1B">
      <w:pPr>
        <w:keepNext w:val="0"/>
        <w:keepLines w:val="0"/>
        <w:pageBreakBefore w:val="0"/>
        <w:widowControl w:val="0"/>
        <w:wordWrap/>
        <w:overflowPunct/>
        <w:topLinePunct w:val="0"/>
        <w:bidi w:val="0"/>
        <w:snapToGrid w:val="0"/>
        <w:spacing w:before="120" w:line="240" w:lineRule="atLeast"/>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hint="eastAsia" w:ascii="仿宋_GB2312" w:hAnsi="仿宋_GB2312" w:eastAsia="仿宋_GB2312"/>
          <w:color w:val="000000" w:themeColor="text1"/>
          <w:sz w:val="24"/>
          <w:highlight w:val="none"/>
          <w14:textFill>
            <w14:solidFill>
              <w14:schemeClr w14:val="tx1"/>
            </w14:solidFill>
          </w14:textFill>
        </w:rPr>
        <w:t>项目名称：伽师县学校办学能力提升项目</w:t>
      </w:r>
    </w:p>
    <w:p w14:paraId="66040A48">
      <w:pPr>
        <w:keepNext w:val="0"/>
        <w:keepLines w:val="0"/>
        <w:pageBreakBefore w:val="0"/>
        <w:widowControl w:val="0"/>
        <w:wordWrap/>
        <w:overflowPunct/>
        <w:topLinePunct w:val="0"/>
        <w:bidi w:val="0"/>
        <w:spacing w:line="560" w:lineRule="exact"/>
        <w:jc w:val="left"/>
        <w:rPr>
          <w:rStyle w:val="37"/>
          <w:rFonts w:hint="eastAsia" w:ascii="仿宋_GB2312" w:hAnsi="仿宋_GB2312" w:eastAsia="仿宋_GB2312" w:cs="仿宋_GB2312"/>
          <w:b/>
          <w:bCs/>
          <w:color w:val="000000" w:themeColor="text1"/>
          <w:sz w:val="30"/>
          <w:szCs w:val="30"/>
          <w:highlight w:val="none"/>
          <w:lang w:val="en-US" w:eastAsia="zh-CN"/>
          <w14:textFill>
            <w14:solidFill>
              <w14:schemeClr w14:val="tx1"/>
            </w14:solidFill>
          </w14:textFill>
        </w:rPr>
      </w:pPr>
      <w:r>
        <w:rPr>
          <w:rStyle w:val="37"/>
          <w:rFonts w:hint="eastAsia" w:ascii="仿宋_GB2312" w:hAnsi="仿宋_GB2312" w:eastAsia="仿宋_GB2312"/>
          <w:color w:val="000000" w:themeColor="text1"/>
          <w:sz w:val="24"/>
          <w:highlight w:val="none"/>
          <w14:textFill>
            <w14:solidFill>
              <w14:schemeClr w14:val="tx1"/>
            </w14:solidFill>
          </w14:textFill>
        </w:rPr>
        <w:t>项目编号：</w:t>
      </w:r>
      <w:r>
        <w:rPr>
          <w:rStyle w:val="37"/>
          <w:rFonts w:hint="eastAsia" w:ascii="仿宋_GB2312" w:hAnsi="仿宋_GB2312" w:eastAsia="仿宋_GB2312" w:cs="仿宋_GB2312"/>
          <w:b/>
          <w:bCs/>
          <w:color w:val="000000" w:themeColor="text1"/>
          <w:sz w:val="30"/>
          <w:szCs w:val="30"/>
          <w:highlight w:val="none"/>
          <w:lang w:eastAsia="zh-CN"/>
          <w14:textFill>
            <w14:solidFill>
              <w14:schemeClr w14:val="tx1"/>
            </w14:solidFill>
          </w14:textFill>
        </w:rPr>
        <w:t>KSJSX(GK)2026-12</w:t>
      </w:r>
    </w:p>
    <w:p w14:paraId="1B13B1DD">
      <w:pPr>
        <w:keepNext w:val="0"/>
        <w:keepLines w:val="0"/>
        <w:pageBreakBefore w:val="0"/>
        <w:widowControl w:val="0"/>
        <w:wordWrap/>
        <w:overflowPunct/>
        <w:topLinePunct w:val="0"/>
        <w:bidi w:val="0"/>
        <w:snapToGrid w:val="0"/>
        <w:spacing w:before="120" w:line="240" w:lineRule="atLeast"/>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hint="eastAsia" w:ascii="仿宋_GB2312" w:hAnsi="仿宋_GB2312" w:eastAsia="仿宋_GB2312"/>
          <w:color w:val="000000" w:themeColor="text1"/>
          <w:sz w:val="24"/>
          <w:highlight w:val="none"/>
          <w14:textFill>
            <w14:solidFill>
              <w14:schemeClr w14:val="tx1"/>
            </w14:solidFill>
          </w14:textFill>
        </w:rPr>
        <w:t>合同编号：</w:t>
      </w:r>
    </w:p>
    <w:p w14:paraId="5F6980AB">
      <w:pPr>
        <w:keepNext w:val="0"/>
        <w:keepLines w:val="0"/>
        <w:pageBreakBefore w:val="0"/>
        <w:widowControl w:val="0"/>
        <w:wordWrap/>
        <w:overflowPunct/>
        <w:topLinePunct w:val="0"/>
        <w:bidi w:val="0"/>
        <w:snapToGrid w:val="0"/>
        <w:spacing w:before="120" w:line="240" w:lineRule="atLeast"/>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hint="eastAsia" w:ascii="仿宋_GB2312" w:hAnsi="仿宋_GB2312" w:eastAsia="仿宋_GB2312"/>
          <w:color w:val="000000" w:themeColor="text1"/>
          <w:sz w:val="24"/>
          <w:highlight w:val="none"/>
          <w14:textFill>
            <w14:solidFill>
              <w14:schemeClr w14:val="tx1"/>
            </w14:solidFill>
          </w14:textFill>
        </w:rPr>
        <w:t>甲    方：伽师县教育局</w:t>
      </w:r>
    </w:p>
    <w:p w14:paraId="2B70A185">
      <w:pPr>
        <w:keepNext w:val="0"/>
        <w:keepLines w:val="0"/>
        <w:pageBreakBefore w:val="0"/>
        <w:widowControl w:val="0"/>
        <w:wordWrap/>
        <w:overflowPunct/>
        <w:topLinePunct w:val="0"/>
        <w:bidi w:val="0"/>
        <w:snapToGrid w:val="0"/>
        <w:spacing w:before="120" w:line="240" w:lineRule="atLeast"/>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hint="eastAsia" w:ascii="仿宋_GB2312" w:hAnsi="仿宋_GB2312" w:eastAsia="仿宋_GB2312"/>
          <w:color w:val="000000" w:themeColor="text1"/>
          <w:sz w:val="24"/>
          <w:highlight w:val="none"/>
          <w14:textFill>
            <w14:solidFill>
              <w14:schemeClr w14:val="tx1"/>
            </w14:solidFill>
          </w14:textFill>
        </w:rPr>
        <w:t>乙    方：</w:t>
      </w:r>
    </w:p>
    <w:p w14:paraId="12EE983D">
      <w:pPr>
        <w:keepNext w:val="0"/>
        <w:keepLines w:val="0"/>
        <w:pageBreakBefore w:val="0"/>
        <w:widowControl w:val="0"/>
        <w:wordWrap/>
        <w:overflowPunct/>
        <w:topLinePunct w:val="0"/>
        <w:bidi w:val="0"/>
        <w:snapToGrid w:val="0"/>
        <w:spacing w:before="120" w:line="240" w:lineRule="atLeast"/>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hint="eastAsia" w:ascii="仿宋_GB2312" w:hAnsi="仿宋_GB2312" w:eastAsia="仿宋_GB2312"/>
          <w:color w:val="000000" w:themeColor="text1"/>
          <w:sz w:val="24"/>
          <w:highlight w:val="none"/>
          <w14:textFill>
            <w14:solidFill>
              <w14:schemeClr w14:val="tx1"/>
            </w14:solidFill>
          </w14:textFill>
        </w:rPr>
        <w:t>签订地点：伽师县教育局</w:t>
      </w:r>
    </w:p>
    <w:p w14:paraId="06A21974">
      <w:pPr>
        <w:keepNext w:val="0"/>
        <w:keepLines w:val="0"/>
        <w:pageBreakBefore w:val="0"/>
        <w:widowControl w:val="0"/>
        <w:wordWrap/>
        <w:overflowPunct/>
        <w:topLinePunct w:val="0"/>
        <w:bidi w:val="0"/>
        <w:snapToGrid w:val="0"/>
        <w:spacing w:before="120" w:line="240" w:lineRule="atLeast"/>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hint="eastAsia" w:ascii="仿宋_GB2312" w:hAnsi="仿宋_GB2312" w:eastAsia="仿宋_GB2312"/>
          <w:color w:val="000000" w:themeColor="text1"/>
          <w:sz w:val="24"/>
          <w:highlight w:val="none"/>
          <w14:textFill>
            <w14:solidFill>
              <w14:schemeClr w14:val="tx1"/>
            </w14:solidFill>
          </w14:textFill>
        </w:rPr>
        <w:t>签订日期：202</w:t>
      </w:r>
      <w:r>
        <w:rPr>
          <w:rStyle w:val="37"/>
          <w:rFonts w:hint="eastAsia" w:ascii="仿宋_GB2312" w:hAnsi="仿宋_GB2312" w:eastAsia="仿宋_GB2312"/>
          <w:color w:val="000000" w:themeColor="text1"/>
          <w:sz w:val="24"/>
          <w:highlight w:val="none"/>
          <w:lang w:val="en-US" w:eastAsia="zh-CN"/>
          <w14:textFill>
            <w14:solidFill>
              <w14:schemeClr w14:val="tx1"/>
            </w14:solidFill>
          </w14:textFill>
        </w:rPr>
        <w:t>6</w:t>
      </w:r>
      <w:r>
        <w:rPr>
          <w:rStyle w:val="37"/>
          <w:rFonts w:hint="eastAsia" w:ascii="仿宋_GB2312" w:hAnsi="仿宋_GB2312" w:eastAsia="仿宋_GB2312"/>
          <w:color w:val="000000" w:themeColor="text1"/>
          <w:sz w:val="24"/>
          <w:highlight w:val="none"/>
          <w14:textFill>
            <w14:solidFill>
              <w14:schemeClr w14:val="tx1"/>
            </w14:solidFill>
          </w14:textFill>
        </w:rPr>
        <w:t>年</w:t>
      </w:r>
      <w:r>
        <w:rPr>
          <w:rStyle w:val="37"/>
          <w:rFonts w:hint="eastAsia" w:ascii="仿宋_GB2312" w:hAnsi="仿宋_GB2312" w:eastAsia="仿宋_GB2312"/>
          <w:color w:val="000000" w:themeColor="text1"/>
          <w:sz w:val="24"/>
          <w:highlight w:val="none"/>
          <w:lang w:val="en-US" w:eastAsia="zh-CN"/>
          <w14:textFill>
            <w14:solidFill>
              <w14:schemeClr w14:val="tx1"/>
            </w14:solidFill>
          </w14:textFill>
        </w:rPr>
        <w:t xml:space="preserve">   </w:t>
      </w:r>
      <w:r>
        <w:rPr>
          <w:rStyle w:val="37"/>
          <w:rFonts w:hint="eastAsia" w:ascii="仿宋_GB2312" w:hAnsi="仿宋_GB2312" w:eastAsia="仿宋_GB2312"/>
          <w:color w:val="000000" w:themeColor="text1"/>
          <w:sz w:val="24"/>
          <w:highlight w:val="none"/>
          <w14:textFill>
            <w14:solidFill>
              <w14:schemeClr w14:val="tx1"/>
            </w14:solidFill>
          </w14:textFill>
        </w:rPr>
        <w:t>月</w:t>
      </w:r>
      <w:r>
        <w:rPr>
          <w:rStyle w:val="37"/>
          <w:rFonts w:hint="eastAsia" w:ascii="仿宋_GB2312" w:hAnsi="仿宋_GB2312" w:eastAsia="仿宋_GB2312"/>
          <w:color w:val="000000" w:themeColor="text1"/>
          <w:sz w:val="24"/>
          <w:highlight w:val="none"/>
          <w:lang w:val="en-US" w:eastAsia="zh-CN"/>
          <w14:textFill>
            <w14:solidFill>
              <w14:schemeClr w14:val="tx1"/>
            </w14:solidFill>
          </w14:textFill>
        </w:rPr>
        <w:t xml:space="preserve">   </w:t>
      </w:r>
      <w:r>
        <w:rPr>
          <w:rStyle w:val="37"/>
          <w:rFonts w:hint="eastAsia" w:ascii="仿宋_GB2312" w:hAnsi="仿宋_GB2312" w:eastAsia="仿宋_GB2312"/>
          <w:color w:val="000000" w:themeColor="text1"/>
          <w:sz w:val="24"/>
          <w:highlight w:val="none"/>
          <w14:textFill>
            <w14:solidFill>
              <w14:schemeClr w14:val="tx1"/>
            </w14:solidFill>
          </w14:textFill>
        </w:rPr>
        <w:t>日</w:t>
      </w:r>
    </w:p>
    <w:p w14:paraId="5B3AD09F">
      <w:pPr>
        <w:keepNext w:val="0"/>
        <w:keepLines w:val="0"/>
        <w:pageBreakBefore w:val="0"/>
        <w:widowControl w:val="0"/>
        <w:wordWrap/>
        <w:overflowPunct/>
        <w:topLinePunct w:val="0"/>
        <w:bidi w:val="0"/>
        <w:snapToGrid w:val="0"/>
        <w:spacing w:line="560" w:lineRule="exact"/>
        <w:ind w:firstLine="960" w:firstLineChars="400"/>
        <w:jc w:val="left"/>
        <w:rPr>
          <w:rStyle w:val="37"/>
          <w:rFonts w:ascii="仿宋_GB2312" w:hAnsi="仿宋_GB2312" w:eastAsia="仿宋_GB2312"/>
          <w:color w:val="000000" w:themeColor="text1"/>
          <w:sz w:val="24"/>
          <w:highlight w:val="none"/>
          <w:lang w:val="zh-CN"/>
          <w14:textFill>
            <w14:solidFill>
              <w14:schemeClr w14:val="tx1"/>
            </w14:solidFill>
          </w14:textFill>
        </w:rPr>
      </w:pPr>
    </w:p>
    <w:p w14:paraId="5BBF3390">
      <w:pPr>
        <w:keepNext w:val="0"/>
        <w:keepLines w:val="0"/>
        <w:pageBreakBefore w:val="0"/>
        <w:widowControl w:val="0"/>
        <w:wordWrap/>
        <w:overflowPunct/>
        <w:topLinePunct w:val="0"/>
        <w:bidi w:val="0"/>
        <w:snapToGrid w:val="0"/>
        <w:spacing w:line="560" w:lineRule="exact"/>
        <w:ind w:firstLine="960" w:firstLineChars="400"/>
        <w:jc w:val="left"/>
        <w:rPr>
          <w:rStyle w:val="37"/>
          <w:rFonts w:ascii="仿宋_GB2312" w:hAnsi="仿宋_GB2312" w:eastAsia="仿宋_GB2312"/>
          <w:color w:val="000000" w:themeColor="text1"/>
          <w:sz w:val="24"/>
          <w:highlight w:val="none"/>
          <w:lang w:val="zh-CN"/>
          <w14:textFill>
            <w14:solidFill>
              <w14:schemeClr w14:val="tx1"/>
            </w14:solidFill>
          </w14:textFill>
        </w:rPr>
      </w:pPr>
    </w:p>
    <w:p w14:paraId="3DDA1B87">
      <w:pPr>
        <w:keepNext w:val="0"/>
        <w:keepLines w:val="0"/>
        <w:pageBreakBefore w:val="0"/>
        <w:widowControl w:val="0"/>
        <w:wordWrap/>
        <w:overflowPunct/>
        <w:topLinePunct w:val="0"/>
        <w:bidi w:val="0"/>
        <w:snapToGrid w:val="0"/>
        <w:spacing w:line="560" w:lineRule="exact"/>
        <w:ind w:firstLine="960" w:firstLineChars="400"/>
        <w:jc w:val="left"/>
        <w:rPr>
          <w:rStyle w:val="37"/>
          <w:rFonts w:ascii="仿宋_GB2312" w:hAnsi="仿宋_GB2312" w:eastAsia="仿宋_GB2312"/>
          <w:color w:val="000000" w:themeColor="text1"/>
          <w:sz w:val="24"/>
          <w:highlight w:val="none"/>
          <w:lang w:val="zh-CN"/>
          <w14:textFill>
            <w14:solidFill>
              <w14:schemeClr w14:val="tx1"/>
            </w14:solidFill>
          </w14:textFill>
        </w:rPr>
      </w:pPr>
    </w:p>
    <w:p w14:paraId="21775ACA">
      <w:pPr>
        <w:keepNext w:val="0"/>
        <w:keepLines w:val="0"/>
        <w:pageBreakBefore w:val="0"/>
        <w:widowControl w:val="0"/>
        <w:wordWrap/>
        <w:overflowPunct/>
        <w:topLinePunct w:val="0"/>
        <w:bidi w:val="0"/>
        <w:snapToGrid w:val="0"/>
        <w:spacing w:line="560" w:lineRule="exact"/>
        <w:ind w:firstLine="960" w:firstLineChars="4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lang w:val="zh-CN"/>
          <w14:textFill>
            <w14:solidFill>
              <w14:schemeClr w14:val="tx1"/>
            </w14:solidFill>
          </w14:textFill>
        </w:rPr>
        <w:t>年</w:t>
      </w:r>
      <w:r>
        <w:rPr>
          <w:rStyle w:val="37"/>
          <w:rFonts w:hint="eastAsia" w:ascii="仿宋_GB2312" w:hAnsi="仿宋_GB2312" w:eastAsia="仿宋_GB2312"/>
          <w:color w:val="000000" w:themeColor="text1"/>
          <w:sz w:val="24"/>
          <w:highlight w:val="none"/>
          <w:lang w:val="en-US" w:eastAsia="zh-CN"/>
          <w14:textFill>
            <w14:solidFill>
              <w14:schemeClr w14:val="tx1"/>
            </w14:solidFill>
          </w14:textFill>
        </w:rPr>
        <w:t xml:space="preserve">  </w:t>
      </w:r>
      <w:r>
        <w:rPr>
          <w:rStyle w:val="37"/>
          <w:rFonts w:ascii="仿宋_GB2312" w:hAnsi="仿宋_GB2312" w:eastAsia="仿宋_GB2312"/>
          <w:color w:val="000000" w:themeColor="text1"/>
          <w:sz w:val="24"/>
          <w:highlight w:val="none"/>
          <w:lang w:val="zh-CN"/>
          <w14:textFill>
            <w14:solidFill>
              <w14:schemeClr w14:val="tx1"/>
            </w14:solidFill>
          </w14:textFill>
        </w:rPr>
        <w:t>月</w:t>
      </w:r>
      <w:r>
        <w:rPr>
          <w:rStyle w:val="37"/>
          <w:rFonts w:hint="eastAsia" w:ascii="仿宋_GB2312" w:hAnsi="仿宋_GB2312" w:eastAsia="仿宋_GB2312"/>
          <w:color w:val="000000" w:themeColor="text1"/>
          <w:sz w:val="24"/>
          <w:highlight w:val="none"/>
          <w:lang w:val="en-US" w:eastAsia="zh-CN"/>
          <w14:textFill>
            <w14:solidFill>
              <w14:schemeClr w14:val="tx1"/>
            </w14:solidFill>
          </w14:textFill>
        </w:rPr>
        <w:t xml:space="preserve">  </w:t>
      </w:r>
      <w:r>
        <w:rPr>
          <w:rStyle w:val="37"/>
          <w:rFonts w:ascii="仿宋_GB2312" w:hAnsi="仿宋_GB2312" w:eastAsia="仿宋_GB2312"/>
          <w:color w:val="000000" w:themeColor="text1"/>
          <w:sz w:val="24"/>
          <w:highlight w:val="none"/>
          <w:lang w:val="zh-CN"/>
          <w14:textFill>
            <w14:solidFill>
              <w14:schemeClr w14:val="tx1"/>
            </w14:solidFill>
          </w14:textFill>
        </w:rPr>
        <w:t>日</w:t>
      </w:r>
      <w:r>
        <w:rPr>
          <w:rStyle w:val="37"/>
          <w:rFonts w:ascii="仿宋_GB2312" w:hAnsi="仿宋_GB2312" w:eastAsia="仿宋_GB2312"/>
          <w:color w:val="000000" w:themeColor="text1"/>
          <w:sz w:val="24"/>
          <w:highlight w:val="none"/>
          <w14:textFill>
            <w14:solidFill>
              <w14:schemeClr w14:val="tx1"/>
            </w14:solidFill>
          </w14:textFill>
        </w:rPr>
        <w:t>，</w:t>
      </w:r>
      <w:r>
        <w:rPr>
          <w:rStyle w:val="37"/>
          <w:rFonts w:hint="eastAsia" w:ascii="仿宋_GB2312" w:hAnsi="仿宋_GB2312" w:eastAsia="仿宋_GB2312"/>
          <w:color w:val="000000" w:themeColor="text1"/>
          <w:sz w:val="24"/>
          <w:highlight w:val="none"/>
          <w:lang w:val="en-US" w:eastAsia="zh-CN"/>
          <w14:textFill>
            <w14:solidFill>
              <w14:schemeClr w14:val="tx1"/>
            </w14:solidFill>
          </w14:textFill>
        </w:rPr>
        <w:t xml:space="preserve"> </w:t>
      </w:r>
      <w:r>
        <w:rPr>
          <w:rStyle w:val="37"/>
          <w:rFonts w:hint="eastAsia" w:ascii="仿宋_GB2312" w:hAnsi="仿宋_GB2312" w:eastAsia="仿宋_GB2312"/>
          <w:color w:val="000000" w:themeColor="text1"/>
          <w:sz w:val="24"/>
          <w:highlight w:val="none"/>
          <w:u w:val="single" w:color="000000"/>
          <w:lang w:val="en-US" w:eastAsia="zh-CN"/>
          <w14:textFill>
            <w14:solidFill>
              <w14:schemeClr w14:val="tx1"/>
            </w14:solidFill>
          </w14:textFill>
        </w:rPr>
        <w:t xml:space="preserve">  </w:t>
      </w:r>
      <w:r>
        <w:rPr>
          <w:rStyle w:val="37"/>
          <w:rFonts w:hint="eastAsia" w:ascii="Times New Roman" w:hAnsi="Times New Roman" w:eastAsia="仿宋" w:cs="Times New Roman"/>
          <w:color w:val="auto"/>
          <w:sz w:val="24"/>
          <w:szCs w:val="24"/>
          <w:highlight w:val="none"/>
          <w:u w:val="single" w:color="000000"/>
          <w:lang w:eastAsia="zh-CN"/>
        </w:rPr>
        <w:t>伽师县</w:t>
      </w:r>
      <w:r>
        <w:rPr>
          <w:rStyle w:val="37"/>
          <w:rFonts w:hint="eastAsia" w:eastAsia="仿宋" w:cs="Times New Roman"/>
          <w:color w:val="auto"/>
          <w:sz w:val="24"/>
          <w:szCs w:val="24"/>
          <w:highlight w:val="none"/>
          <w:u w:val="single" w:color="000000"/>
          <w:lang w:eastAsia="zh-CN"/>
        </w:rPr>
        <w:t>教育局</w:t>
      </w:r>
      <w:r>
        <w:rPr>
          <w:rStyle w:val="37"/>
          <w:rFonts w:hint="eastAsia" w:ascii="Times New Roman" w:hAnsi="Times New Roman" w:eastAsia="仿宋" w:cs="Times New Roman"/>
          <w:color w:val="auto"/>
          <w:sz w:val="24"/>
          <w:szCs w:val="24"/>
          <w:highlight w:val="none"/>
          <w:u w:val="single" w:color="000000"/>
          <w:lang w:val="en-US" w:eastAsia="zh-CN"/>
        </w:rPr>
        <w:t xml:space="preserve">  </w:t>
      </w:r>
      <w:r>
        <w:rPr>
          <w:rStyle w:val="37"/>
          <w:rFonts w:ascii="仿宋_GB2312" w:hAnsi="仿宋_GB2312" w:eastAsia="仿宋_GB2312"/>
          <w:color w:val="000000" w:themeColor="text1"/>
          <w:sz w:val="24"/>
          <w:highlight w:val="none"/>
          <w14:textFill>
            <w14:solidFill>
              <w14:schemeClr w14:val="tx1"/>
            </w14:solidFill>
          </w14:textFill>
        </w:rPr>
        <w:t>以</w:t>
      </w:r>
      <w:r>
        <w:rPr>
          <w:rStyle w:val="37"/>
          <w:rFonts w:hint="eastAsia" w:ascii="仿宋_GB2312" w:hAnsi="仿宋_GB2312" w:eastAsia="仿宋_GB2312"/>
          <w:color w:val="000000" w:themeColor="text1"/>
          <w:sz w:val="24"/>
          <w:highlight w:val="none"/>
          <w:lang w:val="en-US" w:eastAsia="zh-CN"/>
          <w14:textFill>
            <w14:solidFill>
              <w14:schemeClr w14:val="tx1"/>
            </w14:solidFill>
          </w14:textFill>
        </w:rPr>
        <w:t xml:space="preserve"> </w:t>
      </w:r>
      <w:r>
        <w:rPr>
          <w:rStyle w:val="37"/>
          <w:rFonts w:hint="eastAsia" w:ascii="仿宋_GB2312" w:hAnsi="仿宋_GB2312" w:eastAsia="仿宋_GB2312"/>
          <w:color w:val="000000" w:themeColor="text1"/>
          <w:sz w:val="24"/>
          <w:highlight w:val="none"/>
          <w:u w:val="single" w:color="000000"/>
          <w:lang w:val="en-US" w:eastAsia="zh-CN"/>
          <w14:textFill>
            <w14:solidFill>
              <w14:schemeClr w14:val="tx1"/>
            </w14:solidFill>
          </w14:textFill>
        </w:rPr>
        <w:t xml:space="preserve">  公开招标的方式   </w:t>
      </w:r>
      <w:r>
        <w:rPr>
          <w:rStyle w:val="37"/>
          <w:rFonts w:ascii="仿宋_GB2312" w:hAnsi="仿宋_GB2312" w:eastAsia="仿宋_GB2312"/>
          <w:color w:val="000000" w:themeColor="text1"/>
          <w:sz w:val="24"/>
          <w:highlight w:val="none"/>
          <w14:textFill>
            <w14:solidFill>
              <w14:schemeClr w14:val="tx1"/>
            </w14:solidFill>
          </w14:textFill>
        </w:rPr>
        <w:t>对</w:t>
      </w:r>
      <w:r>
        <w:rPr>
          <w:rStyle w:val="37"/>
          <w:rFonts w:hint="eastAsia" w:ascii="仿宋_GB2312" w:hAnsi="仿宋_GB2312" w:eastAsia="仿宋_GB2312"/>
          <w:color w:val="000000" w:themeColor="text1"/>
          <w:sz w:val="24"/>
          <w:highlight w:val="none"/>
          <w:u w:val="single" w:color="000000"/>
          <w:lang w:val="en-US" w:eastAsia="zh-CN"/>
          <w14:textFill>
            <w14:solidFill>
              <w14:schemeClr w14:val="tx1"/>
            </w14:solidFill>
          </w14:textFill>
        </w:rPr>
        <w:t xml:space="preserve">  伽师县学校办学能力提升项目</w:t>
      </w:r>
      <w:r>
        <w:rPr>
          <w:rStyle w:val="37"/>
          <w:rFonts w:ascii="仿宋_GB2312" w:hAnsi="仿宋_GB2312" w:eastAsia="仿宋_GB2312"/>
          <w:color w:val="000000" w:themeColor="text1"/>
          <w:sz w:val="24"/>
          <w:highlight w:val="none"/>
          <w14:textFill>
            <w14:solidFill>
              <w14:schemeClr w14:val="tx1"/>
            </w14:solidFill>
          </w14:textFill>
        </w:rPr>
        <w:t>项目进行了采购。经</w:t>
      </w:r>
      <w:r>
        <w:rPr>
          <w:rStyle w:val="37"/>
          <w:rFonts w:ascii="仿宋_GB2312" w:hAnsi="仿宋_GB2312" w:eastAsia="仿宋_GB2312"/>
          <w:color w:val="000000" w:themeColor="text1"/>
          <w:sz w:val="24"/>
          <w:highlight w:val="none"/>
          <w:u w:val="single" w:color="000000"/>
          <w14:textFill>
            <w14:solidFill>
              <w14:schemeClr w14:val="tx1"/>
            </w14:solidFill>
          </w14:textFill>
        </w:rPr>
        <w:t>（相关评定主体名称）</w:t>
      </w:r>
      <w:r>
        <w:rPr>
          <w:rStyle w:val="37"/>
          <w:rFonts w:ascii="仿宋_GB2312" w:hAnsi="仿宋_GB2312" w:eastAsia="仿宋_GB2312"/>
          <w:color w:val="000000" w:themeColor="text1"/>
          <w:sz w:val="24"/>
          <w:highlight w:val="none"/>
          <w14:textFill>
            <w14:solidFill>
              <w14:schemeClr w14:val="tx1"/>
            </w14:solidFill>
          </w14:textFill>
        </w:rPr>
        <w:t>评定，</w:t>
      </w:r>
      <w:r>
        <w:rPr>
          <w:rStyle w:val="37"/>
          <w:rFonts w:ascii="仿宋_GB2312" w:hAnsi="仿宋_GB2312" w:eastAsia="仿宋_GB2312"/>
          <w:color w:val="000000" w:themeColor="text1"/>
          <w:sz w:val="24"/>
          <w:highlight w:val="none"/>
          <w:u w:val="single" w:color="000000"/>
          <w14:textFill>
            <w14:solidFill>
              <w14:schemeClr w14:val="tx1"/>
            </w14:solidFill>
          </w14:textFill>
        </w:rPr>
        <w:t>（中标供应商名称）</w:t>
      </w:r>
      <w:r>
        <w:rPr>
          <w:rStyle w:val="37"/>
          <w:rFonts w:ascii="仿宋_GB2312" w:hAnsi="仿宋_GB2312" w:eastAsia="仿宋_GB2312"/>
          <w:color w:val="000000" w:themeColor="text1"/>
          <w:sz w:val="24"/>
          <w:highlight w:val="none"/>
          <w14:textFill>
            <w14:solidFill>
              <w14:schemeClr w14:val="tx1"/>
            </w14:solidFill>
          </w14:textFill>
        </w:rPr>
        <w:t>为该项目中标供应商。现于中标通知书发出之日起三十日内，按照采购文件确定的事项签订本合同。</w:t>
      </w:r>
    </w:p>
    <w:p w14:paraId="3322D758">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lang w:val="zh-CN"/>
          <w14:textFill>
            <w14:solidFill>
              <w14:schemeClr w14:val="tx1"/>
            </w14:solidFill>
          </w14:textFill>
        </w:rPr>
        <w:t>根据《中华人民共和国合同法》、《中华人民共和国政府采购法》等相关法律法规之规定，按照平等、自愿、公平和诚实信用的原则，经</w:t>
      </w:r>
      <w:r>
        <w:rPr>
          <w:rStyle w:val="37"/>
          <w:rFonts w:hint="eastAsia" w:ascii="仿宋_GB2312" w:hAnsi="仿宋_GB2312" w:eastAsia="仿宋_GB2312"/>
          <w:color w:val="000000" w:themeColor="text1"/>
          <w:sz w:val="24"/>
          <w:highlight w:val="none"/>
          <w:u w:val="single" w:color="000000"/>
          <w:lang w:val="en-US" w:eastAsia="zh-CN"/>
          <w14:textFill>
            <w14:solidFill>
              <w14:schemeClr w14:val="tx1"/>
            </w14:solidFill>
          </w14:textFill>
        </w:rPr>
        <w:t>伽师县教育局</w:t>
      </w:r>
      <w:r>
        <w:rPr>
          <w:rStyle w:val="37"/>
          <w:rFonts w:ascii="仿宋_GB2312" w:hAnsi="仿宋_GB2312" w:eastAsia="仿宋_GB2312"/>
          <w:color w:val="000000" w:themeColor="text1"/>
          <w:sz w:val="24"/>
          <w:highlight w:val="none"/>
          <w:lang w:val="zh-CN"/>
          <w14:textFill>
            <w14:solidFill>
              <w14:schemeClr w14:val="tx1"/>
            </w14:solidFill>
          </w14:textFill>
        </w:rPr>
        <w:t>(以下简称：甲方)和</w:t>
      </w:r>
      <w:r>
        <w:rPr>
          <w:rStyle w:val="37"/>
          <w:rFonts w:ascii="仿宋_GB2312" w:hAnsi="仿宋_GB2312" w:eastAsia="仿宋_GB2312"/>
          <w:color w:val="000000" w:themeColor="text1"/>
          <w:sz w:val="24"/>
          <w:highlight w:val="none"/>
          <w:u w:val="single" w:color="000000"/>
          <w14:textFill>
            <w14:solidFill>
              <w14:schemeClr w14:val="tx1"/>
            </w14:solidFill>
          </w14:textFill>
        </w:rPr>
        <w:t>（中标供应商名称）</w:t>
      </w:r>
      <w:r>
        <w:rPr>
          <w:rStyle w:val="37"/>
          <w:rFonts w:ascii="仿宋_GB2312" w:hAnsi="仿宋_GB2312" w:eastAsia="仿宋_GB2312"/>
          <w:color w:val="000000" w:themeColor="text1"/>
          <w:sz w:val="24"/>
          <w:highlight w:val="none"/>
          <w:lang w:val="zh-CN"/>
          <w14:textFill>
            <w14:solidFill>
              <w14:schemeClr w14:val="tx1"/>
            </w14:solidFill>
          </w14:textFill>
        </w:rPr>
        <w:t>(以下简称：乙方)协商一致，约定以下合同</w:t>
      </w:r>
      <w:r>
        <w:rPr>
          <w:rStyle w:val="37"/>
          <w:rFonts w:ascii="仿宋_GB2312" w:hAnsi="仿宋_GB2312" w:eastAsia="仿宋_GB2312"/>
          <w:color w:val="000000" w:themeColor="text1"/>
          <w:sz w:val="24"/>
          <w:highlight w:val="none"/>
          <w14:textFill>
            <w14:solidFill>
              <w14:schemeClr w14:val="tx1"/>
            </w14:solidFill>
          </w14:textFill>
        </w:rPr>
        <w:t>条款，以兹共同遵守、全面履行。</w:t>
      </w:r>
    </w:p>
    <w:p w14:paraId="03BB5B9F">
      <w:pPr>
        <w:keepNext w:val="0"/>
        <w:keepLines w:val="0"/>
        <w:pageBreakBefore w:val="0"/>
        <w:widowControl w:val="0"/>
        <w:wordWrap/>
        <w:overflowPunct/>
        <w:topLinePunct w:val="0"/>
        <w:bidi w:val="0"/>
        <w:snapToGrid w:val="0"/>
        <w:spacing w:line="560" w:lineRule="exact"/>
        <w:ind w:firstLine="482" w:firstLineChars="200"/>
        <w:jc w:val="left"/>
        <w:rPr>
          <w:rStyle w:val="37"/>
          <w:rFonts w:hint="eastAsia" w:ascii="仿宋_GB2312" w:hAnsi="仿宋_GB2312" w:eastAsia="仿宋_GB2312"/>
          <w:b/>
          <w:color w:val="000000" w:themeColor="text1"/>
          <w:sz w:val="24"/>
          <w:highlight w:val="none"/>
          <w14:textFill>
            <w14:solidFill>
              <w14:schemeClr w14:val="tx1"/>
            </w14:solidFill>
          </w14:textFill>
        </w:rPr>
      </w:pPr>
      <w:r>
        <w:rPr>
          <w:rStyle w:val="37"/>
          <w:rFonts w:ascii="仿宋_GB2312" w:hAnsi="仿宋_GB2312" w:eastAsia="仿宋_GB2312"/>
          <w:b/>
          <w:color w:val="000000" w:themeColor="text1"/>
          <w:sz w:val="24"/>
          <w:highlight w:val="none"/>
          <w14:textFill>
            <w14:solidFill>
              <w14:schemeClr w14:val="tx1"/>
            </w14:solidFill>
          </w14:textFill>
        </w:rPr>
        <w:t>1.1合同组成部分</w:t>
      </w:r>
    </w:p>
    <w:p w14:paraId="2D30C577">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24629476">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1.1.1本合同及其补充合同、变更协议；</w:t>
      </w:r>
    </w:p>
    <w:p w14:paraId="11B6E22B">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1.1.2中标通知书；</w:t>
      </w:r>
    </w:p>
    <w:p w14:paraId="2A9E2893">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1.1.3投标文件（含澄清或者说明文件）；</w:t>
      </w:r>
    </w:p>
    <w:p w14:paraId="105F40C3">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1.1.4招标文件（含澄清或者修改文件）；</w:t>
      </w:r>
    </w:p>
    <w:p w14:paraId="20DD908D">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1.1.5其他相关采购文件。</w:t>
      </w:r>
    </w:p>
    <w:p w14:paraId="7B36AEBD">
      <w:pPr>
        <w:keepNext w:val="0"/>
        <w:keepLines w:val="0"/>
        <w:pageBreakBefore w:val="0"/>
        <w:widowControl w:val="0"/>
        <w:wordWrap/>
        <w:overflowPunct/>
        <w:topLinePunct w:val="0"/>
        <w:bidi w:val="0"/>
        <w:snapToGrid w:val="0"/>
        <w:spacing w:line="560" w:lineRule="exact"/>
        <w:ind w:firstLine="482" w:firstLineChars="200"/>
        <w:jc w:val="left"/>
        <w:rPr>
          <w:rStyle w:val="37"/>
          <w:rFonts w:hint="eastAsia" w:ascii="仿宋_GB2312" w:hAnsi="仿宋_GB2312" w:eastAsia="仿宋_GB2312"/>
          <w:b/>
          <w:color w:val="000000" w:themeColor="text1"/>
          <w:sz w:val="24"/>
          <w:highlight w:val="none"/>
          <w14:textFill>
            <w14:solidFill>
              <w14:schemeClr w14:val="tx1"/>
            </w14:solidFill>
          </w14:textFill>
        </w:rPr>
      </w:pPr>
      <w:r>
        <w:rPr>
          <w:rStyle w:val="37"/>
          <w:rFonts w:ascii="仿宋_GB2312" w:hAnsi="仿宋_GB2312" w:eastAsia="仿宋_GB2312"/>
          <w:b/>
          <w:color w:val="000000" w:themeColor="text1"/>
          <w:sz w:val="24"/>
          <w:highlight w:val="none"/>
          <w14:textFill>
            <w14:solidFill>
              <w14:schemeClr w14:val="tx1"/>
            </w14:solidFill>
          </w14:textFill>
        </w:rPr>
        <w:t>1.2货物</w:t>
      </w:r>
    </w:p>
    <w:p w14:paraId="4F2386D5">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u w:val="singl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1.2.1货物</w:t>
      </w:r>
      <w:r>
        <w:rPr>
          <w:rStyle w:val="37"/>
          <w:rFonts w:hint="eastAsia" w:ascii="仿宋_GB2312" w:hAnsi="仿宋_GB2312" w:eastAsia="仿宋_GB2312"/>
          <w:color w:val="000000" w:themeColor="text1"/>
          <w:sz w:val="24"/>
          <w:highlight w:val="none"/>
          <w:lang w:val="en-US" w:eastAsia="zh-CN"/>
          <w14:textFill>
            <w14:solidFill>
              <w14:schemeClr w14:val="tx1"/>
            </w14:solidFill>
          </w14:textFill>
        </w:rPr>
        <w:t>名称</w:t>
      </w:r>
      <w:r>
        <w:rPr>
          <w:rStyle w:val="37"/>
          <w:rFonts w:ascii="仿宋_GB2312" w:hAnsi="仿宋_GB2312" w:eastAsia="仿宋_GB2312"/>
          <w:color w:val="000000" w:themeColor="text1"/>
          <w:sz w:val="24"/>
          <w:highlight w:val="none"/>
          <w14:textFill>
            <w14:solidFill>
              <w14:schemeClr w14:val="tx1"/>
            </w14:solidFill>
          </w14:textFill>
        </w:rPr>
        <w:t>；</w:t>
      </w:r>
    </w:p>
    <w:p w14:paraId="204D0E0A">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u w:val="singl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1.2.2货物</w:t>
      </w:r>
      <w:r>
        <w:rPr>
          <w:rStyle w:val="37"/>
          <w:rFonts w:hint="eastAsia" w:ascii="仿宋_GB2312" w:hAnsi="仿宋_GB2312" w:eastAsia="仿宋_GB2312"/>
          <w:color w:val="000000" w:themeColor="text1"/>
          <w:sz w:val="24"/>
          <w:highlight w:val="none"/>
          <w:lang w:val="en-US" w:eastAsia="zh-CN"/>
          <w14:textFill>
            <w14:solidFill>
              <w14:schemeClr w14:val="tx1"/>
            </w14:solidFill>
          </w14:textFill>
        </w:rPr>
        <w:t>数量</w:t>
      </w:r>
      <w:r>
        <w:rPr>
          <w:rStyle w:val="37"/>
          <w:rFonts w:ascii="仿宋_GB2312" w:hAnsi="仿宋_GB2312" w:eastAsia="仿宋_GB2312"/>
          <w:color w:val="000000" w:themeColor="text1"/>
          <w:sz w:val="24"/>
          <w:highlight w:val="none"/>
          <w14:textFill>
            <w14:solidFill>
              <w14:schemeClr w14:val="tx1"/>
            </w14:solidFill>
          </w14:textFill>
        </w:rPr>
        <w:t>；</w:t>
      </w:r>
    </w:p>
    <w:p w14:paraId="0E7402A3">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1.2.3货物</w:t>
      </w:r>
      <w:r>
        <w:rPr>
          <w:rStyle w:val="37"/>
          <w:rFonts w:hint="eastAsia" w:ascii="仿宋_GB2312" w:hAnsi="仿宋_GB2312" w:eastAsia="仿宋_GB2312"/>
          <w:color w:val="000000" w:themeColor="text1"/>
          <w:sz w:val="24"/>
          <w:highlight w:val="none"/>
          <w:lang w:val="en-US" w:eastAsia="zh-CN"/>
          <w14:textFill>
            <w14:solidFill>
              <w14:schemeClr w14:val="tx1"/>
            </w14:solidFill>
          </w14:textFill>
        </w:rPr>
        <w:t>质量</w:t>
      </w:r>
      <w:r>
        <w:rPr>
          <w:rStyle w:val="37"/>
          <w:rFonts w:ascii="仿宋_GB2312" w:hAnsi="仿宋_GB2312" w:eastAsia="仿宋_GB2312"/>
          <w:color w:val="000000" w:themeColor="text1"/>
          <w:sz w:val="24"/>
          <w:highlight w:val="none"/>
          <w14:textFill>
            <w14:solidFill>
              <w14:schemeClr w14:val="tx1"/>
            </w14:solidFill>
          </w14:textFill>
        </w:rPr>
        <w:t>：</w:t>
      </w:r>
      <w:r>
        <w:rPr>
          <w:rStyle w:val="37"/>
          <w:rFonts w:ascii="仿宋_GB2312" w:hAnsi="仿宋_GB2312" w:eastAsia="仿宋_GB2312"/>
          <w:color w:val="000000" w:themeColor="text1"/>
          <w:sz w:val="24"/>
          <w:highlight w:val="none"/>
          <w:u w:val="single" w:color="000000"/>
          <w14:textFill>
            <w14:solidFill>
              <w14:schemeClr w14:val="tx1"/>
            </w14:solidFill>
          </w14:textFill>
        </w:rPr>
        <w:t>　　　　　　　　　　</w:t>
      </w:r>
      <w:r>
        <w:rPr>
          <w:rStyle w:val="37"/>
          <w:rFonts w:ascii="仿宋_GB2312" w:hAnsi="仿宋_GB2312" w:eastAsia="仿宋_GB2312"/>
          <w:color w:val="000000" w:themeColor="text1"/>
          <w:sz w:val="24"/>
          <w:highlight w:val="none"/>
          <w14:textFill>
            <w14:solidFill>
              <w14:schemeClr w14:val="tx1"/>
            </w14:solidFill>
          </w14:textFill>
        </w:rPr>
        <w:t>。</w:t>
      </w:r>
    </w:p>
    <w:p w14:paraId="60015D44">
      <w:pPr>
        <w:keepNext w:val="0"/>
        <w:keepLines w:val="0"/>
        <w:pageBreakBefore w:val="0"/>
        <w:widowControl w:val="0"/>
        <w:wordWrap/>
        <w:overflowPunct/>
        <w:topLinePunct w:val="0"/>
        <w:bidi w:val="0"/>
        <w:snapToGrid w:val="0"/>
        <w:spacing w:line="560" w:lineRule="exact"/>
        <w:ind w:firstLine="482" w:firstLineChars="200"/>
        <w:jc w:val="left"/>
        <w:rPr>
          <w:rStyle w:val="37"/>
          <w:rFonts w:hint="eastAsia" w:ascii="仿宋_GB2312" w:hAnsi="仿宋_GB2312" w:eastAsia="仿宋_GB2312"/>
          <w:b/>
          <w:color w:val="000000" w:themeColor="text1"/>
          <w:sz w:val="24"/>
          <w:highlight w:val="none"/>
          <w14:textFill>
            <w14:solidFill>
              <w14:schemeClr w14:val="tx1"/>
            </w14:solidFill>
          </w14:textFill>
        </w:rPr>
      </w:pPr>
      <w:r>
        <w:rPr>
          <w:rStyle w:val="37"/>
          <w:rFonts w:ascii="仿宋_GB2312" w:hAnsi="仿宋_GB2312" w:eastAsia="仿宋_GB2312"/>
          <w:b/>
          <w:color w:val="000000" w:themeColor="text1"/>
          <w:sz w:val="24"/>
          <w:highlight w:val="none"/>
          <w14:textFill>
            <w14:solidFill>
              <w14:schemeClr w14:val="tx1"/>
            </w14:solidFill>
          </w14:textFill>
        </w:rPr>
        <w:t>1.3价款</w:t>
      </w:r>
    </w:p>
    <w:p w14:paraId="708B8461">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本合同总价为：￥元（大写：元人民币）。</w:t>
      </w:r>
    </w:p>
    <w:p w14:paraId="7969D9A2">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u w:val="singl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分项价格：</w:t>
      </w:r>
    </w:p>
    <w:tbl>
      <w:tblPr>
        <w:tblStyle w:val="26"/>
        <w:tblW w:w="715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01"/>
        <w:gridCol w:w="3402"/>
        <w:gridCol w:w="2552"/>
      </w:tblGrid>
      <w:tr w14:paraId="2CAB2D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201" w:type="dxa"/>
            <w:tcBorders>
              <w:top w:val="single" w:color="000000" w:sz="4" w:space="0"/>
              <w:left w:val="single" w:color="000000" w:sz="4" w:space="0"/>
              <w:bottom w:val="single" w:color="000000" w:sz="4" w:space="0"/>
              <w:right w:val="single" w:color="000000" w:sz="4" w:space="0"/>
            </w:tcBorders>
            <w:vAlign w:val="center"/>
          </w:tcPr>
          <w:p w14:paraId="65162A2A">
            <w:pPr>
              <w:pStyle w:val="91"/>
              <w:keepNext w:val="0"/>
              <w:keepLines w:val="0"/>
              <w:pageBreakBefore w:val="0"/>
              <w:widowControl w:val="0"/>
              <w:suppressLineNumbers w:val="0"/>
              <w:wordWrap/>
              <w:overflowPunct/>
              <w:topLinePunct w:val="0"/>
              <w:bidi w:val="0"/>
              <w:snapToGrid w:val="0"/>
              <w:spacing w:before="0" w:beforeAutospacing="0" w:afterAutospacing="0" w:line="560" w:lineRule="exact"/>
              <w:ind w:left="0" w:right="0"/>
              <w:jc w:val="left"/>
              <w:rPr>
                <w:rStyle w:val="37"/>
                <w:rFonts w:hint="eastAsia" w:ascii="仿宋_GB2312" w:hAnsi="仿宋_GB2312" w:eastAsia="仿宋_GB2312"/>
                <w:color w:val="000000" w:themeColor="text1"/>
                <w:kern w:val="2"/>
                <w:sz w:val="24"/>
                <w:szCs w:val="24"/>
                <w:highlight w:val="none"/>
                <w14:textFill>
                  <w14:solidFill>
                    <w14:schemeClr w14:val="tx1"/>
                  </w14:solidFill>
                </w14:textFill>
              </w:rPr>
            </w:pPr>
            <w:r>
              <w:rPr>
                <w:rStyle w:val="37"/>
                <w:rFonts w:hint="default" w:ascii="仿宋_GB2312" w:hAnsi="仿宋_GB2312" w:eastAsia="仿宋_GB2312"/>
                <w:color w:val="000000" w:themeColor="text1"/>
                <w:kern w:val="2"/>
                <w:sz w:val="24"/>
                <w:szCs w:val="24"/>
                <w:highlight w:val="none"/>
                <w14:textFill>
                  <w14:solidFill>
                    <w14:schemeClr w14:val="tx1"/>
                  </w14:solidFill>
                </w14:textFill>
              </w:rPr>
              <w:t>序号</w:t>
            </w:r>
          </w:p>
        </w:tc>
        <w:tc>
          <w:tcPr>
            <w:tcW w:w="3402" w:type="dxa"/>
            <w:tcBorders>
              <w:top w:val="single" w:color="000000" w:sz="4" w:space="0"/>
              <w:left w:val="single" w:color="000000" w:sz="4" w:space="0"/>
              <w:bottom w:val="single" w:color="000000" w:sz="4" w:space="0"/>
              <w:right w:val="single" w:color="000000" w:sz="4" w:space="0"/>
            </w:tcBorders>
            <w:vAlign w:val="center"/>
          </w:tcPr>
          <w:p w14:paraId="2FA54953">
            <w:pPr>
              <w:pStyle w:val="91"/>
              <w:keepNext w:val="0"/>
              <w:keepLines w:val="0"/>
              <w:pageBreakBefore w:val="0"/>
              <w:widowControl w:val="0"/>
              <w:suppressLineNumbers w:val="0"/>
              <w:wordWrap/>
              <w:overflowPunct/>
              <w:topLinePunct w:val="0"/>
              <w:bidi w:val="0"/>
              <w:snapToGrid w:val="0"/>
              <w:spacing w:before="0" w:beforeAutospacing="0" w:afterAutospacing="0" w:line="560" w:lineRule="exact"/>
              <w:ind w:left="0" w:right="0" w:firstLine="200"/>
              <w:jc w:val="left"/>
              <w:rPr>
                <w:rStyle w:val="37"/>
                <w:rFonts w:hint="eastAsia" w:ascii="仿宋_GB2312" w:hAnsi="仿宋_GB2312" w:eastAsia="仿宋_GB2312"/>
                <w:color w:val="000000" w:themeColor="text1"/>
                <w:kern w:val="2"/>
                <w:sz w:val="24"/>
                <w:szCs w:val="24"/>
                <w:highlight w:val="none"/>
                <w14:textFill>
                  <w14:solidFill>
                    <w14:schemeClr w14:val="tx1"/>
                  </w14:solidFill>
                </w14:textFill>
              </w:rPr>
            </w:pPr>
            <w:r>
              <w:rPr>
                <w:rStyle w:val="37"/>
                <w:rFonts w:hint="default" w:ascii="仿宋_GB2312" w:hAnsi="仿宋_GB2312" w:eastAsia="仿宋_GB2312"/>
                <w:color w:val="000000" w:themeColor="text1"/>
                <w:kern w:val="2"/>
                <w:sz w:val="24"/>
                <w:szCs w:val="24"/>
                <w:highlight w:val="none"/>
                <w14:textFill>
                  <w14:solidFill>
                    <w14:schemeClr w14:val="tx1"/>
                  </w14:solidFill>
                </w14:textFill>
              </w:rPr>
              <w:t>分项名称</w:t>
            </w:r>
          </w:p>
        </w:tc>
        <w:tc>
          <w:tcPr>
            <w:tcW w:w="2552" w:type="dxa"/>
            <w:tcBorders>
              <w:top w:val="single" w:color="000000" w:sz="4" w:space="0"/>
              <w:left w:val="single" w:color="000000" w:sz="4" w:space="0"/>
              <w:bottom w:val="single" w:color="000000" w:sz="4" w:space="0"/>
              <w:right w:val="single" w:color="000000" w:sz="4" w:space="0"/>
            </w:tcBorders>
            <w:vAlign w:val="center"/>
          </w:tcPr>
          <w:p w14:paraId="5A0F15B3">
            <w:pPr>
              <w:pStyle w:val="91"/>
              <w:keepNext w:val="0"/>
              <w:keepLines w:val="0"/>
              <w:pageBreakBefore w:val="0"/>
              <w:widowControl w:val="0"/>
              <w:suppressLineNumbers w:val="0"/>
              <w:wordWrap/>
              <w:overflowPunct/>
              <w:topLinePunct w:val="0"/>
              <w:bidi w:val="0"/>
              <w:snapToGrid w:val="0"/>
              <w:spacing w:before="0" w:beforeAutospacing="0" w:afterAutospacing="0" w:line="560" w:lineRule="exact"/>
              <w:ind w:left="0" w:right="0"/>
              <w:jc w:val="left"/>
              <w:rPr>
                <w:rStyle w:val="37"/>
                <w:rFonts w:hint="eastAsia" w:ascii="仿宋_GB2312" w:hAnsi="仿宋_GB2312" w:eastAsia="仿宋_GB2312"/>
                <w:color w:val="000000" w:themeColor="text1"/>
                <w:kern w:val="2"/>
                <w:sz w:val="24"/>
                <w:szCs w:val="24"/>
                <w:highlight w:val="none"/>
                <w14:textFill>
                  <w14:solidFill>
                    <w14:schemeClr w14:val="tx1"/>
                  </w14:solidFill>
                </w14:textFill>
              </w:rPr>
            </w:pPr>
            <w:r>
              <w:rPr>
                <w:rStyle w:val="37"/>
                <w:rFonts w:hint="default" w:ascii="仿宋_GB2312" w:hAnsi="仿宋_GB2312" w:eastAsia="仿宋_GB2312"/>
                <w:color w:val="000000" w:themeColor="text1"/>
                <w:kern w:val="2"/>
                <w:sz w:val="24"/>
                <w:szCs w:val="24"/>
                <w:highlight w:val="none"/>
                <w14:textFill>
                  <w14:solidFill>
                    <w14:schemeClr w14:val="tx1"/>
                  </w14:solidFill>
                </w14:textFill>
              </w:rPr>
              <w:t>分项价格</w:t>
            </w:r>
          </w:p>
        </w:tc>
      </w:tr>
      <w:tr w14:paraId="40146A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201" w:type="dxa"/>
            <w:tcBorders>
              <w:top w:val="single" w:color="000000" w:sz="4" w:space="0"/>
              <w:left w:val="single" w:color="000000" w:sz="4" w:space="0"/>
              <w:bottom w:val="single" w:color="000000" w:sz="4" w:space="0"/>
              <w:right w:val="single" w:color="000000" w:sz="4" w:space="0"/>
            </w:tcBorders>
            <w:vAlign w:val="center"/>
          </w:tcPr>
          <w:p w14:paraId="4A6E8B11">
            <w:pPr>
              <w:pStyle w:val="91"/>
              <w:keepNext w:val="0"/>
              <w:keepLines w:val="0"/>
              <w:pageBreakBefore w:val="0"/>
              <w:widowControl w:val="0"/>
              <w:suppressLineNumbers w:val="0"/>
              <w:wordWrap/>
              <w:overflowPunct/>
              <w:topLinePunct w:val="0"/>
              <w:bidi w:val="0"/>
              <w:snapToGrid w:val="0"/>
              <w:spacing w:before="0" w:beforeAutospacing="0" w:afterAutospacing="0" w:line="560" w:lineRule="exact"/>
              <w:ind w:left="0" w:right="0" w:firstLine="200"/>
              <w:jc w:val="left"/>
              <w:rPr>
                <w:rStyle w:val="37"/>
                <w:rFonts w:hint="eastAsia" w:ascii="仿宋_GB2312" w:hAnsi="仿宋_GB2312" w:eastAsia="仿宋_GB2312"/>
                <w:color w:val="000000" w:themeColor="text1"/>
                <w:kern w:val="2"/>
                <w:sz w:val="24"/>
                <w:szCs w:val="24"/>
                <w:highlight w:val="none"/>
                <w14:textFill>
                  <w14:solidFill>
                    <w14:schemeClr w14:val="tx1"/>
                  </w14:solidFill>
                </w14:textFill>
              </w:rPr>
            </w:pPr>
          </w:p>
        </w:tc>
        <w:tc>
          <w:tcPr>
            <w:tcW w:w="3402" w:type="dxa"/>
            <w:tcBorders>
              <w:top w:val="single" w:color="000000" w:sz="4" w:space="0"/>
              <w:left w:val="single" w:color="000000" w:sz="4" w:space="0"/>
              <w:bottom w:val="single" w:color="000000" w:sz="4" w:space="0"/>
              <w:right w:val="single" w:color="000000" w:sz="4" w:space="0"/>
            </w:tcBorders>
            <w:vAlign w:val="center"/>
          </w:tcPr>
          <w:p w14:paraId="0F675E70">
            <w:pPr>
              <w:pStyle w:val="91"/>
              <w:keepNext w:val="0"/>
              <w:keepLines w:val="0"/>
              <w:pageBreakBefore w:val="0"/>
              <w:widowControl w:val="0"/>
              <w:suppressLineNumbers w:val="0"/>
              <w:wordWrap/>
              <w:overflowPunct/>
              <w:topLinePunct w:val="0"/>
              <w:bidi w:val="0"/>
              <w:snapToGrid w:val="0"/>
              <w:spacing w:before="0" w:beforeAutospacing="0" w:afterAutospacing="0" w:line="560" w:lineRule="exact"/>
              <w:ind w:left="0" w:right="0" w:firstLine="200"/>
              <w:jc w:val="left"/>
              <w:rPr>
                <w:rStyle w:val="37"/>
                <w:rFonts w:hint="eastAsia" w:ascii="仿宋_GB2312" w:hAnsi="仿宋_GB2312" w:eastAsia="仿宋_GB2312"/>
                <w:color w:val="000000" w:themeColor="text1"/>
                <w:kern w:val="2"/>
                <w:sz w:val="24"/>
                <w:szCs w:val="24"/>
                <w:highlight w:val="none"/>
                <w14:textFill>
                  <w14:solidFill>
                    <w14:schemeClr w14:val="tx1"/>
                  </w14:solidFill>
                </w14:textFill>
              </w:rPr>
            </w:pPr>
          </w:p>
        </w:tc>
        <w:tc>
          <w:tcPr>
            <w:tcW w:w="2552" w:type="dxa"/>
            <w:tcBorders>
              <w:top w:val="single" w:color="000000" w:sz="4" w:space="0"/>
              <w:left w:val="single" w:color="000000" w:sz="4" w:space="0"/>
              <w:bottom w:val="single" w:color="000000" w:sz="4" w:space="0"/>
              <w:right w:val="single" w:color="000000" w:sz="4" w:space="0"/>
            </w:tcBorders>
            <w:vAlign w:val="center"/>
          </w:tcPr>
          <w:p w14:paraId="40FF7023">
            <w:pPr>
              <w:pStyle w:val="91"/>
              <w:keepNext w:val="0"/>
              <w:keepLines w:val="0"/>
              <w:pageBreakBefore w:val="0"/>
              <w:widowControl w:val="0"/>
              <w:suppressLineNumbers w:val="0"/>
              <w:wordWrap/>
              <w:overflowPunct/>
              <w:topLinePunct w:val="0"/>
              <w:bidi w:val="0"/>
              <w:snapToGrid w:val="0"/>
              <w:spacing w:before="0" w:beforeAutospacing="0" w:afterAutospacing="0" w:line="560" w:lineRule="exact"/>
              <w:ind w:left="0" w:right="0" w:firstLine="200"/>
              <w:jc w:val="left"/>
              <w:rPr>
                <w:rStyle w:val="37"/>
                <w:rFonts w:hint="eastAsia" w:ascii="仿宋_GB2312" w:hAnsi="仿宋_GB2312" w:eastAsia="仿宋_GB2312"/>
                <w:color w:val="000000" w:themeColor="text1"/>
                <w:kern w:val="2"/>
                <w:sz w:val="24"/>
                <w:szCs w:val="24"/>
                <w:highlight w:val="none"/>
                <w14:textFill>
                  <w14:solidFill>
                    <w14:schemeClr w14:val="tx1"/>
                  </w14:solidFill>
                </w14:textFill>
              </w:rPr>
            </w:pPr>
          </w:p>
        </w:tc>
      </w:tr>
      <w:tr w14:paraId="5551BC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201" w:type="dxa"/>
            <w:tcBorders>
              <w:top w:val="single" w:color="000000" w:sz="4" w:space="0"/>
              <w:left w:val="single" w:color="000000" w:sz="4" w:space="0"/>
              <w:bottom w:val="single" w:color="000000" w:sz="4" w:space="0"/>
              <w:right w:val="single" w:color="000000" w:sz="4" w:space="0"/>
            </w:tcBorders>
            <w:vAlign w:val="center"/>
          </w:tcPr>
          <w:p w14:paraId="1D696E5F">
            <w:pPr>
              <w:pStyle w:val="91"/>
              <w:keepNext w:val="0"/>
              <w:keepLines w:val="0"/>
              <w:pageBreakBefore w:val="0"/>
              <w:widowControl w:val="0"/>
              <w:suppressLineNumbers w:val="0"/>
              <w:wordWrap/>
              <w:overflowPunct/>
              <w:topLinePunct w:val="0"/>
              <w:bidi w:val="0"/>
              <w:snapToGrid w:val="0"/>
              <w:spacing w:before="0" w:beforeAutospacing="0" w:afterAutospacing="0" w:line="560" w:lineRule="exact"/>
              <w:ind w:left="0" w:right="0" w:firstLine="200"/>
              <w:jc w:val="left"/>
              <w:rPr>
                <w:rStyle w:val="37"/>
                <w:rFonts w:hint="eastAsia" w:ascii="仿宋_GB2312" w:hAnsi="仿宋_GB2312" w:eastAsia="仿宋_GB2312"/>
                <w:color w:val="000000" w:themeColor="text1"/>
                <w:kern w:val="2"/>
                <w:sz w:val="24"/>
                <w:szCs w:val="24"/>
                <w:highlight w:val="none"/>
                <w14:textFill>
                  <w14:solidFill>
                    <w14:schemeClr w14:val="tx1"/>
                  </w14:solidFill>
                </w14:textFill>
              </w:rPr>
            </w:pPr>
          </w:p>
        </w:tc>
        <w:tc>
          <w:tcPr>
            <w:tcW w:w="3402" w:type="dxa"/>
            <w:tcBorders>
              <w:top w:val="single" w:color="000000" w:sz="4" w:space="0"/>
              <w:left w:val="single" w:color="000000" w:sz="4" w:space="0"/>
              <w:bottom w:val="single" w:color="000000" w:sz="4" w:space="0"/>
              <w:right w:val="single" w:color="000000" w:sz="4" w:space="0"/>
            </w:tcBorders>
            <w:vAlign w:val="center"/>
          </w:tcPr>
          <w:p w14:paraId="27929B41">
            <w:pPr>
              <w:pStyle w:val="91"/>
              <w:keepNext w:val="0"/>
              <w:keepLines w:val="0"/>
              <w:pageBreakBefore w:val="0"/>
              <w:widowControl w:val="0"/>
              <w:suppressLineNumbers w:val="0"/>
              <w:wordWrap/>
              <w:overflowPunct/>
              <w:topLinePunct w:val="0"/>
              <w:bidi w:val="0"/>
              <w:snapToGrid w:val="0"/>
              <w:spacing w:before="0" w:beforeAutospacing="0" w:afterAutospacing="0" w:line="560" w:lineRule="exact"/>
              <w:ind w:left="0" w:right="0" w:firstLine="200"/>
              <w:jc w:val="left"/>
              <w:rPr>
                <w:rStyle w:val="37"/>
                <w:rFonts w:hint="eastAsia" w:ascii="仿宋_GB2312" w:hAnsi="仿宋_GB2312" w:eastAsia="仿宋_GB2312"/>
                <w:color w:val="000000" w:themeColor="text1"/>
                <w:kern w:val="2"/>
                <w:sz w:val="24"/>
                <w:szCs w:val="24"/>
                <w:highlight w:val="none"/>
                <w14:textFill>
                  <w14:solidFill>
                    <w14:schemeClr w14:val="tx1"/>
                  </w14:solidFill>
                </w14:textFill>
              </w:rPr>
            </w:pPr>
          </w:p>
        </w:tc>
        <w:tc>
          <w:tcPr>
            <w:tcW w:w="2552" w:type="dxa"/>
            <w:tcBorders>
              <w:top w:val="single" w:color="000000" w:sz="4" w:space="0"/>
              <w:left w:val="single" w:color="000000" w:sz="4" w:space="0"/>
              <w:bottom w:val="single" w:color="000000" w:sz="4" w:space="0"/>
              <w:right w:val="single" w:color="000000" w:sz="4" w:space="0"/>
            </w:tcBorders>
            <w:vAlign w:val="center"/>
          </w:tcPr>
          <w:p w14:paraId="08FB5E07">
            <w:pPr>
              <w:pStyle w:val="91"/>
              <w:keepNext w:val="0"/>
              <w:keepLines w:val="0"/>
              <w:pageBreakBefore w:val="0"/>
              <w:widowControl w:val="0"/>
              <w:suppressLineNumbers w:val="0"/>
              <w:wordWrap/>
              <w:overflowPunct/>
              <w:topLinePunct w:val="0"/>
              <w:bidi w:val="0"/>
              <w:snapToGrid w:val="0"/>
              <w:spacing w:before="0" w:beforeAutospacing="0" w:afterAutospacing="0" w:line="560" w:lineRule="exact"/>
              <w:ind w:left="0" w:right="0" w:firstLine="200"/>
              <w:jc w:val="left"/>
              <w:rPr>
                <w:rStyle w:val="37"/>
                <w:rFonts w:hint="eastAsia" w:ascii="仿宋_GB2312" w:hAnsi="仿宋_GB2312" w:eastAsia="仿宋_GB2312"/>
                <w:color w:val="000000" w:themeColor="text1"/>
                <w:kern w:val="2"/>
                <w:sz w:val="24"/>
                <w:szCs w:val="24"/>
                <w:highlight w:val="none"/>
                <w14:textFill>
                  <w14:solidFill>
                    <w14:schemeClr w14:val="tx1"/>
                  </w14:solidFill>
                </w14:textFill>
              </w:rPr>
            </w:pPr>
          </w:p>
        </w:tc>
      </w:tr>
      <w:tr w14:paraId="13CE47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201" w:type="dxa"/>
            <w:tcBorders>
              <w:top w:val="single" w:color="000000" w:sz="4" w:space="0"/>
              <w:left w:val="single" w:color="000000" w:sz="4" w:space="0"/>
              <w:bottom w:val="single" w:color="000000" w:sz="4" w:space="0"/>
              <w:right w:val="single" w:color="000000" w:sz="4" w:space="0"/>
            </w:tcBorders>
            <w:vAlign w:val="center"/>
          </w:tcPr>
          <w:p w14:paraId="100EFF02">
            <w:pPr>
              <w:pStyle w:val="91"/>
              <w:keepNext w:val="0"/>
              <w:keepLines w:val="0"/>
              <w:pageBreakBefore w:val="0"/>
              <w:widowControl w:val="0"/>
              <w:suppressLineNumbers w:val="0"/>
              <w:wordWrap/>
              <w:overflowPunct/>
              <w:topLinePunct w:val="0"/>
              <w:bidi w:val="0"/>
              <w:snapToGrid w:val="0"/>
              <w:spacing w:before="0" w:beforeAutospacing="0" w:afterAutospacing="0" w:line="560" w:lineRule="exact"/>
              <w:ind w:left="0" w:right="0" w:firstLine="200"/>
              <w:jc w:val="left"/>
              <w:rPr>
                <w:rStyle w:val="37"/>
                <w:rFonts w:hint="eastAsia" w:ascii="仿宋_GB2312" w:hAnsi="仿宋_GB2312" w:eastAsia="仿宋_GB2312"/>
                <w:color w:val="000000" w:themeColor="text1"/>
                <w:kern w:val="2"/>
                <w:sz w:val="24"/>
                <w:szCs w:val="24"/>
                <w:highlight w:val="none"/>
                <w14:textFill>
                  <w14:solidFill>
                    <w14:schemeClr w14:val="tx1"/>
                  </w14:solidFill>
                </w14:textFill>
              </w:rPr>
            </w:pPr>
          </w:p>
        </w:tc>
        <w:tc>
          <w:tcPr>
            <w:tcW w:w="3402" w:type="dxa"/>
            <w:tcBorders>
              <w:top w:val="single" w:color="000000" w:sz="4" w:space="0"/>
              <w:left w:val="single" w:color="000000" w:sz="4" w:space="0"/>
              <w:bottom w:val="single" w:color="000000" w:sz="4" w:space="0"/>
              <w:right w:val="single" w:color="000000" w:sz="4" w:space="0"/>
            </w:tcBorders>
            <w:vAlign w:val="center"/>
          </w:tcPr>
          <w:p w14:paraId="3FE195B3">
            <w:pPr>
              <w:pStyle w:val="91"/>
              <w:keepNext w:val="0"/>
              <w:keepLines w:val="0"/>
              <w:pageBreakBefore w:val="0"/>
              <w:widowControl w:val="0"/>
              <w:suppressLineNumbers w:val="0"/>
              <w:wordWrap/>
              <w:overflowPunct/>
              <w:topLinePunct w:val="0"/>
              <w:bidi w:val="0"/>
              <w:snapToGrid w:val="0"/>
              <w:spacing w:before="0" w:beforeAutospacing="0" w:afterAutospacing="0" w:line="560" w:lineRule="exact"/>
              <w:ind w:left="0" w:right="0" w:firstLine="200"/>
              <w:jc w:val="left"/>
              <w:rPr>
                <w:rStyle w:val="37"/>
                <w:rFonts w:hint="eastAsia" w:ascii="仿宋_GB2312" w:hAnsi="仿宋_GB2312" w:eastAsia="仿宋_GB2312"/>
                <w:color w:val="000000" w:themeColor="text1"/>
                <w:kern w:val="2"/>
                <w:sz w:val="24"/>
                <w:szCs w:val="24"/>
                <w:highlight w:val="none"/>
                <w14:textFill>
                  <w14:solidFill>
                    <w14:schemeClr w14:val="tx1"/>
                  </w14:solidFill>
                </w14:textFill>
              </w:rPr>
            </w:pPr>
          </w:p>
        </w:tc>
        <w:tc>
          <w:tcPr>
            <w:tcW w:w="2552" w:type="dxa"/>
            <w:tcBorders>
              <w:top w:val="single" w:color="000000" w:sz="4" w:space="0"/>
              <w:left w:val="single" w:color="000000" w:sz="4" w:space="0"/>
              <w:bottom w:val="single" w:color="000000" w:sz="4" w:space="0"/>
              <w:right w:val="single" w:color="000000" w:sz="4" w:space="0"/>
            </w:tcBorders>
            <w:vAlign w:val="center"/>
          </w:tcPr>
          <w:p w14:paraId="58ECEEBE">
            <w:pPr>
              <w:pStyle w:val="91"/>
              <w:keepNext w:val="0"/>
              <w:keepLines w:val="0"/>
              <w:pageBreakBefore w:val="0"/>
              <w:widowControl w:val="0"/>
              <w:suppressLineNumbers w:val="0"/>
              <w:wordWrap/>
              <w:overflowPunct/>
              <w:topLinePunct w:val="0"/>
              <w:bidi w:val="0"/>
              <w:snapToGrid w:val="0"/>
              <w:spacing w:before="0" w:beforeAutospacing="0" w:afterAutospacing="0" w:line="560" w:lineRule="exact"/>
              <w:ind w:left="0" w:right="0" w:firstLine="200"/>
              <w:jc w:val="left"/>
              <w:rPr>
                <w:rStyle w:val="37"/>
                <w:rFonts w:hint="eastAsia" w:ascii="仿宋_GB2312" w:hAnsi="仿宋_GB2312" w:eastAsia="仿宋_GB2312"/>
                <w:color w:val="000000" w:themeColor="text1"/>
                <w:kern w:val="2"/>
                <w:sz w:val="24"/>
                <w:szCs w:val="24"/>
                <w:highlight w:val="none"/>
                <w14:textFill>
                  <w14:solidFill>
                    <w14:schemeClr w14:val="tx1"/>
                  </w14:solidFill>
                </w14:textFill>
              </w:rPr>
            </w:pPr>
          </w:p>
        </w:tc>
      </w:tr>
      <w:tr w14:paraId="64F77C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201" w:type="dxa"/>
            <w:tcBorders>
              <w:top w:val="single" w:color="000000" w:sz="4" w:space="0"/>
              <w:left w:val="single" w:color="000000" w:sz="4" w:space="0"/>
              <w:bottom w:val="single" w:color="000000" w:sz="4" w:space="0"/>
              <w:right w:val="single" w:color="000000" w:sz="4" w:space="0"/>
            </w:tcBorders>
            <w:vAlign w:val="center"/>
          </w:tcPr>
          <w:p w14:paraId="66D769C9">
            <w:pPr>
              <w:pStyle w:val="91"/>
              <w:keepNext w:val="0"/>
              <w:keepLines w:val="0"/>
              <w:pageBreakBefore w:val="0"/>
              <w:widowControl w:val="0"/>
              <w:suppressLineNumbers w:val="0"/>
              <w:wordWrap/>
              <w:overflowPunct/>
              <w:topLinePunct w:val="0"/>
              <w:bidi w:val="0"/>
              <w:snapToGrid w:val="0"/>
              <w:spacing w:before="0" w:beforeAutospacing="0" w:afterAutospacing="0" w:line="560" w:lineRule="exact"/>
              <w:ind w:left="0" w:right="0" w:firstLine="200"/>
              <w:jc w:val="left"/>
              <w:rPr>
                <w:rStyle w:val="37"/>
                <w:rFonts w:hint="eastAsia" w:ascii="仿宋_GB2312" w:hAnsi="仿宋_GB2312" w:eastAsia="仿宋_GB2312"/>
                <w:color w:val="000000" w:themeColor="text1"/>
                <w:kern w:val="2"/>
                <w:sz w:val="24"/>
                <w:szCs w:val="24"/>
                <w:highlight w:val="none"/>
                <w14:textFill>
                  <w14:solidFill>
                    <w14:schemeClr w14:val="tx1"/>
                  </w14:solidFill>
                </w14:textFill>
              </w:rPr>
            </w:pPr>
          </w:p>
        </w:tc>
        <w:tc>
          <w:tcPr>
            <w:tcW w:w="3402" w:type="dxa"/>
            <w:tcBorders>
              <w:top w:val="single" w:color="000000" w:sz="4" w:space="0"/>
              <w:left w:val="single" w:color="000000" w:sz="4" w:space="0"/>
              <w:bottom w:val="single" w:color="000000" w:sz="4" w:space="0"/>
              <w:right w:val="single" w:color="000000" w:sz="4" w:space="0"/>
            </w:tcBorders>
            <w:vAlign w:val="center"/>
          </w:tcPr>
          <w:p w14:paraId="1CC51DDD">
            <w:pPr>
              <w:pStyle w:val="91"/>
              <w:keepNext w:val="0"/>
              <w:keepLines w:val="0"/>
              <w:pageBreakBefore w:val="0"/>
              <w:widowControl w:val="0"/>
              <w:suppressLineNumbers w:val="0"/>
              <w:wordWrap/>
              <w:overflowPunct/>
              <w:topLinePunct w:val="0"/>
              <w:bidi w:val="0"/>
              <w:snapToGrid w:val="0"/>
              <w:spacing w:before="0" w:beforeAutospacing="0" w:afterAutospacing="0" w:line="560" w:lineRule="exact"/>
              <w:ind w:left="0" w:right="0" w:firstLine="200"/>
              <w:jc w:val="left"/>
              <w:rPr>
                <w:rStyle w:val="37"/>
                <w:rFonts w:hint="eastAsia" w:ascii="仿宋_GB2312" w:hAnsi="仿宋_GB2312" w:eastAsia="仿宋_GB2312"/>
                <w:color w:val="000000" w:themeColor="text1"/>
                <w:kern w:val="2"/>
                <w:sz w:val="24"/>
                <w:szCs w:val="24"/>
                <w:highlight w:val="none"/>
                <w14:textFill>
                  <w14:solidFill>
                    <w14:schemeClr w14:val="tx1"/>
                  </w14:solidFill>
                </w14:textFill>
              </w:rPr>
            </w:pPr>
          </w:p>
        </w:tc>
        <w:tc>
          <w:tcPr>
            <w:tcW w:w="2552" w:type="dxa"/>
            <w:tcBorders>
              <w:top w:val="single" w:color="000000" w:sz="4" w:space="0"/>
              <w:left w:val="single" w:color="000000" w:sz="4" w:space="0"/>
              <w:bottom w:val="single" w:color="000000" w:sz="4" w:space="0"/>
              <w:right w:val="single" w:color="000000" w:sz="4" w:space="0"/>
            </w:tcBorders>
            <w:vAlign w:val="center"/>
          </w:tcPr>
          <w:p w14:paraId="07F92601">
            <w:pPr>
              <w:pStyle w:val="91"/>
              <w:keepNext w:val="0"/>
              <w:keepLines w:val="0"/>
              <w:pageBreakBefore w:val="0"/>
              <w:widowControl w:val="0"/>
              <w:suppressLineNumbers w:val="0"/>
              <w:wordWrap/>
              <w:overflowPunct/>
              <w:topLinePunct w:val="0"/>
              <w:bidi w:val="0"/>
              <w:snapToGrid w:val="0"/>
              <w:spacing w:before="0" w:beforeAutospacing="0" w:afterAutospacing="0" w:line="560" w:lineRule="exact"/>
              <w:ind w:left="0" w:right="0" w:firstLine="200"/>
              <w:jc w:val="left"/>
              <w:rPr>
                <w:rStyle w:val="37"/>
                <w:rFonts w:hint="eastAsia" w:ascii="仿宋_GB2312" w:hAnsi="仿宋_GB2312" w:eastAsia="仿宋_GB2312"/>
                <w:color w:val="000000" w:themeColor="text1"/>
                <w:kern w:val="2"/>
                <w:sz w:val="24"/>
                <w:szCs w:val="24"/>
                <w:highlight w:val="none"/>
                <w14:textFill>
                  <w14:solidFill>
                    <w14:schemeClr w14:val="tx1"/>
                  </w14:solidFill>
                </w14:textFill>
              </w:rPr>
            </w:pPr>
          </w:p>
        </w:tc>
      </w:tr>
      <w:tr w14:paraId="209907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4603" w:type="dxa"/>
            <w:gridSpan w:val="2"/>
            <w:tcBorders>
              <w:top w:val="single" w:color="000000" w:sz="4" w:space="0"/>
              <w:left w:val="single" w:color="000000" w:sz="4" w:space="0"/>
              <w:bottom w:val="single" w:color="000000" w:sz="4" w:space="0"/>
              <w:right w:val="single" w:color="000000" w:sz="4" w:space="0"/>
            </w:tcBorders>
            <w:vAlign w:val="center"/>
          </w:tcPr>
          <w:p w14:paraId="39AA465B">
            <w:pPr>
              <w:pStyle w:val="91"/>
              <w:keepNext w:val="0"/>
              <w:keepLines w:val="0"/>
              <w:pageBreakBefore w:val="0"/>
              <w:widowControl w:val="0"/>
              <w:suppressLineNumbers w:val="0"/>
              <w:wordWrap/>
              <w:overflowPunct/>
              <w:topLinePunct w:val="0"/>
              <w:bidi w:val="0"/>
              <w:snapToGrid w:val="0"/>
              <w:spacing w:before="0" w:beforeAutospacing="0" w:afterAutospacing="0" w:line="560" w:lineRule="exact"/>
              <w:ind w:left="0" w:right="0" w:firstLine="200"/>
              <w:jc w:val="left"/>
              <w:rPr>
                <w:rStyle w:val="37"/>
                <w:rFonts w:hint="eastAsia" w:ascii="仿宋_GB2312" w:hAnsi="仿宋_GB2312" w:eastAsia="仿宋_GB2312"/>
                <w:color w:val="000000" w:themeColor="text1"/>
                <w:kern w:val="2"/>
                <w:sz w:val="24"/>
                <w:szCs w:val="24"/>
                <w:highlight w:val="none"/>
                <w14:textFill>
                  <w14:solidFill>
                    <w14:schemeClr w14:val="tx1"/>
                  </w14:solidFill>
                </w14:textFill>
              </w:rPr>
            </w:pPr>
            <w:r>
              <w:rPr>
                <w:rStyle w:val="37"/>
                <w:rFonts w:hint="default" w:ascii="仿宋_GB2312" w:hAnsi="仿宋_GB2312" w:eastAsia="仿宋_GB2312"/>
                <w:color w:val="000000" w:themeColor="text1"/>
                <w:kern w:val="2"/>
                <w:sz w:val="24"/>
                <w:szCs w:val="24"/>
                <w:highlight w:val="none"/>
                <w14:textFill>
                  <w14:solidFill>
                    <w14:schemeClr w14:val="tx1"/>
                  </w14:solidFill>
                </w14:textFill>
              </w:rPr>
              <w:t>总价</w:t>
            </w:r>
          </w:p>
        </w:tc>
        <w:tc>
          <w:tcPr>
            <w:tcW w:w="2552" w:type="dxa"/>
            <w:tcBorders>
              <w:top w:val="single" w:color="000000" w:sz="4" w:space="0"/>
              <w:left w:val="single" w:color="000000" w:sz="4" w:space="0"/>
              <w:bottom w:val="single" w:color="000000" w:sz="4" w:space="0"/>
              <w:right w:val="single" w:color="000000" w:sz="4" w:space="0"/>
            </w:tcBorders>
            <w:vAlign w:val="center"/>
          </w:tcPr>
          <w:p w14:paraId="3F37B8F4">
            <w:pPr>
              <w:pStyle w:val="91"/>
              <w:keepNext w:val="0"/>
              <w:keepLines w:val="0"/>
              <w:pageBreakBefore w:val="0"/>
              <w:widowControl w:val="0"/>
              <w:suppressLineNumbers w:val="0"/>
              <w:wordWrap/>
              <w:overflowPunct/>
              <w:topLinePunct w:val="0"/>
              <w:bidi w:val="0"/>
              <w:snapToGrid w:val="0"/>
              <w:spacing w:before="0" w:beforeAutospacing="0" w:afterAutospacing="0" w:line="560" w:lineRule="exact"/>
              <w:ind w:left="0" w:right="0" w:firstLine="200"/>
              <w:jc w:val="left"/>
              <w:rPr>
                <w:rStyle w:val="37"/>
                <w:rFonts w:hint="eastAsia" w:ascii="仿宋_GB2312" w:hAnsi="仿宋_GB2312" w:eastAsia="仿宋_GB2312"/>
                <w:color w:val="000000" w:themeColor="text1"/>
                <w:kern w:val="2"/>
                <w:sz w:val="24"/>
                <w:szCs w:val="24"/>
                <w:highlight w:val="none"/>
                <w14:textFill>
                  <w14:solidFill>
                    <w14:schemeClr w14:val="tx1"/>
                  </w14:solidFill>
                </w14:textFill>
              </w:rPr>
            </w:pPr>
          </w:p>
        </w:tc>
      </w:tr>
    </w:tbl>
    <w:p w14:paraId="6960E4B8">
      <w:pPr>
        <w:keepNext w:val="0"/>
        <w:keepLines w:val="0"/>
        <w:pageBreakBefore w:val="0"/>
        <w:widowControl w:val="0"/>
        <w:wordWrap/>
        <w:overflowPunct/>
        <w:topLinePunct w:val="0"/>
        <w:bidi w:val="0"/>
        <w:snapToGrid w:val="0"/>
        <w:spacing w:line="560" w:lineRule="exact"/>
        <w:ind w:firstLine="482" w:firstLineChars="200"/>
        <w:jc w:val="left"/>
        <w:rPr>
          <w:rStyle w:val="37"/>
          <w:rFonts w:hint="eastAsia" w:ascii="仿宋_GB2312" w:hAnsi="仿宋_GB2312" w:eastAsia="仿宋_GB2312"/>
          <w:b/>
          <w:color w:val="000000" w:themeColor="text1"/>
          <w:sz w:val="24"/>
          <w:highlight w:val="none"/>
          <w14:textFill>
            <w14:solidFill>
              <w14:schemeClr w14:val="tx1"/>
            </w14:solidFill>
          </w14:textFill>
        </w:rPr>
      </w:pPr>
      <w:r>
        <w:rPr>
          <w:rStyle w:val="37"/>
          <w:rFonts w:ascii="仿宋_GB2312" w:hAnsi="仿宋_GB2312" w:eastAsia="仿宋_GB2312"/>
          <w:b/>
          <w:color w:val="000000" w:themeColor="text1"/>
          <w:sz w:val="24"/>
          <w:highlight w:val="none"/>
          <w14:textFill>
            <w14:solidFill>
              <w14:schemeClr w14:val="tx1"/>
            </w14:solidFill>
          </w14:textFill>
        </w:rPr>
        <w:t>1.4付款方式和发票开具方式</w:t>
      </w:r>
    </w:p>
    <w:p w14:paraId="0ACC1371">
      <w:pPr>
        <w:keepNext w:val="0"/>
        <w:keepLines w:val="0"/>
        <w:pageBreakBefore w:val="0"/>
        <w:widowControl w:val="0"/>
        <w:numPr>
          <w:ilvl w:val="0"/>
          <w:numId w:val="0"/>
        </w:numPr>
        <w:kinsoku/>
        <w:wordWrap/>
        <w:overflowPunct/>
        <w:topLinePunct w:val="0"/>
        <w:bidi w:val="0"/>
        <w:snapToGrid/>
        <w:spacing w:after="0" w:line="440" w:lineRule="exact"/>
        <w:ind w:firstLine="480" w:firstLineChars="200"/>
        <w:jc w:val="left"/>
        <w:textAlignment w:val="auto"/>
        <w:outlineLvl w:val="9"/>
        <w:rPr>
          <w:rStyle w:val="37"/>
          <w:rFonts w:hint="eastAsia" w:ascii="仿宋_GB2312" w:hAnsi="仿宋_GB2312" w:eastAsia="仿宋_GB2312"/>
          <w:color w:val="000000" w:themeColor="text1"/>
          <w:sz w:val="24"/>
          <w:highlight w:val="none"/>
          <w:u w:val="single" w:color="000000"/>
          <w:lang w:eastAsia="zh-CN"/>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1.4.1付款方式</w:t>
      </w:r>
      <w:r>
        <w:rPr>
          <w:rStyle w:val="37"/>
          <w:rFonts w:hint="eastAsia" w:ascii="仿宋_GB2312" w:hAnsi="仿宋_GB2312" w:eastAsia="仿宋_GB2312"/>
          <w:color w:val="000000" w:themeColor="text1"/>
          <w:sz w:val="24"/>
          <w:highlight w:val="none"/>
          <w:u w:val="single" w:color="000000"/>
          <w:lang w:eastAsia="zh-CN"/>
          <w14:textFill>
            <w14:solidFill>
              <w14:schemeClr w14:val="tx1"/>
            </w14:solidFill>
          </w14:textFill>
        </w:rPr>
        <w:t>供货安装调试、培训、验收合格且无质量问题一次性无息付清。</w:t>
      </w:r>
    </w:p>
    <w:p w14:paraId="6C8BAF6B">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1.4.2发票开具方式：</w:t>
      </w:r>
      <w:r>
        <w:rPr>
          <w:rStyle w:val="37"/>
          <w:rFonts w:hint="eastAsia" w:ascii="仿宋_GB2312" w:hAnsi="仿宋_GB2312" w:eastAsia="仿宋_GB2312"/>
          <w:color w:val="000000" w:themeColor="text1"/>
          <w:sz w:val="24"/>
          <w:highlight w:val="none"/>
          <w:lang w:val="en-US" w:eastAsia="zh-CN"/>
          <w14:textFill>
            <w14:solidFill>
              <w14:schemeClr w14:val="tx1"/>
            </w14:solidFill>
          </w14:textFill>
        </w:rPr>
        <w:t>按照财政集中支付要求及税务部门规定</w:t>
      </w:r>
      <w:r>
        <w:rPr>
          <w:rStyle w:val="37"/>
          <w:rFonts w:ascii="仿宋_GB2312" w:hAnsi="仿宋_GB2312" w:eastAsia="仿宋_GB2312"/>
          <w:color w:val="000000" w:themeColor="text1"/>
          <w:sz w:val="24"/>
          <w:highlight w:val="none"/>
          <w14:textFill>
            <w14:solidFill>
              <w14:schemeClr w14:val="tx1"/>
            </w14:solidFill>
          </w14:textFill>
        </w:rPr>
        <w:t>。</w:t>
      </w:r>
    </w:p>
    <w:p w14:paraId="2F64DE24">
      <w:pPr>
        <w:keepNext w:val="0"/>
        <w:keepLines w:val="0"/>
        <w:pageBreakBefore w:val="0"/>
        <w:widowControl w:val="0"/>
        <w:wordWrap/>
        <w:overflowPunct/>
        <w:topLinePunct w:val="0"/>
        <w:bidi w:val="0"/>
        <w:snapToGrid w:val="0"/>
        <w:spacing w:line="560" w:lineRule="exact"/>
        <w:ind w:firstLine="482" w:firstLineChars="200"/>
        <w:jc w:val="left"/>
        <w:rPr>
          <w:rStyle w:val="37"/>
          <w:rFonts w:hint="eastAsia" w:ascii="仿宋_GB2312" w:hAnsi="仿宋_GB2312" w:eastAsia="仿宋_GB2312"/>
          <w:b/>
          <w:color w:val="000000" w:themeColor="text1"/>
          <w:sz w:val="24"/>
          <w:highlight w:val="none"/>
          <w14:textFill>
            <w14:solidFill>
              <w14:schemeClr w14:val="tx1"/>
            </w14:solidFill>
          </w14:textFill>
        </w:rPr>
      </w:pPr>
      <w:r>
        <w:rPr>
          <w:rStyle w:val="37"/>
          <w:rFonts w:ascii="仿宋_GB2312" w:hAnsi="仿宋_GB2312" w:eastAsia="仿宋_GB2312"/>
          <w:b/>
          <w:color w:val="000000" w:themeColor="text1"/>
          <w:sz w:val="24"/>
          <w:highlight w:val="none"/>
          <w14:textFill>
            <w14:solidFill>
              <w14:schemeClr w14:val="tx1"/>
            </w14:solidFill>
          </w14:textFill>
        </w:rPr>
        <w:t>1.5货物交付期限、地点和方式</w:t>
      </w:r>
    </w:p>
    <w:p w14:paraId="132B5753">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u w:val="singl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1.5.1交付</w:t>
      </w:r>
      <w:r>
        <w:rPr>
          <w:rStyle w:val="37"/>
          <w:rFonts w:hint="eastAsia" w:ascii="仿宋_GB2312" w:hAnsi="仿宋_GB2312" w:eastAsia="仿宋_GB2312"/>
          <w:color w:val="000000" w:themeColor="text1"/>
          <w:sz w:val="24"/>
          <w:highlight w:val="none"/>
          <w:lang w:val="en-US" w:eastAsia="zh-CN"/>
          <w14:textFill>
            <w14:solidFill>
              <w14:schemeClr w14:val="tx1"/>
            </w14:solidFill>
          </w14:textFill>
        </w:rPr>
        <w:t>期限</w:t>
      </w:r>
      <w:r>
        <w:rPr>
          <w:rStyle w:val="37"/>
          <w:rFonts w:ascii="仿宋_GB2312" w:hAnsi="仿宋_GB2312" w:eastAsia="仿宋_GB2312"/>
          <w:color w:val="000000" w:themeColor="text1"/>
          <w:sz w:val="24"/>
          <w:highlight w:val="none"/>
          <w14:textFill>
            <w14:solidFill>
              <w14:schemeClr w14:val="tx1"/>
            </w14:solidFill>
          </w14:textFill>
        </w:rPr>
        <w:t>；</w:t>
      </w:r>
      <w:r>
        <w:rPr>
          <w:rStyle w:val="37"/>
          <w:rFonts w:hint="eastAsia" w:ascii="Times New Roman" w:hAnsi="Times New Roman" w:eastAsia="仿宋" w:cs="Times New Roman"/>
          <w:color w:val="auto"/>
          <w:sz w:val="24"/>
          <w:szCs w:val="24"/>
          <w:highlight w:val="none"/>
          <w:lang w:val="en-US" w:eastAsia="zh-CN"/>
        </w:rPr>
        <w:t>合同签订后</w:t>
      </w:r>
      <w:r>
        <w:rPr>
          <w:rStyle w:val="37"/>
          <w:rFonts w:hint="eastAsia" w:eastAsia="仿宋" w:cs="Times New Roman"/>
          <w:color w:val="auto"/>
          <w:sz w:val="24"/>
          <w:szCs w:val="24"/>
          <w:highlight w:val="none"/>
          <w:lang w:val="en-US" w:eastAsia="zh-CN"/>
        </w:rPr>
        <w:t>45</w:t>
      </w:r>
      <w:r>
        <w:rPr>
          <w:rStyle w:val="37"/>
          <w:rFonts w:hint="eastAsia" w:ascii="Times New Roman" w:hAnsi="Times New Roman" w:eastAsia="仿宋" w:cs="Times New Roman"/>
          <w:color w:val="auto"/>
          <w:sz w:val="24"/>
          <w:szCs w:val="24"/>
          <w:highlight w:val="none"/>
          <w:lang w:val="en-US" w:eastAsia="zh-CN"/>
        </w:rPr>
        <w:t>日内</w:t>
      </w:r>
      <w:r>
        <w:rPr>
          <w:rStyle w:val="37"/>
          <w:rFonts w:ascii="仿宋_GB2312" w:hAnsi="仿宋_GB2312" w:eastAsia="仿宋_GB2312"/>
          <w:color w:val="000000" w:themeColor="text1"/>
          <w:sz w:val="24"/>
          <w:highlight w:val="none"/>
          <w14:textFill>
            <w14:solidFill>
              <w14:schemeClr w14:val="tx1"/>
            </w14:solidFill>
          </w14:textFill>
        </w:rPr>
        <w:t>。</w:t>
      </w:r>
    </w:p>
    <w:p w14:paraId="3722A18C">
      <w:pPr>
        <w:keepNext w:val="0"/>
        <w:keepLines w:val="0"/>
        <w:pageBreakBefore w:val="0"/>
        <w:widowControl w:val="0"/>
        <w:wordWrap/>
        <w:overflowPunct/>
        <w:topLinePunct w:val="0"/>
        <w:bidi w:val="0"/>
        <w:snapToGrid w:val="0"/>
        <w:spacing w:line="560" w:lineRule="exact"/>
        <w:ind w:firstLine="480" w:firstLineChars="200"/>
        <w:jc w:val="left"/>
        <w:rPr>
          <w:rStyle w:val="37"/>
          <w:rFonts w:hint="default" w:ascii="仿宋_GB2312" w:hAnsi="仿宋_GB2312" w:eastAsia="仿宋_GB2312"/>
          <w:color w:val="000000" w:themeColor="text1"/>
          <w:sz w:val="24"/>
          <w:highlight w:val="none"/>
          <w:lang w:val="en-US" w:eastAsia="zh-CN"/>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1.5.2交付</w:t>
      </w:r>
      <w:r>
        <w:rPr>
          <w:rStyle w:val="37"/>
          <w:rFonts w:hint="eastAsia" w:ascii="仿宋_GB2312" w:hAnsi="仿宋_GB2312" w:eastAsia="仿宋_GB2312"/>
          <w:color w:val="000000" w:themeColor="text1"/>
          <w:sz w:val="24"/>
          <w:highlight w:val="none"/>
          <w:lang w:val="en-US" w:eastAsia="zh-CN"/>
          <w14:textFill>
            <w14:solidFill>
              <w14:schemeClr w14:val="tx1"/>
            </w14:solidFill>
          </w14:textFill>
        </w:rPr>
        <w:t>地点</w:t>
      </w:r>
      <w:r>
        <w:rPr>
          <w:rStyle w:val="37"/>
          <w:rFonts w:ascii="仿宋_GB2312" w:hAnsi="仿宋_GB2312" w:eastAsia="仿宋_GB2312"/>
          <w:color w:val="000000" w:themeColor="text1"/>
          <w:sz w:val="24"/>
          <w:highlight w:val="none"/>
          <w14:textFill>
            <w14:solidFill>
              <w14:schemeClr w14:val="tx1"/>
            </w14:solidFill>
          </w14:textFill>
        </w:rPr>
        <w:t>；</w:t>
      </w:r>
      <w:r>
        <w:rPr>
          <w:rStyle w:val="37"/>
          <w:rFonts w:hint="eastAsia" w:ascii="仿宋_GB2312" w:hAnsi="仿宋_GB2312" w:eastAsia="仿宋_GB2312"/>
          <w:color w:val="000000" w:themeColor="text1"/>
          <w:sz w:val="24"/>
          <w:highlight w:val="none"/>
          <w:u w:val="single" w:color="000000"/>
          <w:lang w:val="en-US" w:eastAsia="zh-CN"/>
          <w14:textFill>
            <w14:solidFill>
              <w14:schemeClr w14:val="tx1"/>
            </w14:solidFill>
          </w14:textFill>
        </w:rPr>
        <w:t>伽师县教育局</w:t>
      </w:r>
    </w:p>
    <w:p w14:paraId="5BAEF0FF">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1.5.3交付</w:t>
      </w:r>
      <w:r>
        <w:rPr>
          <w:rStyle w:val="37"/>
          <w:rFonts w:hint="eastAsia" w:ascii="仿宋_GB2312" w:hAnsi="仿宋_GB2312" w:eastAsia="仿宋_GB2312"/>
          <w:color w:val="000000" w:themeColor="text1"/>
          <w:sz w:val="24"/>
          <w:highlight w:val="none"/>
          <w:lang w:val="en-US" w:eastAsia="zh-CN"/>
          <w14:textFill>
            <w14:solidFill>
              <w14:schemeClr w14:val="tx1"/>
            </w14:solidFill>
          </w14:textFill>
        </w:rPr>
        <w:t>方式</w:t>
      </w:r>
      <w:r>
        <w:rPr>
          <w:rStyle w:val="37"/>
          <w:rFonts w:ascii="仿宋_GB2312" w:hAnsi="仿宋_GB2312" w:eastAsia="仿宋_GB2312"/>
          <w:color w:val="000000" w:themeColor="text1"/>
          <w:sz w:val="24"/>
          <w:highlight w:val="none"/>
          <w14:textFill>
            <w14:solidFill>
              <w14:schemeClr w14:val="tx1"/>
            </w14:solidFill>
          </w14:textFill>
        </w:rPr>
        <w:t>：</w:t>
      </w:r>
      <w:r>
        <w:rPr>
          <w:rStyle w:val="37"/>
          <w:rFonts w:hint="eastAsia" w:ascii="仿宋_GB2312" w:hAnsi="仿宋_GB2312" w:eastAsia="仿宋_GB2312"/>
          <w:color w:val="000000" w:themeColor="text1"/>
          <w:sz w:val="24"/>
          <w:highlight w:val="none"/>
          <w:u w:val="single" w:color="000000"/>
          <w:lang w:val="en-US" w:eastAsia="zh-CN"/>
          <w14:textFill>
            <w14:solidFill>
              <w14:schemeClr w14:val="tx1"/>
            </w14:solidFill>
          </w14:textFill>
        </w:rPr>
        <w:t>送货上门、包安装调试培训</w:t>
      </w:r>
      <w:r>
        <w:rPr>
          <w:rStyle w:val="37"/>
          <w:rFonts w:ascii="仿宋_GB2312" w:hAnsi="仿宋_GB2312" w:eastAsia="仿宋_GB2312"/>
          <w:color w:val="000000" w:themeColor="text1"/>
          <w:sz w:val="24"/>
          <w:highlight w:val="none"/>
          <w14:textFill>
            <w14:solidFill>
              <w14:schemeClr w14:val="tx1"/>
            </w14:solidFill>
          </w14:textFill>
        </w:rPr>
        <w:t>。</w:t>
      </w:r>
    </w:p>
    <w:p w14:paraId="4ACE16EA">
      <w:pPr>
        <w:keepNext w:val="0"/>
        <w:keepLines w:val="0"/>
        <w:pageBreakBefore w:val="0"/>
        <w:widowControl w:val="0"/>
        <w:wordWrap/>
        <w:overflowPunct/>
        <w:topLinePunct w:val="0"/>
        <w:bidi w:val="0"/>
        <w:snapToGrid w:val="0"/>
        <w:spacing w:line="560" w:lineRule="exact"/>
        <w:ind w:firstLine="482" w:firstLineChars="200"/>
        <w:jc w:val="left"/>
        <w:rPr>
          <w:rStyle w:val="37"/>
          <w:rFonts w:hint="eastAsia" w:ascii="仿宋_GB2312" w:hAnsi="仿宋_GB2312" w:eastAsia="仿宋_GB2312"/>
          <w:b/>
          <w:color w:val="000000" w:themeColor="text1"/>
          <w:sz w:val="24"/>
          <w:highlight w:val="none"/>
          <w14:textFill>
            <w14:solidFill>
              <w14:schemeClr w14:val="tx1"/>
            </w14:solidFill>
          </w14:textFill>
        </w:rPr>
      </w:pPr>
      <w:r>
        <w:rPr>
          <w:rStyle w:val="37"/>
          <w:rFonts w:ascii="仿宋_GB2312" w:hAnsi="仿宋_GB2312" w:eastAsia="仿宋_GB2312"/>
          <w:b/>
          <w:color w:val="000000" w:themeColor="text1"/>
          <w:sz w:val="24"/>
          <w:highlight w:val="none"/>
          <w14:textFill>
            <w14:solidFill>
              <w14:schemeClr w14:val="tx1"/>
            </w14:solidFill>
          </w14:textFill>
        </w:rPr>
        <w:t>1.6违约责任</w:t>
      </w:r>
    </w:p>
    <w:p w14:paraId="494FBC2A">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1.6.1除不可抗力外，如果乙方没有按照本合同约定的期限、地点和方式交付货物，那么甲方可要求乙方支付违约金，违约金按每迟延交付货物一日的应交付而未交付货物价格的</w:t>
      </w:r>
      <w:r>
        <w:rPr>
          <w:rStyle w:val="37"/>
          <w:rFonts w:hint="eastAsia" w:ascii="仿宋_GB2312" w:hAnsi="仿宋_GB2312" w:eastAsia="仿宋_GB2312"/>
          <w:color w:val="000000" w:themeColor="text1"/>
          <w:sz w:val="24"/>
          <w:highlight w:val="none"/>
          <w:lang w:val="en-US" w:eastAsia="zh-CN"/>
          <w14:textFill>
            <w14:solidFill>
              <w14:schemeClr w14:val="tx1"/>
            </w14:solidFill>
          </w14:textFill>
        </w:rPr>
        <w:t>1</w:t>
      </w:r>
      <w:r>
        <w:rPr>
          <w:rStyle w:val="37"/>
          <w:rFonts w:ascii="仿宋_GB2312" w:hAnsi="仿宋_GB2312" w:eastAsia="仿宋_GB2312"/>
          <w:color w:val="000000" w:themeColor="text1"/>
          <w:sz w:val="24"/>
          <w:highlight w:val="none"/>
          <w14:textFill>
            <w14:solidFill>
              <w14:schemeClr w14:val="tx1"/>
            </w14:solidFill>
          </w14:textFill>
        </w:rPr>
        <w:t>%计算，最高限额为本合同总价的</w:t>
      </w:r>
      <w:r>
        <w:rPr>
          <w:rStyle w:val="37"/>
          <w:rFonts w:hint="eastAsia" w:ascii="仿宋_GB2312" w:hAnsi="仿宋_GB2312" w:eastAsia="仿宋_GB2312"/>
          <w:color w:val="000000" w:themeColor="text1"/>
          <w:sz w:val="24"/>
          <w:highlight w:val="none"/>
          <w:lang w:val="en-US" w:eastAsia="zh-CN"/>
          <w14:textFill>
            <w14:solidFill>
              <w14:schemeClr w14:val="tx1"/>
            </w14:solidFill>
          </w14:textFill>
        </w:rPr>
        <w:t>5</w:t>
      </w:r>
      <w:r>
        <w:rPr>
          <w:rStyle w:val="37"/>
          <w:rFonts w:ascii="仿宋_GB2312" w:hAnsi="仿宋_GB2312" w:eastAsia="仿宋_GB2312"/>
          <w:color w:val="000000" w:themeColor="text1"/>
          <w:sz w:val="24"/>
          <w:highlight w:val="none"/>
          <w14:textFill>
            <w14:solidFill>
              <w14:schemeClr w14:val="tx1"/>
            </w14:solidFill>
          </w14:textFill>
        </w:rPr>
        <w:t>%；迟延交付货物的违约金计算数额达到前述最高限额之日起，甲方有权在要求乙方支付违约金的同时，书面通知乙方解除本合同；</w:t>
      </w:r>
    </w:p>
    <w:p w14:paraId="256C995E">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1.6.2除不可抗力外，如果甲方没有按照本合同约定的付款方式付款，那么乙方可要求甲方支付违约金，违约金按每迟延付款一日的应付而未付款的</w:t>
      </w:r>
      <w:r>
        <w:rPr>
          <w:rStyle w:val="37"/>
          <w:rFonts w:hint="eastAsia" w:ascii="仿宋_GB2312" w:hAnsi="仿宋_GB2312" w:eastAsia="仿宋_GB2312"/>
          <w:color w:val="000000" w:themeColor="text1"/>
          <w:sz w:val="24"/>
          <w:highlight w:val="none"/>
          <w:lang w:val="en-US" w:eastAsia="zh-CN"/>
          <w14:textFill>
            <w14:solidFill>
              <w14:schemeClr w14:val="tx1"/>
            </w14:solidFill>
          </w14:textFill>
        </w:rPr>
        <w:t>1</w:t>
      </w:r>
      <w:r>
        <w:rPr>
          <w:rStyle w:val="37"/>
          <w:rFonts w:ascii="仿宋_GB2312" w:hAnsi="仿宋_GB2312" w:eastAsia="仿宋_GB2312"/>
          <w:color w:val="000000" w:themeColor="text1"/>
          <w:sz w:val="24"/>
          <w:highlight w:val="none"/>
          <w14:textFill>
            <w14:solidFill>
              <w14:schemeClr w14:val="tx1"/>
            </w14:solidFill>
          </w14:textFill>
        </w:rPr>
        <w:t>%计算，最高限额为本合同总价的</w:t>
      </w:r>
      <w:r>
        <w:rPr>
          <w:rStyle w:val="37"/>
          <w:rFonts w:hint="eastAsia" w:ascii="仿宋_GB2312" w:hAnsi="仿宋_GB2312" w:eastAsia="仿宋_GB2312"/>
          <w:color w:val="000000" w:themeColor="text1"/>
          <w:sz w:val="24"/>
          <w:highlight w:val="none"/>
          <w:lang w:val="en-US" w:eastAsia="zh-CN"/>
          <w14:textFill>
            <w14:solidFill>
              <w14:schemeClr w14:val="tx1"/>
            </w14:solidFill>
          </w14:textFill>
        </w:rPr>
        <w:t>5</w:t>
      </w:r>
      <w:r>
        <w:rPr>
          <w:rStyle w:val="37"/>
          <w:rFonts w:ascii="仿宋_GB2312" w:hAnsi="仿宋_GB2312" w:eastAsia="仿宋_GB2312"/>
          <w:color w:val="000000" w:themeColor="text1"/>
          <w:sz w:val="24"/>
          <w:highlight w:val="none"/>
          <w14:textFill>
            <w14:solidFill>
              <w14:schemeClr w14:val="tx1"/>
            </w14:solidFill>
          </w14:textFill>
        </w:rPr>
        <w:t>%；迟延付款的违约金计算数额达到前述最高限额之日起，乙方有权在要求甲方支付违约金的同时，书面通知甲方解除本合同；</w:t>
      </w:r>
    </w:p>
    <w:p w14:paraId="5BD97429">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1.6.3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BAD6BE3">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1.6.4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6C27CDA2">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1.6.5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3974C4FC">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1.6.6如果出现政府采购监督管理部门在处理投诉事项期间，书面通知甲方暂停采购活动的情形，或者询问或质疑事项可能影响中标结果的，导致甲方中止履行合同的情形，均不视为甲方违约。</w:t>
      </w:r>
    </w:p>
    <w:p w14:paraId="304304DA">
      <w:pPr>
        <w:keepNext w:val="0"/>
        <w:keepLines w:val="0"/>
        <w:pageBreakBefore w:val="0"/>
        <w:widowControl w:val="0"/>
        <w:wordWrap/>
        <w:overflowPunct/>
        <w:topLinePunct w:val="0"/>
        <w:bidi w:val="0"/>
        <w:snapToGrid w:val="0"/>
        <w:spacing w:line="560" w:lineRule="exact"/>
        <w:ind w:firstLine="482" w:firstLineChars="200"/>
        <w:jc w:val="left"/>
        <w:rPr>
          <w:rStyle w:val="37"/>
          <w:rFonts w:hint="eastAsia" w:ascii="仿宋_GB2312" w:hAnsi="仿宋_GB2312" w:eastAsia="仿宋_GB2312"/>
          <w:b/>
          <w:color w:val="000000" w:themeColor="text1"/>
          <w:sz w:val="24"/>
          <w:highlight w:val="none"/>
          <w14:textFill>
            <w14:solidFill>
              <w14:schemeClr w14:val="tx1"/>
            </w14:solidFill>
          </w14:textFill>
        </w:rPr>
      </w:pPr>
      <w:r>
        <w:rPr>
          <w:rStyle w:val="37"/>
          <w:rFonts w:ascii="仿宋_GB2312" w:hAnsi="仿宋_GB2312" w:eastAsia="仿宋_GB2312"/>
          <w:b/>
          <w:color w:val="000000" w:themeColor="text1"/>
          <w:sz w:val="24"/>
          <w:highlight w:val="none"/>
          <w14:textFill>
            <w14:solidFill>
              <w14:schemeClr w14:val="tx1"/>
            </w14:solidFill>
          </w14:textFill>
        </w:rPr>
        <w:t>1.7合同争议的解决</w:t>
      </w:r>
    </w:p>
    <w:p w14:paraId="1F83DDA8">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本合同履行过程中发生的任何争议，双方当事人均可通过和解或者调解解决；不愿和解、调解或者和解、调解不成的，可以选择下列第种方式解决：</w:t>
      </w:r>
    </w:p>
    <w:p w14:paraId="1B80C207">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1.7.1将争议提交仲裁委员会依申请仲裁时其现行有效的仲裁规则裁决；</w:t>
      </w:r>
    </w:p>
    <w:p w14:paraId="6C299BF0">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1.7.2向</w:t>
      </w:r>
      <w:r>
        <w:rPr>
          <w:rStyle w:val="37"/>
          <w:rFonts w:ascii="仿宋_GB2312" w:hAnsi="仿宋_GB2312" w:eastAsia="仿宋_GB2312"/>
          <w:color w:val="000000" w:themeColor="text1"/>
          <w:sz w:val="24"/>
          <w:highlight w:val="none"/>
          <w:u w:val="single" w:color="000000"/>
          <w14:textFill>
            <w14:solidFill>
              <w14:schemeClr w14:val="tx1"/>
            </w14:solidFill>
          </w14:textFill>
        </w:rPr>
        <w:t>（被告住所地、合同履行地、合同签订地、原告住所地、标的物所在地等与争议有实际联系的地点中选出的人民法院名称）</w:t>
      </w:r>
      <w:r>
        <w:rPr>
          <w:rStyle w:val="37"/>
          <w:rFonts w:ascii="仿宋_GB2312" w:hAnsi="仿宋_GB2312" w:eastAsia="仿宋_GB2312"/>
          <w:color w:val="000000" w:themeColor="text1"/>
          <w:sz w:val="24"/>
          <w:highlight w:val="none"/>
          <w14:textFill>
            <w14:solidFill>
              <w14:schemeClr w14:val="tx1"/>
            </w14:solidFill>
          </w14:textFill>
        </w:rPr>
        <w:t>人民法院起诉。</w:t>
      </w:r>
    </w:p>
    <w:p w14:paraId="7030D0C4">
      <w:pPr>
        <w:keepNext w:val="0"/>
        <w:keepLines w:val="0"/>
        <w:pageBreakBefore w:val="0"/>
        <w:widowControl w:val="0"/>
        <w:wordWrap/>
        <w:overflowPunct/>
        <w:topLinePunct w:val="0"/>
        <w:bidi w:val="0"/>
        <w:snapToGrid w:val="0"/>
        <w:spacing w:line="560" w:lineRule="exact"/>
        <w:ind w:firstLine="482" w:firstLineChars="200"/>
        <w:jc w:val="left"/>
        <w:rPr>
          <w:rStyle w:val="37"/>
          <w:rFonts w:hint="eastAsia" w:ascii="仿宋_GB2312" w:hAnsi="仿宋_GB2312" w:eastAsia="仿宋_GB2312"/>
          <w:b/>
          <w:color w:val="000000" w:themeColor="text1"/>
          <w:sz w:val="24"/>
          <w:highlight w:val="none"/>
          <w14:textFill>
            <w14:solidFill>
              <w14:schemeClr w14:val="tx1"/>
            </w14:solidFill>
          </w14:textFill>
        </w:rPr>
      </w:pPr>
      <w:r>
        <w:rPr>
          <w:rStyle w:val="37"/>
          <w:rFonts w:ascii="仿宋_GB2312" w:hAnsi="仿宋_GB2312" w:eastAsia="仿宋_GB2312"/>
          <w:b/>
          <w:color w:val="000000" w:themeColor="text1"/>
          <w:sz w:val="24"/>
          <w:highlight w:val="none"/>
          <w14:textFill>
            <w14:solidFill>
              <w14:schemeClr w14:val="tx1"/>
            </w14:solidFill>
          </w14:textFill>
        </w:rPr>
        <w:t>1.8合同生效</w:t>
      </w:r>
    </w:p>
    <w:p w14:paraId="22241210">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b/>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本合同自双方当事人盖章或者签字时生效。</w:t>
      </w: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63"/>
        <w:gridCol w:w="4163"/>
      </w:tblGrid>
      <w:tr w14:paraId="744C9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63" w:type="dxa"/>
          </w:tcPr>
          <w:p w14:paraId="6B2DF64B">
            <w:pPr>
              <w:keepNext w:val="0"/>
              <w:keepLines w:val="0"/>
              <w:widowControl w:val="0"/>
              <w:suppressLineNumbers w:val="0"/>
              <w:spacing w:before="0" w:beforeAutospacing="0" w:afterAutospacing="0" w:line="360" w:lineRule="auto"/>
              <w:ind w:left="0" w:right="0"/>
              <w:rPr>
                <w:rFonts w:hint="default" w:ascii="仿宋" w:hAnsi="仿宋" w:eastAsia="仿宋" w:cs="仿宋"/>
                <w:b/>
                <w:bCs/>
                <w:sz w:val="28"/>
                <w:szCs w:val="28"/>
                <w:highlight w:val="none"/>
                <w:lang w:eastAsia="zh-CN"/>
              </w:rPr>
            </w:pPr>
            <w:r>
              <w:rPr>
                <w:rFonts w:hint="eastAsia" w:ascii="仿宋" w:hAnsi="仿宋" w:eastAsia="仿宋" w:cs="仿宋"/>
                <w:b/>
                <w:bCs/>
                <w:sz w:val="28"/>
                <w:szCs w:val="28"/>
                <w:highlight w:val="none"/>
                <w:lang w:eastAsia="zh-CN"/>
              </w:rPr>
              <w:t>甲方：伽师县教育局</w:t>
            </w:r>
          </w:p>
        </w:tc>
        <w:tc>
          <w:tcPr>
            <w:tcW w:w="4163" w:type="dxa"/>
          </w:tcPr>
          <w:p w14:paraId="4E5D375C">
            <w:pPr>
              <w:keepNext w:val="0"/>
              <w:keepLines w:val="0"/>
              <w:widowControl w:val="0"/>
              <w:suppressLineNumbers w:val="0"/>
              <w:spacing w:before="0" w:beforeAutospacing="0" w:afterAutospacing="0" w:line="360" w:lineRule="auto"/>
              <w:ind w:left="0" w:right="0"/>
              <w:rPr>
                <w:rFonts w:hint="default" w:ascii="仿宋" w:hAnsi="仿宋" w:eastAsia="仿宋" w:cs="仿宋"/>
                <w:b/>
                <w:bCs/>
                <w:sz w:val="28"/>
                <w:szCs w:val="28"/>
                <w:highlight w:val="none"/>
                <w:lang w:eastAsia="zh-CN"/>
              </w:rPr>
            </w:pPr>
            <w:r>
              <w:rPr>
                <w:rFonts w:hint="eastAsia" w:ascii="仿宋" w:hAnsi="仿宋" w:eastAsia="仿宋" w:cs="仿宋"/>
                <w:b/>
                <w:bCs/>
                <w:sz w:val="28"/>
                <w:szCs w:val="28"/>
                <w:highlight w:val="none"/>
                <w:lang w:eastAsia="zh-CN"/>
              </w:rPr>
              <w:t>乙方：</w:t>
            </w:r>
          </w:p>
        </w:tc>
      </w:tr>
      <w:tr w14:paraId="5D1AE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63" w:type="dxa"/>
          </w:tcPr>
          <w:p w14:paraId="68C6A06F">
            <w:pPr>
              <w:keepNext w:val="0"/>
              <w:keepLines w:val="0"/>
              <w:widowControl w:val="0"/>
              <w:suppressLineNumbers w:val="0"/>
              <w:spacing w:before="0" w:beforeAutospacing="0" w:afterAutospacing="0" w:line="360" w:lineRule="auto"/>
              <w:ind w:left="0" w:right="0"/>
              <w:rPr>
                <w:rFonts w:hint="default"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统一社会信用代码：</w:t>
            </w:r>
            <w:r>
              <w:rPr>
                <w:rFonts w:hint="default" w:ascii="Times New Roman" w:hAnsi="Times New Roman" w:eastAsia="仿宋" w:cs="Times New Roman"/>
                <w:sz w:val="28"/>
                <w:szCs w:val="28"/>
                <w:highlight w:val="none"/>
                <w:lang w:eastAsia="zh-CN"/>
              </w:rPr>
              <w:t>11653129010401158B</w:t>
            </w:r>
          </w:p>
        </w:tc>
        <w:tc>
          <w:tcPr>
            <w:tcW w:w="4163" w:type="dxa"/>
          </w:tcPr>
          <w:p w14:paraId="3AEDCCCA">
            <w:pPr>
              <w:keepNext w:val="0"/>
              <w:keepLines w:val="0"/>
              <w:widowControl w:val="0"/>
              <w:suppressLineNumbers w:val="0"/>
              <w:spacing w:before="0" w:beforeAutospacing="0" w:afterAutospacing="0" w:line="360" w:lineRule="auto"/>
              <w:ind w:left="0" w:right="0"/>
              <w:rPr>
                <w:rFonts w:hint="default"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统一社会信用代码：</w:t>
            </w:r>
          </w:p>
        </w:tc>
      </w:tr>
      <w:tr w14:paraId="18A45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63" w:type="dxa"/>
          </w:tcPr>
          <w:p w14:paraId="26EC2EDD">
            <w:pPr>
              <w:keepNext w:val="0"/>
              <w:keepLines w:val="0"/>
              <w:widowControl w:val="0"/>
              <w:suppressLineNumbers w:val="0"/>
              <w:spacing w:before="0" w:beforeAutospacing="0" w:afterAutospacing="0" w:line="360" w:lineRule="auto"/>
              <w:ind w:left="0" w:right="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eastAsia="zh-CN"/>
              </w:rPr>
              <w:t>住所：</w:t>
            </w:r>
            <w:r>
              <w:rPr>
                <w:rFonts w:hint="eastAsia" w:ascii="仿宋" w:hAnsi="仿宋" w:eastAsia="仿宋" w:cs="仿宋"/>
                <w:sz w:val="28"/>
                <w:szCs w:val="28"/>
                <w:highlight w:val="none"/>
                <w:lang w:val="en-US" w:eastAsia="zh-CN"/>
              </w:rPr>
              <w:t>伽师县迎宾路1号</w:t>
            </w:r>
          </w:p>
        </w:tc>
        <w:tc>
          <w:tcPr>
            <w:tcW w:w="4163" w:type="dxa"/>
          </w:tcPr>
          <w:p w14:paraId="725AAAFC">
            <w:pPr>
              <w:keepNext w:val="0"/>
              <w:keepLines w:val="0"/>
              <w:widowControl w:val="0"/>
              <w:suppressLineNumbers w:val="0"/>
              <w:spacing w:before="0" w:beforeAutospacing="0" w:afterAutospacing="0" w:line="360" w:lineRule="auto"/>
              <w:ind w:left="0" w:right="0"/>
              <w:rPr>
                <w:rFonts w:hint="default"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住所：</w:t>
            </w:r>
          </w:p>
        </w:tc>
      </w:tr>
      <w:tr w14:paraId="5CFC0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63" w:type="dxa"/>
          </w:tcPr>
          <w:p w14:paraId="62C10A0B">
            <w:pPr>
              <w:keepNext w:val="0"/>
              <w:keepLines w:val="0"/>
              <w:widowControl w:val="0"/>
              <w:suppressLineNumbers w:val="0"/>
              <w:spacing w:before="0" w:beforeAutospacing="0" w:afterAutospacing="0" w:line="360" w:lineRule="auto"/>
              <w:ind w:left="0" w:right="0"/>
              <w:rPr>
                <w:rFonts w:hint="default"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法定代表人或</w:t>
            </w:r>
          </w:p>
          <w:p w14:paraId="209B57E7">
            <w:pPr>
              <w:keepNext w:val="0"/>
              <w:keepLines w:val="0"/>
              <w:widowControl w:val="0"/>
              <w:suppressLineNumbers w:val="0"/>
              <w:spacing w:before="0" w:beforeAutospacing="0" w:afterAutospacing="0" w:line="360" w:lineRule="auto"/>
              <w:ind w:left="0" w:right="0"/>
              <w:rPr>
                <w:rFonts w:hint="default"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授权代表签字（签字）：</w:t>
            </w:r>
          </w:p>
        </w:tc>
        <w:tc>
          <w:tcPr>
            <w:tcW w:w="4163" w:type="dxa"/>
          </w:tcPr>
          <w:p w14:paraId="7FF5542D">
            <w:pPr>
              <w:keepNext w:val="0"/>
              <w:keepLines w:val="0"/>
              <w:widowControl w:val="0"/>
              <w:suppressLineNumbers w:val="0"/>
              <w:spacing w:before="0" w:beforeAutospacing="0" w:afterAutospacing="0" w:line="360" w:lineRule="auto"/>
              <w:ind w:left="0" w:right="0"/>
              <w:rPr>
                <w:rFonts w:hint="default"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法定代表人或</w:t>
            </w:r>
          </w:p>
          <w:p w14:paraId="19C0C3D8">
            <w:pPr>
              <w:keepNext w:val="0"/>
              <w:keepLines w:val="0"/>
              <w:widowControl w:val="0"/>
              <w:suppressLineNumbers w:val="0"/>
              <w:spacing w:before="0" w:beforeAutospacing="0" w:afterAutospacing="0" w:line="360" w:lineRule="auto"/>
              <w:ind w:left="0" w:right="0"/>
              <w:rPr>
                <w:rFonts w:hint="default"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授权代表签字（签字）：</w:t>
            </w:r>
          </w:p>
        </w:tc>
      </w:tr>
      <w:tr w14:paraId="7A010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163" w:type="dxa"/>
          </w:tcPr>
          <w:p w14:paraId="57BD5231">
            <w:pPr>
              <w:keepNext w:val="0"/>
              <w:keepLines w:val="0"/>
              <w:widowControl w:val="0"/>
              <w:suppressLineNumbers w:val="0"/>
              <w:spacing w:before="0" w:beforeAutospacing="0" w:afterAutospacing="0" w:line="360" w:lineRule="auto"/>
              <w:ind w:left="0" w:right="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eastAsia="zh-CN"/>
              </w:rPr>
              <w:t>联系人：</w:t>
            </w:r>
            <w:r>
              <w:rPr>
                <w:rFonts w:hint="eastAsia" w:ascii="仿宋" w:hAnsi="仿宋" w:eastAsia="仿宋" w:cs="仿宋"/>
                <w:sz w:val="28"/>
                <w:szCs w:val="28"/>
                <w:highlight w:val="none"/>
                <w:lang w:val="en-US" w:eastAsia="zh-CN"/>
              </w:rPr>
              <w:t>蔡秀伟</w:t>
            </w:r>
          </w:p>
        </w:tc>
        <w:tc>
          <w:tcPr>
            <w:tcW w:w="4163" w:type="dxa"/>
          </w:tcPr>
          <w:p w14:paraId="79D5A0AA">
            <w:pPr>
              <w:keepNext w:val="0"/>
              <w:keepLines w:val="0"/>
              <w:widowControl w:val="0"/>
              <w:suppressLineNumbers w:val="0"/>
              <w:spacing w:before="0" w:beforeAutospacing="0" w:afterAutospacing="0" w:line="360" w:lineRule="auto"/>
              <w:ind w:left="0" w:right="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eastAsia="zh-CN"/>
              </w:rPr>
              <w:t>联系人：</w:t>
            </w:r>
          </w:p>
        </w:tc>
      </w:tr>
      <w:tr w14:paraId="01F7F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63" w:type="dxa"/>
          </w:tcPr>
          <w:p w14:paraId="4629178D">
            <w:pPr>
              <w:keepNext w:val="0"/>
              <w:keepLines w:val="0"/>
              <w:widowControl w:val="0"/>
              <w:suppressLineNumbers w:val="0"/>
              <w:spacing w:before="0" w:beforeAutospacing="0" w:afterAutospacing="0" w:line="360" w:lineRule="auto"/>
              <w:ind w:left="0" w:right="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eastAsia="zh-CN"/>
              </w:rPr>
              <w:t>约定送达地址：</w:t>
            </w:r>
            <w:r>
              <w:rPr>
                <w:rFonts w:hint="eastAsia" w:ascii="仿宋" w:hAnsi="仿宋" w:eastAsia="仿宋" w:cs="仿宋"/>
                <w:sz w:val="28"/>
                <w:szCs w:val="28"/>
                <w:highlight w:val="none"/>
                <w:lang w:val="en-US" w:eastAsia="zh-CN"/>
              </w:rPr>
              <w:t>伽师县教育局</w:t>
            </w:r>
          </w:p>
        </w:tc>
        <w:tc>
          <w:tcPr>
            <w:tcW w:w="4163" w:type="dxa"/>
          </w:tcPr>
          <w:p w14:paraId="6F9C21CF">
            <w:pPr>
              <w:keepNext w:val="0"/>
              <w:keepLines w:val="0"/>
              <w:widowControl w:val="0"/>
              <w:suppressLineNumbers w:val="0"/>
              <w:spacing w:before="0" w:beforeAutospacing="0" w:afterAutospacing="0" w:line="360" w:lineRule="auto"/>
              <w:ind w:left="0" w:right="0"/>
              <w:rPr>
                <w:rFonts w:hint="default"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约定送达地址：</w:t>
            </w:r>
          </w:p>
        </w:tc>
      </w:tr>
      <w:tr w14:paraId="38E33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63" w:type="dxa"/>
          </w:tcPr>
          <w:p w14:paraId="25535F60">
            <w:pPr>
              <w:keepNext w:val="0"/>
              <w:keepLines w:val="0"/>
              <w:widowControl w:val="0"/>
              <w:suppressLineNumbers w:val="0"/>
              <w:spacing w:before="0" w:beforeAutospacing="0" w:afterAutospacing="0" w:line="360" w:lineRule="auto"/>
              <w:ind w:left="0" w:right="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eastAsia="zh-CN"/>
              </w:rPr>
              <w:t>邮政编码：</w:t>
            </w:r>
            <w:r>
              <w:rPr>
                <w:rFonts w:hint="eastAsia" w:ascii="仿宋" w:hAnsi="仿宋" w:eastAsia="仿宋" w:cs="仿宋"/>
                <w:sz w:val="28"/>
                <w:szCs w:val="28"/>
                <w:highlight w:val="none"/>
                <w:lang w:val="en-US" w:eastAsia="zh-CN"/>
              </w:rPr>
              <w:t>844300</w:t>
            </w:r>
          </w:p>
        </w:tc>
        <w:tc>
          <w:tcPr>
            <w:tcW w:w="4163" w:type="dxa"/>
          </w:tcPr>
          <w:p w14:paraId="03A5B68F">
            <w:pPr>
              <w:keepNext w:val="0"/>
              <w:keepLines w:val="0"/>
              <w:widowControl w:val="0"/>
              <w:suppressLineNumbers w:val="0"/>
              <w:spacing w:before="0" w:beforeAutospacing="0" w:afterAutospacing="0" w:line="360" w:lineRule="auto"/>
              <w:ind w:left="0" w:right="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eastAsia="zh-CN"/>
              </w:rPr>
              <w:t>邮政编码：</w:t>
            </w:r>
          </w:p>
        </w:tc>
      </w:tr>
      <w:tr w14:paraId="00FB5C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63" w:type="dxa"/>
          </w:tcPr>
          <w:p w14:paraId="148C9A1D">
            <w:pPr>
              <w:keepNext w:val="0"/>
              <w:keepLines w:val="0"/>
              <w:widowControl w:val="0"/>
              <w:suppressLineNumbers w:val="0"/>
              <w:spacing w:before="0" w:beforeAutospacing="0" w:afterAutospacing="0" w:line="360" w:lineRule="auto"/>
              <w:ind w:left="0" w:right="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eastAsia="zh-CN"/>
              </w:rPr>
              <w:t>电话：</w:t>
            </w:r>
            <w:r>
              <w:rPr>
                <w:rFonts w:hint="eastAsia" w:ascii="仿宋" w:hAnsi="仿宋" w:eastAsia="仿宋" w:cs="仿宋"/>
                <w:sz w:val="28"/>
                <w:szCs w:val="28"/>
                <w:highlight w:val="none"/>
                <w:lang w:val="en-US" w:eastAsia="zh-CN"/>
              </w:rPr>
              <w:t>15999320380</w:t>
            </w:r>
          </w:p>
        </w:tc>
        <w:tc>
          <w:tcPr>
            <w:tcW w:w="4163" w:type="dxa"/>
          </w:tcPr>
          <w:p w14:paraId="7CD78799">
            <w:pPr>
              <w:keepNext w:val="0"/>
              <w:keepLines w:val="0"/>
              <w:widowControl w:val="0"/>
              <w:suppressLineNumbers w:val="0"/>
              <w:spacing w:before="0" w:beforeAutospacing="0" w:afterAutospacing="0" w:line="360" w:lineRule="auto"/>
              <w:ind w:left="0" w:right="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eastAsia="zh-CN"/>
              </w:rPr>
              <w:t>电话：</w:t>
            </w:r>
          </w:p>
        </w:tc>
      </w:tr>
      <w:tr w14:paraId="6B874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63" w:type="dxa"/>
          </w:tcPr>
          <w:p w14:paraId="50FB319D">
            <w:pPr>
              <w:keepNext w:val="0"/>
              <w:keepLines w:val="0"/>
              <w:widowControl w:val="0"/>
              <w:suppressLineNumbers w:val="0"/>
              <w:spacing w:before="0" w:beforeAutospacing="0" w:afterAutospacing="0" w:line="360" w:lineRule="auto"/>
              <w:ind w:left="0" w:right="0"/>
              <w:rPr>
                <w:rFonts w:hint="default"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开户银行：中国工商银行股份有限公司伽师县支行</w:t>
            </w:r>
          </w:p>
        </w:tc>
        <w:tc>
          <w:tcPr>
            <w:tcW w:w="4163" w:type="dxa"/>
          </w:tcPr>
          <w:p w14:paraId="0191FA07">
            <w:pPr>
              <w:keepNext w:val="0"/>
              <w:keepLines w:val="0"/>
              <w:widowControl w:val="0"/>
              <w:suppressLineNumbers w:val="0"/>
              <w:spacing w:before="0" w:beforeAutospacing="0" w:afterAutospacing="0" w:line="360" w:lineRule="auto"/>
              <w:ind w:left="0" w:right="0"/>
              <w:rPr>
                <w:rFonts w:hint="default"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开户银行：</w:t>
            </w:r>
          </w:p>
        </w:tc>
      </w:tr>
      <w:tr w14:paraId="63955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63" w:type="dxa"/>
          </w:tcPr>
          <w:p w14:paraId="75D929D9">
            <w:pPr>
              <w:keepNext w:val="0"/>
              <w:keepLines w:val="0"/>
              <w:widowControl w:val="0"/>
              <w:suppressLineNumbers w:val="0"/>
              <w:spacing w:before="0" w:beforeAutospacing="0" w:afterAutospacing="0" w:line="360" w:lineRule="auto"/>
              <w:ind w:left="0" w:right="0"/>
              <w:rPr>
                <w:rFonts w:hint="default"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开户名称：伽师县教育局</w:t>
            </w:r>
          </w:p>
        </w:tc>
        <w:tc>
          <w:tcPr>
            <w:tcW w:w="4163" w:type="dxa"/>
          </w:tcPr>
          <w:p w14:paraId="2C7298C7">
            <w:pPr>
              <w:keepNext w:val="0"/>
              <w:keepLines w:val="0"/>
              <w:widowControl w:val="0"/>
              <w:suppressLineNumbers w:val="0"/>
              <w:spacing w:before="0" w:beforeAutospacing="0" w:afterAutospacing="0" w:line="360" w:lineRule="auto"/>
              <w:ind w:left="0" w:right="0"/>
              <w:rPr>
                <w:rFonts w:hint="default"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开户名称：</w:t>
            </w:r>
          </w:p>
        </w:tc>
      </w:tr>
      <w:tr w14:paraId="1871F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63" w:type="dxa"/>
          </w:tcPr>
          <w:p w14:paraId="6F539661">
            <w:pPr>
              <w:keepNext w:val="0"/>
              <w:keepLines w:val="0"/>
              <w:widowControl w:val="0"/>
              <w:suppressLineNumbers w:val="0"/>
              <w:spacing w:before="0" w:beforeAutospacing="0" w:afterAutospacing="0" w:line="360" w:lineRule="auto"/>
              <w:ind w:left="0" w:right="0"/>
              <w:rPr>
                <w:rFonts w:hint="default" w:ascii="仿宋" w:hAnsi="仿宋" w:eastAsia="仿宋" w:cs="仿宋"/>
                <w:sz w:val="24"/>
                <w:szCs w:val="24"/>
                <w:highlight w:val="none"/>
                <w:lang w:eastAsia="zh-CN"/>
              </w:rPr>
            </w:pPr>
            <w:r>
              <w:rPr>
                <w:rFonts w:hint="eastAsia" w:ascii="仿宋" w:hAnsi="仿宋" w:eastAsia="仿宋" w:cs="仿宋"/>
                <w:sz w:val="28"/>
                <w:szCs w:val="28"/>
                <w:highlight w:val="none"/>
                <w:lang w:eastAsia="zh-CN"/>
              </w:rPr>
              <w:t>开户账号：</w:t>
            </w:r>
            <w:r>
              <w:rPr>
                <w:rFonts w:hint="default" w:ascii="仿宋" w:hAnsi="仿宋" w:eastAsia="仿宋" w:cs="仿宋"/>
                <w:sz w:val="24"/>
                <w:szCs w:val="24"/>
                <w:highlight w:val="none"/>
                <w:lang w:eastAsia="zh-CN"/>
              </w:rPr>
              <w:t>3012000209100095893</w:t>
            </w:r>
          </w:p>
          <w:p w14:paraId="5C9BA8C3">
            <w:pPr>
              <w:keepNext w:val="0"/>
              <w:keepLines w:val="0"/>
              <w:widowControl w:val="0"/>
              <w:suppressLineNumbers w:val="0"/>
              <w:spacing w:before="0" w:beforeAutospacing="0" w:afterAutospacing="0" w:line="360" w:lineRule="auto"/>
              <w:ind w:left="0" w:right="0"/>
              <w:rPr>
                <w:rFonts w:hint="default" w:ascii="仿宋" w:hAnsi="仿宋" w:eastAsia="仿宋" w:cs="仿宋"/>
                <w:sz w:val="24"/>
                <w:szCs w:val="24"/>
                <w:highlight w:val="none"/>
                <w:lang w:val="en-US" w:eastAsia="zh-CN"/>
              </w:rPr>
            </w:pPr>
            <w:r>
              <w:rPr>
                <w:rFonts w:hint="eastAsia" w:ascii="仿宋" w:hAnsi="仿宋" w:eastAsia="仿宋" w:cs="仿宋"/>
                <w:sz w:val="28"/>
                <w:szCs w:val="28"/>
                <w:highlight w:val="none"/>
                <w:lang w:eastAsia="zh-CN"/>
              </w:rPr>
              <w:t>开户</w:t>
            </w:r>
            <w:r>
              <w:rPr>
                <w:rFonts w:hint="eastAsia" w:ascii="仿宋" w:hAnsi="仿宋" w:eastAsia="仿宋" w:cs="仿宋"/>
                <w:sz w:val="28"/>
                <w:szCs w:val="28"/>
                <w:highlight w:val="none"/>
                <w:lang w:val="en-US" w:eastAsia="zh-CN"/>
              </w:rPr>
              <w:t>行行号</w:t>
            </w:r>
            <w:r>
              <w:rPr>
                <w:rFonts w:hint="eastAsia" w:ascii="仿宋" w:hAnsi="仿宋" w:eastAsia="仿宋" w:cs="仿宋"/>
                <w:sz w:val="24"/>
                <w:szCs w:val="24"/>
                <w:highlight w:val="none"/>
                <w:lang w:val="en-US" w:eastAsia="zh-CN"/>
              </w:rPr>
              <w:t>：102895100019</w:t>
            </w:r>
          </w:p>
        </w:tc>
        <w:tc>
          <w:tcPr>
            <w:tcW w:w="4163" w:type="dxa"/>
          </w:tcPr>
          <w:p w14:paraId="5E5DE914">
            <w:pPr>
              <w:keepNext w:val="0"/>
              <w:keepLines w:val="0"/>
              <w:widowControl w:val="0"/>
              <w:suppressLineNumbers w:val="0"/>
              <w:spacing w:before="0" w:beforeAutospacing="0" w:afterAutospacing="0" w:line="360" w:lineRule="auto"/>
              <w:ind w:left="0" w:right="0"/>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开户账号：</w:t>
            </w:r>
          </w:p>
          <w:p w14:paraId="33E204A3">
            <w:pPr>
              <w:keepNext w:val="0"/>
              <w:keepLines w:val="0"/>
              <w:widowControl w:val="0"/>
              <w:suppressLineNumbers w:val="0"/>
              <w:spacing w:before="0" w:beforeAutospacing="0" w:afterAutospacing="0" w:line="360" w:lineRule="auto"/>
              <w:ind w:left="0" w:right="0"/>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开户</w:t>
            </w:r>
            <w:r>
              <w:rPr>
                <w:rFonts w:hint="eastAsia" w:ascii="仿宋" w:hAnsi="仿宋" w:eastAsia="仿宋" w:cs="仿宋"/>
                <w:sz w:val="28"/>
                <w:szCs w:val="28"/>
                <w:highlight w:val="none"/>
                <w:lang w:val="en-US" w:eastAsia="zh-CN"/>
              </w:rPr>
              <w:t>行行号</w:t>
            </w:r>
            <w:r>
              <w:rPr>
                <w:rFonts w:hint="eastAsia" w:ascii="仿宋" w:hAnsi="仿宋" w:eastAsia="仿宋" w:cs="仿宋"/>
                <w:sz w:val="24"/>
                <w:szCs w:val="24"/>
                <w:highlight w:val="none"/>
                <w:lang w:val="en-US" w:eastAsia="zh-CN"/>
              </w:rPr>
              <w:t>：</w:t>
            </w:r>
          </w:p>
        </w:tc>
      </w:tr>
    </w:tbl>
    <w:p w14:paraId="09788FA1">
      <w:pPr>
        <w:keepNext w:val="0"/>
        <w:keepLines w:val="0"/>
        <w:pageBreakBefore w:val="0"/>
        <w:widowControl w:val="0"/>
        <w:wordWrap/>
        <w:overflowPunct/>
        <w:topLinePunct w:val="0"/>
        <w:bidi w:val="0"/>
        <w:snapToGrid w:val="0"/>
        <w:spacing w:line="560" w:lineRule="exact"/>
        <w:jc w:val="left"/>
        <w:rPr>
          <w:rStyle w:val="37"/>
          <w:rFonts w:hint="eastAsia" w:ascii="仿宋_GB2312" w:hAnsi="仿宋_GB2312" w:eastAsia="仿宋_GB2312"/>
          <w:b/>
          <w:color w:val="000000" w:themeColor="text1"/>
          <w:highlight w:val="none"/>
          <w14:textFill>
            <w14:solidFill>
              <w14:schemeClr w14:val="tx1"/>
            </w14:solidFill>
          </w14:textFill>
        </w:rPr>
      </w:pPr>
    </w:p>
    <w:p w14:paraId="44A048C0">
      <w:pPr>
        <w:keepNext w:val="0"/>
        <w:keepLines w:val="0"/>
        <w:pageBreakBefore w:val="0"/>
        <w:widowControl w:val="0"/>
        <w:wordWrap/>
        <w:overflowPunct/>
        <w:topLinePunct w:val="0"/>
        <w:bidi w:val="0"/>
        <w:snapToGrid w:val="0"/>
        <w:spacing w:line="560" w:lineRule="exact"/>
        <w:jc w:val="left"/>
        <w:rPr>
          <w:rStyle w:val="37"/>
          <w:rFonts w:hint="eastAsia" w:ascii="仿宋_GB2312" w:hAnsi="仿宋_GB2312" w:eastAsia="仿宋_GB2312"/>
          <w:b/>
          <w:color w:val="000000" w:themeColor="text1"/>
          <w:highlight w:val="none"/>
          <w14:textFill>
            <w14:solidFill>
              <w14:schemeClr w14:val="tx1"/>
            </w14:solidFill>
          </w14:textFill>
        </w:rPr>
      </w:pPr>
    </w:p>
    <w:p w14:paraId="0E9B96A4">
      <w:pPr>
        <w:keepNext w:val="0"/>
        <w:keepLines w:val="0"/>
        <w:pageBreakBefore w:val="0"/>
        <w:widowControl w:val="0"/>
        <w:wordWrap/>
        <w:overflowPunct/>
        <w:topLinePunct w:val="0"/>
        <w:bidi w:val="0"/>
        <w:snapToGrid w:val="0"/>
        <w:spacing w:line="560" w:lineRule="exact"/>
        <w:jc w:val="left"/>
        <w:rPr>
          <w:rStyle w:val="37"/>
          <w:rFonts w:hint="eastAsia" w:ascii="仿宋_GB2312" w:hAnsi="仿宋_GB2312" w:eastAsia="仿宋_GB2312"/>
          <w:b/>
          <w:color w:val="000000" w:themeColor="text1"/>
          <w:highlight w:val="none"/>
          <w14:textFill>
            <w14:solidFill>
              <w14:schemeClr w14:val="tx1"/>
            </w14:solidFill>
          </w14:textFill>
        </w:rPr>
      </w:pPr>
    </w:p>
    <w:p w14:paraId="481B9E16">
      <w:pPr>
        <w:keepNext w:val="0"/>
        <w:keepLines w:val="0"/>
        <w:pageBreakBefore w:val="0"/>
        <w:widowControl w:val="0"/>
        <w:wordWrap/>
        <w:overflowPunct/>
        <w:topLinePunct w:val="0"/>
        <w:bidi w:val="0"/>
        <w:snapToGrid w:val="0"/>
        <w:spacing w:line="560" w:lineRule="exact"/>
        <w:jc w:val="left"/>
        <w:rPr>
          <w:rStyle w:val="37"/>
          <w:rFonts w:hint="eastAsia" w:ascii="仿宋_GB2312" w:hAnsi="仿宋_GB2312" w:eastAsia="仿宋_GB2312"/>
          <w:b/>
          <w:color w:val="000000" w:themeColor="text1"/>
          <w:highlight w:val="none"/>
          <w14:textFill>
            <w14:solidFill>
              <w14:schemeClr w14:val="tx1"/>
            </w14:solidFill>
          </w14:textFill>
        </w:rPr>
      </w:pPr>
    </w:p>
    <w:p w14:paraId="7B3118F1">
      <w:pPr>
        <w:keepNext w:val="0"/>
        <w:keepLines w:val="0"/>
        <w:pageBreakBefore w:val="0"/>
        <w:widowControl w:val="0"/>
        <w:wordWrap/>
        <w:overflowPunct/>
        <w:topLinePunct w:val="0"/>
        <w:bidi w:val="0"/>
        <w:snapToGrid w:val="0"/>
        <w:spacing w:line="560" w:lineRule="exact"/>
        <w:jc w:val="left"/>
        <w:rPr>
          <w:rStyle w:val="37"/>
          <w:rFonts w:hint="eastAsia" w:ascii="仿宋_GB2312" w:hAnsi="仿宋_GB2312" w:eastAsia="仿宋_GB2312"/>
          <w:b/>
          <w:color w:val="000000" w:themeColor="text1"/>
          <w:highlight w:val="none"/>
          <w14:textFill>
            <w14:solidFill>
              <w14:schemeClr w14:val="tx1"/>
            </w14:solidFill>
          </w14:textFill>
        </w:rPr>
      </w:pPr>
    </w:p>
    <w:p w14:paraId="514DBC0A">
      <w:pPr>
        <w:keepNext w:val="0"/>
        <w:keepLines w:val="0"/>
        <w:pageBreakBefore w:val="0"/>
        <w:widowControl w:val="0"/>
        <w:wordWrap/>
        <w:overflowPunct/>
        <w:topLinePunct w:val="0"/>
        <w:bidi w:val="0"/>
        <w:snapToGrid w:val="0"/>
        <w:spacing w:line="560" w:lineRule="exact"/>
        <w:jc w:val="left"/>
        <w:rPr>
          <w:rStyle w:val="37"/>
          <w:rFonts w:hint="eastAsia" w:ascii="仿宋_GB2312" w:hAnsi="仿宋_GB2312" w:eastAsia="仿宋_GB2312"/>
          <w:b/>
          <w:color w:val="000000" w:themeColor="text1"/>
          <w:highlight w:val="none"/>
          <w14:textFill>
            <w14:solidFill>
              <w14:schemeClr w14:val="tx1"/>
            </w14:solidFill>
          </w14:textFill>
        </w:rPr>
      </w:pPr>
    </w:p>
    <w:p w14:paraId="265A3DA2">
      <w:pPr>
        <w:keepNext w:val="0"/>
        <w:keepLines w:val="0"/>
        <w:pageBreakBefore w:val="0"/>
        <w:widowControl w:val="0"/>
        <w:wordWrap/>
        <w:overflowPunct/>
        <w:topLinePunct w:val="0"/>
        <w:bidi w:val="0"/>
        <w:snapToGrid w:val="0"/>
        <w:spacing w:line="560" w:lineRule="exact"/>
        <w:jc w:val="left"/>
        <w:rPr>
          <w:rStyle w:val="37"/>
          <w:rFonts w:hint="eastAsia" w:ascii="仿宋_GB2312" w:hAnsi="仿宋_GB2312" w:eastAsia="仿宋_GB2312"/>
          <w:b/>
          <w:color w:val="000000" w:themeColor="text1"/>
          <w:highlight w:val="none"/>
          <w14:textFill>
            <w14:solidFill>
              <w14:schemeClr w14:val="tx1"/>
            </w14:solidFill>
          </w14:textFill>
        </w:rPr>
      </w:pPr>
    </w:p>
    <w:p w14:paraId="67CC9BD4">
      <w:pPr>
        <w:keepNext w:val="0"/>
        <w:keepLines w:val="0"/>
        <w:pageBreakBefore w:val="0"/>
        <w:widowControl w:val="0"/>
        <w:wordWrap/>
        <w:overflowPunct/>
        <w:topLinePunct w:val="0"/>
        <w:bidi w:val="0"/>
        <w:snapToGrid w:val="0"/>
        <w:spacing w:line="560" w:lineRule="exact"/>
        <w:jc w:val="left"/>
        <w:rPr>
          <w:rStyle w:val="37"/>
          <w:rFonts w:hint="eastAsia" w:ascii="仿宋_GB2312" w:hAnsi="仿宋_GB2312" w:eastAsia="仿宋_GB2312"/>
          <w:b/>
          <w:color w:val="000000" w:themeColor="text1"/>
          <w:highlight w:val="none"/>
          <w14:textFill>
            <w14:solidFill>
              <w14:schemeClr w14:val="tx1"/>
            </w14:solidFill>
          </w14:textFill>
        </w:rPr>
      </w:pPr>
    </w:p>
    <w:p w14:paraId="465A8F9F">
      <w:pPr>
        <w:keepNext w:val="0"/>
        <w:keepLines w:val="0"/>
        <w:pageBreakBefore w:val="0"/>
        <w:widowControl w:val="0"/>
        <w:wordWrap/>
        <w:overflowPunct/>
        <w:topLinePunct w:val="0"/>
        <w:bidi w:val="0"/>
        <w:snapToGrid w:val="0"/>
        <w:spacing w:line="560" w:lineRule="exact"/>
        <w:jc w:val="left"/>
        <w:rPr>
          <w:rStyle w:val="37"/>
          <w:rFonts w:hint="eastAsia" w:ascii="仿宋_GB2312" w:hAnsi="仿宋_GB2312" w:eastAsia="仿宋_GB2312"/>
          <w:b/>
          <w:color w:val="000000" w:themeColor="text1"/>
          <w:kern w:val="0"/>
          <w:sz w:val="24"/>
          <w:highlight w:val="none"/>
          <w14:textFill>
            <w14:solidFill>
              <w14:schemeClr w14:val="tx1"/>
            </w14:solidFill>
          </w14:textFill>
        </w:rPr>
      </w:pPr>
    </w:p>
    <w:p w14:paraId="5AC4AD13">
      <w:pPr>
        <w:pStyle w:val="84"/>
        <w:keepNext w:val="0"/>
        <w:keepLines w:val="0"/>
        <w:pageBreakBefore w:val="0"/>
        <w:widowControl w:val="0"/>
        <w:wordWrap/>
        <w:overflowPunct/>
        <w:topLinePunct w:val="0"/>
        <w:bidi w:val="0"/>
        <w:snapToGrid w:val="0"/>
        <w:spacing w:line="560" w:lineRule="exact"/>
        <w:ind w:firstLine="200"/>
        <w:rPr>
          <w:rStyle w:val="37"/>
          <w:rFonts w:hint="eastAsia" w:ascii="仿宋_GB2312" w:hAnsi="仿宋_GB2312" w:eastAsia="仿宋_GB2312"/>
          <w:b/>
          <w:color w:val="000000" w:themeColor="text1"/>
          <w:szCs w:val="24"/>
          <w:highlight w:val="none"/>
          <w14:textFill>
            <w14:solidFill>
              <w14:schemeClr w14:val="tx1"/>
            </w14:solidFill>
          </w14:textFill>
        </w:rPr>
      </w:pPr>
      <w:r>
        <w:rPr>
          <w:rStyle w:val="37"/>
          <w:rFonts w:ascii="仿宋_GB2312" w:hAnsi="仿宋_GB2312" w:eastAsia="仿宋_GB2312"/>
          <w:b/>
          <w:color w:val="000000" w:themeColor="text1"/>
          <w:szCs w:val="24"/>
          <w:highlight w:val="none"/>
          <w14:textFill>
            <w14:solidFill>
              <w14:schemeClr w14:val="tx1"/>
            </w14:solidFill>
          </w14:textFill>
        </w:rPr>
        <w:t>第二部分合同一般条款</w:t>
      </w:r>
    </w:p>
    <w:p w14:paraId="6D3A776F">
      <w:pPr>
        <w:keepNext w:val="0"/>
        <w:keepLines w:val="0"/>
        <w:pageBreakBefore w:val="0"/>
        <w:widowControl w:val="0"/>
        <w:wordWrap/>
        <w:overflowPunct/>
        <w:topLinePunct w:val="0"/>
        <w:bidi w:val="0"/>
        <w:snapToGrid w:val="0"/>
        <w:spacing w:line="560" w:lineRule="exact"/>
        <w:ind w:firstLine="482" w:firstLineChars="200"/>
        <w:jc w:val="left"/>
        <w:rPr>
          <w:rStyle w:val="37"/>
          <w:rFonts w:hint="eastAsia" w:ascii="仿宋_GB2312" w:hAnsi="仿宋_GB2312" w:eastAsia="仿宋_GB2312"/>
          <w:b/>
          <w:color w:val="000000" w:themeColor="text1"/>
          <w:sz w:val="24"/>
          <w:highlight w:val="none"/>
          <w14:textFill>
            <w14:solidFill>
              <w14:schemeClr w14:val="tx1"/>
            </w14:solidFill>
          </w14:textFill>
        </w:rPr>
      </w:pPr>
      <w:r>
        <w:rPr>
          <w:rStyle w:val="37"/>
          <w:rFonts w:ascii="仿宋_GB2312" w:hAnsi="仿宋_GB2312" w:eastAsia="仿宋_GB2312"/>
          <w:b/>
          <w:color w:val="000000" w:themeColor="text1"/>
          <w:sz w:val="24"/>
          <w:highlight w:val="none"/>
          <w14:textFill>
            <w14:solidFill>
              <w14:schemeClr w14:val="tx1"/>
            </w14:solidFill>
          </w14:textFill>
        </w:rPr>
        <w:t>2.1定义</w:t>
      </w:r>
    </w:p>
    <w:p w14:paraId="12EA6FE2">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本合同中的下列词语应按以下内容进行解释：</w:t>
      </w:r>
    </w:p>
    <w:p w14:paraId="688F877B">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2.1.1“合同”系指采购人和中标供应商签订的载明双方当事人所达成的协议，并包括所有的附件、附录和构成合同的其他文件。</w:t>
      </w:r>
    </w:p>
    <w:p w14:paraId="2BA77EA6">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2.1.2“合同价”系指根据合同约定，中标供应商在完全履行合同义务后，采购人应支付给中标供应商的价格。</w:t>
      </w:r>
    </w:p>
    <w:p w14:paraId="1C7A03B3">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2.1.3“货物”系指中标供应商根据合同约定应向采购人交付的一切各种形态和种类的物品，包括原材料、燃料、设备、机械、仪表、备件、计算机软件、产品等，并包括工具、手册等其他相关资料。</w:t>
      </w:r>
    </w:p>
    <w:p w14:paraId="5F14FBC9">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2.1.4“甲方”系指与中标供应商签署合同的采购人；采购人委托采购代理机构代表其与乙方签订合同的，采购人的授权委托书作为合同附件。</w:t>
      </w:r>
    </w:p>
    <w:p w14:paraId="5489407F">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2.1.5“乙方”系指根据合同约定交付货物的中标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162C8908">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2.1.6“现场”系指合同约定货物将要运至或者安装的地点。</w:t>
      </w:r>
    </w:p>
    <w:p w14:paraId="07791DBD">
      <w:pPr>
        <w:keepNext w:val="0"/>
        <w:keepLines w:val="0"/>
        <w:pageBreakBefore w:val="0"/>
        <w:widowControl w:val="0"/>
        <w:wordWrap/>
        <w:overflowPunct/>
        <w:topLinePunct w:val="0"/>
        <w:bidi w:val="0"/>
        <w:snapToGrid w:val="0"/>
        <w:spacing w:line="560" w:lineRule="exact"/>
        <w:ind w:firstLine="482" w:firstLineChars="200"/>
        <w:jc w:val="left"/>
        <w:rPr>
          <w:rStyle w:val="37"/>
          <w:rFonts w:hint="eastAsia" w:ascii="仿宋_GB2312" w:hAnsi="仿宋_GB2312" w:eastAsia="仿宋_GB2312"/>
          <w:b/>
          <w:color w:val="000000" w:themeColor="text1"/>
          <w:sz w:val="24"/>
          <w:highlight w:val="none"/>
          <w14:textFill>
            <w14:solidFill>
              <w14:schemeClr w14:val="tx1"/>
            </w14:solidFill>
          </w14:textFill>
        </w:rPr>
      </w:pPr>
      <w:r>
        <w:rPr>
          <w:rStyle w:val="37"/>
          <w:rFonts w:ascii="仿宋_GB2312" w:hAnsi="仿宋_GB2312" w:eastAsia="仿宋_GB2312"/>
          <w:b/>
          <w:color w:val="000000" w:themeColor="text1"/>
          <w:sz w:val="24"/>
          <w:highlight w:val="none"/>
          <w14:textFill>
            <w14:solidFill>
              <w14:schemeClr w14:val="tx1"/>
            </w14:solidFill>
          </w14:textFill>
        </w:rPr>
        <w:t>2.2技术规范</w:t>
      </w:r>
    </w:p>
    <w:p w14:paraId="1BB9E74B">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D09C839">
      <w:pPr>
        <w:keepNext w:val="0"/>
        <w:keepLines w:val="0"/>
        <w:pageBreakBefore w:val="0"/>
        <w:widowControl w:val="0"/>
        <w:wordWrap/>
        <w:overflowPunct/>
        <w:topLinePunct w:val="0"/>
        <w:bidi w:val="0"/>
        <w:snapToGrid w:val="0"/>
        <w:spacing w:line="560" w:lineRule="exact"/>
        <w:ind w:firstLine="482" w:firstLineChars="200"/>
        <w:jc w:val="left"/>
        <w:rPr>
          <w:rStyle w:val="37"/>
          <w:rFonts w:hint="eastAsia" w:ascii="仿宋_GB2312" w:hAnsi="仿宋_GB2312" w:eastAsia="仿宋_GB2312"/>
          <w:b/>
          <w:color w:val="000000" w:themeColor="text1"/>
          <w:sz w:val="24"/>
          <w:highlight w:val="none"/>
          <w14:textFill>
            <w14:solidFill>
              <w14:schemeClr w14:val="tx1"/>
            </w14:solidFill>
          </w14:textFill>
        </w:rPr>
      </w:pPr>
      <w:r>
        <w:rPr>
          <w:rStyle w:val="37"/>
          <w:rFonts w:ascii="仿宋_GB2312" w:hAnsi="仿宋_GB2312" w:eastAsia="仿宋_GB2312"/>
          <w:b/>
          <w:color w:val="000000" w:themeColor="text1"/>
          <w:sz w:val="24"/>
          <w:highlight w:val="none"/>
          <w14:textFill>
            <w14:solidFill>
              <w14:schemeClr w14:val="tx1"/>
            </w14:solidFill>
          </w14:textFill>
        </w:rPr>
        <w:t>2.3知识产权</w:t>
      </w:r>
    </w:p>
    <w:p w14:paraId="5E8C1882">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2.3.1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14:paraId="7D06E8A9">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2.3.2具有知识产权的计算机软件等货物的知识产权归属，详见</w:t>
      </w:r>
      <w:r>
        <w:rPr>
          <w:rStyle w:val="37"/>
          <w:rFonts w:ascii="仿宋_GB2312" w:hAnsi="仿宋_GB2312" w:eastAsia="仿宋_GB2312"/>
          <w:b/>
          <w:i/>
          <w:color w:val="000000" w:themeColor="text1"/>
          <w:sz w:val="24"/>
          <w:highlight w:val="none"/>
          <w:u w:val="single" w:color="000000"/>
          <w14:textFill>
            <w14:solidFill>
              <w14:schemeClr w14:val="tx1"/>
            </w14:solidFill>
          </w14:textFill>
        </w:rPr>
        <w:t>合同专用条款</w:t>
      </w:r>
      <w:r>
        <w:rPr>
          <w:rStyle w:val="37"/>
          <w:rFonts w:ascii="仿宋_GB2312" w:hAnsi="仿宋_GB2312" w:eastAsia="仿宋_GB2312"/>
          <w:color w:val="000000" w:themeColor="text1"/>
          <w:sz w:val="24"/>
          <w:highlight w:val="none"/>
          <w14:textFill>
            <w14:solidFill>
              <w14:schemeClr w14:val="tx1"/>
            </w14:solidFill>
          </w14:textFill>
        </w:rPr>
        <w:t>。</w:t>
      </w:r>
    </w:p>
    <w:p w14:paraId="4986A351">
      <w:pPr>
        <w:keepNext w:val="0"/>
        <w:keepLines w:val="0"/>
        <w:pageBreakBefore w:val="0"/>
        <w:widowControl w:val="0"/>
        <w:wordWrap/>
        <w:overflowPunct/>
        <w:topLinePunct w:val="0"/>
        <w:bidi w:val="0"/>
        <w:snapToGrid w:val="0"/>
        <w:spacing w:line="560" w:lineRule="exact"/>
        <w:ind w:firstLine="482" w:firstLineChars="200"/>
        <w:jc w:val="left"/>
        <w:rPr>
          <w:rStyle w:val="37"/>
          <w:rFonts w:hint="eastAsia" w:ascii="仿宋_GB2312" w:hAnsi="仿宋_GB2312" w:eastAsia="仿宋_GB2312"/>
          <w:b/>
          <w:color w:val="000000" w:themeColor="text1"/>
          <w:sz w:val="24"/>
          <w:highlight w:val="none"/>
          <w14:textFill>
            <w14:solidFill>
              <w14:schemeClr w14:val="tx1"/>
            </w14:solidFill>
          </w14:textFill>
        </w:rPr>
      </w:pPr>
      <w:r>
        <w:rPr>
          <w:rStyle w:val="37"/>
          <w:rFonts w:ascii="仿宋_GB2312" w:hAnsi="仿宋_GB2312" w:eastAsia="仿宋_GB2312"/>
          <w:b/>
          <w:color w:val="000000" w:themeColor="text1"/>
          <w:sz w:val="24"/>
          <w:highlight w:val="none"/>
          <w14:textFill>
            <w14:solidFill>
              <w14:schemeClr w14:val="tx1"/>
            </w14:solidFill>
          </w14:textFill>
        </w:rPr>
        <w:t>2.4包装和装运</w:t>
      </w:r>
    </w:p>
    <w:p w14:paraId="1EEF4D0D">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2.4.1除</w:t>
      </w:r>
      <w:r>
        <w:rPr>
          <w:rStyle w:val="37"/>
          <w:rFonts w:ascii="仿宋_GB2312" w:hAnsi="仿宋_GB2312" w:eastAsia="仿宋_GB2312"/>
          <w:b/>
          <w:i/>
          <w:color w:val="000000" w:themeColor="text1"/>
          <w:sz w:val="24"/>
          <w:highlight w:val="none"/>
          <w:u w:val="single" w:color="000000"/>
          <w14:textFill>
            <w14:solidFill>
              <w14:schemeClr w14:val="tx1"/>
            </w14:solidFill>
          </w14:textFill>
        </w:rPr>
        <w:t>合同专用条款</w:t>
      </w:r>
      <w:r>
        <w:rPr>
          <w:rStyle w:val="37"/>
          <w:rFonts w:ascii="仿宋_GB2312" w:hAnsi="仿宋_GB2312" w:eastAsia="仿宋_GB2312"/>
          <w:color w:val="000000" w:themeColor="text1"/>
          <w:sz w:val="24"/>
          <w:highlight w:val="none"/>
          <w14:textFill>
            <w14:solidFill>
              <w14:schemeClr w14:val="tx1"/>
            </w14:solidFill>
          </w14:textFill>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38FAEC43">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2.4.2装运货物的要求和通知，详见</w:t>
      </w:r>
      <w:r>
        <w:rPr>
          <w:rStyle w:val="37"/>
          <w:rFonts w:ascii="仿宋_GB2312" w:hAnsi="仿宋_GB2312" w:eastAsia="仿宋_GB2312"/>
          <w:b/>
          <w:i/>
          <w:color w:val="000000" w:themeColor="text1"/>
          <w:sz w:val="24"/>
          <w:highlight w:val="none"/>
          <w:u w:val="single" w:color="000000"/>
          <w14:textFill>
            <w14:solidFill>
              <w14:schemeClr w14:val="tx1"/>
            </w14:solidFill>
          </w14:textFill>
        </w:rPr>
        <w:t>合同专用条款</w:t>
      </w:r>
      <w:r>
        <w:rPr>
          <w:rStyle w:val="37"/>
          <w:rFonts w:ascii="仿宋_GB2312" w:hAnsi="仿宋_GB2312" w:eastAsia="仿宋_GB2312"/>
          <w:color w:val="000000" w:themeColor="text1"/>
          <w:sz w:val="24"/>
          <w:highlight w:val="none"/>
          <w14:textFill>
            <w14:solidFill>
              <w14:schemeClr w14:val="tx1"/>
            </w14:solidFill>
          </w14:textFill>
        </w:rPr>
        <w:t>。</w:t>
      </w:r>
    </w:p>
    <w:p w14:paraId="505AAE1F">
      <w:pPr>
        <w:keepNext w:val="0"/>
        <w:keepLines w:val="0"/>
        <w:pageBreakBefore w:val="0"/>
        <w:widowControl w:val="0"/>
        <w:wordWrap/>
        <w:overflowPunct/>
        <w:topLinePunct w:val="0"/>
        <w:bidi w:val="0"/>
        <w:snapToGrid w:val="0"/>
        <w:spacing w:line="560" w:lineRule="exact"/>
        <w:ind w:firstLine="482" w:firstLineChars="200"/>
        <w:jc w:val="left"/>
        <w:rPr>
          <w:rStyle w:val="37"/>
          <w:rFonts w:hint="eastAsia" w:ascii="仿宋_GB2312" w:hAnsi="仿宋_GB2312" w:eastAsia="仿宋_GB2312"/>
          <w:b/>
          <w:color w:val="000000" w:themeColor="text1"/>
          <w:sz w:val="24"/>
          <w:highlight w:val="none"/>
          <w14:textFill>
            <w14:solidFill>
              <w14:schemeClr w14:val="tx1"/>
            </w14:solidFill>
          </w14:textFill>
        </w:rPr>
      </w:pPr>
      <w:r>
        <w:rPr>
          <w:rStyle w:val="37"/>
          <w:rFonts w:ascii="仿宋_GB2312" w:hAnsi="仿宋_GB2312" w:eastAsia="仿宋_GB2312"/>
          <w:b/>
          <w:color w:val="000000" w:themeColor="text1"/>
          <w:sz w:val="24"/>
          <w:highlight w:val="none"/>
          <w14:textFill>
            <w14:solidFill>
              <w14:schemeClr w14:val="tx1"/>
            </w14:solidFill>
          </w14:textFill>
        </w:rPr>
        <w:t>2.5履约检查和问题反馈</w:t>
      </w:r>
    </w:p>
    <w:p w14:paraId="5EF5A7CF">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2.5.1甲方有权在其认为必要时，对乙方是否能够按照合同约定交付货物进行履约检查，以确保乙方所交付的货物能够依约满足甲方之项目需求，但不得因履约检查妨碍乙方的正常工作，乙方应予积极配合；</w:t>
      </w:r>
    </w:p>
    <w:p w14:paraId="04EAE12D">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2.5.2合同履行期间，甲方有权将履行过程中出现的问题反馈给乙方，双方当事人应以书面形式约定需要完善和改进的内容。</w:t>
      </w:r>
    </w:p>
    <w:p w14:paraId="408FBFDD">
      <w:pPr>
        <w:keepNext w:val="0"/>
        <w:keepLines w:val="0"/>
        <w:pageBreakBefore w:val="0"/>
        <w:widowControl w:val="0"/>
        <w:wordWrap/>
        <w:overflowPunct/>
        <w:topLinePunct w:val="0"/>
        <w:bidi w:val="0"/>
        <w:snapToGrid w:val="0"/>
        <w:spacing w:line="560" w:lineRule="exact"/>
        <w:ind w:firstLine="482" w:firstLineChars="200"/>
        <w:jc w:val="left"/>
        <w:rPr>
          <w:rStyle w:val="37"/>
          <w:rFonts w:hint="eastAsia" w:ascii="仿宋_GB2312" w:hAnsi="仿宋_GB2312" w:eastAsia="仿宋_GB2312"/>
          <w:b/>
          <w:color w:val="000000" w:themeColor="text1"/>
          <w:sz w:val="24"/>
          <w:highlight w:val="none"/>
          <w14:textFill>
            <w14:solidFill>
              <w14:schemeClr w14:val="tx1"/>
            </w14:solidFill>
          </w14:textFill>
        </w:rPr>
      </w:pPr>
      <w:r>
        <w:rPr>
          <w:rStyle w:val="37"/>
          <w:rFonts w:ascii="仿宋_GB2312" w:hAnsi="仿宋_GB2312" w:eastAsia="仿宋_GB2312"/>
          <w:b/>
          <w:color w:val="000000" w:themeColor="text1"/>
          <w:sz w:val="24"/>
          <w:highlight w:val="none"/>
          <w14:textFill>
            <w14:solidFill>
              <w14:schemeClr w14:val="tx1"/>
            </w14:solidFill>
          </w14:textFill>
        </w:rPr>
        <w:t>2.6结算方式和付款条件</w:t>
      </w:r>
    </w:p>
    <w:p w14:paraId="2B20274C">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详见</w:t>
      </w:r>
      <w:r>
        <w:rPr>
          <w:rStyle w:val="37"/>
          <w:rFonts w:ascii="仿宋_GB2312" w:hAnsi="仿宋_GB2312" w:eastAsia="仿宋_GB2312"/>
          <w:b/>
          <w:i/>
          <w:color w:val="000000" w:themeColor="text1"/>
          <w:sz w:val="24"/>
          <w:highlight w:val="none"/>
          <w:u w:val="single" w:color="000000"/>
          <w14:textFill>
            <w14:solidFill>
              <w14:schemeClr w14:val="tx1"/>
            </w14:solidFill>
          </w14:textFill>
        </w:rPr>
        <w:t>合同专用条款</w:t>
      </w:r>
      <w:r>
        <w:rPr>
          <w:rStyle w:val="37"/>
          <w:rFonts w:ascii="仿宋_GB2312" w:hAnsi="仿宋_GB2312" w:eastAsia="仿宋_GB2312"/>
          <w:color w:val="000000" w:themeColor="text1"/>
          <w:sz w:val="24"/>
          <w:highlight w:val="none"/>
          <w14:textFill>
            <w14:solidFill>
              <w14:schemeClr w14:val="tx1"/>
            </w14:solidFill>
          </w14:textFill>
        </w:rPr>
        <w:t>。</w:t>
      </w:r>
    </w:p>
    <w:p w14:paraId="582B06C4">
      <w:pPr>
        <w:keepNext w:val="0"/>
        <w:keepLines w:val="0"/>
        <w:pageBreakBefore w:val="0"/>
        <w:widowControl w:val="0"/>
        <w:wordWrap/>
        <w:overflowPunct/>
        <w:topLinePunct w:val="0"/>
        <w:bidi w:val="0"/>
        <w:snapToGrid w:val="0"/>
        <w:spacing w:line="560" w:lineRule="exact"/>
        <w:ind w:firstLine="482" w:firstLineChars="200"/>
        <w:jc w:val="left"/>
        <w:rPr>
          <w:rStyle w:val="37"/>
          <w:rFonts w:hint="eastAsia" w:ascii="仿宋_GB2312" w:hAnsi="仿宋_GB2312" w:eastAsia="仿宋_GB2312"/>
          <w:b/>
          <w:color w:val="000000" w:themeColor="text1"/>
          <w:sz w:val="24"/>
          <w:highlight w:val="none"/>
          <w14:textFill>
            <w14:solidFill>
              <w14:schemeClr w14:val="tx1"/>
            </w14:solidFill>
          </w14:textFill>
        </w:rPr>
      </w:pPr>
      <w:r>
        <w:rPr>
          <w:rStyle w:val="37"/>
          <w:rFonts w:ascii="仿宋_GB2312" w:hAnsi="仿宋_GB2312" w:eastAsia="仿宋_GB2312"/>
          <w:b/>
          <w:color w:val="000000" w:themeColor="text1"/>
          <w:sz w:val="24"/>
          <w:highlight w:val="none"/>
          <w14:textFill>
            <w14:solidFill>
              <w14:schemeClr w14:val="tx1"/>
            </w14:solidFill>
          </w14:textFill>
        </w:rPr>
        <w:t>2.7技术资料和保密义务</w:t>
      </w:r>
    </w:p>
    <w:p w14:paraId="2636FCF8">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2.7.1乙方有权依据合同约定和项目需要，向甲方了解有关情况，调阅有关资料等，甲方应予积极配合；</w:t>
      </w:r>
    </w:p>
    <w:p w14:paraId="4957395F">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2.7.2乙方有义务妥善保管和保护由甲方提供的前款信息和资料等；</w:t>
      </w:r>
    </w:p>
    <w:p w14:paraId="12968FA8">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2.7.3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r>
        <w:rPr>
          <w:rStyle w:val="37"/>
          <w:rFonts w:hint="eastAsia" w:ascii="仿宋_GB2312" w:hAnsi="仿宋_GB2312" w:eastAsia="仿宋_GB2312"/>
          <w:color w:val="000000" w:themeColor="text1"/>
          <w:sz w:val="24"/>
          <w:highlight w:val="none"/>
          <w:lang w:val="en-US" w:eastAsia="zh-CN"/>
          <w14:textFill>
            <w14:solidFill>
              <w14:schemeClr w14:val="tx1"/>
            </w14:solidFill>
          </w14:textFill>
        </w:rPr>
        <w:t>,并签订相关协议</w:t>
      </w:r>
      <w:r>
        <w:rPr>
          <w:rStyle w:val="37"/>
          <w:rFonts w:ascii="仿宋_GB2312" w:hAnsi="仿宋_GB2312" w:eastAsia="仿宋_GB2312"/>
          <w:color w:val="000000" w:themeColor="text1"/>
          <w:sz w:val="24"/>
          <w:highlight w:val="none"/>
          <w14:textFill>
            <w14:solidFill>
              <w14:schemeClr w14:val="tx1"/>
            </w14:solidFill>
          </w14:textFill>
        </w:rPr>
        <w:t>。</w:t>
      </w:r>
    </w:p>
    <w:p w14:paraId="319363E8">
      <w:pPr>
        <w:keepNext w:val="0"/>
        <w:keepLines w:val="0"/>
        <w:pageBreakBefore w:val="0"/>
        <w:widowControl w:val="0"/>
        <w:wordWrap/>
        <w:overflowPunct/>
        <w:topLinePunct w:val="0"/>
        <w:bidi w:val="0"/>
        <w:snapToGrid w:val="0"/>
        <w:spacing w:line="560" w:lineRule="exact"/>
        <w:ind w:firstLine="482" w:firstLineChars="200"/>
        <w:jc w:val="left"/>
        <w:rPr>
          <w:rStyle w:val="37"/>
          <w:rFonts w:hint="eastAsia" w:ascii="仿宋_GB2312" w:hAnsi="仿宋_GB2312" w:eastAsia="仿宋_GB2312"/>
          <w:b/>
          <w:color w:val="000000" w:themeColor="text1"/>
          <w:sz w:val="24"/>
          <w:highlight w:val="none"/>
          <w14:textFill>
            <w14:solidFill>
              <w14:schemeClr w14:val="tx1"/>
            </w14:solidFill>
          </w14:textFill>
        </w:rPr>
      </w:pPr>
      <w:r>
        <w:rPr>
          <w:rStyle w:val="37"/>
          <w:rFonts w:ascii="仿宋_GB2312" w:hAnsi="仿宋_GB2312" w:eastAsia="仿宋_GB2312"/>
          <w:b/>
          <w:color w:val="000000" w:themeColor="text1"/>
          <w:sz w:val="24"/>
          <w:highlight w:val="none"/>
          <w14:textFill>
            <w14:solidFill>
              <w14:schemeClr w14:val="tx1"/>
            </w14:solidFill>
          </w14:textFill>
        </w:rPr>
        <w:t>2.8质量保证</w:t>
      </w:r>
    </w:p>
    <w:p w14:paraId="19BE9A39">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2.8.1乙方应建立和完善履行合同的内部质量保证体系，并提供相关内部规章制度给甲方，以便甲方进行监督检查；</w:t>
      </w:r>
    </w:p>
    <w:p w14:paraId="0BBC78EC">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2.8.2乙方应保证履行合同的人员数量和素质、软件和硬件设备的配置、场地、环境和设施等满足全面履行合同的要求，并应接受甲方的监督检查。</w:t>
      </w:r>
    </w:p>
    <w:p w14:paraId="6040F5B6">
      <w:pPr>
        <w:keepNext w:val="0"/>
        <w:keepLines w:val="0"/>
        <w:pageBreakBefore w:val="0"/>
        <w:widowControl w:val="0"/>
        <w:wordWrap/>
        <w:overflowPunct/>
        <w:topLinePunct w:val="0"/>
        <w:bidi w:val="0"/>
        <w:snapToGrid w:val="0"/>
        <w:spacing w:line="560" w:lineRule="exact"/>
        <w:ind w:firstLine="482" w:firstLineChars="200"/>
        <w:jc w:val="left"/>
        <w:rPr>
          <w:rStyle w:val="37"/>
          <w:rFonts w:hint="eastAsia" w:ascii="仿宋_GB2312" w:hAnsi="仿宋_GB2312" w:eastAsia="仿宋_GB2312"/>
          <w:b/>
          <w:color w:val="000000" w:themeColor="text1"/>
          <w:sz w:val="24"/>
          <w:highlight w:val="none"/>
          <w14:textFill>
            <w14:solidFill>
              <w14:schemeClr w14:val="tx1"/>
            </w14:solidFill>
          </w14:textFill>
        </w:rPr>
      </w:pPr>
      <w:r>
        <w:rPr>
          <w:rStyle w:val="37"/>
          <w:rFonts w:ascii="仿宋_GB2312" w:hAnsi="仿宋_GB2312" w:eastAsia="仿宋_GB2312"/>
          <w:b/>
          <w:color w:val="000000" w:themeColor="text1"/>
          <w:sz w:val="24"/>
          <w:highlight w:val="none"/>
          <w14:textFill>
            <w14:solidFill>
              <w14:schemeClr w14:val="tx1"/>
            </w14:solidFill>
          </w14:textFill>
        </w:rPr>
        <w:t>2.9货物的风险负担</w:t>
      </w:r>
    </w:p>
    <w:p w14:paraId="6835FF65">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b/>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货物或者在途货物或者交付给第一承运人后的货物毁损、灭失的风险负担详见</w:t>
      </w:r>
      <w:r>
        <w:rPr>
          <w:rStyle w:val="37"/>
          <w:rFonts w:ascii="仿宋_GB2312" w:hAnsi="仿宋_GB2312" w:eastAsia="仿宋_GB2312"/>
          <w:b/>
          <w:i/>
          <w:color w:val="000000" w:themeColor="text1"/>
          <w:sz w:val="24"/>
          <w:highlight w:val="none"/>
          <w:u w:val="single" w:color="000000"/>
          <w14:textFill>
            <w14:solidFill>
              <w14:schemeClr w14:val="tx1"/>
            </w14:solidFill>
          </w14:textFill>
        </w:rPr>
        <w:t>合同专用条款</w:t>
      </w:r>
      <w:r>
        <w:rPr>
          <w:rStyle w:val="37"/>
          <w:rFonts w:ascii="仿宋_GB2312" w:hAnsi="仿宋_GB2312" w:eastAsia="仿宋_GB2312"/>
          <w:color w:val="000000" w:themeColor="text1"/>
          <w:sz w:val="24"/>
          <w:highlight w:val="none"/>
          <w14:textFill>
            <w14:solidFill>
              <w14:schemeClr w14:val="tx1"/>
            </w14:solidFill>
          </w14:textFill>
        </w:rPr>
        <w:t>。</w:t>
      </w:r>
    </w:p>
    <w:p w14:paraId="60AC59E5">
      <w:pPr>
        <w:keepNext w:val="0"/>
        <w:keepLines w:val="0"/>
        <w:pageBreakBefore w:val="0"/>
        <w:widowControl w:val="0"/>
        <w:wordWrap/>
        <w:overflowPunct/>
        <w:topLinePunct w:val="0"/>
        <w:bidi w:val="0"/>
        <w:snapToGrid w:val="0"/>
        <w:spacing w:line="560" w:lineRule="exact"/>
        <w:ind w:firstLine="482" w:firstLineChars="200"/>
        <w:jc w:val="left"/>
        <w:rPr>
          <w:rStyle w:val="37"/>
          <w:rFonts w:hint="eastAsia" w:ascii="仿宋_GB2312" w:hAnsi="仿宋_GB2312" w:eastAsia="仿宋_GB2312"/>
          <w:b/>
          <w:color w:val="000000" w:themeColor="text1"/>
          <w:sz w:val="24"/>
          <w:highlight w:val="none"/>
          <w14:textFill>
            <w14:solidFill>
              <w14:schemeClr w14:val="tx1"/>
            </w14:solidFill>
          </w14:textFill>
        </w:rPr>
      </w:pPr>
      <w:r>
        <w:rPr>
          <w:rStyle w:val="37"/>
          <w:rFonts w:ascii="仿宋_GB2312" w:hAnsi="仿宋_GB2312" w:eastAsia="仿宋_GB2312"/>
          <w:b/>
          <w:color w:val="000000" w:themeColor="text1"/>
          <w:sz w:val="24"/>
          <w:highlight w:val="none"/>
          <w14:textFill>
            <w14:solidFill>
              <w14:schemeClr w14:val="tx1"/>
            </w14:solidFill>
          </w14:textFill>
        </w:rPr>
        <w:t>2.10延迟交货</w:t>
      </w:r>
    </w:p>
    <w:p w14:paraId="41532D9F">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14:paraId="2B90E626">
      <w:pPr>
        <w:keepNext w:val="0"/>
        <w:keepLines w:val="0"/>
        <w:pageBreakBefore w:val="0"/>
        <w:widowControl w:val="0"/>
        <w:wordWrap/>
        <w:overflowPunct/>
        <w:topLinePunct w:val="0"/>
        <w:bidi w:val="0"/>
        <w:snapToGrid w:val="0"/>
        <w:spacing w:line="560" w:lineRule="exact"/>
        <w:ind w:firstLine="482" w:firstLineChars="200"/>
        <w:jc w:val="left"/>
        <w:rPr>
          <w:rStyle w:val="37"/>
          <w:rFonts w:hint="eastAsia" w:ascii="仿宋_GB2312" w:hAnsi="仿宋_GB2312" w:eastAsia="仿宋_GB2312"/>
          <w:b/>
          <w:color w:val="000000" w:themeColor="text1"/>
          <w:sz w:val="24"/>
          <w:highlight w:val="none"/>
          <w14:textFill>
            <w14:solidFill>
              <w14:schemeClr w14:val="tx1"/>
            </w14:solidFill>
          </w14:textFill>
        </w:rPr>
      </w:pPr>
      <w:r>
        <w:rPr>
          <w:rStyle w:val="37"/>
          <w:rFonts w:ascii="仿宋_GB2312" w:hAnsi="仿宋_GB2312" w:eastAsia="仿宋_GB2312"/>
          <w:b/>
          <w:color w:val="000000" w:themeColor="text1"/>
          <w:sz w:val="24"/>
          <w:highlight w:val="none"/>
          <w14:textFill>
            <w14:solidFill>
              <w14:schemeClr w14:val="tx1"/>
            </w14:solidFill>
          </w14:textFill>
        </w:rPr>
        <w:t>2.11合同变更</w:t>
      </w:r>
    </w:p>
    <w:p w14:paraId="06D7F353">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2.11.1双方当事人协商一致，可以签订书面补充合同的形式变更合同，但不得违背采购文件确定的事项，且如果系追加与合同标的相同的货物的，那么所有补充合同的采购金额不得超过原合同价的10%；</w:t>
      </w:r>
    </w:p>
    <w:p w14:paraId="21BE4283">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2.11.2合同继续履行将损害国家利益和社会公共利益的，双方当事人应当以书面形式变更合同。有过错的一方应当承担赔偿责任，双方当事人都有过错的，各自承担相应的责任。</w:t>
      </w:r>
    </w:p>
    <w:p w14:paraId="759BB0B1">
      <w:pPr>
        <w:keepNext w:val="0"/>
        <w:keepLines w:val="0"/>
        <w:pageBreakBefore w:val="0"/>
        <w:widowControl w:val="0"/>
        <w:wordWrap/>
        <w:overflowPunct/>
        <w:topLinePunct w:val="0"/>
        <w:bidi w:val="0"/>
        <w:snapToGrid w:val="0"/>
        <w:spacing w:line="560" w:lineRule="exact"/>
        <w:ind w:firstLine="482" w:firstLineChars="200"/>
        <w:jc w:val="left"/>
        <w:rPr>
          <w:rStyle w:val="37"/>
          <w:rFonts w:hint="eastAsia" w:ascii="仿宋_GB2312" w:hAnsi="仿宋_GB2312" w:eastAsia="仿宋_GB2312"/>
          <w:b/>
          <w:color w:val="000000" w:themeColor="text1"/>
          <w:sz w:val="24"/>
          <w:highlight w:val="none"/>
          <w14:textFill>
            <w14:solidFill>
              <w14:schemeClr w14:val="tx1"/>
            </w14:solidFill>
          </w14:textFill>
        </w:rPr>
      </w:pPr>
      <w:r>
        <w:rPr>
          <w:rStyle w:val="37"/>
          <w:rFonts w:ascii="仿宋_GB2312" w:hAnsi="仿宋_GB2312" w:eastAsia="仿宋_GB2312"/>
          <w:b/>
          <w:color w:val="000000" w:themeColor="text1"/>
          <w:sz w:val="24"/>
          <w:highlight w:val="none"/>
          <w14:textFill>
            <w14:solidFill>
              <w14:schemeClr w14:val="tx1"/>
            </w14:solidFill>
          </w14:textFill>
        </w:rPr>
        <w:t>2.12合同转让和分包</w:t>
      </w:r>
    </w:p>
    <w:p w14:paraId="57F5BB39">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9D15237">
      <w:pPr>
        <w:keepNext w:val="0"/>
        <w:keepLines w:val="0"/>
        <w:pageBreakBefore w:val="0"/>
        <w:widowControl w:val="0"/>
        <w:wordWrap/>
        <w:overflowPunct/>
        <w:topLinePunct w:val="0"/>
        <w:bidi w:val="0"/>
        <w:snapToGrid w:val="0"/>
        <w:spacing w:line="560" w:lineRule="exact"/>
        <w:ind w:firstLine="482" w:firstLineChars="200"/>
        <w:jc w:val="left"/>
        <w:rPr>
          <w:rStyle w:val="37"/>
          <w:rFonts w:hint="eastAsia" w:ascii="仿宋_GB2312" w:hAnsi="仿宋_GB2312" w:eastAsia="仿宋_GB2312"/>
          <w:b/>
          <w:color w:val="000000" w:themeColor="text1"/>
          <w:sz w:val="24"/>
          <w:highlight w:val="none"/>
          <w14:textFill>
            <w14:solidFill>
              <w14:schemeClr w14:val="tx1"/>
            </w14:solidFill>
          </w14:textFill>
        </w:rPr>
      </w:pPr>
      <w:r>
        <w:rPr>
          <w:rStyle w:val="37"/>
          <w:rFonts w:ascii="仿宋_GB2312" w:hAnsi="仿宋_GB2312" w:eastAsia="仿宋_GB2312"/>
          <w:b/>
          <w:color w:val="000000" w:themeColor="text1"/>
          <w:sz w:val="24"/>
          <w:highlight w:val="none"/>
          <w14:textFill>
            <w14:solidFill>
              <w14:schemeClr w14:val="tx1"/>
            </w14:solidFill>
          </w14:textFill>
        </w:rPr>
        <w:t>2.13不可抗力</w:t>
      </w:r>
    </w:p>
    <w:p w14:paraId="5C034BFB">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2.13.1如果任何一方遭遇法律规定的不可抗力，致使合同履行受阻时，履行合同的期限应予延长，延长的期限应相当于不可抗力所影响的时间；</w:t>
      </w:r>
    </w:p>
    <w:p w14:paraId="64E03565">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2.13.2因不可抗力致使不能实现合同目的的，当事人可以解除合同；</w:t>
      </w:r>
    </w:p>
    <w:p w14:paraId="10C3885B">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2.13.3因不可抗力致使合同有变更必要的，双方当事人应在</w:t>
      </w:r>
      <w:r>
        <w:rPr>
          <w:rStyle w:val="37"/>
          <w:rFonts w:ascii="仿宋_GB2312" w:hAnsi="仿宋_GB2312" w:eastAsia="仿宋_GB2312"/>
          <w:b/>
          <w:i/>
          <w:color w:val="000000" w:themeColor="text1"/>
          <w:sz w:val="24"/>
          <w:highlight w:val="none"/>
          <w:u w:val="single" w:color="000000"/>
          <w14:textFill>
            <w14:solidFill>
              <w14:schemeClr w14:val="tx1"/>
            </w14:solidFill>
          </w14:textFill>
        </w:rPr>
        <w:t>合同专用条款</w:t>
      </w:r>
      <w:r>
        <w:rPr>
          <w:rStyle w:val="37"/>
          <w:rFonts w:ascii="仿宋_GB2312" w:hAnsi="仿宋_GB2312" w:eastAsia="仿宋_GB2312"/>
          <w:color w:val="000000" w:themeColor="text1"/>
          <w:sz w:val="24"/>
          <w:highlight w:val="none"/>
          <w14:textFill>
            <w14:solidFill>
              <w14:schemeClr w14:val="tx1"/>
            </w14:solidFill>
          </w14:textFill>
        </w:rPr>
        <w:t>约定时间内以书面形式变更合同；</w:t>
      </w:r>
    </w:p>
    <w:p w14:paraId="25C04BE6">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2.13.4受不可抗力影响的一方在不可抗力发生后，应在</w:t>
      </w:r>
      <w:r>
        <w:rPr>
          <w:rStyle w:val="37"/>
          <w:rFonts w:ascii="仿宋_GB2312" w:hAnsi="仿宋_GB2312" w:eastAsia="仿宋_GB2312"/>
          <w:b/>
          <w:i/>
          <w:color w:val="000000" w:themeColor="text1"/>
          <w:sz w:val="24"/>
          <w:highlight w:val="none"/>
          <w:u w:val="single" w:color="000000"/>
          <w14:textFill>
            <w14:solidFill>
              <w14:schemeClr w14:val="tx1"/>
            </w14:solidFill>
          </w14:textFill>
        </w:rPr>
        <w:t>合同专用条款</w:t>
      </w:r>
      <w:r>
        <w:rPr>
          <w:rStyle w:val="37"/>
          <w:rFonts w:ascii="仿宋_GB2312" w:hAnsi="仿宋_GB2312" w:eastAsia="仿宋_GB2312"/>
          <w:color w:val="000000" w:themeColor="text1"/>
          <w:sz w:val="24"/>
          <w:highlight w:val="none"/>
          <w14:textFill>
            <w14:solidFill>
              <w14:schemeClr w14:val="tx1"/>
            </w14:solidFill>
          </w14:textFill>
        </w:rPr>
        <w:t>约定时间内以书面形式通知对方当事人，并在</w:t>
      </w:r>
      <w:r>
        <w:rPr>
          <w:rStyle w:val="37"/>
          <w:rFonts w:ascii="仿宋_GB2312" w:hAnsi="仿宋_GB2312" w:eastAsia="仿宋_GB2312"/>
          <w:b/>
          <w:i/>
          <w:color w:val="000000" w:themeColor="text1"/>
          <w:sz w:val="24"/>
          <w:highlight w:val="none"/>
          <w:u w:val="single" w:color="000000"/>
          <w14:textFill>
            <w14:solidFill>
              <w14:schemeClr w14:val="tx1"/>
            </w14:solidFill>
          </w14:textFill>
        </w:rPr>
        <w:t>合同专用条款</w:t>
      </w:r>
      <w:r>
        <w:rPr>
          <w:rStyle w:val="37"/>
          <w:rFonts w:ascii="仿宋_GB2312" w:hAnsi="仿宋_GB2312" w:eastAsia="仿宋_GB2312"/>
          <w:color w:val="000000" w:themeColor="text1"/>
          <w:sz w:val="24"/>
          <w:highlight w:val="none"/>
          <w14:textFill>
            <w14:solidFill>
              <w14:schemeClr w14:val="tx1"/>
            </w14:solidFill>
          </w14:textFill>
        </w:rPr>
        <w:t>约定时间内，将有关部门出具的证明文件送达对方当事人。</w:t>
      </w:r>
    </w:p>
    <w:p w14:paraId="629C8B34">
      <w:pPr>
        <w:keepNext w:val="0"/>
        <w:keepLines w:val="0"/>
        <w:pageBreakBefore w:val="0"/>
        <w:widowControl w:val="0"/>
        <w:wordWrap/>
        <w:overflowPunct/>
        <w:topLinePunct w:val="0"/>
        <w:bidi w:val="0"/>
        <w:snapToGrid w:val="0"/>
        <w:spacing w:line="560" w:lineRule="exact"/>
        <w:ind w:firstLine="482" w:firstLineChars="200"/>
        <w:jc w:val="left"/>
        <w:rPr>
          <w:rStyle w:val="37"/>
          <w:rFonts w:hint="eastAsia" w:ascii="仿宋_GB2312" w:hAnsi="仿宋_GB2312" w:eastAsia="仿宋_GB2312"/>
          <w:b/>
          <w:color w:val="000000" w:themeColor="text1"/>
          <w:sz w:val="24"/>
          <w:highlight w:val="none"/>
          <w14:textFill>
            <w14:solidFill>
              <w14:schemeClr w14:val="tx1"/>
            </w14:solidFill>
          </w14:textFill>
        </w:rPr>
      </w:pPr>
      <w:r>
        <w:rPr>
          <w:rStyle w:val="37"/>
          <w:rFonts w:ascii="仿宋_GB2312" w:hAnsi="仿宋_GB2312" w:eastAsia="仿宋_GB2312"/>
          <w:b/>
          <w:color w:val="000000" w:themeColor="text1"/>
          <w:sz w:val="24"/>
          <w:highlight w:val="none"/>
          <w14:textFill>
            <w14:solidFill>
              <w14:schemeClr w14:val="tx1"/>
            </w14:solidFill>
          </w14:textFill>
        </w:rPr>
        <w:t>2.14税费</w:t>
      </w:r>
    </w:p>
    <w:p w14:paraId="4CA7B731">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与合同有关的一切税费，均按照中华人民共和国法律的相关规定。</w:t>
      </w:r>
    </w:p>
    <w:p w14:paraId="048E363E">
      <w:pPr>
        <w:keepNext w:val="0"/>
        <w:keepLines w:val="0"/>
        <w:pageBreakBefore w:val="0"/>
        <w:widowControl w:val="0"/>
        <w:wordWrap/>
        <w:overflowPunct/>
        <w:topLinePunct w:val="0"/>
        <w:bidi w:val="0"/>
        <w:snapToGrid w:val="0"/>
        <w:spacing w:line="560" w:lineRule="exact"/>
        <w:ind w:firstLine="482" w:firstLineChars="200"/>
        <w:jc w:val="left"/>
        <w:rPr>
          <w:rStyle w:val="37"/>
          <w:rFonts w:hint="eastAsia" w:ascii="仿宋_GB2312" w:hAnsi="仿宋_GB2312" w:eastAsia="仿宋_GB2312"/>
          <w:b/>
          <w:color w:val="000000" w:themeColor="text1"/>
          <w:sz w:val="24"/>
          <w:highlight w:val="none"/>
          <w14:textFill>
            <w14:solidFill>
              <w14:schemeClr w14:val="tx1"/>
            </w14:solidFill>
          </w14:textFill>
        </w:rPr>
      </w:pPr>
      <w:r>
        <w:rPr>
          <w:rStyle w:val="37"/>
          <w:rFonts w:ascii="仿宋_GB2312" w:hAnsi="仿宋_GB2312" w:eastAsia="仿宋_GB2312"/>
          <w:b/>
          <w:color w:val="000000" w:themeColor="text1"/>
          <w:sz w:val="24"/>
          <w:highlight w:val="none"/>
          <w14:textFill>
            <w14:solidFill>
              <w14:schemeClr w14:val="tx1"/>
            </w14:solidFill>
          </w14:textFill>
        </w:rPr>
        <w:t>2.15乙方破产</w:t>
      </w:r>
    </w:p>
    <w:p w14:paraId="454831DA">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C8999F5">
      <w:pPr>
        <w:keepNext w:val="0"/>
        <w:keepLines w:val="0"/>
        <w:pageBreakBefore w:val="0"/>
        <w:widowControl w:val="0"/>
        <w:wordWrap/>
        <w:overflowPunct/>
        <w:topLinePunct w:val="0"/>
        <w:bidi w:val="0"/>
        <w:snapToGrid w:val="0"/>
        <w:spacing w:line="560" w:lineRule="exact"/>
        <w:ind w:firstLine="482" w:firstLineChars="200"/>
        <w:jc w:val="left"/>
        <w:rPr>
          <w:rStyle w:val="37"/>
          <w:rFonts w:hint="eastAsia" w:ascii="仿宋_GB2312" w:hAnsi="仿宋_GB2312" w:eastAsia="仿宋_GB2312"/>
          <w:b/>
          <w:color w:val="000000" w:themeColor="text1"/>
          <w:sz w:val="24"/>
          <w:highlight w:val="none"/>
          <w14:textFill>
            <w14:solidFill>
              <w14:schemeClr w14:val="tx1"/>
            </w14:solidFill>
          </w14:textFill>
        </w:rPr>
      </w:pPr>
      <w:r>
        <w:rPr>
          <w:rStyle w:val="37"/>
          <w:rFonts w:ascii="仿宋_GB2312" w:hAnsi="仿宋_GB2312" w:eastAsia="仿宋_GB2312"/>
          <w:b/>
          <w:color w:val="000000" w:themeColor="text1"/>
          <w:sz w:val="24"/>
          <w:highlight w:val="none"/>
          <w14:textFill>
            <w14:solidFill>
              <w14:schemeClr w14:val="tx1"/>
            </w14:solidFill>
          </w14:textFill>
        </w:rPr>
        <w:t>2.16合同中止、终止</w:t>
      </w:r>
    </w:p>
    <w:p w14:paraId="5B1BA398">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2.16.1双方当事人不得擅自中止或者终止合同；</w:t>
      </w:r>
    </w:p>
    <w:p w14:paraId="71D502D9">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2.16.2合同继续履行将损害国家利益和社会公共利益的，双方当事人应当中止或者终止合同。有过错的一方应当承担赔偿责任，双方当事人都有过错的，各自承担相应的责任。</w:t>
      </w:r>
    </w:p>
    <w:p w14:paraId="125A42CA">
      <w:pPr>
        <w:keepNext w:val="0"/>
        <w:keepLines w:val="0"/>
        <w:pageBreakBefore w:val="0"/>
        <w:widowControl w:val="0"/>
        <w:wordWrap/>
        <w:overflowPunct/>
        <w:topLinePunct w:val="0"/>
        <w:bidi w:val="0"/>
        <w:snapToGrid w:val="0"/>
        <w:spacing w:line="560" w:lineRule="exact"/>
        <w:ind w:firstLine="482" w:firstLineChars="200"/>
        <w:jc w:val="left"/>
        <w:rPr>
          <w:rStyle w:val="37"/>
          <w:rFonts w:hint="eastAsia" w:ascii="仿宋_GB2312" w:hAnsi="仿宋_GB2312" w:eastAsia="仿宋_GB2312"/>
          <w:b/>
          <w:color w:val="000000" w:themeColor="text1"/>
          <w:sz w:val="24"/>
          <w:highlight w:val="none"/>
          <w14:textFill>
            <w14:solidFill>
              <w14:schemeClr w14:val="tx1"/>
            </w14:solidFill>
          </w14:textFill>
        </w:rPr>
      </w:pPr>
      <w:r>
        <w:rPr>
          <w:rStyle w:val="37"/>
          <w:rFonts w:ascii="仿宋_GB2312" w:hAnsi="仿宋_GB2312" w:eastAsia="仿宋_GB2312"/>
          <w:b/>
          <w:color w:val="000000" w:themeColor="text1"/>
          <w:sz w:val="24"/>
          <w:highlight w:val="none"/>
          <w14:textFill>
            <w14:solidFill>
              <w14:schemeClr w14:val="tx1"/>
            </w14:solidFill>
          </w14:textFill>
        </w:rPr>
        <w:t>2.17检验和验收</w:t>
      </w:r>
    </w:p>
    <w:p w14:paraId="1A3C4C94">
      <w:pPr>
        <w:keepNext w:val="0"/>
        <w:keepLines w:val="0"/>
        <w:pageBreakBefore w:val="0"/>
        <w:widowControl w:val="0"/>
        <w:tabs>
          <w:tab w:val="left" w:pos="360"/>
          <w:tab w:val="left" w:pos="540"/>
          <w:tab w:val="left" w:pos="1080"/>
        </w:tabs>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2.17.1货物交付前，乙方应对货物的质量、数量等方面进行详细、全面的检验，并向甲方出具证明货物符合合同约定的文件；货物交付时，乙方在</w:t>
      </w:r>
      <w:r>
        <w:rPr>
          <w:rStyle w:val="37"/>
          <w:rFonts w:ascii="仿宋_GB2312" w:hAnsi="仿宋_GB2312" w:eastAsia="仿宋_GB2312"/>
          <w:b/>
          <w:i/>
          <w:color w:val="000000" w:themeColor="text1"/>
          <w:sz w:val="24"/>
          <w:highlight w:val="none"/>
          <w:u w:val="single" w:color="000000"/>
          <w14:textFill>
            <w14:solidFill>
              <w14:schemeClr w14:val="tx1"/>
            </w14:solidFill>
          </w14:textFill>
        </w:rPr>
        <w:t>合同专用条款</w:t>
      </w:r>
      <w:r>
        <w:rPr>
          <w:rStyle w:val="37"/>
          <w:rFonts w:ascii="仿宋_GB2312" w:hAnsi="仿宋_GB2312" w:eastAsia="仿宋_GB2312"/>
          <w:color w:val="000000" w:themeColor="text1"/>
          <w:sz w:val="24"/>
          <w:highlight w:val="none"/>
          <w14:textFill>
            <w14:solidFill>
              <w14:schemeClr w14:val="tx1"/>
            </w14:solidFill>
          </w14:textFill>
        </w:rPr>
        <w:t>约定时间内组织验收，并可依法邀请相关方参加，验收应出具验收书。</w:t>
      </w:r>
    </w:p>
    <w:p w14:paraId="15B84E7D">
      <w:pPr>
        <w:keepNext w:val="0"/>
        <w:keepLines w:val="0"/>
        <w:pageBreakBefore w:val="0"/>
        <w:widowControl w:val="0"/>
        <w:tabs>
          <w:tab w:val="left" w:pos="360"/>
          <w:tab w:val="left" w:pos="540"/>
          <w:tab w:val="left" w:pos="1080"/>
        </w:tabs>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61A3E8EF">
      <w:pPr>
        <w:keepNext w:val="0"/>
        <w:keepLines w:val="0"/>
        <w:pageBreakBefore w:val="0"/>
        <w:widowControl w:val="0"/>
        <w:tabs>
          <w:tab w:val="left" w:pos="360"/>
          <w:tab w:val="left" w:pos="540"/>
          <w:tab w:val="left" w:pos="1080"/>
        </w:tabs>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2.17.3检验和验收标准、程序等具体内容以及前述验收书的效力详见</w:t>
      </w:r>
      <w:r>
        <w:rPr>
          <w:rStyle w:val="37"/>
          <w:rFonts w:ascii="仿宋_GB2312" w:hAnsi="仿宋_GB2312" w:eastAsia="仿宋_GB2312"/>
          <w:b/>
          <w:i/>
          <w:color w:val="000000" w:themeColor="text1"/>
          <w:sz w:val="24"/>
          <w:highlight w:val="none"/>
          <w:u w:val="single" w:color="000000"/>
          <w14:textFill>
            <w14:solidFill>
              <w14:schemeClr w14:val="tx1"/>
            </w14:solidFill>
          </w14:textFill>
        </w:rPr>
        <w:t>合同专用条款</w:t>
      </w:r>
      <w:r>
        <w:rPr>
          <w:rStyle w:val="37"/>
          <w:rFonts w:ascii="仿宋_GB2312" w:hAnsi="仿宋_GB2312" w:eastAsia="仿宋_GB2312"/>
          <w:i/>
          <w:color w:val="000000" w:themeColor="text1"/>
          <w:sz w:val="24"/>
          <w:highlight w:val="none"/>
          <w14:textFill>
            <w14:solidFill>
              <w14:schemeClr w14:val="tx1"/>
            </w14:solidFill>
          </w14:textFill>
        </w:rPr>
        <w:t>。</w:t>
      </w:r>
    </w:p>
    <w:p w14:paraId="64F88C35">
      <w:pPr>
        <w:keepNext w:val="0"/>
        <w:keepLines w:val="0"/>
        <w:pageBreakBefore w:val="0"/>
        <w:widowControl w:val="0"/>
        <w:wordWrap/>
        <w:overflowPunct/>
        <w:topLinePunct w:val="0"/>
        <w:bidi w:val="0"/>
        <w:snapToGrid w:val="0"/>
        <w:spacing w:line="560" w:lineRule="exact"/>
        <w:ind w:firstLine="482" w:firstLineChars="200"/>
        <w:jc w:val="left"/>
        <w:rPr>
          <w:rStyle w:val="37"/>
          <w:rFonts w:hint="eastAsia" w:ascii="仿宋_GB2312" w:hAnsi="仿宋_GB2312" w:eastAsia="仿宋_GB2312"/>
          <w:b/>
          <w:color w:val="000000" w:themeColor="text1"/>
          <w:sz w:val="24"/>
          <w:highlight w:val="none"/>
          <w14:textFill>
            <w14:solidFill>
              <w14:schemeClr w14:val="tx1"/>
            </w14:solidFill>
          </w14:textFill>
        </w:rPr>
      </w:pPr>
      <w:r>
        <w:rPr>
          <w:rStyle w:val="37"/>
          <w:rFonts w:ascii="仿宋_GB2312" w:hAnsi="仿宋_GB2312" w:eastAsia="仿宋_GB2312"/>
          <w:b/>
          <w:color w:val="000000" w:themeColor="text1"/>
          <w:sz w:val="24"/>
          <w:highlight w:val="none"/>
          <w14:textFill>
            <w14:solidFill>
              <w14:schemeClr w14:val="tx1"/>
            </w14:solidFill>
          </w14:textFill>
        </w:rPr>
        <w:t>2.18通知和送达</w:t>
      </w:r>
    </w:p>
    <w:p w14:paraId="201BA041">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2.18.1任何一方因履行合同而以合同第一部分尾部所列明的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p>
    <w:p w14:paraId="4FD23553">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2.18.2以当面交付方式送达的，交付之时视为送达；以电子邮件方式送达的，发出电子邮件之时视为送达；以传真方式送达的，发出传真之时视为送达；以邮寄方式送达的，邮件挂号寄出或者交邮之日之次日视为送达。</w:t>
      </w:r>
    </w:p>
    <w:p w14:paraId="70360E47">
      <w:pPr>
        <w:keepNext w:val="0"/>
        <w:keepLines w:val="0"/>
        <w:pageBreakBefore w:val="0"/>
        <w:widowControl w:val="0"/>
        <w:wordWrap/>
        <w:overflowPunct/>
        <w:topLinePunct w:val="0"/>
        <w:bidi w:val="0"/>
        <w:snapToGrid w:val="0"/>
        <w:spacing w:line="560" w:lineRule="exact"/>
        <w:ind w:firstLine="482" w:firstLineChars="200"/>
        <w:jc w:val="left"/>
        <w:rPr>
          <w:rStyle w:val="37"/>
          <w:rFonts w:hint="eastAsia" w:ascii="仿宋_GB2312" w:hAnsi="仿宋_GB2312" w:eastAsia="仿宋_GB2312"/>
          <w:b/>
          <w:color w:val="000000" w:themeColor="text1"/>
          <w:sz w:val="24"/>
          <w:highlight w:val="none"/>
          <w14:textFill>
            <w14:solidFill>
              <w14:schemeClr w14:val="tx1"/>
            </w14:solidFill>
          </w14:textFill>
        </w:rPr>
      </w:pPr>
      <w:r>
        <w:rPr>
          <w:rStyle w:val="37"/>
          <w:rFonts w:ascii="仿宋_GB2312" w:hAnsi="仿宋_GB2312" w:eastAsia="仿宋_GB2312"/>
          <w:b/>
          <w:color w:val="000000" w:themeColor="text1"/>
          <w:sz w:val="24"/>
          <w:highlight w:val="none"/>
          <w14:textFill>
            <w14:solidFill>
              <w14:schemeClr w14:val="tx1"/>
            </w14:solidFill>
          </w14:textFill>
        </w:rPr>
        <w:t>2.19计量单位</w:t>
      </w:r>
    </w:p>
    <w:p w14:paraId="6BD40589">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除技术规范中另有规定外,合同的计量单位均使用国家法定计量单位。</w:t>
      </w:r>
    </w:p>
    <w:p w14:paraId="0B510649">
      <w:pPr>
        <w:keepNext w:val="0"/>
        <w:keepLines w:val="0"/>
        <w:pageBreakBefore w:val="0"/>
        <w:widowControl w:val="0"/>
        <w:wordWrap/>
        <w:overflowPunct/>
        <w:topLinePunct w:val="0"/>
        <w:bidi w:val="0"/>
        <w:snapToGrid w:val="0"/>
        <w:spacing w:line="560" w:lineRule="exact"/>
        <w:ind w:firstLine="482" w:firstLineChars="200"/>
        <w:jc w:val="left"/>
        <w:rPr>
          <w:rStyle w:val="37"/>
          <w:rFonts w:hint="eastAsia" w:ascii="仿宋_GB2312" w:hAnsi="仿宋_GB2312" w:eastAsia="仿宋_GB2312"/>
          <w:b/>
          <w:color w:val="000000" w:themeColor="text1"/>
          <w:sz w:val="24"/>
          <w:highlight w:val="none"/>
          <w14:textFill>
            <w14:solidFill>
              <w14:schemeClr w14:val="tx1"/>
            </w14:solidFill>
          </w14:textFill>
        </w:rPr>
      </w:pPr>
      <w:r>
        <w:rPr>
          <w:rStyle w:val="37"/>
          <w:rFonts w:ascii="仿宋_GB2312" w:hAnsi="仿宋_GB2312" w:eastAsia="仿宋_GB2312"/>
          <w:b/>
          <w:color w:val="000000" w:themeColor="text1"/>
          <w:sz w:val="24"/>
          <w:highlight w:val="none"/>
          <w14:textFill>
            <w14:solidFill>
              <w14:schemeClr w14:val="tx1"/>
            </w14:solidFill>
          </w14:textFill>
        </w:rPr>
        <w:t>2.20合同使用的文字和适用的法律</w:t>
      </w:r>
    </w:p>
    <w:p w14:paraId="0BB996E3">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2.20.1合同使用汉语书就、变更和解释；</w:t>
      </w:r>
    </w:p>
    <w:p w14:paraId="6FFA6405">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2.20.2合同适用中华人民共和国法律。</w:t>
      </w:r>
    </w:p>
    <w:p w14:paraId="619EF457">
      <w:pPr>
        <w:keepNext w:val="0"/>
        <w:keepLines w:val="0"/>
        <w:pageBreakBefore w:val="0"/>
        <w:widowControl w:val="0"/>
        <w:wordWrap/>
        <w:overflowPunct/>
        <w:topLinePunct w:val="0"/>
        <w:bidi w:val="0"/>
        <w:snapToGrid w:val="0"/>
        <w:spacing w:line="560" w:lineRule="exact"/>
        <w:ind w:firstLine="482" w:firstLineChars="200"/>
        <w:jc w:val="left"/>
        <w:rPr>
          <w:rStyle w:val="37"/>
          <w:rFonts w:hint="eastAsia" w:ascii="仿宋_GB2312" w:hAnsi="仿宋_GB2312" w:eastAsia="仿宋_GB2312"/>
          <w:b/>
          <w:color w:val="000000" w:themeColor="text1"/>
          <w:sz w:val="24"/>
          <w:highlight w:val="none"/>
          <w14:textFill>
            <w14:solidFill>
              <w14:schemeClr w14:val="tx1"/>
            </w14:solidFill>
          </w14:textFill>
        </w:rPr>
      </w:pPr>
      <w:r>
        <w:rPr>
          <w:rStyle w:val="37"/>
          <w:rFonts w:ascii="仿宋_GB2312" w:hAnsi="仿宋_GB2312" w:eastAsia="仿宋_GB2312"/>
          <w:b/>
          <w:color w:val="000000" w:themeColor="text1"/>
          <w:sz w:val="24"/>
          <w:highlight w:val="none"/>
          <w14:textFill>
            <w14:solidFill>
              <w14:schemeClr w14:val="tx1"/>
            </w14:solidFill>
          </w14:textFill>
        </w:rPr>
        <w:t>2.21履约保证金</w:t>
      </w:r>
    </w:p>
    <w:p w14:paraId="26D07B86">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2.21.1采购文件要求乙方提交履约保证金的，乙方应按</w:t>
      </w:r>
      <w:r>
        <w:rPr>
          <w:rStyle w:val="37"/>
          <w:rFonts w:ascii="仿宋_GB2312" w:hAnsi="仿宋_GB2312" w:eastAsia="仿宋_GB2312"/>
          <w:b/>
          <w:i/>
          <w:color w:val="000000" w:themeColor="text1"/>
          <w:sz w:val="24"/>
          <w:highlight w:val="none"/>
          <w:u w:val="single" w:color="000000"/>
          <w14:textFill>
            <w14:solidFill>
              <w14:schemeClr w14:val="tx1"/>
            </w14:solidFill>
          </w14:textFill>
        </w:rPr>
        <w:t>合同专用条款</w:t>
      </w:r>
      <w:r>
        <w:rPr>
          <w:rStyle w:val="37"/>
          <w:rFonts w:ascii="仿宋_GB2312" w:hAnsi="仿宋_GB2312" w:eastAsia="仿宋_GB2312"/>
          <w:color w:val="000000" w:themeColor="text1"/>
          <w:sz w:val="24"/>
          <w:highlight w:val="none"/>
          <w14:textFill>
            <w14:solidFill>
              <w14:schemeClr w14:val="tx1"/>
            </w14:solidFill>
          </w14:textFill>
        </w:rPr>
        <w:t>约定的方式，以支票、汇票、本票或者金融机构、担保机构出具的保函等非现金形式，提交不超过合同价10%的履约保证金；</w:t>
      </w:r>
    </w:p>
    <w:p w14:paraId="3CE0018D">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2.21.2履约保证金在</w:t>
      </w:r>
      <w:r>
        <w:rPr>
          <w:rStyle w:val="37"/>
          <w:rFonts w:ascii="仿宋_GB2312" w:hAnsi="仿宋_GB2312" w:eastAsia="仿宋_GB2312"/>
          <w:b/>
          <w:i/>
          <w:color w:val="000000" w:themeColor="text1"/>
          <w:sz w:val="24"/>
          <w:highlight w:val="none"/>
          <w:u w:val="single" w:color="000000"/>
          <w14:textFill>
            <w14:solidFill>
              <w14:schemeClr w14:val="tx1"/>
            </w14:solidFill>
          </w14:textFill>
        </w:rPr>
        <w:t>合同专用条款</w:t>
      </w:r>
      <w:r>
        <w:rPr>
          <w:rStyle w:val="37"/>
          <w:rFonts w:ascii="仿宋_GB2312" w:hAnsi="仿宋_GB2312" w:eastAsia="仿宋_GB2312"/>
          <w:color w:val="000000" w:themeColor="text1"/>
          <w:sz w:val="24"/>
          <w:highlight w:val="none"/>
          <w14:textFill>
            <w14:solidFill>
              <w14:schemeClr w14:val="tx1"/>
            </w14:solidFill>
          </w14:textFill>
        </w:rPr>
        <w:t>约定期间内或者货物质量保证期内不予退还或者应完全有效，前述约定期间届满或者货物质量保证期届满之日起个工作日内，甲方应将履约保证金退还乙方；</w:t>
      </w:r>
    </w:p>
    <w:p w14:paraId="76B70E00">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2.21.3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4823481">
      <w:pPr>
        <w:keepNext w:val="0"/>
        <w:keepLines w:val="0"/>
        <w:pageBreakBefore w:val="0"/>
        <w:widowControl w:val="0"/>
        <w:wordWrap/>
        <w:overflowPunct/>
        <w:topLinePunct w:val="0"/>
        <w:bidi w:val="0"/>
        <w:snapToGrid w:val="0"/>
        <w:spacing w:line="560" w:lineRule="exact"/>
        <w:ind w:firstLine="482" w:firstLineChars="200"/>
        <w:jc w:val="left"/>
        <w:rPr>
          <w:rStyle w:val="37"/>
          <w:rFonts w:hint="eastAsia" w:ascii="仿宋_GB2312" w:hAnsi="仿宋_GB2312" w:eastAsia="仿宋_GB2312"/>
          <w:b/>
          <w:color w:val="000000" w:themeColor="text1"/>
          <w:sz w:val="24"/>
          <w:highlight w:val="none"/>
          <w14:textFill>
            <w14:solidFill>
              <w14:schemeClr w14:val="tx1"/>
            </w14:solidFill>
          </w14:textFill>
        </w:rPr>
      </w:pPr>
      <w:r>
        <w:rPr>
          <w:rStyle w:val="37"/>
          <w:rFonts w:ascii="仿宋_GB2312" w:hAnsi="仿宋_GB2312" w:eastAsia="仿宋_GB2312"/>
          <w:b/>
          <w:color w:val="000000" w:themeColor="text1"/>
          <w:sz w:val="24"/>
          <w:highlight w:val="none"/>
          <w14:textFill>
            <w14:solidFill>
              <w14:schemeClr w14:val="tx1"/>
            </w14:solidFill>
          </w14:textFill>
        </w:rPr>
        <w:t>2.22合同份数</w:t>
      </w:r>
    </w:p>
    <w:p w14:paraId="36A8DAF7">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合同份数按</w:t>
      </w:r>
      <w:r>
        <w:rPr>
          <w:rStyle w:val="37"/>
          <w:rFonts w:ascii="仿宋_GB2312" w:hAnsi="仿宋_GB2312" w:eastAsia="仿宋_GB2312"/>
          <w:b/>
          <w:i/>
          <w:color w:val="000000" w:themeColor="text1"/>
          <w:sz w:val="24"/>
          <w:highlight w:val="none"/>
          <w:u w:val="single" w:color="000000"/>
          <w14:textFill>
            <w14:solidFill>
              <w14:schemeClr w14:val="tx1"/>
            </w14:solidFill>
          </w14:textFill>
        </w:rPr>
        <w:t>合同专用条款</w:t>
      </w:r>
      <w:r>
        <w:rPr>
          <w:rStyle w:val="37"/>
          <w:rFonts w:ascii="仿宋_GB2312" w:hAnsi="仿宋_GB2312" w:eastAsia="仿宋_GB2312"/>
          <w:color w:val="000000" w:themeColor="text1"/>
          <w:sz w:val="24"/>
          <w:highlight w:val="none"/>
          <w14:textFill>
            <w14:solidFill>
              <w14:schemeClr w14:val="tx1"/>
            </w14:solidFill>
          </w14:textFill>
        </w:rPr>
        <w:t>规定，每份均具有同等法律效力。</w:t>
      </w:r>
    </w:p>
    <w:p w14:paraId="3936F025">
      <w:pPr>
        <w:pStyle w:val="84"/>
        <w:keepNext w:val="0"/>
        <w:keepLines w:val="0"/>
        <w:pageBreakBefore w:val="0"/>
        <w:widowControl w:val="0"/>
        <w:wordWrap/>
        <w:overflowPunct/>
        <w:topLinePunct w:val="0"/>
        <w:bidi w:val="0"/>
        <w:snapToGrid w:val="0"/>
        <w:spacing w:line="560" w:lineRule="exact"/>
        <w:ind w:firstLine="0"/>
        <w:rPr>
          <w:rStyle w:val="37"/>
          <w:rFonts w:hint="eastAsia" w:ascii="仿宋_GB2312" w:hAnsi="仿宋_GB2312" w:eastAsia="仿宋_GB2312"/>
          <w:color w:val="000000" w:themeColor="text1"/>
          <w:szCs w:val="24"/>
          <w:highlight w:val="none"/>
          <w14:textFill>
            <w14:solidFill>
              <w14:schemeClr w14:val="tx1"/>
            </w14:solidFill>
          </w14:textFill>
        </w:rPr>
      </w:pPr>
      <w:r>
        <w:rPr>
          <w:rStyle w:val="37"/>
          <w:rFonts w:ascii="仿宋_GB2312" w:hAnsi="仿宋_GB2312" w:eastAsia="仿宋_GB2312"/>
          <w:color w:val="000000" w:themeColor="text1"/>
          <w:szCs w:val="24"/>
          <w:highlight w:val="none"/>
          <w14:textFill>
            <w14:solidFill>
              <w14:schemeClr w14:val="tx1"/>
            </w14:solidFill>
          </w14:textFill>
        </w:rPr>
        <w:br w:type="page"/>
      </w:r>
    </w:p>
    <w:p w14:paraId="15E4D731">
      <w:pPr>
        <w:pStyle w:val="84"/>
        <w:keepNext w:val="0"/>
        <w:keepLines w:val="0"/>
        <w:pageBreakBefore w:val="0"/>
        <w:widowControl w:val="0"/>
        <w:wordWrap/>
        <w:overflowPunct/>
        <w:topLinePunct w:val="0"/>
        <w:bidi w:val="0"/>
        <w:snapToGrid w:val="0"/>
        <w:spacing w:line="560" w:lineRule="exact"/>
        <w:ind w:firstLine="0"/>
        <w:rPr>
          <w:rStyle w:val="37"/>
          <w:rFonts w:hint="eastAsia" w:ascii="仿宋_GB2312" w:hAnsi="仿宋_GB2312" w:eastAsia="仿宋_GB2312"/>
          <w:b/>
          <w:color w:val="000000" w:themeColor="text1"/>
          <w:szCs w:val="24"/>
          <w:highlight w:val="none"/>
          <w14:textFill>
            <w14:solidFill>
              <w14:schemeClr w14:val="tx1"/>
            </w14:solidFill>
          </w14:textFill>
        </w:rPr>
      </w:pPr>
      <w:r>
        <w:rPr>
          <w:rStyle w:val="37"/>
          <w:rFonts w:ascii="仿宋_GB2312" w:hAnsi="仿宋_GB2312" w:eastAsia="仿宋_GB2312"/>
          <w:b/>
          <w:color w:val="000000" w:themeColor="text1"/>
          <w:szCs w:val="24"/>
          <w:highlight w:val="none"/>
          <w14:textFill>
            <w14:solidFill>
              <w14:schemeClr w14:val="tx1"/>
            </w14:solidFill>
          </w14:textFill>
        </w:rPr>
        <w:t>第三部分合同专用条款</w:t>
      </w:r>
    </w:p>
    <w:p w14:paraId="3F2F1EAD">
      <w:pPr>
        <w:keepNext w:val="0"/>
        <w:keepLines w:val="0"/>
        <w:pageBreakBefore w:val="0"/>
        <w:widowControl w:val="0"/>
        <w:wordWrap/>
        <w:overflowPunct/>
        <w:topLinePunct w:val="0"/>
        <w:bidi w:val="0"/>
        <w:snapToGrid w:val="0"/>
        <w:spacing w:line="560" w:lineRule="exact"/>
        <w:ind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ascii="仿宋_GB2312" w:hAnsi="仿宋_GB2312" w:eastAsia="仿宋_GB2312"/>
          <w:color w:val="000000" w:themeColor="text1"/>
          <w:sz w:val="24"/>
          <w:highlight w:val="none"/>
          <w14:textFill>
            <w14:solidFill>
              <w14:schemeClr w14:val="tx1"/>
            </w14:solidFill>
          </w14:textFill>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26"/>
        <w:tblW w:w="8434" w:type="dxa"/>
        <w:tblInd w:w="-2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1"/>
        <w:gridCol w:w="7633"/>
      </w:tblGrid>
      <w:tr w14:paraId="1D869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1" w:hRule="atLeast"/>
        </w:trPr>
        <w:tc>
          <w:tcPr>
            <w:tcW w:w="801" w:type="dxa"/>
            <w:tcBorders>
              <w:top w:val="single" w:color="000000" w:sz="6" w:space="0"/>
              <w:left w:val="single" w:color="000000" w:sz="4" w:space="0"/>
              <w:bottom w:val="single" w:color="000000" w:sz="6" w:space="0"/>
              <w:right w:val="single" w:color="000000" w:sz="6" w:space="0"/>
            </w:tcBorders>
            <w:vAlign w:val="center"/>
          </w:tcPr>
          <w:p w14:paraId="28B841AC">
            <w:pPr>
              <w:keepNext w:val="0"/>
              <w:keepLines w:val="0"/>
              <w:pageBreakBefore w:val="0"/>
              <w:widowControl w:val="0"/>
              <w:suppressLineNumbers w:val="0"/>
              <w:wordWrap/>
              <w:overflowPunct/>
              <w:topLinePunct w:val="0"/>
              <w:bidi w:val="0"/>
              <w:snapToGrid w:val="0"/>
              <w:spacing w:before="0" w:beforeAutospacing="0" w:afterAutospacing="0" w:line="560" w:lineRule="exact"/>
              <w:ind w:left="0" w:right="0"/>
              <w:jc w:val="left"/>
              <w:rPr>
                <w:rStyle w:val="37"/>
                <w:rFonts w:hint="eastAsia" w:ascii="仿宋_GB2312" w:hAnsi="仿宋_GB2312" w:eastAsia="仿宋_GB2312"/>
                <w:b/>
                <w:color w:val="000000" w:themeColor="text1"/>
                <w:sz w:val="24"/>
                <w:highlight w:val="none"/>
                <w14:textFill>
                  <w14:solidFill>
                    <w14:schemeClr w14:val="tx1"/>
                  </w14:solidFill>
                </w14:textFill>
              </w:rPr>
            </w:pPr>
            <w:r>
              <w:rPr>
                <w:rStyle w:val="37"/>
                <w:rFonts w:hint="default" w:ascii="仿宋_GB2312" w:hAnsi="仿宋_GB2312" w:eastAsia="仿宋_GB2312"/>
                <w:b/>
                <w:color w:val="000000" w:themeColor="text1"/>
                <w:sz w:val="24"/>
                <w:highlight w:val="none"/>
                <w14:textFill>
                  <w14:solidFill>
                    <w14:schemeClr w14:val="tx1"/>
                  </w14:solidFill>
                </w14:textFill>
              </w:rPr>
              <w:t>条款号</w:t>
            </w:r>
          </w:p>
        </w:tc>
        <w:tc>
          <w:tcPr>
            <w:tcW w:w="7633" w:type="dxa"/>
            <w:tcBorders>
              <w:top w:val="single" w:color="000000" w:sz="6" w:space="0"/>
              <w:left w:val="single" w:color="000000" w:sz="6" w:space="0"/>
              <w:bottom w:val="single" w:color="000000" w:sz="6" w:space="0"/>
              <w:right w:val="single" w:color="000000" w:sz="6" w:space="0"/>
            </w:tcBorders>
            <w:vAlign w:val="center"/>
          </w:tcPr>
          <w:p w14:paraId="29DF2E90">
            <w:pPr>
              <w:keepNext w:val="0"/>
              <w:keepLines w:val="0"/>
              <w:pageBreakBefore w:val="0"/>
              <w:widowControl w:val="0"/>
              <w:suppressLineNumbers w:val="0"/>
              <w:wordWrap/>
              <w:overflowPunct/>
              <w:topLinePunct w:val="0"/>
              <w:bidi w:val="0"/>
              <w:snapToGrid w:val="0"/>
              <w:spacing w:before="0" w:beforeAutospacing="0" w:afterAutospacing="0" w:line="560" w:lineRule="exact"/>
              <w:ind w:left="0" w:right="0"/>
              <w:jc w:val="left"/>
              <w:rPr>
                <w:rStyle w:val="37"/>
                <w:rFonts w:hint="eastAsia" w:ascii="仿宋_GB2312" w:hAnsi="仿宋_GB2312" w:eastAsia="仿宋_GB2312"/>
                <w:b/>
                <w:color w:val="000000" w:themeColor="text1"/>
                <w:sz w:val="24"/>
                <w:highlight w:val="none"/>
                <w14:textFill>
                  <w14:solidFill>
                    <w14:schemeClr w14:val="tx1"/>
                  </w14:solidFill>
                </w14:textFill>
              </w:rPr>
            </w:pPr>
            <w:r>
              <w:rPr>
                <w:rStyle w:val="37"/>
                <w:rFonts w:hint="default" w:ascii="仿宋_GB2312" w:hAnsi="仿宋_GB2312" w:eastAsia="仿宋_GB2312"/>
                <w:b/>
                <w:color w:val="000000" w:themeColor="text1"/>
                <w:sz w:val="24"/>
                <w:highlight w:val="none"/>
                <w14:textFill>
                  <w14:solidFill>
                    <w14:schemeClr w14:val="tx1"/>
                  </w14:solidFill>
                </w14:textFill>
              </w:rPr>
              <w:t>约定内容</w:t>
            </w:r>
          </w:p>
        </w:tc>
      </w:tr>
      <w:tr w14:paraId="5F3F60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 w:hRule="atLeast"/>
        </w:trPr>
        <w:tc>
          <w:tcPr>
            <w:tcW w:w="801" w:type="dxa"/>
            <w:tcBorders>
              <w:top w:val="single" w:color="000000" w:sz="6" w:space="0"/>
              <w:left w:val="single" w:color="000000" w:sz="4" w:space="0"/>
              <w:bottom w:val="single" w:color="000000" w:sz="6" w:space="0"/>
              <w:right w:val="single" w:color="000000" w:sz="6" w:space="0"/>
            </w:tcBorders>
            <w:vAlign w:val="center"/>
          </w:tcPr>
          <w:p w14:paraId="7CD5762A">
            <w:pPr>
              <w:keepNext w:val="0"/>
              <w:keepLines w:val="0"/>
              <w:pageBreakBefore w:val="0"/>
              <w:widowControl w:val="0"/>
              <w:suppressLineNumbers w:val="0"/>
              <w:wordWrap/>
              <w:overflowPunct/>
              <w:topLinePunct w:val="0"/>
              <w:bidi w:val="0"/>
              <w:snapToGrid w:val="0"/>
              <w:spacing w:before="0" w:beforeAutospacing="0" w:afterAutospacing="0" w:line="560" w:lineRule="exact"/>
              <w:ind w:left="0" w:right="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hint="default" w:ascii="仿宋_GB2312" w:hAnsi="仿宋_GB2312" w:eastAsia="仿宋_GB2312"/>
                <w:color w:val="000000" w:themeColor="text1"/>
                <w:sz w:val="24"/>
                <w:highlight w:val="none"/>
                <w14:textFill>
                  <w14:solidFill>
                    <w14:schemeClr w14:val="tx1"/>
                  </w14:solidFill>
                </w14:textFill>
              </w:rPr>
              <w:t>1.6.2</w:t>
            </w:r>
          </w:p>
        </w:tc>
        <w:tc>
          <w:tcPr>
            <w:tcW w:w="7633" w:type="dxa"/>
            <w:tcBorders>
              <w:top w:val="single" w:color="000000" w:sz="6" w:space="0"/>
              <w:left w:val="single" w:color="000000" w:sz="6" w:space="0"/>
              <w:bottom w:val="single" w:color="000000" w:sz="6" w:space="0"/>
              <w:right w:val="single" w:color="000000" w:sz="6" w:space="0"/>
            </w:tcBorders>
            <w:vAlign w:val="center"/>
          </w:tcPr>
          <w:p w14:paraId="6BE1594C">
            <w:pPr>
              <w:keepNext w:val="0"/>
              <w:keepLines w:val="0"/>
              <w:pageBreakBefore w:val="0"/>
              <w:widowControl w:val="0"/>
              <w:suppressLineNumbers w:val="0"/>
              <w:wordWrap/>
              <w:overflowPunct/>
              <w:topLinePunct w:val="0"/>
              <w:bidi w:val="0"/>
              <w:snapToGrid w:val="0"/>
              <w:spacing w:before="0" w:beforeAutospacing="0" w:afterAutospacing="0" w:line="560" w:lineRule="exact"/>
              <w:ind w:left="0" w:right="0" w:firstLine="480" w:firstLineChars="20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hint="default" w:ascii="仿宋_GB2312" w:hAnsi="仿宋_GB2312" w:eastAsia="仿宋_GB2312"/>
                <w:color w:val="000000" w:themeColor="text1"/>
                <w:sz w:val="24"/>
                <w:highlight w:val="none"/>
                <w14:textFill>
                  <w14:solidFill>
                    <w14:schemeClr w14:val="tx1"/>
                  </w14:solidFill>
                </w14:textFill>
              </w:rPr>
              <w:t>除不可抗力外，如果甲方没有按照本合同约定的付款方式付款，那么乙方可要求甲方支付违约金，违约金按每迟延付款一日的应付而未付款的</w:t>
            </w:r>
            <w:r>
              <w:rPr>
                <w:rStyle w:val="37"/>
                <w:rFonts w:hint="eastAsia" w:ascii="仿宋_GB2312" w:hAnsi="仿宋_GB2312" w:eastAsia="仿宋_GB2312"/>
                <w:color w:val="000000" w:themeColor="text1"/>
                <w:sz w:val="24"/>
                <w:highlight w:val="none"/>
                <w:lang w:val="en-US" w:eastAsia="zh-CN"/>
                <w14:textFill>
                  <w14:solidFill>
                    <w14:schemeClr w14:val="tx1"/>
                  </w14:solidFill>
                </w14:textFill>
              </w:rPr>
              <w:t>1</w:t>
            </w:r>
            <w:r>
              <w:rPr>
                <w:rStyle w:val="37"/>
                <w:rFonts w:hint="default" w:ascii="仿宋_GB2312" w:hAnsi="仿宋_GB2312" w:eastAsia="仿宋_GB2312"/>
                <w:color w:val="000000" w:themeColor="text1"/>
                <w:sz w:val="24"/>
                <w:highlight w:val="none"/>
                <w14:textFill>
                  <w14:solidFill>
                    <w14:schemeClr w14:val="tx1"/>
                  </w14:solidFill>
                </w14:textFill>
              </w:rPr>
              <w:t>%计算，最高限额为本合同总价的</w:t>
            </w:r>
            <w:r>
              <w:rPr>
                <w:rStyle w:val="37"/>
                <w:rFonts w:hint="eastAsia" w:ascii="仿宋_GB2312" w:hAnsi="仿宋_GB2312" w:eastAsia="仿宋_GB2312"/>
                <w:color w:val="000000" w:themeColor="text1"/>
                <w:sz w:val="24"/>
                <w:highlight w:val="none"/>
                <w:lang w:val="en-US" w:eastAsia="zh-CN"/>
                <w14:textFill>
                  <w14:solidFill>
                    <w14:schemeClr w14:val="tx1"/>
                  </w14:solidFill>
                </w14:textFill>
              </w:rPr>
              <w:t>5</w:t>
            </w:r>
            <w:r>
              <w:rPr>
                <w:rStyle w:val="37"/>
                <w:rFonts w:hint="default" w:ascii="仿宋_GB2312" w:hAnsi="仿宋_GB2312" w:eastAsia="仿宋_GB2312"/>
                <w:color w:val="000000" w:themeColor="text1"/>
                <w:sz w:val="24"/>
                <w:highlight w:val="none"/>
                <w14:textFill>
                  <w14:solidFill>
                    <w14:schemeClr w14:val="tx1"/>
                  </w14:solidFill>
                </w14:textFill>
              </w:rPr>
              <w:t>%；迟延付款的违约金计算数额达到前述最高限额之日起，乙方有权在要求甲方支付违约金的同时，书面通知甲方解除本合同；</w:t>
            </w:r>
          </w:p>
        </w:tc>
      </w:tr>
      <w:tr w14:paraId="1DBB23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2" w:hRule="atLeast"/>
        </w:trPr>
        <w:tc>
          <w:tcPr>
            <w:tcW w:w="801" w:type="dxa"/>
            <w:tcBorders>
              <w:top w:val="single" w:color="000000" w:sz="6" w:space="0"/>
              <w:left w:val="single" w:color="000000" w:sz="4" w:space="0"/>
              <w:bottom w:val="single" w:color="000000" w:sz="6" w:space="0"/>
              <w:right w:val="single" w:color="000000" w:sz="6" w:space="0"/>
            </w:tcBorders>
            <w:vAlign w:val="center"/>
          </w:tcPr>
          <w:p w14:paraId="0E8640CE">
            <w:pPr>
              <w:keepNext w:val="0"/>
              <w:keepLines w:val="0"/>
              <w:pageBreakBefore w:val="0"/>
              <w:widowControl w:val="0"/>
              <w:suppressLineNumbers w:val="0"/>
              <w:wordWrap/>
              <w:overflowPunct/>
              <w:topLinePunct w:val="0"/>
              <w:bidi w:val="0"/>
              <w:snapToGrid w:val="0"/>
              <w:spacing w:before="0" w:beforeAutospacing="0" w:afterAutospacing="0" w:line="560" w:lineRule="exact"/>
              <w:ind w:left="0" w:right="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hint="default" w:ascii="仿宋_GB2312" w:hAnsi="仿宋_GB2312" w:eastAsia="仿宋_GB2312"/>
                <w:color w:val="000000" w:themeColor="text1"/>
                <w:sz w:val="24"/>
                <w:highlight w:val="none"/>
                <w14:textFill>
                  <w14:solidFill>
                    <w14:schemeClr w14:val="tx1"/>
                  </w14:solidFill>
                </w14:textFill>
              </w:rPr>
              <w:t>1.6.4</w:t>
            </w:r>
          </w:p>
        </w:tc>
        <w:tc>
          <w:tcPr>
            <w:tcW w:w="7633" w:type="dxa"/>
            <w:tcBorders>
              <w:top w:val="single" w:color="000000" w:sz="6" w:space="0"/>
              <w:left w:val="single" w:color="000000" w:sz="6" w:space="0"/>
              <w:bottom w:val="single" w:color="000000" w:sz="6" w:space="0"/>
              <w:right w:val="single" w:color="000000" w:sz="6" w:space="0"/>
            </w:tcBorders>
            <w:vAlign w:val="center"/>
          </w:tcPr>
          <w:p w14:paraId="42A1BD9F">
            <w:pPr>
              <w:keepNext w:val="0"/>
              <w:keepLines w:val="0"/>
              <w:pageBreakBefore w:val="0"/>
              <w:widowControl w:val="0"/>
              <w:suppressLineNumbers w:val="0"/>
              <w:wordWrap/>
              <w:overflowPunct/>
              <w:topLinePunct w:val="0"/>
              <w:bidi w:val="0"/>
              <w:snapToGrid w:val="0"/>
              <w:spacing w:before="0" w:beforeAutospacing="0" w:afterAutospacing="0" w:line="560" w:lineRule="exact"/>
              <w:ind w:left="0" w:right="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hint="default" w:ascii="仿宋_GB2312" w:hAnsi="仿宋_GB2312" w:eastAsia="仿宋_GB2312"/>
                <w:color w:val="000000" w:themeColor="text1"/>
                <w:sz w:val="24"/>
                <w:highlight w:val="none"/>
                <w14:textFill>
                  <w14:solidFill>
                    <w14:schemeClr w14:val="tx1"/>
                  </w14:solidFill>
                </w14:textFill>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tc>
      </w:tr>
      <w:tr w14:paraId="22683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2" w:hRule="atLeast"/>
        </w:trPr>
        <w:tc>
          <w:tcPr>
            <w:tcW w:w="801" w:type="dxa"/>
            <w:tcBorders>
              <w:top w:val="single" w:color="000000" w:sz="6" w:space="0"/>
              <w:left w:val="single" w:color="000000" w:sz="4" w:space="0"/>
              <w:bottom w:val="single" w:color="000000" w:sz="6" w:space="0"/>
              <w:right w:val="single" w:color="000000" w:sz="6" w:space="0"/>
            </w:tcBorders>
            <w:vAlign w:val="center"/>
          </w:tcPr>
          <w:p w14:paraId="333137F4">
            <w:pPr>
              <w:keepNext w:val="0"/>
              <w:keepLines w:val="0"/>
              <w:pageBreakBefore w:val="0"/>
              <w:widowControl w:val="0"/>
              <w:suppressLineNumbers w:val="0"/>
              <w:wordWrap/>
              <w:overflowPunct/>
              <w:topLinePunct w:val="0"/>
              <w:bidi w:val="0"/>
              <w:snapToGrid w:val="0"/>
              <w:spacing w:before="0" w:beforeAutospacing="0" w:afterAutospacing="0" w:line="560" w:lineRule="exact"/>
              <w:ind w:left="0" w:right="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hint="default" w:ascii="仿宋_GB2312" w:hAnsi="仿宋_GB2312" w:eastAsia="仿宋_GB2312"/>
                <w:color w:val="000000" w:themeColor="text1"/>
                <w:sz w:val="24"/>
                <w:highlight w:val="none"/>
                <w14:textFill>
                  <w14:solidFill>
                    <w14:schemeClr w14:val="tx1"/>
                  </w14:solidFill>
                </w14:textFill>
              </w:rPr>
              <w:t>1.6.5</w:t>
            </w:r>
          </w:p>
        </w:tc>
        <w:tc>
          <w:tcPr>
            <w:tcW w:w="7633" w:type="dxa"/>
            <w:tcBorders>
              <w:top w:val="single" w:color="000000" w:sz="6" w:space="0"/>
              <w:left w:val="single" w:color="000000" w:sz="6" w:space="0"/>
              <w:bottom w:val="single" w:color="000000" w:sz="6" w:space="0"/>
              <w:right w:val="single" w:color="000000" w:sz="6" w:space="0"/>
            </w:tcBorders>
            <w:vAlign w:val="center"/>
          </w:tcPr>
          <w:p w14:paraId="589C9565">
            <w:pPr>
              <w:keepNext w:val="0"/>
              <w:keepLines w:val="0"/>
              <w:pageBreakBefore w:val="0"/>
              <w:widowControl w:val="0"/>
              <w:suppressLineNumbers w:val="0"/>
              <w:wordWrap/>
              <w:overflowPunct/>
              <w:topLinePunct w:val="0"/>
              <w:bidi w:val="0"/>
              <w:snapToGrid w:val="0"/>
              <w:spacing w:before="0" w:beforeAutospacing="0" w:afterAutospacing="0" w:line="560" w:lineRule="exact"/>
              <w:ind w:left="0" w:right="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hint="default" w:ascii="仿宋_GB2312" w:hAnsi="仿宋_GB2312" w:eastAsia="仿宋_GB2312"/>
                <w:color w:val="000000" w:themeColor="text1"/>
                <w:sz w:val="24"/>
                <w:highlight w:val="none"/>
                <w14:textFill>
                  <w14:solidFill>
                    <w14:schemeClr w14:val="tx1"/>
                  </w14:solidFill>
                </w14:textFill>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tc>
      </w:tr>
      <w:tr w14:paraId="64733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2" w:hRule="atLeast"/>
        </w:trPr>
        <w:tc>
          <w:tcPr>
            <w:tcW w:w="801" w:type="dxa"/>
            <w:tcBorders>
              <w:top w:val="single" w:color="000000" w:sz="6" w:space="0"/>
              <w:left w:val="single" w:color="000000" w:sz="4" w:space="0"/>
              <w:bottom w:val="single" w:color="000000" w:sz="6" w:space="0"/>
              <w:right w:val="single" w:color="000000" w:sz="6" w:space="0"/>
            </w:tcBorders>
            <w:vAlign w:val="center"/>
          </w:tcPr>
          <w:p w14:paraId="20A3B4B2">
            <w:pPr>
              <w:keepNext w:val="0"/>
              <w:keepLines w:val="0"/>
              <w:pageBreakBefore w:val="0"/>
              <w:widowControl w:val="0"/>
              <w:suppressLineNumbers w:val="0"/>
              <w:wordWrap/>
              <w:overflowPunct/>
              <w:topLinePunct w:val="0"/>
              <w:bidi w:val="0"/>
              <w:snapToGrid w:val="0"/>
              <w:spacing w:before="0" w:beforeAutospacing="0" w:afterAutospacing="0" w:line="560" w:lineRule="exact"/>
              <w:ind w:left="0" w:right="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hint="default" w:ascii="仿宋_GB2312" w:hAnsi="仿宋_GB2312" w:eastAsia="仿宋_GB2312"/>
                <w:color w:val="000000" w:themeColor="text1"/>
                <w:sz w:val="24"/>
                <w:highlight w:val="none"/>
                <w14:textFill>
                  <w14:solidFill>
                    <w14:schemeClr w14:val="tx1"/>
                  </w14:solidFill>
                </w14:textFill>
              </w:rPr>
              <w:t>2.11.1</w:t>
            </w:r>
          </w:p>
        </w:tc>
        <w:tc>
          <w:tcPr>
            <w:tcW w:w="7633" w:type="dxa"/>
            <w:tcBorders>
              <w:top w:val="single" w:color="000000" w:sz="6" w:space="0"/>
              <w:left w:val="single" w:color="000000" w:sz="6" w:space="0"/>
              <w:bottom w:val="single" w:color="000000" w:sz="6" w:space="0"/>
              <w:right w:val="single" w:color="000000" w:sz="6" w:space="0"/>
            </w:tcBorders>
            <w:vAlign w:val="center"/>
          </w:tcPr>
          <w:p w14:paraId="4BEE65A2">
            <w:pPr>
              <w:keepNext w:val="0"/>
              <w:keepLines w:val="0"/>
              <w:pageBreakBefore w:val="0"/>
              <w:widowControl w:val="0"/>
              <w:suppressLineNumbers w:val="0"/>
              <w:wordWrap/>
              <w:overflowPunct/>
              <w:topLinePunct w:val="0"/>
              <w:bidi w:val="0"/>
              <w:snapToGrid w:val="0"/>
              <w:spacing w:before="0" w:beforeAutospacing="0" w:afterAutospacing="0" w:line="560" w:lineRule="exact"/>
              <w:ind w:left="0" w:right="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hint="default" w:ascii="仿宋_GB2312" w:hAnsi="仿宋_GB2312" w:eastAsia="仿宋_GB2312"/>
                <w:color w:val="000000" w:themeColor="text1"/>
                <w:sz w:val="24"/>
                <w:highlight w:val="none"/>
                <w14:textFill>
                  <w14:solidFill>
                    <w14:schemeClr w14:val="tx1"/>
                  </w14:solidFill>
                </w14:textFill>
              </w:rPr>
              <w:t>双方当事人协商一致，可以签订书面补充合同的形式变更合同，但不得违背采购文件确定的事项，且如果系追加与合同标的相同的货物的，那么所有补充合同的采购金额不得超过原合同价的10%；</w:t>
            </w:r>
          </w:p>
        </w:tc>
      </w:tr>
      <w:tr w14:paraId="1611D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 w:hRule="atLeast"/>
        </w:trPr>
        <w:tc>
          <w:tcPr>
            <w:tcW w:w="801" w:type="dxa"/>
            <w:tcBorders>
              <w:top w:val="single" w:color="000000" w:sz="6" w:space="0"/>
              <w:left w:val="single" w:color="000000" w:sz="4" w:space="0"/>
              <w:bottom w:val="single" w:color="000000" w:sz="6" w:space="0"/>
              <w:right w:val="single" w:color="000000" w:sz="6" w:space="0"/>
            </w:tcBorders>
            <w:vAlign w:val="center"/>
          </w:tcPr>
          <w:p w14:paraId="78CD3F89">
            <w:pPr>
              <w:keepNext w:val="0"/>
              <w:keepLines w:val="0"/>
              <w:pageBreakBefore w:val="0"/>
              <w:widowControl w:val="0"/>
              <w:suppressLineNumbers w:val="0"/>
              <w:wordWrap/>
              <w:overflowPunct/>
              <w:topLinePunct w:val="0"/>
              <w:bidi w:val="0"/>
              <w:snapToGrid w:val="0"/>
              <w:spacing w:before="0" w:beforeAutospacing="0" w:afterAutospacing="0" w:line="560" w:lineRule="exact"/>
              <w:ind w:left="0" w:right="0"/>
              <w:jc w:val="left"/>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hint="default" w:ascii="仿宋_GB2312" w:hAnsi="仿宋_GB2312" w:eastAsia="仿宋_GB2312"/>
                <w:color w:val="000000" w:themeColor="text1"/>
                <w:sz w:val="24"/>
                <w:highlight w:val="none"/>
                <w14:textFill>
                  <w14:solidFill>
                    <w14:schemeClr w14:val="tx1"/>
                  </w14:solidFill>
                </w14:textFill>
              </w:rPr>
              <w:t>2.18.1</w:t>
            </w:r>
          </w:p>
        </w:tc>
        <w:tc>
          <w:tcPr>
            <w:tcW w:w="7633" w:type="dxa"/>
            <w:tcBorders>
              <w:top w:val="single" w:color="000000" w:sz="6" w:space="0"/>
              <w:left w:val="single" w:color="000000" w:sz="6" w:space="0"/>
              <w:bottom w:val="single" w:color="000000" w:sz="6" w:space="0"/>
              <w:right w:val="single" w:color="000000" w:sz="6" w:space="0"/>
            </w:tcBorders>
            <w:vAlign w:val="center"/>
          </w:tcPr>
          <w:p w14:paraId="0F09A073">
            <w:pPr>
              <w:keepNext w:val="0"/>
              <w:keepLines w:val="0"/>
              <w:pageBreakBefore w:val="0"/>
              <w:widowControl w:val="0"/>
              <w:suppressLineNumbers w:val="0"/>
              <w:wordWrap/>
              <w:overflowPunct/>
              <w:topLinePunct w:val="0"/>
              <w:bidi w:val="0"/>
              <w:snapToGrid w:val="0"/>
              <w:spacing w:before="0" w:beforeAutospacing="0" w:afterAutospacing="0" w:line="560" w:lineRule="exact"/>
              <w:ind w:left="0" w:right="0"/>
              <w:jc w:val="left"/>
              <w:rPr>
                <w:rStyle w:val="37"/>
                <w:rFonts w:hint="eastAsia" w:ascii="仿宋_GB2312" w:hAnsi="仿宋_GB2312" w:eastAsia="仿宋_GB2312"/>
                <w:color w:val="000000" w:themeColor="text1"/>
                <w:sz w:val="24"/>
                <w:highlight w:val="none"/>
                <w:u w:val="single"/>
                <w14:textFill>
                  <w14:solidFill>
                    <w14:schemeClr w14:val="tx1"/>
                  </w14:solidFill>
                </w14:textFill>
              </w:rPr>
            </w:pPr>
            <w:r>
              <w:rPr>
                <w:rStyle w:val="37"/>
                <w:rFonts w:hint="default" w:ascii="仿宋_GB2312" w:hAnsi="仿宋_GB2312" w:eastAsia="仿宋_GB2312"/>
                <w:color w:val="000000" w:themeColor="text1"/>
                <w:sz w:val="24"/>
                <w:highlight w:val="none"/>
                <w14:textFill>
                  <w14:solidFill>
                    <w14:schemeClr w14:val="tx1"/>
                  </w14:solidFill>
                </w14:textFill>
              </w:rPr>
              <w:t>任何一方因履行合同而以合同第一部分尾部所列明的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p>
        </w:tc>
      </w:tr>
      <w:tr w14:paraId="0FA6A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9" w:hRule="atLeast"/>
        </w:trPr>
        <w:tc>
          <w:tcPr>
            <w:tcW w:w="801" w:type="dxa"/>
            <w:tcBorders>
              <w:top w:val="single" w:color="000000" w:sz="6" w:space="0"/>
              <w:left w:val="single" w:color="000000" w:sz="4" w:space="0"/>
              <w:bottom w:val="single" w:color="000000" w:sz="6" w:space="0"/>
              <w:right w:val="single" w:color="000000" w:sz="6" w:space="0"/>
            </w:tcBorders>
            <w:vAlign w:val="center"/>
          </w:tcPr>
          <w:p w14:paraId="7DD0DCDD">
            <w:pPr>
              <w:keepNext w:val="0"/>
              <w:keepLines w:val="0"/>
              <w:pageBreakBefore w:val="0"/>
              <w:widowControl w:val="0"/>
              <w:suppressLineNumbers w:val="0"/>
              <w:wordWrap/>
              <w:overflowPunct/>
              <w:topLinePunct w:val="0"/>
              <w:bidi w:val="0"/>
              <w:snapToGrid w:val="0"/>
              <w:spacing w:before="0" w:beforeAutospacing="0" w:afterAutospacing="0" w:line="560" w:lineRule="exact"/>
              <w:ind w:left="0" w:right="0"/>
              <w:jc w:val="center"/>
              <w:rPr>
                <w:rStyle w:val="37"/>
                <w:rFonts w:hint="eastAsia" w:ascii="仿宋_GB2312" w:hAnsi="仿宋_GB2312" w:eastAsia="仿宋_GB2312"/>
                <w:b/>
                <w:color w:val="000000" w:themeColor="text1"/>
                <w:sz w:val="24"/>
                <w:highlight w:val="none"/>
                <w14:textFill>
                  <w14:solidFill>
                    <w14:schemeClr w14:val="tx1"/>
                  </w14:solidFill>
                </w14:textFill>
              </w:rPr>
            </w:pPr>
            <w:r>
              <w:rPr>
                <w:rStyle w:val="37"/>
                <w:rFonts w:hint="default" w:ascii="仿宋_GB2312" w:hAnsi="仿宋_GB2312" w:eastAsia="仿宋_GB2312"/>
                <w:b/>
                <w:color w:val="000000" w:themeColor="text1"/>
                <w:sz w:val="24"/>
                <w:highlight w:val="none"/>
                <w14:textFill>
                  <w14:solidFill>
                    <w14:schemeClr w14:val="tx1"/>
                  </w14:solidFill>
                </w14:textFill>
              </w:rPr>
              <w:t>2.22</w:t>
            </w:r>
          </w:p>
          <w:p w14:paraId="62CEF88F">
            <w:pPr>
              <w:keepNext w:val="0"/>
              <w:keepLines w:val="0"/>
              <w:pageBreakBefore w:val="0"/>
              <w:widowControl w:val="0"/>
              <w:suppressLineNumbers w:val="0"/>
              <w:wordWrap/>
              <w:overflowPunct/>
              <w:topLinePunct w:val="0"/>
              <w:bidi w:val="0"/>
              <w:snapToGrid w:val="0"/>
              <w:spacing w:before="0" w:beforeAutospacing="0" w:afterAutospacing="0" w:line="560" w:lineRule="exact"/>
              <w:ind w:left="0" w:right="0"/>
              <w:jc w:val="center"/>
              <w:rPr>
                <w:rStyle w:val="37"/>
                <w:rFonts w:hint="default" w:ascii="仿宋_GB2312" w:hAnsi="仿宋_GB2312" w:eastAsia="仿宋_GB2312"/>
                <w:color w:val="000000" w:themeColor="text1"/>
                <w:sz w:val="24"/>
                <w:highlight w:val="none"/>
                <w:lang w:val="en-US" w:eastAsia="zh-CN"/>
                <w14:textFill>
                  <w14:solidFill>
                    <w14:schemeClr w14:val="tx1"/>
                  </w14:solidFill>
                </w14:textFill>
              </w:rPr>
            </w:pPr>
          </w:p>
        </w:tc>
        <w:tc>
          <w:tcPr>
            <w:tcW w:w="7633" w:type="dxa"/>
            <w:tcBorders>
              <w:top w:val="single" w:color="000000" w:sz="6" w:space="0"/>
              <w:left w:val="single" w:color="000000" w:sz="6" w:space="0"/>
              <w:bottom w:val="single" w:color="000000" w:sz="6" w:space="0"/>
              <w:right w:val="single" w:color="000000" w:sz="6" w:space="0"/>
            </w:tcBorders>
            <w:vAlign w:val="center"/>
          </w:tcPr>
          <w:p w14:paraId="39C9ACB9">
            <w:pPr>
              <w:keepNext w:val="0"/>
              <w:keepLines w:val="0"/>
              <w:pageBreakBefore w:val="0"/>
              <w:widowControl w:val="0"/>
              <w:suppressLineNumbers w:val="0"/>
              <w:wordWrap/>
              <w:overflowPunct/>
              <w:topLinePunct w:val="0"/>
              <w:bidi w:val="0"/>
              <w:snapToGrid w:val="0"/>
              <w:spacing w:before="0" w:beforeAutospacing="0" w:afterAutospacing="0" w:line="560" w:lineRule="exact"/>
              <w:ind w:left="0" w:right="0"/>
              <w:jc w:val="both"/>
              <w:rPr>
                <w:rStyle w:val="37"/>
                <w:rFonts w:hint="eastAsia" w:ascii="仿宋_GB2312" w:hAnsi="仿宋_GB2312" w:eastAsia="仿宋_GB2312"/>
                <w:color w:val="000000" w:themeColor="text1"/>
                <w:sz w:val="24"/>
                <w:highlight w:val="none"/>
                <w14:textFill>
                  <w14:solidFill>
                    <w14:schemeClr w14:val="tx1"/>
                  </w14:solidFill>
                </w14:textFill>
              </w:rPr>
            </w:pPr>
            <w:r>
              <w:rPr>
                <w:rStyle w:val="37"/>
                <w:rFonts w:hint="eastAsia" w:ascii="Times New Roman" w:hAnsi="Times New Roman" w:eastAsia="仿宋" w:cs="Times New Roman"/>
                <w:color w:val="auto"/>
                <w:sz w:val="24"/>
                <w:highlight w:val="none"/>
                <w:u w:val="none"/>
                <w:lang w:val="en-US" w:eastAsia="zh-CN"/>
              </w:rPr>
              <w:t>本合同一式</w:t>
            </w:r>
            <w:r>
              <w:rPr>
                <w:rStyle w:val="37"/>
                <w:rFonts w:hint="eastAsia" w:ascii="Times New Roman" w:hAnsi="Times New Roman" w:eastAsia="仿宋" w:cs="Times New Roman"/>
                <w:color w:val="auto"/>
                <w:sz w:val="24"/>
                <w:highlight w:val="none"/>
                <w:u w:val="single"/>
                <w:lang w:val="en-US" w:eastAsia="zh-CN"/>
              </w:rPr>
              <w:t xml:space="preserve">  陆  </w:t>
            </w:r>
            <w:r>
              <w:rPr>
                <w:rStyle w:val="37"/>
                <w:rFonts w:hint="eastAsia" w:ascii="Times New Roman" w:hAnsi="Times New Roman" w:eastAsia="仿宋" w:cs="Times New Roman"/>
                <w:color w:val="auto"/>
                <w:sz w:val="24"/>
                <w:highlight w:val="none"/>
                <w:u w:val="none"/>
                <w:lang w:val="en-US" w:eastAsia="zh-CN"/>
              </w:rPr>
              <w:t>份，甲方执</w:t>
            </w:r>
            <w:r>
              <w:rPr>
                <w:rStyle w:val="37"/>
                <w:rFonts w:hint="eastAsia" w:ascii="Times New Roman" w:hAnsi="Times New Roman" w:eastAsia="仿宋" w:cs="Times New Roman"/>
                <w:color w:val="auto"/>
                <w:sz w:val="24"/>
                <w:highlight w:val="none"/>
                <w:u w:val="single"/>
                <w:lang w:val="en-US" w:eastAsia="zh-CN"/>
              </w:rPr>
              <w:t xml:space="preserve"> 肆 </w:t>
            </w:r>
            <w:r>
              <w:rPr>
                <w:rStyle w:val="37"/>
                <w:rFonts w:hint="eastAsia" w:ascii="Times New Roman" w:hAnsi="Times New Roman" w:eastAsia="仿宋" w:cs="Times New Roman"/>
                <w:color w:val="auto"/>
                <w:sz w:val="24"/>
                <w:highlight w:val="none"/>
                <w:u w:val="none"/>
                <w:lang w:val="en-US" w:eastAsia="zh-CN"/>
              </w:rPr>
              <w:t>份，乙方执</w:t>
            </w:r>
            <w:r>
              <w:rPr>
                <w:rStyle w:val="37"/>
                <w:rFonts w:hint="eastAsia" w:ascii="Times New Roman" w:hAnsi="Times New Roman" w:eastAsia="仿宋" w:cs="Times New Roman"/>
                <w:color w:val="auto"/>
                <w:sz w:val="24"/>
                <w:highlight w:val="none"/>
                <w:u w:val="single"/>
                <w:lang w:val="en-US" w:eastAsia="zh-CN"/>
              </w:rPr>
              <w:t xml:space="preserve"> 贰  </w:t>
            </w:r>
            <w:r>
              <w:rPr>
                <w:rStyle w:val="37"/>
                <w:rFonts w:hint="eastAsia" w:ascii="Times New Roman" w:hAnsi="Times New Roman" w:eastAsia="仿宋" w:cs="Times New Roman"/>
                <w:color w:val="auto"/>
                <w:sz w:val="24"/>
                <w:highlight w:val="none"/>
                <w:u w:val="none"/>
                <w:lang w:val="en-US" w:eastAsia="zh-CN"/>
              </w:rPr>
              <w:t>份。</w:t>
            </w:r>
          </w:p>
        </w:tc>
      </w:tr>
      <w:tr w14:paraId="573A71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2" w:hRule="atLeast"/>
        </w:trPr>
        <w:tc>
          <w:tcPr>
            <w:tcW w:w="801" w:type="dxa"/>
            <w:tcBorders>
              <w:top w:val="single" w:color="000000" w:sz="6" w:space="0"/>
              <w:left w:val="single" w:color="000000" w:sz="4" w:space="0"/>
              <w:bottom w:val="single" w:color="000000" w:sz="6" w:space="0"/>
              <w:right w:val="single" w:color="000000" w:sz="6" w:space="0"/>
            </w:tcBorders>
            <w:vAlign w:val="center"/>
          </w:tcPr>
          <w:p w14:paraId="6A07AFFA">
            <w:pPr>
              <w:keepNext w:val="0"/>
              <w:keepLines w:val="0"/>
              <w:pageBreakBefore w:val="0"/>
              <w:widowControl w:val="0"/>
              <w:suppressLineNumbers w:val="0"/>
              <w:wordWrap/>
              <w:overflowPunct/>
              <w:topLinePunct w:val="0"/>
              <w:bidi w:val="0"/>
              <w:snapToGrid w:val="0"/>
              <w:spacing w:before="0" w:beforeAutospacing="0" w:afterAutospacing="0" w:line="560" w:lineRule="exact"/>
              <w:ind w:left="0" w:right="0"/>
              <w:jc w:val="left"/>
              <w:rPr>
                <w:rStyle w:val="37"/>
                <w:rFonts w:hint="eastAsia" w:ascii="仿宋_GB2312" w:hAnsi="仿宋_GB2312" w:eastAsia="仿宋_GB2312"/>
                <w:color w:val="000000" w:themeColor="text1"/>
                <w:sz w:val="24"/>
                <w:highlight w:val="none"/>
                <w14:textFill>
                  <w14:solidFill>
                    <w14:schemeClr w14:val="tx1"/>
                  </w14:solidFill>
                </w14:textFill>
              </w:rPr>
            </w:pPr>
          </w:p>
        </w:tc>
        <w:tc>
          <w:tcPr>
            <w:tcW w:w="7633" w:type="dxa"/>
            <w:tcBorders>
              <w:top w:val="single" w:color="000000" w:sz="6" w:space="0"/>
              <w:left w:val="single" w:color="000000" w:sz="6" w:space="0"/>
              <w:bottom w:val="single" w:color="000000" w:sz="6" w:space="0"/>
              <w:right w:val="single" w:color="000000" w:sz="6" w:space="0"/>
            </w:tcBorders>
            <w:vAlign w:val="center"/>
          </w:tcPr>
          <w:p w14:paraId="68B9974B">
            <w:pPr>
              <w:keepNext w:val="0"/>
              <w:keepLines w:val="0"/>
              <w:pageBreakBefore w:val="0"/>
              <w:widowControl w:val="0"/>
              <w:suppressLineNumbers w:val="0"/>
              <w:wordWrap/>
              <w:overflowPunct/>
              <w:topLinePunct w:val="0"/>
              <w:bidi w:val="0"/>
              <w:snapToGrid w:val="0"/>
              <w:spacing w:before="0" w:beforeAutospacing="0" w:afterAutospacing="0" w:line="560" w:lineRule="exact"/>
              <w:ind w:left="0" w:right="0"/>
              <w:jc w:val="left"/>
              <w:rPr>
                <w:rStyle w:val="37"/>
                <w:rFonts w:hint="eastAsia" w:ascii="仿宋_GB2312" w:hAnsi="仿宋_GB2312" w:eastAsia="仿宋_GB2312"/>
                <w:color w:val="000000" w:themeColor="text1"/>
                <w:sz w:val="24"/>
                <w:highlight w:val="none"/>
                <w:u w:val="single"/>
                <w14:textFill>
                  <w14:solidFill>
                    <w14:schemeClr w14:val="tx1"/>
                  </w14:solidFill>
                </w14:textFill>
              </w:rPr>
            </w:pPr>
          </w:p>
        </w:tc>
      </w:tr>
      <w:tr w14:paraId="66F4ED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 w:hRule="atLeast"/>
        </w:trPr>
        <w:tc>
          <w:tcPr>
            <w:tcW w:w="801" w:type="dxa"/>
            <w:tcBorders>
              <w:top w:val="single" w:color="000000" w:sz="6" w:space="0"/>
              <w:left w:val="single" w:color="000000" w:sz="4" w:space="0"/>
              <w:bottom w:val="single" w:color="000000" w:sz="6" w:space="0"/>
              <w:right w:val="single" w:color="000000" w:sz="6" w:space="0"/>
            </w:tcBorders>
            <w:vAlign w:val="center"/>
          </w:tcPr>
          <w:p w14:paraId="4A196643">
            <w:pPr>
              <w:keepNext w:val="0"/>
              <w:keepLines w:val="0"/>
              <w:pageBreakBefore w:val="0"/>
              <w:widowControl w:val="0"/>
              <w:suppressLineNumbers w:val="0"/>
              <w:wordWrap/>
              <w:overflowPunct/>
              <w:topLinePunct w:val="0"/>
              <w:bidi w:val="0"/>
              <w:snapToGrid w:val="0"/>
              <w:spacing w:before="0" w:beforeAutospacing="0" w:afterAutospacing="0" w:line="560" w:lineRule="exact"/>
              <w:ind w:left="0" w:right="0"/>
              <w:jc w:val="left"/>
              <w:rPr>
                <w:rStyle w:val="37"/>
                <w:rFonts w:hint="eastAsia" w:ascii="仿宋_GB2312" w:hAnsi="仿宋_GB2312" w:eastAsia="仿宋_GB2312"/>
                <w:color w:val="000000" w:themeColor="text1"/>
                <w:sz w:val="24"/>
                <w:highlight w:val="none"/>
                <w14:textFill>
                  <w14:solidFill>
                    <w14:schemeClr w14:val="tx1"/>
                  </w14:solidFill>
                </w14:textFill>
              </w:rPr>
            </w:pPr>
          </w:p>
        </w:tc>
        <w:tc>
          <w:tcPr>
            <w:tcW w:w="7633" w:type="dxa"/>
            <w:tcBorders>
              <w:top w:val="single" w:color="000000" w:sz="6" w:space="0"/>
              <w:left w:val="single" w:color="000000" w:sz="6" w:space="0"/>
              <w:bottom w:val="single" w:color="000000" w:sz="6" w:space="0"/>
              <w:right w:val="single" w:color="000000" w:sz="6" w:space="0"/>
            </w:tcBorders>
            <w:vAlign w:val="center"/>
          </w:tcPr>
          <w:p w14:paraId="39895592">
            <w:pPr>
              <w:keepNext w:val="0"/>
              <w:keepLines w:val="0"/>
              <w:pageBreakBefore w:val="0"/>
              <w:widowControl w:val="0"/>
              <w:suppressLineNumbers w:val="0"/>
              <w:wordWrap/>
              <w:overflowPunct/>
              <w:topLinePunct w:val="0"/>
              <w:bidi w:val="0"/>
              <w:snapToGrid w:val="0"/>
              <w:spacing w:before="0" w:beforeAutospacing="0" w:afterAutospacing="0" w:line="560" w:lineRule="exact"/>
              <w:ind w:left="0" w:right="0"/>
              <w:jc w:val="left"/>
              <w:rPr>
                <w:rStyle w:val="37"/>
                <w:rFonts w:hint="eastAsia" w:ascii="仿宋_GB2312" w:hAnsi="仿宋_GB2312" w:eastAsia="仿宋_GB2312"/>
                <w:color w:val="000000" w:themeColor="text1"/>
                <w:sz w:val="24"/>
                <w:highlight w:val="none"/>
                <w14:textFill>
                  <w14:solidFill>
                    <w14:schemeClr w14:val="tx1"/>
                  </w14:solidFill>
                </w14:textFill>
              </w:rPr>
            </w:pPr>
          </w:p>
        </w:tc>
      </w:tr>
      <w:tr w14:paraId="7BFC8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 w:hRule="atLeast"/>
        </w:trPr>
        <w:tc>
          <w:tcPr>
            <w:tcW w:w="801" w:type="dxa"/>
            <w:tcBorders>
              <w:top w:val="single" w:color="000000" w:sz="6" w:space="0"/>
              <w:left w:val="single" w:color="000000" w:sz="4" w:space="0"/>
              <w:bottom w:val="single" w:color="000000" w:sz="6" w:space="0"/>
              <w:right w:val="single" w:color="000000" w:sz="6" w:space="0"/>
            </w:tcBorders>
            <w:vAlign w:val="center"/>
          </w:tcPr>
          <w:p w14:paraId="54C66FA4">
            <w:pPr>
              <w:keepNext w:val="0"/>
              <w:keepLines w:val="0"/>
              <w:pageBreakBefore w:val="0"/>
              <w:widowControl w:val="0"/>
              <w:suppressLineNumbers w:val="0"/>
              <w:wordWrap/>
              <w:overflowPunct/>
              <w:topLinePunct w:val="0"/>
              <w:bidi w:val="0"/>
              <w:snapToGrid w:val="0"/>
              <w:spacing w:before="0" w:beforeAutospacing="0" w:afterAutospacing="0" w:line="560" w:lineRule="exact"/>
              <w:ind w:left="0" w:right="0"/>
              <w:jc w:val="left"/>
              <w:rPr>
                <w:rStyle w:val="37"/>
                <w:rFonts w:hint="eastAsia" w:ascii="仿宋_GB2312" w:hAnsi="仿宋_GB2312" w:eastAsia="仿宋_GB2312"/>
                <w:color w:val="000000" w:themeColor="text1"/>
                <w:sz w:val="24"/>
                <w:highlight w:val="none"/>
                <w14:textFill>
                  <w14:solidFill>
                    <w14:schemeClr w14:val="tx1"/>
                  </w14:solidFill>
                </w14:textFill>
              </w:rPr>
            </w:pPr>
          </w:p>
        </w:tc>
        <w:tc>
          <w:tcPr>
            <w:tcW w:w="7633" w:type="dxa"/>
            <w:tcBorders>
              <w:top w:val="single" w:color="000000" w:sz="6" w:space="0"/>
              <w:left w:val="single" w:color="000000" w:sz="6" w:space="0"/>
              <w:bottom w:val="single" w:color="000000" w:sz="6" w:space="0"/>
              <w:right w:val="single" w:color="000000" w:sz="6" w:space="0"/>
            </w:tcBorders>
            <w:vAlign w:val="center"/>
          </w:tcPr>
          <w:p w14:paraId="3621E9D5">
            <w:pPr>
              <w:keepNext w:val="0"/>
              <w:keepLines w:val="0"/>
              <w:pageBreakBefore w:val="0"/>
              <w:widowControl w:val="0"/>
              <w:suppressLineNumbers w:val="0"/>
              <w:wordWrap/>
              <w:overflowPunct/>
              <w:topLinePunct w:val="0"/>
              <w:bidi w:val="0"/>
              <w:snapToGrid w:val="0"/>
              <w:spacing w:before="0" w:beforeAutospacing="0" w:afterAutospacing="0" w:line="560" w:lineRule="exact"/>
              <w:ind w:left="0" w:right="0"/>
              <w:jc w:val="left"/>
              <w:rPr>
                <w:rStyle w:val="37"/>
                <w:rFonts w:hint="eastAsia" w:ascii="仿宋_GB2312" w:hAnsi="仿宋_GB2312" w:eastAsia="仿宋_GB2312"/>
                <w:color w:val="000000" w:themeColor="text1"/>
                <w:sz w:val="24"/>
                <w:highlight w:val="none"/>
                <w14:textFill>
                  <w14:solidFill>
                    <w14:schemeClr w14:val="tx1"/>
                  </w14:solidFill>
                </w14:textFill>
              </w:rPr>
            </w:pPr>
          </w:p>
        </w:tc>
      </w:tr>
      <w:tr w14:paraId="340D8F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 w:hRule="atLeast"/>
        </w:trPr>
        <w:tc>
          <w:tcPr>
            <w:tcW w:w="801" w:type="dxa"/>
            <w:tcBorders>
              <w:top w:val="single" w:color="000000" w:sz="6" w:space="0"/>
              <w:left w:val="single" w:color="000000" w:sz="4" w:space="0"/>
              <w:bottom w:val="single" w:color="000000" w:sz="6" w:space="0"/>
              <w:right w:val="single" w:color="000000" w:sz="6" w:space="0"/>
            </w:tcBorders>
            <w:vAlign w:val="center"/>
          </w:tcPr>
          <w:p w14:paraId="3AEA7754">
            <w:pPr>
              <w:keepNext w:val="0"/>
              <w:keepLines w:val="0"/>
              <w:pageBreakBefore w:val="0"/>
              <w:widowControl w:val="0"/>
              <w:suppressLineNumbers w:val="0"/>
              <w:wordWrap/>
              <w:overflowPunct/>
              <w:topLinePunct w:val="0"/>
              <w:bidi w:val="0"/>
              <w:snapToGrid w:val="0"/>
              <w:spacing w:before="0" w:beforeAutospacing="0" w:afterAutospacing="0" w:line="560" w:lineRule="exact"/>
              <w:ind w:left="0" w:right="0"/>
              <w:jc w:val="left"/>
              <w:rPr>
                <w:rStyle w:val="37"/>
                <w:rFonts w:hint="eastAsia" w:ascii="仿宋_GB2312" w:hAnsi="仿宋_GB2312" w:eastAsia="仿宋_GB2312"/>
                <w:color w:val="000000" w:themeColor="text1"/>
                <w:sz w:val="24"/>
                <w:highlight w:val="none"/>
                <w14:textFill>
                  <w14:solidFill>
                    <w14:schemeClr w14:val="tx1"/>
                  </w14:solidFill>
                </w14:textFill>
              </w:rPr>
            </w:pPr>
          </w:p>
        </w:tc>
        <w:tc>
          <w:tcPr>
            <w:tcW w:w="7633" w:type="dxa"/>
            <w:tcBorders>
              <w:top w:val="single" w:color="000000" w:sz="6" w:space="0"/>
              <w:left w:val="single" w:color="000000" w:sz="6" w:space="0"/>
              <w:bottom w:val="single" w:color="000000" w:sz="6" w:space="0"/>
              <w:right w:val="single" w:color="000000" w:sz="6" w:space="0"/>
            </w:tcBorders>
            <w:vAlign w:val="center"/>
          </w:tcPr>
          <w:p w14:paraId="6A7AE142">
            <w:pPr>
              <w:keepNext w:val="0"/>
              <w:keepLines w:val="0"/>
              <w:pageBreakBefore w:val="0"/>
              <w:widowControl w:val="0"/>
              <w:suppressLineNumbers w:val="0"/>
              <w:wordWrap/>
              <w:overflowPunct/>
              <w:topLinePunct w:val="0"/>
              <w:bidi w:val="0"/>
              <w:snapToGrid w:val="0"/>
              <w:spacing w:before="0" w:beforeAutospacing="0" w:afterAutospacing="0" w:line="560" w:lineRule="exact"/>
              <w:ind w:left="0" w:right="0"/>
              <w:jc w:val="left"/>
              <w:rPr>
                <w:rStyle w:val="37"/>
                <w:rFonts w:hint="eastAsia" w:ascii="仿宋_GB2312" w:hAnsi="仿宋_GB2312" w:eastAsia="仿宋_GB2312"/>
                <w:color w:val="000000" w:themeColor="text1"/>
                <w:sz w:val="24"/>
                <w:highlight w:val="none"/>
                <w14:textFill>
                  <w14:solidFill>
                    <w14:schemeClr w14:val="tx1"/>
                  </w14:solidFill>
                </w14:textFill>
              </w:rPr>
            </w:pPr>
          </w:p>
        </w:tc>
      </w:tr>
      <w:tr w14:paraId="4D63E4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 w:hRule="atLeast"/>
        </w:trPr>
        <w:tc>
          <w:tcPr>
            <w:tcW w:w="801" w:type="dxa"/>
            <w:tcBorders>
              <w:top w:val="single" w:color="000000" w:sz="6" w:space="0"/>
              <w:left w:val="single" w:color="000000" w:sz="4" w:space="0"/>
              <w:bottom w:val="single" w:color="000000" w:sz="6" w:space="0"/>
              <w:right w:val="single" w:color="000000" w:sz="6" w:space="0"/>
            </w:tcBorders>
            <w:vAlign w:val="center"/>
          </w:tcPr>
          <w:p w14:paraId="688DD97C">
            <w:pPr>
              <w:keepNext w:val="0"/>
              <w:keepLines w:val="0"/>
              <w:pageBreakBefore w:val="0"/>
              <w:widowControl w:val="0"/>
              <w:suppressLineNumbers w:val="0"/>
              <w:wordWrap/>
              <w:overflowPunct/>
              <w:topLinePunct w:val="0"/>
              <w:bidi w:val="0"/>
              <w:snapToGrid w:val="0"/>
              <w:spacing w:before="0" w:beforeAutospacing="0" w:afterAutospacing="0" w:line="560" w:lineRule="exact"/>
              <w:ind w:left="0" w:right="0"/>
              <w:jc w:val="left"/>
              <w:rPr>
                <w:rStyle w:val="37"/>
                <w:rFonts w:hint="eastAsia" w:ascii="仿宋_GB2312" w:hAnsi="仿宋_GB2312" w:eastAsia="仿宋_GB2312"/>
                <w:color w:val="000000" w:themeColor="text1"/>
                <w:sz w:val="24"/>
                <w:highlight w:val="none"/>
                <w14:textFill>
                  <w14:solidFill>
                    <w14:schemeClr w14:val="tx1"/>
                  </w14:solidFill>
                </w14:textFill>
              </w:rPr>
            </w:pPr>
          </w:p>
        </w:tc>
        <w:tc>
          <w:tcPr>
            <w:tcW w:w="7633" w:type="dxa"/>
            <w:tcBorders>
              <w:top w:val="single" w:color="000000" w:sz="6" w:space="0"/>
              <w:left w:val="single" w:color="000000" w:sz="6" w:space="0"/>
              <w:bottom w:val="single" w:color="000000" w:sz="6" w:space="0"/>
              <w:right w:val="single" w:color="000000" w:sz="6" w:space="0"/>
            </w:tcBorders>
            <w:vAlign w:val="center"/>
          </w:tcPr>
          <w:p w14:paraId="76BD1642">
            <w:pPr>
              <w:keepNext w:val="0"/>
              <w:keepLines w:val="0"/>
              <w:pageBreakBefore w:val="0"/>
              <w:widowControl w:val="0"/>
              <w:suppressLineNumbers w:val="0"/>
              <w:wordWrap/>
              <w:overflowPunct/>
              <w:topLinePunct w:val="0"/>
              <w:bidi w:val="0"/>
              <w:snapToGrid w:val="0"/>
              <w:spacing w:before="0" w:beforeAutospacing="0" w:afterAutospacing="0" w:line="560" w:lineRule="exact"/>
              <w:ind w:left="0" w:right="0"/>
              <w:jc w:val="left"/>
              <w:rPr>
                <w:rStyle w:val="37"/>
                <w:rFonts w:hint="eastAsia" w:ascii="仿宋_GB2312" w:hAnsi="仿宋_GB2312" w:eastAsia="仿宋_GB2312"/>
                <w:color w:val="000000" w:themeColor="text1"/>
                <w:sz w:val="24"/>
                <w:highlight w:val="none"/>
                <w14:textFill>
                  <w14:solidFill>
                    <w14:schemeClr w14:val="tx1"/>
                  </w14:solidFill>
                </w14:textFill>
              </w:rPr>
            </w:pPr>
          </w:p>
        </w:tc>
      </w:tr>
      <w:tr w14:paraId="4316E1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 w:hRule="atLeast"/>
        </w:trPr>
        <w:tc>
          <w:tcPr>
            <w:tcW w:w="801" w:type="dxa"/>
            <w:tcBorders>
              <w:top w:val="single" w:color="000000" w:sz="6" w:space="0"/>
              <w:left w:val="single" w:color="000000" w:sz="4" w:space="0"/>
              <w:bottom w:val="single" w:color="000000" w:sz="6" w:space="0"/>
              <w:right w:val="single" w:color="000000" w:sz="6" w:space="0"/>
            </w:tcBorders>
            <w:vAlign w:val="center"/>
          </w:tcPr>
          <w:p w14:paraId="7AB486EF">
            <w:pPr>
              <w:keepNext w:val="0"/>
              <w:keepLines w:val="0"/>
              <w:pageBreakBefore w:val="0"/>
              <w:widowControl w:val="0"/>
              <w:suppressLineNumbers w:val="0"/>
              <w:wordWrap/>
              <w:overflowPunct/>
              <w:topLinePunct w:val="0"/>
              <w:bidi w:val="0"/>
              <w:snapToGrid w:val="0"/>
              <w:spacing w:before="0" w:beforeAutospacing="0" w:afterAutospacing="0" w:line="560" w:lineRule="exact"/>
              <w:ind w:left="0" w:right="0"/>
              <w:jc w:val="left"/>
              <w:rPr>
                <w:rStyle w:val="37"/>
                <w:rFonts w:hint="eastAsia" w:ascii="仿宋_GB2312" w:hAnsi="仿宋_GB2312" w:eastAsia="仿宋_GB2312"/>
                <w:color w:val="000000" w:themeColor="text1"/>
                <w:sz w:val="24"/>
                <w:highlight w:val="none"/>
                <w14:textFill>
                  <w14:solidFill>
                    <w14:schemeClr w14:val="tx1"/>
                  </w14:solidFill>
                </w14:textFill>
              </w:rPr>
            </w:pPr>
          </w:p>
        </w:tc>
        <w:tc>
          <w:tcPr>
            <w:tcW w:w="7633" w:type="dxa"/>
            <w:tcBorders>
              <w:top w:val="single" w:color="000000" w:sz="6" w:space="0"/>
              <w:left w:val="single" w:color="000000" w:sz="6" w:space="0"/>
              <w:bottom w:val="single" w:color="000000" w:sz="6" w:space="0"/>
              <w:right w:val="single" w:color="000000" w:sz="6" w:space="0"/>
            </w:tcBorders>
            <w:vAlign w:val="center"/>
          </w:tcPr>
          <w:p w14:paraId="070D61B5">
            <w:pPr>
              <w:keepNext w:val="0"/>
              <w:keepLines w:val="0"/>
              <w:pageBreakBefore w:val="0"/>
              <w:widowControl w:val="0"/>
              <w:suppressLineNumbers w:val="0"/>
              <w:wordWrap/>
              <w:overflowPunct/>
              <w:topLinePunct w:val="0"/>
              <w:bidi w:val="0"/>
              <w:snapToGrid w:val="0"/>
              <w:spacing w:before="0" w:beforeAutospacing="0" w:afterAutospacing="0" w:line="560" w:lineRule="exact"/>
              <w:ind w:left="0" w:right="0"/>
              <w:jc w:val="left"/>
              <w:rPr>
                <w:rStyle w:val="37"/>
                <w:rFonts w:hint="eastAsia" w:ascii="仿宋_GB2312" w:hAnsi="仿宋_GB2312" w:eastAsia="仿宋_GB2312"/>
                <w:color w:val="000000" w:themeColor="text1"/>
                <w:sz w:val="24"/>
                <w:highlight w:val="none"/>
                <w14:textFill>
                  <w14:solidFill>
                    <w14:schemeClr w14:val="tx1"/>
                  </w14:solidFill>
                </w14:textFill>
              </w:rPr>
            </w:pPr>
          </w:p>
        </w:tc>
      </w:tr>
    </w:tbl>
    <w:p w14:paraId="571D68D1">
      <w:pPr>
        <w:keepNext w:val="0"/>
        <w:keepLines w:val="0"/>
        <w:pageBreakBefore w:val="0"/>
        <w:widowControl w:val="0"/>
        <w:wordWrap/>
        <w:overflowPunct/>
        <w:topLinePunct w:val="0"/>
        <w:bidi w:val="0"/>
        <w:snapToGrid w:val="0"/>
        <w:spacing w:after="156" w:line="560" w:lineRule="exact"/>
        <w:ind w:firstLine="480"/>
        <w:jc w:val="left"/>
        <w:rPr>
          <w:rStyle w:val="37"/>
          <w:rFonts w:hint="eastAsia" w:ascii="仿宋_GB2312" w:hAnsi="仿宋_GB2312" w:eastAsia="仿宋_GB2312"/>
          <w:color w:val="000000" w:themeColor="text1"/>
          <w:highlight w:val="none"/>
          <w14:textFill>
            <w14:solidFill>
              <w14:schemeClr w14:val="tx1"/>
            </w14:solidFill>
          </w14:textFill>
        </w:rPr>
      </w:pPr>
    </w:p>
    <w:p w14:paraId="43645E6C">
      <w:pPr>
        <w:pStyle w:val="34"/>
        <w:keepNext w:val="0"/>
        <w:keepLines w:val="0"/>
        <w:pageBreakBefore w:val="0"/>
        <w:widowControl w:val="0"/>
        <w:wordWrap/>
        <w:overflowPunct/>
        <w:topLinePunct w:val="0"/>
        <w:bidi w:val="0"/>
        <w:snapToGrid w:val="0"/>
        <w:spacing w:line="240" w:lineRule="atLeast"/>
        <w:ind w:left="0" w:leftChars="0" w:firstLine="0" w:firstLineChars="0"/>
        <w:rPr>
          <w:rStyle w:val="37"/>
          <w:rFonts w:hint="eastAsia" w:ascii="仿宋_GB2312" w:hAnsi="仿宋_GB2312" w:eastAsia="仿宋_GB2312"/>
          <w:color w:val="000000" w:themeColor="text1"/>
          <w:sz w:val="28"/>
          <w:highlight w:val="none"/>
          <w14:textFill>
            <w14:solidFill>
              <w14:schemeClr w14:val="tx1"/>
            </w14:solidFill>
          </w14:textFill>
        </w:rPr>
      </w:pPr>
    </w:p>
    <w:sectPr>
      <w:headerReference r:id="rId19" w:type="default"/>
      <w:footerReference r:id="rId20" w:type="default"/>
      <w:pgSz w:w="11907" w:h="16840"/>
      <w:pgMar w:top="1474" w:right="1814" w:bottom="1474" w:left="1814" w:header="851" w:footer="850" w:gutter="0"/>
      <w:pgBorders>
        <w:top w:val="none" w:sz="0" w:space="0"/>
        <w:left w:val="none" w:sz="0" w:space="0"/>
        <w:bottom w:val="none" w:sz="0" w:space="0"/>
        <w:right w:val="none" w:sz="0" w:space="0"/>
      </w:pgBorders>
      <w:cols w:space="0" w:num="1"/>
      <w:docGrid w:linePitch="46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F2184D18-1E65-4EAC-AD93-960CE80E6C9F}"/>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9B39942D-C19F-405E-BADD-6D96A3235BB6}"/>
  </w:font>
  <w:font w:name="微软雅黑">
    <w:panose1 w:val="020B0503020204020204"/>
    <w:charset w:val="86"/>
    <w:family w:val="swiss"/>
    <w:pitch w:val="default"/>
    <w:sig w:usb0="80000287" w:usb1="2ACF3C50" w:usb2="00000016" w:usb3="00000000" w:csb0="0004001F" w:csb1="00000000"/>
    <w:embedRegular r:id="rId3" w:fontKey="{382EA912-18D5-46D7-A3F2-2D1398C37E08}"/>
  </w:font>
  <w:font w:name="Tahoma">
    <w:panose1 w:val="020B0604030504040204"/>
    <w:charset w:val="00"/>
    <w:family w:val="swiss"/>
    <w:pitch w:val="default"/>
    <w:sig w:usb0="E1002EFF" w:usb1="C000605B" w:usb2="00000029" w:usb3="00000000" w:csb0="200101FF" w:csb1="20280000"/>
    <w:embedRegular r:id="rId4" w:fontKey="{391FBE51-8BFA-43DD-BE26-4508D2CB0156}"/>
  </w:font>
  <w:font w:name="华文楷体">
    <w:altName w:val="宋体"/>
    <w:panose1 w:val="02010600040101010101"/>
    <w:charset w:val="86"/>
    <w:family w:val="auto"/>
    <w:pitch w:val="default"/>
    <w:sig w:usb0="00000000" w:usb1="00000000" w:usb2="00000000" w:usb3="00000000" w:csb0="0004009F" w:csb1="DFD70000"/>
  </w:font>
  <w:font w:name="ó×.2">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embedRegular r:id="rId5" w:fontKey="{0C1E34D7-CDC5-4358-9260-8FE29E4CC0E7}"/>
  </w:font>
  <w:font w:name="微软雅黑 Light">
    <w:panose1 w:val="020B0502040204020203"/>
    <w:charset w:val="86"/>
    <w:family w:val="swiss"/>
    <w:pitch w:val="default"/>
    <w:sig w:usb0="80000287" w:usb1="2ACF0010" w:usb2="00000016" w:usb3="00000000" w:csb0="0004001F" w:csb1="00000000"/>
    <w:embedRegular r:id="rId6" w:fontKey="{1EA3F7F8-90DA-457F-BA21-42F05ABB8CC8}"/>
  </w:font>
  <w:font w:name="楷体">
    <w:panose1 w:val="02010609060101010101"/>
    <w:charset w:val="86"/>
    <w:family w:val="modern"/>
    <w:pitch w:val="default"/>
    <w:sig w:usb0="800002BF" w:usb1="38CF7CFA" w:usb2="00000016" w:usb3="00000000" w:csb0="00040001" w:csb1="00000000"/>
    <w:embedRegular r:id="rId7" w:fontKey="{FB7E3216-F90F-49F4-AE14-F14C95471A25}"/>
  </w:font>
  <w:font w:name="方正仿宋_GB2312">
    <w:panose1 w:val="02000000000000000000"/>
    <w:charset w:val="86"/>
    <w:family w:val="auto"/>
    <w:pitch w:val="default"/>
    <w:sig w:usb0="A00002BF" w:usb1="184F6CFA" w:usb2="00000012" w:usb3="00000000" w:csb0="00040001" w:csb1="00000000"/>
    <w:embedRegular r:id="rId8" w:fontKey="{3AB80FA9-19E1-471D-88E3-2E5E84B9980D}"/>
  </w:font>
  <w:font w:name="WPSEMBED1">
    <w:panose1 w:val="02010609030101010101"/>
    <w:charset w:val="86"/>
    <w:family w:val="auto"/>
    <w:pitch w:val="default"/>
    <w:sig w:usb0="00000001" w:usb1="080E0000" w:usb2="00000000" w:usb3="00000000" w:csb0="00040000" w:csb1="00000000"/>
  </w:font>
  <w:font w:name="WPSEMBED2">
    <w:panose1 w:val="02000000000000000000"/>
    <w:charset w:val="86"/>
    <w:family w:val="auto"/>
    <w:pitch w:val="default"/>
    <w:sig w:usb0="A00002BF" w:usb1="184F6CFA" w:usb2="00000012" w:usb3="00000000" w:csb0="00040001" w:csb1="00000000"/>
  </w:font>
  <w:font w:name="Arial">
    <w:panose1 w:val="020B0604020202020204"/>
    <w:charset w:val="00"/>
    <w:family w:val="auto"/>
    <w:pitch w:val="default"/>
    <w:sig w:usb0="E0002EFF" w:usb1="C000785B" w:usb2="00000009" w:usb3="00000000" w:csb0="400001FF" w:csb1="FFFF0000"/>
    <w:embedRegular r:id="rId9" w:fontKey="{FC207A44-137F-4CCC-978C-3043F69D2F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617D3">
    <w:pPr>
      <w:pStyle w:val="16"/>
      <w:ind w:right="360" w:firstLine="3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7644A">
    <w:pPr>
      <w:pStyle w:val="16"/>
      <w:ind w:right="360" w:firstLine="360"/>
      <w:jc w:val="right"/>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3409F52">
                          <w:pPr>
                            <w:pStyle w:val="16"/>
                          </w:pPr>
                          <w:r>
                            <w:rPr>
                              <w:rFonts w:hint="eastAsia"/>
                            </w:rPr>
                            <w:fldChar w:fldCharType="begin"/>
                          </w:r>
                          <w:r>
                            <w:rPr>
                              <w:rFonts w:hint="eastAsia"/>
                            </w:rPr>
                            <w:instrText xml:space="preserve"> PAGE  \* MERGEFORMAT </w:instrText>
                          </w:r>
                          <w:r>
                            <w:rPr>
                              <w:rFonts w:hint="eastAsia"/>
                            </w:rPr>
                            <w:fldChar w:fldCharType="separate"/>
                          </w:r>
                          <w:r>
                            <w:t>64</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BERkUBxgEAAJsDAAAOAAAAAAAAAAEAIAAAAB4BAABkcnMvZTJvRG9jLnht&#10;bFBLBQYAAAAABgAGAFkBAABWBQAAAAA=&#10;">
              <v:fill on="f" focussize="0,0"/>
              <v:stroke on="f"/>
              <v:imagedata o:title=""/>
              <o:lock v:ext="edit" aspectratio="f"/>
              <v:textbox inset="0mm,0mm,0mm,0mm" style="mso-fit-shape-to-text:t;">
                <w:txbxContent>
                  <w:p w14:paraId="03409F52">
                    <w:pPr>
                      <w:pStyle w:val="16"/>
                    </w:pPr>
                    <w:r>
                      <w:rPr>
                        <w:rFonts w:hint="eastAsia"/>
                      </w:rPr>
                      <w:fldChar w:fldCharType="begin"/>
                    </w:r>
                    <w:r>
                      <w:rPr>
                        <w:rFonts w:hint="eastAsia"/>
                      </w:rPr>
                      <w:instrText xml:space="preserve"> PAGE  \* MERGEFORMAT </w:instrText>
                    </w:r>
                    <w:r>
                      <w:rPr>
                        <w:rFonts w:hint="eastAsia"/>
                      </w:rPr>
                      <w:fldChar w:fldCharType="separate"/>
                    </w:r>
                    <w:r>
                      <w:t>64</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BE3F1">
    <w:pPr>
      <w:pStyle w:val="16"/>
      <w:ind w:right="360" w:firstLine="360"/>
      <w:jc w:val="right"/>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6015845">
                          <w:pPr>
                            <w:pStyle w:val="16"/>
                          </w:pPr>
                          <w:r>
                            <w:fldChar w:fldCharType="begin"/>
                          </w:r>
                          <w:r>
                            <w:instrText xml:space="preserve"> PAGE  \* MERGEFORMAT </w:instrText>
                          </w:r>
                          <w:r>
                            <w:fldChar w:fldCharType="separate"/>
                          </w:r>
                          <w:r>
                            <w:t>22</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CdRYmwxgEAAJ0DAAAOAAAAAAAAAAEAIAAAAB4BAABkcnMvZTJvRG9jLnht&#10;bFBLBQYAAAAABgAGAFkBAABWBQAAAAA=&#10;">
              <v:fill on="f" focussize="0,0"/>
              <v:stroke on="f"/>
              <v:imagedata o:title=""/>
              <o:lock v:ext="edit" aspectratio="f"/>
              <v:textbox inset="0mm,0mm,0mm,0mm" style="mso-fit-shape-to-text:t;">
                <w:txbxContent>
                  <w:p w14:paraId="66015845">
                    <w:pPr>
                      <w:pStyle w:val="16"/>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65E45">
    <w:pPr>
      <w:pStyle w:val="16"/>
      <w:ind w:right="360" w:firstLine="360"/>
      <w:jc w:val="right"/>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C232B94">
                          <w:pPr>
                            <w:pStyle w:val="16"/>
                          </w:pPr>
                          <w:r>
                            <w:fldChar w:fldCharType="begin"/>
                          </w:r>
                          <w:r>
                            <w:instrText xml:space="preserve"> PAGE  \* MERGEFORMAT </w:instrText>
                          </w:r>
                          <w:r>
                            <w:fldChar w:fldCharType="separate"/>
                          </w:r>
                          <w:r>
                            <w:t>23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ljtWvccBAACdAwAADgAAAAAAAAABACAAAAAeAQAAZHJzL2Uyb0RvYy54&#10;bWxQSwUGAAAAAAYABgBZAQAAVwUAAAAA&#10;">
              <v:fill on="f" focussize="0,0"/>
              <v:stroke on="f"/>
              <v:imagedata o:title=""/>
              <o:lock v:ext="edit" aspectratio="f"/>
              <v:textbox inset="0mm,0mm,0mm,0mm" style="mso-fit-shape-to-text:t;">
                <w:txbxContent>
                  <w:p w14:paraId="3C232B94">
                    <w:pPr>
                      <w:pStyle w:val="16"/>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026050">
    <w:pPr>
      <w:pStyle w:val="16"/>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14935" cy="14859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14935" cy="148590"/>
                      </a:xfrm>
                      <a:prstGeom prst="rect">
                        <a:avLst/>
                      </a:prstGeom>
                      <a:noFill/>
                      <a:ln>
                        <a:noFill/>
                      </a:ln>
                      <a:effectLst/>
                    </wps:spPr>
                    <wps:txbx>
                      <w:txbxContent>
                        <w:p w14:paraId="7F0067B0">
                          <w:pPr>
                            <w:pStyle w:val="16"/>
                            <w:jc w:val="center"/>
                          </w:pPr>
                          <w:r>
                            <w:fldChar w:fldCharType="begin"/>
                          </w:r>
                          <w:r>
                            <w:instrText xml:space="preserve">PAGE   \* MERGEFORMAT</w:instrText>
                          </w:r>
                          <w:r>
                            <w:fldChar w:fldCharType="separate"/>
                          </w:r>
                          <w:r>
                            <w:rPr>
                              <w:lang w:val="zh-CN"/>
                            </w:rPr>
                            <w:t>27</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1.7pt;width:9.05pt;mso-position-horizontal:center;mso-position-horizontal-relative:margin;mso-wrap-style:none;z-index:251663360;mso-width-relative:page;mso-height-relative:page;" filled="f" stroked="f" coordsize="21600,21600" o:gfxdata="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CAugUXRAAAAAwEAAA8AAAAAAAAAAQAgAAAAIgAAAGRycy9kb3du&#10;cmV2LnhtbFBLAQIUABQAAAAIAIdO4kDMCn1jzQEAAJsDAAAOAAAAAAAAAAEAIAAAACABAABkcnMv&#10;ZTJvRG9jLnhtbFBLBQYAAAAABgAGAFkBAABfBQAAAAA=&#10;">
              <v:fill on="f" focussize="0,0"/>
              <v:stroke on="f"/>
              <v:imagedata o:title=""/>
              <o:lock v:ext="edit" aspectratio="f"/>
              <v:textbox inset="0mm,0mm,0mm,0mm" style="mso-fit-shape-to-text:t;">
                <w:txbxContent>
                  <w:p w14:paraId="7F0067B0">
                    <w:pPr>
                      <w:pStyle w:val="16"/>
                      <w:jc w:val="center"/>
                    </w:pPr>
                    <w:r>
                      <w:fldChar w:fldCharType="begin"/>
                    </w:r>
                    <w:r>
                      <w:instrText xml:space="preserve">PAGE   \* MERGEFORMAT</w:instrText>
                    </w:r>
                    <w:r>
                      <w:fldChar w:fldCharType="separate"/>
                    </w:r>
                    <w:r>
                      <w:rPr>
                        <w:lang w:val="zh-CN"/>
                      </w:rPr>
                      <w:t>27</w:t>
                    </w:r>
                    <w:r>
                      <w:fldChar w:fldCharType="end"/>
                    </w:r>
                  </w:p>
                </w:txbxContent>
              </v:textbox>
            </v:shape>
          </w:pict>
        </mc:Fallback>
      </mc:AlternateContent>
    </w:r>
  </w:p>
  <w:p w14:paraId="26FA3E62">
    <w:pPr>
      <w:pStyle w:val="16"/>
      <w:ind w:right="36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A899E">
    <w:pPr>
      <w:pStyle w:val="16"/>
      <w:jc w:val="center"/>
      <w:rPr>
        <w:rStyle w:val="37"/>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A8DDE9A">
                          <w:pPr>
                            <w:pStyle w:val="16"/>
                          </w:pPr>
                          <w:r>
                            <w:fldChar w:fldCharType="begin"/>
                          </w:r>
                          <w:r>
                            <w:instrText xml:space="preserve"> PAGE  \* MERGEFORMAT </w:instrText>
                          </w:r>
                          <w:r>
                            <w:fldChar w:fldCharType="separate"/>
                          </w:r>
                          <w:r>
                            <w:t>43</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boytv8cBAACcAwAADgAAAAAAAAABACAAAAAeAQAAZHJzL2Uyb0RvYy54&#10;bWxQSwUGAAAAAAYABgBZAQAAVwUAAAAA&#10;">
              <v:fill on="f" focussize="0,0"/>
              <v:stroke on="f"/>
              <v:imagedata o:title=""/>
              <o:lock v:ext="edit" aspectratio="f"/>
              <v:textbox inset="0mm,0mm,0mm,0mm" style="mso-fit-shape-to-text:t;">
                <w:txbxContent>
                  <w:p w14:paraId="3A8DDE9A">
                    <w:pPr>
                      <w:pStyle w:val="16"/>
                    </w:pPr>
                    <w:r>
                      <w:fldChar w:fldCharType="begin"/>
                    </w:r>
                    <w:r>
                      <w:instrText xml:space="preserve"> PAGE  \* MERGEFORMAT </w:instrText>
                    </w:r>
                    <w:r>
                      <w:fldChar w:fldCharType="separate"/>
                    </w:r>
                    <w:r>
                      <w:t>43</w:t>
                    </w:r>
                    <w:r>
                      <w:fldChar w:fldCharType="end"/>
                    </w:r>
                  </w:p>
                </w:txbxContent>
              </v:textbox>
            </v:shape>
          </w:pict>
        </mc:Fallback>
      </mc:AlternateContent>
    </w:r>
    <w:r>
      <w:rPr>
        <w:rStyle w:val="3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48590"/>
              <wp:effectExtent l="0" t="0" r="0" b="0"/>
              <wp:wrapNone/>
              <wp:docPr id="1" name="文本框 3"/>
              <wp:cNvGraphicFramePr/>
              <a:graphic xmlns:a="http://schemas.openxmlformats.org/drawingml/2006/main">
                <a:graphicData uri="http://schemas.microsoft.com/office/word/2010/wordprocessingShape">
                  <wps:wsp>
                    <wps:cNvSpPr txBox="1"/>
                    <wps:spPr>
                      <a:xfrm>
                        <a:off x="0" y="0"/>
                        <a:ext cx="114935" cy="148590"/>
                      </a:xfrm>
                      <a:prstGeom prst="rect">
                        <a:avLst/>
                      </a:prstGeom>
                      <a:noFill/>
                      <a:ln>
                        <a:noFill/>
                      </a:ln>
                      <a:effectLst/>
                    </wps:spPr>
                    <wps:txbx>
                      <w:txbxContent>
                        <w:p w14:paraId="20C8EF7D">
                          <w:pPr>
                            <w:pStyle w:val="16"/>
                            <w:jc w:val="center"/>
                            <w:rPr>
                              <w:rStyle w:val="37"/>
                            </w:rPr>
                          </w:pPr>
                        </w:p>
                        <w:p w14:paraId="3219E7E4">
                          <w:pPr>
                            <w:tabs>
                              <w:tab w:val="center" w:pos="4153"/>
                              <w:tab w:val="right" w:pos="8306"/>
                            </w:tabs>
                            <w:jc w:val="center"/>
                            <w:rPr>
                              <w:rStyle w:val="37"/>
                            </w:rPr>
                          </w:pPr>
                        </w:p>
                      </w:txbxContent>
                    </wps:txbx>
                    <wps:bodyPr lIns="0" tIns="0" rIns="0" bIns="0" upright="1"/>
                  </wps:wsp>
                </a:graphicData>
              </a:graphic>
            </wp:anchor>
          </w:drawing>
        </mc:Choice>
        <mc:Fallback>
          <w:pict>
            <v:shape id="文本框 3" o:spid="_x0000_s1026" o:spt="202" type="#_x0000_t202" style="position:absolute;left:0pt;margin-top:0pt;height:11.7pt;width:9.05pt;mso-position-horizontal:center;mso-position-horizontal-relative:margin;z-index:251659264;mso-width-relative:page;mso-height-relative:page;" filled="f" stroked="f" coordsize="21600,21600" o:gfxdata="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IpEM5TTAAAAAwEAAA8AAAAAAAAAAQAgAAAAIgAAAGRycy9kb3ducmV2LnhtbFBLAQIU&#10;ABQAAAAIAIdO4kC20o1YvwEAAH8DAAAOAAAAAAAAAAEAIAAAACIBAABkcnMvZTJvRG9jLnhtbFBL&#10;BQYAAAAABgAGAFkBAABTBQAAAAA=&#10;">
              <v:fill on="f" focussize="0,0"/>
              <v:stroke on="f"/>
              <v:imagedata o:title=""/>
              <o:lock v:ext="edit" aspectratio="f"/>
              <v:textbox inset="0mm,0mm,0mm,0mm">
                <w:txbxContent>
                  <w:p w14:paraId="20C8EF7D">
                    <w:pPr>
                      <w:pStyle w:val="16"/>
                      <w:jc w:val="center"/>
                      <w:rPr>
                        <w:rStyle w:val="37"/>
                      </w:rPr>
                    </w:pPr>
                  </w:p>
                  <w:p w14:paraId="3219E7E4">
                    <w:pPr>
                      <w:tabs>
                        <w:tab w:val="center" w:pos="4153"/>
                        <w:tab w:val="right" w:pos="8306"/>
                      </w:tabs>
                      <w:jc w:val="center"/>
                      <w:rPr>
                        <w:rStyle w:val="37"/>
                      </w:rPr>
                    </w:pPr>
                  </w:p>
                </w:txbxContent>
              </v:textbox>
            </v:shape>
          </w:pict>
        </mc:Fallback>
      </mc:AlternateContent>
    </w:r>
  </w:p>
  <w:p w14:paraId="2404BF20">
    <w:pPr>
      <w:pStyle w:val="16"/>
      <w:ind w:right="360"/>
      <w:jc w:val="right"/>
      <w:rPr>
        <w:rStyle w:val="37"/>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D1435">
    <w:pPr>
      <w:pStyle w:val="16"/>
      <w:framePr w:wrap="around" w:vAnchor="margin" w:hAnchor="text" w:xAlign="center" w:y="1"/>
      <w:rPr>
        <w:rStyle w:val="72"/>
      </w:rPr>
    </w:pPr>
  </w:p>
  <w:p w14:paraId="62DAD6A3">
    <w:pPr>
      <w:pStyle w:val="16"/>
      <w:rPr>
        <w:rStyle w:val="37"/>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AC71A">
    <w:pPr>
      <w:pStyle w:val="16"/>
      <w:jc w:val="center"/>
      <w:rPr>
        <w:rStyle w:val="37"/>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93BBA31">
                          <w:pPr>
                            <w:pStyle w:val="16"/>
                          </w:pPr>
                          <w:r>
                            <w:fldChar w:fldCharType="begin"/>
                          </w:r>
                          <w:r>
                            <w:instrText xml:space="preserve"> PAGE  \* MERGEFORMAT </w:instrText>
                          </w:r>
                          <w:r>
                            <w:fldChar w:fldCharType="separate"/>
                          </w:r>
                          <w:r>
                            <w:t>135</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fq7eTscBAACdAwAADgAAAAAAAAABACAAAAAeAQAAZHJzL2Uyb0RvYy54&#10;bWxQSwUGAAAAAAYABgBZAQAAVwUAAAAA&#10;">
              <v:fill on="f" focussize="0,0"/>
              <v:stroke on="f"/>
              <v:imagedata o:title=""/>
              <o:lock v:ext="edit" aspectratio="f"/>
              <v:textbox inset="0mm,0mm,0mm,0mm" style="mso-fit-shape-to-text:t;">
                <w:txbxContent>
                  <w:p w14:paraId="093BBA31">
                    <w:pPr>
                      <w:pStyle w:val="16"/>
                    </w:pPr>
                    <w:r>
                      <w:fldChar w:fldCharType="begin"/>
                    </w:r>
                    <w:r>
                      <w:instrText xml:space="preserve"> PAGE  \* MERGEFORMAT </w:instrText>
                    </w:r>
                    <w:r>
                      <w:fldChar w:fldCharType="separate"/>
                    </w:r>
                    <w:r>
                      <w:t>135</w:t>
                    </w:r>
                    <w:r>
                      <w:fldChar w:fldCharType="end"/>
                    </w:r>
                  </w:p>
                </w:txbxContent>
              </v:textbox>
            </v:shape>
          </w:pict>
        </mc:Fallback>
      </mc:AlternateContent>
    </w:r>
    <w:r>
      <w:rPr>
        <w:rStyle w:val="3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48590"/>
              <wp:effectExtent l="0" t="0" r="0" b="0"/>
              <wp:wrapNone/>
              <wp:docPr id="6" name="文本框 5"/>
              <wp:cNvGraphicFramePr/>
              <a:graphic xmlns:a="http://schemas.openxmlformats.org/drawingml/2006/main">
                <a:graphicData uri="http://schemas.microsoft.com/office/word/2010/wordprocessingShape">
                  <wps:wsp>
                    <wps:cNvSpPr txBox="1"/>
                    <wps:spPr>
                      <a:xfrm>
                        <a:off x="0" y="0"/>
                        <a:ext cx="114935" cy="148590"/>
                      </a:xfrm>
                      <a:prstGeom prst="rect">
                        <a:avLst/>
                      </a:prstGeom>
                      <a:noFill/>
                      <a:ln>
                        <a:noFill/>
                      </a:ln>
                      <a:effectLst/>
                    </wps:spPr>
                    <wps:txbx>
                      <w:txbxContent>
                        <w:p w14:paraId="6F5EBBDD">
                          <w:pPr>
                            <w:pStyle w:val="16"/>
                            <w:jc w:val="center"/>
                            <w:rPr>
                              <w:rStyle w:val="37"/>
                            </w:rPr>
                          </w:pPr>
                        </w:p>
                        <w:p w14:paraId="2894DC54">
                          <w:pPr>
                            <w:tabs>
                              <w:tab w:val="center" w:pos="4153"/>
                              <w:tab w:val="right" w:pos="8306"/>
                            </w:tabs>
                            <w:jc w:val="center"/>
                            <w:rPr>
                              <w:rStyle w:val="37"/>
                            </w:rPr>
                          </w:pPr>
                        </w:p>
                      </w:txbxContent>
                    </wps:txbx>
                    <wps:bodyPr lIns="0" tIns="0" rIns="0" bIns="0" upright="1"/>
                  </wps:wsp>
                </a:graphicData>
              </a:graphic>
            </wp:anchor>
          </w:drawing>
        </mc:Choice>
        <mc:Fallback>
          <w:pict>
            <v:shape id="文本框 5" o:spid="_x0000_s1026" o:spt="202" type="#_x0000_t202" style="position:absolute;left:0pt;margin-top:0pt;height:11.7pt;width:9.05pt;mso-position-horizontal:center;mso-position-horizontal-relative:margin;z-index:251660288;mso-width-relative:page;mso-height-relative:page;" filled="f" stroked="f" coordsize="21600,21600" o:gfxdata="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KRDOU0wAAAAMBAAAPAAAAAAAAAAEAIAAAACIAAABkcnMvZG93bnJldi54bWxQSwEC&#10;FAAUAAAACACHTuJApEi3ssABAAB/AwAADgAAAAAAAAABACAAAAAiAQAAZHJzL2Uyb0RvYy54bWxQ&#10;SwUGAAAAAAYABgBZAQAAVAUAAAAA&#10;">
              <v:fill on="f" focussize="0,0"/>
              <v:stroke on="f"/>
              <v:imagedata o:title=""/>
              <o:lock v:ext="edit" aspectratio="f"/>
              <v:textbox inset="0mm,0mm,0mm,0mm">
                <w:txbxContent>
                  <w:p w14:paraId="6F5EBBDD">
                    <w:pPr>
                      <w:pStyle w:val="16"/>
                      <w:jc w:val="center"/>
                      <w:rPr>
                        <w:rStyle w:val="37"/>
                      </w:rPr>
                    </w:pPr>
                  </w:p>
                  <w:p w14:paraId="2894DC54">
                    <w:pPr>
                      <w:tabs>
                        <w:tab w:val="center" w:pos="4153"/>
                        <w:tab w:val="right" w:pos="8306"/>
                      </w:tabs>
                      <w:jc w:val="center"/>
                      <w:rPr>
                        <w:rStyle w:val="37"/>
                      </w:rPr>
                    </w:pPr>
                  </w:p>
                </w:txbxContent>
              </v:textbox>
            </v:shape>
          </w:pict>
        </mc:Fallback>
      </mc:AlternateContent>
    </w:r>
  </w:p>
  <w:p w14:paraId="61125916">
    <w:pPr>
      <w:pStyle w:val="16"/>
      <w:ind w:right="360"/>
      <w:jc w:val="right"/>
      <w:rPr>
        <w:rStyle w:val="3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1BA51">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0AA13">
    <w:pPr>
      <w:pStyle w:val="1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C3ABB">
    <w:pPr>
      <w:pStyle w:val="17"/>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7C077">
    <w:pPr>
      <w:pStyle w:val="17"/>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BBB670">
    <w:pPr>
      <w:pStyle w:val="17"/>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DCA4A">
    <w:pPr>
      <w:pStyle w:val="17"/>
      <w:pBdr>
        <w:bottom w:val="none" w:color="auto" w:sz="0" w:space="0"/>
      </w:pBdr>
      <w:rPr>
        <w:rStyle w:val="37"/>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A615A">
    <w:pPr>
      <w:pStyle w:val="17"/>
      <w:pBdr>
        <w:bottom w:val="none" w:color="auto" w:sz="0" w:space="0"/>
      </w:pBdr>
      <w:rPr>
        <w:rStyle w:val="37"/>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DC16D">
    <w:pPr>
      <w:pStyle w:val="17"/>
      <w:pBdr>
        <w:bottom w:val="none" w:color="auto" w:sz="0" w:space="0"/>
      </w:pBdr>
      <w:jc w:val="right"/>
      <w:rPr>
        <w:rStyle w:val="3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AE33BD"/>
    <w:multiLevelType w:val="singleLevel"/>
    <w:tmpl w:val="8BAE33BD"/>
    <w:lvl w:ilvl="0" w:tentative="0">
      <w:start w:val="1"/>
      <w:numFmt w:val="decimal"/>
      <w:lvlText w:val="%1."/>
      <w:lvlJc w:val="left"/>
      <w:pPr>
        <w:tabs>
          <w:tab w:val="left" w:pos="312"/>
        </w:tabs>
        <w:textAlignment w:val="baseline"/>
      </w:pPr>
    </w:lvl>
  </w:abstractNum>
  <w:abstractNum w:abstractNumId="1">
    <w:nsid w:val="D4F06988"/>
    <w:multiLevelType w:val="multilevel"/>
    <w:tmpl w:val="D4F06988"/>
    <w:lvl w:ilvl="0" w:tentative="0">
      <w:start w:val="18"/>
      <w:numFmt w:val="decimal"/>
      <w:lvlText w:val="%1."/>
      <w:lvlJc w:val="left"/>
      <w:pPr>
        <w:textAlignment w:val="baseline"/>
      </w:pPr>
    </w:lvl>
    <w:lvl w:ilvl="1" w:tentative="0">
      <w:start w:val="1"/>
      <w:numFmt w:val="decimal"/>
      <w:lvlText w:val="%1.%2"/>
      <w:lvlJc w:val="left"/>
      <w:pPr>
        <w:tabs>
          <w:tab w:val="left" w:pos="312"/>
        </w:tabs>
        <w:ind w:left="0" w:firstLine="0"/>
        <w:textAlignment w:val="baseline"/>
      </w:pPr>
    </w:lvl>
    <w:lvl w:ilvl="2" w:tentative="0">
      <w:start w:val="1"/>
      <w:numFmt w:val="decimal"/>
      <w:lvlText w:val="%1.%2.%3"/>
      <w:lvlJc w:val="left"/>
      <w:pPr>
        <w:tabs>
          <w:tab w:val="left" w:pos="312"/>
        </w:tabs>
        <w:ind w:left="0" w:firstLine="0"/>
        <w:textAlignment w:val="baseline"/>
      </w:pPr>
    </w:lvl>
    <w:lvl w:ilvl="3" w:tentative="0">
      <w:start w:val="1"/>
      <w:numFmt w:val="decimal"/>
      <w:lvlText w:val="%1.%2.%3.%4"/>
      <w:lvlJc w:val="left"/>
      <w:pPr>
        <w:tabs>
          <w:tab w:val="left" w:pos="312"/>
        </w:tabs>
        <w:ind w:left="0" w:firstLine="0"/>
        <w:textAlignment w:val="baseline"/>
      </w:pPr>
    </w:lvl>
    <w:lvl w:ilvl="4" w:tentative="0">
      <w:start w:val="1"/>
      <w:numFmt w:val="decimal"/>
      <w:lvlText w:val="%1.%2.%3.%4.%5"/>
      <w:lvlJc w:val="left"/>
      <w:pPr>
        <w:tabs>
          <w:tab w:val="left" w:pos="312"/>
        </w:tabs>
        <w:ind w:left="0" w:firstLine="0"/>
        <w:textAlignment w:val="baseline"/>
      </w:pPr>
    </w:lvl>
    <w:lvl w:ilvl="5" w:tentative="0">
      <w:start w:val="1"/>
      <w:numFmt w:val="decimal"/>
      <w:lvlText w:val="%1.%2.%3.%4.%5.%6"/>
      <w:lvlJc w:val="left"/>
      <w:pPr>
        <w:tabs>
          <w:tab w:val="left" w:pos="312"/>
        </w:tabs>
        <w:ind w:left="0" w:firstLine="0"/>
        <w:textAlignment w:val="baseline"/>
      </w:pPr>
    </w:lvl>
    <w:lvl w:ilvl="6" w:tentative="0">
      <w:start w:val="1"/>
      <w:numFmt w:val="decimal"/>
      <w:lvlText w:val="%1.%2.%3.%4.%5.%6.%7"/>
      <w:lvlJc w:val="left"/>
      <w:pPr>
        <w:tabs>
          <w:tab w:val="left" w:pos="312"/>
        </w:tabs>
        <w:ind w:left="0" w:firstLine="0"/>
        <w:textAlignment w:val="baseline"/>
      </w:pPr>
    </w:lvl>
    <w:lvl w:ilvl="7" w:tentative="0">
      <w:start w:val="1"/>
      <w:numFmt w:val="decimal"/>
      <w:lvlText w:val="%1.%2.%3.%4.%5.%6.%7.%8"/>
      <w:lvlJc w:val="left"/>
      <w:pPr>
        <w:tabs>
          <w:tab w:val="left" w:pos="312"/>
        </w:tabs>
        <w:ind w:left="0" w:firstLine="0"/>
        <w:textAlignment w:val="baseline"/>
      </w:pPr>
    </w:lvl>
    <w:lvl w:ilvl="8" w:tentative="0">
      <w:start w:val="1"/>
      <w:numFmt w:val="decimal"/>
      <w:lvlText w:val="%1.%2.%3.%4.%5.%6.%7.%8.%9"/>
      <w:lvlJc w:val="left"/>
      <w:pPr>
        <w:tabs>
          <w:tab w:val="left" w:pos="312"/>
        </w:tabs>
        <w:ind w:left="0" w:firstLine="0"/>
        <w:textAlignment w:val="baseline"/>
      </w:pPr>
    </w:lvl>
  </w:abstractNum>
  <w:abstractNum w:abstractNumId="2">
    <w:nsid w:val="E6DD8D23"/>
    <w:multiLevelType w:val="singleLevel"/>
    <w:tmpl w:val="E6DD8D23"/>
    <w:lvl w:ilvl="0" w:tentative="0">
      <w:start w:val="1"/>
      <w:numFmt w:val="chineseCounting"/>
      <w:suff w:val="nothing"/>
      <w:lvlText w:val="%1、"/>
      <w:lvlJc w:val="left"/>
      <w:pPr>
        <w:textAlignment w:val="baseline"/>
      </w:pPr>
    </w:lvl>
  </w:abstractNum>
  <w:abstractNum w:abstractNumId="3">
    <w:nsid w:val="EA58F7FF"/>
    <w:multiLevelType w:val="singleLevel"/>
    <w:tmpl w:val="EA58F7FF"/>
    <w:lvl w:ilvl="0" w:tentative="0">
      <w:start w:val="8"/>
      <w:numFmt w:val="decimal"/>
      <w:suff w:val="nothing"/>
      <w:lvlText w:val="%1、"/>
      <w:lvlJc w:val="left"/>
      <w:pPr>
        <w:ind w:left="30"/>
      </w:pPr>
    </w:lvl>
  </w:abstractNum>
  <w:abstractNum w:abstractNumId="4">
    <w:nsid w:val="00290D0B"/>
    <w:multiLevelType w:val="singleLevel"/>
    <w:tmpl w:val="00290D0B"/>
    <w:lvl w:ilvl="0" w:tentative="0">
      <w:start w:val="1"/>
      <w:numFmt w:val="decimal"/>
      <w:suff w:val="space"/>
      <w:lvlText w:val="%1."/>
      <w:lvlJc w:val="left"/>
      <w:rPr>
        <w:rFonts w:hint="default"/>
        <w:color w:val="000000" w:themeColor="text1"/>
        <w14:textFill>
          <w14:solidFill>
            <w14:schemeClr w14:val="tx1"/>
          </w14:solidFill>
        </w14:textFill>
      </w:rPr>
    </w:lvl>
  </w:abstractNum>
  <w:abstractNum w:abstractNumId="5">
    <w:nsid w:val="155E6A8F"/>
    <w:multiLevelType w:val="multilevel"/>
    <w:tmpl w:val="155E6A8F"/>
    <w:lvl w:ilvl="0" w:tentative="0">
      <w:start w:val="1"/>
      <w:numFmt w:val="decimal"/>
      <w:lvlText w:val="（%1）"/>
      <w:lvlJc w:val="left"/>
      <w:pPr>
        <w:tabs>
          <w:tab w:val="left" w:pos="1571"/>
        </w:tabs>
        <w:ind w:left="1571" w:hanging="720"/>
        <w:textAlignment w:val="baseline"/>
      </w:pPr>
      <w:rPr>
        <w:rFonts w:ascii="仿宋_GB2312" w:hAnsi="宋体" w:eastAsia="仿宋_GB2312"/>
      </w:rPr>
    </w:lvl>
    <w:lvl w:ilvl="1" w:tentative="0">
      <w:start w:val="1"/>
      <w:numFmt w:val="lowerLetter"/>
      <w:lvlText w:val="%1)"/>
      <w:lvlJc w:val="left"/>
      <w:pPr>
        <w:tabs>
          <w:tab w:val="left" w:pos="1739"/>
        </w:tabs>
        <w:ind w:left="1739" w:hanging="420"/>
        <w:textAlignment w:val="baseline"/>
      </w:pPr>
    </w:lvl>
    <w:lvl w:ilvl="2" w:tentative="0">
      <w:start w:val="1"/>
      <w:numFmt w:val="lowerRoman"/>
      <w:lvlText w:val="%1."/>
      <w:lvlJc w:val="right"/>
      <w:pPr>
        <w:tabs>
          <w:tab w:val="left" w:pos="2159"/>
        </w:tabs>
        <w:ind w:left="2159" w:hanging="420"/>
        <w:textAlignment w:val="baseline"/>
      </w:pPr>
    </w:lvl>
    <w:lvl w:ilvl="3" w:tentative="0">
      <w:start w:val="1"/>
      <w:numFmt w:val="decimal"/>
      <w:lvlText w:val="%1."/>
      <w:lvlJc w:val="left"/>
      <w:pPr>
        <w:tabs>
          <w:tab w:val="left" w:pos="2579"/>
        </w:tabs>
        <w:ind w:left="2579" w:hanging="420"/>
        <w:textAlignment w:val="baseline"/>
      </w:pPr>
    </w:lvl>
    <w:lvl w:ilvl="4" w:tentative="0">
      <w:start w:val="1"/>
      <w:numFmt w:val="lowerLetter"/>
      <w:lvlText w:val="%1)"/>
      <w:lvlJc w:val="left"/>
      <w:pPr>
        <w:tabs>
          <w:tab w:val="left" w:pos="2999"/>
        </w:tabs>
        <w:ind w:left="2999" w:hanging="420"/>
        <w:textAlignment w:val="baseline"/>
      </w:pPr>
    </w:lvl>
    <w:lvl w:ilvl="5" w:tentative="0">
      <w:start w:val="1"/>
      <w:numFmt w:val="lowerRoman"/>
      <w:lvlText w:val="%1."/>
      <w:lvlJc w:val="right"/>
      <w:pPr>
        <w:tabs>
          <w:tab w:val="left" w:pos="3419"/>
        </w:tabs>
        <w:ind w:left="3419" w:hanging="420"/>
        <w:textAlignment w:val="baseline"/>
      </w:pPr>
    </w:lvl>
    <w:lvl w:ilvl="6" w:tentative="0">
      <w:start w:val="1"/>
      <w:numFmt w:val="decimal"/>
      <w:lvlText w:val="%1."/>
      <w:lvlJc w:val="left"/>
      <w:pPr>
        <w:tabs>
          <w:tab w:val="left" w:pos="3839"/>
        </w:tabs>
        <w:ind w:left="3839" w:hanging="420"/>
        <w:textAlignment w:val="baseline"/>
      </w:pPr>
    </w:lvl>
    <w:lvl w:ilvl="7" w:tentative="0">
      <w:start w:val="1"/>
      <w:numFmt w:val="lowerLetter"/>
      <w:lvlText w:val="%1)"/>
      <w:lvlJc w:val="left"/>
      <w:pPr>
        <w:tabs>
          <w:tab w:val="left" w:pos="4259"/>
        </w:tabs>
        <w:ind w:left="4259" w:hanging="420"/>
        <w:textAlignment w:val="baseline"/>
      </w:pPr>
    </w:lvl>
    <w:lvl w:ilvl="8" w:tentative="0">
      <w:start w:val="1"/>
      <w:numFmt w:val="lowerRoman"/>
      <w:lvlText w:val="%1."/>
      <w:lvlJc w:val="right"/>
      <w:pPr>
        <w:tabs>
          <w:tab w:val="left" w:pos="4679"/>
        </w:tabs>
        <w:ind w:left="4679" w:hanging="420"/>
        <w:textAlignment w:val="baseline"/>
      </w:pPr>
    </w:lvl>
  </w:abstractNum>
  <w:abstractNum w:abstractNumId="6">
    <w:nsid w:val="25E9131D"/>
    <w:multiLevelType w:val="multilevel"/>
    <w:tmpl w:val="25E9131D"/>
    <w:lvl w:ilvl="0" w:tentative="0">
      <w:start w:val="1"/>
      <w:numFmt w:val="decimal"/>
      <w:lvlText w:val="%1"/>
      <w:lvlJc w:val="left"/>
      <w:pPr>
        <w:tabs>
          <w:tab w:val="left" w:pos="900"/>
        </w:tabs>
        <w:ind w:left="900" w:hanging="900"/>
        <w:textAlignment w:val="baseline"/>
      </w:pPr>
    </w:lvl>
    <w:lvl w:ilvl="1" w:tentative="0">
      <w:start w:val="1"/>
      <w:numFmt w:val="decimal"/>
      <w:lvlText w:val="%1.%2"/>
      <w:lvlJc w:val="left"/>
      <w:pPr>
        <w:tabs>
          <w:tab w:val="left" w:pos="900"/>
        </w:tabs>
        <w:ind w:left="900" w:hanging="900"/>
        <w:textAlignment w:val="baseline"/>
      </w:pPr>
    </w:lvl>
    <w:lvl w:ilvl="2" w:tentative="0">
      <w:start w:val="1"/>
      <w:numFmt w:val="decimal"/>
      <w:lvlText w:val="%1.%2.%3"/>
      <w:lvlJc w:val="left"/>
      <w:pPr>
        <w:tabs>
          <w:tab w:val="left" w:pos="900"/>
        </w:tabs>
        <w:ind w:left="900" w:hanging="900"/>
        <w:textAlignment w:val="baseline"/>
      </w:pPr>
    </w:lvl>
    <w:lvl w:ilvl="3" w:tentative="0">
      <w:start w:val="1"/>
      <w:numFmt w:val="decimal"/>
      <w:lvlText w:val="%1.%2.%3.%4"/>
      <w:lvlJc w:val="left"/>
      <w:pPr>
        <w:tabs>
          <w:tab w:val="left" w:pos="900"/>
        </w:tabs>
        <w:ind w:left="900" w:hanging="900"/>
        <w:textAlignment w:val="baseline"/>
      </w:pPr>
    </w:lvl>
    <w:lvl w:ilvl="4" w:tentative="0">
      <w:start w:val="1"/>
      <w:numFmt w:val="decimal"/>
      <w:lvlText w:val="%1.%2.%3.%4.%5"/>
      <w:lvlJc w:val="left"/>
      <w:pPr>
        <w:tabs>
          <w:tab w:val="left" w:pos="900"/>
        </w:tabs>
        <w:ind w:left="900" w:hanging="900"/>
        <w:textAlignment w:val="baseline"/>
      </w:pPr>
    </w:lvl>
    <w:lvl w:ilvl="5" w:tentative="0">
      <w:start w:val="1"/>
      <w:numFmt w:val="decimal"/>
      <w:lvlText w:val="%1.%2.%3.%4.%5.%6"/>
      <w:lvlJc w:val="left"/>
      <w:pPr>
        <w:tabs>
          <w:tab w:val="left" w:pos="900"/>
        </w:tabs>
        <w:ind w:left="900" w:hanging="900"/>
        <w:textAlignment w:val="baseline"/>
      </w:pPr>
    </w:lvl>
    <w:lvl w:ilvl="6" w:tentative="0">
      <w:start w:val="1"/>
      <w:numFmt w:val="decimal"/>
      <w:lvlText w:val="%1.%2.%3.%4.%5.%6.%7"/>
      <w:lvlJc w:val="left"/>
      <w:pPr>
        <w:tabs>
          <w:tab w:val="left" w:pos="900"/>
        </w:tabs>
        <w:ind w:left="900" w:hanging="900"/>
        <w:textAlignment w:val="baseline"/>
      </w:pPr>
    </w:lvl>
    <w:lvl w:ilvl="7" w:tentative="0">
      <w:start w:val="1"/>
      <w:numFmt w:val="decimal"/>
      <w:lvlText w:val="%1.%2.%3.%4.%5.%6.%7.%8"/>
      <w:lvlJc w:val="left"/>
      <w:pPr>
        <w:tabs>
          <w:tab w:val="left" w:pos="900"/>
        </w:tabs>
        <w:ind w:left="900" w:hanging="900"/>
        <w:textAlignment w:val="baseline"/>
      </w:pPr>
    </w:lvl>
    <w:lvl w:ilvl="8" w:tentative="0">
      <w:start w:val="1"/>
      <w:numFmt w:val="decimal"/>
      <w:lvlText w:val="%1.%2.%3.%4.%5.%6.%7.%8.%9"/>
      <w:lvlJc w:val="left"/>
      <w:pPr>
        <w:tabs>
          <w:tab w:val="left" w:pos="900"/>
        </w:tabs>
        <w:ind w:left="900" w:hanging="900"/>
        <w:textAlignment w:val="baseline"/>
      </w:pPr>
    </w:lvl>
  </w:abstractNum>
  <w:abstractNum w:abstractNumId="7">
    <w:nsid w:val="3CBF39A6"/>
    <w:multiLevelType w:val="singleLevel"/>
    <w:tmpl w:val="3CBF39A6"/>
    <w:lvl w:ilvl="0" w:tentative="0">
      <w:start w:val="1"/>
      <w:numFmt w:val="chineseCounting"/>
      <w:suff w:val="nothing"/>
      <w:lvlText w:val="%1、"/>
      <w:lvlJc w:val="left"/>
      <w:rPr>
        <w:rFonts w:hint="eastAsia"/>
      </w:rPr>
    </w:lvl>
  </w:abstractNum>
  <w:abstractNum w:abstractNumId="8">
    <w:nsid w:val="3EBB3C91"/>
    <w:multiLevelType w:val="multilevel"/>
    <w:tmpl w:val="3EBB3C91"/>
    <w:lvl w:ilvl="0" w:tentative="0">
      <w:start w:val="1"/>
      <w:numFmt w:val="chineseCountingThousand"/>
      <w:suff w:val="space"/>
      <w:lvlText w:val="%1. "/>
      <w:lvlJc w:val="left"/>
      <w:pPr>
        <w:ind w:left="907" w:hanging="907"/>
        <w:textAlignment w:val="baseline"/>
      </w:pPr>
    </w:lvl>
    <w:lvl w:ilvl="1" w:tentative="0">
      <w:start w:val="1"/>
      <w:numFmt w:val="decimal"/>
      <w:suff w:val="space"/>
      <w:lvlText w:val="%1.%2 "/>
      <w:lvlJc w:val="left"/>
      <w:pPr>
        <w:ind w:left="794" w:hanging="794"/>
        <w:textAlignment w:val="baseline"/>
      </w:pPr>
    </w:lvl>
    <w:lvl w:ilvl="2" w:tentative="0">
      <w:start w:val="0"/>
      <w:numFmt w:val="decimal"/>
      <w:lvlText w:val=""/>
      <w:lvlJc w:val="left"/>
      <w:pPr>
        <w:tabs>
          <w:tab w:val="left" w:pos="360"/>
        </w:tabs>
        <w:textAlignment w:val="baseline"/>
      </w:pPr>
    </w:lvl>
    <w:lvl w:ilvl="3" w:tentative="0">
      <w:start w:val="0"/>
      <w:numFmt w:val="decimal"/>
      <w:lvlText w:val=""/>
      <w:lvlJc w:val="left"/>
      <w:pPr>
        <w:tabs>
          <w:tab w:val="left" w:pos="360"/>
        </w:tabs>
        <w:textAlignment w:val="baseline"/>
      </w:pPr>
    </w:lvl>
    <w:lvl w:ilvl="4" w:tentative="0">
      <w:start w:val="0"/>
      <w:numFmt w:val="decimal"/>
      <w:pStyle w:val="111"/>
      <w:lvlText w:val=""/>
      <w:lvlJc w:val="left"/>
      <w:pPr>
        <w:textAlignment w:val="baseline"/>
      </w:pPr>
    </w:lvl>
    <w:lvl w:ilvl="5" w:tentative="0">
      <w:start w:val="0"/>
      <w:numFmt w:val="decimal"/>
      <w:lvlText w:val=""/>
      <w:lvlJc w:val="left"/>
      <w:pPr>
        <w:textAlignment w:val="baseline"/>
      </w:pPr>
    </w:lvl>
    <w:lvl w:ilvl="6" w:tentative="0">
      <w:start w:val="0"/>
      <w:numFmt w:val="decimal"/>
      <w:lvlText w:val=""/>
      <w:lvlJc w:val="left"/>
      <w:pPr>
        <w:textAlignment w:val="baseline"/>
      </w:pPr>
    </w:lvl>
    <w:lvl w:ilvl="7" w:tentative="0">
      <w:start w:val="0"/>
      <w:numFmt w:val="decimal"/>
      <w:lvlText w:val=""/>
      <w:lvlJc w:val="left"/>
      <w:pPr>
        <w:textAlignment w:val="baseline"/>
      </w:pPr>
    </w:lvl>
    <w:lvl w:ilvl="8" w:tentative="0">
      <w:start w:val="0"/>
      <w:numFmt w:val="decimal"/>
      <w:lvlText w:val=""/>
      <w:lvlJc w:val="left"/>
      <w:pPr>
        <w:textAlignment w:val="baseline"/>
      </w:pPr>
    </w:lvl>
  </w:abstractNum>
  <w:abstractNum w:abstractNumId="9">
    <w:nsid w:val="4F419CC3"/>
    <w:multiLevelType w:val="singleLevel"/>
    <w:tmpl w:val="4F419CC3"/>
    <w:lvl w:ilvl="0" w:tentative="0">
      <w:start w:val="1"/>
      <w:numFmt w:val="decimal"/>
      <w:suff w:val="nothing"/>
      <w:lvlText w:val="%1、"/>
      <w:lvlJc w:val="left"/>
      <w:pPr>
        <w:textAlignment w:val="baseline"/>
      </w:pPr>
    </w:lvl>
  </w:abstractNum>
  <w:abstractNum w:abstractNumId="10">
    <w:nsid w:val="59D953CC"/>
    <w:multiLevelType w:val="singleLevel"/>
    <w:tmpl w:val="59D953CC"/>
    <w:lvl w:ilvl="0" w:tentative="0">
      <w:start w:val="6"/>
      <w:numFmt w:val="chineseCounting"/>
      <w:suff w:val="nothing"/>
      <w:lvlText w:val="%1、"/>
      <w:lvlJc w:val="left"/>
      <w:pPr>
        <w:textAlignment w:val="baseline"/>
      </w:pPr>
      <w:rPr>
        <w:rFonts w:hint="eastAsia"/>
        <w:b/>
        <w:bCs/>
      </w:rPr>
    </w:lvl>
  </w:abstractNum>
  <w:abstractNum w:abstractNumId="11">
    <w:nsid w:val="656D6133"/>
    <w:multiLevelType w:val="multilevel"/>
    <w:tmpl w:val="656D6133"/>
    <w:lvl w:ilvl="0" w:tentative="0">
      <w:start w:val="2"/>
      <w:numFmt w:val="chineseCountingThousand"/>
      <w:suff w:val="nothing"/>
      <w:lvlText w:val="第%1部分"/>
      <w:lvlJc w:val="center"/>
      <w:pPr>
        <w:ind w:left="0" w:firstLine="288"/>
      </w:pPr>
      <w:rPr>
        <w:rFonts w:hint="eastAsia"/>
        <w:sz w:val="28"/>
        <w:szCs w:val="28"/>
        <w:lang w:val="en-US"/>
      </w:rPr>
    </w:lvl>
    <w:lvl w:ilvl="1" w:tentative="0">
      <w:start w:val="1"/>
      <w:numFmt w:val="chineseCountingThousand"/>
      <w:suff w:val="nothing"/>
      <w:lvlText w:val="%2、"/>
      <w:lvlJc w:val="left"/>
      <w:pPr>
        <w:ind w:left="360" w:firstLine="0"/>
      </w:pPr>
      <w:rPr>
        <w:rFonts w:hint="eastAsia"/>
        <w:lang w:val="en-US"/>
      </w:rPr>
    </w:lvl>
    <w:lvl w:ilvl="2" w:tentative="0">
      <w:start w:val="1"/>
      <w:numFmt w:val="chineseCountingThousand"/>
      <w:suff w:val="nothing"/>
      <w:lvlText w:val="(%3)"/>
      <w:lvlJc w:val="left"/>
      <w:pPr>
        <w:ind w:left="0" w:firstLine="0"/>
      </w:pPr>
      <w:rPr>
        <w:rFonts w:hint="eastAsia"/>
      </w:rPr>
    </w:lvl>
    <w:lvl w:ilvl="3" w:tentative="0">
      <w:start w:val="1"/>
      <w:numFmt w:val="decimal"/>
      <w:suff w:val="nothing"/>
      <w:lvlText w:val="%4、"/>
      <w:lvlJc w:val="left"/>
      <w:pPr>
        <w:ind w:left="0" w:firstLine="0"/>
      </w:pPr>
      <w:rPr>
        <w:rFonts w:hint="eastAsia"/>
      </w:rPr>
    </w:lvl>
    <w:lvl w:ilvl="4" w:tentative="0">
      <w:start w:val="1"/>
      <w:numFmt w:val="upperLetter"/>
      <w:suff w:val="nothing"/>
      <w:lvlText w:val="%5、"/>
      <w:lvlJc w:val="left"/>
      <w:pPr>
        <w:ind w:left="0" w:firstLine="0"/>
      </w:pPr>
      <w:rPr>
        <w:rFonts w:hint="eastAsia"/>
      </w:rPr>
    </w:lvl>
    <w:lvl w:ilvl="5" w:tentative="0">
      <w:start w:val="1"/>
      <w:numFmt w:val="none"/>
      <w:pStyle w:val="5"/>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12">
    <w:nsid w:val="66E4770E"/>
    <w:multiLevelType w:val="multilevel"/>
    <w:tmpl w:val="66E4770E"/>
    <w:lvl w:ilvl="0" w:tentative="0">
      <w:start w:val="1"/>
      <w:numFmt w:val="decimal"/>
      <w:lvlText w:val="第%1章"/>
      <w:lvlJc w:val="left"/>
      <w:pPr>
        <w:tabs>
          <w:tab w:val="left" w:pos="1680"/>
        </w:tabs>
        <w:ind w:left="1680" w:hanging="1140"/>
        <w:textAlignment w:val="baseline"/>
      </w:pPr>
    </w:lvl>
    <w:lvl w:ilvl="1" w:tentative="0">
      <w:start w:val="1"/>
      <w:numFmt w:val="lowerLetter"/>
      <w:lvlText w:val="%1)"/>
      <w:lvlJc w:val="left"/>
      <w:pPr>
        <w:tabs>
          <w:tab w:val="left" w:pos="1380"/>
        </w:tabs>
        <w:ind w:left="1380" w:hanging="420"/>
        <w:textAlignment w:val="baseline"/>
      </w:pPr>
    </w:lvl>
    <w:lvl w:ilvl="2" w:tentative="0">
      <w:start w:val="1"/>
      <w:numFmt w:val="lowerRoman"/>
      <w:lvlText w:val="%1."/>
      <w:lvlJc w:val="right"/>
      <w:pPr>
        <w:tabs>
          <w:tab w:val="left" w:pos="1800"/>
        </w:tabs>
        <w:ind w:left="1800" w:hanging="420"/>
        <w:textAlignment w:val="baseline"/>
      </w:pPr>
    </w:lvl>
    <w:lvl w:ilvl="3" w:tentative="0">
      <w:start w:val="1"/>
      <w:numFmt w:val="decimal"/>
      <w:lvlText w:val="%1."/>
      <w:lvlJc w:val="left"/>
      <w:pPr>
        <w:tabs>
          <w:tab w:val="left" w:pos="2220"/>
        </w:tabs>
        <w:ind w:left="2220" w:hanging="420"/>
        <w:textAlignment w:val="baseline"/>
      </w:pPr>
    </w:lvl>
    <w:lvl w:ilvl="4" w:tentative="0">
      <w:start w:val="1"/>
      <w:numFmt w:val="lowerLetter"/>
      <w:lvlText w:val="%1)"/>
      <w:lvlJc w:val="left"/>
      <w:pPr>
        <w:tabs>
          <w:tab w:val="left" w:pos="2640"/>
        </w:tabs>
        <w:ind w:left="2640" w:hanging="420"/>
        <w:textAlignment w:val="baseline"/>
      </w:pPr>
    </w:lvl>
    <w:lvl w:ilvl="5" w:tentative="0">
      <w:start w:val="1"/>
      <w:numFmt w:val="lowerRoman"/>
      <w:lvlText w:val="%1."/>
      <w:lvlJc w:val="right"/>
      <w:pPr>
        <w:tabs>
          <w:tab w:val="left" w:pos="3060"/>
        </w:tabs>
        <w:ind w:left="3060" w:hanging="420"/>
        <w:textAlignment w:val="baseline"/>
      </w:pPr>
    </w:lvl>
    <w:lvl w:ilvl="6" w:tentative="0">
      <w:start w:val="1"/>
      <w:numFmt w:val="decimal"/>
      <w:lvlText w:val="%1."/>
      <w:lvlJc w:val="left"/>
      <w:pPr>
        <w:tabs>
          <w:tab w:val="left" w:pos="3480"/>
        </w:tabs>
        <w:ind w:left="3480" w:hanging="420"/>
        <w:textAlignment w:val="baseline"/>
      </w:pPr>
    </w:lvl>
    <w:lvl w:ilvl="7" w:tentative="0">
      <w:start w:val="1"/>
      <w:numFmt w:val="lowerLetter"/>
      <w:lvlText w:val="%1)"/>
      <w:lvlJc w:val="left"/>
      <w:pPr>
        <w:tabs>
          <w:tab w:val="left" w:pos="3900"/>
        </w:tabs>
        <w:ind w:left="3900" w:hanging="420"/>
        <w:textAlignment w:val="baseline"/>
      </w:pPr>
    </w:lvl>
    <w:lvl w:ilvl="8" w:tentative="0">
      <w:start w:val="1"/>
      <w:numFmt w:val="lowerRoman"/>
      <w:lvlText w:val="%1."/>
      <w:lvlJc w:val="right"/>
      <w:pPr>
        <w:tabs>
          <w:tab w:val="left" w:pos="4320"/>
        </w:tabs>
        <w:ind w:left="4320" w:hanging="420"/>
        <w:textAlignment w:val="baseline"/>
      </w:pPr>
    </w:lvl>
  </w:abstractNum>
  <w:num w:numId="1">
    <w:abstractNumId w:val="11"/>
  </w:num>
  <w:num w:numId="2">
    <w:abstractNumId w:val="8"/>
  </w:num>
  <w:num w:numId="3">
    <w:abstractNumId w:val="6"/>
  </w:num>
  <w:num w:numId="4">
    <w:abstractNumId w:val="12"/>
  </w:num>
  <w:num w:numId="5">
    <w:abstractNumId w:val="1"/>
  </w:num>
  <w:num w:numId="6">
    <w:abstractNumId w:val="5"/>
  </w:num>
  <w:num w:numId="7">
    <w:abstractNumId w:val="4"/>
  </w:num>
  <w:num w:numId="8">
    <w:abstractNumId w:val="3"/>
  </w:num>
  <w:num w:numId="9">
    <w:abstractNumId w:val="2"/>
  </w:num>
  <w:num w:numId="10">
    <w:abstractNumId w:val="0"/>
  </w:num>
  <w:num w:numId="11">
    <w:abstractNumId w:val="10"/>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420"/>
  <w:displayHorizontalDrawingGridEvery w:val="0"/>
  <w:displayVerticalDrawingGridEvery w:val="2"/>
  <w:doNotUseMarginsForDrawingGridOrigin w:val="1"/>
  <w:drawingGridHorizontalOrigin w:val="1800"/>
  <w:drawingGridVerticalOrigin w:val="1440"/>
  <w:characterSpacingControl w:val="doNotCompress"/>
  <w:footnotePr>
    <w:footnote w:id="0"/>
    <w:footnote w:id="1"/>
  </w:footnotePr>
  <w:endnotePr>
    <w:endnote w:id="0"/>
    <w:endnote w:id="1"/>
  </w:endnotePr>
  <w:compat>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U4OGU3MjI1YzRlOTM3ODk2OTAwZmIwYmJkZDM5YWYifQ=="/>
    <w:docVar w:name="KSO_WPS_MARK_KEY" w:val="16f9c8dd-6cd6-4ba2-8705-52dfb6aabb50"/>
  </w:docVars>
  <w:rsids>
    <w:rsidRoot w:val="001E498D"/>
    <w:rsid w:val="000028C6"/>
    <w:rsid w:val="00003050"/>
    <w:rsid w:val="00003800"/>
    <w:rsid w:val="000101B1"/>
    <w:rsid w:val="00011983"/>
    <w:rsid w:val="000207F6"/>
    <w:rsid w:val="000361A3"/>
    <w:rsid w:val="00041D3B"/>
    <w:rsid w:val="00064996"/>
    <w:rsid w:val="000833F9"/>
    <w:rsid w:val="00086B05"/>
    <w:rsid w:val="00091A58"/>
    <w:rsid w:val="000B0762"/>
    <w:rsid w:val="000E2B00"/>
    <w:rsid w:val="000E2E36"/>
    <w:rsid w:val="000E3547"/>
    <w:rsid w:val="000E70F2"/>
    <w:rsid w:val="000E72A7"/>
    <w:rsid w:val="000E78D6"/>
    <w:rsid w:val="000E7B1F"/>
    <w:rsid w:val="000F10D4"/>
    <w:rsid w:val="001006E3"/>
    <w:rsid w:val="001007B2"/>
    <w:rsid w:val="001013F9"/>
    <w:rsid w:val="00115B87"/>
    <w:rsid w:val="00123D35"/>
    <w:rsid w:val="0012526B"/>
    <w:rsid w:val="00147BF3"/>
    <w:rsid w:val="00156473"/>
    <w:rsid w:val="00156697"/>
    <w:rsid w:val="0015768E"/>
    <w:rsid w:val="00165F19"/>
    <w:rsid w:val="00170DDD"/>
    <w:rsid w:val="001855C9"/>
    <w:rsid w:val="001927D8"/>
    <w:rsid w:val="00192A5D"/>
    <w:rsid w:val="0019366D"/>
    <w:rsid w:val="00193AB9"/>
    <w:rsid w:val="001A55C0"/>
    <w:rsid w:val="001B0877"/>
    <w:rsid w:val="001D1344"/>
    <w:rsid w:val="001D542C"/>
    <w:rsid w:val="001E3FC5"/>
    <w:rsid w:val="001E498D"/>
    <w:rsid w:val="00201D14"/>
    <w:rsid w:val="00214616"/>
    <w:rsid w:val="00220856"/>
    <w:rsid w:val="00222B10"/>
    <w:rsid w:val="00223BB9"/>
    <w:rsid w:val="0022457F"/>
    <w:rsid w:val="002255FF"/>
    <w:rsid w:val="002341EB"/>
    <w:rsid w:val="00237A6E"/>
    <w:rsid w:val="00252A98"/>
    <w:rsid w:val="002620BC"/>
    <w:rsid w:val="002770C0"/>
    <w:rsid w:val="0028031D"/>
    <w:rsid w:val="0029513B"/>
    <w:rsid w:val="00295656"/>
    <w:rsid w:val="00296320"/>
    <w:rsid w:val="002A053A"/>
    <w:rsid w:val="002A0C86"/>
    <w:rsid w:val="002A3E85"/>
    <w:rsid w:val="002A6DFB"/>
    <w:rsid w:val="002C4449"/>
    <w:rsid w:val="002C4D3E"/>
    <w:rsid w:val="002C792B"/>
    <w:rsid w:val="002C7CE6"/>
    <w:rsid w:val="002D3C73"/>
    <w:rsid w:val="002F1503"/>
    <w:rsid w:val="002F1514"/>
    <w:rsid w:val="002F451B"/>
    <w:rsid w:val="002F4EE9"/>
    <w:rsid w:val="00300399"/>
    <w:rsid w:val="0030349C"/>
    <w:rsid w:val="0031064B"/>
    <w:rsid w:val="00310902"/>
    <w:rsid w:val="00326621"/>
    <w:rsid w:val="00327B00"/>
    <w:rsid w:val="003312E8"/>
    <w:rsid w:val="00337E30"/>
    <w:rsid w:val="00345B78"/>
    <w:rsid w:val="00353F33"/>
    <w:rsid w:val="00354937"/>
    <w:rsid w:val="003613A2"/>
    <w:rsid w:val="00386059"/>
    <w:rsid w:val="003B1DF2"/>
    <w:rsid w:val="003B29BD"/>
    <w:rsid w:val="003C4685"/>
    <w:rsid w:val="003C737C"/>
    <w:rsid w:val="003C7A54"/>
    <w:rsid w:val="003E39EA"/>
    <w:rsid w:val="003E4448"/>
    <w:rsid w:val="00403284"/>
    <w:rsid w:val="00407B8A"/>
    <w:rsid w:val="00414B22"/>
    <w:rsid w:val="004203F5"/>
    <w:rsid w:val="0042543D"/>
    <w:rsid w:val="004263D2"/>
    <w:rsid w:val="00431283"/>
    <w:rsid w:val="0043129A"/>
    <w:rsid w:val="00432CEC"/>
    <w:rsid w:val="004550B5"/>
    <w:rsid w:val="00461773"/>
    <w:rsid w:val="004631CC"/>
    <w:rsid w:val="00472133"/>
    <w:rsid w:val="004774B8"/>
    <w:rsid w:val="00490A06"/>
    <w:rsid w:val="00494AA9"/>
    <w:rsid w:val="00495C9C"/>
    <w:rsid w:val="004A0A60"/>
    <w:rsid w:val="004A4A3C"/>
    <w:rsid w:val="004A60D8"/>
    <w:rsid w:val="004B04AC"/>
    <w:rsid w:val="004B48CF"/>
    <w:rsid w:val="004B514A"/>
    <w:rsid w:val="004C2CE2"/>
    <w:rsid w:val="004C2E79"/>
    <w:rsid w:val="004D05E0"/>
    <w:rsid w:val="004D1CAE"/>
    <w:rsid w:val="004D5645"/>
    <w:rsid w:val="004D7982"/>
    <w:rsid w:val="004F10BC"/>
    <w:rsid w:val="004F45F5"/>
    <w:rsid w:val="00501EE6"/>
    <w:rsid w:val="005026DF"/>
    <w:rsid w:val="00511E61"/>
    <w:rsid w:val="005136E9"/>
    <w:rsid w:val="0051539E"/>
    <w:rsid w:val="00517810"/>
    <w:rsid w:val="0052624C"/>
    <w:rsid w:val="00547234"/>
    <w:rsid w:val="00547B7E"/>
    <w:rsid w:val="00547C1D"/>
    <w:rsid w:val="005618AE"/>
    <w:rsid w:val="00570E52"/>
    <w:rsid w:val="00572CFA"/>
    <w:rsid w:val="00583B73"/>
    <w:rsid w:val="00587FCF"/>
    <w:rsid w:val="005944FF"/>
    <w:rsid w:val="005A2D05"/>
    <w:rsid w:val="005A7DA4"/>
    <w:rsid w:val="005B62F9"/>
    <w:rsid w:val="005C58D0"/>
    <w:rsid w:val="005D35C2"/>
    <w:rsid w:val="005D5A2E"/>
    <w:rsid w:val="005E5226"/>
    <w:rsid w:val="005F3C15"/>
    <w:rsid w:val="005F481F"/>
    <w:rsid w:val="00601F67"/>
    <w:rsid w:val="00633E59"/>
    <w:rsid w:val="00646D2B"/>
    <w:rsid w:val="00653EFA"/>
    <w:rsid w:val="006542A2"/>
    <w:rsid w:val="00656459"/>
    <w:rsid w:val="0065723D"/>
    <w:rsid w:val="00660722"/>
    <w:rsid w:val="00663349"/>
    <w:rsid w:val="00672A57"/>
    <w:rsid w:val="006744E5"/>
    <w:rsid w:val="00681D6F"/>
    <w:rsid w:val="006A4F34"/>
    <w:rsid w:val="006A58DA"/>
    <w:rsid w:val="006A5A9A"/>
    <w:rsid w:val="006C0A23"/>
    <w:rsid w:val="006C5B02"/>
    <w:rsid w:val="006D2A7C"/>
    <w:rsid w:val="006E3D60"/>
    <w:rsid w:val="006F0032"/>
    <w:rsid w:val="006F2363"/>
    <w:rsid w:val="00702D6B"/>
    <w:rsid w:val="00707AF2"/>
    <w:rsid w:val="00711C5A"/>
    <w:rsid w:val="00733E26"/>
    <w:rsid w:val="00736401"/>
    <w:rsid w:val="0074285C"/>
    <w:rsid w:val="007464AD"/>
    <w:rsid w:val="007513C4"/>
    <w:rsid w:val="007517EF"/>
    <w:rsid w:val="00752106"/>
    <w:rsid w:val="00757B9E"/>
    <w:rsid w:val="0076785D"/>
    <w:rsid w:val="00781894"/>
    <w:rsid w:val="007836BE"/>
    <w:rsid w:val="00797745"/>
    <w:rsid w:val="007A1AFB"/>
    <w:rsid w:val="007B0DEE"/>
    <w:rsid w:val="007B7CC6"/>
    <w:rsid w:val="007F5056"/>
    <w:rsid w:val="007F52E7"/>
    <w:rsid w:val="00803BCC"/>
    <w:rsid w:val="00804E4A"/>
    <w:rsid w:val="00807842"/>
    <w:rsid w:val="00807E8C"/>
    <w:rsid w:val="00807EC2"/>
    <w:rsid w:val="008136FD"/>
    <w:rsid w:val="008175F0"/>
    <w:rsid w:val="00827421"/>
    <w:rsid w:val="00832699"/>
    <w:rsid w:val="00837AF8"/>
    <w:rsid w:val="00842495"/>
    <w:rsid w:val="008426CF"/>
    <w:rsid w:val="00842ADE"/>
    <w:rsid w:val="0084767D"/>
    <w:rsid w:val="00847DE1"/>
    <w:rsid w:val="00851F58"/>
    <w:rsid w:val="00852226"/>
    <w:rsid w:val="00862C7E"/>
    <w:rsid w:val="00882531"/>
    <w:rsid w:val="00883B8D"/>
    <w:rsid w:val="00885B23"/>
    <w:rsid w:val="008A685A"/>
    <w:rsid w:val="008B522A"/>
    <w:rsid w:val="008B5AC5"/>
    <w:rsid w:val="008C357E"/>
    <w:rsid w:val="008C5246"/>
    <w:rsid w:val="008C5A67"/>
    <w:rsid w:val="008C7CE9"/>
    <w:rsid w:val="008D006C"/>
    <w:rsid w:val="008D48FB"/>
    <w:rsid w:val="008D7721"/>
    <w:rsid w:val="008E2C65"/>
    <w:rsid w:val="008E5885"/>
    <w:rsid w:val="008E6503"/>
    <w:rsid w:val="008F07A6"/>
    <w:rsid w:val="0090128F"/>
    <w:rsid w:val="00915B76"/>
    <w:rsid w:val="009212D4"/>
    <w:rsid w:val="00924055"/>
    <w:rsid w:val="009535D7"/>
    <w:rsid w:val="00965BF4"/>
    <w:rsid w:val="009739F4"/>
    <w:rsid w:val="009844D5"/>
    <w:rsid w:val="009857F3"/>
    <w:rsid w:val="00997495"/>
    <w:rsid w:val="009A2C26"/>
    <w:rsid w:val="009B187A"/>
    <w:rsid w:val="009B40F3"/>
    <w:rsid w:val="009C69AB"/>
    <w:rsid w:val="009D5876"/>
    <w:rsid w:val="009E3A59"/>
    <w:rsid w:val="009F792E"/>
    <w:rsid w:val="00A00C83"/>
    <w:rsid w:val="00A0109B"/>
    <w:rsid w:val="00A126C7"/>
    <w:rsid w:val="00A176FA"/>
    <w:rsid w:val="00A25FFC"/>
    <w:rsid w:val="00A3216D"/>
    <w:rsid w:val="00A34F33"/>
    <w:rsid w:val="00A36813"/>
    <w:rsid w:val="00A41D22"/>
    <w:rsid w:val="00A47C6B"/>
    <w:rsid w:val="00A53B71"/>
    <w:rsid w:val="00A57C2A"/>
    <w:rsid w:val="00A6119D"/>
    <w:rsid w:val="00A643FA"/>
    <w:rsid w:val="00A67C18"/>
    <w:rsid w:val="00A71A84"/>
    <w:rsid w:val="00A71AD1"/>
    <w:rsid w:val="00A74DAA"/>
    <w:rsid w:val="00A74E21"/>
    <w:rsid w:val="00A91D00"/>
    <w:rsid w:val="00A93481"/>
    <w:rsid w:val="00AB20EC"/>
    <w:rsid w:val="00AB5FE9"/>
    <w:rsid w:val="00AB7A64"/>
    <w:rsid w:val="00AC509F"/>
    <w:rsid w:val="00AC65CD"/>
    <w:rsid w:val="00AE3FB7"/>
    <w:rsid w:val="00AE73A3"/>
    <w:rsid w:val="00AF3B47"/>
    <w:rsid w:val="00AF4554"/>
    <w:rsid w:val="00B11048"/>
    <w:rsid w:val="00B34535"/>
    <w:rsid w:val="00B406C6"/>
    <w:rsid w:val="00B43666"/>
    <w:rsid w:val="00B54585"/>
    <w:rsid w:val="00B74666"/>
    <w:rsid w:val="00B76409"/>
    <w:rsid w:val="00B81459"/>
    <w:rsid w:val="00B864A0"/>
    <w:rsid w:val="00B876F4"/>
    <w:rsid w:val="00B93F2F"/>
    <w:rsid w:val="00B95E90"/>
    <w:rsid w:val="00BA5B3D"/>
    <w:rsid w:val="00BB6F6F"/>
    <w:rsid w:val="00BC1648"/>
    <w:rsid w:val="00BC6F82"/>
    <w:rsid w:val="00BE1545"/>
    <w:rsid w:val="00BE3E68"/>
    <w:rsid w:val="00BF004A"/>
    <w:rsid w:val="00BF0E19"/>
    <w:rsid w:val="00BF498D"/>
    <w:rsid w:val="00BF4A2E"/>
    <w:rsid w:val="00C071C1"/>
    <w:rsid w:val="00C11935"/>
    <w:rsid w:val="00C121BF"/>
    <w:rsid w:val="00C139B3"/>
    <w:rsid w:val="00C14698"/>
    <w:rsid w:val="00C14FA3"/>
    <w:rsid w:val="00C154F2"/>
    <w:rsid w:val="00C30DBF"/>
    <w:rsid w:val="00C35D2F"/>
    <w:rsid w:val="00C36A10"/>
    <w:rsid w:val="00C375DA"/>
    <w:rsid w:val="00C466FA"/>
    <w:rsid w:val="00C51AA7"/>
    <w:rsid w:val="00C6090D"/>
    <w:rsid w:val="00C64F02"/>
    <w:rsid w:val="00C66883"/>
    <w:rsid w:val="00C70E1C"/>
    <w:rsid w:val="00C7323A"/>
    <w:rsid w:val="00C76624"/>
    <w:rsid w:val="00C823C4"/>
    <w:rsid w:val="00C9493A"/>
    <w:rsid w:val="00CA681D"/>
    <w:rsid w:val="00CB4ED1"/>
    <w:rsid w:val="00CB72BD"/>
    <w:rsid w:val="00CD586A"/>
    <w:rsid w:val="00CE4C6C"/>
    <w:rsid w:val="00CE7C6C"/>
    <w:rsid w:val="00D24070"/>
    <w:rsid w:val="00D31EDE"/>
    <w:rsid w:val="00D34B7D"/>
    <w:rsid w:val="00D40272"/>
    <w:rsid w:val="00D42B17"/>
    <w:rsid w:val="00D42EC8"/>
    <w:rsid w:val="00D5064D"/>
    <w:rsid w:val="00D51A47"/>
    <w:rsid w:val="00D702CC"/>
    <w:rsid w:val="00D70859"/>
    <w:rsid w:val="00D768B2"/>
    <w:rsid w:val="00D81444"/>
    <w:rsid w:val="00D85668"/>
    <w:rsid w:val="00D9638A"/>
    <w:rsid w:val="00DA3EA5"/>
    <w:rsid w:val="00DA5635"/>
    <w:rsid w:val="00DD626E"/>
    <w:rsid w:val="00DD64A9"/>
    <w:rsid w:val="00DE0E00"/>
    <w:rsid w:val="00DE180A"/>
    <w:rsid w:val="00DE4930"/>
    <w:rsid w:val="00DE58E3"/>
    <w:rsid w:val="00E05CA6"/>
    <w:rsid w:val="00E135AF"/>
    <w:rsid w:val="00E224F5"/>
    <w:rsid w:val="00E33A74"/>
    <w:rsid w:val="00E51380"/>
    <w:rsid w:val="00E52AB3"/>
    <w:rsid w:val="00E55449"/>
    <w:rsid w:val="00E578D6"/>
    <w:rsid w:val="00E6161A"/>
    <w:rsid w:val="00E62FF0"/>
    <w:rsid w:val="00E645F8"/>
    <w:rsid w:val="00E7108F"/>
    <w:rsid w:val="00E82B57"/>
    <w:rsid w:val="00E955FA"/>
    <w:rsid w:val="00EA7850"/>
    <w:rsid w:val="00EB1B9F"/>
    <w:rsid w:val="00EB3BDB"/>
    <w:rsid w:val="00ED4093"/>
    <w:rsid w:val="00ED7597"/>
    <w:rsid w:val="00EE0862"/>
    <w:rsid w:val="00EF5E61"/>
    <w:rsid w:val="00F20006"/>
    <w:rsid w:val="00F32C4C"/>
    <w:rsid w:val="00F66F31"/>
    <w:rsid w:val="00F70087"/>
    <w:rsid w:val="00F9057D"/>
    <w:rsid w:val="00FA00A3"/>
    <w:rsid w:val="00FC02BF"/>
    <w:rsid w:val="00FE456E"/>
    <w:rsid w:val="00FE6858"/>
    <w:rsid w:val="00FE6D9F"/>
    <w:rsid w:val="00FF047E"/>
    <w:rsid w:val="00FF31AD"/>
    <w:rsid w:val="00FF3B48"/>
    <w:rsid w:val="0100390C"/>
    <w:rsid w:val="01064C9A"/>
    <w:rsid w:val="01087875"/>
    <w:rsid w:val="010C5239"/>
    <w:rsid w:val="010F3B4F"/>
    <w:rsid w:val="01177D87"/>
    <w:rsid w:val="011A60E3"/>
    <w:rsid w:val="011D2710"/>
    <w:rsid w:val="01211959"/>
    <w:rsid w:val="01255120"/>
    <w:rsid w:val="012B158A"/>
    <w:rsid w:val="012D66CB"/>
    <w:rsid w:val="013C06BC"/>
    <w:rsid w:val="013E2C5D"/>
    <w:rsid w:val="01460EC2"/>
    <w:rsid w:val="014A2DD9"/>
    <w:rsid w:val="014D6750"/>
    <w:rsid w:val="015E6884"/>
    <w:rsid w:val="01651606"/>
    <w:rsid w:val="01657C13"/>
    <w:rsid w:val="017442FA"/>
    <w:rsid w:val="01792FCF"/>
    <w:rsid w:val="017A5E13"/>
    <w:rsid w:val="017B2F92"/>
    <w:rsid w:val="017D4F5C"/>
    <w:rsid w:val="01805CA0"/>
    <w:rsid w:val="01807A9B"/>
    <w:rsid w:val="01822903"/>
    <w:rsid w:val="018502B5"/>
    <w:rsid w:val="01881A58"/>
    <w:rsid w:val="019948FF"/>
    <w:rsid w:val="01A21C7F"/>
    <w:rsid w:val="01A331FC"/>
    <w:rsid w:val="01A4698D"/>
    <w:rsid w:val="01A6400B"/>
    <w:rsid w:val="01A6481F"/>
    <w:rsid w:val="01A7301F"/>
    <w:rsid w:val="01A93FA3"/>
    <w:rsid w:val="01AB5FCD"/>
    <w:rsid w:val="01AC6336"/>
    <w:rsid w:val="01B05D8D"/>
    <w:rsid w:val="01B253E7"/>
    <w:rsid w:val="01C20BC1"/>
    <w:rsid w:val="01C901A1"/>
    <w:rsid w:val="01CC2855"/>
    <w:rsid w:val="01D152A8"/>
    <w:rsid w:val="01D803E5"/>
    <w:rsid w:val="01E46D89"/>
    <w:rsid w:val="01E66D08"/>
    <w:rsid w:val="01E744CD"/>
    <w:rsid w:val="01EE5E5A"/>
    <w:rsid w:val="01F8432C"/>
    <w:rsid w:val="01F871B8"/>
    <w:rsid w:val="01FB2325"/>
    <w:rsid w:val="01FB40D3"/>
    <w:rsid w:val="02036538"/>
    <w:rsid w:val="02056D00"/>
    <w:rsid w:val="02070CCA"/>
    <w:rsid w:val="020C62E0"/>
    <w:rsid w:val="020D2655"/>
    <w:rsid w:val="020F4B3E"/>
    <w:rsid w:val="02176F73"/>
    <w:rsid w:val="02195B1F"/>
    <w:rsid w:val="022952B7"/>
    <w:rsid w:val="02296E92"/>
    <w:rsid w:val="02301FCF"/>
    <w:rsid w:val="02330020"/>
    <w:rsid w:val="023E1565"/>
    <w:rsid w:val="02453081"/>
    <w:rsid w:val="025008C3"/>
    <w:rsid w:val="025759BB"/>
    <w:rsid w:val="02586F40"/>
    <w:rsid w:val="025A07C2"/>
    <w:rsid w:val="025D08EA"/>
    <w:rsid w:val="026223A4"/>
    <w:rsid w:val="026633D8"/>
    <w:rsid w:val="0268552C"/>
    <w:rsid w:val="026C6D7F"/>
    <w:rsid w:val="026E4B27"/>
    <w:rsid w:val="02783976"/>
    <w:rsid w:val="02796C38"/>
    <w:rsid w:val="027A4F0D"/>
    <w:rsid w:val="027B0F56"/>
    <w:rsid w:val="027B7ED4"/>
    <w:rsid w:val="028265A2"/>
    <w:rsid w:val="02873BB9"/>
    <w:rsid w:val="0288217D"/>
    <w:rsid w:val="028D7421"/>
    <w:rsid w:val="029307AF"/>
    <w:rsid w:val="02936A01"/>
    <w:rsid w:val="0295695D"/>
    <w:rsid w:val="02961BA2"/>
    <w:rsid w:val="02987B74"/>
    <w:rsid w:val="029F0F02"/>
    <w:rsid w:val="02A12ECC"/>
    <w:rsid w:val="02A17900"/>
    <w:rsid w:val="02AD1871"/>
    <w:rsid w:val="02AD361F"/>
    <w:rsid w:val="02AD5588"/>
    <w:rsid w:val="02B21BAD"/>
    <w:rsid w:val="02B370AC"/>
    <w:rsid w:val="02B80216"/>
    <w:rsid w:val="02B94EAE"/>
    <w:rsid w:val="02B96468"/>
    <w:rsid w:val="02BA5D3C"/>
    <w:rsid w:val="02BF30B9"/>
    <w:rsid w:val="02C10E79"/>
    <w:rsid w:val="02C170CB"/>
    <w:rsid w:val="02C646E1"/>
    <w:rsid w:val="02D2752A"/>
    <w:rsid w:val="02D33AFF"/>
    <w:rsid w:val="02D60EFA"/>
    <w:rsid w:val="02D8427D"/>
    <w:rsid w:val="02D92666"/>
    <w:rsid w:val="02DA23DE"/>
    <w:rsid w:val="02EC2C40"/>
    <w:rsid w:val="02ED6112"/>
    <w:rsid w:val="02F06D63"/>
    <w:rsid w:val="02F254D6"/>
    <w:rsid w:val="03083E07"/>
    <w:rsid w:val="03125217"/>
    <w:rsid w:val="031958EC"/>
    <w:rsid w:val="031B72EB"/>
    <w:rsid w:val="032B2294"/>
    <w:rsid w:val="032E069F"/>
    <w:rsid w:val="03336550"/>
    <w:rsid w:val="03355527"/>
    <w:rsid w:val="03367AB9"/>
    <w:rsid w:val="033E4DBB"/>
    <w:rsid w:val="034B2E38"/>
    <w:rsid w:val="034E5E1A"/>
    <w:rsid w:val="035D3297"/>
    <w:rsid w:val="03624FA9"/>
    <w:rsid w:val="036912A9"/>
    <w:rsid w:val="036A373E"/>
    <w:rsid w:val="0370464D"/>
    <w:rsid w:val="03716D43"/>
    <w:rsid w:val="0374413D"/>
    <w:rsid w:val="0381011E"/>
    <w:rsid w:val="03815FB8"/>
    <w:rsid w:val="03836A76"/>
    <w:rsid w:val="03881DC5"/>
    <w:rsid w:val="038A55B4"/>
    <w:rsid w:val="038C76D9"/>
    <w:rsid w:val="038F232D"/>
    <w:rsid w:val="03990047"/>
    <w:rsid w:val="03A26A11"/>
    <w:rsid w:val="03A27EF1"/>
    <w:rsid w:val="03B15112"/>
    <w:rsid w:val="03BB1D6C"/>
    <w:rsid w:val="03C15B18"/>
    <w:rsid w:val="03CC35C3"/>
    <w:rsid w:val="03D270B5"/>
    <w:rsid w:val="03D472D2"/>
    <w:rsid w:val="03D8225B"/>
    <w:rsid w:val="03E5328D"/>
    <w:rsid w:val="03EC1B08"/>
    <w:rsid w:val="03EE2141"/>
    <w:rsid w:val="03EF4E7E"/>
    <w:rsid w:val="03F60FF6"/>
    <w:rsid w:val="03F92894"/>
    <w:rsid w:val="03FB660C"/>
    <w:rsid w:val="03FF5057"/>
    <w:rsid w:val="04051239"/>
    <w:rsid w:val="040A0B1F"/>
    <w:rsid w:val="040C6A6B"/>
    <w:rsid w:val="041162AA"/>
    <w:rsid w:val="04190959"/>
    <w:rsid w:val="042A6EF2"/>
    <w:rsid w:val="04310280"/>
    <w:rsid w:val="04357D70"/>
    <w:rsid w:val="043D3CA4"/>
    <w:rsid w:val="043E1912"/>
    <w:rsid w:val="04406715"/>
    <w:rsid w:val="04440342"/>
    <w:rsid w:val="04490646"/>
    <w:rsid w:val="044A30F0"/>
    <w:rsid w:val="044B1A22"/>
    <w:rsid w:val="04542266"/>
    <w:rsid w:val="04545D1C"/>
    <w:rsid w:val="04671EF4"/>
    <w:rsid w:val="046C11B5"/>
    <w:rsid w:val="04727855"/>
    <w:rsid w:val="04763EE5"/>
    <w:rsid w:val="04812FB5"/>
    <w:rsid w:val="04816F04"/>
    <w:rsid w:val="04842AA6"/>
    <w:rsid w:val="04854128"/>
    <w:rsid w:val="04861974"/>
    <w:rsid w:val="04874344"/>
    <w:rsid w:val="049525BD"/>
    <w:rsid w:val="04964483"/>
    <w:rsid w:val="049820AD"/>
    <w:rsid w:val="049C7DEF"/>
    <w:rsid w:val="049E1D8E"/>
    <w:rsid w:val="04AF5A6D"/>
    <w:rsid w:val="04B13C43"/>
    <w:rsid w:val="04BF763A"/>
    <w:rsid w:val="04C02524"/>
    <w:rsid w:val="04CD1524"/>
    <w:rsid w:val="04DC01EC"/>
    <w:rsid w:val="04EB209A"/>
    <w:rsid w:val="04EE6171"/>
    <w:rsid w:val="04F12CB8"/>
    <w:rsid w:val="04F72407"/>
    <w:rsid w:val="04F862D0"/>
    <w:rsid w:val="04FF229E"/>
    <w:rsid w:val="05025778"/>
    <w:rsid w:val="050339CA"/>
    <w:rsid w:val="05041B11"/>
    <w:rsid w:val="05045994"/>
    <w:rsid w:val="050C767F"/>
    <w:rsid w:val="051536FE"/>
    <w:rsid w:val="051931EE"/>
    <w:rsid w:val="052173C2"/>
    <w:rsid w:val="05290F57"/>
    <w:rsid w:val="05354804"/>
    <w:rsid w:val="053A3164"/>
    <w:rsid w:val="05410997"/>
    <w:rsid w:val="055406CA"/>
    <w:rsid w:val="05571F68"/>
    <w:rsid w:val="05573D16"/>
    <w:rsid w:val="05575AC4"/>
    <w:rsid w:val="055F3237"/>
    <w:rsid w:val="05654685"/>
    <w:rsid w:val="05674D05"/>
    <w:rsid w:val="056A2153"/>
    <w:rsid w:val="056D52E8"/>
    <w:rsid w:val="056E3CB0"/>
    <w:rsid w:val="0571302A"/>
    <w:rsid w:val="05764EB3"/>
    <w:rsid w:val="057E74F5"/>
    <w:rsid w:val="05812B41"/>
    <w:rsid w:val="058439C4"/>
    <w:rsid w:val="05906657"/>
    <w:rsid w:val="05942874"/>
    <w:rsid w:val="059D3E1F"/>
    <w:rsid w:val="059E4E29"/>
    <w:rsid w:val="05A42BFD"/>
    <w:rsid w:val="05A87CD5"/>
    <w:rsid w:val="05AF5900"/>
    <w:rsid w:val="05B13426"/>
    <w:rsid w:val="05BC0F26"/>
    <w:rsid w:val="05BC1DCB"/>
    <w:rsid w:val="05BC6E05"/>
    <w:rsid w:val="05C27837"/>
    <w:rsid w:val="05C72C4A"/>
    <w:rsid w:val="05C96B03"/>
    <w:rsid w:val="05CE2156"/>
    <w:rsid w:val="05D11D1B"/>
    <w:rsid w:val="05D84E57"/>
    <w:rsid w:val="05E11832"/>
    <w:rsid w:val="05E2187E"/>
    <w:rsid w:val="05E7509A"/>
    <w:rsid w:val="05EA2DDC"/>
    <w:rsid w:val="05ED71BF"/>
    <w:rsid w:val="05F41975"/>
    <w:rsid w:val="05F82D81"/>
    <w:rsid w:val="05F92040"/>
    <w:rsid w:val="05FA332B"/>
    <w:rsid w:val="05FF1421"/>
    <w:rsid w:val="06021ED4"/>
    <w:rsid w:val="060317A8"/>
    <w:rsid w:val="060A0D89"/>
    <w:rsid w:val="060D2CD4"/>
    <w:rsid w:val="06106F28"/>
    <w:rsid w:val="06132258"/>
    <w:rsid w:val="06135E8F"/>
    <w:rsid w:val="06146E15"/>
    <w:rsid w:val="0619721E"/>
    <w:rsid w:val="061D5149"/>
    <w:rsid w:val="061E4834"/>
    <w:rsid w:val="062260D2"/>
    <w:rsid w:val="062F07EF"/>
    <w:rsid w:val="06355ADA"/>
    <w:rsid w:val="063E0A32"/>
    <w:rsid w:val="06450DBC"/>
    <w:rsid w:val="064C408F"/>
    <w:rsid w:val="064D79A3"/>
    <w:rsid w:val="064E5119"/>
    <w:rsid w:val="064F2C3F"/>
    <w:rsid w:val="065B0A0F"/>
    <w:rsid w:val="065B5A88"/>
    <w:rsid w:val="06606BFB"/>
    <w:rsid w:val="06615B6D"/>
    <w:rsid w:val="06622973"/>
    <w:rsid w:val="0663705B"/>
    <w:rsid w:val="06677F89"/>
    <w:rsid w:val="066A4DF7"/>
    <w:rsid w:val="066B5CCB"/>
    <w:rsid w:val="066E57BB"/>
    <w:rsid w:val="06710E08"/>
    <w:rsid w:val="06764528"/>
    <w:rsid w:val="06764670"/>
    <w:rsid w:val="067F4A0F"/>
    <w:rsid w:val="068B1253"/>
    <w:rsid w:val="069570A1"/>
    <w:rsid w:val="069A4E33"/>
    <w:rsid w:val="069C4406"/>
    <w:rsid w:val="06A36CA6"/>
    <w:rsid w:val="06A43296"/>
    <w:rsid w:val="06BD20B9"/>
    <w:rsid w:val="06C3765D"/>
    <w:rsid w:val="06D03D80"/>
    <w:rsid w:val="06D849E3"/>
    <w:rsid w:val="06DA7590"/>
    <w:rsid w:val="06E11AE9"/>
    <w:rsid w:val="06E52E40"/>
    <w:rsid w:val="06E635A4"/>
    <w:rsid w:val="06ED28C5"/>
    <w:rsid w:val="06F219E5"/>
    <w:rsid w:val="06F31767"/>
    <w:rsid w:val="06F51A39"/>
    <w:rsid w:val="06F7755F"/>
    <w:rsid w:val="070157DB"/>
    <w:rsid w:val="07035F04"/>
    <w:rsid w:val="07036611"/>
    <w:rsid w:val="07052E57"/>
    <w:rsid w:val="070954E4"/>
    <w:rsid w:val="0710199B"/>
    <w:rsid w:val="07185F16"/>
    <w:rsid w:val="07230354"/>
    <w:rsid w:val="07283481"/>
    <w:rsid w:val="07287718"/>
    <w:rsid w:val="072A5AB9"/>
    <w:rsid w:val="07341A8D"/>
    <w:rsid w:val="07456CFC"/>
    <w:rsid w:val="075B74B8"/>
    <w:rsid w:val="075C73F4"/>
    <w:rsid w:val="0768220B"/>
    <w:rsid w:val="076D5A73"/>
    <w:rsid w:val="076D7821"/>
    <w:rsid w:val="076E2D94"/>
    <w:rsid w:val="076E4C7C"/>
    <w:rsid w:val="07726BE5"/>
    <w:rsid w:val="07746E01"/>
    <w:rsid w:val="077A3CEC"/>
    <w:rsid w:val="077C680D"/>
    <w:rsid w:val="077C69D1"/>
    <w:rsid w:val="07800D53"/>
    <w:rsid w:val="07807554"/>
    <w:rsid w:val="07854B6B"/>
    <w:rsid w:val="07865AD4"/>
    <w:rsid w:val="0788465B"/>
    <w:rsid w:val="07886409"/>
    <w:rsid w:val="078B66FD"/>
    <w:rsid w:val="078E5795"/>
    <w:rsid w:val="078F2641"/>
    <w:rsid w:val="079528D4"/>
    <w:rsid w:val="07990616"/>
    <w:rsid w:val="07A019A5"/>
    <w:rsid w:val="07A931B2"/>
    <w:rsid w:val="07B0784E"/>
    <w:rsid w:val="07B2221A"/>
    <w:rsid w:val="07B54D24"/>
    <w:rsid w:val="07BF6F7B"/>
    <w:rsid w:val="07C05BA3"/>
    <w:rsid w:val="07CA6A21"/>
    <w:rsid w:val="07CD4764"/>
    <w:rsid w:val="07DD49A7"/>
    <w:rsid w:val="07E04497"/>
    <w:rsid w:val="07EB26D5"/>
    <w:rsid w:val="07F00F1B"/>
    <w:rsid w:val="07F80805"/>
    <w:rsid w:val="07FD3C87"/>
    <w:rsid w:val="08031F33"/>
    <w:rsid w:val="08070A00"/>
    <w:rsid w:val="080812F8"/>
    <w:rsid w:val="0809687F"/>
    <w:rsid w:val="080D6853"/>
    <w:rsid w:val="080F1ABD"/>
    <w:rsid w:val="081D2FF5"/>
    <w:rsid w:val="08236132"/>
    <w:rsid w:val="08280402"/>
    <w:rsid w:val="082B7EE0"/>
    <w:rsid w:val="082C3EE4"/>
    <w:rsid w:val="08381BDD"/>
    <w:rsid w:val="08387E2F"/>
    <w:rsid w:val="083E11BD"/>
    <w:rsid w:val="08430582"/>
    <w:rsid w:val="084D31AF"/>
    <w:rsid w:val="085207C5"/>
    <w:rsid w:val="085209AC"/>
    <w:rsid w:val="085602B5"/>
    <w:rsid w:val="085E716A"/>
    <w:rsid w:val="086A5B0F"/>
    <w:rsid w:val="086C1887"/>
    <w:rsid w:val="087528A5"/>
    <w:rsid w:val="0878647D"/>
    <w:rsid w:val="087A4AA2"/>
    <w:rsid w:val="089B216C"/>
    <w:rsid w:val="08A2799E"/>
    <w:rsid w:val="08AC25CB"/>
    <w:rsid w:val="08AD77A8"/>
    <w:rsid w:val="08BC0A60"/>
    <w:rsid w:val="08BF5E5A"/>
    <w:rsid w:val="08C14056"/>
    <w:rsid w:val="08C72F61"/>
    <w:rsid w:val="08C956CA"/>
    <w:rsid w:val="08C96CD9"/>
    <w:rsid w:val="08CA400A"/>
    <w:rsid w:val="08CB37D2"/>
    <w:rsid w:val="08D35625"/>
    <w:rsid w:val="08D864BC"/>
    <w:rsid w:val="08DC4C5E"/>
    <w:rsid w:val="08DF64FD"/>
    <w:rsid w:val="08E35BE1"/>
    <w:rsid w:val="08E720CC"/>
    <w:rsid w:val="08E9737B"/>
    <w:rsid w:val="08EB6C4F"/>
    <w:rsid w:val="08F021B5"/>
    <w:rsid w:val="08F16230"/>
    <w:rsid w:val="08F24482"/>
    <w:rsid w:val="08F655F4"/>
    <w:rsid w:val="08FD4BD5"/>
    <w:rsid w:val="09011E62"/>
    <w:rsid w:val="09063C39"/>
    <w:rsid w:val="090C377F"/>
    <w:rsid w:val="091077A1"/>
    <w:rsid w:val="091331F6"/>
    <w:rsid w:val="09140901"/>
    <w:rsid w:val="091C5660"/>
    <w:rsid w:val="092236CB"/>
    <w:rsid w:val="092403B3"/>
    <w:rsid w:val="092C1781"/>
    <w:rsid w:val="092D370C"/>
    <w:rsid w:val="093323A4"/>
    <w:rsid w:val="093F0D49"/>
    <w:rsid w:val="09414AC1"/>
    <w:rsid w:val="094E71DE"/>
    <w:rsid w:val="095C516D"/>
    <w:rsid w:val="0964265D"/>
    <w:rsid w:val="096A04BC"/>
    <w:rsid w:val="096B43C9"/>
    <w:rsid w:val="097053A7"/>
    <w:rsid w:val="097C0A98"/>
    <w:rsid w:val="097E7AC3"/>
    <w:rsid w:val="097F41C4"/>
    <w:rsid w:val="098A290C"/>
    <w:rsid w:val="098B3F8E"/>
    <w:rsid w:val="098F153F"/>
    <w:rsid w:val="09975029"/>
    <w:rsid w:val="099C2ACC"/>
    <w:rsid w:val="09A16889"/>
    <w:rsid w:val="09A25201"/>
    <w:rsid w:val="09AA4D5C"/>
    <w:rsid w:val="09AF3F98"/>
    <w:rsid w:val="09B71227"/>
    <w:rsid w:val="09B7212F"/>
    <w:rsid w:val="09BC125E"/>
    <w:rsid w:val="09BF54C7"/>
    <w:rsid w:val="09C851E3"/>
    <w:rsid w:val="09D75426"/>
    <w:rsid w:val="09DB4F16"/>
    <w:rsid w:val="09E33DCA"/>
    <w:rsid w:val="09EB2C7F"/>
    <w:rsid w:val="09EF451D"/>
    <w:rsid w:val="09F75AC8"/>
    <w:rsid w:val="09FB55B8"/>
    <w:rsid w:val="09FC4E8C"/>
    <w:rsid w:val="0A053D41"/>
    <w:rsid w:val="0A075AEF"/>
    <w:rsid w:val="0A0835ED"/>
    <w:rsid w:val="0A244DD2"/>
    <w:rsid w:val="0A334D52"/>
    <w:rsid w:val="0A371079"/>
    <w:rsid w:val="0A426D43"/>
    <w:rsid w:val="0A434869"/>
    <w:rsid w:val="0A4522B3"/>
    <w:rsid w:val="0A4707FD"/>
    <w:rsid w:val="0A4D2BC6"/>
    <w:rsid w:val="0A540824"/>
    <w:rsid w:val="0A5C592B"/>
    <w:rsid w:val="0A5F4E8C"/>
    <w:rsid w:val="0A636CB9"/>
    <w:rsid w:val="0A656ED5"/>
    <w:rsid w:val="0A7315F2"/>
    <w:rsid w:val="0A7333A0"/>
    <w:rsid w:val="0A7809B7"/>
    <w:rsid w:val="0A797736"/>
    <w:rsid w:val="0A7B521B"/>
    <w:rsid w:val="0A7D7D7B"/>
    <w:rsid w:val="0A7E3AF3"/>
    <w:rsid w:val="0A7F7F97"/>
    <w:rsid w:val="0A83110A"/>
    <w:rsid w:val="0A8710A0"/>
    <w:rsid w:val="0A892BC4"/>
    <w:rsid w:val="0A894972"/>
    <w:rsid w:val="0A8B6459"/>
    <w:rsid w:val="0A8B7110"/>
    <w:rsid w:val="0A8C616C"/>
    <w:rsid w:val="0A8C7FBE"/>
    <w:rsid w:val="0A8D26BC"/>
    <w:rsid w:val="0A8D3D36"/>
    <w:rsid w:val="0A8F77DB"/>
    <w:rsid w:val="0A943317"/>
    <w:rsid w:val="0A9450C5"/>
    <w:rsid w:val="0A9B6453"/>
    <w:rsid w:val="0AA33109"/>
    <w:rsid w:val="0AA61168"/>
    <w:rsid w:val="0AA95014"/>
    <w:rsid w:val="0AAF26AF"/>
    <w:rsid w:val="0AB17A25"/>
    <w:rsid w:val="0AB85257"/>
    <w:rsid w:val="0ABB6AF5"/>
    <w:rsid w:val="0ABF0394"/>
    <w:rsid w:val="0AC14B2C"/>
    <w:rsid w:val="0AC2310E"/>
    <w:rsid w:val="0AD86CAC"/>
    <w:rsid w:val="0ADC1CF6"/>
    <w:rsid w:val="0ADD081A"/>
    <w:rsid w:val="0AE2228D"/>
    <w:rsid w:val="0AE4180A"/>
    <w:rsid w:val="0AE9430C"/>
    <w:rsid w:val="0AF03C53"/>
    <w:rsid w:val="0AF70EFA"/>
    <w:rsid w:val="0AFB5144"/>
    <w:rsid w:val="0AFC1508"/>
    <w:rsid w:val="0AFE4859"/>
    <w:rsid w:val="0AFF71FF"/>
    <w:rsid w:val="0B086C7F"/>
    <w:rsid w:val="0B09103A"/>
    <w:rsid w:val="0B0C10FF"/>
    <w:rsid w:val="0B1306DF"/>
    <w:rsid w:val="0B1526A9"/>
    <w:rsid w:val="0B1D1B0D"/>
    <w:rsid w:val="0B1D60FB"/>
    <w:rsid w:val="0B1F250C"/>
    <w:rsid w:val="0B2939DC"/>
    <w:rsid w:val="0B2B35D4"/>
    <w:rsid w:val="0B2C2952"/>
    <w:rsid w:val="0B2D79F3"/>
    <w:rsid w:val="0B350656"/>
    <w:rsid w:val="0B3E09AD"/>
    <w:rsid w:val="0B3E4FA8"/>
    <w:rsid w:val="0B415AD9"/>
    <w:rsid w:val="0B440899"/>
    <w:rsid w:val="0B4958E5"/>
    <w:rsid w:val="0B562B80"/>
    <w:rsid w:val="0B62538F"/>
    <w:rsid w:val="0B6A207E"/>
    <w:rsid w:val="0B7F7208"/>
    <w:rsid w:val="0B847D5D"/>
    <w:rsid w:val="0B855FDF"/>
    <w:rsid w:val="0B865B6A"/>
    <w:rsid w:val="0B8909A2"/>
    <w:rsid w:val="0B896BF3"/>
    <w:rsid w:val="0B8B64C8"/>
    <w:rsid w:val="0B9335CE"/>
    <w:rsid w:val="0B947F51"/>
    <w:rsid w:val="0B957346"/>
    <w:rsid w:val="0B971160"/>
    <w:rsid w:val="0BA21357"/>
    <w:rsid w:val="0BA31A63"/>
    <w:rsid w:val="0BA8707A"/>
    <w:rsid w:val="0BB35A1E"/>
    <w:rsid w:val="0BB53545"/>
    <w:rsid w:val="0BB93035"/>
    <w:rsid w:val="0BBA4EF0"/>
    <w:rsid w:val="0BC17BE9"/>
    <w:rsid w:val="0BC639A4"/>
    <w:rsid w:val="0BC914E5"/>
    <w:rsid w:val="0BD53BD5"/>
    <w:rsid w:val="0BD936D7"/>
    <w:rsid w:val="0BDC6D23"/>
    <w:rsid w:val="0BE20DFC"/>
    <w:rsid w:val="0BE34556"/>
    <w:rsid w:val="0BEB51B8"/>
    <w:rsid w:val="0BFF2A12"/>
    <w:rsid w:val="0C02257A"/>
    <w:rsid w:val="0C050A5A"/>
    <w:rsid w:val="0C057EC4"/>
    <w:rsid w:val="0C060244"/>
    <w:rsid w:val="0C0977F3"/>
    <w:rsid w:val="0C0A3890"/>
    <w:rsid w:val="0C0B7609"/>
    <w:rsid w:val="0C0E5F13"/>
    <w:rsid w:val="0C0F43C2"/>
    <w:rsid w:val="0C1069CD"/>
    <w:rsid w:val="0C1838CF"/>
    <w:rsid w:val="0C1914D3"/>
    <w:rsid w:val="0C191D25"/>
    <w:rsid w:val="0C1C1816"/>
    <w:rsid w:val="0C1C7A68"/>
    <w:rsid w:val="0C1D26CE"/>
    <w:rsid w:val="0C210BDA"/>
    <w:rsid w:val="0C2A5CE1"/>
    <w:rsid w:val="0C2F1549"/>
    <w:rsid w:val="0C31440E"/>
    <w:rsid w:val="0C4D5E73"/>
    <w:rsid w:val="0C4D667A"/>
    <w:rsid w:val="0C5114BF"/>
    <w:rsid w:val="0C5B20DD"/>
    <w:rsid w:val="0C5E1E2E"/>
    <w:rsid w:val="0C5F27D7"/>
    <w:rsid w:val="0C632FA1"/>
    <w:rsid w:val="0C684A5B"/>
    <w:rsid w:val="0C6E02C3"/>
    <w:rsid w:val="0C727688"/>
    <w:rsid w:val="0C78295D"/>
    <w:rsid w:val="0C796C68"/>
    <w:rsid w:val="0C7B02EA"/>
    <w:rsid w:val="0C801DA5"/>
    <w:rsid w:val="0C8E44C1"/>
    <w:rsid w:val="0C970E9C"/>
    <w:rsid w:val="0CA737D5"/>
    <w:rsid w:val="0CA77331"/>
    <w:rsid w:val="0CA81750"/>
    <w:rsid w:val="0CB101B0"/>
    <w:rsid w:val="0CB847A8"/>
    <w:rsid w:val="0CC51EAD"/>
    <w:rsid w:val="0CCA3020"/>
    <w:rsid w:val="0CCD48BE"/>
    <w:rsid w:val="0CD45C4C"/>
    <w:rsid w:val="0CD6069E"/>
    <w:rsid w:val="0CD91B6B"/>
    <w:rsid w:val="0CEA5470"/>
    <w:rsid w:val="0CEE6D0E"/>
    <w:rsid w:val="0CEF0CD8"/>
    <w:rsid w:val="0CF5098E"/>
    <w:rsid w:val="0CF524DC"/>
    <w:rsid w:val="0D003E10"/>
    <w:rsid w:val="0D014C78"/>
    <w:rsid w:val="0D0432F3"/>
    <w:rsid w:val="0D0A78C0"/>
    <w:rsid w:val="0D0C53E6"/>
    <w:rsid w:val="0D116EA1"/>
    <w:rsid w:val="0D1349C7"/>
    <w:rsid w:val="0D166092"/>
    <w:rsid w:val="0D1E259E"/>
    <w:rsid w:val="0D1E2E99"/>
    <w:rsid w:val="0D241C18"/>
    <w:rsid w:val="0D2C02BA"/>
    <w:rsid w:val="0D354F2F"/>
    <w:rsid w:val="0D540303"/>
    <w:rsid w:val="0D5648B3"/>
    <w:rsid w:val="0D613B83"/>
    <w:rsid w:val="0D637BFF"/>
    <w:rsid w:val="0D661A8E"/>
    <w:rsid w:val="0D662D48"/>
    <w:rsid w:val="0D6A4AD7"/>
    <w:rsid w:val="0D722B71"/>
    <w:rsid w:val="0D7B474B"/>
    <w:rsid w:val="0D814026"/>
    <w:rsid w:val="0D841421"/>
    <w:rsid w:val="0D8633EB"/>
    <w:rsid w:val="0D887821"/>
    <w:rsid w:val="0D89473D"/>
    <w:rsid w:val="0D8C35F6"/>
    <w:rsid w:val="0D8D29CB"/>
    <w:rsid w:val="0D9C676A"/>
    <w:rsid w:val="0D9E2A3E"/>
    <w:rsid w:val="0D9E6986"/>
    <w:rsid w:val="0DA24987"/>
    <w:rsid w:val="0DA87805"/>
    <w:rsid w:val="0DA9178F"/>
    <w:rsid w:val="0DAD0977"/>
    <w:rsid w:val="0DAE1A5B"/>
    <w:rsid w:val="0DBC0BBA"/>
    <w:rsid w:val="0DBD3EEF"/>
    <w:rsid w:val="0DC21F49"/>
    <w:rsid w:val="0DCC0465"/>
    <w:rsid w:val="0DCD726B"/>
    <w:rsid w:val="0DCE6B40"/>
    <w:rsid w:val="0DCE7FF7"/>
    <w:rsid w:val="0DD979BE"/>
    <w:rsid w:val="0DDE4FD5"/>
    <w:rsid w:val="0DE10621"/>
    <w:rsid w:val="0DEE64C8"/>
    <w:rsid w:val="0DF06AB6"/>
    <w:rsid w:val="0DF2282E"/>
    <w:rsid w:val="0DF55F75"/>
    <w:rsid w:val="0E086175"/>
    <w:rsid w:val="0E145C0B"/>
    <w:rsid w:val="0E252C04"/>
    <w:rsid w:val="0E3746E5"/>
    <w:rsid w:val="0E4A285A"/>
    <w:rsid w:val="0E4B2828"/>
    <w:rsid w:val="0E5057A7"/>
    <w:rsid w:val="0E574D87"/>
    <w:rsid w:val="0E5C239D"/>
    <w:rsid w:val="0E5E4367"/>
    <w:rsid w:val="0E606AEF"/>
    <w:rsid w:val="0E621B57"/>
    <w:rsid w:val="0E664FCA"/>
    <w:rsid w:val="0E682AF0"/>
    <w:rsid w:val="0E6F3E7F"/>
    <w:rsid w:val="0E785550"/>
    <w:rsid w:val="0E794941"/>
    <w:rsid w:val="0E8042DE"/>
    <w:rsid w:val="0E805763"/>
    <w:rsid w:val="0E811E04"/>
    <w:rsid w:val="0E912047"/>
    <w:rsid w:val="0E927B6D"/>
    <w:rsid w:val="0E9B78F5"/>
    <w:rsid w:val="0E9C154E"/>
    <w:rsid w:val="0E9D28E3"/>
    <w:rsid w:val="0E9D794C"/>
    <w:rsid w:val="0E9F2F5A"/>
    <w:rsid w:val="0EA16002"/>
    <w:rsid w:val="0EAF6971"/>
    <w:rsid w:val="0EB560BF"/>
    <w:rsid w:val="0EC0198D"/>
    <w:rsid w:val="0EC0292C"/>
    <w:rsid w:val="0ECA7307"/>
    <w:rsid w:val="0ECB1C73"/>
    <w:rsid w:val="0ECF0DC1"/>
    <w:rsid w:val="0ED65CAC"/>
    <w:rsid w:val="0ED90E73"/>
    <w:rsid w:val="0EE10416"/>
    <w:rsid w:val="0EE20DEB"/>
    <w:rsid w:val="0EE54141"/>
    <w:rsid w:val="0EEC54CF"/>
    <w:rsid w:val="0EEE30D9"/>
    <w:rsid w:val="0EF820C6"/>
    <w:rsid w:val="0EF837E0"/>
    <w:rsid w:val="0EF97BEC"/>
    <w:rsid w:val="0EFE3455"/>
    <w:rsid w:val="0F006472"/>
    <w:rsid w:val="0F072309"/>
    <w:rsid w:val="0F096081"/>
    <w:rsid w:val="0F097C3C"/>
    <w:rsid w:val="0F097D1A"/>
    <w:rsid w:val="0F0F11BE"/>
    <w:rsid w:val="0F105A0D"/>
    <w:rsid w:val="0F12788F"/>
    <w:rsid w:val="0F151544"/>
    <w:rsid w:val="0F16079E"/>
    <w:rsid w:val="0F1A7D1A"/>
    <w:rsid w:val="0F1D490D"/>
    <w:rsid w:val="0F2B249C"/>
    <w:rsid w:val="0F2C23A1"/>
    <w:rsid w:val="0F305B60"/>
    <w:rsid w:val="0F352373"/>
    <w:rsid w:val="0F384BB8"/>
    <w:rsid w:val="0F4E05BF"/>
    <w:rsid w:val="0F5115BA"/>
    <w:rsid w:val="0F530D8B"/>
    <w:rsid w:val="0F64150A"/>
    <w:rsid w:val="0F730E1D"/>
    <w:rsid w:val="0F813F2C"/>
    <w:rsid w:val="0F8557B1"/>
    <w:rsid w:val="0F8A6A96"/>
    <w:rsid w:val="0F917E25"/>
    <w:rsid w:val="0F933B9D"/>
    <w:rsid w:val="0F943A3F"/>
    <w:rsid w:val="0F9D2C6D"/>
    <w:rsid w:val="0FA22032"/>
    <w:rsid w:val="0FA91612"/>
    <w:rsid w:val="0FAB0EE6"/>
    <w:rsid w:val="0FB10210"/>
    <w:rsid w:val="0FB6788B"/>
    <w:rsid w:val="0FBA55CD"/>
    <w:rsid w:val="0FBD0980"/>
    <w:rsid w:val="0FBE3179"/>
    <w:rsid w:val="0FBF07CB"/>
    <w:rsid w:val="0FC6114A"/>
    <w:rsid w:val="0FCE1079"/>
    <w:rsid w:val="0FD50659"/>
    <w:rsid w:val="0FDC19E8"/>
    <w:rsid w:val="0FDD2696"/>
    <w:rsid w:val="0FE00DB6"/>
    <w:rsid w:val="0FE70E32"/>
    <w:rsid w:val="0FEB1C2B"/>
    <w:rsid w:val="0FF02D9D"/>
    <w:rsid w:val="0FF3789E"/>
    <w:rsid w:val="0FF46D31"/>
    <w:rsid w:val="0FF722BC"/>
    <w:rsid w:val="100131FC"/>
    <w:rsid w:val="100425AA"/>
    <w:rsid w:val="10101691"/>
    <w:rsid w:val="10120F66"/>
    <w:rsid w:val="101747CE"/>
    <w:rsid w:val="101C3B92"/>
    <w:rsid w:val="1021564D"/>
    <w:rsid w:val="10222810"/>
    <w:rsid w:val="102547BC"/>
    <w:rsid w:val="102B58EA"/>
    <w:rsid w:val="103709CC"/>
    <w:rsid w:val="103F19BB"/>
    <w:rsid w:val="103F1B00"/>
    <w:rsid w:val="10464D42"/>
    <w:rsid w:val="10482BD9"/>
    <w:rsid w:val="105F73D7"/>
    <w:rsid w:val="10684FBD"/>
    <w:rsid w:val="10697DCB"/>
    <w:rsid w:val="106B17E1"/>
    <w:rsid w:val="106C2D6C"/>
    <w:rsid w:val="107A6B0B"/>
    <w:rsid w:val="1085496E"/>
    <w:rsid w:val="108D4A90"/>
    <w:rsid w:val="108F43C6"/>
    <w:rsid w:val="10945E1E"/>
    <w:rsid w:val="1097590F"/>
    <w:rsid w:val="109B6F8A"/>
    <w:rsid w:val="10A02A15"/>
    <w:rsid w:val="10AC13E7"/>
    <w:rsid w:val="10BB784F"/>
    <w:rsid w:val="10C009C2"/>
    <w:rsid w:val="10C101C4"/>
    <w:rsid w:val="10CE532B"/>
    <w:rsid w:val="10D34B03"/>
    <w:rsid w:val="10D97CD5"/>
    <w:rsid w:val="10DB3A4D"/>
    <w:rsid w:val="10DE42D3"/>
    <w:rsid w:val="10E2302E"/>
    <w:rsid w:val="10EC5C5A"/>
    <w:rsid w:val="10FE773C"/>
    <w:rsid w:val="11020BEC"/>
    <w:rsid w:val="11056D1C"/>
    <w:rsid w:val="1112798D"/>
    <w:rsid w:val="11166833"/>
    <w:rsid w:val="11205904"/>
    <w:rsid w:val="11235FC1"/>
    <w:rsid w:val="11262678"/>
    <w:rsid w:val="112B2239"/>
    <w:rsid w:val="112B3E8A"/>
    <w:rsid w:val="11335637"/>
    <w:rsid w:val="113C03CA"/>
    <w:rsid w:val="11423ACC"/>
    <w:rsid w:val="114415F3"/>
    <w:rsid w:val="114710E3"/>
    <w:rsid w:val="11535CDA"/>
    <w:rsid w:val="115841B0"/>
    <w:rsid w:val="115B7B56"/>
    <w:rsid w:val="115D165F"/>
    <w:rsid w:val="115F642C"/>
    <w:rsid w:val="11651569"/>
    <w:rsid w:val="116B3023"/>
    <w:rsid w:val="117874EE"/>
    <w:rsid w:val="117B0D8C"/>
    <w:rsid w:val="117F6ACF"/>
    <w:rsid w:val="11813B7D"/>
    <w:rsid w:val="11897B42"/>
    <w:rsid w:val="11943BFC"/>
    <w:rsid w:val="11993644"/>
    <w:rsid w:val="119A6B79"/>
    <w:rsid w:val="119C142F"/>
    <w:rsid w:val="11A127D5"/>
    <w:rsid w:val="11A7392F"/>
    <w:rsid w:val="11A87BD6"/>
    <w:rsid w:val="11AD50B9"/>
    <w:rsid w:val="11D0732A"/>
    <w:rsid w:val="11D42AAF"/>
    <w:rsid w:val="11D71B96"/>
    <w:rsid w:val="11D73EF0"/>
    <w:rsid w:val="11D74773"/>
    <w:rsid w:val="11DD6C27"/>
    <w:rsid w:val="11DF756D"/>
    <w:rsid w:val="11E20E0C"/>
    <w:rsid w:val="11E4095D"/>
    <w:rsid w:val="11F54030"/>
    <w:rsid w:val="11FC4304"/>
    <w:rsid w:val="120447CD"/>
    <w:rsid w:val="12066789"/>
    <w:rsid w:val="12095364"/>
    <w:rsid w:val="121511E1"/>
    <w:rsid w:val="12152F8F"/>
    <w:rsid w:val="121A2353"/>
    <w:rsid w:val="121D1E44"/>
    <w:rsid w:val="121E0096"/>
    <w:rsid w:val="121F59ED"/>
    <w:rsid w:val="12323791"/>
    <w:rsid w:val="123478B9"/>
    <w:rsid w:val="12353631"/>
    <w:rsid w:val="12366B3F"/>
    <w:rsid w:val="123A29F6"/>
    <w:rsid w:val="1242340B"/>
    <w:rsid w:val="12520F1B"/>
    <w:rsid w:val="125D2461"/>
    <w:rsid w:val="12631F4C"/>
    <w:rsid w:val="12676BE9"/>
    <w:rsid w:val="126B01DF"/>
    <w:rsid w:val="127903BC"/>
    <w:rsid w:val="127A04B4"/>
    <w:rsid w:val="129640A3"/>
    <w:rsid w:val="12A0590F"/>
    <w:rsid w:val="12A15F0C"/>
    <w:rsid w:val="12A60FF7"/>
    <w:rsid w:val="12B207DE"/>
    <w:rsid w:val="12B72298"/>
    <w:rsid w:val="12B75DF4"/>
    <w:rsid w:val="12BA6F0F"/>
    <w:rsid w:val="12BE3627"/>
    <w:rsid w:val="12BE4663"/>
    <w:rsid w:val="12C619A5"/>
    <w:rsid w:val="12C624DB"/>
    <w:rsid w:val="12CA0CE2"/>
    <w:rsid w:val="12DE5A77"/>
    <w:rsid w:val="12E60488"/>
    <w:rsid w:val="12EB05FD"/>
    <w:rsid w:val="12EC0194"/>
    <w:rsid w:val="12ED3F63"/>
    <w:rsid w:val="12F40DF6"/>
    <w:rsid w:val="12F42BA4"/>
    <w:rsid w:val="12F55521"/>
    <w:rsid w:val="12F9465F"/>
    <w:rsid w:val="12FE7EC7"/>
    <w:rsid w:val="130152C1"/>
    <w:rsid w:val="130B3761"/>
    <w:rsid w:val="131277AE"/>
    <w:rsid w:val="13187EB7"/>
    <w:rsid w:val="13194016"/>
    <w:rsid w:val="131E2317"/>
    <w:rsid w:val="131F5146"/>
    <w:rsid w:val="13235EC7"/>
    <w:rsid w:val="13315BA7"/>
    <w:rsid w:val="13337C0F"/>
    <w:rsid w:val="133518D6"/>
    <w:rsid w:val="133B07D3"/>
    <w:rsid w:val="133B3433"/>
    <w:rsid w:val="134358DA"/>
    <w:rsid w:val="13533FC7"/>
    <w:rsid w:val="13556A73"/>
    <w:rsid w:val="13665DFB"/>
    <w:rsid w:val="136C2427"/>
    <w:rsid w:val="136D3851"/>
    <w:rsid w:val="136F66CF"/>
    <w:rsid w:val="137E6912"/>
    <w:rsid w:val="13824654"/>
    <w:rsid w:val="138E4DA7"/>
    <w:rsid w:val="138F134B"/>
    <w:rsid w:val="13953C6C"/>
    <w:rsid w:val="139D323C"/>
    <w:rsid w:val="139F6FB4"/>
    <w:rsid w:val="13A54F19"/>
    <w:rsid w:val="13AC16D1"/>
    <w:rsid w:val="13AD5814"/>
    <w:rsid w:val="13AE369B"/>
    <w:rsid w:val="13AF4537"/>
    <w:rsid w:val="13B1440C"/>
    <w:rsid w:val="13B62550"/>
    <w:rsid w:val="13B660AC"/>
    <w:rsid w:val="13BA3DEE"/>
    <w:rsid w:val="13C06F2A"/>
    <w:rsid w:val="13C24A51"/>
    <w:rsid w:val="13C46A1B"/>
    <w:rsid w:val="13C54541"/>
    <w:rsid w:val="13C609E5"/>
    <w:rsid w:val="13C95DDF"/>
    <w:rsid w:val="13CA1B57"/>
    <w:rsid w:val="13D11138"/>
    <w:rsid w:val="13D1738A"/>
    <w:rsid w:val="13E40E6B"/>
    <w:rsid w:val="13E64BE3"/>
    <w:rsid w:val="13E7095B"/>
    <w:rsid w:val="13E70AFC"/>
    <w:rsid w:val="13EB3FA7"/>
    <w:rsid w:val="13EC30EF"/>
    <w:rsid w:val="13F56BD4"/>
    <w:rsid w:val="13F970F6"/>
    <w:rsid w:val="13FA068E"/>
    <w:rsid w:val="13FA68E0"/>
    <w:rsid w:val="13FD1F2D"/>
    <w:rsid w:val="13FF7A53"/>
    <w:rsid w:val="140212F1"/>
    <w:rsid w:val="14076907"/>
    <w:rsid w:val="140C5DFC"/>
    <w:rsid w:val="14117786"/>
    <w:rsid w:val="141334FE"/>
    <w:rsid w:val="14151024"/>
    <w:rsid w:val="141B4D3F"/>
    <w:rsid w:val="14226FD6"/>
    <w:rsid w:val="1424570B"/>
    <w:rsid w:val="14346795"/>
    <w:rsid w:val="14383DBC"/>
    <w:rsid w:val="143F42F3"/>
    <w:rsid w:val="144933C4"/>
    <w:rsid w:val="144D6A10"/>
    <w:rsid w:val="14642583"/>
    <w:rsid w:val="14667AD2"/>
    <w:rsid w:val="14691370"/>
    <w:rsid w:val="146E1A2F"/>
    <w:rsid w:val="147300B2"/>
    <w:rsid w:val="14733F9D"/>
    <w:rsid w:val="14767D44"/>
    <w:rsid w:val="147C72F5"/>
    <w:rsid w:val="147F6DE6"/>
    <w:rsid w:val="148D1503"/>
    <w:rsid w:val="148E0DD7"/>
    <w:rsid w:val="14904B4F"/>
    <w:rsid w:val="149503B7"/>
    <w:rsid w:val="14956609"/>
    <w:rsid w:val="14975EDD"/>
    <w:rsid w:val="14A47356"/>
    <w:rsid w:val="14A95C11"/>
    <w:rsid w:val="14AA20B4"/>
    <w:rsid w:val="14B20F69"/>
    <w:rsid w:val="14B36679"/>
    <w:rsid w:val="14B4083D"/>
    <w:rsid w:val="14B5313E"/>
    <w:rsid w:val="14BF03E7"/>
    <w:rsid w:val="14C262F5"/>
    <w:rsid w:val="14CC26DC"/>
    <w:rsid w:val="14D07990"/>
    <w:rsid w:val="14D57D09"/>
    <w:rsid w:val="14DD7BC0"/>
    <w:rsid w:val="14ED0282"/>
    <w:rsid w:val="14F450DE"/>
    <w:rsid w:val="14FB2910"/>
    <w:rsid w:val="14FD3C37"/>
    <w:rsid w:val="14FE68EC"/>
    <w:rsid w:val="150124ED"/>
    <w:rsid w:val="15063063"/>
    <w:rsid w:val="15064E11"/>
    <w:rsid w:val="150D3BFD"/>
    <w:rsid w:val="15113EE2"/>
    <w:rsid w:val="15115C90"/>
    <w:rsid w:val="1514653C"/>
    <w:rsid w:val="15156B94"/>
    <w:rsid w:val="151A123E"/>
    <w:rsid w:val="151E215B"/>
    <w:rsid w:val="152C7D4F"/>
    <w:rsid w:val="152F6116"/>
    <w:rsid w:val="153951E6"/>
    <w:rsid w:val="15396F94"/>
    <w:rsid w:val="153D4CD7"/>
    <w:rsid w:val="153E0A4F"/>
    <w:rsid w:val="15432B93"/>
    <w:rsid w:val="15436DE3"/>
    <w:rsid w:val="154C316C"/>
    <w:rsid w:val="155344FA"/>
    <w:rsid w:val="15562895"/>
    <w:rsid w:val="155838BF"/>
    <w:rsid w:val="155C2C83"/>
    <w:rsid w:val="156724B3"/>
    <w:rsid w:val="156A1844"/>
    <w:rsid w:val="15714980"/>
    <w:rsid w:val="157F6CF7"/>
    <w:rsid w:val="15826B8D"/>
    <w:rsid w:val="158A5A42"/>
    <w:rsid w:val="15A20FDE"/>
    <w:rsid w:val="15A80264"/>
    <w:rsid w:val="15A9411A"/>
    <w:rsid w:val="15AE2543"/>
    <w:rsid w:val="15B20664"/>
    <w:rsid w:val="15B825AF"/>
    <w:rsid w:val="15B900D5"/>
    <w:rsid w:val="15C61483"/>
    <w:rsid w:val="15D05B4B"/>
    <w:rsid w:val="15D171CD"/>
    <w:rsid w:val="15D418DD"/>
    <w:rsid w:val="15D54F0F"/>
    <w:rsid w:val="15DA0777"/>
    <w:rsid w:val="15E1596F"/>
    <w:rsid w:val="15E16C1D"/>
    <w:rsid w:val="15E213AD"/>
    <w:rsid w:val="15E2175B"/>
    <w:rsid w:val="15E2587E"/>
    <w:rsid w:val="15E2762C"/>
    <w:rsid w:val="15EB4733"/>
    <w:rsid w:val="15EC6E74"/>
    <w:rsid w:val="15F07F9B"/>
    <w:rsid w:val="15F31A4A"/>
    <w:rsid w:val="15FA2BC8"/>
    <w:rsid w:val="1602148C"/>
    <w:rsid w:val="16021A3F"/>
    <w:rsid w:val="160475A2"/>
    <w:rsid w:val="1606331B"/>
    <w:rsid w:val="16083311"/>
    <w:rsid w:val="160C28FB"/>
    <w:rsid w:val="160C56C2"/>
    <w:rsid w:val="160F7CF5"/>
    <w:rsid w:val="16175528"/>
    <w:rsid w:val="161D2412"/>
    <w:rsid w:val="161F618A"/>
    <w:rsid w:val="16292E19"/>
    <w:rsid w:val="162F652B"/>
    <w:rsid w:val="16302145"/>
    <w:rsid w:val="16337E88"/>
    <w:rsid w:val="1642631D"/>
    <w:rsid w:val="16493207"/>
    <w:rsid w:val="164B51D1"/>
    <w:rsid w:val="16504596"/>
    <w:rsid w:val="16571DC8"/>
    <w:rsid w:val="165A3666"/>
    <w:rsid w:val="165A51E3"/>
    <w:rsid w:val="165D60D0"/>
    <w:rsid w:val="165F6ECF"/>
    <w:rsid w:val="1663076D"/>
    <w:rsid w:val="167069E6"/>
    <w:rsid w:val="16757429"/>
    <w:rsid w:val="16777D74"/>
    <w:rsid w:val="16781D3E"/>
    <w:rsid w:val="167E55A7"/>
    <w:rsid w:val="1691797F"/>
    <w:rsid w:val="16922E00"/>
    <w:rsid w:val="16994579"/>
    <w:rsid w:val="169A3A63"/>
    <w:rsid w:val="16A205AB"/>
    <w:rsid w:val="16A82624"/>
    <w:rsid w:val="16A86180"/>
    <w:rsid w:val="16CE38EF"/>
    <w:rsid w:val="16D15790"/>
    <w:rsid w:val="16D451C7"/>
    <w:rsid w:val="16D90A2F"/>
    <w:rsid w:val="16DB6061"/>
    <w:rsid w:val="16DE6045"/>
    <w:rsid w:val="16E72A95"/>
    <w:rsid w:val="16EB0762"/>
    <w:rsid w:val="16FE43FF"/>
    <w:rsid w:val="170C24A1"/>
    <w:rsid w:val="170C2DAF"/>
    <w:rsid w:val="170F61FF"/>
    <w:rsid w:val="17123F41"/>
    <w:rsid w:val="171525D8"/>
    <w:rsid w:val="17155DC3"/>
    <w:rsid w:val="171956E6"/>
    <w:rsid w:val="171C6B6E"/>
    <w:rsid w:val="171E4F25"/>
    <w:rsid w:val="17253C74"/>
    <w:rsid w:val="172A4DE7"/>
    <w:rsid w:val="172D33F1"/>
    <w:rsid w:val="172E2ABE"/>
    <w:rsid w:val="173043C7"/>
    <w:rsid w:val="173C253E"/>
    <w:rsid w:val="17463BEB"/>
    <w:rsid w:val="174F2A9F"/>
    <w:rsid w:val="174F6F43"/>
    <w:rsid w:val="17546308"/>
    <w:rsid w:val="17606A5A"/>
    <w:rsid w:val="17614581"/>
    <w:rsid w:val="1763479D"/>
    <w:rsid w:val="17654071"/>
    <w:rsid w:val="176E561B"/>
    <w:rsid w:val="17716EB9"/>
    <w:rsid w:val="177B7D38"/>
    <w:rsid w:val="177D7E5B"/>
    <w:rsid w:val="17887D5F"/>
    <w:rsid w:val="17997A04"/>
    <w:rsid w:val="179E3A27"/>
    <w:rsid w:val="17A10E21"/>
    <w:rsid w:val="17A54092"/>
    <w:rsid w:val="17A56B63"/>
    <w:rsid w:val="17B42410"/>
    <w:rsid w:val="17B97F3E"/>
    <w:rsid w:val="17C70888"/>
    <w:rsid w:val="17CE60BA"/>
    <w:rsid w:val="17CF1E32"/>
    <w:rsid w:val="17D47448"/>
    <w:rsid w:val="17D9363D"/>
    <w:rsid w:val="17DD454F"/>
    <w:rsid w:val="17E86A50"/>
    <w:rsid w:val="17E92EF4"/>
    <w:rsid w:val="17E96E45"/>
    <w:rsid w:val="17EB31A5"/>
    <w:rsid w:val="1804388A"/>
    <w:rsid w:val="182061EA"/>
    <w:rsid w:val="182C4469"/>
    <w:rsid w:val="183F2B14"/>
    <w:rsid w:val="183F3123"/>
    <w:rsid w:val="183F7EB8"/>
    <w:rsid w:val="18436EC0"/>
    <w:rsid w:val="18493992"/>
    <w:rsid w:val="184A3267"/>
    <w:rsid w:val="185A5BA0"/>
    <w:rsid w:val="185F0C55"/>
    <w:rsid w:val="18616F2E"/>
    <w:rsid w:val="18672D11"/>
    <w:rsid w:val="186C7681"/>
    <w:rsid w:val="187351CA"/>
    <w:rsid w:val="187F73B4"/>
    <w:rsid w:val="18870773"/>
    <w:rsid w:val="188D1AD1"/>
    <w:rsid w:val="18910B4E"/>
    <w:rsid w:val="18935F44"/>
    <w:rsid w:val="18950986"/>
    <w:rsid w:val="189A03A9"/>
    <w:rsid w:val="189A5F9C"/>
    <w:rsid w:val="189C7113"/>
    <w:rsid w:val="18A233A8"/>
    <w:rsid w:val="18A706B9"/>
    <w:rsid w:val="18B261A0"/>
    <w:rsid w:val="18BA672F"/>
    <w:rsid w:val="18BF5A03"/>
    <w:rsid w:val="18C21240"/>
    <w:rsid w:val="18C80D5B"/>
    <w:rsid w:val="18C87584"/>
    <w:rsid w:val="18D21BDA"/>
    <w:rsid w:val="18D53478"/>
    <w:rsid w:val="18D9724E"/>
    <w:rsid w:val="18DD5A10"/>
    <w:rsid w:val="18DF60A5"/>
    <w:rsid w:val="18DF7E53"/>
    <w:rsid w:val="18E01BD1"/>
    <w:rsid w:val="18E13BCB"/>
    <w:rsid w:val="18F57676"/>
    <w:rsid w:val="18F67194"/>
    <w:rsid w:val="18F97C07"/>
    <w:rsid w:val="18FA5D0B"/>
    <w:rsid w:val="190238B3"/>
    <w:rsid w:val="19031D93"/>
    <w:rsid w:val="190434B5"/>
    <w:rsid w:val="190832EF"/>
    <w:rsid w:val="1917583F"/>
    <w:rsid w:val="191A0E8B"/>
    <w:rsid w:val="19324427"/>
    <w:rsid w:val="1934019F"/>
    <w:rsid w:val="193630B9"/>
    <w:rsid w:val="19390FE8"/>
    <w:rsid w:val="19404D95"/>
    <w:rsid w:val="19404FED"/>
    <w:rsid w:val="194505FE"/>
    <w:rsid w:val="19453B09"/>
    <w:rsid w:val="194A1770"/>
    <w:rsid w:val="194B54E8"/>
    <w:rsid w:val="194D300E"/>
    <w:rsid w:val="194F322A"/>
    <w:rsid w:val="195337EC"/>
    <w:rsid w:val="196D545F"/>
    <w:rsid w:val="197607B7"/>
    <w:rsid w:val="19766A09"/>
    <w:rsid w:val="1977008B"/>
    <w:rsid w:val="198033E4"/>
    <w:rsid w:val="199450E1"/>
    <w:rsid w:val="199649B5"/>
    <w:rsid w:val="19A846E9"/>
    <w:rsid w:val="19B72B7E"/>
    <w:rsid w:val="19B7492C"/>
    <w:rsid w:val="19BC31A5"/>
    <w:rsid w:val="19C402EB"/>
    <w:rsid w:val="19C9392B"/>
    <w:rsid w:val="19CC031C"/>
    <w:rsid w:val="19CF6011"/>
    <w:rsid w:val="1A0C111B"/>
    <w:rsid w:val="1A105E0E"/>
    <w:rsid w:val="1A107C62"/>
    <w:rsid w:val="1A1641BE"/>
    <w:rsid w:val="1A1B69E7"/>
    <w:rsid w:val="1A1D0C33"/>
    <w:rsid w:val="1A250E18"/>
    <w:rsid w:val="1A2E4BEE"/>
    <w:rsid w:val="1A367F46"/>
    <w:rsid w:val="1A3B37AF"/>
    <w:rsid w:val="1A444411"/>
    <w:rsid w:val="1A46165B"/>
    <w:rsid w:val="1A47032F"/>
    <w:rsid w:val="1A4B1C44"/>
    <w:rsid w:val="1A514E93"/>
    <w:rsid w:val="1A52255D"/>
    <w:rsid w:val="1A564145"/>
    <w:rsid w:val="1A5C4991"/>
    <w:rsid w:val="1A5F56EF"/>
    <w:rsid w:val="1A62677B"/>
    <w:rsid w:val="1A657CB6"/>
    <w:rsid w:val="1A713C05"/>
    <w:rsid w:val="1A834F02"/>
    <w:rsid w:val="1A89276C"/>
    <w:rsid w:val="1A9D7FC6"/>
    <w:rsid w:val="1AB07CF9"/>
    <w:rsid w:val="1ABD5F72"/>
    <w:rsid w:val="1AC11F06"/>
    <w:rsid w:val="1AC13CB4"/>
    <w:rsid w:val="1AC45140"/>
    <w:rsid w:val="1ACF10F0"/>
    <w:rsid w:val="1AD0039B"/>
    <w:rsid w:val="1AD41657"/>
    <w:rsid w:val="1ADB7DE9"/>
    <w:rsid w:val="1AE41750"/>
    <w:rsid w:val="1AE81C09"/>
    <w:rsid w:val="1B102545"/>
    <w:rsid w:val="1B156B89"/>
    <w:rsid w:val="1B1A7868"/>
    <w:rsid w:val="1B24448A"/>
    <w:rsid w:val="1B266C07"/>
    <w:rsid w:val="1B3C53D0"/>
    <w:rsid w:val="1B3E1125"/>
    <w:rsid w:val="1B3F2E2B"/>
    <w:rsid w:val="1B41511C"/>
    <w:rsid w:val="1B446693"/>
    <w:rsid w:val="1B4B0D11"/>
    <w:rsid w:val="1B4B17D0"/>
    <w:rsid w:val="1B511656"/>
    <w:rsid w:val="1B520DB0"/>
    <w:rsid w:val="1B544B28"/>
    <w:rsid w:val="1B5508A0"/>
    <w:rsid w:val="1B570174"/>
    <w:rsid w:val="1B643A72"/>
    <w:rsid w:val="1B697EA8"/>
    <w:rsid w:val="1B6B291B"/>
    <w:rsid w:val="1B6B3C20"/>
    <w:rsid w:val="1B722C0B"/>
    <w:rsid w:val="1B76304C"/>
    <w:rsid w:val="1B7707A6"/>
    <w:rsid w:val="1B776A68"/>
    <w:rsid w:val="1B7C5E2D"/>
    <w:rsid w:val="1B7E3953"/>
    <w:rsid w:val="1B7F1499"/>
    <w:rsid w:val="1B872D5F"/>
    <w:rsid w:val="1B900699"/>
    <w:rsid w:val="1B903686"/>
    <w:rsid w:val="1B984FC9"/>
    <w:rsid w:val="1BA50EE0"/>
    <w:rsid w:val="1BAE5F23"/>
    <w:rsid w:val="1BB517D4"/>
    <w:rsid w:val="1BBB4BA7"/>
    <w:rsid w:val="1BC01DDC"/>
    <w:rsid w:val="1BCC0B62"/>
    <w:rsid w:val="1BD17F27"/>
    <w:rsid w:val="1BD5335F"/>
    <w:rsid w:val="1BE30D3E"/>
    <w:rsid w:val="1BE35EAC"/>
    <w:rsid w:val="1BE45DF5"/>
    <w:rsid w:val="1BE54E39"/>
    <w:rsid w:val="1BE70AFA"/>
    <w:rsid w:val="1BE81A04"/>
    <w:rsid w:val="1BF65BDF"/>
    <w:rsid w:val="1BF9122C"/>
    <w:rsid w:val="1BFC6A34"/>
    <w:rsid w:val="1BFE7FF4"/>
    <w:rsid w:val="1C057BD0"/>
    <w:rsid w:val="1C0876C1"/>
    <w:rsid w:val="1C0A51E7"/>
    <w:rsid w:val="1C1D5092"/>
    <w:rsid w:val="1C2022D8"/>
    <w:rsid w:val="1C213172"/>
    <w:rsid w:val="1C237871"/>
    <w:rsid w:val="1C274548"/>
    <w:rsid w:val="1C2838BF"/>
    <w:rsid w:val="1C292C52"/>
    <w:rsid w:val="1C2E5379"/>
    <w:rsid w:val="1C3D6EA5"/>
    <w:rsid w:val="1C402773"/>
    <w:rsid w:val="1C406E5A"/>
    <w:rsid w:val="1C407F2D"/>
    <w:rsid w:val="1C4A6A0D"/>
    <w:rsid w:val="1C536C8F"/>
    <w:rsid w:val="1C5803F8"/>
    <w:rsid w:val="1C580648"/>
    <w:rsid w:val="1C5A20CE"/>
    <w:rsid w:val="1C600572"/>
    <w:rsid w:val="1C623275"/>
    <w:rsid w:val="1C625023"/>
    <w:rsid w:val="1C6A15DA"/>
    <w:rsid w:val="1C6A5A9E"/>
    <w:rsid w:val="1C6B7BBD"/>
    <w:rsid w:val="1C6C5EA1"/>
    <w:rsid w:val="1C760840"/>
    <w:rsid w:val="1C760ACE"/>
    <w:rsid w:val="1C766D20"/>
    <w:rsid w:val="1C782A98"/>
    <w:rsid w:val="1C7A6810"/>
    <w:rsid w:val="1C8B44EB"/>
    <w:rsid w:val="1C907DE2"/>
    <w:rsid w:val="1C961170"/>
    <w:rsid w:val="1C9934A5"/>
    <w:rsid w:val="1C9F1DD3"/>
    <w:rsid w:val="1C9F6277"/>
    <w:rsid w:val="1CA4563B"/>
    <w:rsid w:val="1CA67605"/>
    <w:rsid w:val="1CB678AD"/>
    <w:rsid w:val="1CBE7CFF"/>
    <w:rsid w:val="1CC523A1"/>
    <w:rsid w:val="1CC701B1"/>
    <w:rsid w:val="1CD3624C"/>
    <w:rsid w:val="1CD852E5"/>
    <w:rsid w:val="1CE03D74"/>
    <w:rsid w:val="1CEB6DC6"/>
    <w:rsid w:val="1CEC2B3E"/>
    <w:rsid w:val="1CF2284B"/>
    <w:rsid w:val="1CFB2A86"/>
    <w:rsid w:val="1CFC7225"/>
    <w:rsid w:val="1CFD2114"/>
    <w:rsid w:val="1CFD2F9D"/>
    <w:rsid w:val="1D0460DA"/>
    <w:rsid w:val="1D077978"/>
    <w:rsid w:val="1D0A79CD"/>
    <w:rsid w:val="1D185917"/>
    <w:rsid w:val="1D271DC8"/>
    <w:rsid w:val="1D29685A"/>
    <w:rsid w:val="1D2C098E"/>
    <w:rsid w:val="1D2D73DF"/>
    <w:rsid w:val="1D385D84"/>
    <w:rsid w:val="1D3B3BE4"/>
    <w:rsid w:val="1D3C3AC6"/>
    <w:rsid w:val="1D3E783E"/>
    <w:rsid w:val="1D4604A0"/>
    <w:rsid w:val="1D474743"/>
    <w:rsid w:val="1D540E0F"/>
    <w:rsid w:val="1D545655"/>
    <w:rsid w:val="1D5726AE"/>
    <w:rsid w:val="1D58387D"/>
    <w:rsid w:val="1D81772B"/>
    <w:rsid w:val="1D8334A3"/>
    <w:rsid w:val="1D85546D"/>
    <w:rsid w:val="1D927B8A"/>
    <w:rsid w:val="1D935319"/>
    <w:rsid w:val="1D9751A0"/>
    <w:rsid w:val="1D9E6D84"/>
    <w:rsid w:val="1DA10708"/>
    <w:rsid w:val="1DA84CB7"/>
    <w:rsid w:val="1DA866AC"/>
    <w:rsid w:val="1DB25B36"/>
    <w:rsid w:val="1DBB0E8E"/>
    <w:rsid w:val="1DBC4C07"/>
    <w:rsid w:val="1DC6338F"/>
    <w:rsid w:val="1DC67833"/>
    <w:rsid w:val="1DCA7323"/>
    <w:rsid w:val="1DD14E45"/>
    <w:rsid w:val="1DD45AAC"/>
    <w:rsid w:val="1DD53B49"/>
    <w:rsid w:val="1DD75A59"/>
    <w:rsid w:val="1DDB6B70"/>
    <w:rsid w:val="1DEE340D"/>
    <w:rsid w:val="1DF148B0"/>
    <w:rsid w:val="1DF91F58"/>
    <w:rsid w:val="1E0A5972"/>
    <w:rsid w:val="1E0D7210"/>
    <w:rsid w:val="1E1265D5"/>
    <w:rsid w:val="1E13619C"/>
    <w:rsid w:val="1E171E3D"/>
    <w:rsid w:val="1E2217C0"/>
    <w:rsid w:val="1E26092A"/>
    <w:rsid w:val="1E276524"/>
    <w:rsid w:val="1E42335E"/>
    <w:rsid w:val="1E4B053E"/>
    <w:rsid w:val="1E4D1157"/>
    <w:rsid w:val="1E4E1D03"/>
    <w:rsid w:val="1E57048B"/>
    <w:rsid w:val="1E6432D4"/>
    <w:rsid w:val="1E6C21B8"/>
    <w:rsid w:val="1E6E5F01"/>
    <w:rsid w:val="1E701500"/>
    <w:rsid w:val="1E8A4A5B"/>
    <w:rsid w:val="1E8F7C25"/>
    <w:rsid w:val="1E900921"/>
    <w:rsid w:val="1E90231B"/>
    <w:rsid w:val="1E94348E"/>
    <w:rsid w:val="1E960FB4"/>
    <w:rsid w:val="1E982F7E"/>
    <w:rsid w:val="1E9B43D4"/>
    <w:rsid w:val="1EA01E32"/>
    <w:rsid w:val="1EA440DC"/>
    <w:rsid w:val="1EAD7C1D"/>
    <w:rsid w:val="1EAF7A27"/>
    <w:rsid w:val="1EBA7398"/>
    <w:rsid w:val="1EC35D8F"/>
    <w:rsid w:val="1ECC2C27"/>
    <w:rsid w:val="1ED953B1"/>
    <w:rsid w:val="1EDA3596"/>
    <w:rsid w:val="1EE118F9"/>
    <w:rsid w:val="1EE241F9"/>
    <w:rsid w:val="1EE47F71"/>
    <w:rsid w:val="1EF048D8"/>
    <w:rsid w:val="1EF5217E"/>
    <w:rsid w:val="1EFB4E1D"/>
    <w:rsid w:val="1F0310C6"/>
    <w:rsid w:val="1F074249"/>
    <w:rsid w:val="1F0E0A8C"/>
    <w:rsid w:val="1F106FB8"/>
    <w:rsid w:val="1F122D30"/>
    <w:rsid w:val="1F1A3246"/>
    <w:rsid w:val="1F1A3993"/>
    <w:rsid w:val="1F1A5BD9"/>
    <w:rsid w:val="1F1C7CAE"/>
    <w:rsid w:val="1F2524D6"/>
    <w:rsid w:val="1F2760B0"/>
    <w:rsid w:val="1F305F3A"/>
    <w:rsid w:val="1F3C1B5B"/>
    <w:rsid w:val="1F4358E2"/>
    <w:rsid w:val="1F4D7A2E"/>
    <w:rsid w:val="1F51312D"/>
    <w:rsid w:val="1F515E97"/>
    <w:rsid w:val="1F5350F7"/>
    <w:rsid w:val="1F642E60"/>
    <w:rsid w:val="1F647304"/>
    <w:rsid w:val="1F664E2A"/>
    <w:rsid w:val="1F685441"/>
    <w:rsid w:val="1F6966C8"/>
    <w:rsid w:val="1F6F65CF"/>
    <w:rsid w:val="1F72557D"/>
    <w:rsid w:val="1F7A6B27"/>
    <w:rsid w:val="1F7C31AE"/>
    <w:rsid w:val="1F7E6397"/>
    <w:rsid w:val="1F8D5DB1"/>
    <w:rsid w:val="1F8E612F"/>
    <w:rsid w:val="1F9574BD"/>
    <w:rsid w:val="1F9C402A"/>
    <w:rsid w:val="1F9E5448"/>
    <w:rsid w:val="1F9F2E3E"/>
    <w:rsid w:val="1FA10F28"/>
    <w:rsid w:val="1FAD0CAB"/>
    <w:rsid w:val="1FB42039"/>
    <w:rsid w:val="1FB57B5F"/>
    <w:rsid w:val="1FB926E2"/>
    <w:rsid w:val="1FB97650"/>
    <w:rsid w:val="1FBE1374"/>
    <w:rsid w:val="1FBF3608"/>
    <w:rsid w:val="1FC16504"/>
    <w:rsid w:val="1FCA53B9"/>
    <w:rsid w:val="1FCD3968"/>
    <w:rsid w:val="1FEA15B7"/>
    <w:rsid w:val="1FF24910"/>
    <w:rsid w:val="1FF64400"/>
    <w:rsid w:val="1FFD23DC"/>
    <w:rsid w:val="20001562"/>
    <w:rsid w:val="2000198D"/>
    <w:rsid w:val="20036B1D"/>
    <w:rsid w:val="200563F1"/>
    <w:rsid w:val="20084133"/>
    <w:rsid w:val="200A3A07"/>
    <w:rsid w:val="200B0E11"/>
    <w:rsid w:val="2018374A"/>
    <w:rsid w:val="202645B9"/>
    <w:rsid w:val="202A6545"/>
    <w:rsid w:val="202D5948"/>
    <w:rsid w:val="20315438"/>
    <w:rsid w:val="20331C4E"/>
    <w:rsid w:val="203D202F"/>
    <w:rsid w:val="203D4A86"/>
    <w:rsid w:val="203E75C4"/>
    <w:rsid w:val="204926DE"/>
    <w:rsid w:val="20541126"/>
    <w:rsid w:val="205904EB"/>
    <w:rsid w:val="20672C08"/>
    <w:rsid w:val="206D3F96"/>
    <w:rsid w:val="207672EF"/>
    <w:rsid w:val="207B6FD6"/>
    <w:rsid w:val="207D6E6A"/>
    <w:rsid w:val="207E28CB"/>
    <w:rsid w:val="20877B82"/>
    <w:rsid w:val="2091615E"/>
    <w:rsid w:val="20947775"/>
    <w:rsid w:val="209B6D55"/>
    <w:rsid w:val="20A35C0A"/>
    <w:rsid w:val="20A43E5C"/>
    <w:rsid w:val="20B3400B"/>
    <w:rsid w:val="20B55D8D"/>
    <w:rsid w:val="20C75D9C"/>
    <w:rsid w:val="20CB216E"/>
    <w:rsid w:val="20D83B05"/>
    <w:rsid w:val="20DB1848"/>
    <w:rsid w:val="20E6394D"/>
    <w:rsid w:val="20EC289F"/>
    <w:rsid w:val="20F16975"/>
    <w:rsid w:val="20F46465"/>
    <w:rsid w:val="20F52909"/>
    <w:rsid w:val="20F841A8"/>
    <w:rsid w:val="20F84E56"/>
    <w:rsid w:val="20FF3D0D"/>
    <w:rsid w:val="21011291"/>
    <w:rsid w:val="210448FA"/>
    <w:rsid w:val="2108447D"/>
    <w:rsid w:val="210B2040"/>
    <w:rsid w:val="21110DC5"/>
    <w:rsid w:val="21130FE1"/>
    <w:rsid w:val="211803A6"/>
    <w:rsid w:val="21182154"/>
    <w:rsid w:val="211A411E"/>
    <w:rsid w:val="211F1734"/>
    <w:rsid w:val="212154AC"/>
    <w:rsid w:val="21221225"/>
    <w:rsid w:val="21302711"/>
    <w:rsid w:val="21307160"/>
    <w:rsid w:val="21354AB4"/>
    <w:rsid w:val="214967B1"/>
    <w:rsid w:val="214B15E9"/>
    <w:rsid w:val="214D3105"/>
    <w:rsid w:val="215215BA"/>
    <w:rsid w:val="21617F9F"/>
    <w:rsid w:val="216830DB"/>
    <w:rsid w:val="21691CF5"/>
    <w:rsid w:val="217403FC"/>
    <w:rsid w:val="217505C5"/>
    <w:rsid w:val="21821CC3"/>
    <w:rsid w:val="21892DA5"/>
    <w:rsid w:val="21893052"/>
    <w:rsid w:val="218B501C"/>
    <w:rsid w:val="219239BD"/>
    <w:rsid w:val="219C0FF9"/>
    <w:rsid w:val="21A14DBB"/>
    <w:rsid w:val="21AD0AEE"/>
    <w:rsid w:val="21B62108"/>
    <w:rsid w:val="21B87493"/>
    <w:rsid w:val="21BA145D"/>
    <w:rsid w:val="21C1459A"/>
    <w:rsid w:val="21D7200F"/>
    <w:rsid w:val="21DE514B"/>
    <w:rsid w:val="21E14C3C"/>
    <w:rsid w:val="21E20569"/>
    <w:rsid w:val="21E42CFC"/>
    <w:rsid w:val="21E8421C"/>
    <w:rsid w:val="21ED1832"/>
    <w:rsid w:val="21EF60F0"/>
    <w:rsid w:val="21FB4D2A"/>
    <w:rsid w:val="22002FFB"/>
    <w:rsid w:val="22010E3A"/>
    <w:rsid w:val="22032E04"/>
    <w:rsid w:val="220B3A67"/>
    <w:rsid w:val="22140B6D"/>
    <w:rsid w:val="221E19EC"/>
    <w:rsid w:val="22205764"/>
    <w:rsid w:val="222409B8"/>
    <w:rsid w:val="22271981"/>
    <w:rsid w:val="222B46FB"/>
    <w:rsid w:val="22347461"/>
    <w:rsid w:val="22372AAE"/>
    <w:rsid w:val="22423AE5"/>
    <w:rsid w:val="22462048"/>
    <w:rsid w:val="224D57AE"/>
    <w:rsid w:val="22535CA8"/>
    <w:rsid w:val="22584426"/>
    <w:rsid w:val="225C10DE"/>
    <w:rsid w:val="225D3CBA"/>
    <w:rsid w:val="22610E74"/>
    <w:rsid w:val="22614E83"/>
    <w:rsid w:val="22731831"/>
    <w:rsid w:val="22794E74"/>
    <w:rsid w:val="22837AA1"/>
    <w:rsid w:val="22872919"/>
    <w:rsid w:val="2288155B"/>
    <w:rsid w:val="22973B7B"/>
    <w:rsid w:val="22A068A5"/>
    <w:rsid w:val="22A55C69"/>
    <w:rsid w:val="22A719E1"/>
    <w:rsid w:val="22A85759"/>
    <w:rsid w:val="22B3482A"/>
    <w:rsid w:val="22B36C43"/>
    <w:rsid w:val="22B91715"/>
    <w:rsid w:val="22B934C3"/>
    <w:rsid w:val="22C24A6D"/>
    <w:rsid w:val="22C35FAF"/>
    <w:rsid w:val="22C5630B"/>
    <w:rsid w:val="22C75BE0"/>
    <w:rsid w:val="22CA26D5"/>
    <w:rsid w:val="22D03653"/>
    <w:rsid w:val="22D447A0"/>
    <w:rsid w:val="22D874CD"/>
    <w:rsid w:val="22E96F31"/>
    <w:rsid w:val="22EC7D96"/>
    <w:rsid w:val="22ED19C5"/>
    <w:rsid w:val="22F10EAE"/>
    <w:rsid w:val="22F14835"/>
    <w:rsid w:val="22F43D1A"/>
    <w:rsid w:val="22FB1D2D"/>
    <w:rsid w:val="22FF7A6F"/>
    <w:rsid w:val="23013D14"/>
    <w:rsid w:val="23090C5F"/>
    <w:rsid w:val="230C0DFC"/>
    <w:rsid w:val="230C7214"/>
    <w:rsid w:val="231352C9"/>
    <w:rsid w:val="23241284"/>
    <w:rsid w:val="23256DAA"/>
    <w:rsid w:val="232E2103"/>
    <w:rsid w:val="233314C7"/>
    <w:rsid w:val="23356FED"/>
    <w:rsid w:val="233966AA"/>
    <w:rsid w:val="23447918"/>
    <w:rsid w:val="23490CEA"/>
    <w:rsid w:val="234A05BF"/>
    <w:rsid w:val="234B6811"/>
    <w:rsid w:val="234F0457"/>
    <w:rsid w:val="23527ECD"/>
    <w:rsid w:val="235D6544"/>
    <w:rsid w:val="2369138D"/>
    <w:rsid w:val="23736D29"/>
    <w:rsid w:val="2375388E"/>
    <w:rsid w:val="237815D0"/>
    <w:rsid w:val="238162D6"/>
    <w:rsid w:val="23825FAA"/>
    <w:rsid w:val="23847F75"/>
    <w:rsid w:val="23852368"/>
    <w:rsid w:val="23865A9B"/>
    <w:rsid w:val="238C0BD7"/>
    <w:rsid w:val="238D3ABD"/>
    <w:rsid w:val="23957A8C"/>
    <w:rsid w:val="239A0F9A"/>
    <w:rsid w:val="239A1546"/>
    <w:rsid w:val="239F5091"/>
    <w:rsid w:val="239F6B5C"/>
    <w:rsid w:val="23A10B26"/>
    <w:rsid w:val="23A44173"/>
    <w:rsid w:val="23A67EEB"/>
    <w:rsid w:val="23B92818"/>
    <w:rsid w:val="23C11DE1"/>
    <w:rsid w:val="23C2284B"/>
    <w:rsid w:val="23C640E9"/>
    <w:rsid w:val="23D04E52"/>
    <w:rsid w:val="23D06D16"/>
    <w:rsid w:val="23D3133D"/>
    <w:rsid w:val="23D42CAA"/>
    <w:rsid w:val="23D65BD5"/>
    <w:rsid w:val="23DE722E"/>
    <w:rsid w:val="23E26A49"/>
    <w:rsid w:val="23E9602A"/>
    <w:rsid w:val="23EB3B50"/>
    <w:rsid w:val="23F3690E"/>
    <w:rsid w:val="23FA0237"/>
    <w:rsid w:val="23FF1EA6"/>
    <w:rsid w:val="24032826"/>
    <w:rsid w:val="24097863"/>
    <w:rsid w:val="240F3CE2"/>
    <w:rsid w:val="24160A97"/>
    <w:rsid w:val="24273408"/>
    <w:rsid w:val="242B219E"/>
    <w:rsid w:val="243A0633"/>
    <w:rsid w:val="243C43AB"/>
    <w:rsid w:val="24457704"/>
    <w:rsid w:val="2446347C"/>
    <w:rsid w:val="2452597D"/>
    <w:rsid w:val="245B0CD5"/>
    <w:rsid w:val="245B4E05"/>
    <w:rsid w:val="245D6E4F"/>
    <w:rsid w:val="245E2574"/>
    <w:rsid w:val="24651B54"/>
    <w:rsid w:val="2471674B"/>
    <w:rsid w:val="24765B0F"/>
    <w:rsid w:val="247E1544"/>
    <w:rsid w:val="248F6BD1"/>
    <w:rsid w:val="249535C4"/>
    <w:rsid w:val="249E0BC2"/>
    <w:rsid w:val="24A47E99"/>
    <w:rsid w:val="24A531E4"/>
    <w:rsid w:val="24AC1531"/>
    <w:rsid w:val="24AC3163"/>
    <w:rsid w:val="24AE61DE"/>
    <w:rsid w:val="24B2466D"/>
    <w:rsid w:val="24BB09F9"/>
    <w:rsid w:val="24BF5C4F"/>
    <w:rsid w:val="24C04FDC"/>
    <w:rsid w:val="24C06D8A"/>
    <w:rsid w:val="24C50845"/>
    <w:rsid w:val="24C90335"/>
    <w:rsid w:val="24D665AE"/>
    <w:rsid w:val="24D80578"/>
    <w:rsid w:val="24E567F1"/>
    <w:rsid w:val="24E64C68"/>
    <w:rsid w:val="24E94533"/>
    <w:rsid w:val="24EC4023"/>
    <w:rsid w:val="24F37160"/>
    <w:rsid w:val="24FF3D57"/>
    <w:rsid w:val="24FF4B61"/>
    <w:rsid w:val="25000C34"/>
    <w:rsid w:val="250273A3"/>
    <w:rsid w:val="25076767"/>
    <w:rsid w:val="25171F9F"/>
    <w:rsid w:val="25186BC6"/>
    <w:rsid w:val="251D41DD"/>
    <w:rsid w:val="251F0933"/>
    <w:rsid w:val="251F6BB5"/>
    <w:rsid w:val="25306256"/>
    <w:rsid w:val="25375729"/>
    <w:rsid w:val="253B6CA7"/>
    <w:rsid w:val="2542088D"/>
    <w:rsid w:val="25424563"/>
    <w:rsid w:val="25454F8F"/>
    <w:rsid w:val="25496D80"/>
    <w:rsid w:val="254E4396"/>
    <w:rsid w:val="25624280"/>
    <w:rsid w:val="25714529"/>
    <w:rsid w:val="257858B7"/>
    <w:rsid w:val="257D4C7B"/>
    <w:rsid w:val="25801646"/>
    <w:rsid w:val="2581269E"/>
    <w:rsid w:val="259326F1"/>
    <w:rsid w:val="25A25862"/>
    <w:rsid w:val="25A95A70"/>
    <w:rsid w:val="25AB6308"/>
    <w:rsid w:val="25B032A3"/>
    <w:rsid w:val="25B12B77"/>
    <w:rsid w:val="25B32976"/>
    <w:rsid w:val="25B3516F"/>
    <w:rsid w:val="25B95E84"/>
    <w:rsid w:val="25C343FD"/>
    <w:rsid w:val="25C36D80"/>
    <w:rsid w:val="25CB1E8B"/>
    <w:rsid w:val="25CD5C03"/>
    <w:rsid w:val="25CF1A3E"/>
    <w:rsid w:val="25DA20CE"/>
    <w:rsid w:val="25E91641"/>
    <w:rsid w:val="25EC4515"/>
    <w:rsid w:val="25F05565"/>
    <w:rsid w:val="25F52A64"/>
    <w:rsid w:val="25F61138"/>
    <w:rsid w:val="25F64D7E"/>
    <w:rsid w:val="25F83A47"/>
    <w:rsid w:val="260D24A3"/>
    <w:rsid w:val="261849C2"/>
    <w:rsid w:val="262159B8"/>
    <w:rsid w:val="26221C5B"/>
    <w:rsid w:val="262C1D01"/>
    <w:rsid w:val="263A491A"/>
    <w:rsid w:val="263B0E41"/>
    <w:rsid w:val="263E265D"/>
    <w:rsid w:val="263F0183"/>
    <w:rsid w:val="26451C3D"/>
    <w:rsid w:val="26467763"/>
    <w:rsid w:val="264834DB"/>
    <w:rsid w:val="26485289"/>
    <w:rsid w:val="264A1001"/>
    <w:rsid w:val="26555BF8"/>
    <w:rsid w:val="265E771A"/>
    <w:rsid w:val="26600825"/>
    <w:rsid w:val="26655E3B"/>
    <w:rsid w:val="266C46BB"/>
    <w:rsid w:val="26797B39"/>
    <w:rsid w:val="267D46AE"/>
    <w:rsid w:val="26802C75"/>
    <w:rsid w:val="26845778"/>
    <w:rsid w:val="268D36A3"/>
    <w:rsid w:val="268E4B32"/>
    <w:rsid w:val="269623EB"/>
    <w:rsid w:val="26976211"/>
    <w:rsid w:val="269949FD"/>
    <w:rsid w:val="26A30712"/>
    <w:rsid w:val="26A36964"/>
    <w:rsid w:val="26A5092E"/>
    <w:rsid w:val="26A526DC"/>
    <w:rsid w:val="26A81E91"/>
    <w:rsid w:val="26B07F89"/>
    <w:rsid w:val="26B26BA7"/>
    <w:rsid w:val="26BD1FB9"/>
    <w:rsid w:val="26BE72FA"/>
    <w:rsid w:val="26C012C4"/>
    <w:rsid w:val="26C30DB4"/>
    <w:rsid w:val="26C51E42"/>
    <w:rsid w:val="26C54B2C"/>
    <w:rsid w:val="26C568DA"/>
    <w:rsid w:val="26C56DC4"/>
    <w:rsid w:val="26CA3EF0"/>
    <w:rsid w:val="26D27C3A"/>
    <w:rsid w:val="26D33D4A"/>
    <w:rsid w:val="26D82000"/>
    <w:rsid w:val="26D905D7"/>
    <w:rsid w:val="26E03714"/>
    <w:rsid w:val="26E1123A"/>
    <w:rsid w:val="26E66850"/>
    <w:rsid w:val="26ED1194"/>
    <w:rsid w:val="26ED7B97"/>
    <w:rsid w:val="26F92A28"/>
    <w:rsid w:val="26FB67A0"/>
    <w:rsid w:val="2700535F"/>
    <w:rsid w:val="27035654"/>
    <w:rsid w:val="270A69E3"/>
    <w:rsid w:val="270E7904"/>
    <w:rsid w:val="271B299E"/>
    <w:rsid w:val="271C2272"/>
    <w:rsid w:val="27221F7E"/>
    <w:rsid w:val="27277595"/>
    <w:rsid w:val="272F2675"/>
    <w:rsid w:val="2735397F"/>
    <w:rsid w:val="27366C18"/>
    <w:rsid w:val="273B4A29"/>
    <w:rsid w:val="27402404"/>
    <w:rsid w:val="27466B1F"/>
    <w:rsid w:val="274719E5"/>
    <w:rsid w:val="274B3515"/>
    <w:rsid w:val="274C0DA9"/>
    <w:rsid w:val="27500FC2"/>
    <w:rsid w:val="2758774E"/>
    <w:rsid w:val="275E2425"/>
    <w:rsid w:val="27693709"/>
    <w:rsid w:val="276B63B5"/>
    <w:rsid w:val="276F6846"/>
    <w:rsid w:val="27702CEA"/>
    <w:rsid w:val="277327DA"/>
    <w:rsid w:val="27736336"/>
    <w:rsid w:val="27796FF1"/>
    <w:rsid w:val="277A3B68"/>
    <w:rsid w:val="277A751E"/>
    <w:rsid w:val="277B51EB"/>
    <w:rsid w:val="277E6DF1"/>
    <w:rsid w:val="277F117F"/>
    <w:rsid w:val="277F4CDB"/>
    <w:rsid w:val="278B5528"/>
    <w:rsid w:val="27902C48"/>
    <w:rsid w:val="27914A0E"/>
    <w:rsid w:val="279369D8"/>
    <w:rsid w:val="279B3ADF"/>
    <w:rsid w:val="27A6495D"/>
    <w:rsid w:val="27AA5AD0"/>
    <w:rsid w:val="27AC1848"/>
    <w:rsid w:val="27B071AE"/>
    <w:rsid w:val="27BB64AE"/>
    <w:rsid w:val="27C22E19"/>
    <w:rsid w:val="27CB43C4"/>
    <w:rsid w:val="27D40731"/>
    <w:rsid w:val="27D81831"/>
    <w:rsid w:val="27D83CA6"/>
    <w:rsid w:val="27D84271"/>
    <w:rsid w:val="27E47234"/>
    <w:rsid w:val="27EC0C1C"/>
    <w:rsid w:val="27F154AD"/>
    <w:rsid w:val="27F356C9"/>
    <w:rsid w:val="27F76F67"/>
    <w:rsid w:val="27F82CDF"/>
    <w:rsid w:val="27FC27CF"/>
    <w:rsid w:val="27FE6547"/>
    <w:rsid w:val="28066922"/>
    <w:rsid w:val="28153891"/>
    <w:rsid w:val="2815563F"/>
    <w:rsid w:val="281556C9"/>
    <w:rsid w:val="28177609"/>
    <w:rsid w:val="282835C4"/>
    <w:rsid w:val="282910EA"/>
    <w:rsid w:val="283D6944"/>
    <w:rsid w:val="28445F24"/>
    <w:rsid w:val="2849353B"/>
    <w:rsid w:val="284B72B3"/>
    <w:rsid w:val="28521FEA"/>
    <w:rsid w:val="285C7A9D"/>
    <w:rsid w:val="285D4160"/>
    <w:rsid w:val="28612632"/>
    <w:rsid w:val="286640ED"/>
    <w:rsid w:val="286A109F"/>
    <w:rsid w:val="286D547B"/>
    <w:rsid w:val="287A7DFC"/>
    <w:rsid w:val="287E7C22"/>
    <w:rsid w:val="28810F26"/>
    <w:rsid w:val="28887BBF"/>
    <w:rsid w:val="288D0383"/>
    <w:rsid w:val="288E230B"/>
    <w:rsid w:val="28940C5A"/>
    <w:rsid w:val="289A5B44"/>
    <w:rsid w:val="289B3D96"/>
    <w:rsid w:val="289C366A"/>
    <w:rsid w:val="289D4DFF"/>
    <w:rsid w:val="28AA222B"/>
    <w:rsid w:val="28B30176"/>
    <w:rsid w:val="28BA51A3"/>
    <w:rsid w:val="28BB4EF5"/>
    <w:rsid w:val="28C17575"/>
    <w:rsid w:val="28C36E49"/>
    <w:rsid w:val="28C616A2"/>
    <w:rsid w:val="28CB22D7"/>
    <w:rsid w:val="28CD1A76"/>
    <w:rsid w:val="28E12450"/>
    <w:rsid w:val="28E201F5"/>
    <w:rsid w:val="28E21F19"/>
    <w:rsid w:val="28E314DB"/>
    <w:rsid w:val="28E877B5"/>
    <w:rsid w:val="28EB5F3E"/>
    <w:rsid w:val="28F0225C"/>
    <w:rsid w:val="29075556"/>
    <w:rsid w:val="2912392D"/>
    <w:rsid w:val="291476A5"/>
    <w:rsid w:val="291B1D32"/>
    <w:rsid w:val="291D0C4F"/>
    <w:rsid w:val="2920429C"/>
    <w:rsid w:val="292C302D"/>
    <w:rsid w:val="293601CE"/>
    <w:rsid w:val="29385A89"/>
    <w:rsid w:val="29422464"/>
    <w:rsid w:val="29475CCC"/>
    <w:rsid w:val="294A709A"/>
    <w:rsid w:val="295700ED"/>
    <w:rsid w:val="295757E3"/>
    <w:rsid w:val="296028EA"/>
    <w:rsid w:val="296323DA"/>
    <w:rsid w:val="2965151A"/>
    <w:rsid w:val="29695C42"/>
    <w:rsid w:val="296E03BC"/>
    <w:rsid w:val="29712D49"/>
    <w:rsid w:val="29732D00"/>
    <w:rsid w:val="297C7618"/>
    <w:rsid w:val="297D1588"/>
    <w:rsid w:val="297D524A"/>
    <w:rsid w:val="29830F29"/>
    <w:rsid w:val="29851EDA"/>
    <w:rsid w:val="29891E41"/>
    <w:rsid w:val="298C1931"/>
    <w:rsid w:val="298C410A"/>
    <w:rsid w:val="29903387"/>
    <w:rsid w:val="299108C6"/>
    <w:rsid w:val="29910CF5"/>
    <w:rsid w:val="29911611"/>
    <w:rsid w:val="29986528"/>
    <w:rsid w:val="299A404E"/>
    <w:rsid w:val="29B3470A"/>
    <w:rsid w:val="29B844D4"/>
    <w:rsid w:val="29BA649E"/>
    <w:rsid w:val="29BF09D7"/>
    <w:rsid w:val="29BF5862"/>
    <w:rsid w:val="29C27101"/>
    <w:rsid w:val="29C27140"/>
    <w:rsid w:val="29C70BBB"/>
    <w:rsid w:val="29CA2459"/>
    <w:rsid w:val="29CE5454"/>
    <w:rsid w:val="29D67050"/>
    <w:rsid w:val="29D818A8"/>
    <w:rsid w:val="29DA269C"/>
    <w:rsid w:val="29DB0335"/>
    <w:rsid w:val="29F446EB"/>
    <w:rsid w:val="29F85218"/>
    <w:rsid w:val="2A005E7B"/>
    <w:rsid w:val="2A067D0E"/>
    <w:rsid w:val="2A071261"/>
    <w:rsid w:val="2A145997"/>
    <w:rsid w:val="2A191F9D"/>
    <w:rsid w:val="2A202079"/>
    <w:rsid w:val="2A261D85"/>
    <w:rsid w:val="2A2C6C70"/>
    <w:rsid w:val="2A306760"/>
    <w:rsid w:val="2A383867"/>
    <w:rsid w:val="2A426494"/>
    <w:rsid w:val="2A4A58B4"/>
    <w:rsid w:val="2A5138F3"/>
    <w:rsid w:val="2A6428AE"/>
    <w:rsid w:val="2A727AC6"/>
    <w:rsid w:val="2A770FD1"/>
    <w:rsid w:val="2A7C4AE1"/>
    <w:rsid w:val="2A7F4FF2"/>
    <w:rsid w:val="2A8645D2"/>
    <w:rsid w:val="2A8E6E14"/>
    <w:rsid w:val="2A900FAD"/>
    <w:rsid w:val="2A92010F"/>
    <w:rsid w:val="2A930A9D"/>
    <w:rsid w:val="2A954815"/>
    <w:rsid w:val="2A9767DF"/>
    <w:rsid w:val="2AA1140C"/>
    <w:rsid w:val="2AA1765E"/>
    <w:rsid w:val="2AA35184"/>
    <w:rsid w:val="2AB0164F"/>
    <w:rsid w:val="2AB23619"/>
    <w:rsid w:val="2AB845D9"/>
    <w:rsid w:val="2ABB0720"/>
    <w:rsid w:val="2AC5435F"/>
    <w:rsid w:val="2AC92CF4"/>
    <w:rsid w:val="2AD03A9F"/>
    <w:rsid w:val="2ADB2B70"/>
    <w:rsid w:val="2ADC0869"/>
    <w:rsid w:val="2AE01F34"/>
    <w:rsid w:val="2AE5754B"/>
    <w:rsid w:val="2AEA46C5"/>
    <w:rsid w:val="2AEF2177"/>
    <w:rsid w:val="2AF567AF"/>
    <w:rsid w:val="2B057BED"/>
    <w:rsid w:val="2B0936F2"/>
    <w:rsid w:val="2B0D6AA1"/>
    <w:rsid w:val="2B117049"/>
    <w:rsid w:val="2B1E0CAF"/>
    <w:rsid w:val="2B2774E7"/>
    <w:rsid w:val="2B2A3061"/>
    <w:rsid w:val="2B2A31B0"/>
    <w:rsid w:val="2B301859"/>
    <w:rsid w:val="2B3109E2"/>
    <w:rsid w:val="2B3423AB"/>
    <w:rsid w:val="2B343AE7"/>
    <w:rsid w:val="2B4A5600"/>
    <w:rsid w:val="2B5533E2"/>
    <w:rsid w:val="2B595843"/>
    <w:rsid w:val="2B5A2397"/>
    <w:rsid w:val="2B5E554F"/>
    <w:rsid w:val="2B632B65"/>
    <w:rsid w:val="2B67502E"/>
    <w:rsid w:val="2B6D2149"/>
    <w:rsid w:val="2B6F5066"/>
    <w:rsid w:val="2B7753CE"/>
    <w:rsid w:val="2B801021"/>
    <w:rsid w:val="2B803EF6"/>
    <w:rsid w:val="2B8243F3"/>
    <w:rsid w:val="2B837289"/>
    <w:rsid w:val="2B8A00F2"/>
    <w:rsid w:val="2B8C79C6"/>
    <w:rsid w:val="2B8F5708"/>
    <w:rsid w:val="2B91773F"/>
    <w:rsid w:val="2B9D399D"/>
    <w:rsid w:val="2B9D6077"/>
    <w:rsid w:val="2BA2543C"/>
    <w:rsid w:val="2BA32F62"/>
    <w:rsid w:val="2BAC5D42"/>
    <w:rsid w:val="2BB05DAB"/>
    <w:rsid w:val="2BB4516F"/>
    <w:rsid w:val="2BC25ADE"/>
    <w:rsid w:val="2BD3181F"/>
    <w:rsid w:val="2BD415E3"/>
    <w:rsid w:val="2BD66E93"/>
    <w:rsid w:val="2BDA11EC"/>
    <w:rsid w:val="2BEF1AC5"/>
    <w:rsid w:val="2BF11F1F"/>
    <w:rsid w:val="2BF13CCD"/>
    <w:rsid w:val="2BF534BB"/>
    <w:rsid w:val="2BFD6B16"/>
    <w:rsid w:val="2C041C52"/>
    <w:rsid w:val="2C0559CB"/>
    <w:rsid w:val="2C0945A2"/>
    <w:rsid w:val="2C0B172B"/>
    <w:rsid w:val="2C0B2FE1"/>
    <w:rsid w:val="2C0F0D1A"/>
    <w:rsid w:val="2C1005F7"/>
    <w:rsid w:val="2C11747E"/>
    <w:rsid w:val="2C183950"/>
    <w:rsid w:val="2C1F6A8C"/>
    <w:rsid w:val="2C2045B2"/>
    <w:rsid w:val="2C205FFD"/>
    <w:rsid w:val="2C272ABE"/>
    <w:rsid w:val="2C273B93"/>
    <w:rsid w:val="2C275941"/>
    <w:rsid w:val="2C387B4E"/>
    <w:rsid w:val="2C3B319A"/>
    <w:rsid w:val="2C3D6F12"/>
    <w:rsid w:val="2C477D91"/>
    <w:rsid w:val="2C491D5B"/>
    <w:rsid w:val="2C55108D"/>
    <w:rsid w:val="2C5D1234"/>
    <w:rsid w:val="2C5F332D"/>
    <w:rsid w:val="2C66290D"/>
    <w:rsid w:val="2C7072E8"/>
    <w:rsid w:val="2C723060"/>
    <w:rsid w:val="2C73105E"/>
    <w:rsid w:val="2C736DD8"/>
    <w:rsid w:val="2C770547"/>
    <w:rsid w:val="2C792640"/>
    <w:rsid w:val="2C7A3CC3"/>
    <w:rsid w:val="2C7F3F24"/>
    <w:rsid w:val="2C7F577D"/>
    <w:rsid w:val="2C862667"/>
    <w:rsid w:val="2C8C52A9"/>
    <w:rsid w:val="2C901814"/>
    <w:rsid w:val="2C925651"/>
    <w:rsid w:val="2C9B0B68"/>
    <w:rsid w:val="2C9C00DD"/>
    <w:rsid w:val="2C9C6B81"/>
    <w:rsid w:val="2C9E6947"/>
    <w:rsid w:val="2CA62D0A"/>
    <w:rsid w:val="2CAE7E10"/>
    <w:rsid w:val="2CB6543B"/>
    <w:rsid w:val="2CBC077F"/>
    <w:rsid w:val="2CC82C80"/>
    <w:rsid w:val="2CCE3CC1"/>
    <w:rsid w:val="2CDB24BC"/>
    <w:rsid w:val="2CE476DF"/>
    <w:rsid w:val="2CEA52EC"/>
    <w:rsid w:val="2CF021D7"/>
    <w:rsid w:val="2CF55A3F"/>
    <w:rsid w:val="2CF5618E"/>
    <w:rsid w:val="2CF56940"/>
    <w:rsid w:val="2CFC4DC2"/>
    <w:rsid w:val="2CFD072A"/>
    <w:rsid w:val="2D0068BE"/>
    <w:rsid w:val="2D0619FA"/>
    <w:rsid w:val="2D0F2CDA"/>
    <w:rsid w:val="2D174758"/>
    <w:rsid w:val="2D1934DC"/>
    <w:rsid w:val="2D1979A7"/>
    <w:rsid w:val="2D1F6CCF"/>
    <w:rsid w:val="2D202ABC"/>
    <w:rsid w:val="2D23435A"/>
    <w:rsid w:val="2D327144"/>
    <w:rsid w:val="2D3A08E5"/>
    <w:rsid w:val="2D3B5B48"/>
    <w:rsid w:val="2D430559"/>
    <w:rsid w:val="2D4634D1"/>
    <w:rsid w:val="2D46629B"/>
    <w:rsid w:val="2D483CEA"/>
    <w:rsid w:val="2D4C1B03"/>
    <w:rsid w:val="2D524C40"/>
    <w:rsid w:val="2D5533FD"/>
    <w:rsid w:val="2D6432F0"/>
    <w:rsid w:val="2D662499"/>
    <w:rsid w:val="2D6A1F89"/>
    <w:rsid w:val="2D6F2631"/>
    <w:rsid w:val="2D7746A6"/>
    <w:rsid w:val="2D855015"/>
    <w:rsid w:val="2D8E56EA"/>
    <w:rsid w:val="2D917516"/>
    <w:rsid w:val="2D9C172F"/>
    <w:rsid w:val="2D9D410D"/>
    <w:rsid w:val="2DA376BD"/>
    <w:rsid w:val="2DA73464"/>
    <w:rsid w:val="2DAC4350"/>
    <w:rsid w:val="2DAD1E76"/>
    <w:rsid w:val="2DAE369B"/>
    <w:rsid w:val="2DB15421"/>
    <w:rsid w:val="2DB15E0A"/>
    <w:rsid w:val="2DCE06C5"/>
    <w:rsid w:val="2DCF44E2"/>
    <w:rsid w:val="2DD30621"/>
    <w:rsid w:val="2DD6761F"/>
    <w:rsid w:val="2DDD09AD"/>
    <w:rsid w:val="2DDE6026"/>
    <w:rsid w:val="2DE735DA"/>
    <w:rsid w:val="2DE75388"/>
    <w:rsid w:val="2DE81100"/>
    <w:rsid w:val="2DEC6FC8"/>
    <w:rsid w:val="2DEE2BBA"/>
    <w:rsid w:val="2DF14458"/>
    <w:rsid w:val="2DF36F65"/>
    <w:rsid w:val="2DF50A02"/>
    <w:rsid w:val="2DF81343"/>
    <w:rsid w:val="2DF937A8"/>
    <w:rsid w:val="2E0D0F34"/>
    <w:rsid w:val="2E0E500A"/>
    <w:rsid w:val="2E111921"/>
    <w:rsid w:val="2E150147"/>
    <w:rsid w:val="2E165C6D"/>
    <w:rsid w:val="2E1A6963"/>
    <w:rsid w:val="2E1B3283"/>
    <w:rsid w:val="2E1B541D"/>
    <w:rsid w:val="2E2358C4"/>
    <w:rsid w:val="2E2C723F"/>
    <w:rsid w:val="2E310CF9"/>
    <w:rsid w:val="2E36630F"/>
    <w:rsid w:val="2E3A195C"/>
    <w:rsid w:val="2E3C058D"/>
    <w:rsid w:val="2E431036"/>
    <w:rsid w:val="2E4A5917"/>
    <w:rsid w:val="2E530917"/>
    <w:rsid w:val="2E573862"/>
    <w:rsid w:val="2E5F0C01"/>
    <w:rsid w:val="2E625356"/>
    <w:rsid w:val="2E65597D"/>
    <w:rsid w:val="2E6609A2"/>
    <w:rsid w:val="2E6A7D67"/>
    <w:rsid w:val="2E6E7857"/>
    <w:rsid w:val="2E74730E"/>
    <w:rsid w:val="2E7C6418"/>
    <w:rsid w:val="2E7D624D"/>
    <w:rsid w:val="2E7F7CB6"/>
    <w:rsid w:val="2E8428C3"/>
    <w:rsid w:val="2E873047"/>
    <w:rsid w:val="2E8C23C9"/>
    <w:rsid w:val="2E8C5F2F"/>
    <w:rsid w:val="2E955EBE"/>
    <w:rsid w:val="2E980D78"/>
    <w:rsid w:val="2E9D7B2B"/>
    <w:rsid w:val="2EA17C2D"/>
    <w:rsid w:val="2EA25753"/>
    <w:rsid w:val="2EA63495"/>
    <w:rsid w:val="2EA80C57"/>
    <w:rsid w:val="2EAA4211"/>
    <w:rsid w:val="2EAD042C"/>
    <w:rsid w:val="2EB176A9"/>
    <w:rsid w:val="2EB80461"/>
    <w:rsid w:val="2EBD5A03"/>
    <w:rsid w:val="2EC13E2B"/>
    <w:rsid w:val="2EC92CDF"/>
    <w:rsid w:val="2ECD27D0"/>
    <w:rsid w:val="2ECE46D3"/>
    <w:rsid w:val="2ED0406E"/>
    <w:rsid w:val="2ED33B5E"/>
    <w:rsid w:val="2ED45485"/>
    <w:rsid w:val="2EDA313F"/>
    <w:rsid w:val="2EDC2A13"/>
    <w:rsid w:val="2EDC4FA7"/>
    <w:rsid w:val="2EE22E29"/>
    <w:rsid w:val="2EE26446"/>
    <w:rsid w:val="2EEB70FA"/>
    <w:rsid w:val="2EF51D26"/>
    <w:rsid w:val="2EFA733D"/>
    <w:rsid w:val="2F1523C9"/>
    <w:rsid w:val="2F1C0726"/>
    <w:rsid w:val="2F210D6D"/>
    <w:rsid w:val="2F217FF4"/>
    <w:rsid w:val="2F230642"/>
    <w:rsid w:val="2F2B74F6"/>
    <w:rsid w:val="2F340AA1"/>
    <w:rsid w:val="2F413E9A"/>
    <w:rsid w:val="2F414F6C"/>
    <w:rsid w:val="2F432A92"/>
    <w:rsid w:val="2F4D1B62"/>
    <w:rsid w:val="2F4F1437"/>
    <w:rsid w:val="2F542EF1"/>
    <w:rsid w:val="2F5E28BE"/>
    <w:rsid w:val="2F6173BC"/>
    <w:rsid w:val="2F642A08"/>
    <w:rsid w:val="2F661B80"/>
    <w:rsid w:val="2F6649D2"/>
    <w:rsid w:val="2F6B655C"/>
    <w:rsid w:val="2F6F607B"/>
    <w:rsid w:val="2F8008D4"/>
    <w:rsid w:val="2F8530AA"/>
    <w:rsid w:val="2F887613"/>
    <w:rsid w:val="2F99381C"/>
    <w:rsid w:val="2F9B28CE"/>
    <w:rsid w:val="2F9C03F4"/>
    <w:rsid w:val="2F9E1473"/>
    <w:rsid w:val="2FA46D9F"/>
    <w:rsid w:val="2FA74051"/>
    <w:rsid w:val="2FBE7E66"/>
    <w:rsid w:val="2FC00AE0"/>
    <w:rsid w:val="2FC605EB"/>
    <w:rsid w:val="2FCF4325"/>
    <w:rsid w:val="2FD14541"/>
    <w:rsid w:val="2FD8767E"/>
    <w:rsid w:val="2FDB53C0"/>
    <w:rsid w:val="2FDB7B56"/>
    <w:rsid w:val="2FDC4E2A"/>
    <w:rsid w:val="2FE11064"/>
    <w:rsid w:val="2FE14059"/>
    <w:rsid w:val="2FE242D3"/>
    <w:rsid w:val="2FE8636E"/>
    <w:rsid w:val="2FE86FB4"/>
    <w:rsid w:val="2FEC137B"/>
    <w:rsid w:val="2FF26266"/>
    <w:rsid w:val="2FF71FFE"/>
    <w:rsid w:val="2FFB02B2"/>
    <w:rsid w:val="3002386D"/>
    <w:rsid w:val="300761B5"/>
    <w:rsid w:val="300D4E4E"/>
    <w:rsid w:val="30106CC8"/>
    <w:rsid w:val="30112B90"/>
    <w:rsid w:val="3014122E"/>
    <w:rsid w:val="301B3A0F"/>
    <w:rsid w:val="301C1C7F"/>
    <w:rsid w:val="301D771F"/>
    <w:rsid w:val="301E3B7E"/>
    <w:rsid w:val="3022738F"/>
    <w:rsid w:val="30230C05"/>
    <w:rsid w:val="30240B15"/>
    <w:rsid w:val="302A5E34"/>
    <w:rsid w:val="302C362B"/>
    <w:rsid w:val="302C5C1C"/>
    <w:rsid w:val="30332B06"/>
    <w:rsid w:val="3034062C"/>
    <w:rsid w:val="303B19BB"/>
    <w:rsid w:val="305807BF"/>
    <w:rsid w:val="3058256D"/>
    <w:rsid w:val="305B26DB"/>
    <w:rsid w:val="305D51A1"/>
    <w:rsid w:val="30647164"/>
    <w:rsid w:val="30711881"/>
    <w:rsid w:val="307123C1"/>
    <w:rsid w:val="30717AD3"/>
    <w:rsid w:val="30755179"/>
    <w:rsid w:val="307D6477"/>
    <w:rsid w:val="308B0B94"/>
    <w:rsid w:val="308B1EC6"/>
    <w:rsid w:val="309A2B85"/>
    <w:rsid w:val="309C4B4F"/>
    <w:rsid w:val="309F7E37"/>
    <w:rsid w:val="30A13F14"/>
    <w:rsid w:val="30A32EA5"/>
    <w:rsid w:val="30A734F4"/>
    <w:rsid w:val="30A752A2"/>
    <w:rsid w:val="30B2336D"/>
    <w:rsid w:val="30BB2AFC"/>
    <w:rsid w:val="30D413E9"/>
    <w:rsid w:val="30D836AE"/>
    <w:rsid w:val="30D8545C"/>
    <w:rsid w:val="30E67B79"/>
    <w:rsid w:val="30E87D95"/>
    <w:rsid w:val="30EE2ED1"/>
    <w:rsid w:val="30F304E8"/>
    <w:rsid w:val="30F85AFE"/>
    <w:rsid w:val="30FC114A"/>
    <w:rsid w:val="30FF0C3A"/>
    <w:rsid w:val="310224D9"/>
    <w:rsid w:val="310340D6"/>
    <w:rsid w:val="3104551C"/>
    <w:rsid w:val="310F3573"/>
    <w:rsid w:val="31112FFC"/>
    <w:rsid w:val="3115045E"/>
    <w:rsid w:val="311C17EC"/>
    <w:rsid w:val="311D7312"/>
    <w:rsid w:val="31215055"/>
    <w:rsid w:val="312564C7"/>
    <w:rsid w:val="312A7162"/>
    <w:rsid w:val="312B1A2F"/>
    <w:rsid w:val="31314FDD"/>
    <w:rsid w:val="31377571"/>
    <w:rsid w:val="3139239E"/>
    <w:rsid w:val="313F54DB"/>
    <w:rsid w:val="3140197F"/>
    <w:rsid w:val="314152E9"/>
    <w:rsid w:val="314552F4"/>
    <w:rsid w:val="314C3EC5"/>
    <w:rsid w:val="3154222C"/>
    <w:rsid w:val="315A1A07"/>
    <w:rsid w:val="315C7A9A"/>
    <w:rsid w:val="315F2658"/>
    <w:rsid w:val="316513E5"/>
    <w:rsid w:val="3166515D"/>
    <w:rsid w:val="31680BFC"/>
    <w:rsid w:val="317A4765"/>
    <w:rsid w:val="318558C6"/>
    <w:rsid w:val="318A0E4C"/>
    <w:rsid w:val="318F0210"/>
    <w:rsid w:val="319770C5"/>
    <w:rsid w:val="31A11CF2"/>
    <w:rsid w:val="31AB53D1"/>
    <w:rsid w:val="31B639EF"/>
    <w:rsid w:val="31B76320"/>
    <w:rsid w:val="31C01A76"/>
    <w:rsid w:val="31C3610C"/>
    <w:rsid w:val="31D00DE1"/>
    <w:rsid w:val="31DD52F7"/>
    <w:rsid w:val="31E7004C"/>
    <w:rsid w:val="31E93F71"/>
    <w:rsid w:val="31EF5153"/>
    <w:rsid w:val="31EF6F01"/>
    <w:rsid w:val="31F14A11"/>
    <w:rsid w:val="31F461F3"/>
    <w:rsid w:val="3200110E"/>
    <w:rsid w:val="32037827"/>
    <w:rsid w:val="320C7AB3"/>
    <w:rsid w:val="32140715"/>
    <w:rsid w:val="32146967"/>
    <w:rsid w:val="322B427E"/>
    <w:rsid w:val="32317519"/>
    <w:rsid w:val="323D2944"/>
    <w:rsid w:val="323D57AC"/>
    <w:rsid w:val="324C7EAF"/>
    <w:rsid w:val="32555EB0"/>
    <w:rsid w:val="325925CC"/>
    <w:rsid w:val="325F5E35"/>
    <w:rsid w:val="326E4FA1"/>
    <w:rsid w:val="327D234B"/>
    <w:rsid w:val="328533F3"/>
    <w:rsid w:val="329158C3"/>
    <w:rsid w:val="32917D37"/>
    <w:rsid w:val="32933D30"/>
    <w:rsid w:val="329F0927"/>
    <w:rsid w:val="32A04E06"/>
    <w:rsid w:val="32A23F73"/>
    <w:rsid w:val="32A47CEB"/>
    <w:rsid w:val="32B12408"/>
    <w:rsid w:val="32B617CD"/>
    <w:rsid w:val="32BB5035"/>
    <w:rsid w:val="32CB5278"/>
    <w:rsid w:val="32D050B8"/>
    <w:rsid w:val="32D3412D"/>
    <w:rsid w:val="32D40E9D"/>
    <w:rsid w:val="32D62101"/>
    <w:rsid w:val="32DD31FD"/>
    <w:rsid w:val="32ED628D"/>
    <w:rsid w:val="32F01183"/>
    <w:rsid w:val="32F4136F"/>
    <w:rsid w:val="32F66DD2"/>
    <w:rsid w:val="32FC7B27"/>
    <w:rsid w:val="32FF13C6"/>
    <w:rsid w:val="330712A3"/>
    <w:rsid w:val="33092677"/>
    <w:rsid w:val="330B7D6A"/>
    <w:rsid w:val="33114C55"/>
    <w:rsid w:val="331309CD"/>
    <w:rsid w:val="33137852"/>
    <w:rsid w:val="331D7A9E"/>
    <w:rsid w:val="331F7372"/>
    <w:rsid w:val="33234A54"/>
    <w:rsid w:val="333D5A4A"/>
    <w:rsid w:val="333E7D22"/>
    <w:rsid w:val="3341553A"/>
    <w:rsid w:val="335039CF"/>
    <w:rsid w:val="33596D28"/>
    <w:rsid w:val="335F00B6"/>
    <w:rsid w:val="336456CD"/>
    <w:rsid w:val="33694A91"/>
    <w:rsid w:val="336D27D3"/>
    <w:rsid w:val="33743B62"/>
    <w:rsid w:val="337A3D8F"/>
    <w:rsid w:val="337B6DB5"/>
    <w:rsid w:val="337D1038"/>
    <w:rsid w:val="337E1B30"/>
    <w:rsid w:val="33802506"/>
    <w:rsid w:val="33884F17"/>
    <w:rsid w:val="338A5133"/>
    <w:rsid w:val="338D077F"/>
    <w:rsid w:val="339A10EE"/>
    <w:rsid w:val="339B5F8C"/>
    <w:rsid w:val="33A1422B"/>
    <w:rsid w:val="33AC4A66"/>
    <w:rsid w:val="33B01021"/>
    <w:rsid w:val="33B61ACD"/>
    <w:rsid w:val="33C65A3F"/>
    <w:rsid w:val="33CB74FA"/>
    <w:rsid w:val="33CE30CC"/>
    <w:rsid w:val="33D740F0"/>
    <w:rsid w:val="33DB773D"/>
    <w:rsid w:val="33E37B7D"/>
    <w:rsid w:val="33E86ED3"/>
    <w:rsid w:val="33EB09B8"/>
    <w:rsid w:val="33ED255F"/>
    <w:rsid w:val="33F407FF"/>
    <w:rsid w:val="33F425AD"/>
    <w:rsid w:val="33F7209D"/>
    <w:rsid w:val="33F85C2A"/>
    <w:rsid w:val="340A0ADC"/>
    <w:rsid w:val="340D7B12"/>
    <w:rsid w:val="34142C4F"/>
    <w:rsid w:val="34227DA3"/>
    <w:rsid w:val="34243C07"/>
    <w:rsid w:val="342509B8"/>
    <w:rsid w:val="3437693D"/>
    <w:rsid w:val="343B642D"/>
    <w:rsid w:val="343E5A03"/>
    <w:rsid w:val="34533777"/>
    <w:rsid w:val="34583820"/>
    <w:rsid w:val="345A1857"/>
    <w:rsid w:val="345D2848"/>
    <w:rsid w:val="34651E6B"/>
    <w:rsid w:val="34741A8A"/>
    <w:rsid w:val="34825DD1"/>
    <w:rsid w:val="348F22D5"/>
    <w:rsid w:val="349072D0"/>
    <w:rsid w:val="3491604D"/>
    <w:rsid w:val="349524D6"/>
    <w:rsid w:val="349D2C44"/>
    <w:rsid w:val="349D49F2"/>
    <w:rsid w:val="349E076A"/>
    <w:rsid w:val="34A30995"/>
    <w:rsid w:val="34A35D81"/>
    <w:rsid w:val="34AA2E36"/>
    <w:rsid w:val="34B00BC9"/>
    <w:rsid w:val="34B1049E"/>
    <w:rsid w:val="34B166F0"/>
    <w:rsid w:val="34BA37F6"/>
    <w:rsid w:val="34C06933"/>
    <w:rsid w:val="34C44675"/>
    <w:rsid w:val="34CC177B"/>
    <w:rsid w:val="34CE1050"/>
    <w:rsid w:val="34CE72A2"/>
    <w:rsid w:val="34CF54B7"/>
    <w:rsid w:val="34D10B40"/>
    <w:rsid w:val="34D673D9"/>
    <w:rsid w:val="34EA300E"/>
    <w:rsid w:val="34ED1748"/>
    <w:rsid w:val="34EE524E"/>
    <w:rsid w:val="34F30AB6"/>
    <w:rsid w:val="34F361F7"/>
    <w:rsid w:val="34FF6641"/>
    <w:rsid w:val="35013260"/>
    <w:rsid w:val="35042CC3"/>
    <w:rsid w:val="350E272A"/>
    <w:rsid w:val="35101668"/>
    <w:rsid w:val="351849C1"/>
    <w:rsid w:val="351A3611"/>
    <w:rsid w:val="352C3FC8"/>
    <w:rsid w:val="352C5D76"/>
    <w:rsid w:val="35327830"/>
    <w:rsid w:val="35335357"/>
    <w:rsid w:val="353A3B27"/>
    <w:rsid w:val="353E4427"/>
    <w:rsid w:val="354237EC"/>
    <w:rsid w:val="354402E0"/>
    <w:rsid w:val="354A3140"/>
    <w:rsid w:val="354E2190"/>
    <w:rsid w:val="355B00FA"/>
    <w:rsid w:val="35610116"/>
    <w:rsid w:val="35645510"/>
    <w:rsid w:val="356D03A3"/>
    <w:rsid w:val="356F785E"/>
    <w:rsid w:val="35727C2D"/>
    <w:rsid w:val="35892D19"/>
    <w:rsid w:val="358B6F41"/>
    <w:rsid w:val="358C1A4D"/>
    <w:rsid w:val="358E07DF"/>
    <w:rsid w:val="359027A9"/>
    <w:rsid w:val="35942299"/>
    <w:rsid w:val="3595319A"/>
    <w:rsid w:val="359758E5"/>
    <w:rsid w:val="359A73B9"/>
    <w:rsid w:val="35A63D7A"/>
    <w:rsid w:val="35A9270C"/>
    <w:rsid w:val="35B11A4A"/>
    <w:rsid w:val="35BC7646"/>
    <w:rsid w:val="35BE4DEE"/>
    <w:rsid w:val="35BF7503"/>
    <w:rsid w:val="35C10BB4"/>
    <w:rsid w:val="35D4276C"/>
    <w:rsid w:val="35DB7EC8"/>
    <w:rsid w:val="35DC59EE"/>
    <w:rsid w:val="35E30B2B"/>
    <w:rsid w:val="35E52AF5"/>
    <w:rsid w:val="35E62305"/>
    <w:rsid w:val="35ED19A9"/>
    <w:rsid w:val="35EE3A57"/>
    <w:rsid w:val="35EF7A5E"/>
    <w:rsid w:val="35F009B3"/>
    <w:rsid w:val="35F363F2"/>
    <w:rsid w:val="35FE5964"/>
    <w:rsid w:val="3600792F"/>
    <w:rsid w:val="360A255B"/>
    <w:rsid w:val="36146F36"/>
    <w:rsid w:val="3619454C"/>
    <w:rsid w:val="361C6ADA"/>
    <w:rsid w:val="36213401"/>
    <w:rsid w:val="362342C0"/>
    <w:rsid w:val="362C0724"/>
    <w:rsid w:val="36301896"/>
    <w:rsid w:val="36323860"/>
    <w:rsid w:val="363C648D"/>
    <w:rsid w:val="36401AD9"/>
    <w:rsid w:val="36413AA3"/>
    <w:rsid w:val="36447442"/>
    <w:rsid w:val="36483084"/>
    <w:rsid w:val="36486BE0"/>
    <w:rsid w:val="364C4ED5"/>
    <w:rsid w:val="364C66D0"/>
    <w:rsid w:val="36514B54"/>
    <w:rsid w:val="36527A5E"/>
    <w:rsid w:val="365D6B2F"/>
    <w:rsid w:val="365E28A7"/>
    <w:rsid w:val="366003CD"/>
    <w:rsid w:val="36617CA1"/>
    <w:rsid w:val="3666511F"/>
    <w:rsid w:val="366A20E8"/>
    <w:rsid w:val="366B33B5"/>
    <w:rsid w:val="366D6646"/>
    <w:rsid w:val="366F6862"/>
    <w:rsid w:val="367479D5"/>
    <w:rsid w:val="36800E26"/>
    <w:rsid w:val="36835C3C"/>
    <w:rsid w:val="368A369C"/>
    <w:rsid w:val="368D6CE8"/>
    <w:rsid w:val="36932551"/>
    <w:rsid w:val="369C7F24"/>
    <w:rsid w:val="369D517D"/>
    <w:rsid w:val="36A52284"/>
    <w:rsid w:val="36AA39B8"/>
    <w:rsid w:val="36AF4EB1"/>
    <w:rsid w:val="36B97ADD"/>
    <w:rsid w:val="36BB3856"/>
    <w:rsid w:val="36BD137C"/>
    <w:rsid w:val="36BD5820"/>
    <w:rsid w:val="36BF3F73"/>
    <w:rsid w:val="36BF65F8"/>
    <w:rsid w:val="36C546D4"/>
    <w:rsid w:val="36D01774"/>
    <w:rsid w:val="36D466C5"/>
    <w:rsid w:val="36D81FBC"/>
    <w:rsid w:val="36E33962"/>
    <w:rsid w:val="36E35853"/>
    <w:rsid w:val="36E36908"/>
    <w:rsid w:val="36E42DAC"/>
    <w:rsid w:val="36E62284"/>
    <w:rsid w:val="36E92171"/>
    <w:rsid w:val="36E95DB3"/>
    <w:rsid w:val="36EA5EE9"/>
    <w:rsid w:val="36F01751"/>
    <w:rsid w:val="36F823B4"/>
    <w:rsid w:val="36FA1D41"/>
    <w:rsid w:val="36FC6348"/>
    <w:rsid w:val="36FD1554"/>
    <w:rsid w:val="36FD67A6"/>
    <w:rsid w:val="370276D6"/>
    <w:rsid w:val="370451FC"/>
    <w:rsid w:val="37101456"/>
    <w:rsid w:val="37101585"/>
    <w:rsid w:val="371C5729"/>
    <w:rsid w:val="37296A11"/>
    <w:rsid w:val="372C4753"/>
    <w:rsid w:val="372D065C"/>
    <w:rsid w:val="373051B9"/>
    <w:rsid w:val="37321D6A"/>
    <w:rsid w:val="3733141E"/>
    <w:rsid w:val="37355484"/>
    <w:rsid w:val="37377380"/>
    <w:rsid w:val="3743102C"/>
    <w:rsid w:val="3744384B"/>
    <w:rsid w:val="375B2943"/>
    <w:rsid w:val="375F2433"/>
    <w:rsid w:val="37620175"/>
    <w:rsid w:val="376B527C"/>
    <w:rsid w:val="376C68FE"/>
    <w:rsid w:val="376E08C8"/>
    <w:rsid w:val="37751C56"/>
    <w:rsid w:val="377A6184"/>
    <w:rsid w:val="377C1237"/>
    <w:rsid w:val="3790083E"/>
    <w:rsid w:val="37906A90"/>
    <w:rsid w:val="3793032E"/>
    <w:rsid w:val="379522F8"/>
    <w:rsid w:val="379D4E7C"/>
    <w:rsid w:val="37A33238"/>
    <w:rsid w:val="37A60062"/>
    <w:rsid w:val="37AA2247"/>
    <w:rsid w:val="37B26C5F"/>
    <w:rsid w:val="37B75A65"/>
    <w:rsid w:val="37C91941"/>
    <w:rsid w:val="37D0796C"/>
    <w:rsid w:val="37D1563F"/>
    <w:rsid w:val="37D96E1D"/>
    <w:rsid w:val="37E42938"/>
    <w:rsid w:val="37E62B54"/>
    <w:rsid w:val="37EF0C54"/>
    <w:rsid w:val="38003C16"/>
    <w:rsid w:val="3801798E"/>
    <w:rsid w:val="38064FA4"/>
    <w:rsid w:val="38082FEA"/>
    <w:rsid w:val="38084878"/>
    <w:rsid w:val="38116DC1"/>
    <w:rsid w:val="381327B7"/>
    <w:rsid w:val="3814146F"/>
    <w:rsid w:val="381F3748"/>
    <w:rsid w:val="38237904"/>
    <w:rsid w:val="38274CEF"/>
    <w:rsid w:val="3827513D"/>
    <w:rsid w:val="38360FFB"/>
    <w:rsid w:val="38392C84"/>
    <w:rsid w:val="384855BD"/>
    <w:rsid w:val="384B29B7"/>
    <w:rsid w:val="384B50F9"/>
    <w:rsid w:val="384F4255"/>
    <w:rsid w:val="38561A88"/>
    <w:rsid w:val="385742E2"/>
    <w:rsid w:val="38575800"/>
    <w:rsid w:val="386C12AB"/>
    <w:rsid w:val="38732073"/>
    <w:rsid w:val="38765C86"/>
    <w:rsid w:val="387D19E1"/>
    <w:rsid w:val="387F7B7E"/>
    <w:rsid w:val="3882200B"/>
    <w:rsid w:val="388C65D7"/>
    <w:rsid w:val="388D6C6C"/>
    <w:rsid w:val="38920BEE"/>
    <w:rsid w:val="3894508B"/>
    <w:rsid w:val="38961E84"/>
    <w:rsid w:val="389F4F03"/>
    <w:rsid w:val="38A41E64"/>
    <w:rsid w:val="38A65E3F"/>
    <w:rsid w:val="38A856BD"/>
    <w:rsid w:val="38A926B2"/>
    <w:rsid w:val="38B262D2"/>
    <w:rsid w:val="38B3559A"/>
    <w:rsid w:val="38B36EDA"/>
    <w:rsid w:val="38B54006"/>
    <w:rsid w:val="38B92017"/>
    <w:rsid w:val="38C22C79"/>
    <w:rsid w:val="38C42E95"/>
    <w:rsid w:val="38CC58A6"/>
    <w:rsid w:val="38CE1D29"/>
    <w:rsid w:val="38CF7F70"/>
    <w:rsid w:val="38E6581B"/>
    <w:rsid w:val="38EE7F12"/>
    <w:rsid w:val="39070FD4"/>
    <w:rsid w:val="39072D82"/>
    <w:rsid w:val="390A335F"/>
    <w:rsid w:val="390B2A2C"/>
    <w:rsid w:val="3910336A"/>
    <w:rsid w:val="3911678C"/>
    <w:rsid w:val="39151F0C"/>
    <w:rsid w:val="39155C4E"/>
    <w:rsid w:val="39180AEB"/>
    <w:rsid w:val="391A2AB5"/>
    <w:rsid w:val="39225E0E"/>
    <w:rsid w:val="392E6561"/>
    <w:rsid w:val="39332BC6"/>
    <w:rsid w:val="393873DF"/>
    <w:rsid w:val="393A301B"/>
    <w:rsid w:val="393B1A26"/>
    <w:rsid w:val="39450E69"/>
    <w:rsid w:val="394642E6"/>
    <w:rsid w:val="39465D70"/>
    <w:rsid w:val="3954081F"/>
    <w:rsid w:val="395810AB"/>
    <w:rsid w:val="395838F5"/>
    <w:rsid w:val="395B30CE"/>
    <w:rsid w:val="395C1320"/>
    <w:rsid w:val="395D6E46"/>
    <w:rsid w:val="396D19F9"/>
    <w:rsid w:val="39727B1D"/>
    <w:rsid w:val="39811C35"/>
    <w:rsid w:val="39820717"/>
    <w:rsid w:val="398C14D9"/>
    <w:rsid w:val="399C171C"/>
    <w:rsid w:val="39A14F85"/>
    <w:rsid w:val="39A52F16"/>
    <w:rsid w:val="39A700C1"/>
    <w:rsid w:val="39B822CE"/>
    <w:rsid w:val="39B86EAB"/>
    <w:rsid w:val="39BA6046"/>
    <w:rsid w:val="39BA7DF4"/>
    <w:rsid w:val="39BC1DBE"/>
    <w:rsid w:val="39C561B9"/>
    <w:rsid w:val="39CE564E"/>
    <w:rsid w:val="39CE6256"/>
    <w:rsid w:val="39DE5F88"/>
    <w:rsid w:val="39E11825"/>
    <w:rsid w:val="39E42F5C"/>
    <w:rsid w:val="39E74972"/>
    <w:rsid w:val="39ED21F8"/>
    <w:rsid w:val="39EE7AC7"/>
    <w:rsid w:val="39F23A32"/>
    <w:rsid w:val="39F2758E"/>
    <w:rsid w:val="3A011E34"/>
    <w:rsid w:val="3A0A11C0"/>
    <w:rsid w:val="3A1143F9"/>
    <w:rsid w:val="3A137505"/>
    <w:rsid w:val="3A1439A9"/>
    <w:rsid w:val="3A1B38E8"/>
    <w:rsid w:val="3A1B6104"/>
    <w:rsid w:val="3A1C0AAF"/>
    <w:rsid w:val="3A1E1C6B"/>
    <w:rsid w:val="3A217E73"/>
    <w:rsid w:val="3A231E3E"/>
    <w:rsid w:val="3A255BB6"/>
    <w:rsid w:val="3A257964"/>
    <w:rsid w:val="3A300F0F"/>
    <w:rsid w:val="3A3873F5"/>
    <w:rsid w:val="3A3C3EB9"/>
    <w:rsid w:val="3A3F02FA"/>
    <w:rsid w:val="3A410516"/>
    <w:rsid w:val="3A427D36"/>
    <w:rsid w:val="3A46708E"/>
    <w:rsid w:val="3A472868"/>
    <w:rsid w:val="3A485400"/>
    <w:rsid w:val="3A4C4D04"/>
    <w:rsid w:val="3A525A4A"/>
    <w:rsid w:val="3A527E40"/>
    <w:rsid w:val="3A560296"/>
    <w:rsid w:val="3A5634F8"/>
    <w:rsid w:val="3A5A5133"/>
    <w:rsid w:val="3A5C3C90"/>
    <w:rsid w:val="3A5D0EBF"/>
    <w:rsid w:val="3A612966"/>
    <w:rsid w:val="3A6321B6"/>
    <w:rsid w:val="3A695377"/>
    <w:rsid w:val="3A6968B7"/>
    <w:rsid w:val="3A6B10EF"/>
    <w:rsid w:val="3A6C5593"/>
    <w:rsid w:val="3A744447"/>
    <w:rsid w:val="3A791A5E"/>
    <w:rsid w:val="3A7C154E"/>
    <w:rsid w:val="3A7E6650"/>
    <w:rsid w:val="3A824DB6"/>
    <w:rsid w:val="3A825DDE"/>
    <w:rsid w:val="3A830B2E"/>
    <w:rsid w:val="3A850402"/>
    <w:rsid w:val="3A914FF9"/>
    <w:rsid w:val="3A923034"/>
    <w:rsid w:val="3A9533F8"/>
    <w:rsid w:val="3A976388"/>
    <w:rsid w:val="3A9D6889"/>
    <w:rsid w:val="3A9E7428"/>
    <w:rsid w:val="3AA82343"/>
    <w:rsid w:val="3AAD5BAB"/>
    <w:rsid w:val="3AAF1923"/>
    <w:rsid w:val="3AB212D5"/>
    <w:rsid w:val="3AB76AC9"/>
    <w:rsid w:val="3ACC7DDF"/>
    <w:rsid w:val="3AD366D4"/>
    <w:rsid w:val="3AD50DEA"/>
    <w:rsid w:val="3AD9074E"/>
    <w:rsid w:val="3AD9258D"/>
    <w:rsid w:val="3ADC3D9A"/>
    <w:rsid w:val="3ADE3FB6"/>
    <w:rsid w:val="3AE04F23"/>
    <w:rsid w:val="3AE5554F"/>
    <w:rsid w:val="3AE81100"/>
    <w:rsid w:val="3AED355F"/>
    <w:rsid w:val="3AEF3B8E"/>
    <w:rsid w:val="3AF17846"/>
    <w:rsid w:val="3AF65C7A"/>
    <w:rsid w:val="3AF86E26"/>
    <w:rsid w:val="3AFA3592"/>
    <w:rsid w:val="3B0C28D2"/>
    <w:rsid w:val="3B194FEF"/>
    <w:rsid w:val="3B1B105C"/>
    <w:rsid w:val="3B293484"/>
    <w:rsid w:val="3B2A0FAA"/>
    <w:rsid w:val="3B2E2848"/>
    <w:rsid w:val="3B304812"/>
    <w:rsid w:val="3B327074"/>
    <w:rsid w:val="3B350EB3"/>
    <w:rsid w:val="3B3B5CDD"/>
    <w:rsid w:val="3B3D75CD"/>
    <w:rsid w:val="3B3F4242"/>
    <w:rsid w:val="3B3F4A55"/>
    <w:rsid w:val="3B4D1C93"/>
    <w:rsid w:val="3B5A1EB7"/>
    <w:rsid w:val="3B5B7601"/>
    <w:rsid w:val="3B666D3A"/>
    <w:rsid w:val="3B693880"/>
    <w:rsid w:val="3B696E35"/>
    <w:rsid w:val="3B6A75F8"/>
    <w:rsid w:val="3B6F4C0F"/>
    <w:rsid w:val="3B77090F"/>
    <w:rsid w:val="3B7B5536"/>
    <w:rsid w:val="3B824942"/>
    <w:rsid w:val="3B86525F"/>
    <w:rsid w:val="3B893F22"/>
    <w:rsid w:val="3B8F779C"/>
    <w:rsid w:val="3B914B85"/>
    <w:rsid w:val="3B9D3E59"/>
    <w:rsid w:val="3B9F54F4"/>
    <w:rsid w:val="3BA1126C"/>
    <w:rsid w:val="3BA725FA"/>
    <w:rsid w:val="3BA90120"/>
    <w:rsid w:val="3BAE7D6F"/>
    <w:rsid w:val="3BB16FD5"/>
    <w:rsid w:val="3BB172B0"/>
    <w:rsid w:val="3BB30F9F"/>
    <w:rsid w:val="3BB30FD4"/>
    <w:rsid w:val="3BB711E2"/>
    <w:rsid w:val="3BBA40DC"/>
    <w:rsid w:val="3BBD597A"/>
    <w:rsid w:val="3BC00676"/>
    <w:rsid w:val="3BC15068"/>
    <w:rsid w:val="3BC57915"/>
    <w:rsid w:val="3BC9431F"/>
    <w:rsid w:val="3BCA1F2B"/>
    <w:rsid w:val="3BD04904"/>
    <w:rsid w:val="3BD41801"/>
    <w:rsid w:val="3BD74C8E"/>
    <w:rsid w:val="3BD86C58"/>
    <w:rsid w:val="3BE16306"/>
    <w:rsid w:val="3BE21884"/>
    <w:rsid w:val="3BF13876"/>
    <w:rsid w:val="3BF539A4"/>
    <w:rsid w:val="3BFA41C9"/>
    <w:rsid w:val="3C007309"/>
    <w:rsid w:val="3C023F1E"/>
    <w:rsid w:val="3C074E47"/>
    <w:rsid w:val="3C172AFD"/>
    <w:rsid w:val="3C1C4D96"/>
    <w:rsid w:val="3C1C6B44"/>
    <w:rsid w:val="3C1E0B0E"/>
    <w:rsid w:val="3C21415B"/>
    <w:rsid w:val="3C227ED9"/>
    <w:rsid w:val="3C231EF3"/>
    <w:rsid w:val="3C2679C3"/>
    <w:rsid w:val="3C2D0D52"/>
    <w:rsid w:val="3C3025F0"/>
    <w:rsid w:val="3C321EED"/>
    <w:rsid w:val="3C3245BA"/>
    <w:rsid w:val="3C340BC9"/>
    <w:rsid w:val="3C3C71E7"/>
    <w:rsid w:val="3C3D7DD1"/>
    <w:rsid w:val="3C401D09"/>
    <w:rsid w:val="3C447E49"/>
    <w:rsid w:val="3C505382"/>
    <w:rsid w:val="3C5067EE"/>
    <w:rsid w:val="3C536A3E"/>
    <w:rsid w:val="3C544530"/>
    <w:rsid w:val="3C6504EB"/>
    <w:rsid w:val="3C6B7ACC"/>
    <w:rsid w:val="3C756255"/>
    <w:rsid w:val="3C775C2D"/>
    <w:rsid w:val="3C7E45CB"/>
    <w:rsid w:val="3C7E77FF"/>
    <w:rsid w:val="3C8525A2"/>
    <w:rsid w:val="3C8C1F1C"/>
    <w:rsid w:val="3C8F37BA"/>
    <w:rsid w:val="3C920ED2"/>
    <w:rsid w:val="3C990195"/>
    <w:rsid w:val="3CA23F8E"/>
    <w:rsid w:val="3CAF79B9"/>
    <w:rsid w:val="3CB60D47"/>
    <w:rsid w:val="3CBF5952"/>
    <w:rsid w:val="3CC72F54"/>
    <w:rsid w:val="3CCB2319"/>
    <w:rsid w:val="3CD63197"/>
    <w:rsid w:val="3CDB69FF"/>
    <w:rsid w:val="3CEA1D29"/>
    <w:rsid w:val="3CEF1EB7"/>
    <w:rsid w:val="3CF11D7F"/>
    <w:rsid w:val="3CF7157A"/>
    <w:rsid w:val="3CFE2AF4"/>
    <w:rsid w:val="3D006466"/>
    <w:rsid w:val="3D033AA9"/>
    <w:rsid w:val="3D094027"/>
    <w:rsid w:val="3D0A644B"/>
    <w:rsid w:val="3D0D6C88"/>
    <w:rsid w:val="3D181A77"/>
    <w:rsid w:val="3D186854"/>
    <w:rsid w:val="3D1C47A0"/>
    <w:rsid w:val="3D201B51"/>
    <w:rsid w:val="3D233F03"/>
    <w:rsid w:val="3D255ECD"/>
    <w:rsid w:val="3D257C7B"/>
    <w:rsid w:val="3D2A5291"/>
    <w:rsid w:val="3D2C2DB7"/>
    <w:rsid w:val="3D346110"/>
    <w:rsid w:val="3D37175C"/>
    <w:rsid w:val="3D3B2B6E"/>
    <w:rsid w:val="3D3E03F6"/>
    <w:rsid w:val="3D4311FF"/>
    <w:rsid w:val="3D4359D0"/>
    <w:rsid w:val="3D436353"/>
    <w:rsid w:val="3D4520CB"/>
    <w:rsid w:val="3D462638"/>
    <w:rsid w:val="3D4D693E"/>
    <w:rsid w:val="3D4E702A"/>
    <w:rsid w:val="3D5D11C3"/>
    <w:rsid w:val="3D5F13DF"/>
    <w:rsid w:val="3D661CAD"/>
    <w:rsid w:val="3D6932CF"/>
    <w:rsid w:val="3D6C7371"/>
    <w:rsid w:val="3D714C6E"/>
    <w:rsid w:val="3D73347A"/>
    <w:rsid w:val="3D8175A7"/>
    <w:rsid w:val="3D842BF3"/>
    <w:rsid w:val="3D8C7CFA"/>
    <w:rsid w:val="3D915310"/>
    <w:rsid w:val="3D9170BE"/>
    <w:rsid w:val="3DA85E6F"/>
    <w:rsid w:val="3DAE22C9"/>
    <w:rsid w:val="3DC079A3"/>
    <w:rsid w:val="3DC94AAA"/>
    <w:rsid w:val="3DCC00F6"/>
    <w:rsid w:val="3DD1395F"/>
    <w:rsid w:val="3DD31184"/>
    <w:rsid w:val="3DD31485"/>
    <w:rsid w:val="3DE33063"/>
    <w:rsid w:val="3DF31B27"/>
    <w:rsid w:val="3DF62223"/>
    <w:rsid w:val="3DFC6C2D"/>
    <w:rsid w:val="3E0B0C1F"/>
    <w:rsid w:val="3E0C3818"/>
    <w:rsid w:val="3E0E6961"/>
    <w:rsid w:val="3E133F77"/>
    <w:rsid w:val="3E181CA3"/>
    <w:rsid w:val="3E1C107E"/>
    <w:rsid w:val="3E1F0B6E"/>
    <w:rsid w:val="3E216694"/>
    <w:rsid w:val="3E246184"/>
    <w:rsid w:val="3E2A0CA9"/>
    <w:rsid w:val="3E2F442A"/>
    <w:rsid w:val="3E3707BC"/>
    <w:rsid w:val="3E3839DE"/>
    <w:rsid w:val="3E3F6B1A"/>
    <w:rsid w:val="3E50373C"/>
    <w:rsid w:val="3E506F79"/>
    <w:rsid w:val="3E5548F4"/>
    <w:rsid w:val="3E573E64"/>
    <w:rsid w:val="3E5E1696"/>
    <w:rsid w:val="3E622809"/>
    <w:rsid w:val="3E636CAD"/>
    <w:rsid w:val="3E701D54"/>
    <w:rsid w:val="3E7833E0"/>
    <w:rsid w:val="3E7A446C"/>
    <w:rsid w:val="3E7B10BF"/>
    <w:rsid w:val="3E7E6A93"/>
    <w:rsid w:val="3E7E7642"/>
    <w:rsid w:val="3E832EAB"/>
    <w:rsid w:val="3E886713"/>
    <w:rsid w:val="3E8D3D29"/>
    <w:rsid w:val="3E8D5AD7"/>
    <w:rsid w:val="3E8E35FE"/>
    <w:rsid w:val="3E9C21BE"/>
    <w:rsid w:val="3E9D652A"/>
    <w:rsid w:val="3EA37ED3"/>
    <w:rsid w:val="3EA51073"/>
    <w:rsid w:val="3EA73EF9"/>
    <w:rsid w:val="3EA90437"/>
    <w:rsid w:val="3EB07A18"/>
    <w:rsid w:val="3EBB0897"/>
    <w:rsid w:val="3EBC016B"/>
    <w:rsid w:val="3ECB6600"/>
    <w:rsid w:val="3ED731F7"/>
    <w:rsid w:val="3EE83EC6"/>
    <w:rsid w:val="3EEB0939"/>
    <w:rsid w:val="3EF7518D"/>
    <w:rsid w:val="3F0D3980"/>
    <w:rsid w:val="3F125FDD"/>
    <w:rsid w:val="3F182E77"/>
    <w:rsid w:val="3F1B4E72"/>
    <w:rsid w:val="3F20272C"/>
    <w:rsid w:val="3F240641"/>
    <w:rsid w:val="3F2F5037"/>
    <w:rsid w:val="3F2F6B8F"/>
    <w:rsid w:val="3F356429"/>
    <w:rsid w:val="3F365061"/>
    <w:rsid w:val="3F3D74FE"/>
    <w:rsid w:val="3F4B69CA"/>
    <w:rsid w:val="3F4E210F"/>
    <w:rsid w:val="3F601AA5"/>
    <w:rsid w:val="3F6031EC"/>
    <w:rsid w:val="3F636838"/>
    <w:rsid w:val="3F6F1681"/>
    <w:rsid w:val="3F7171A7"/>
    <w:rsid w:val="3F771A36"/>
    <w:rsid w:val="3F7A2500"/>
    <w:rsid w:val="3F845447"/>
    <w:rsid w:val="3F866302"/>
    <w:rsid w:val="3F921CB4"/>
    <w:rsid w:val="3F9411FA"/>
    <w:rsid w:val="3FA727A7"/>
    <w:rsid w:val="3FAC527E"/>
    <w:rsid w:val="3FD35C28"/>
    <w:rsid w:val="3FE1750C"/>
    <w:rsid w:val="3FE85EB1"/>
    <w:rsid w:val="3FFB2F15"/>
    <w:rsid w:val="400268DC"/>
    <w:rsid w:val="400E2C48"/>
    <w:rsid w:val="4011502A"/>
    <w:rsid w:val="4012098A"/>
    <w:rsid w:val="401665BA"/>
    <w:rsid w:val="401D2E8B"/>
    <w:rsid w:val="402326DA"/>
    <w:rsid w:val="4024246B"/>
    <w:rsid w:val="402C1320"/>
    <w:rsid w:val="4037219F"/>
    <w:rsid w:val="403A27FF"/>
    <w:rsid w:val="403A3E70"/>
    <w:rsid w:val="40420B44"/>
    <w:rsid w:val="40493C80"/>
    <w:rsid w:val="404974A4"/>
    <w:rsid w:val="404C551E"/>
    <w:rsid w:val="40513EC6"/>
    <w:rsid w:val="40543C2C"/>
    <w:rsid w:val="40550877"/>
    <w:rsid w:val="40552625"/>
    <w:rsid w:val="405F5252"/>
    <w:rsid w:val="40642868"/>
    <w:rsid w:val="40691DAD"/>
    <w:rsid w:val="4071024B"/>
    <w:rsid w:val="4077259B"/>
    <w:rsid w:val="407E1B9F"/>
    <w:rsid w:val="407F3C98"/>
    <w:rsid w:val="40866C82"/>
    <w:rsid w:val="4090392C"/>
    <w:rsid w:val="40953E43"/>
    <w:rsid w:val="409E221E"/>
    <w:rsid w:val="409E3FCC"/>
    <w:rsid w:val="40A62E81"/>
    <w:rsid w:val="40AA668E"/>
    <w:rsid w:val="40AE7F87"/>
    <w:rsid w:val="40B927BA"/>
    <w:rsid w:val="40C15F0C"/>
    <w:rsid w:val="40C61775"/>
    <w:rsid w:val="40CA7A55"/>
    <w:rsid w:val="40CF687B"/>
    <w:rsid w:val="40DA2CCA"/>
    <w:rsid w:val="40E220E9"/>
    <w:rsid w:val="40E35E83"/>
    <w:rsid w:val="40E67721"/>
    <w:rsid w:val="40E8793D"/>
    <w:rsid w:val="40EB2F89"/>
    <w:rsid w:val="40F24318"/>
    <w:rsid w:val="40FA3EB2"/>
    <w:rsid w:val="41030592"/>
    <w:rsid w:val="410D73A4"/>
    <w:rsid w:val="410F6C78"/>
    <w:rsid w:val="41135328"/>
    <w:rsid w:val="411B386E"/>
    <w:rsid w:val="411E63F6"/>
    <w:rsid w:val="41251E00"/>
    <w:rsid w:val="41287D39"/>
    <w:rsid w:val="4135212A"/>
    <w:rsid w:val="41362456"/>
    <w:rsid w:val="413A44CD"/>
    <w:rsid w:val="413C37E5"/>
    <w:rsid w:val="41440C3D"/>
    <w:rsid w:val="414A48CD"/>
    <w:rsid w:val="414C2F34"/>
    <w:rsid w:val="414F7F7C"/>
    <w:rsid w:val="415E19AD"/>
    <w:rsid w:val="416219AA"/>
    <w:rsid w:val="416461DC"/>
    <w:rsid w:val="41670862"/>
    <w:rsid w:val="416971BC"/>
    <w:rsid w:val="416B7C26"/>
    <w:rsid w:val="416D1BF0"/>
    <w:rsid w:val="416F5968"/>
    <w:rsid w:val="417116E0"/>
    <w:rsid w:val="417D580C"/>
    <w:rsid w:val="41807B75"/>
    <w:rsid w:val="4182744A"/>
    <w:rsid w:val="41872CB2"/>
    <w:rsid w:val="41A531CD"/>
    <w:rsid w:val="41AA2E44"/>
    <w:rsid w:val="41AA4833"/>
    <w:rsid w:val="41AC096A"/>
    <w:rsid w:val="41BB6E00"/>
    <w:rsid w:val="41BD66D4"/>
    <w:rsid w:val="41C22B8E"/>
    <w:rsid w:val="41CA7043"/>
    <w:rsid w:val="41CC6917"/>
    <w:rsid w:val="41CE08E1"/>
    <w:rsid w:val="41D91034"/>
    <w:rsid w:val="41DB1250"/>
    <w:rsid w:val="41DB4DAC"/>
    <w:rsid w:val="41DD6D76"/>
    <w:rsid w:val="41E0516D"/>
    <w:rsid w:val="41E06866"/>
    <w:rsid w:val="41E54AD9"/>
    <w:rsid w:val="41E71B69"/>
    <w:rsid w:val="41EC2E2A"/>
    <w:rsid w:val="41EE0932"/>
    <w:rsid w:val="41F95335"/>
    <w:rsid w:val="41FE3D6E"/>
    <w:rsid w:val="42003216"/>
    <w:rsid w:val="42010CB6"/>
    <w:rsid w:val="42132798"/>
    <w:rsid w:val="421B792B"/>
    <w:rsid w:val="42213106"/>
    <w:rsid w:val="42221C2E"/>
    <w:rsid w:val="422F399C"/>
    <w:rsid w:val="42380450"/>
    <w:rsid w:val="423A41C8"/>
    <w:rsid w:val="423B7BF9"/>
    <w:rsid w:val="423C0196"/>
    <w:rsid w:val="423C7C1E"/>
    <w:rsid w:val="424D1B5C"/>
    <w:rsid w:val="42530DE6"/>
    <w:rsid w:val="425608D6"/>
    <w:rsid w:val="426C1EA8"/>
    <w:rsid w:val="427629E8"/>
    <w:rsid w:val="42786A9F"/>
    <w:rsid w:val="427A45C5"/>
    <w:rsid w:val="427E042B"/>
    <w:rsid w:val="427F2179"/>
    <w:rsid w:val="42820000"/>
    <w:rsid w:val="42842DCA"/>
    <w:rsid w:val="42861EDD"/>
    <w:rsid w:val="42890CAC"/>
    <w:rsid w:val="428A0145"/>
    <w:rsid w:val="428C60A6"/>
    <w:rsid w:val="428F4EAC"/>
    <w:rsid w:val="429318DA"/>
    <w:rsid w:val="429338D8"/>
    <w:rsid w:val="42986031"/>
    <w:rsid w:val="429A561E"/>
    <w:rsid w:val="429C453B"/>
    <w:rsid w:val="42A014F7"/>
    <w:rsid w:val="42A64607"/>
    <w:rsid w:val="42A94EAA"/>
    <w:rsid w:val="42B5168B"/>
    <w:rsid w:val="42B5384F"/>
    <w:rsid w:val="42B71B0E"/>
    <w:rsid w:val="42BC4BDD"/>
    <w:rsid w:val="42CD6441"/>
    <w:rsid w:val="42DD579E"/>
    <w:rsid w:val="42DD6902"/>
    <w:rsid w:val="42DF08CC"/>
    <w:rsid w:val="42E61C5A"/>
    <w:rsid w:val="42EC3161"/>
    <w:rsid w:val="42F34200"/>
    <w:rsid w:val="42F345ED"/>
    <w:rsid w:val="42F425C9"/>
    <w:rsid w:val="42F8373B"/>
    <w:rsid w:val="43041F26"/>
    <w:rsid w:val="43087E22"/>
    <w:rsid w:val="430A1DED"/>
    <w:rsid w:val="430B346F"/>
    <w:rsid w:val="43104F29"/>
    <w:rsid w:val="43170066"/>
    <w:rsid w:val="431A7B56"/>
    <w:rsid w:val="43210EE4"/>
    <w:rsid w:val="432B77D9"/>
    <w:rsid w:val="432F1853"/>
    <w:rsid w:val="43301127"/>
    <w:rsid w:val="43317379"/>
    <w:rsid w:val="4339622E"/>
    <w:rsid w:val="433D1FE3"/>
    <w:rsid w:val="434075BC"/>
    <w:rsid w:val="43430E5B"/>
    <w:rsid w:val="43453768"/>
    <w:rsid w:val="43454BD3"/>
    <w:rsid w:val="43497B64"/>
    <w:rsid w:val="434F15AD"/>
    <w:rsid w:val="434F5A51"/>
    <w:rsid w:val="435117C9"/>
    <w:rsid w:val="43513ADF"/>
    <w:rsid w:val="4359242C"/>
    <w:rsid w:val="437B6846"/>
    <w:rsid w:val="437E6337"/>
    <w:rsid w:val="43863241"/>
    <w:rsid w:val="438D20D6"/>
    <w:rsid w:val="439F0068"/>
    <w:rsid w:val="43A0005B"/>
    <w:rsid w:val="43A05439"/>
    <w:rsid w:val="43AA2C88"/>
    <w:rsid w:val="43B342D5"/>
    <w:rsid w:val="43B43B06"/>
    <w:rsid w:val="43B741A5"/>
    <w:rsid w:val="43BE4985"/>
    <w:rsid w:val="43C04259"/>
    <w:rsid w:val="43D15248"/>
    <w:rsid w:val="43D20803"/>
    <w:rsid w:val="43D9531B"/>
    <w:rsid w:val="43DE7F78"/>
    <w:rsid w:val="43E268C5"/>
    <w:rsid w:val="43E805ED"/>
    <w:rsid w:val="43F35D0B"/>
    <w:rsid w:val="43F42155"/>
    <w:rsid w:val="43FB34E3"/>
    <w:rsid w:val="43FD36FF"/>
    <w:rsid w:val="440525B4"/>
    <w:rsid w:val="44095C00"/>
    <w:rsid w:val="44157432"/>
    <w:rsid w:val="441723B0"/>
    <w:rsid w:val="44185E43"/>
    <w:rsid w:val="441930C8"/>
    <w:rsid w:val="442962A2"/>
    <w:rsid w:val="443133A9"/>
    <w:rsid w:val="4436451B"/>
    <w:rsid w:val="44380293"/>
    <w:rsid w:val="44450C02"/>
    <w:rsid w:val="444C01E3"/>
    <w:rsid w:val="444F55DD"/>
    <w:rsid w:val="445847E7"/>
    <w:rsid w:val="446612A5"/>
    <w:rsid w:val="44676DCB"/>
    <w:rsid w:val="446F02F9"/>
    <w:rsid w:val="44741DEE"/>
    <w:rsid w:val="44743CCA"/>
    <w:rsid w:val="4475773A"/>
    <w:rsid w:val="447C0AC8"/>
    <w:rsid w:val="44817E8C"/>
    <w:rsid w:val="44827761"/>
    <w:rsid w:val="448657BE"/>
    <w:rsid w:val="4487121B"/>
    <w:rsid w:val="44872FC9"/>
    <w:rsid w:val="448E07FB"/>
    <w:rsid w:val="44B35952"/>
    <w:rsid w:val="44B440E5"/>
    <w:rsid w:val="44B506F8"/>
    <w:rsid w:val="44BD69EB"/>
    <w:rsid w:val="44BD6AC2"/>
    <w:rsid w:val="44C9538F"/>
    <w:rsid w:val="44CA1935"/>
    <w:rsid w:val="44D22496"/>
    <w:rsid w:val="44D75CFE"/>
    <w:rsid w:val="44E623E5"/>
    <w:rsid w:val="44E7216D"/>
    <w:rsid w:val="44ED5522"/>
    <w:rsid w:val="44F06DC0"/>
    <w:rsid w:val="44F46F9A"/>
    <w:rsid w:val="44F600CF"/>
    <w:rsid w:val="44FF7815"/>
    <w:rsid w:val="450308A1"/>
    <w:rsid w:val="450B30B0"/>
    <w:rsid w:val="450B3BFA"/>
    <w:rsid w:val="450B4C3A"/>
    <w:rsid w:val="4513485D"/>
    <w:rsid w:val="451A4083"/>
    <w:rsid w:val="45206203"/>
    <w:rsid w:val="45294080"/>
    <w:rsid w:val="452D3B70"/>
    <w:rsid w:val="45322F35"/>
    <w:rsid w:val="45442C68"/>
    <w:rsid w:val="454A2974"/>
    <w:rsid w:val="45554E75"/>
    <w:rsid w:val="455E3D2A"/>
    <w:rsid w:val="45630A81"/>
    <w:rsid w:val="45683092"/>
    <w:rsid w:val="456B78E7"/>
    <w:rsid w:val="45703A5D"/>
    <w:rsid w:val="45705B8C"/>
    <w:rsid w:val="457511EA"/>
    <w:rsid w:val="45803E76"/>
    <w:rsid w:val="45884AA7"/>
    <w:rsid w:val="458B2A04"/>
    <w:rsid w:val="458D12E4"/>
    <w:rsid w:val="45902501"/>
    <w:rsid w:val="459534C4"/>
    <w:rsid w:val="45991206"/>
    <w:rsid w:val="459B0F98"/>
    <w:rsid w:val="45A36E43"/>
    <w:rsid w:val="45A802F4"/>
    <w:rsid w:val="45AA51C1"/>
    <w:rsid w:val="45B00CD7"/>
    <w:rsid w:val="45B222C8"/>
    <w:rsid w:val="45B326C6"/>
    <w:rsid w:val="45BB54F8"/>
    <w:rsid w:val="45C06792"/>
    <w:rsid w:val="45CF4C28"/>
    <w:rsid w:val="45DB306C"/>
    <w:rsid w:val="45E31539"/>
    <w:rsid w:val="45EC3A2B"/>
    <w:rsid w:val="45FA3A5B"/>
    <w:rsid w:val="46026DAB"/>
    <w:rsid w:val="46037D67"/>
    <w:rsid w:val="461134F5"/>
    <w:rsid w:val="461D04D7"/>
    <w:rsid w:val="461E170B"/>
    <w:rsid w:val="461E795D"/>
    <w:rsid w:val="462036D5"/>
    <w:rsid w:val="46240C16"/>
    <w:rsid w:val="462907DC"/>
    <w:rsid w:val="4629258A"/>
    <w:rsid w:val="462A00B0"/>
    <w:rsid w:val="462A6302"/>
    <w:rsid w:val="463131AB"/>
    <w:rsid w:val="463E583C"/>
    <w:rsid w:val="463E78FB"/>
    <w:rsid w:val="463F7FFF"/>
    <w:rsid w:val="464A0752"/>
    <w:rsid w:val="464A2500"/>
    <w:rsid w:val="466435C2"/>
    <w:rsid w:val="46643883"/>
    <w:rsid w:val="4665558C"/>
    <w:rsid w:val="466A4950"/>
    <w:rsid w:val="46760E44"/>
    <w:rsid w:val="46872820"/>
    <w:rsid w:val="46885B1E"/>
    <w:rsid w:val="4689127A"/>
    <w:rsid w:val="468A77F1"/>
    <w:rsid w:val="468E5C78"/>
    <w:rsid w:val="469320F9"/>
    <w:rsid w:val="46974AE4"/>
    <w:rsid w:val="469E7EAD"/>
    <w:rsid w:val="46A05B8E"/>
    <w:rsid w:val="46A936CA"/>
    <w:rsid w:val="46A9448A"/>
    <w:rsid w:val="46B207D1"/>
    <w:rsid w:val="46B850EA"/>
    <w:rsid w:val="46BA1434"/>
    <w:rsid w:val="46C329DE"/>
    <w:rsid w:val="46CD4936"/>
    <w:rsid w:val="46D324F5"/>
    <w:rsid w:val="46D5626E"/>
    <w:rsid w:val="46D65CA1"/>
    <w:rsid w:val="46DA7AC9"/>
    <w:rsid w:val="46DC6FD5"/>
    <w:rsid w:val="46E41355"/>
    <w:rsid w:val="46E464B1"/>
    <w:rsid w:val="46EB783F"/>
    <w:rsid w:val="46EE5581"/>
    <w:rsid w:val="46EF1E94"/>
    <w:rsid w:val="46F32B98"/>
    <w:rsid w:val="46F93B86"/>
    <w:rsid w:val="46FA3F26"/>
    <w:rsid w:val="46FB6AC0"/>
    <w:rsid w:val="46FD7572"/>
    <w:rsid w:val="47086643"/>
    <w:rsid w:val="4720547A"/>
    <w:rsid w:val="472B0F1C"/>
    <w:rsid w:val="472B496A"/>
    <w:rsid w:val="47324E7F"/>
    <w:rsid w:val="473860EE"/>
    <w:rsid w:val="4738745C"/>
    <w:rsid w:val="47392CA0"/>
    <w:rsid w:val="473C453F"/>
    <w:rsid w:val="473E02B7"/>
    <w:rsid w:val="473E3384"/>
    <w:rsid w:val="474822D5"/>
    <w:rsid w:val="47486475"/>
    <w:rsid w:val="474E2A77"/>
    <w:rsid w:val="474E6020"/>
    <w:rsid w:val="475F6B28"/>
    <w:rsid w:val="475F7049"/>
    <w:rsid w:val="47631ACB"/>
    <w:rsid w:val="47676207"/>
    <w:rsid w:val="47775577"/>
    <w:rsid w:val="47790274"/>
    <w:rsid w:val="477C2B8D"/>
    <w:rsid w:val="477D2EA6"/>
    <w:rsid w:val="47842BDA"/>
    <w:rsid w:val="478A5A6E"/>
    <w:rsid w:val="478B2DD0"/>
    <w:rsid w:val="478E5334"/>
    <w:rsid w:val="479A3013"/>
    <w:rsid w:val="479C7BE4"/>
    <w:rsid w:val="479E6FA7"/>
    <w:rsid w:val="47A518B5"/>
    <w:rsid w:val="47A70ACD"/>
    <w:rsid w:val="47A72F7B"/>
    <w:rsid w:val="47AB4AC0"/>
    <w:rsid w:val="47AD621F"/>
    <w:rsid w:val="47BC2966"/>
    <w:rsid w:val="47BE6D02"/>
    <w:rsid w:val="47C14A44"/>
    <w:rsid w:val="47C255AA"/>
    <w:rsid w:val="47C30E2B"/>
    <w:rsid w:val="47CD5197"/>
    <w:rsid w:val="47D32C18"/>
    <w:rsid w:val="47DB051B"/>
    <w:rsid w:val="47DE721D"/>
    <w:rsid w:val="47E32C0C"/>
    <w:rsid w:val="47E66F83"/>
    <w:rsid w:val="47EB386F"/>
    <w:rsid w:val="47EF7803"/>
    <w:rsid w:val="47F14D97"/>
    <w:rsid w:val="47F60B91"/>
    <w:rsid w:val="47F746F8"/>
    <w:rsid w:val="47FB0846"/>
    <w:rsid w:val="47FD25A8"/>
    <w:rsid w:val="48067E5D"/>
    <w:rsid w:val="48082673"/>
    <w:rsid w:val="480A63EB"/>
    <w:rsid w:val="4812704D"/>
    <w:rsid w:val="48185219"/>
    <w:rsid w:val="482963CC"/>
    <w:rsid w:val="484511D1"/>
    <w:rsid w:val="4853044D"/>
    <w:rsid w:val="485715CA"/>
    <w:rsid w:val="485F3CCF"/>
    <w:rsid w:val="486051F0"/>
    <w:rsid w:val="4860600B"/>
    <w:rsid w:val="487349DB"/>
    <w:rsid w:val="48741AB6"/>
    <w:rsid w:val="4876236F"/>
    <w:rsid w:val="487815A6"/>
    <w:rsid w:val="48790E7B"/>
    <w:rsid w:val="48821AB8"/>
    <w:rsid w:val="4896278C"/>
    <w:rsid w:val="489A151D"/>
    <w:rsid w:val="489B7043"/>
    <w:rsid w:val="489D18CF"/>
    <w:rsid w:val="48A10987"/>
    <w:rsid w:val="48A56114"/>
    <w:rsid w:val="48A57EC2"/>
    <w:rsid w:val="48A95C04"/>
    <w:rsid w:val="48AE549F"/>
    <w:rsid w:val="48BA4CEE"/>
    <w:rsid w:val="48BC4EB8"/>
    <w:rsid w:val="48CC36A0"/>
    <w:rsid w:val="48D24BFF"/>
    <w:rsid w:val="48D77AA7"/>
    <w:rsid w:val="48E42798"/>
    <w:rsid w:val="48EA53DD"/>
    <w:rsid w:val="48EC1126"/>
    <w:rsid w:val="48F00ECF"/>
    <w:rsid w:val="48F8026F"/>
    <w:rsid w:val="48F826E7"/>
    <w:rsid w:val="490571EF"/>
    <w:rsid w:val="49066BB2"/>
    <w:rsid w:val="490B56CE"/>
    <w:rsid w:val="491312CF"/>
    <w:rsid w:val="49163EF7"/>
    <w:rsid w:val="492359B6"/>
    <w:rsid w:val="49260708"/>
    <w:rsid w:val="492C413F"/>
    <w:rsid w:val="49390FD8"/>
    <w:rsid w:val="493D7657"/>
    <w:rsid w:val="49465201"/>
    <w:rsid w:val="49476F18"/>
    <w:rsid w:val="49477E00"/>
    <w:rsid w:val="495711BC"/>
    <w:rsid w:val="495C67D2"/>
    <w:rsid w:val="495F2766"/>
    <w:rsid w:val="49603323"/>
    <w:rsid w:val="49634005"/>
    <w:rsid w:val="496549D0"/>
    <w:rsid w:val="496A759B"/>
    <w:rsid w:val="496B4C67"/>
    <w:rsid w:val="496F0BFB"/>
    <w:rsid w:val="49746212"/>
    <w:rsid w:val="49753D38"/>
    <w:rsid w:val="497563B8"/>
    <w:rsid w:val="49771F9E"/>
    <w:rsid w:val="49817E5F"/>
    <w:rsid w:val="49831FB1"/>
    <w:rsid w:val="498875C7"/>
    <w:rsid w:val="49995C78"/>
    <w:rsid w:val="49A407C7"/>
    <w:rsid w:val="49AE1382"/>
    <w:rsid w:val="49B465FE"/>
    <w:rsid w:val="49B605D8"/>
    <w:rsid w:val="49BE56DF"/>
    <w:rsid w:val="49BE748D"/>
    <w:rsid w:val="49C10D2B"/>
    <w:rsid w:val="49C16F7D"/>
    <w:rsid w:val="49C53A6E"/>
    <w:rsid w:val="49C77BEF"/>
    <w:rsid w:val="49CA4084"/>
    <w:rsid w:val="49D46CB0"/>
    <w:rsid w:val="49D96075"/>
    <w:rsid w:val="49E36EF3"/>
    <w:rsid w:val="49EB6502"/>
    <w:rsid w:val="4A0133DD"/>
    <w:rsid w:val="4A031344"/>
    <w:rsid w:val="4A0D2DEE"/>
    <w:rsid w:val="4A0D3F70"/>
    <w:rsid w:val="4A0F592C"/>
    <w:rsid w:val="4A176B9D"/>
    <w:rsid w:val="4A263005"/>
    <w:rsid w:val="4A2B43F6"/>
    <w:rsid w:val="4A2C6508"/>
    <w:rsid w:val="4A2D4613"/>
    <w:rsid w:val="4A2E0485"/>
    <w:rsid w:val="4A2F3EE7"/>
    <w:rsid w:val="4A332A3B"/>
    <w:rsid w:val="4A3459A1"/>
    <w:rsid w:val="4A4015C4"/>
    <w:rsid w:val="4A442D1A"/>
    <w:rsid w:val="4A547DF1"/>
    <w:rsid w:val="4A5676C5"/>
    <w:rsid w:val="4A5B1180"/>
    <w:rsid w:val="4A5C5CE8"/>
    <w:rsid w:val="4A600544"/>
    <w:rsid w:val="4A623256"/>
    <w:rsid w:val="4A630034"/>
    <w:rsid w:val="4A657908"/>
    <w:rsid w:val="4A6C155A"/>
    <w:rsid w:val="4A6C513B"/>
    <w:rsid w:val="4A7B76BB"/>
    <w:rsid w:val="4A842484"/>
    <w:rsid w:val="4A8C30E7"/>
    <w:rsid w:val="4A934476"/>
    <w:rsid w:val="4A9E2E1A"/>
    <w:rsid w:val="4AA523FB"/>
    <w:rsid w:val="4AA66DFD"/>
    <w:rsid w:val="4AA73BE3"/>
    <w:rsid w:val="4AB80122"/>
    <w:rsid w:val="4AC12096"/>
    <w:rsid w:val="4AC46D25"/>
    <w:rsid w:val="4AC825B7"/>
    <w:rsid w:val="4ACB5916"/>
    <w:rsid w:val="4ACE3700"/>
    <w:rsid w:val="4AD056CA"/>
    <w:rsid w:val="4AD45B80"/>
    <w:rsid w:val="4AD90602"/>
    <w:rsid w:val="4ADA4B68"/>
    <w:rsid w:val="4ADA6F59"/>
    <w:rsid w:val="4AE90539"/>
    <w:rsid w:val="4AEB42B2"/>
    <w:rsid w:val="4AEE78FE"/>
    <w:rsid w:val="4AFD030C"/>
    <w:rsid w:val="4AFD3FE5"/>
    <w:rsid w:val="4B016F44"/>
    <w:rsid w:val="4B02784D"/>
    <w:rsid w:val="4B055F73"/>
    <w:rsid w:val="4B096ADE"/>
    <w:rsid w:val="4B0C140B"/>
    <w:rsid w:val="4B0C381C"/>
    <w:rsid w:val="4B0E3C4B"/>
    <w:rsid w:val="4B0F27DE"/>
    <w:rsid w:val="4B134FD7"/>
    <w:rsid w:val="4B1530DD"/>
    <w:rsid w:val="4B180E1F"/>
    <w:rsid w:val="4B1D6435"/>
    <w:rsid w:val="4B1F334B"/>
    <w:rsid w:val="4B286BF9"/>
    <w:rsid w:val="4B337A07"/>
    <w:rsid w:val="4B3A2B43"/>
    <w:rsid w:val="4B3D2633"/>
    <w:rsid w:val="4B3F45FD"/>
    <w:rsid w:val="4B440C59"/>
    <w:rsid w:val="4B5322A1"/>
    <w:rsid w:val="4B553060"/>
    <w:rsid w:val="4B5736F5"/>
    <w:rsid w:val="4B5856BF"/>
    <w:rsid w:val="4B5C51AF"/>
    <w:rsid w:val="4B5E2C47"/>
    <w:rsid w:val="4B7122DD"/>
    <w:rsid w:val="4B7324F9"/>
    <w:rsid w:val="4B79113C"/>
    <w:rsid w:val="4B7C7600"/>
    <w:rsid w:val="4B7C7A78"/>
    <w:rsid w:val="4B897627"/>
    <w:rsid w:val="4B8B15F1"/>
    <w:rsid w:val="4B912494"/>
    <w:rsid w:val="4B927214"/>
    <w:rsid w:val="4B944949"/>
    <w:rsid w:val="4BA567E0"/>
    <w:rsid w:val="4BA821A3"/>
    <w:rsid w:val="4BAD77B9"/>
    <w:rsid w:val="4BB74194"/>
    <w:rsid w:val="4BB943B0"/>
    <w:rsid w:val="4BCB5654"/>
    <w:rsid w:val="4BCF5981"/>
    <w:rsid w:val="4BDB6202"/>
    <w:rsid w:val="4BE13FEC"/>
    <w:rsid w:val="4BE87730"/>
    <w:rsid w:val="4BFC0B30"/>
    <w:rsid w:val="4C037553"/>
    <w:rsid w:val="4C0C71C4"/>
    <w:rsid w:val="4C0D64AA"/>
    <w:rsid w:val="4C0E2297"/>
    <w:rsid w:val="4C13176B"/>
    <w:rsid w:val="4C177328"/>
    <w:rsid w:val="4C1D3463"/>
    <w:rsid w:val="4C2061DD"/>
    <w:rsid w:val="4C251A45"/>
    <w:rsid w:val="4C2537F3"/>
    <w:rsid w:val="4C2732D8"/>
    <w:rsid w:val="4C2A705C"/>
    <w:rsid w:val="4C325F10"/>
    <w:rsid w:val="4C356537"/>
    <w:rsid w:val="4C376FCA"/>
    <w:rsid w:val="4C3E4452"/>
    <w:rsid w:val="4C3E48B5"/>
    <w:rsid w:val="4C431ECB"/>
    <w:rsid w:val="4C444363"/>
    <w:rsid w:val="4C453E95"/>
    <w:rsid w:val="4C4919D8"/>
    <w:rsid w:val="4C4F53C9"/>
    <w:rsid w:val="4C516396"/>
    <w:rsid w:val="4C56262D"/>
    <w:rsid w:val="4C5916EF"/>
    <w:rsid w:val="4C5E0AB3"/>
    <w:rsid w:val="4C6205A3"/>
    <w:rsid w:val="4C6A44A6"/>
    <w:rsid w:val="4C8D3147"/>
    <w:rsid w:val="4C8D6214"/>
    <w:rsid w:val="4C8F5111"/>
    <w:rsid w:val="4C92075D"/>
    <w:rsid w:val="4C9257BF"/>
    <w:rsid w:val="4C934C01"/>
    <w:rsid w:val="4C940979"/>
    <w:rsid w:val="4C964FB1"/>
    <w:rsid w:val="4C9A6081"/>
    <w:rsid w:val="4C9D59FF"/>
    <w:rsid w:val="4CA169F0"/>
    <w:rsid w:val="4CA46E0E"/>
    <w:rsid w:val="4CAA1F4A"/>
    <w:rsid w:val="4CB24C66"/>
    <w:rsid w:val="4CB4635D"/>
    <w:rsid w:val="4CBB4158"/>
    <w:rsid w:val="4CC50B32"/>
    <w:rsid w:val="4CCA7EF7"/>
    <w:rsid w:val="4CD76E32"/>
    <w:rsid w:val="4CDB65A8"/>
    <w:rsid w:val="4CE30FB8"/>
    <w:rsid w:val="4CE70AA9"/>
    <w:rsid w:val="4CE82836"/>
    <w:rsid w:val="4CF6364B"/>
    <w:rsid w:val="4CF947B8"/>
    <w:rsid w:val="4CFF2296"/>
    <w:rsid w:val="4CFF4044"/>
    <w:rsid w:val="4D006CAB"/>
    <w:rsid w:val="4D0B66C7"/>
    <w:rsid w:val="4D0E4287"/>
    <w:rsid w:val="4D137AF0"/>
    <w:rsid w:val="4D18287E"/>
    <w:rsid w:val="4D183358"/>
    <w:rsid w:val="4D184E75"/>
    <w:rsid w:val="4D185106"/>
    <w:rsid w:val="4D1C7AD2"/>
    <w:rsid w:val="4D233217"/>
    <w:rsid w:val="4D26313B"/>
    <w:rsid w:val="4D2770F7"/>
    <w:rsid w:val="4D2C0BB1"/>
    <w:rsid w:val="4D380240"/>
    <w:rsid w:val="4D3A507C"/>
    <w:rsid w:val="4D453A21"/>
    <w:rsid w:val="4D5B457F"/>
    <w:rsid w:val="4D5B4FF3"/>
    <w:rsid w:val="4D5C626B"/>
    <w:rsid w:val="4D6B792C"/>
    <w:rsid w:val="4D7033A0"/>
    <w:rsid w:val="4D826A23"/>
    <w:rsid w:val="4D8A2025"/>
    <w:rsid w:val="4D8B71FA"/>
    <w:rsid w:val="4D956757"/>
    <w:rsid w:val="4D994499"/>
    <w:rsid w:val="4D9A5B1B"/>
    <w:rsid w:val="4DA3011A"/>
    <w:rsid w:val="4DAA036B"/>
    <w:rsid w:val="4DAB1AD6"/>
    <w:rsid w:val="4DAE4E49"/>
    <w:rsid w:val="4DAF1E29"/>
    <w:rsid w:val="4DB76815"/>
    <w:rsid w:val="4DC40DEA"/>
    <w:rsid w:val="4DC42B98"/>
    <w:rsid w:val="4DC451AF"/>
    <w:rsid w:val="4DC46A96"/>
    <w:rsid w:val="4DCD7C9F"/>
    <w:rsid w:val="4DD87712"/>
    <w:rsid w:val="4DE23EF0"/>
    <w:rsid w:val="4DEA6AA2"/>
    <w:rsid w:val="4DF612AF"/>
    <w:rsid w:val="4DFB2243"/>
    <w:rsid w:val="4DFF0074"/>
    <w:rsid w:val="4E031912"/>
    <w:rsid w:val="4E034F54"/>
    <w:rsid w:val="4E094A4F"/>
    <w:rsid w:val="4E0F6509"/>
    <w:rsid w:val="4E124C95"/>
    <w:rsid w:val="4E1A4E14"/>
    <w:rsid w:val="4E1F0742"/>
    <w:rsid w:val="4E2773F3"/>
    <w:rsid w:val="4E2D4EDE"/>
    <w:rsid w:val="4E30647F"/>
    <w:rsid w:val="4E3B72FE"/>
    <w:rsid w:val="4E402B66"/>
    <w:rsid w:val="4E41068C"/>
    <w:rsid w:val="4E465C3F"/>
    <w:rsid w:val="4E487C6D"/>
    <w:rsid w:val="4E4A2A5E"/>
    <w:rsid w:val="4E4B1EE0"/>
    <w:rsid w:val="4E4B5067"/>
    <w:rsid w:val="4E4C4480"/>
    <w:rsid w:val="4E52122F"/>
    <w:rsid w:val="4E557C94"/>
    <w:rsid w:val="4E573A0C"/>
    <w:rsid w:val="4E584A95"/>
    <w:rsid w:val="4E59507E"/>
    <w:rsid w:val="4E601178"/>
    <w:rsid w:val="4E683D29"/>
    <w:rsid w:val="4E710F2D"/>
    <w:rsid w:val="4E726A98"/>
    <w:rsid w:val="4E7D72DC"/>
    <w:rsid w:val="4E830CA5"/>
    <w:rsid w:val="4E8642F1"/>
    <w:rsid w:val="4E8C4336"/>
    <w:rsid w:val="4E970E09"/>
    <w:rsid w:val="4E9E163B"/>
    <w:rsid w:val="4EA12ED9"/>
    <w:rsid w:val="4EA5677D"/>
    <w:rsid w:val="4EA57C75"/>
    <w:rsid w:val="4EAC1FAA"/>
    <w:rsid w:val="4EAD5D22"/>
    <w:rsid w:val="4EB26E94"/>
    <w:rsid w:val="4EB40E5E"/>
    <w:rsid w:val="4EB64BD7"/>
    <w:rsid w:val="4EC247F4"/>
    <w:rsid w:val="4EC54E1A"/>
    <w:rsid w:val="4EC810D5"/>
    <w:rsid w:val="4EC8490A"/>
    <w:rsid w:val="4ED022FF"/>
    <w:rsid w:val="4ED4421D"/>
    <w:rsid w:val="4ED570B4"/>
    <w:rsid w:val="4ED67027"/>
    <w:rsid w:val="4EDA720A"/>
    <w:rsid w:val="4EE873EE"/>
    <w:rsid w:val="4EF676C9"/>
    <w:rsid w:val="4EF8746D"/>
    <w:rsid w:val="4F0A2837"/>
    <w:rsid w:val="4F0E4A13"/>
    <w:rsid w:val="4F1B57FE"/>
    <w:rsid w:val="4F1D6A04"/>
    <w:rsid w:val="4F1E2B87"/>
    <w:rsid w:val="4F244236"/>
    <w:rsid w:val="4F277882"/>
    <w:rsid w:val="4F294AE8"/>
    <w:rsid w:val="4F2A1121"/>
    <w:rsid w:val="4F363F69"/>
    <w:rsid w:val="4F365FD5"/>
    <w:rsid w:val="4F3855EC"/>
    <w:rsid w:val="4F385A0C"/>
    <w:rsid w:val="4F3A2034"/>
    <w:rsid w:val="4F3B1580"/>
    <w:rsid w:val="4F3B50DC"/>
    <w:rsid w:val="4F4246BC"/>
    <w:rsid w:val="4F493C9D"/>
    <w:rsid w:val="4F4E3061"/>
    <w:rsid w:val="4F527210"/>
    <w:rsid w:val="4F5A3AFA"/>
    <w:rsid w:val="4F5E7564"/>
    <w:rsid w:val="4F5F701C"/>
    <w:rsid w:val="4F626108"/>
    <w:rsid w:val="4F672375"/>
    <w:rsid w:val="4F6E6A85"/>
    <w:rsid w:val="4F701229"/>
    <w:rsid w:val="4F7A3E56"/>
    <w:rsid w:val="4F7A5C04"/>
    <w:rsid w:val="4F7C5E20"/>
    <w:rsid w:val="4F8042F7"/>
    <w:rsid w:val="4F80507E"/>
    <w:rsid w:val="4F8D1DA8"/>
    <w:rsid w:val="4F8D589F"/>
    <w:rsid w:val="4F9111A0"/>
    <w:rsid w:val="4F924D5E"/>
    <w:rsid w:val="4FA2515B"/>
    <w:rsid w:val="4FA669F9"/>
    <w:rsid w:val="4FA96954"/>
    <w:rsid w:val="4FAA3CEB"/>
    <w:rsid w:val="4FB31251"/>
    <w:rsid w:val="4FB37368"/>
    <w:rsid w:val="4FB56C3C"/>
    <w:rsid w:val="4FBA4253"/>
    <w:rsid w:val="4FC32FB6"/>
    <w:rsid w:val="4FC450D1"/>
    <w:rsid w:val="4FC652ED"/>
    <w:rsid w:val="4FCA2A5E"/>
    <w:rsid w:val="4FCC09B6"/>
    <w:rsid w:val="4FCD5522"/>
    <w:rsid w:val="4FD5108C"/>
    <w:rsid w:val="4FDC60A4"/>
    <w:rsid w:val="4FE22C4F"/>
    <w:rsid w:val="4FE453AA"/>
    <w:rsid w:val="4FE6773D"/>
    <w:rsid w:val="4FE865F2"/>
    <w:rsid w:val="4FEE65F2"/>
    <w:rsid w:val="4FF04118"/>
    <w:rsid w:val="4FF07444"/>
    <w:rsid w:val="4FF27E90"/>
    <w:rsid w:val="4FF32C53"/>
    <w:rsid w:val="4FFF435B"/>
    <w:rsid w:val="500D4CCA"/>
    <w:rsid w:val="500F68BB"/>
    <w:rsid w:val="50197592"/>
    <w:rsid w:val="501F49FD"/>
    <w:rsid w:val="50210776"/>
    <w:rsid w:val="5023004A"/>
    <w:rsid w:val="50245B70"/>
    <w:rsid w:val="50322F22"/>
    <w:rsid w:val="503264DF"/>
    <w:rsid w:val="503A2CAD"/>
    <w:rsid w:val="503C12E2"/>
    <w:rsid w:val="503E6C32"/>
    <w:rsid w:val="504B4305"/>
    <w:rsid w:val="505F4432"/>
    <w:rsid w:val="50680152"/>
    <w:rsid w:val="5068795B"/>
    <w:rsid w:val="506D5769"/>
    <w:rsid w:val="506F4EFF"/>
    <w:rsid w:val="506F7733"/>
    <w:rsid w:val="50731F86"/>
    <w:rsid w:val="50792360"/>
    <w:rsid w:val="507E34D2"/>
    <w:rsid w:val="507E56FC"/>
    <w:rsid w:val="50834F8C"/>
    <w:rsid w:val="50866BA4"/>
    <w:rsid w:val="50892C22"/>
    <w:rsid w:val="50894DDF"/>
    <w:rsid w:val="508C4B1B"/>
    <w:rsid w:val="508F1B83"/>
    <w:rsid w:val="50936E91"/>
    <w:rsid w:val="50966A6E"/>
    <w:rsid w:val="509C7F86"/>
    <w:rsid w:val="50AB003F"/>
    <w:rsid w:val="50AE32A3"/>
    <w:rsid w:val="50BE7D72"/>
    <w:rsid w:val="50C23D07"/>
    <w:rsid w:val="50C86E43"/>
    <w:rsid w:val="50CF01D2"/>
    <w:rsid w:val="50D126CA"/>
    <w:rsid w:val="50D17AA6"/>
    <w:rsid w:val="50D47596"/>
    <w:rsid w:val="50D650BC"/>
    <w:rsid w:val="50D774F1"/>
    <w:rsid w:val="50E3052A"/>
    <w:rsid w:val="50E73E45"/>
    <w:rsid w:val="50E966D9"/>
    <w:rsid w:val="50F17EA1"/>
    <w:rsid w:val="50F66A11"/>
    <w:rsid w:val="50FD4D3F"/>
    <w:rsid w:val="5100038B"/>
    <w:rsid w:val="510809D0"/>
    <w:rsid w:val="510C44BB"/>
    <w:rsid w:val="510C4F82"/>
    <w:rsid w:val="51120033"/>
    <w:rsid w:val="51156D74"/>
    <w:rsid w:val="511D10F8"/>
    <w:rsid w:val="51220301"/>
    <w:rsid w:val="512C5624"/>
    <w:rsid w:val="512F2A1E"/>
    <w:rsid w:val="513678D1"/>
    <w:rsid w:val="51371036"/>
    <w:rsid w:val="51400D55"/>
    <w:rsid w:val="51404C2B"/>
    <w:rsid w:val="51415B08"/>
    <w:rsid w:val="51475DF2"/>
    <w:rsid w:val="51511345"/>
    <w:rsid w:val="51575EBA"/>
    <w:rsid w:val="5167040A"/>
    <w:rsid w:val="5176689F"/>
    <w:rsid w:val="51823496"/>
    <w:rsid w:val="51862989"/>
    <w:rsid w:val="518B3BA2"/>
    <w:rsid w:val="518D17A8"/>
    <w:rsid w:val="518F3A49"/>
    <w:rsid w:val="51954F77"/>
    <w:rsid w:val="519A07DF"/>
    <w:rsid w:val="519B00B4"/>
    <w:rsid w:val="51A04511"/>
    <w:rsid w:val="51AC22C1"/>
    <w:rsid w:val="51B573C7"/>
    <w:rsid w:val="51BD627C"/>
    <w:rsid w:val="51BF0083"/>
    <w:rsid w:val="51C15F61"/>
    <w:rsid w:val="51C770FB"/>
    <w:rsid w:val="51DD691E"/>
    <w:rsid w:val="51E25CE3"/>
    <w:rsid w:val="51E85205"/>
    <w:rsid w:val="51EB2DE9"/>
    <w:rsid w:val="51EC28B5"/>
    <w:rsid w:val="51FD3240"/>
    <w:rsid w:val="5201123C"/>
    <w:rsid w:val="520366AE"/>
    <w:rsid w:val="520B5239"/>
    <w:rsid w:val="521423A4"/>
    <w:rsid w:val="521A722A"/>
    <w:rsid w:val="522149A9"/>
    <w:rsid w:val="522462FB"/>
    <w:rsid w:val="52291BA5"/>
    <w:rsid w:val="5235065A"/>
    <w:rsid w:val="52374280"/>
    <w:rsid w:val="52382573"/>
    <w:rsid w:val="523E73BD"/>
    <w:rsid w:val="52416EAD"/>
    <w:rsid w:val="524331A6"/>
    <w:rsid w:val="5244074B"/>
    <w:rsid w:val="52466271"/>
    <w:rsid w:val="524B1ADA"/>
    <w:rsid w:val="52573C41"/>
    <w:rsid w:val="525962B0"/>
    <w:rsid w:val="525A5DF9"/>
    <w:rsid w:val="525B1B01"/>
    <w:rsid w:val="52636E23"/>
    <w:rsid w:val="52694B43"/>
    <w:rsid w:val="52750905"/>
    <w:rsid w:val="527A2248"/>
    <w:rsid w:val="527F3531"/>
    <w:rsid w:val="52803148"/>
    <w:rsid w:val="528079D5"/>
    <w:rsid w:val="52850B82"/>
    <w:rsid w:val="528F7C18"/>
    <w:rsid w:val="529174F0"/>
    <w:rsid w:val="52923265"/>
    <w:rsid w:val="52975B00"/>
    <w:rsid w:val="529C40E3"/>
    <w:rsid w:val="529E42FF"/>
    <w:rsid w:val="52A336C4"/>
    <w:rsid w:val="52A34B6B"/>
    <w:rsid w:val="52A35FE1"/>
    <w:rsid w:val="52A51274"/>
    <w:rsid w:val="52A72D99"/>
    <w:rsid w:val="52B633F7"/>
    <w:rsid w:val="52BE0313"/>
    <w:rsid w:val="52D17641"/>
    <w:rsid w:val="52E02222"/>
    <w:rsid w:val="52EC506B"/>
    <w:rsid w:val="52F15EB5"/>
    <w:rsid w:val="52F537F4"/>
    <w:rsid w:val="52F65EE9"/>
    <w:rsid w:val="53126C6E"/>
    <w:rsid w:val="531557AC"/>
    <w:rsid w:val="531719BC"/>
    <w:rsid w:val="532102E4"/>
    <w:rsid w:val="532C190B"/>
    <w:rsid w:val="532F28D3"/>
    <w:rsid w:val="533410AE"/>
    <w:rsid w:val="53392AA6"/>
    <w:rsid w:val="533B3627"/>
    <w:rsid w:val="53451B26"/>
    <w:rsid w:val="53492790"/>
    <w:rsid w:val="53500846"/>
    <w:rsid w:val="535852CF"/>
    <w:rsid w:val="535F3D7C"/>
    <w:rsid w:val="53605B74"/>
    <w:rsid w:val="53610DA9"/>
    <w:rsid w:val="53620907"/>
    <w:rsid w:val="53632DD1"/>
    <w:rsid w:val="536C61AC"/>
    <w:rsid w:val="536E3CD2"/>
    <w:rsid w:val="536F7A4A"/>
    <w:rsid w:val="53722A3B"/>
    <w:rsid w:val="53763E48"/>
    <w:rsid w:val="537A08C9"/>
    <w:rsid w:val="538057B3"/>
    <w:rsid w:val="538452A3"/>
    <w:rsid w:val="53872ABE"/>
    <w:rsid w:val="538A03E0"/>
    <w:rsid w:val="539D45B7"/>
    <w:rsid w:val="539F330A"/>
    <w:rsid w:val="53A01F83"/>
    <w:rsid w:val="53A3345F"/>
    <w:rsid w:val="53A56FC8"/>
    <w:rsid w:val="53AA2830"/>
    <w:rsid w:val="53B5495C"/>
    <w:rsid w:val="53B67427"/>
    <w:rsid w:val="53BC2C8F"/>
    <w:rsid w:val="53C1076D"/>
    <w:rsid w:val="53CE70EE"/>
    <w:rsid w:val="53D476A7"/>
    <w:rsid w:val="53E67D0C"/>
    <w:rsid w:val="53E915AA"/>
    <w:rsid w:val="53EC463D"/>
    <w:rsid w:val="53F1045F"/>
    <w:rsid w:val="53F3316E"/>
    <w:rsid w:val="53F71503"/>
    <w:rsid w:val="53F918B8"/>
    <w:rsid w:val="54041F40"/>
    <w:rsid w:val="54047617"/>
    <w:rsid w:val="54107360"/>
    <w:rsid w:val="541A5C08"/>
    <w:rsid w:val="541C372E"/>
    <w:rsid w:val="54203E3B"/>
    <w:rsid w:val="54280B35"/>
    <w:rsid w:val="54330A77"/>
    <w:rsid w:val="54372316"/>
    <w:rsid w:val="543C792C"/>
    <w:rsid w:val="543D36A4"/>
    <w:rsid w:val="54462559"/>
    <w:rsid w:val="545033D7"/>
    <w:rsid w:val="54554E92"/>
    <w:rsid w:val="545D5F6F"/>
    <w:rsid w:val="54683AEA"/>
    <w:rsid w:val="546B0211"/>
    <w:rsid w:val="546D21DB"/>
    <w:rsid w:val="5470098D"/>
    <w:rsid w:val="54703A7A"/>
    <w:rsid w:val="54764F44"/>
    <w:rsid w:val="547A48F8"/>
    <w:rsid w:val="547F69AD"/>
    <w:rsid w:val="54837309"/>
    <w:rsid w:val="54866D88"/>
    <w:rsid w:val="5488491F"/>
    <w:rsid w:val="548B74FF"/>
    <w:rsid w:val="548F5C80"/>
    <w:rsid w:val="5495528E"/>
    <w:rsid w:val="54992FD0"/>
    <w:rsid w:val="54996B2C"/>
    <w:rsid w:val="54AA3C68"/>
    <w:rsid w:val="54B908EF"/>
    <w:rsid w:val="54B97065"/>
    <w:rsid w:val="54C47921"/>
    <w:rsid w:val="54C53DC5"/>
    <w:rsid w:val="54C85664"/>
    <w:rsid w:val="54CB1DA5"/>
    <w:rsid w:val="54D1276A"/>
    <w:rsid w:val="54D758A7"/>
    <w:rsid w:val="54DF0CD3"/>
    <w:rsid w:val="54EA103B"/>
    <w:rsid w:val="54ED6E78"/>
    <w:rsid w:val="54F3727C"/>
    <w:rsid w:val="54F57348"/>
    <w:rsid w:val="55036206"/>
    <w:rsid w:val="550D0FCA"/>
    <w:rsid w:val="55124B31"/>
    <w:rsid w:val="55180399"/>
    <w:rsid w:val="552A1E7A"/>
    <w:rsid w:val="552A3C28"/>
    <w:rsid w:val="552C498D"/>
    <w:rsid w:val="552C4C7B"/>
    <w:rsid w:val="55302DCC"/>
    <w:rsid w:val="55376345"/>
    <w:rsid w:val="55417CD4"/>
    <w:rsid w:val="554271C4"/>
    <w:rsid w:val="555E1B24"/>
    <w:rsid w:val="55622E3C"/>
    <w:rsid w:val="55630EE8"/>
    <w:rsid w:val="55676C2B"/>
    <w:rsid w:val="556A6EF7"/>
    <w:rsid w:val="55741347"/>
    <w:rsid w:val="55764AD3"/>
    <w:rsid w:val="557B26D6"/>
    <w:rsid w:val="557D659C"/>
    <w:rsid w:val="557F2952"/>
    <w:rsid w:val="55805F3E"/>
    <w:rsid w:val="559A7000"/>
    <w:rsid w:val="55A755C8"/>
    <w:rsid w:val="55AA193E"/>
    <w:rsid w:val="55BD684B"/>
    <w:rsid w:val="55C50039"/>
    <w:rsid w:val="55C5177C"/>
    <w:rsid w:val="55C951EF"/>
    <w:rsid w:val="55CA71B9"/>
    <w:rsid w:val="55CF657E"/>
    <w:rsid w:val="55D64927"/>
    <w:rsid w:val="55D818D6"/>
    <w:rsid w:val="55D8236C"/>
    <w:rsid w:val="55DF0EB7"/>
    <w:rsid w:val="55E22755"/>
    <w:rsid w:val="55E47A9A"/>
    <w:rsid w:val="55E53FF3"/>
    <w:rsid w:val="55E738C7"/>
    <w:rsid w:val="55EC35D4"/>
    <w:rsid w:val="55EC7130"/>
    <w:rsid w:val="55EE2EA8"/>
    <w:rsid w:val="55EF09CE"/>
    <w:rsid w:val="55F67FAE"/>
    <w:rsid w:val="55FA103F"/>
    <w:rsid w:val="55FD133D"/>
    <w:rsid w:val="55FD758F"/>
    <w:rsid w:val="56073C38"/>
    <w:rsid w:val="561072C2"/>
    <w:rsid w:val="5613290E"/>
    <w:rsid w:val="56290384"/>
    <w:rsid w:val="562B5EAA"/>
    <w:rsid w:val="562C39D0"/>
    <w:rsid w:val="562E7748"/>
    <w:rsid w:val="56350AD7"/>
    <w:rsid w:val="56372AA1"/>
    <w:rsid w:val="563D798B"/>
    <w:rsid w:val="564153D6"/>
    <w:rsid w:val="56416B64"/>
    <w:rsid w:val="56440B81"/>
    <w:rsid w:val="56503B63"/>
    <w:rsid w:val="56574EF1"/>
    <w:rsid w:val="565D3B8A"/>
    <w:rsid w:val="5667156F"/>
    <w:rsid w:val="566B62FC"/>
    <w:rsid w:val="56755377"/>
    <w:rsid w:val="56757125"/>
    <w:rsid w:val="567809C3"/>
    <w:rsid w:val="567F61F6"/>
    <w:rsid w:val="5681223E"/>
    <w:rsid w:val="568E1AA6"/>
    <w:rsid w:val="5697709C"/>
    <w:rsid w:val="56A44A50"/>
    <w:rsid w:val="56A96DCF"/>
    <w:rsid w:val="56AA4127"/>
    <w:rsid w:val="56AE2637"/>
    <w:rsid w:val="56B367CB"/>
    <w:rsid w:val="56BF65F2"/>
    <w:rsid w:val="56C9121F"/>
    <w:rsid w:val="56C97471"/>
    <w:rsid w:val="56D025AE"/>
    <w:rsid w:val="56D55E16"/>
    <w:rsid w:val="56E322E1"/>
    <w:rsid w:val="56E46059"/>
    <w:rsid w:val="56E71677"/>
    <w:rsid w:val="56E90F5B"/>
    <w:rsid w:val="56F00EA2"/>
    <w:rsid w:val="56FA762A"/>
    <w:rsid w:val="570109B9"/>
    <w:rsid w:val="570606C5"/>
    <w:rsid w:val="57081D47"/>
    <w:rsid w:val="570861EB"/>
    <w:rsid w:val="570B1838"/>
    <w:rsid w:val="570D16E1"/>
    <w:rsid w:val="57122BC6"/>
    <w:rsid w:val="5718173F"/>
    <w:rsid w:val="571903F8"/>
    <w:rsid w:val="572B1EDA"/>
    <w:rsid w:val="57353838"/>
    <w:rsid w:val="57392849"/>
    <w:rsid w:val="573B113A"/>
    <w:rsid w:val="573E79FE"/>
    <w:rsid w:val="574216FD"/>
    <w:rsid w:val="57460AC2"/>
    <w:rsid w:val="57486B51"/>
    <w:rsid w:val="5749487F"/>
    <w:rsid w:val="574C257C"/>
    <w:rsid w:val="574D3BFE"/>
    <w:rsid w:val="575E5E0B"/>
    <w:rsid w:val="57724075"/>
    <w:rsid w:val="577B4C0F"/>
    <w:rsid w:val="577E084B"/>
    <w:rsid w:val="57805D82"/>
    <w:rsid w:val="578735B4"/>
    <w:rsid w:val="578F4217"/>
    <w:rsid w:val="579B2BBB"/>
    <w:rsid w:val="57A647C2"/>
    <w:rsid w:val="57A8352A"/>
    <w:rsid w:val="57BD5228"/>
    <w:rsid w:val="57C2283E"/>
    <w:rsid w:val="57C367DE"/>
    <w:rsid w:val="57CC7219"/>
    <w:rsid w:val="57D9066D"/>
    <w:rsid w:val="57D91936"/>
    <w:rsid w:val="57DE6F4C"/>
    <w:rsid w:val="57E6775E"/>
    <w:rsid w:val="57EA7AE7"/>
    <w:rsid w:val="57EE3633"/>
    <w:rsid w:val="57EF0AE9"/>
    <w:rsid w:val="57F0761C"/>
    <w:rsid w:val="57F347A6"/>
    <w:rsid w:val="57F74FF2"/>
    <w:rsid w:val="57FC241C"/>
    <w:rsid w:val="58020E8D"/>
    <w:rsid w:val="580746F5"/>
    <w:rsid w:val="580819E7"/>
    <w:rsid w:val="58093FC9"/>
    <w:rsid w:val="580E5A83"/>
    <w:rsid w:val="580F5357"/>
    <w:rsid w:val="5811486A"/>
    <w:rsid w:val="58136BF6"/>
    <w:rsid w:val="581C18BC"/>
    <w:rsid w:val="5822508B"/>
    <w:rsid w:val="58237473"/>
    <w:rsid w:val="5827795C"/>
    <w:rsid w:val="582C415B"/>
    <w:rsid w:val="582F64DC"/>
    <w:rsid w:val="58354DBE"/>
    <w:rsid w:val="583C205C"/>
    <w:rsid w:val="584B45E2"/>
    <w:rsid w:val="584E7C2E"/>
    <w:rsid w:val="586438F5"/>
    <w:rsid w:val="58690F0C"/>
    <w:rsid w:val="586E02D0"/>
    <w:rsid w:val="5875340D"/>
    <w:rsid w:val="587578B0"/>
    <w:rsid w:val="58774527"/>
    <w:rsid w:val="5878114F"/>
    <w:rsid w:val="587873A1"/>
    <w:rsid w:val="587A0A23"/>
    <w:rsid w:val="5886561A"/>
    <w:rsid w:val="5895585D"/>
    <w:rsid w:val="58975A79"/>
    <w:rsid w:val="589F0489"/>
    <w:rsid w:val="58A7385D"/>
    <w:rsid w:val="58B12BB7"/>
    <w:rsid w:val="58BE1257"/>
    <w:rsid w:val="58C02527"/>
    <w:rsid w:val="58C61EBA"/>
    <w:rsid w:val="58C820B8"/>
    <w:rsid w:val="58D238EE"/>
    <w:rsid w:val="58D30921"/>
    <w:rsid w:val="58D36385"/>
    <w:rsid w:val="58D537FD"/>
    <w:rsid w:val="58DA5965"/>
    <w:rsid w:val="58E76170"/>
    <w:rsid w:val="58ED379D"/>
    <w:rsid w:val="58F92290"/>
    <w:rsid w:val="58FE78A6"/>
    <w:rsid w:val="5904092F"/>
    <w:rsid w:val="590B5B1F"/>
    <w:rsid w:val="591069ED"/>
    <w:rsid w:val="59232E69"/>
    <w:rsid w:val="593603E8"/>
    <w:rsid w:val="59372AC1"/>
    <w:rsid w:val="5939268C"/>
    <w:rsid w:val="593E1FA0"/>
    <w:rsid w:val="593E7CA2"/>
    <w:rsid w:val="59401C6C"/>
    <w:rsid w:val="594F0101"/>
    <w:rsid w:val="595474C6"/>
    <w:rsid w:val="596040BD"/>
    <w:rsid w:val="59671962"/>
    <w:rsid w:val="59714055"/>
    <w:rsid w:val="597162CA"/>
    <w:rsid w:val="59771406"/>
    <w:rsid w:val="59797DB3"/>
    <w:rsid w:val="597E2303"/>
    <w:rsid w:val="598558D1"/>
    <w:rsid w:val="598633F7"/>
    <w:rsid w:val="59875AED"/>
    <w:rsid w:val="598853C1"/>
    <w:rsid w:val="598D0C2A"/>
    <w:rsid w:val="599414E6"/>
    <w:rsid w:val="5996188C"/>
    <w:rsid w:val="59986115"/>
    <w:rsid w:val="599D79FE"/>
    <w:rsid w:val="599E6993"/>
    <w:rsid w:val="59A0095D"/>
    <w:rsid w:val="59A1557A"/>
    <w:rsid w:val="59A246D5"/>
    <w:rsid w:val="59A86032"/>
    <w:rsid w:val="59AD68B9"/>
    <w:rsid w:val="59B63CDD"/>
    <w:rsid w:val="59C208D3"/>
    <w:rsid w:val="59C721A6"/>
    <w:rsid w:val="59CC1752"/>
    <w:rsid w:val="59D46859"/>
    <w:rsid w:val="59DB2BDF"/>
    <w:rsid w:val="59DB56BB"/>
    <w:rsid w:val="59DE528E"/>
    <w:rsid w:val="59E35FA5"/>
    <w:rsid w:val="59E720E8"/>
    <w:rsid w:val="59EC76FE"/>
    <w:rsid w:val="59EF3692"/>
    <w:rsid w:val="59F14D15"/>
    <w:rsid w:val="59FA7FB5"/>
    <w:rsid w:val="5A094754"/>
    <w:rsid w:val="5A142254"/>
    <w:rsid w:val="5A171F68"/>
    <w:rsid w:val="5A1A7EC3"/>
    <w:rsid w:val="5A1E411E"/>
    <w:rsid w:val="5A2A0227"/>
    <w:rsid w:val="5A2A46CB"/>
    <w:rsid w:val="5A317807"/>
    <w:rsid w:val="5A355549"/>
    <w:rsid w:val="5A36665F"/>
    <w:rsid w:val="5A3B2434"/>
    <w:rsid w:val="5A5359CF"/>
    <w:rsid w:val="5A56726E"/>
    <w:rsid w:val="5A5F4374"/>
    <w:rsid w:val="5A64198B"/>
    <w:rsid w:val="5A651785"/>
    <w:rsid w:val="5A706581"/>
    <w:rsid w:val="5A7D47FA"/>
    <w:rsid w:val="5A8F351F"/>
    <w:rsid w:val="5A951B44"/>
    <w:rsid w:val="5AA8669B"/>
    <w:rsid w:val="5AA867D6"/>
    <w:rsid w:val="5AAE1F41"/>
    <w:rsid w:val="5AB20948"/>
    <w:rsid w:val="5AC24B9D"/>
    <w:rsid w:val="5AC32182"/>
    <w:rsid w:val="5AC972FC"/>
    <w:rsid w:val="5ACC3AF7"/>
    <w:rsid w:val="5AD22D98"/>
    <w:rsid w:val="5ADA4AF0"/>
    <w:rsid w:val="5ADE798F"/>
    <w:rsid w:val="5ADF1011"/>
    <w:rsid w:val="5ADF54B5"/>
    <w:rsid w:val="5AE900E2"/>
    <w:rsid w:val="5AEB5C08"/>
    <w:rsid w:val="5AEC372E"/>
    <w:rsid w:val="5AEE56F8"/>
    <w:rsid w:val="5AEF0CBE"/>
    <w:rsid w:val="5AEF3731"/>
    <w:rsid w:val="5AF0321E"/>
    <w:rsid w:val="5AF820D3"/>
    <w:rsid w:val="5AFC6067"/>
    <w:rsid w:val="5B034C7D"/>
    <w:rsid w:val="5B043C4D"/>
    <w:rsid w:val="5B0942E0"/>
    <w:rsid w:val="5B0B1E06"/>
    <w:rsid w:val="5B150ED7"/>
    <w:rsid w:val="5B221B8D"/>
    <w:rsid w:val="5B223606"/>
    <w:rsid w:val="5B2335F4"/>
    <w:rsid w:val="5B24111A"/>
    <w:rsid w:val="5B2522B9"/>
    <w:rsid w:val="5B2829B8"/>
    <w:rsid w:val="5B3475AF"/>
    <w:rsid w:val="5B3A6B8F"/>
    <w:rsid w:val="5B3F7D02"/>
    <w:rsid w:val="5B445318"/>
    <w:rsid w:val="5B4A6DD2"/>
    <w:rsid w:val="5B4D0702"/>
    <w:rsid w:val="5B5B0FE0"/>
    <w:rsid w:val="5B5C5B6E"/>
    <w:rsid w:val="5B5D6FE2"/>
    <w:rsid w:val="5B5E287E"/>
    <w:rsid w:val="5B5F2152"/>
    <w:rsid w:val="5B6065F6"/>
    <w:rsid w:val="5B6F6839"/>
    <w:rsid w:val="5B7114D5"/>
    <w:rsid w:val="5B79172D"/>
    <w:rsid w:val="5B7C2D04"/>
    <w:rsid w:val="5B8A1E92"/>
    <w:rsid w:val="5B9462A0"/>
    <w:rsid w:val="5B960EA4"/>
    <w:rsid w:val="5BA54009"/>
    <w:rsid w:val="5BAC183B"/>
    <w:rsid w:val="5BAE5D78"/>
    <w:rsid w:val="5BAF17EE"/>
    <w:rsid w:val="5BB10BFF"/>
    <w:rsid w:val="5BBA168B"/>
    <w:rsid w:val="5BBC75A4"/>
    <w:rsid w:val="5BBF646E"/>
    <w:rsid w:val="5BC81CBC"/>
    <w:rsid w:val="5BCA11D2"/>
    <w:rsid w:val="5BCB199C"/>
    <w:rsid w:val="5BCC3C8B"/>
    <w:rsid w:val="5BCD355F"/>
    <w:rsid w:val="5BCF1086"/>
    <w:rsid w:val="5BD32AA5"/>
    <w:rsid w:val="5BD40D92"/>
    <w:rsid w:val="5BD52C24"/>
    <w:rsid w:val="5BE663CF"/>
    <w:rsid w:val="5BEA4111"/>
    <w:rsid w:val="5C0827EA"/>
    <w:rsid w:val="5C090A3C"/>
    <w:rsid w:val="5C0D7E00"/>
    <w:rsid w:val="5C142F3C"/>
    <w:rsid w:val="5C163158"/>
    <w:rsid w:val="5C1967A5"/>
    <w:rsid w:val="5C1B3309"/>
    <w:rsid w:val="5C1C479A"/>
    <w:rsid w:val="5C2869E8"/>
    <w:rsid w:val="5C2B3560"/>
    <w:rsid w:val="5C2C72B3"/>
    <w:rsid w:val="5C330FDC"/>
    <w:rsid w:val="5C361105"/>
    <w:rsid w:val="5C3929A3"/>
    <w:rsid w:val="5C403D31"/>
    <w:rsid w:val="5C426BCA"/>
    <w:rsid w:val="5C433822"/>
    <w:rsid w:val="5C4E28F2"/>
    <w:rsid w:val="5C58107B"/>
    <w:rsid w:val="5C5D48E3"/>
    <w:rsid w:val="5C634BE5"/>
    <w:rsid w:val="5C642116"/>
    <w:rsid w:val="5C6B34A4"/>
    <w:rsid w:val="5C6C3A01"/>
    <w:rsid w:val="5C6E089F"/>
    <w:rsid w:val="5C734107"/>
    <w:rsid w:val="5C763BF7"/>
    <w:rsid w:val="5C862030"/>
    <w:rsid w:val="5C877BB2"/>
    <w:rsid w:val="5C8D2C1F"/>
    <w:rsid w:val="5C902F0B"/>
    <w:rsid w:val="5C942AC3"/>
    <w:rsid w:val="5C952E62"/>
    <w:rsid w:val="5C966047"/>
    <w:rsid w:val="5CA644DC"/>
    <w:rsid w:val="5CB20F6B"/>
    <w:rsid w:val="5CBA7F88"/>
    <w:rsid w:val="5CBF559E"/>
    <w:rsid w:val="5CC26E3C"/>
    <w:rsid w:val="5CC74453"/>
    <w:rsid w:val="5CC826A5"/>
    <w:rsid w:val="5CCB7A9F"/>
    <w:rsid w:val="5CCD43A1"/>
    <w:rsid w:val="5CCE57E1"/>
    <w:rsid w:val="5CCE758F"/>
    <w:rsid w:val="5CD1707F"/>
    <w:rsid w:val="5CD24B4A"/>
    <w:rsid w:val="5CD5091E"/>
    <w:rsid w:val="5CD75B6F"/>
    <w:rsid w:val="5CE0366C"/>
    <w:rsid w:val="5CE27E10"/>
    <w:rsid w:val="5CE60D7D"/>
    <w:rsid w:val="5CE70651"/>
    <w:rsid w:val="5CEB6393"/>
    <w:rsid w:val="5CED210B"/>
    <w:rsid w:val="5CEE378D"/>
    <w:rsid w:val="5CEE5391"/>
    <w:rsid w:val="5CFA46BD"/>
    <w:rsid w:val="5CFC40FC"/>
    <w:rsid w:val="5D0336DD"/>
    <w:rsid w:val="5D066D29"/>
    <w:rsid w:val="5D0B2591"/>
    <w:rsid w:val="5D0E014F"/>
    <w:rsid w:val="5D121B72"/>
    <w:rsid w:val="5D1458EA"/>
    <w:rsid w:val="5D156F6C"/>
    <w:rsid w:val="5D1A1043"/>
    <w:rsid w:val="5D1A27D4"/>
    <w:rsid w:val="5D281BE7"/>
    <w:rsid w:val="5D311CA4"/>
    <w:rsid w:val="5D335644"/>
    <w:rsid w:val="5D383336"/>
    <w:rsid w:val="5D3C274B"/>
    <w:rsid w:val="5D3E2967"/>
    <w:rsid w:val="5D486FBE"/>
    <w:rsid w:val="5D487342"/>
    <w:rsid w:val="5D4E06D0"/>
    <w:rsid w:val="5D5410AB"/>
    <w:rsid w:val="5D5C103F"/>
    <w:rsid w:val="5D5E6B65"/>
    <w:rsid w:val="5D6F5336"/>
    <w:rsid w:val="5D702CF7"/>
    <w:rsid w:val="5D7A14C5"/>
    <w:rsid w:val="5D845EA0"/>
    <w:rsid w:val="5D872550"/>
    <w:rsid w:val="5D891708"/>
    <w:rsid w:val="5D8D13AA"/>
    <w:rsid w:val="5D900CE9"/>
    <w:rsid w:val="5D923F17"/>
    <w:rsid w:val="5DA86032"/>
    <w:rsid w:val="5DB22A0D"/>
    <w:rsid w:val="5DB3569D"/>
    <w:rsid w:val="5DB546BA"/>
    <w:rsid w:val="5DB9023F"/>
    <w:rsid w:val="5DBC43AE"/>
    <w:rsid w:val="5DBD0B12"/>
    <w:rsid w:val="5DC32E6C"/>
    <w:rsid w:val="5DC50992"/>
    <w:rsid w:val="5DC731D6"/>
    <w:rsid w:val="5DC82230"/>
    <w:rsid w:val="5DDB1F64"/>
    <w:rsid w:val="5DDB5388"/>
    <w:rsid w:val="5DE11544"/>
    <w:rsid w:val="5DE65F6E"/>
    <w:rsid w:val="5DE8337C"/>
    <w:rsid w:val="5DF63241"/>
    <w:rsid w:val="5DFC012C"/>
    <w:rsid w:val="5DFC1EDA"/>
    <w:rsid w:val="5DFF528E"/>
    <w:rsid w:val="5E0A7E98"/>
    <w:rsid w:val="5E105D59"/>
    <w:rsid w:val="5E164104"/>
    <w:rsid w:val="5E1E62F4"/>
    <w:rsid w:val="5E227E9E"/>
    <w:rsid w:val="5E2558D5"/>
    <w:rsid w:val="5E2A6A47"/>
    <w:rsid w:val="5E2D7601"/>
    <w:rsid w:val="5E361890"/>
    <w:rsid w:val="5E453881"/>
    <w:rsid w:val="5E457D25"/>
    <w:rsid w:val="5E4775F9"/>
    <w:rsid w:val="5E4D0988"/>
    <w:rsid w:val="5E525F9E"/>
    <w:rsid w:val="5E581806"/>
    <w:rsid w:val="5E624433"/>
    <w:rsid w:val="5E653F23"/>
    <w:rsid w:val="5E6768BD"/>
    <w:rsid w:val="5E6D4B86"/>
    <w:rsid w:val="5E72408D"/>
    <w:rsid w:val="5E7657DB"/>
    <w:rsid w:val="5E820631"/>
    <w:rsid w:val="5E952810"/>
    <w:rsid w:val="5EA04F5B"/>
    <w:rsid w:val="5EAC56AE"/>
    <w:rsid w:val="5EB01642"/>
    <w:rsid w:val="5EB32EE1"/>
    <w:rsid w:val="5EB34C8F"/>
    <w:rsid w:val="5EB61B49"/>
    <w:rsid w:val="5EB95AB6"/>
    <w:rsid w:val="5EBC04CF"/>
    <w:rsid w:val="5EBE09FE"/>
    <w:rsid w:val="5EBF5ED8"/>
    <w:rsid w:val="5EC155FD"/>
    <w:rsid w:val="5ECE1AC8"/>
    <w:rsid w:val="5ED115B9"/>
    <w:rsid w:val="5ED67C1B"/>
    <w:rsid w:val="5ED74E21"/>
    <w:rsid w:val="5EE03E4D"/>
    <w:rsid w:val="5EF916F2"/>
    <w:rsid w:val="5EFA466C"/>
    <w:rsid w:val="5F065D64"/>
    <w:rsid w:val="5F155949"/>
    <w:rsid w:val="5F1B0FA8"/>
    <w:rsid w:val="5F1F40D2"/>
    <w:rsid w:val="5F1F5B95"/>
    <w:rsid w:val="5F244F09"/>
    <w:rsid w:val="5F275CDD"/>
    <w:rsid w:val="5F277029"/>
    <w:rsid w:val="5F294F51"/>
    <w:rsid w:val="5F2D4540"/>
    <w:rsid w:val="5F2D4A41"/>
    <w:rsid w:val="5F2E2567"/>
    <w:rsid w:val="5F394280"/>
    <w:rsid w:val="5F3A0F0C"/>
    <w:rsid w:val="5F462D83"/>
    <w:rsid w:val="5F4678B1"/>
    <w:rsid w:val="5F4B6A61"/>
    <w:rsid w:val="5F4F0E5B"/>
    <w:rsid w:val="5F531FCE"/>
    <w:rsid w:val="5F597DD2"/>
    <w:rsid w:val="5F5C0E82"/>
    <w:rsid w:val="5F6917F1"/>
    <w:rsid w:val="5F700DD2"/>
    <w:rsid w:val="5F7206A6"/>
    <w:rsid w:val="5F736417"/>
    <w:rsid w:val="5F7454D4"/>
    <w:rsid w:val="5F747793"/>
    <w:rsid w:val="5F7C69C2"/>
    <w:rsid w:val="5F7E6A88"/>
    <w:rsid w:val="5F824687"/>
    <w:rsid w:val="5F8C5035"/>
    <w:rsid w:val="5F9525E6"/>
    <w:rsid w:val="5F9745B0"/>
    <w:rsid w:val="5F9C5723"/>
    <w:rsid w:val="5FA53E82"/>
    <w:rsid w:val="5FB32BAC"/>
    <w:rsid w:val="5FC11DD9"/>
    <w:rsid w:val="5FC44C79"/>
    <w:rsid w:val="5FCF3D4A"/>
    <w:rsid w:val="5FD30547"/>
    <w:rsid w:val="5FE07D05"/>
    <w:rsid w:val="5FE33352"/>
    <w:rsid w:val="5FE349C2"/>
    <w:rsid w:val="5FE570CA"/>
    <w:rsid w:val="5FE5719F"/>
    <w:rsid w:val="5FE62E42"/>
    <w:rsid w:val="5FF732A1"/>
    <w:rsid w:val="5FFE2157"/>
    <w:rsid w:val="5FFE462F"/>
    <w:rsid w:val="6000516C"/>
    <w:rsid w:val="600734E4"/>
    <w:rsid w:val="6008100A"/>
    <w:rsid w:val="60193217"/>
    <w:rsid w:val="60267DFE"/>
    <w:rsid w:val="602C4B7C"/>
    <w:rsid w:val="60301761"/>
    <w:rsid w:val="603242D9"/>
    <w:rsid w:val="60335F84"/>
    <w:rsid w:val="60341DFF"/>
    <w:rsid w:val="6037544B"/>
    <w:rsid w:val="603C13ED"/>
    <w:rsid w:val="60477D84"/>
    <w:rsid w:val="604C7149"/>
    <w:rsid w:val="604E7B4F"/>
    <w:rsid w:val="60500AB3"/>
    <w:rsid w:val="605129B1"/>
    <w:rsid w:val="605E0C2A"/>
    <w:rsid w:val="605F4E43"/>
    <w:rsid w:val="606140DA"/>
    <w:rsid w:val="6061410F"/>
    <w:rsid w:val="606704E8"/>
    <w:rsid w:val="607021F1"/>
    <w:rsid w:val="607466A0"/>
    <w:rsid w:val="60786190"/>
    <w:rsid w:val="60793CB6"/>
    <w:rsid w:val="60885CA7"/>
    <w:rsid w:val="608D150F"/>
    <w:rsid w:val="608E59B3"/>
    <w:rsid w:val="60932FCA"/>
    <w:rsid w:val="60956D42"/>
    <w:rsid w:val="609D79A4"/>
    <w:rsid w:val="60B04029"/>
    <w:rsid w:val="60B5355E"/>
    <w:rsid w:val="60B82A30"/>
    <w:rsid w:val="60BA0D35"/>
    <w:rsid w:val="60BB42CE"/>
    <w:rsid w:val="60C05441"/>
    <w:rsid w:val="60C45564"/>
    <w:rsid w:val="60C87CD4"/>
    <w:rsid w:val="60C90799"/>
    <w:rsid w:val="60CA62C0"/>
    <w:rsid w:val="60CC64DC"/>
    <w:rsid w:val="60D158A0"/>
    <w:rsid w:val="60D25DED"/>
    <w:rsid w:val="60D333C6"/>
    <w:rsid w:val="60D81B4F"/>
    <w:rsid w:val="60E07891"/>
    <w:rsid w:val="60E14399"/>
    <w:rsid w:val="60E143CA"/>
    <w:rsid w:val="60E5134B"/>
    <w:rsid w:val="60E70C20"/>
    <w:rsid w:val="60EE6452"/>
    <w:rsid w:val="60F35816"/>
    <w:rsid w:val="60F556F3"/>
    <w:rsid w:val="60F63558"/>
    <w:rsid w:val="60FC05BC"/>
    <w:rsid w:val="60FD6695"/>
    <w:rsid w:val="60FF317E"/>
    <w:rsid w:val="61060DE4"/>
    <w:rsid w:val="6107086D"/>
    <w:rsid w:val="61097651"/>
    <w:rsid w:val="610E439F"/>
    <w:rsid w:val="6110461A"/>
    <w:rsid w:val="61113EEE"/>
    <w:rsid w:val="61194C67"/>
    <w:rsid w:val="611C26A2"/>
    <w:rsid w:val="612B3202"/>
    <w:rsid w:val="61357BDD"/>
    <w:rsid w:val="61371BA7"/>
    <w:rsid w:val="613B124A"/>
    <w:rsid w:val="61427FE8"/>
    <w:rsid w:val="61442516"/>
    <w:rsid w:val="614F319D"/>
    <w:rsid w:val="61501544"/>
    <w:rsid w:val="615269E1"/>
    <w:rsid w:val="615927EE"/>
    <w:rsid w:val="615A7643"/>
    <w:rsid w:val="615F6A83"/>
    <w:rsid w:val="616B6C89"/>
    <w:rsid w:val="61700C15"/>
    <w:rsid w:val="61714874"/>
    <w:rsid w:val="61786783"/>
    <w:rsid w:val="61812E22"/>
    <w:rsid w:val="618257C3"/>
    <w:rsid w:val="619743F4"/>
    <w:rsid w:val="619868EC"/>
    <w:rsid w:val="61994610"/>
    <w:rsid w:val="619C0296"/>
    <w:rsid w:val="61AE798F"/>
    <w:rsid w:val="61B67676"/>
    <w:rsid w:val="61B96A60"/>
    <w:rsid w:val="61C251E9"/>
    <w:rsid w:val="61D4389A"/>
    <w:rsid w:val="61D77119"/>
    <w:rsid w:val="61E15FB7"/>
    <w:rsid w:val="61E33ADD"/>
    <w:rsid w:val="61E810F3"/>
    <w:rsid w:val="61ED495B"/>
    <w:rsid w:val="61ED6B42"/>
    <w:rsid w:val="61F45CEA"/>
    <w:rsid w:val="61F47A98"/>
    <w:rsid w:val="6200643D"/>
    <w:rsid w:val="62035F2D"/>
    <w:rsid w:val="6206770A"/>
    <w:rsid w:val="62087822"/>
    <w:rsid w:val="621517BC"/>
    <w:rsid w:val="62195750"/>
    <w:rsid w:val="6220263B"/>
    <w:rsid w:val="623460E6"/>
    <w:rsid w:val="623600B0"/>
    <w:rsid w:val="62375BD7"/>
    <w:rsid w:val="623B7475"/>
    <w:rsid w:val="623E2728"/>
    <w:rsid w:val="624125B1"/>
    <w:rsid w:val="62481B92"/>
    <w:rsid w:val="624A3B5C"/>
    <w:rsid w:val="624B78EB"/>
    <w:rsid w:val="624F35E2"/>
    <w:rsid w:val="62603D9C"/>
    <w:rsid w:val="62650996"/>
    <w:rsid w:val="62682234"/>
    <w:rsid w:val="626B6BE5"/>
    <w:rsid w:val="62720181"/>
    <w:rsid w:val="62775FD3"/>
    <w:rsid w:val="627B5AC3"/>
    <w:rsid w:val="62830E1C"/>
    <w:rsid w:val="629152E7"/>
    <w:rsid w:val="6295268F"/>
    <w:rsid w:val="62960B4F"/>
    <w:rsid w:val="629628FD"/>
    <w:rsid w:val="6299063F"/>
    <w:rsid w:val="62A514DE"/>
    <w:rsid w:val="62A824CA"/>
    <w:rsid w:val="62A82630"/>
    <w:rsid w:val="62AA72C8"/>
    <w:rsid w:val="62AF1C11"/>
    <w:rsid w:val="62AF7E63"/>
    <w:rsid w:val="62B400C5"/>
    <w:rsid w:val="62B45479"/>
    <w:rsid w:val="62BE475E"/>
    <w:rsid w:val="62C04957"/>
    <w:rsid w:val="62C66B3B"/>
    <w:rsid w:val="62C90F25"/>
    <w:rsid w:val="62C9537F"/>
    <w:rsid w:val="62CC631F"/>
    <w:rsid w:val="62CE0F03"/>
    <w:rsid w:val="62D17DD9"/>
    <w:rsid w:val="62D64AD5"/>
    <w:rsid w:val="62D653F0"/>
    <w:rsid w:val="62DE677A"/>
    <w:rsid w:val="62DF4C5B"/>
    <w:rsid w:val="62E21FE6"/>
    <w:rsid w:val="62E278F0"/>
    <w:rsid w:val="62E713AB"/>
    <w:rsid w:val="62EE098B"/>
    <w:rsid w:val="62F20C05"/>
    <w:rsid w:val="62FA10DE"/>
    <w:rsid w:val="62FA476C"/>
    <w:rsid w:val="62FB09B2"/>
    <w:rsid w:val="63035108"/>
    <w:rsid w:val="6306497D"/>
    <w:rsid w:val="630B1CF0"/>
    <w:rsid w:val="630C2BBF"/>
    <w:rsid w:val="63113943"/>
    <w:rsid w:val="631842CA"/>
    <w:rsid w:val="631B1618"/>
    <w:rsid w:val="63332842"/>
    <w:rsid w:val="63381C06"/>
    <w:rsid w:val="634A4BAA"/>
    <w:rsid w:val="634E142A"/>
    <w:rsid w:val="63534C92"/>
    <w:rsid w:val="63560E52"/>
    <w:rsid w:val="635C3B47"/>
    <w:rsid w:val="635F3637"/>
    <w:rsid w:val="63640C4D"/>
    <w:rsid w:val="636522D0"/>
    <w:rsid w:val="6367429A"/>
    <w:rsid w:val="636C365E"/>
    <w:rsid w:val="636E5628"/>
    <w:rsid w:val="63865A3C"/>
    <w:rsid w:val="639A01CB"/>
    <w:rsid w:val="639D591B"/>
    <w:rsid w:val="63A23524"/>
    <w:rsid w:val="63A55CB7"/>
    <w:rsid w:val="63BC01E3"/>
    <w:rsid w:val="63CF0081"/>
    <w:rsid w:val="63EC4FEE"/>
    <w:rsid w:val="63EE34DF"/>
    <w:rsid w:val="63F55D49"/>
    <w:rsid w:val="63F773CC"/>
    <w:rsid w:val="63FC70D8"/>
    <w:rsid w:val="640146EE"/>
    <w:rsid w:val="64025D70"/>
    <w:rsid w:val="640B10C9"/>
    <w:rsid w:val="641937E6"/>
    <w:rsid w:val="641B77E7"/>
    <w:rsid w:val="641E5AF1"/>
    <w:rsid w:val="6420379D"/>
    <w:rsid w:val="64240BCA"/>
    <w:rsid w:val="64243AAC"/>
    <w:rsid w:val="64260530"/>
    <w:rsid w:val="64346872"/>
    <w:rsid w:val="64371EBE"/>
    <w:rsid w:val="64477A57"/>
    <w:rsid w:val="644D5995"/>
    <w:rsid w:val="644F0FB6"/>
    <w:rsid w:val="64526CF8"/>
    <w:rsid w:val="6457430E"/>
    <w:rsid w:val="645C36D2"/>
    <w:rsid w:val="646A3E60"/>
    <w:rsid w:val="646C600B"/>
    <w:rsid w:val="64721148"/>
    <w:rsid w:val="647A1DAB"/>
    <w:rsid w:val="647E189B"/>
    <w:rsid w:val="64806A5A"/>
    <w:rsid w:val="6486074F"/>
    <w:rsid w:val="64892429"/>
    <w:rsid w:val="64902E42"/>
    <w:rsid w:val="64992458"/>
    <w:rsid w:val="64A17553"/>
    <w:rsid w:val="64A92B5F"/>
    <w:rsid w:val="64AB3F29"/>
    <w:rsid w:val="64B634FA"/>
    <w:rsid w:val="64BF71EB"/>
    <w:rsid w:val="64C164CD"/>
    <w:rsid w:val="64CA0F84"/>
    <w:rsid w:val="64CF659A"/>
    <w:rsid w:val="64D140C0"/>
    <w:rsid w:val="64D37E39"/>
    <w:rsid w:val="64D92F75"/>
    <w:rsid w:val="64DD56BD"/>
    <w:rsid w:val="64DF4A2F"/>
    <w:rsid w:val="64E77440"/>
    <w:rsid w:val="64E86202"/>
    <w:rsid w:val="64EE4C72"/>
    <w:rsid w:val="64EE6A20"/>
    <w:rsid w:val="64EF2799"/>
    <w:rsid w:val="64F34037"/>
    <w:rsid w:val="64F63B27"/>
    <w:rsid w:val="64F660FC"/>
    <w:rsid w:val="64FB280D"/>
    <w:rsid w:val="64FC31D0"/>
    <w:rsid w:val="650268CB"/>
    <w:rsid w:val="650348C5"/>
    <w:rsid w:val="6518088E"/>
    <w:rsid w:val="651D3EF1"/>
    <w:rsid w:val="651E4B62"/>
    <w:rsid w:val="6522491C"/>
    <w:rsid w:val="65281757"/>
    <w:rsid w:val="652E1513"/>
    <w:rsid w:val="6531690D"/>
    <w:rsid w:val="65340BD8"/>
    <w:rsid w:val="6535701B"/>
    <w:rsid w:val="65385EEE"/>
    <w:rsid w:val="6549634D"/>
    <w:rsid w:val="654C7BEB"/>
    <w:rsid w:val="65510D5D"/>
    <w:rsid w:val="65532D27"/>
    <w:rsid w:val="65597553"/>
    <w:rsid w:val="65624D19"/>
    <w:rsid w:val="656303C1"/>
    <w:rsid w:val="6566711C"/>
    <w:rsid w:val="656A39B2"/>
    <w:rsid w:val="656F1575"/>
    <w:rsid w:val="65705687"/>
    <w:rsid w:val="6571504D"/>
    <w:rsid w:val="657A02B4"/>
    <w:rsid w:val="65803B72"/>
    <w:rsid w:val="658630FD"/>
    <w:rsid w:val="65921AA2"/>
    <w:rsid w:val="65993900"/>
    <w:rsid w:val="659A4F2D"/>
    <w:rsid w:val="65A26AC8"/>
    <w:rsid w:val="65AC12C2"/>
    <w:rsid w:val="65B3660F"/>
    <w:rsid w:val="65C854C3"/>
    <w:rsid w:val="65CD2ADA"/>
    <w:rsid w:val="65CE23AE"/>
    <w:rsid w:val="65D125E0"/>
    <w:rsid w:val="65D75FAE"/>
    <w:rsid w:val="65DF0A5F"/>
    <w:rsid w:val="65F15AA7"/>
    <w:rsid w:val="65F52031"/>
    <w:rsid w:val="65FF4893"/>
    <w:rsid w:val="66042274"/>
    <w:rsid w:val="66061B48"/>
    <w:rsid w:val="66085219"/>
    <w:rsid w:val="66100C18"/>
    <w:rsid w:val="66154481"/>
    <w:rsid w:val="6615622F"/>
    <w:rsid w:val="661C75BD"/>
    <w:rsid w:val="661E1587"/>
    <w:rsid w:val="661F70AE"/>
    <w:rsid w:val="66220804"/>
    <w:rsid w:val="662326FA"/>
    <w:rsid w:val="66285CFA"/>
    <w:rsid w:val="662B2DF7"/>
    <w:rsid w:val="66304E17"/>
    <w:rsid w:val="66383A27"/>
    <w:rsid w:val="663E7F0E"/>
    <w:rsid w:val="663F32AC"/>
    <w:rsid w:val="66413542"/>
    <w:rsid w:val="664D3C1B"/>
    <w:rsid w:val="664F7D1A"/>
    <w:rsid w:val="66650986"/>
    <w:rsid w:val="66666B19"/>
    <w:rsid w:val="66723681"/>
    <w:rsid w:val="66805D9E"/>
    <w:rsid w:val="66833198"/>
    <w:rsid w:val="668533B4"/>
    <w:rsid w:val="668B029F"/>
    <w:rsid w:val="668B64F1"/>
    <w:rsid w:val="668C2B1A"/>
    <w:rsid w:val="66910D2B"/>
    <w:rsid w:val="66990C0E"/>
    <w:rsid w:val="669B2BD8"/>
    <w:rsid w:val="669E3068"/>
    <w:rsid w:val="66A0618B"/>
    <w:rsid w:val="66C50691"/>
    <w:rsid w:val="66C51A03"/>
    <w:rsid w:val="66C7577B"/>
    <w:rsid w:val="66D460EA"/>
    <w:rsid w:val="66D710A6"/>
    <w:rsid w:val="66D954AE"/>
    <w:rsid w:val="66DB4D83"/>
    <w:rsid w:val="66DE0D17"/>
    <w:rsid w:val="66E70F2E"/>
    <w:rsid w:val="66E856F1"/>
    <w:rsid w:val="66E91A9B"/>
    <w:rsid w:val="66EC51E2"/>
    <w:rsid w:val="66EF082E"/>
    <w:rsid w:val="66EF118A"/>
    <w:rsid w:val="66F1639A"/>
    <w:rsid w:val="66F9345B"/>
    <w:rsid w:val="66F978FF"/>
    <w:rsid w:val="67010561"/>
    <w:rsid w:val="670425C8"/>
    <w:rsid w:val="670555B4"/>
    <w:rsid w:val="67187496"/>
    <w:rsid w:val="671958AB"/>
    <w:rsid w:val="671B1623"/>
    <w:rsid w:val="67226E55"/>
    <w:rsid w:val="67243E5D"/>
    <w:rsid w:val="6727446C"/>
    <w:rsid w:val="672865F6"/>
    <w:rsid w:val="67303D65"/>
    <w:rsid w:val="67326068"/>
    <w:rsid w:val="674C3ED2"/>
    <w:rsid w:val="674C7A2E"/>
    <w:rsid w:val="674F751F"/>
    <w:rsid w:val="67530DBD"/>
    <w:rsid w:val="67545A3E"/>
    <w:rsid w:val="67551DF1"/>
    <w:rsid w:val="675608AD"/>
    <w:rsid w:val="67564D51"/>
    <w:rsid w:val="67582877"/>
    <w:rsid w:val="675A65EF"/>
    <w:rsid w:val="675B2D5F"/>
    <w:rsid w:val="675D7E8D"/>
    <w:rsid w:val="67656A51"/>
    <w:rsid w:val="67695FB4"/>
    <w:rsid w:val="676C3E80"/>
    <w:rsid w:val="676E5BF7"/>
    <w:rsid w:val="67707AEE"/>
    <w:rsid w:val="67766DE4"/>
    <w:rsid w:val="677A0EB9"/>
    <w:rsid w:val="677D0530"/>
    <w:rsid w:val="678216A2"/>
    <w:rsid w:val="67896ED4"/>
    <w:rsid w:val="679E06B1"/>
    <w:rsid w:val="67A61834"/>
    <w:rsid w:val="67A84EAC"/>
    <w:rsid w:val="67AC2BC3"/>
    <w:rsid w:val="67B419FC"/>
    <w:rsid w:val="67B83316"/>
    <w:rsid w:val="67BB268C"/>
    <w:rsid w:val="67BF6452"/>
    <w:rsid w:val="67C25F42"/>
    <w:rsid w:val="67C42FA1"/>
    <w:rsid w:val="67D0240D"/>
    <w:rsid w:val="67D6075C"/>
    <w:rsid w:val="67DF6AF4"/>
    <w:rsid w:val="67E660D5"/>
    <w:rsid w:val="67F105D6"/>
    <w:rsid w:val="67F1102B"/>
    <w:rsid w:val="67F337B4"/>
    <w:rsid w:val="67F65BEC"/>
    <w:rsid w:val="67FC1826"/>
    <w:rsid w:val="68063C28"/>
    <w:rsid w:val="68104546"/>
    <w:rsid w:val="681E0ADC"/>
    <w:rsid w:val="682409AB"/>
    <w:rsid w:val="682C0E52"/>
    <w:rsid w:val="6836496C"/>
    <w:rsid w:val="6839418E"/>
    <w:rsid w:val="684C4B79"/>
    <w:rsid w:val="685726B3"/>
    <w:rsid w:val="68574F28"/>
    <w:rsid w:val="68591555"/>
    <w:rsid w:val="68662D72"/>
    <w:rsid w:val="686F4288"/>
    <w:rsid w:val="68703BF0"/>
    <w:rsid w:val="6871017A"/>
    <w:rsid w:val="687C5E53"/>
    <w:rsid w:val="68861AD6"/>
    <w:rsid w:val="688B0A2A"/>
    <w:rsid w:val="688D6550"/>
    <w:rsid w:val="68A145DE"/>
    <w:rsid w:val="68AA34DB"/>
    <w:rsid w:val="68AE3C3B"/>
    <w:rsid w:val="68AF4719"/>
    <w:rsid w:val="68B034AC"/>
    <w:rsid w:val="68B25FB7"/>
    <w:rsid w:val="68BE670A"/>
    <w:rsid w:val="68C612A0"/>
    <w:rsid w:val="68C77CB4"/>
    <w:rsid w:val="68DC5B73"/>
    <w:rsid w:val="68E1689C"/>
    <w:rsid w:val="68EC771B"/>
    <w:rsid w:val="68F20AA9"/>
    <w:rsid w:val="68F760C0"/>
    <w:rsid w:val="68F77E6E"/>
    <w:rsid w:val="68FA6233"/>
    <w:rsid w:val="690305C1"/>
    <w:rsid w:val="6904528D"/>
    <w:rsid w:val="69146C72"/>
    <w:rsid w:val="691A66FD"/>
    <w:rsid w:val="691F21B4"/>
    <w:rsid w:val="69215FCF"/>
    <w:rsid w:val="692969BF"/>
    <w:rsid w:val="692C7A28"/>
    <w:rsid w:val="692D1AE1"/>
    <w:rsid w:val="6931512E"/>
    <w:rsid w:val="69360996"/>
    <w:rsid w:val="69391E5C"/>
    <w:rsid w:val="69396A04"/>
    <w:rsid w:val="693D2E71"/>
    <w:rsid w:val="69401815"/>
    <w:rsid w:val="69456E2B"/>
    <w:rsid w:val="69524053"/>
    <w:rsid w:val="695910B8"/>
    <w:rsid w:val="695A1D79"/>
    <w:rsid w:val="695D4175"/>
    <w:rsid w:val="69623539"/>
    <w:rsid w:val="696279DD"/>
    <w:rsid w:val="696A6BE8"/>
    <w:rsid w:val="696F3EA8"/>
    <w:rsid w:val="69783DE1"/>
    <w:rsid w:val="697C13A1"/>
    <w:rsid w:val="697D65C5"/>
    <w:rsid w:val="6985191D"/>
    <w:rsid w:val="69901A8C"/>
    <w:rsid w:val="69913E1E"/>
    <w:rsid w:val="69937B96"/>
    <w:rsid w:val="69951B60"/>
    <w:rsid w:val="6995315D"/>
    <w:rsid w:val="699777F4"/>
    <w:rsid w:val="69990F25"/>
    <w:rsid w:val="699B7C24"/>
    <w:rsid w:val="69AE2C22"/>
    <w:rsid w:val="69AE49D0"/>
    <w:rsid w:val="69B36CB2"/>
    <w:rsid w:val="69B41D9F"/>
    <w:rsid w:val="69B83AA1"/>
    <w:rsid w:val="69B95123"/>
    <w:rsid w:val="69BF6E66"/>
    <w:rsid w:val="69C42446"/>
    <w:rsid w:val="69CC12FA"/>
    <w:rsid w:val="69CF7DA2"/>
    <w:rsid w:val="69D25049"/>
    <w:rsid w:val="69D2533B"/>
    <w:rsid w:val="69D501AF"/>
    <w:rsid w:val="69DB6DD7"/>
    <w:rsid w:val="69E76134"/>
    <w:rsid w:val="69F148BD"/>
    <w:rsid w:val="69F50851"/>
    <w:rsid w:val="69FD3262"/>
    <w:rsid w:val="69FF347E"/>
    <w:rsid w:val="6A013106"/>
    <w:rsid w:val="6A130CD7"/>
    <w:rsid w:val="6A154A4F"/>
    <w:rsid w:val="6A1938B8"/>
    <w:rsid w:val="6A1B7B8C"/>
    <w:rsid w:val="6A1C4030"/>
    <w:rsid w:val="6A211646"/>
    <w:rsid w:val="6A266C5C"/>
    <w:rsid w:val="6A29666B"/>
    <w:rsid w:val="6A2A2BAD"/>
    <w:rsid w:val="6A2B4273"/>
    <w:rsid w:val="6A300AC3"/>
    <w:rsid w:val="6A321CEB"/>
    <w:rsid w:val="6A394BF4"/>
    <w:rsid w:val="6A3C6480"/>
    <w:rsid w:val="6A3C7874"/>
    <w:rsid w:val="6A470981"/>
    <w:rsid w:val="6A4B68EB"/>
    <w:rsid w:val="6A4E7F61"/>
    <w:rsid w:val="6A5135AE"/>
    <w:rsid w:val="6A5145E9"/>
    <w:rsid w:val="6A534E1A"/>
    <w:rsid w:val="6A535578"/>
    <w:rsid w:val="6A661DB2"/>
    <w:rsid w:val="6A712145"/>
    <w:rsid w:val="6A771266"/>
    <w:rsid w:val="6A793230"/>
    <w:rsid w:val="6A7A6FA8"/>
    <w:rsid w:val="6A7C2FBF"/>
    <w:rsid w:val="6A7F67F0"/>
    <w:rsid w:val="6A8676FB"/>
    <w:rsid w:val="6A881D8E"/>
    <w:rsid w:val="6A8E2469"/>
    <w:rsid w:val="6A933BC6"/>
    <w:rsid w:val="6A9F07BD"/>
    <w:rsid w:val="6AA5164F"/>
    <w:rsid w:val="6AA95198"/>
    <w:rsid w:val="6AAF0A00"/>
    <w:rsid w:val="6AB51D8E"/>
    <w:rsid w:val="6AB842C8"/>
    <w:rsid w:val="6ABE6E95"/>
    <w:rsid w:val="6AC60C55"/>
    <w:rsid w:val="6AC63F9C"/>
    <w:rsid w:val="6ACD70D8"/>
    <w:rsid w:val="6AD25386"/>
    <w:rsid w:val="6AD2649C"/>
    <w:rsid w:val="6AD62431"/>
    <w:rsid w:val="6AEA431A"/>
    <w:rsid w:val="6AED1E93"/>
    <w:rsid w:val="6AF208ED"/>
    <w:rsid w:val="6AFB1E97"/>
    <w:rsid w:val="6AFC5C0F"/>
    <w:rsid w:val="6B0017D7"/>
    <w:rsid w:val="6B0250C0"/>
    <w:rsid w:val="6B025340"/>
    <w:rsid w:val="6B056872"/>
    <w:rsid w:val="6B0D5727"/>
    <w:rsid w:val="6B166CD1"/>
    <w:rsid w:val="6B1B4A57"/>
    <w:rsid w:val="6B247542"/>
    <w:rsid w:val="6B256EA5"/>
    <w:rsid w:val="6B274D38"/>
    <w:rsid w:val="6B2C2051"/>
    <w:rsid w:val="6B2E4D6B"/>
    <w:rsid w:val="6B3129AF"/>
    <w:rsid w:val="6B321631"/>
    <w:rsid w:val="6B383265"/>
    <w:rsid w:val="6B3F4ACC"/>
    <w:rsid w:val="6B403D4E"/>
    <w:rsid w:val="6B405AFC"/>
    <w:rsid w:val="6B4239D2"/>
    <w:rsid w:val="6B43383E"/>
    <w:rsid w:val="6B451364"/>
    <w:rsid w:val="6B454EC0"/>
    <w:rsid w:val="6B4D77D6"/>
    <w:rsid w:val="6B532F8C"/>
    <w:rsid w:val="6B546A27"/>
    <w:rsid w:val="6B5670CE"/>
    <w:rsid w:val="6B5C2732"/>
    <w:rsid w:val="6B633598"/>
    <w:rsid w:val="6B6B34E9"/>
    <w:rsid w:val="6B6C1CC9"/>
    <w:rsid w:val="6B6F28FB"/>
    <w:rsid w:val="6B7D62ED"/>
    <w:rsid w:val="6B816A6D"/>
    <w:rsid w:val="6B8461A4"/>
    <w:rsid w:val="6B87372B"/>
    <w:rsid w:val="6B89121E"/>
    <w:rsid w:val="6B8C3C7C"/>
    <w:rsid w:val="6B8E7E96"/>
    <w:rsid w:val="6B935963"/>
    <w:rsid w:val="6B9F7250"/>
    <w:rsid w:val="6BA147C4"/>
    <w:rsid w:val="6BA75B7B"/>
    <w:rsid w:val="6BAA0092"/>
    <w:rsid w:val="6BC81C79"/>
    <w:rsid w:val="6BD10E4A"/>
    <w:rsid w:val="6BD23A2A"/>
    <w:rsid w:val="6BDB5825"/>
    <w:rsid w:val="6BE37BAD"/>
    <w:rsid w:val="6BE73244"/>
    <w:rsid w:val="6BEA30ED"/>
    <w:rsid w:val="6BEB1F0C"/>
    <w:rsid w:val="6BEC7A32"/>
    <w:rsid w:val="6BF06D56"/>
    <w:rsid w:val="6BF379BD"/>
    <w:rsid w:val="6BFB7C75"/>
    <w:rsid w:val="6C066D46"/>
    <w:rsid w:val="6C1256EA"/>
    <w:rsid w:val="6C152AE5"/>
    <w:rsid w:val="6C16300E"/>
    <w:rsid w:val="6C1F5711"/>
    <w:rsid w:val="6C292A34"/>
    <w:rsid w:val="6C2C422A"/>
    <w:rsid w:val="6C377D3B"/>
    <w:rsid w:val="6C3B3F76"/>
    <w:rsid w:val="6C3D203B"/>
    <w:rsid w:val="6C4533EE"/>
    <w:rsid w:val="6C4614AB"/>
    <w:rsid w:val="6C4B73EA"/>
    <w:rsid w:val="6C6121CE"/>
    <w:rsid w:val="6C627CF4"/>
    <w:rsid w:val="6C6A6AA3"/>
    <w:rsid w:val="6C7041BF"/>
    <w:rsid w:val="6C80389A"/>
    <w:rsid w:val="6C81461E"/>
    <w:rsid w:val="6C832144"/>
    <w:rsid w:val="6C8639E2"/>
    <w:rsid w:val="6C871509"/>
    <w:rsid w:val="6C8E1CF4"/>
    <w:rsid w:val="6C8E2C44"/>
    <w:rsid w:val="6C9A3FEF"/>
    <w:rsid w:val="6C9B35C0"/>
    <w:rsid w:val="6CAD5413"/>
    <w:rsid w:val="6CB0202B"/>
    <w:rsid w:val="6CB06CB1"/>
    <w:rsid w:val="6CB079FD"/>
    <w:rsid w:val="6CB30A74"/>
    <w:rsid w:val="6CB44C32"/>
    <w:rsid w:val="6CB93DB8"/>
    <w:rsid w:val="6CBF0CA2"/>
    <w:rsid w:val="6CC56462"/>
    <w:rsid w:val="6CC94B1C"/>
    <w:rsid w:val="6CCA5293"/>
    <w:rsid w:val="6CD04C5E"/>
    <w:rsid w:val="6CD52274"/>
    <w:rsid w:val="6CDD419F"/>
    <w:rsid w:val="6CE4695B"/>
    <w:rsid w:val="6CE55245"/>
    <w:rsid w:val="6CE60925"/>
    <w:rsid w:val="6CE7161C"/>
    <w:rsid w:val="6CEA4A60"/>
    <w:rsid w:val="6CF7668E"/>
    <w:rsid w:val="6CFE7A1D"/>
    <w:rsid w:val="6D050660"/>
    <w:rsid w:val="6D083981"/>
    <w:rsid w:val="6D0B3EE8"/>
    <w:rsid w:val="6D0F12D0"/>
    <w:rsid w:val="6D142D9C"/>
    <w:rsid w:val="6D1C4347"/>
    <w:rsid w:val="6D1E3C1B"/>
    <w:rsid w:val="6D203E37"/>
    <w:rsid w:val="6D237483"/>
    <w:rsid w:val="6D254FA9"/>
    <w:rsid w:val="6D26086E"/>
    <w:rsid w:val="6D3130B2"/>
    <w:rsid w:val="6D317F37"/>
    <w:rsid w:val="6D325918"/>
    <w:rsid w:val="6D394EF9"/>
    <w:rsid w:val="6D3B47CD"/>
    <w:rsid w:val="6D3F05F3"/>
    <w:rsid w:val="6D433529"/>
    <w:rsid w:val="6D447980"/>
    <w:rsid w:val="6D527D69"/>
    <w:rsid w:val="6D540AD7"/>
    <w:rsid w:val="6D5B03F8"/>
    <w:rsid w:val="6D5C2C40"/>
    <w:rsid w:val="6D5D66AC"/>
    <w:rsid w:val="6D667BEB"/>
    <w:rsid w:val="6D675F16"/>
    <w:rsid w:val="6D686735"/>
    <w:rsid w:val="6D6A50B2"/>
    <w:rsid w:val="6D6F091A"/>
    <w:rsid w:val="6D767F03"/>
    <w:rsid w:val="6D7F348E"/>
    <w:rsid w:val="6D974699"/>
    <w:rsid w:val="6D9914F3"/>
    <w:rsid w:val="6D9945A8"/>
    <w:rsid w:val="6DC36570"/>
    <w:rsid w:val="6DC9002B"/>
    <w:rsid w:val="6DC955C1"/>
    <w:rsid w:val="6DC9627D"/>
    <w:rsid w:val="6DCC18C9"/>
    <w:rsid w:val="6DCC63D6"/>
    <w:rsid w:val="6DCD34FE"/>
    <w:rsid w:val="6DD4077E"/>
    <w:rsid w:val="6DEA7FA1"/>
    <w:rsid w:val="6DED5983"/>
    <w:rsid w:val="6DFA466A"/>
    <w:rsid w:val="6DFD494E"/>
    <w:rsid w:val="6DFD5F26"/>
    <w:rsid w:val="6DFD7CD4"/>
    <w:rsid w:val="6DFF2C82"/>
    <w:rsid w:val="6E0472B5"/>
    <w:rsid w:val="6E06782E"/>
    <w:rsid w:val="6E070B53"/>
    <w:rsid w:val="6E07216D"/>
    <w:rsid w:val="6E0B264E"/>
    <w:rsid w:val="6E0C7F17"/>
    <w:rsid w:val="6E0E1EE1"/>
    <w:rsid w:val="6E0F7A08"/>
    <w:rsid w:val="6E1312A6"/>
    <w:rsid w:val="6E146DCC"/>
    <w:rsid w:val="6E1F50EF"/>
    <w:rsid w:val="6E2B704C"/>
    <w:rsid w:val="6E3261A8"/>
    <w:rsid w:val="6E361438"/>
    <w:rsid w:val="6E377E41"/>
    <w:rsid w:val="6E3B6A69"/>
    <w:rsid w:val="6E3C044F"/>
    <w:rsid w:val="6E3C69CE"/>
    <w:rsid w:val="6E464417"/>
    <w:rsid w:val="6E49116B"/>
    <w:rsid w:val="6E4A0A40"/>
    <w:rsid w:val="6E4B0ABA"/>
    <w:rsid w:val="6E5042A8"/>
    <w:rsid w:val="6E55366C"/>
    <w:rsid w:val="6E553A16"/>
    <w:rsid w:val="6E5813AF"/>
    <w:rsid w:val="6E5A0AF7"/>
    <w:rsid w:val="6E6649C7"/>
    <w:rsid w:val="6E7A1325"/>
    <w:rsid w:val="6E7A1D49"/>
    <w:rsid w:val="6E7F4B8D"/>
    <w:rsid w:val="6E8201DA"/>
    <w:rsid w:val="6E82642B"/>
    <w:rsid w:val="6E865F1C"/>
    <w:rsid w:val="6E873A42"/>
    <w:rsid w:val="6E900B48"/>
    <w:rsid w:val="6E9C2A09"/>
    <w:rsid w:val="6E9F0D8B"/>
    <w:rsid w:val="6EA158C7"/>
    <w:rsid w:val="6EA463A2"/>
    <w:rsid w:val="6EA51A35"/>
    <w:rsid w:val="6EA64299"/>
    <w:rsid w:val="6EB74327"/>
    <w:rsid w:val="6EBE135C"/>
    <w:rsid w:val="6ECB392F"/>
    <w:rsid w:val="6ECC76A7"/>
    <w:rsid w:val="6ECE6FFD"/>
    <w:rsid w:val="6ED22F0F"/>
    <w:rsid w:val="6ED53D21"/>
    <w:rsid w:val="6ED91650"/>
    <w:rsid w:val="6EE45C9F"/>
    <w:rsid w:val="6EE92BA0"/>
    <w:rsid w:val="6EEB3FD1"/>
    <w:rsid w:val="6EF015E7"/>
    <w:rsid w:val="6EF07839"/>
    <w:rsid w:val="6EF2710D"/>
    <w:rsid w:val="6EF47329"/>
    <w:rsid w:val="6EF966EE"/>
    <w:rsid w:val="6F0239E2"/>
    <w:rsid w:val="6F03756C"/>
    <w:rsid w:val="6F0B4B07"/>
    <w:rsid w:val="6F0E380B"/>
    <w:rsid w:val="6F102570"/>
    <w:rsid w:val="6F15104E"/>
    <w:rsid w:val="6F18533E"/>
    <w:rsid w:val="6F1C418A"/>
    <w:rsid w:val="6F23376B"/>
    <w:rsid w:val="6F2D6397"/>
    <w:rsid w:val="6F305E87"/>
    <w:rsid w:val="6F343BCA"/>
    <w:rsid w:val="6F35349E"/>
    <w:rsid w:val="6F365A33"/>
    <w:rsid w:val="6F3D1075"/>
    <w:rsid w:val="6F412D76"/>
    <w:rsid w:val="6F4A519B"/>
    <w:rsid w:val="6F4B0F13"/>
    <w:rsid w:val="6F5558EE"/>
    <w:rsid w:val="6F593630"/>
    <w:rsid w:val="6F5953DE"/>
    <w:rsid w:val="6F5A5867"/>
    <w:rsid w:val="6F600F73"/>
    <w:rsid w:val="6F6721E9"/>
    <w:rsid w:val="6F6F075E"/>
    <w:rsid w:val="6F7A7103"/>
    <w:rsid w:val="6F802E5F"/>
    <w:rsid w:val="6F863CF9"/>
    <w:rsid w:val="6F8C39EF"/>
    <w:rsid w:val="6F8F7796"/>
    <w:rsid w:val="6F946416"/>
    <w:rsid w:val="6FA06B69"/>
    <w:rsid w:val="6FA50623"/>
    <w:rsid w:val="6FA56875"/>
    <w:rsid w:val="6FA73055"/>
    <w:rsid w:val="6FA81EC2"/>
    <w:rsid w:val="6FAE5D58"/>
    <w:rsid w:val="6FB46AB9"/>
    <w:rsid w:val="6FBE3493"/>
    <w:rsid w:val="6FC22F83"/>
    <w:rsid w:val="6FCF56A0"/>
    <w:rsid w:val="6FE07C81"/>
    <w:rsid w:val="6FEB4100"/>
    <w:rsid w:val="6FEE1FCA"/>
    <w:rsid w:val="6FF173C5"/>
    <w:rsid w:val="6FF772C4"/>
    <w:rsid w:val="6FFD220E"/>
    <w:rsid w:val="700046FC"/>
    <w:rsid w:val="70065F4B"/>
    <w:rsid w:val="700B1CB3"/>
    <w:rsid w:val="70141305"/>
    <w:rsid w:val="701468C9"/>
    <w:rsid w:val="701B2694"/>
    <w:rsid w:val="70294DB1"/>
    <w:rsid w:val="7032085A"/>
    <w:rsid w:val="70333F7B"/>
    <w:rsid w:val="703E6382"/>
    <w:rsid w:val="7040034C"/>
    <w:rsid w:val="704240C4"/>
    <w:rsid w:val="704B2B44"/>
    <w:rsid w:val="705362D1"/>
    <w:rsid w:val="705636CE"/>
    <w:rsid w:val="705B2397"/>
    <w:rsid w:val="705D0EFE"/>
    <w:rsid w:val="705F4C76"/>
    <w:rsid w:val="706109EE"/>
    <w:rsid w:val="70650803"/>
    <w:rsid w:val="70684B0D"/>
    <w:rsid w:val="707D5329"/>
    <w:rsid w:val="707F42DA"/>
    <w:rsid w:val="70835157"/>
    <w:rsid w:val="70932B72"/>
    <w:rsid w:val="709341BB"/>
    <w:rsid w:val="7096622F"/>
    <w:rsid w:val="70980188"/>
    <w:rsid w:val="709C618A"/>
    <w:rsid w:val="709D6074"/>
    <w:rsid w:val="70A61B68"/>
    <w:rsid w:val="70BA3C5B"/>
    <w:rsid w:val="70BF3967"/>
    <w:rsid w:val="70C8281B"/>
    <w:rsid w:val="70C905D5"/>
    <w:rsid w:val="70CA4041"/>
    <w:rsid w:val="70D2369A"/>
    <w:rsid w:val="70E84C6C"/>
    <w:rsid w:val="70F74EAF"/>
    <w:rsid w:val="70F80C27"/>
    <w:rsid w:val="70FA243C"/>
    <w:rsid w:val="71053535"/>
    <w:rsid w:val="710B6BAC"/>
    <w:rsid w:val="71107D1F"/>
    <w:rsid w:val="711208E1"/>
    <w:rsid w:val="71182AFC"/>
    <w:rsid w:val="71184E25"/>
    <w:rsid w:val="711A0B9D"/>
    <w:rsid w:val="711C2B67"/>
    <w:rsid w:val="711E68DF"/>
    <w:rsid w:val="712367FA"/>
    <w:rsid w:val="71290DE0"/>
    <w:rsid w:val="712C425D"/>
    <w:rsid w:val="712E63F7"/>
    <w:rsid w:val="71301DE7"/>
    <w:rsid w:val="71302AFD"/>
    <w:rsid w:val="71306613"/>
    <w:rsid w:val="71325EE7"/>
    <w:rsid w:val="714925B7"/>
    <w:rsid w:val="71570CF2"/>
    <w:rsid w:val="71573B9F"/>
    <w:rsid w:val="715B604E"/>
    <w:rsid w:val="715C11B6"/>
    <w:rsid w:val="716A7703"/>
    <w:rsid w:val="716F0EE9"/>
    <w:rsid w:val="71704C61"/>
    <w:rsid w:val="71724535"/>
    <w:rsid w:val="71771B4C"/>
    <w:rsid w:val="717F6B19"/>
    <w:rsid w:val="718304F0"/>
    <w:rsid w:val="71840EC8"/>
    <w:rsid w:val="71881FAB"/>
    <w:rsid w:val="718F3339"/>
    <w:rsid w:val="718F50E7"/>
    <w:rsid w:val="71926073"/>
    <w:rsid w:val="719B1CDE"/>
    <w:rsid w:val="719E532A"/>
    <w:rsid w:val="71A23F82"/>
    <w:rsid w:val="71A52B5D"/>
    <w:rsid w:val="71A55ABE"/>
    <w:rsid w:val="71A566B9"/>
    <w:rsid w:val="71AF41F7"/>
    <w:rsid w:val="71B92164"/>
    <w:rsid w:val="71C14166"/>
    <w:rsid w:val="71C34D91"/>
    <w:rsid w:val="71CA26EC"/>
    <w:rsid w:val="71CB0352"/>
    <w:rsid w:val="71D074AE"/>
    <w:rsid w:val="71DF6DCC"/>
    <w:rsid w:val="71E847F7"/>
    <w:rsid w:val="71F17B50"/>
    <w:rsid w:val="71F26FF8"/>
    <w:rsid w:val="71FE226D"/>
    <w:rsid w:val="72047965"/>
    <w:rsid w:val="72051CC1"/>
    <w:rsid w:val="72062ED0"/>
    <w:rsid w:val="720D425E"/>
    <w:rsid w:val="72124B18"/>
    <w:rsid w:val="72143DB2"/>
    <w:rsid w:val="72157BAB"/>
    <w:rsid w:val="72225F5B"/>
    <w:rsid w:val="7226485E"/>
    <w:rsid w:val="72271AD1"/>
    <w:rsid w:val="72272391"/>
    <w:rsid w:val="722B7821"/>
    <w:rsid w:val="722C2936"/>
    <w:rsid w:val="722F0678"/>
    <w:rsid w:val="723810AB"/>
    <w:rsid w:val="7239253B"/>
    <w:rsid w:val="723932A5"/>
    <w:rsid w:val="723E657D"/>
    <w:rsid w:val="7248529C"/>
    <w:rsid w:val="724F0D1A"/>
    <w:rsid w:val="726245AA"/>
    <w:rsid w:val="72676064"/>
    <w:rsid w:val="72677016"/>
    <w:rsid w:val="726B5B54"/>
    <w:rsid w:val="727366E6"/>
    <w:rsid w:val="72775796"/>
    <w:rsid w:val="72813BD6"/>
    <w:rsid w:val="72833E79"/>
    <w:rsid w:val="72921CB6"/>
    <w:rsid w:val="72936E59"/>
    <w:rsid w:val="72966949"/>
    <w:rsid w:val="7298446F"/>
    <w:rsid w:val="72AC3A77"/>
    <w:rsid w:val="72AE3C93"/>
    <w:rsid w:val="72B21EB2"/>
    <w:rsid w:val="72B640B0"/>
    <w:rsid w:val="72BB39D9"/>
    <w:rsid w:val="72C214EC"/>
    <w:rsid w:val="72C63B63"/>
    <w:rsid w:val="72C868BE"/>
    <w:rsid w:val="72CF7EC2"/>
    <w:rsid w:val="72D60AF4"/>
    <w:rsid w:val="72DA05E4"/>
    <w:rsid w:val="72E03F85"/>
    <w:rsid w:val="72E32A52"/>
    <w:rsid w:val="72E36ADC"/>
    <w:rsid w:val="72E94CCB"/>
    <w:rsid w:val="72E96A79"/>
    <w:rsid w:val="72EE0533"/>
    <w:rsid w:val="72EE5E3E"/>
    <w:rsid w:val="72F12FCE"/>
    <w:rsid w:val="72FA3D9E"/>
    <w:rsid w:val="72FA5B9A"/>
    <w:rsid w:val="72FD0776"/>
    <w:rsid w:val="7306762B"/>
    <w:rsid w:val="73075151"/>
    <w:rsid w:val="7313071C"/>
    <w:rsid w:val="73133FC0"/>
    <w:rsid w:val="731D3F85"/>
    <w:rsid w:val="732950C8"/>
    <w:rsid w:val="733028FA"/>
    <w:rsid w:val="73320420"/>
    <w:rsid w:val="733221CE"/>
    <w:rsid w:val="73353643"/>
    <w:rsid w:val="73375A36"/>
    <w:rsid w:val="733C304D"/>
    <w:rsid w:val="733E5017"/>
    <w:rsid w:val="735008A6"/>
    <w:rsid w:val="73516604"/>
    <w:rsid w:val="73577E87"/>
    <w:rsid w:val="735A660E"/>
    <w:rsid w:val="736D76AA"/>
    <w:rsid w:val="736E30B7"/>
    <w:rsid w:val="737A5923"/>
    <w:rsid w:val="737E5413"/>
    <w:rsid w:val="73836ECE"/>
    <w:rsid w:val="738503FF"/>
    <w:rsid w:val="73872957"/>
    <w:rsid w:val="738844E4"/>
    <w:rsid w:val="738E548E"/>
    <w:rsid w:val="738F7621"/>
    <w:rsid w:val="73920EBF"/>
    <w:rsid w:val="73945864"/>
    <w:rsid w:val="739509AF"/>
    <w:rsid w:val="73A3131E"/>
    <w:rsid w:val="73A87A1C"/>
    <w:rsid w:val="73AB1F81"/>
    <w:rsid w:val="73AD51C2"/>
    <w:rsid w:val="73AD72AB"/>
    <w:rsid w:val="73AF7CC3"/>
    <w:rsid w:val="73B726D3"/>
    <w:rsid w:val="73BC23E0"/>
    <w:rsid w:val="73BC58F5"/>
    <w:rsid w:val="73BE6204"/>
    <w:rsid w:val="73C31078"/>
    <w:rsid w:val="73CD1EF7"/>
    <w:rsid w:val="73CD4E16"/>
    <w:rsid w:val="73E07E7C"/>
    <w:rsid w:val="73E40B52"/>
    <w:rsid w:val="73ED07EB"/>
    <w:rsid w:val="73EF1E6D"/>
    <w:rsid w:val="73F6337A"/>
    <w:rsid w:val="73FB3E46"/>
    <w:rsid w:val="74006BE9"/>
    <w:rsid w:val="7403535B"/>
    <w:rsid w:val="740D49E9"/>
    <w:rsid w:val="740F3B3F"/>
    <w:rsid w:val="74130252"/>
    <w:rsid w:val="7416389E"/>
    <w:rsid w:val="74167C19"/>
    <w:rsid w:val="741713C4"/>
    <w:rsid w:val="74176FCD"/>
    <w:rsid w:val="741B0EB4"/>
    <w:rsid w:val="741E09A4"/>
    <w:rsid w:val="742B5F1B"/>
    <w:rsid w:val="742C154F"/>
    <w:rsid w:val="742C1725"/>
    <w:rsid w:val="742E508B"/>
    <w:rsid w:val="742F04D1"/>
    <w:rsid w:val="74301763"/>
    <w:rsid w:val="74365914"/>
    <w:rsid w:val="74387CB8"/>
    <w:rsid w:val="744C735C"/>
    <w:rsid w:val="74534AF2"/>
    <w:rsid w:val="74631D9C"/>
    <w:rsid w:val="74681C20"/>
    <w:rsid w:val="747518F4"/>
    <w:rsid w:val="74844339"/>
    <w:rsid w:val="74850A24"/>
    <w:rsid w:val="7487654A"/>
    <w:rsid w:val="748B10E5"/>
    <w:rsid w:val="74951638"/>
    <w:rsid w:val="749649DF"/>
    <w:rsid w:val="749724BC"/>
    <w:rsid w:val="749D2EA9"/>
    <w:rsid w:val="749D7859"/>
    <w:rsid w:val="749E5641"/>
    <w:rsid w:val="74A013B9"/>
    <w:rsid w:val="74A02EDB"/>
    <w:rsid w:val="74A306D0"/>
    <w:rsid w:val="74A470FC"/>
    <w:rsid w:val="74AA6926"/>
    <w:rsid w:val="74AB591C"/>
    <w:rsid w:val="74AC4825"/>
    <w:rsid w:val="74B72280"/>
    <w:rsid w:val="74B80DF9"/>
    <w:rsid w:val="74BA06CD"/>
    <w:rsid w:val="74C34DE4"/>
    <w:rsid w:val="74C57072"/>
    <w:rsid w:val="74C64682"/>
    <w:rsid w:val="74CC0400"/>
    <w:rsid w:val="74D86DA5"/>
    <w:rsid w:val="74DF78F6"/>
    <w:rsid w:val="74E00A7D"/>
    <w:rsid w:val="74E920C5"/>
    <w:rsid w:val="74EC71A0"/>
    <w:rsid w:val="74F00593"/>
    <w:rsid w:val="74F17E67"/>
    <w:rsid w:val="74F3598D"/>
    <w:rsid w:val="74F65FDA"/>
    <w:rsid w:val="74F71921"/>
    <w:rsid w:val="74FA4F6E"/>
    <w:rsid w:val="750951B1"/>
    <w:rsid w:val="750C6A4F"/>
    <w:rsid w:val="750D2EF3"/>
    <w:rsid w:val="750D725B"/>
    <w:rsid w:val="750E3D3A"/>
    <w:rsid w:val="7510653F"/>
    <w:rsid w:val="751678CE"/>
    <w:rsid w:val="751D6E5D"/>
    <w:rsid w:val="75220020"/>
    <w:rsid w:val="752244C4"/>
    <w:rsid w:val="75271ADB"/>
    <w:rsid w:val="7531034E"/>
    <w:rsid w:val="75322959"/>
    <w:rsid w:val="753541F8"/>
    <w:rsid w:val="7536081E"/>
    <w:rsid w:val="75385A96"/>
    <w:rsid w:val="753B10E2"/>
    <w:rsid w:val="753B6E07"/>
    <w:rsid w:val="753F6E24"/>
    <w:rsid w:val="75466405"/>
    <w:rsid w:val="7547340F"/>
    <w:rsid w:val="754D1541"/>
    <w:rsid w:val="75530D6A"/>
    <w:rsid w:val="75581256"/>
    <w:rsid w:val="755E374E"/>
    <w:rsid w:val="7561323F"/>
    <w:rsid w:val="756568C4"/>
    <w:rsid w:val="75662603"/>
    <w:rsid w:val="75690430"/>
    <w:rsid w:val="75705230"/>
    <w:rsid w:val="7573247F"/>
    <w:rsid w:val="758C4F7A"/>
    <w:rsid w:val="75994786"/>
    <w:rsid w:val="759A405B"/>
    <w:rsid w:val="75A86778"/>
    <w:rsid w:val="75AA678C"/>
    <w:rsid w:val="75B21A9F"/>
    <w:rsid w:val="75BA64AB"/>
    <w:rsid w:val="75BF475C"/>
    <w:rsid w:val="75D449E7"/>
    <w:rsid w:val="75DC28C5"/>
    <w:rsid w:val="75DF5F11"/>
    <w:rsid w:val="75E83E72"/>
    <w:rsid w:val="75F06371"/>
    <w:rsid w:val="75F25C45"/>
    <w:rsid w:val="75FB12E5"/>
    <w:rsid w:val="75FC6AC3"/>
    <w:rsid w:val="760F4A49"/>
    <w:rsid w:val="763719AB"/>
    <w:rsid w:val="76376E35"/>
    <w:rsid w:val="764010A6"/>
    <w:rsid w:val="764013A5"/>
    <w:rsid w:val="76452218"/>
    <w:rsid w:val="764C17F9"/>
    <w:rsid w:val="764E1171"/>
    <w:rsid w:val="76545B40"/>
    <w:rsid w:val="765468FF"/>
    <w:rsid w:val="7656188F"/>
    <w:rsid w:val="765C57B4"/>
    <w:rsid w:val="76620C8C"/>
    <w:rsid w:val="766308F1"/>
    <w:rsid w:val="76650B0D"/>
    <w:rsid w:val="766A6123"/>
    <w:rsid w:val="767A3EB1"/>
    <w:rsid w:val="767E397C"/>
    <w:rsid w:val="768522B1"/>
    <w:rsid w:val="768909D6"/>
    <w:rsid w:val="768947FB"/>
    <w:rsid w:val="769B008A"/>
    <w:rsid w:val="769F401E"/>
    <w:rsid w:val="76A71134"/>
    <w:rsid w:val="76AA4771"/>
    <w:rsid w:val="76B13D52"/>
    <w:rsid w:val="76B455F0"/>
    <w:rsid w:val="76B86E8E"/>
    <w:rsid w:val="76BD6F8B"/>
    <w:rsid w:val="76C03F95"/>
    <w:rsid w:val="76CA7E93"/>
    <w:rsid w:val="76DA32A9"/>
    <w:rsid w:val="76E16050"/>
    <w:rsid w:val="76E77774"/>
    <w:rsid w:val="76EE28B0"/>
    <w:rsid w:val="76EF787B"/>
    <w:rsid w:val="76F4484A"/>
    <w:rsid w:val="76F93003"/>
    <w:rsid w:val="76FD7DA1"/>
    <w:rsid w:val="770B3462"/>
    <w:rsid w:val="77185B7F"/>
    <w:rsid w:val="77204A34"/>
    <w:rsid w:val="772207AC"/>
    <w:rsid w:val="77287A03"/>
    <w:rsid w:val="772A140E"/>
    <w:rsid w:val="7730111A"/>
    <w:rsid w:val="77316A08"/>
    <w:rsid w:val="77342D9D"/>
    <w:rsid w:val="773C7ABF"/>
    <w:rsid w:val="77444071"/>
    <w:rsid w:val="774B517E"/>
    <w:rsid w:val="774C0A76"/>
    <w:rsid w:val="77573E97"/>
    <w:rsid w:val="775B5103"/>
    <w:rsid w:val="775C3CBE"/>
    <w:rsid w:val="775E5C88"/>
    <w:rsid w:val="776112D4"/>
    <w:rsid w:val="776808B4"/>
    <w:rsid w:val="777234E1"/>
    <w:rsid w:val="77754D7F"/>
    <w:rsid w:val="77784870"/>
    <w:rsid w:val="777B3A9F"/>
    <w:rsid w:val="77846D70"/>
    <w:rsid w:val="77884E32"/>
    <w:rsid w:val="77AB69F3"/>
    <w:rsid w:val="77B11880"/>
    <w:rsid w:val="77B50568"/>
    <w:rsid w:val="77B77146"/>
    <w:rsid w:val="77BC3802"/>
    <w:rsid w:val="77BF249E"/>
    <w:rsid w:val="77BF5F6E"/>
    <w:rsid w:val="77C11FFE"/>
    <w:rsid w:val="77C7038B"/>
    <w:rsid w:val="77C91904"/>
    <w:rsid w:val="77CD0717"/>
    <w:rsid w:val="77CD6969"/>
    <w:rsid w:val="77D575CC"/>
    <w:rsid w:val="77D777E8"/>
    <w:rsid w:val="77DB72D8"/>
    <w:rsid w:val="77DE46D3"/>
    <w:rsid w:val="77E87135"/>
    <w:rsid w:val="77F9775E"/>
    <w:rsid w:val="77FC2DAB"/>
    <w:rsid w:val="77FF289B"/>
    <w:rsid w:val="780954C8"/>
    <w:rsid w:val="780D1CBF"/>
    <w:rsid w:val="781033CA"/>
    <w:rsid w:val="7816253F"/>
    <w:rsid w:val="78177BE5"/>
    <w:rsid w:val="78194988"/>
    <w:rsid w:val="78207B78"/>
    <w:rsid w:val="783267CC"/>
    <w:rsid w:val="78342545"/>
    <w:rsid w:val="783D1347"/>
    <w:rsid w:val="783E1615"/>
    <w:rsid w:val="784222A0"/>
    <w:rsid w:val="78452146"/>
    <w:rsid w:val="784529A4"/>
    <w:rsid w:val="784A02E9"/>
    <w:rsid w:val="784A1D68"/>
    <w:rsid w:val="784C4DAF"/>
    <w:rsid w:val="7856695F"/>
    <w:rsid w:val="785D5E45"/>
    <w:rsid w:val="78655C17"/>
    <w:rsid w:val="78691C77"/>
    <w:rsid w:val="78694570"/>
    <w:rsid w:val="786A065C"/>
    <w:rsid w:val="786C7F30"/>
    <w:rsid w:val="786D1EFA"/>
    <w:rsid w:val="786F3DF5"/>
    <w:rsid w:val="787259AE"/>
    <w:rsid w:val="787648A7"/>
    <w:rsid w:val="78782D79"/>
    <w:rsid w:val="787E7C64"/>
    <w:rsid w:val="788111C7"/>
    <w:rsid w:val="78874D6A"/>
    <w:rsid w:val="78931961"/>
    <w:rsid w:val="78961451"/>
    <w:rsid w:val="789A5793"/>
    <w:rsid w:val="78A07BDA"/>
    <w:rsid w:val="78B676BA"/>
    <w:rsid w:val="78B74F24"/>
    <w:rsid w:val="78BB2C66"/>
    <w:rsid w:val="78C338C8"/>
    <w:rsid w:val="78C62C34"/>
    <w:rsid w:val="78C935D5"/>
    <w:rsid w:val="78CA4C57"/>
    <w:rsid w:val="78CD4747"/>
    <w:rsid w:val="78CE44CB"/>
    <w:rsid w:val="78D770B8"/>
    <w:rsid w:val="78DA2EBB"/>
    <w:rsid w:val="78DA6EF1"/>
    <w:rsid w:val="78F10F67"/>
    <w:rsid w:val="78F148D9"/>
    <w:rsid w:val="790A1D26"/>
    <w:rsid w:val="790C1713"/>
    <w:rsid w:val="790E2D96"/>
    <w:rsid w:val="79116D2A"/>
    <w:rsid w:val="79123D20"/>
    <w:rsid w:val="79226841"/>
    <w:rsid w:val="7924080B"/>
    <w:rsid w:val="79273042"/>
    <w:rsid w:val="792C5D39"/>
    <w:rsid w:val="793A50D9"/>
    <w:rsid w:val="79426EE3"/>
    <w:rsid w:val="794762A8"/>
    <w:rsid w:val="79490272"/>
    <w:rsid w:val="794964C4"/>
    <w:rsid w:val="794B3FEA"/>
    <w:rsid w:val="794C1FAD"/>
    <w:rsid w:val="794E0F93"/>
    <w:rsid w:val="79545BBF"/>
    <w:rsid w:val="796706F8"/>
    <w:rsid w:val="796C5D0E"/>
    <w:rsid w:val="796E1A86"/>
    <w:rsid w:val="797C23F5"/>
    <w:rsid w:val="79817A0B"/>
    <w:rsid w:val="798474FC"/>
    <w:rsid w:val="79852625"/>
    <w:rsid w:val="79870D9A"/>
    <w:rsid w:val="798B09CB"/>
    <w:rsid w:val="798C63B0"/>
    <w:rsid w:val="79904C42"/>
    <w:rsid w:val="79915775"/>
    <w:rsid w:val="79953608"/>
    <w:rsid w:val="7997722F"/>
    <w:rsid w:val="79986B03"/>
    <w:rsid w:val="79987B22"/>
    <w:rsid w:val="799A20DC"/>
    <w:rsid w:val="799C2A97"/>
    <w:rsid w:val="799F4335"/>
    <w:rsid w:val="79A17CD4"/>
    <w:rsid w:val="79AB2CDA"/>
    <w:rsid w:val="79B324CF"/>
    <w:rsid w:val="79B37DE1"/>
    <w:rsid w:val="79B84244"/>
    <w:rsid w:val="79BC3CB3"/>
    <w:rsid w:val="79C93160"/>
    <w:rsid w:val="79CB6B8F"/>
    <w:rsid w:val="79CC14E6"/>
    <w:rsid w:val="79D833A4"/>
    <w:rsid w:val="79E00F64"/>
    <w:rsid w:val="79E24222"/>
    <w:rsid w:val="79E943F8"/>
    <w:rsid w:val="79ED50A1"/>
    <w:rsid w:val="79F41E6D"/>
    <w:rsid w:val="79F93A46"/>
    <w:rsid w:val="79FA156C"/>
    <w:rsid w:val="7A017EE9"/>
    <w:rsid w:val="7A08012D"/>
    <w:rsid w:val="7A083C89"/>
    <w:rsid w:val="7A0B3779"/>
    <w:rsid w:val="7A13262E"/>
    <w:rsid w:val="7A137BE9"/>
    <w:rsid w:val="7A173ECC"/>
    <w:rsid w:val="7A1F0CB7"/>
    <w:rsid w:val="7A2111EE"/>
    <w:rsid w:val="7A2465E9"/>
    <w:rsid w:val="7A28257D"/>
    <w:rsid w:val="7A303125"/>
    <w:rsid w:val="7A316FD6"/>
    <w:rsid w:val="7A326F58"/>
    <w:rsid w:val="7A340F22"/>
    <w:rsid w:val="7A356A48"/>
    <w:rsid w:val="7A394D83"/>
    <w:rsid w:val="7A401675"/>
    <w:rsid w:val="7A414C19"/>
    <w:rsid w:val="7A4F18B8"/>
    <w:rsid w:val="7A550B74"/>
    <w:rsid w:val="7A5E5F9F"/>
    <w:rsid w:val="7A682979"/>
    <w:rsid w:val="7A756E44"/>
    <w:rsid w:val="7A79705A"/>
    <w:rsid w:val="7A7F38AF"/>
    <w:rsid w:val="7A805F15"/>
    <w:rsid w:val="7A8352DF"/>
    <w:rsid w:val="7A842B47"/>
    <w:rsid w:val="7A9009F0"/>
    <w:rsid w:val="7A932F26"/>
    <w:rsid w:val="7A934B13"/>
    <w:rsid w:val="7A992B33"/>
    <w:rsid w:val="7A9E21F4"/>
    <w:rsid w:val="7AAA11E4"/>
    <w:rsid w:val="7AAB04F6"/>
    <w:rsid w:val="7AB12572"/>
    <w:rsid w:val="7AB14320"/>
    <w:rsid w:val="7ABC4A73"/>
    <w:rsid w:val="7AC202DC"/>
    <w:rsid w:val="7AC36FD2"/>
    <w:rsid w:val="7AC53928"/>
    <w:rsid w:val="7AC676A0"/>
    <w:rsid w:val="7AD4000F"/>
    <w:rsid w:val="7AD412DE"/>
    <w:rsid w:val="7AD973D3"/>
    <w:rsid w:val="7ADB314B"/>
    <w:rsid w:val="7AE5221C"/>
    <w:rsid w:val="7AED50B5"/>
    <w:rsid w:val="7AF67F85"/>
    <w:rsid w:val="7AF9035A"/>
    <w:rsid w:val="7B05641A"/>
    <w:rsid w:val="7B134AFE"/>
    <w:rsid w:val="7B176DB0"/>
    <w:rsid w:val="7B1B79EC"/>
    <w:rsid w:val="7B1D5512"/>
    <w:rsid w:val="7B1F572E"/>
    <w:rsid w:val="7B234AF2"/>
    <w:rsid w:val="7B256ABC"/>
    <w:rsid w:val="7B272834"/>
    <w:rsid w:val="7B2A40D3"/>
    <w:rsid w:val="7B2A5E81"/>
    <w:rsid w:val="7B2F11E6"/>
    <w:rsid w:val="7B310FBD"/>
    <w:rsid w:val="7B3457ED"/>
    <w:rsid w:val="7B445D3D"/>
    <w:rsid w:val="7B4E1B6F"/>
    <w:rsid w:val="7B4F0AB2"/>
    <w:rsid w:val="7B5239DC"/>
    <w:rsid w:val="7B586ECB"/>
    <w:rsid w:val="7B590514"/>
    <w:rsid w:val="7B6306CC"/>
    <w:rsid w:val="7B6C6499"/>
    <w:rsid w:val="7B6E0463"/>
    <w:rsid w:val="7B711D02"/>
    <w:rsid w:val="7B780418"/>
    <w:rsid w:val="7B821819"/>
    <w:rsid w:val="7B892BA7"/>
    <w:rsid w:val="7B8B38CA"/>
    <w:rsid w:val="7B8C08E9"/>
    <w:rsid w:val="7B9673E0"/>
    <w:rsid w:val="7B98103C"/>
    <w:rsid w:val="7B9854E0"/>
    <w:rsid w:val="7BA02F47"/>
    <w:rsid w:val="7BAE6AB2"/>
    <w:rsid w:val="7BC260B9"/>
    <w:rsid w:val="7BC71922"/>
    <w:rsid w:val="7BC93671"/>
    <w:rsid w:val="7BDF6C6B"/>
    <w:rsid w:val="7BE83DC3"/>
    <w:rsid w:val="7BEC5C5A"/>
    <w:rsid w:val="7BF1074D"/>
    <w:rsid w:val="7C037D98"/>
    <w:rsid w:val="7C06069C"/>
    <w:rsid w:val="7C0861C2"/>
    <w:rsid w:val="7C093CE8"/>
    <w:rsid w:val="7C0B180E"/>
    <w:rsid w:val="7C0B3F04"/>
    <w:rsid w:val="7C0F16F8"/>
    <w:rsid w:val="7C113F5D"/>
    <w:rsid w:val="7C115AA5"/>
    <w:rsid w:val="7C122B9D"/>
    <w:rsid w:val="7C1728A9"/>
    <w:rsid w:val="7C1C7E62"/>
    <w:rsid w:val="7C1F350C"/>
    <w:rsid w:val="7C1F52BA"/>
    <w:rsid w:val="7C2514B4"/>
    <w:rsid w:val="7C266648"/>
    <w:rsid w:val="7C293B48"/>
    <w:rsid w:val="7C2B3C5E"/>
    <w:rsid w:val="7C30396B"/>
    <w:rsid w:val="7C352D2F"/>
    <w:rsid w:val="7C3C2310"/>
    <w:rsid w:val="7C4B2553"/>
    <w:rsid w:val="7C4D2DA7"/>
    <w:rsid w:val="7C5036C5"/>
    <w:rsid w:val="7C5238E1"/>
    <w:rsid w:val="7C5744F5"/>
    <w:rsid w:val="7C5C1DC1"/>
    <w:rsid w:val="7C5C4760"/>
    <w:rsid w:val="7C5E2286"/>
    <w:rsid w:val="7C5F1B5A"/>
    <w:rsid w:val="7C607C0D"/>
    <w:rsid w:val="7C667FF7"/>
    <w:rsid w:val="7C78468E"/>
    <w:rsid w:val="7C8236F9"/>
    <w:rsid w:val="7C8415C1"/>
    <w:rsid w:val="7C8D4919"/>
    <w:rsid w:val="7C921F30"/>
    <w:rsid w:val="7CAF4890"/>
    <w:rsid w:val="7CC3658D"/>
    <w:rsid w:val="7CCB71F0"/>
    <w:rsid w:val="7CD664B2"/>
    <w:rsid w:val="7CDB38D7"/>
    <w:rsid w:val="7CDB64BF"/>
    <w:rsid w:val="7CDC13FD"/>
    <w:rsid w:val="7CDC31AB"/>
    <w:rsid w:val="7CE16DC7"/>
    <w:rsid w:val="7CE34539"/>
    <w:rsid w:val="7CE54755"/>
    <w:rsid w:val="7CE704CD"/>
    <w:rsid w:val="7CEA1D6C"/>
    <w:rsid w:val="7CEA3B1A"/>
    <w:rsid w:val="7CEA5E4F"/>
    <w:rsid w:val="7CED360A"/>
    <w:rsid w:val="7CF624BE"/>
    <w:rsid w:val="7CF84488"/>
    <w:rsid w:val="7CFE75C5"/>
    <w:rsid w:val="7D032E2D"/>
    <w:rsid w:val="7D0821F2"/>
    <w:rsid w:val="7D0C7F34"/>
    <w:rsid w:val="7D163585"/>
    <w:rsid w:val="7D203F29"/>
    <w:rsid w:val="7D221505"/>
    <w:rsid w:val="7D244B12"/>
    <w:rsid w:val="7D250FF6"/>
    <w:rsid w:val="7D2C69B7"/>
    <w:rsid w:val="7D2D6A07"/>
    <w:rsid w:val="7D311748"/>
    <w:rsid w:val="7D376633"/>
    <w:rsid w:val="7D3C7206"/>
    <w:rsid w:val="7D3E5C13"/>
    <w:rsid w:val="7D3F2DA1"/>
    <w:rsid w:val="7D590F7F"/>
    <w:rsid w:val="7D5D253D"/>
    <w:rsid w:val="7D5F7656"/>
    <w:rsid w:val="7D717D97"/>
    <w:rsid w:val="7D737AD8"/>
    <w:rsid w:val="7D780F2D"/>
    <w:rsid w:val="7D7D2BE0"/>
    <w:rsid w:val="7D943A85"/>
    <w:rsid w:val="7D9924A7"/>
    <w:rsid w:val="7D9D293A"/>
    <w:rsid w:val="7D9F7C1C"/>
    <w:rsid w:val="7DA243F4"/>
    <w:rsid w:val="7DA737B9"/>
    <w:rsid w:val="7DAE0FEB"/>
    <w:rsid w:val="7DAF766D"/>
    <w:rsid w:val="7DB54128"/>
    <w:rsid w:val="7DB9051B"/>
    <w:rsid w:val="7DBE16B8"/>
    <w:rsid w:val="7DC02E14"/>
    <w:rsid w:val="7DC12ACC"/>
    <w:rsid w:val="7DC4436B"/>
    <w:rsid w:val="7DC73B51"/>
    <w:rsid w:val="7DC91981"/>
    <w:rsid w:val="7DCE35C2"/>
    <w:rsid w:val="7DD15C24"/>
    <w:rsid w:val="7DD312C9"/>
    <w:rsid w:val="7DD322DC"/>
    <w:rsid w:val="7DDB49C0"/>
    <w:rsid w:val="7DDD542C"/>
    <w:rsid w:val="7DDF73F6"/>
    <w:rsid w:val="7DE93453"/>
    <w:rsid w:val="7DE93DD1"/>
    <w:rsid w:val="7DF34C50"/>
    <w:rsid w:val="7DF54524"/>
    <w:rsid w:val="7DFA4230"/>
    <w:rsid w:val="7DFB3615"/>
    <w:rsid w:val="7DFD5ACF"/>
    <w:rsid w:val="7E04298C"/>
    <w:rsid w:val="7E0D5D12"/>
    <w:rsid w:val="7E105802"/>
    <w:rsid w:val="7E130606"/>
    <w:rsid w:val="7E15006B"/>
    <w:rsid w:val="7E1626EC"/>
    <w:rsid w:val="7E170255"/>
    <w:rsid w:val="7E1D1CCD"/>
    <w:rsid w:val="7E294888"/>
    <w:rsid w:val="7E33504C"/>
    <w:rsid w:val="7E3F01F2"/>
    <w:rsid w:val="7E4C70A9"/>
    <w:rsid w:val="7E5238C1"/>
    <w:rsid w:val="7E5A082B"/>
    <w:rsid w:val="7E5A186C"/>
    <w:rsid w:val="7E5E47BF"/>
    <w:rsid w:val="7E635833"/>
    <w:rsid w:val="7E745D91"/>
    <w:rsid w:val="7E7F7632"/>
    <w:rsid w:val="7E8104AE"/>
    <w:rsid w:val="7E8244DB"/>
    <w:rsid w:val="7E88183C"/>
    <w:rsid w:val="7E9401E1"/>
    <w:rsid w:val="7E97382D"/>
    <w:rsid w:val="7E991353"/>
    <w:rsid w:val="7EA57610"/>
    <w:rsid w:val="7EA85A3A"/>
    <w:rsid w:val="7EAB1087"/>
    <w:rsid w:val="7EB20975"/>
    <w:rsid w:val="7EBE0DBA"/>
    <w:rsid w:val="7EC9775F"/>
    <w:rsid w:val="7ED06D3F"/>
    <w:rsid w:val="7ED352FE"/>
    <w:rsid w:val="7ED44A81"/>
    <w:rsid w:val="7ED625A7"/>
    <w:rsid w:val="7EE20D1A"/>
    <w:rsid w:val="7EE34CC4"/>
    <w:rsid w:val="7EEB6B56"/>
    <w:rsid w:val="7EED5B43"/>
    <w:rsid w:val="7EF173E1"/>
    <w:rsid w:val="7EF46ED2"/>
    <w:rsid w:val="7EF944E8"/>
    <w:rsid w:val="7EFC7B34"/>
    <w:rsid w:val="7EFD1A51"/>
    <w:rsid w:val="7EFF78A5"/>
    <w:rsid w:val="7F0372B6"/>
    <w:rsid w:val="7F0864D9"/>
    <w:rsid w:val="7F111831"/>
    <w:rsid w:val="7F1830C3"/>
    <w:rsid w:val="7F1C5172"/>
    <w:rsid w:val="7F1E5CFC"/>
    <w:rsid w:val="7F23133A"/>
    <w:rsid w:val="7F233313"/>
    <w:rsid w:val="7F25708B"/>
    <w:rsid w:val="7F2C0419"/>
    <w:rsid w:val="7F2C666B"/>
    <w:rsid w:val="7F2D4191"/>
    <w:rsid w:val="7F2D7CEE"/>
    <w:rsid w:val="7F2E23E3"/>
    <w:rsid w:val="7F460DAF"/>
    <w:rsid w:val="7F4C286A"/>
    <w:rsid w:val="7F4F6F66"/>
    <w:rsid w:val="7F572FCC"/>
    <w:rsid w:val="7F58120E"/>
    <w:rsid w:val="7F606315"/>
    <w:rsid w:val="7F670446"/>
    <w:rsid w:val="7F6851CA"/>
    <w:rsid w:val="7F6B7774"/>
    <w:rsid w:val="7F785270"/>
    <w:rsid w:val="7F8A5140"/>
    <w:rsid w:val="7F8E7FCC"/>
    <w:rsid w:val="7F914720"/>
    <w:rsid w:val="7F925932"/>
    <w:rsid w:val="7F947746"/>
    <w:rsid w:val="7F970636"/>
    <w:rsid w:val="7F9B734D"/>
    <w:rsid w:val="7F9C0EB5"/>
    <w:rsid w:val="7FA936E7"/>
    <w:rsid w:val="7FAB3A34"/>
    <w:rsid w:val="7FAC50B6"/>
    <w:rsid w:val="7FAE554F"/>
    <w:rsid w:val="7FAF2DF8"/>
    <w:rsid w:val="7FB14DC3"/>
    <w:rsid w:val="7FB16B71"/>
    <w:rsid w:val="7FBF128D"/>
    <w:rsid w:val="7FC00B62"/>
    <w:rsid w:val="7FCC7507"/>
    <w:rsid w:val="7FCD462F"/>
    <w:rsid w:val="7FD16E04"/>
    <w:rsid w:val="7FD716D2"/>
    <w:rsid w:val="7FD82DA2"/>
    <w:rsid w:val="7FE24F7C"/>
    <w:rsid w:val="7FE900B8"/>
    <w:rsid w:val="7FEA3E31"/>
    <w:rsid w:val="7FEE40E6"/>
    <w:rsid w:val="7FF3644B"/>
    <w:rsid w:val="7FFA6F4E"/>
  </w:rsids>
  <m:mathPr>
    <m:mathFont m:val="Cambria Math"/>
    <m:brkBin m:val="before"/>
    <m:brkBinSub m:val="--"/>
    <m:smallFrac m:val="1"/>
    <m:dispDef/>
    <m:lMargin m:val="0"/>
    <m:rMargin m:val="0"/>
    <m:defJc m:val="centerGroup"/>
    <m:wrapIndent m:val="1440"/>
    <m:intLim m:val="subSup"/>
    <m:naryLim m:val="undOvr"/>
  </m:mathPr>
  <w:themeFontLang w:val="en-US" w:eastAsia="zh-CN" w:bidi="ug-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jc w:val="both"/>
      <w:textAlignment w:val="baseline"/>
    </w:pPr>
    <w:rPr>
      <w:rFonts w:ascii="Times New Roman" w:hAnsi="Times New Roman" w:eastAsia="宋体" w:cstheme="minorBidi"/>
      <w:kern w:val="2"/>
      <w:sz w:val="21"/>
      <w:szCs w:val="24"/>
      <w:lang w:val="en-US" w:eastAsia="zh-CN" w:bidi="ar-SA"/>
    </w:rPr>
  </w:style>
  <w:style w:type="paragraph" w:styleId="2">
    <w:name w:val="heading 1"/>
    <w:basedOn w:val="1"/>
    <w:next w:val="1"/>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3">
    <w:name w:val="heading 2"/>
    <w:basedOn w:val="1"/>
    <w:next w:val="1"/>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4">
    <w:name w:val="heading 3"/>
    <w:basedOn w:val="1"/>
    <w:next w:val="1"/>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5">
    <w:name w:val="heading 6"/>
    <w:basedOn w:val="1"/>
    <w:next w:val="1"/>
    <w:qFormat/>
    <w:uiPriority w:val="0"/>
    <w:pPr>
      <w:keepNext/>
      <w:keepLines/>
      <w:numPr>
        <w:ilvl w:val="5"/>
        <w:numId w:val="1"/>
      </w:numPr>
      <w:adjustRightInd w:val="0"/>
      <w:spacing w:before="240" w:after="64" w:line="320" w:lineRule="atLeast"/>
      <w:jc w:val="left"/>
      <w:textAlignment w:val="baseline"/>
      <w:outlineLvl w:val="5"/>
    </w:pPr>
    <w:rPr>
      <w:rFonts w:ascii="Arial" w:hAnsi="Arial"/>
      <w:b/>
      <w:bCs/>
      <w:kern w:val="0"/>
      <w:sz w:val="32"/>
    </w:rPr>
  </w:style>
  <w:style w:type="character" w:default="1" w:styleId="28">
    <w:name w:val="Default Paragraph Font"/>
    <w:unhideWhenUsed/>
    <w:qFormat/>
    <w:uiPriority w:val="1"/>
  </w:style>
  <w:style w:type="table" w:default="1" w:styleId="26">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Normal Indent"/>
    <w:basedOn w:val="1"/>
    <w:next w:val="7"/>
    <w:qFormat/>
    <w:uiPriority w:val="0"/>
    <w:pPr>
      <w:autoSpaceDE w:val="0"/>
      <w:autoSpaceDN w:val="0"/>
      <w:adjustRightInd w:val="0"/>
      <w:ind w:firstLine="420"/>
      <w:jc w:val="left"/>
    </w:pPr>
    <w:rPr>
      <w:rFonts w:ascii="宋体"/>
      <w:kern w:val="0"/>
      <w:sz w:val="24"/>
      <w:szCs w:val="20"/>
    </w:rPr>
  </w:style>
  <w:style w:type="paragraph" w:styleId="7">
    <w:name w:val="toa heading"/>
    <w:basedOn w:val="1"/>
    <w:next w:val="1"/>
    <w:qFormat/>
    <w:uiPriority w:val="0"/>
    <w:pPr>
      <w:spacing w:before="120"/>
    </w:pPr>
    <w:rPr>
      <w:rFonts w:ascii="Cambria" w:hAnsi="Cambria"/>
      <w:sz w:val="24"/>
    </w:rPr>
  </w:style>
  <w:style w:type="paragraph" w:styleId="8">
    <w:name w:val="index 5"/>
    <w:basedOn w:val="1"/>
    <w:next w:val="1"/>
    <w:semiHidden/>
    <w:qFormat/>
    <w:uiPriority w:val="0"/>
    <w:pPr>
      <w:ind w:left="800" w:leftChars="800"/>
    </w:pPr>
  </w:style>
  <w:style w:type="paragraph" w:styleId="9">
    <w:name w:val="annotation text"/>
    <w:basedOn w:val="1"/>
    <w:qFormat/>
    <w:uiPriority w:val="0"/>
    <w:pPr>
      <w:jc w:val="left"/>
    </w:pPr>
  </w:style>
  <w:style w:type="paragraph" w:styleId="10">
    <w:name w:val="Body Text"/>
    <w:basedOn w:val="1"/>
    <w:next w:val="1"/>
    <w:qFormat/>
    <w:uiPriority w:val="0"/>
    <w:pPr>
      <w:tabs>
        <w:tab w:val="left" w:pos="567"/>
      </w:tabs>
      <w:spacing w:before="120" w:line="22" w:lineRule="atLeast"/>
    </w:pPr>
    <w:rPr>
      <w:rFonts w:ascii="宋体" w:hAnsi="宋体"/>
      <w:sz w:val="24"/>
    </w:rPr>
  </w:style>
  <w:style w:type="paragraph" w:styleId="11">
    <w:name w:val="Body Text Indent"/>
    <w:basedOn w:val="1"/>
    <w:qFormat/>
    <w:uiPriority w:val="0"/>
    <w:pPr>
      <w:spacing w:line="360" w:lineRule="auto"/>
      <w:ind w:firstLine="570"/>
    </w:pPr>
    <w:rPr>
      <w:sz w:val="24"/>
    </w:rPr>
  </w:style>
  <w:style w:type="paragraph" w:styleId="12">
    <w:name w:val="toc 3"/>
    <w:basedOn w:val="1"/>
    <w:next w:val="1"/>
    <w:qFormat/>
    <w:uiPriority w:val="39"/>
    <w:pPr>
      <w:tabs>
        <w:tab w:val="left" w:pos="1260"/>
        <w:tab w:val="right" w:leader="dot" w:pos="8630"/>
      </w:tabs>
      <w:ind w:left="840" w:leftChars="400"/>
    </w:pPr>
  </w:style>
  <w:style w:type="paragraph" w:styleId="13">
    <w:name w:val="Plain Text"/>
    <w:basedOn w:val="1"/>
    <w:next w:val="14"/>
    <w:qFormat/>
    <w:uiPriority w:val="0"/>
    <w:rPr>
      <w:rFonts w:ascii="宋体" w:hAnsi="Courier New"/>
      <w:szCs w:val="20"/>
    </w:rPr>
  </w:style>
  <w:style w:type="paragraph" w:styleId="14">
    <w:name w:val="toc 2"/>
    <w:basedOn w:val="1"/>
    <w:next w:val="1"/>
    <w:qFormat/>
    <w:uiPriority w:val="39"/>
    <w:pPr>
      <w:ind w:left="420" w:leftChars="200"/>
    </w:pPr>
  </w:style>
  <w:style w:type="paragraph" w:styleId="15">
    <w:name w:val="Date"/>
    <w:basedOn w:val="1"/>
    <w:next w:val="1"/>
    <w:link w:val="54"/>
    <w:qFormat/>
    <w:uiPriority w:val="0"/>
    <w:pPr>
      <w:ind w:left="100" w:leftChars="2500"/>
    </w:pPr>
    <w:rPr>
      <w:rFonts w:ascii="仿宋_GB2312" w:hAnsi="宋体" w:eastAsia="仿宋_GB2312"/>
      <w:color w:val="000000"/>
      <w:sz w:val="24"/>
    </w:rPr>
  </w:style>
  <w:style w:type="paragraph" w:styleId="16">
    <w:name w:val="footer"/>
    <w:basedOn w:val="1"/>
    <w:link w:val="58"/>
    <w:qFormat/>
    <w:uiPriority w:val="0"/>
    <w:pPr>
      <w:tabs>
        <w:tab w:val="center" w:pos="4153"/>
        <w:tab w:val="right" w:pos="8306"/>
      </w:tabs>
      <w:snapToGrid w:val="0"/>
      <w:jc w:val="left"/>
    </w:pPr>
    <w:rPr>
      <w:rFonts w:ascii="宋体"/>
      <w:kern w:val="0"/>
      <w:sz w:val="18"/>
      <w:szCs w:val="20"/>
    </w:rPr>
  </w:style>
  <w:style w:type="paragraph" w:styleId="17">
    <w:name w:val="header"/>
    <w:basedOn w:val="1"/>
    <w:link w:val="59"/>
    <w:qFormat/>
    <w:uiPriority w:val="0"/>
    <w:pPr>
      <w:pBdr>
        <w:bottom w:val="single" w:color="000000" w:sz="6" w:space="1"/>
      </w:pBdr>
      <w:tabs>
        <w:tab w:val="center" w:pos="4153"/>
        <w:tab w:val="right" w:pos="8306"/>
      </w:tabs>
      <w:snapToGrid w:val="0"/>
      <w:jc w:val="center"/>
    </w:pPr>
    <w:rPr>
      <w:sz w:val="18"/>
      <w:szCs w:val="18"/>
    </w:rPr>
  </w:style>
  <w:style w:type="paragraph" w:styleId="18">
    <w:name w:val="toc 1"/>
    <w:basedOn w:val="1"/>
    <w:next w:val="1"/>
    <w:qFormat/>
    <w:uiPriority w:val="39"/>
  </w:style>
  <w:style w:type="paragraph" w:styleId="19">
    <w:name w:val="List"/>
    <w:basedOn w:val="1"/>
    <w:unhideWhenUsed/>
    <w:qFormat/>
    <w:uiPriority w:val="0"/>
    <w:pPr>
      <w:ind w:left="200" w:hanging="200" w:hangingChars="200"/>
      <w:contextualSpacing/>
    </w:pPr>
  </w:style>
  <w:style w:type="paragraph" w:styleId="20">
    <w:name w:val="footnote text"/>
    <w:basedOn w:val="1"/>
    <w:next w:val="10"/>
    <w:link w:val="120"/>
    <w:qFormat/>
    <w:uiPriority w:val="0"/>
    <w:pPr>
      <w:keepNext w:val="0"/>
      <w:keepLines w:val="0"/>
      <w:widowControl w:val="0"/>
      <w:suppressLineNumbers w:val="0"/>
      <w:snapToGrid w:val="0"/>
      <w:spacing w:before="0" w:beforeAutospacing="0" w:after="0" w:afterAutospacing="0"/>
      <w:ind w:left="0" w:right="0"/>
      <w:jc w:val="left"/>
    </w:pPr>
    <w:rPr>
      <w:rFonts w:hint="default" w:ascii="Times New Roman" w:hAnsi="Times New Roman" w:cs="Times New Roman"/>
      <w:kern w:val="2"/>
      <w:sz w:val="18"/>
      <w:szCs w:val="18"/>
      <w:lang w:val="en-US" w:eastAsia="zh-CN" w:bidi="ar"/>
    </w:rPr>
  </w:style>
  <w:style w:type="paragraph" w:styleId="21">
    <w:name w:val="Body Text Indent 3"/>
    <w:basedOn w:val="1"/>
    <w:next w:val="1"/>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22">
    <w:name w:val="index 7"/>
    <w:basedOn w:val="1"/>
    <w:next w:val="1"/>
    <w:qFormat/>
    <w:uiPriority w:val="0"/>
    <w:pPr>
      <w:autoSpaceDE/>
      <w:autoSpaceDN/>
      <w:adjustRightInd/>
      <w:ind w:left="1200" w:leftChars="1200"/>
    </w:pPr>
    <w:rPr>
      <w:color w:val="auto"/>
      <w:kern w:val="2"/>
      <w:szCs w:val="24"/>
    </w:rPr>
  </w:style>
  <w:style w:type="paragraph" w:styleId="23">
    <w:name w:val="Normal (Web)"/>
    <w:basedOn w:val="1"/>
    <w:qFormat/>
    <w:uiPriority w:val="0"/>
    <w:pPr>
      <w:spacing w:before="100" w:beforeAutospacing="1" w:after="100" w:afterAutospacing="1"/>
      <w:jc w:val="left"/>
    </w:pPr>
    <w:rPr>
      <w:kern w:val="0"/>
      <w:sz w:val="24"/>
    </w:rPr>
  </w:style>
  <w:style w:type="paragraph" w:styleId="24">
    <w:name w:val="Body Text First Indent"/>
    <w:basedOn w:val="10"/>
    <w:next w:val="1"/>
    <w:qFormat/>
    <w:uiPriority w:val="0"/>
    <w:pPr>
      <w:spacing w:line="312" w:lineRule="auto"/>
      <w:ind w:firstLine="420" w:firstLineChars="100"/>
    </w:pPr>
    <w:rPr>
      <w:rFonts w:hint="eastAsia" w:ascii="微软雅黑" w:hAnsi="微软雅黑" w:eastAsia="微软雅黑" w:cs="微软雅黑"/>
      <w:szCs w:val="21"/>
    </w:rPr>
  </w:style>
  <w:style w:type="paragraph" w:styleId="25">
    <w:name w:val="Body Text First Indent 2"/>
    <w:basedOn w:val="11"/>
    <w:next w:val="6"/>
    <w:qFormat/>
    <w:uiPriority w:val="0"/>
    <w:pPr>
      <w:ind w:firstLine="420" w:firstLineChars="200"/>
    </w:p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page number"/>
    <w:basedOn w:val="28"/>
    <w:qFormat/>
    <w:uiPriority w:val="0"/>
  </w:style>
  <w:style w:type="character" w:styleId="30">
    <w:name w:val="Emphasis"/>
    <w:basedOn w:val="28"/>
    <w:qFormat/>
    <w:uiPriority w:val="0"/>
    <w:rPr>
      <w:i/>
    </w:rPr>
  </w:style>
  <w:style w:type="character" w:styleId="31">
    <w:name w:val="Hyperlink"/>
    <w:qFormat/>
    <w:uiPriority w:val="99"/>
    <w:rPr>
      <w:color w:val="0000FF"/>
      <w:u w:val="single"/>
    </w:rPr>
  </w:style>
  <w:style w:type="character" w:styleId="32">
    <w:name w:val="annotation reference"/>
    <w:basedOn w:val="28"/>
    <w:qFormat/>
    <w:uiPriority w:val="0"/>
    <w:rPr>
      <w:sz w:val="21"/>
      <w:szCs w:val="21"/>
    </w:rPr>
  </w:style>
  <w:style w:type="paragraph" w:customStyle="1" w:styleId="33">
    <w:name w:val="Heading3"/>
    <w:basedOn w:val="1"/>
    <w:next w:val="1"/>
    <w:link w:val="41"/>
    <w:qFormat/>
    <w:uiPriority w:val="0"/>
    <w:pPr>
      <w:keepNext/>
      <w:keepLines/>
      <w:spacing w:before="360" w:after="120"/>
      <w:jc w:val="left"/>
    </w:pPr>
    <w:rPr>
      <w:rFonts w:ascii="宋体"/>
      <w:b/>
      <w:kern w:val="0"/>
      <w:sz w:val="24"/>
      <w:szCs w:val="20"/>
      <w:u w:val="single"/>
    </w:rPr>
  </w:style>
  <w:style w:type="paragraph" w:customStyle="1" w:styleId="34">
    <w:name w:val="NormalIndent"/>
    <w:basedOn w:val="1"/>
    <w:next w:val="1"/>
    <w:qFormat/>
    <w:uiPriority w:val="0"/>
    <w:pPr>
      <w:ind w:firstLine="420"/>
      <w:jc w:val="left"/>
    </w:pPr>
    <w:rPr>
      <w:rFonts w:ascii="宋体"/>
      <w:kern w:val="0"/>
      <w:sz w:val="24"/>
      <w:szCs w:val="20"/>
    </w:rPr>
  </w:style>
  <w:style w:type="paragraph" w:customStyle="1" w:styleId="35">
    <w:name w:val="Heading1"/>
    <w:basedOn w:val="1"/>
    <w:next w:val="1"/>
    <w:link w:val="39"/>
    <w:qFormat/>
    <w:uiPriority w:val="0"/>
    <w:pPr>
      <w:keepNext/>
      <w:keepLines/>
      <w:spacing w:before="240" w:after="120" w:line="300" w:lineRule="auto"/>
      <w:jc w:val="center"/>
    </w:pPr>
    <w:rPr>
      <w:rFonts w:ascii="宋体"/>
      <w:b/>
      <w:kern w:val="44"/>
      <w:sz w:val="32"/>
      <w:szCs w:val="20"/>
    </w:rPr>
  </w:style>
  <w:style w:type="paragraph" w:customStyle="1" w:styleId="36">
    <w:name w:val="Heading2"/>
    <w:basedOn w:val="1"/>
    <w:next w:val="1"/>
    <w:link w:val="40"/>
    <w:qFormat/>
    <w:uiPriority w:val="0"/>
    <w:pPr>
      <w:keepNext/>
      <w:keepLines/>
      <w:spacing w:before="120" w:line="300" w:lineRule="auto"/>
      <w:jc w:val="center"/>
    </w:pPr>
    <w:rPr>
      <w:rFonts w:ascii="Arial" w:hAnsi="Arial" w:eastAsia="黑体"/>
      <w:b/>
      <w:kern w:val="0"/>
      <w:sz w:val="30"/>
      <w:szCs w:val="20"/>
    </w:rPr>
  </w:style>
  <w:style w:type="character" w:customStyle="1" w:styleId="37">
    <w:name w:val="NormalCharacter"/>
    <w:semiHidden/>
    <w:qFormat/>
    <w:uiPriority w:val="0"/>
  </w:style>
  <w:style w:type="table" w:customStyle="1" w:styleId="38">
    <w:name w:val="TableNormal"/>
    <w:semiHidden/>
    <w:qFormat/>
    <w:uiPriority w:val="0"/>
    <w:tblPr>
      <w:tblCellMar>
        <w:top w:w="0" w:type="dxa"/>
        <w:left w:w="0" w:type="dxa"/>
        <w:bottom w:w="0" w:type="dxa"/>
        <w:right w:w="0" w:type="dxa"/>
      </w:tblCellMar>
    </w:tblPr>
  </w:style>
  <w:style w:type="character" w:customStyle="1" w:styleId="39">
    <w:name w:val="UserStyle_0"/>
    <w:link w:val="35"/>
    <w:qFormat/>
    <w:uiPriority w:val="0"/>
    <w:rPr>
      <w:rFonts w:ascii="宋体"/>
      <w:b/>
      <w:kern w:val="44"/>
      <w:sz w:val="32"/>
    </w:rPr>
  </w:style>
  <w:style w:type="character" w:customStyle="1" w:styleId="40">
    <w:name w:val="UserStyle_1"/>
    <w:link w:val="36"/>
    <w:qFormat/>
    <w:uiPriority w:val="0"/>
    <w:rPr>
      <w:rFonts w:ascii="Arial" w:hAnsi="Arial" w:eastAsia="黑体"/>
      <w:b/>
      <w:sz w:val="30"/>
    </w:rPr>
  </w:style>
  <w:style w:type="character" w:customStyle="1" w:styleId="41">
    <w:name w:val="UserStyle_2"/>
    <w:link w:val="33"/>
    <w:qFormat/>
    <w:uiPriority w:val="0"/>
    <w:rPr>
      <w:rFonts w:ascii="宋体"/>
      <w:b/>
      <w:sz w:val="24"/>
      <w:u w:val="single"/>
    </w:rPr>
  </w:style>
  <w:style w:type="paragraph" w:customStyle="1" w:styleId="42">
    <w:name w:val="TOC7"/>
    <w:basedOn w:val="1"/>
    <w:next w:val="1"/>
    <w:qFormat/>
    <w:uiPriority w:val="0"/>
    <w:pPr>
      <w:ind w:left="2520" w:leftChars="1200"/>
    </w:pPr>
  </w:style>
  <w:style w:type="paragraph" w:customStyle="1" w:styleId="43">
    <w:name w:val="AnnotationText"/>
    <w:basedOn w:val="1"/>
    <w:link w:val="44"/>
    <w:qFormat/>
    <w:uiPriority w:val="0"/>
    <w:pPr>
      <w:jc w:val="left"/>
    </w:pPr>
  </w:style>
  <w:style w:type="character" w:customStyle="1" w:styleId="44">
    <w:name w:val="UserStyle_3"/>
    <w:link w:val="43"/>
    <w:qFormat/>
    <w:uiPriority w:val="0"/>
    <w:rPr>
      <w:kern w:val="2"/>
      <w:sz w:val="21"/>
      <w:szCs w:val="24"/>
    </w:rPr>
  </w:style>
  <w:style w:type="paragraph" w:customStyle="1" w:styleId="45">
    <w:name w:val="BodyText"/>
    <w:basedOn w:val="1"/>
    <w:link w:val="46"/>
    <w:qFormat/>
    <w:uiPriority w:val="0"/>
    <w:pPr>
      <w:tabs>
        <w:tab w:val="left" w:pos="567"/>
      </w:tabs>
      <w:spacing w:before="120" w:line="240" w:lineRule="atLeast"/>
    </w:pPr>
    <w:rPr>
      <w:rFonts w:ascii="宋体" w:hAnsi="宋体"/>
      <w:sz w:val="24"/>
    </w:rPr>
  </w:style>
  <w:style w:type="character" w:customStyle="1" w:styleId="46">
    <w:name w:val="UserStyle_4"/>
    <w:link w:val="45"/>
    <w:qFormat/>
    <w:uiPriority w:val="0"/>
    <w:rPr>
      <w:rFonts w:ascii="宋体" w:hAnsi="宋体"/>
      <w:kern w:val="2"/>
      <w:sz w:val="24"/>
      <w:szCs w:val="24"/>
    </w:rPr>
  </w:style>
  <w:style w:type="paragraph" w:customStyle="1" w:styleId="47">
    <w:name w:val="BodyTextIndent"/>
    <w:basedOn w:val="1"/>
    <w:next w:val="48"/>
    <w:qFormat/>
    <w:uiPriority w:val="0"/>
    <w:pPr>
      <w:spacing w:line="360" w:lineRule="auto"/>
      <w:ind w:firstLine="570"/>
    </w:pPr>
    <w:rPr>
      <w:sz w:val="24"/>
    </w:rPr>
  </w:style>
  <w:style w:type="paragraph" w:customStyle="1" w:styleId="48">
    <w:name w:val="BodyText1I2"/>
    <w:basedOn w:val="47"/>
    <w:next w:val="34"/>
    <w:qFormat/>
    <w:uiPriority w:val="0"/>
    <w:pPr>
      <w:ind w:firstLine="420" w:firstLineChars="200"/>
    </w:pPr>
  </w:style>
  <w:style w:type="paragraph" w:customStyle="1" w:styleId="49">
    <w:name w:val="TOC5"/>
    <w:basedOn w:val="1"/>
    <w:next w:val="1"/>
    <w:qFormat/>
    <w:uiPriority w:val="0"/>
    <w:pPr>
      <w:ind w:left="1680" w:leftChars="800"/>
    </w:pPr>
  </w:style>
  <w:style w:type="paragraph" w:customStyle="1" w:styleId="50">
    <w:name w:val="TOC3"/>
    <w:basedOn w:val="1"/>
    <w:next w:val="1"/>
    <w:qFormat/>
    <w:uiPriority w:val="0"/>
    <w:pPr>
      <w:tabs>
        <w:tab w:val="left" w:pos="1260"/>
        <w:tab w:val="right" w:leader="dot" w:pos="8630"/>
      </w:tabs>
      <w:ind w:left="840" w:leftChars="400"/>
    </w:pPr>
  </w:style>
  <w:style w:type="paragraph" w:customStyle="1" w:styleId="51">
    <w:name w:val="PlainText"/>
    <w:basedOn w:val="1"/>
    <w:link w:val="52"/>
    <w:qFormat/>
    <w:uiPriority w:val="0"/>
    <w:rPr>
      <w:rFonts w:ascii="宋体" w:hAnsi="Courier New"/>
      <w:szCs w:val="20"/>
    </w:rPr>
  </w:style>
  <w:style w:type="character" w:customStyle="1" w:styleId="52">
    <w:name w:val="UserStyle_5"/>
    <w:link w:val="51"/>
    <w:qFormat/>
    <w:uiPriority w:val="0"/>
    <w:rPr>
      <w:rFonts w:ascii="宋体" w:hAnsi="Courier New"/>
      <w:kern w:val="2"/>
      <w:sz w:val="21"/>
    </w:rPr>
  </w:style>
  <w:style w:type="paragraph" w:customStyle="1" w:styleId="53">
    <w:name w:val="TOC8"/>
    <w:basedOn w:val="1"/>
    <w:next w:val="1"/>
    <w:qFormat/>
    <w:uiPriority w:val="0"/>
    <w:pPr>
      <w:ind w:left="2940" w:leftChars="1400"/>
    </w:pPr>
  </w:style>
  <w:style w:type="character" w:customStyle="1" w:styleId="54">
    <w:name w:val="日期 字符"/>
    <w:link w:val="15"/>
    <w:qFormat/>
    <w:uiPriority w:val="0"/>
    <w:rPr>
      <w:rFonts w:ascii="仿宋_GB2312" w:hAnsi="宋体" w:eastAsia="仿宋_GB2312"/>
      <w:color w:val="000000"/>
      <w:kern w:val="2"/>
      <w:sz w:val="24"/>
      <w:szCs w:val="24"/>
    </w:rPr>
  </w:style>
  <w:style w:type="paragraph" w:customStyle="1" w:styleId="55">
    <w:name w:val="BodyTextIndent2"/>
    <w:basedOn w:val="1"/>
    <w:qFormat/>
    <w:uiPriority w:val="0"/>
    <w:pPr>
      <w:ind w:firstLine="480" w:firstLineChars="200"/>
    </w:pPr>
    <w:rPr>
      <w:rFonts w:ascii="仿宋_GB2312" w:eastAsia="仿宋_GB2312"/>
      <w:sz w:val="24"/>
    </w:rPr>
  </w:style>
  <w:style w:type="paragraph" w:customStyle="1" w:styleId="56">
    <w:name w:val="Acetate"/>
    <w:basedOn w:val="1"/>
    <w:link w:val="57"/>
    <w:qFormat/>
    <w:uiPriority w:val="0"/>
    <w:rPr>
      <w:sz w:val="18"/>
      <w:szCs w:val="18"/>
    </w:rPr>
  </w:style>
  <w:style w:type="character" w:customStyle="1" w:styleId="57">
    <w:name w:val="UserStyle_7"/>
    <w:link w:val="56"/>
    <w:qFormat/>
    <w:uiPriority w:val="0"/>
    <w:rPr>
      <w:kern w:val="2"/>
      <w:sz w:val="18"/>
      <w:szCs w:val="18"/>
    </w:rPr>
  </w:style>
  <w:style w:type="character" w:customStyle="1" w:styleId="58">
    <w:name w:val="页脚 字符"/>
    <w:link w:val="16"/>
    <w:qFormat/>
    <w:uiPriority w:val="0"/>
    <w:rPr>
      <w:rFonts w:ascii="宋体"/>
      <w:sz w:val="18"/>
    </w:rPr>
  </w:style>
  <w:style w:type="character" w:customStyle="1" w:styleId="59">
    <w:name w:val="页眉 字符"/>
    <w:link w:val="17"/>
    <w:qFormat/>
    <w:uiPriority w:val="0"/>
    <w:rPr>
      <w:kern w:val="2"/>
      <w:sz w:val="18"/>
      <w:szCs w:val="18"/>
    </w:rPr>
  </w:style>
  <w:style w:type="paragraph" w:customStyle="1" w:styleId="60">
    <w:name w:val="TOC1"/>
    <w:basedOn w:val="1"/>
    <w:next w:val="1"/>
    <w:qFormat/>
    <w:uiPriority w:val="0"/>
  </w:style>
  <w:style w:type="paragraph" w:customStyle="1" w:styleId="61">
    <w:name w:val="TOC4"/>
    <w:basedOn w:val="1"/>
    <w:next w:val="1"/>
    <w:qFormat/>
    <w:uiPriority w:val="0"/>
    <w:pPr>
      <w:ind w:left="1260" w:leftChars="600"/>
    </w:pPr>
  </w:style>
  <w:style w:type="paragraph" w:customStyle="1" w:styleId="62">
    <w:name w:val="FootnoteText"/>
    <w:basedOn w:val="1"/>
    <w:qFormat/>
    <w:uiPriority w:val="0"/>
    <w:pPr>
      <w:snapToGrid w:val="0"/>
      <w:jc w:val="left"/>
    </w:pPr>
    <w:rPr>
      <w:sz w:val="18"/>
    </w:rPr>
  </w:style>
  <w:style w:type="paragraph" w:customStyle="1" w:styleId="63">
    <w:name w:val="TOC6"/>
    <w:basedOn w:val="1"/>
    <w:next w:val="1"/>
    <w:qFormat/>
    <w:uiPriority w:val="0"/>
    <w:pPr>
      <w:ind w:left="2100" w:leftChars="1000"/>
    </w:pPr>
  </w:style>
  <w:style w:type="paragraph" w:customStyle="1" w:styleId="64">
    <w:name w:val="BodyTextIndent3"/>
    <w:basedOn w:val="1"/>
    <w:qFormat/>
    <w:uiPriority w:val="0"/>
    <w:pPr>
      <w:spacing w:before="120" w:line="240" w:lineRule="atLeast"/>
      <w:ind w:left="720" w:firstLine="480"/>
      <w:jc w:val="left"/>
    </w:pPr>
    <w:rPr>
      <w:rFonts w:ascii="宋体"/>
      <w:kern w:val="0"/>
      <w:sz w:val="24"/>
      <w:szCs w:val="20"/>
    </w:rPr>
  </w:style>
  <w:style w:type="paragraph" w:customStyle="1" w:styleId="65">
    <w:name w:val="TOC2"/>
    <w:basedOn w:val="1"/>
    <w:next w:val="1"/>
    <w:qFormat/>
    <w:uiPriority w:val="0"/>
    <w:pPr>
      <w:ind w:left="420" w:leftChars="200"/>
    </w:pPr>
  </w:style>
  <w:style w:type="paragraph" w:customStyle="1" w:styleId="66">
    <w:name w:val="TOC9"/>
    <w:basedOn w:val="1"/>
    <w:next w:val="1"/>
    <w:qFormat/>
    <w:uiPriority w:val="0"/>
    <w:pPr>
      <w:ind w:left="3360" w:leftChars="1600"/>
    </w:pPr>
  </w:style>
  <w:style w:type="paragraph" w:customStyle="1" w:styleId="67">
    <w:name w:val="HtmlNormal"/>
    <w:basedOn w:val="1"/>
    <w:qFormat/>
    <w:uiPriority w:val="0"/>
    <w:pPr>
      <w:spacing w:before="100" w:beforeAutospacing="1" w:after="100" w:afterAutospacing="1"/>
      <w:jc w:val="left"/>
    </w:pPr>
    <w:rPr>
      <w:kern w:val="0"/>
      <w:sz w:val="24"/>
    </w:rPr>
  </w:style>
  <w:style w:type="paragraph" w:customStyle="1" w:styleId="68">
    <w:name w:val="Index1"/>
    <w:basedOn w:val="1"/>
    <w:next w:val="1"/>
    <w:semiHidden/>
    <w:qFormat/>
    <w:uiPriority w:val="0"/>
    <w:rPr>
      <w:szCs w:val="20"/>
    </w:rPr>
  </w:style>
  <w:style w:type="paragraph" w:customStyle="1" w:styleId="69">
    <w:name w:val="AnnotationSubject"/>
    <w:basedOn w:val="43"/>
    <w:next w:val="43"/>
    <w:link w:val="70"/>
    <w:qFormat/>
    <w:uiPriority w:val="0"/>
    <w:rPr>
      <w:rFonts w:cs="Times New Roman"/>
      <w:b/>
      <w:bCs/>
    </w:rPr>
  </w:style>
  <w:style w:type="character" w:customStyle="1" w:styleId="70">
    <w:name w:val="UserStyle_10"/>
    <w:link w:val="69"/>
    <w:qFormat/>
    <w:uiPriority w:val="0"/>
    <w:rPr>
      <w:rFonts w:cs="Times New Roman"/>
      <w:b/>
      <w:bCs/>
      <w:kern w:val="2"/>
      <w:sz w:val="21"/>
      <w:szCs w:val="24"/>
    </w:rPr>
  </w:style>
  <w:style w:type="table" w:customStyle="1" w:styleId="71">
    <w:name w:val="TableGrid"/>
    <w:basedOn w:val="38"/>
    <w:qFormat/>
    <w:uiPriority w:val="0"/>
  </w:style>
  <w:style w:type="character" w:customStyle="1" w:styleId="72">
    <w:name w:val="PageNumber"/>
    <w:basedOn w:val="37"/>
    <w:qFormat/>
    <w:uiPriority w:val="0"/>
  </w:style>
  <w:style w:type="character" w:customStyle="1" w:styleId="73">
    <w:name w:val="AnnotationReference"/>
    <w:qFormat/>
    <w:uiPriority w:val="0"/>
    <w:rPr>
      <w:sz w:val="21"/>
      <w:szCs w:val="21"/>
    </w:rPr>
  </w:style>
  <w:style w:type="character" w:customStyle="1" w:styleId="74">
    <w:name w:val="UserStyle_11"/>
    <w:semiHidden/>
    <w:qFormat/>
    <w:uiPriority w:val="0"/>
    <w:rPr>
      <w:kern w:val="2"/>
      <w:sz w:val="18"/>
      <w:szCs w:val="18"/>
    </w:rPr>
  </w:style>
  <w:style w:type="character" w:customStyle="1" w:styleId="75">
    <w:name w:val="UserStyle_12"/>
    <w:semiHidden/>
    <w:qFormat/>
    <w:uiPriority w:val="0"/>
    <w:rPr>
      <w:kern w:val="2"/>
      <w:sz w:val="21"/>
      <w:szCs w:val="24"/>
    </w:rPr>
  </w:style>
  <w:style w:type="character" w:customStyle="1" w:styleId="76">
    <w:name w:val="UserStyle_13"/>
    <w:qFormat/>
    <w:uiPriority w:val="0"/>
    <w:rPr>
      <w:rFonts w:ascii="Calibri" w:hAnsi="Calibri"/>
    </w:rPr>
  </w:style>
  <w:style w:type="character" w:customStyle="1" w:styleId="77">
    <w:name w:val="UserStyle_14"/>
    <w:qFormat/>
    <w:uiPriority w:val="0"/>
    <w:rPr>
      <w:rFonts w:ascii="宋体" w:hAnsi="宋体" w:eastAsia="宋体"/>
      <w:color w:val="FF0000"/>
      <w:sz w:val="20"/>
      <w:szCs w:val="20"/>
    </w:rPr>
  </w:style>
  <w:style w:type="character" w:customStyle="1" w:styleId="78">
    <w:name w:val="UserStyle_15"/>
    <w:qFormat/>
    <w:uiPriority w:val="0"/>
    <w:rPr>
      <w:rFonts w:ascii="Calibri" w:hAnsi="Calibri"/>
    </w:rPr>
  </w:style>
  <w:style w:type="character" w:customStyle="1" w:styleId="79">
    <w:name w:val="UserStyle_16"/>
    <w:qFormat/>
    <w:uiPriority w:val="0"/>
    <w:rPr>
      <w:rFonts w:ascii="宋体" w:hAnsi="宋体" w:eastAsia="宋体"/>
      <w:b/>
      <w:color w:val="FF0000"/>
      <w:sz w:val="20"/>
      <w:szCs w:val="20"/>
    </w:rPr>
  </w:style>
  <w:style w:type="character" w:customStyle="1" w:styleId="80">
    <w:name w:val="UserStyle_17"/>
    <w:qFormat/>
    <w:uiPriority w:val="0"/>
    <w:rPr>
      <w:rFonts w:ascii="Times New Roman" w:hAnsi="Times New Roman"/>
      <w:color w:val="000000"/>
      <w:sz w:val="20"/>
      <w:szCs w:val="20"/>
    </w:rPr>
  </w:style>
  <w:style w:type="character" w:customStyle="1" w:styleId="81">
    <w:name w:val="UserStyle_18"/>
    <w:qFormat/>
    <w:uiPriority w:val="0"/>
    <w:rPr>
      <w:rFonts w:ascii="宋体" w:hAnsi="宋体" w:eastAsia="宋体"/>
      <w:b/>
      <w:color w:val="000000"/>
      <w:sz w:val="20"/>
      <w:szCs w:val="20"/>
    </w:rPr>
  </w:style>
  <w:style w:type="character" w:customStyle="1" w:styleId="82">
    <w:name w:val="UserStyle_19"/>
    <w:qFormat/>
    <w:uiPriority w:val="0"/>
    <w:rPr>
      <w:rFonts w:ascii="宋体" w:hAnsi="宋体" w:eastAsia="宋体"/>
      <w:b/>
      <w:color w:val="FF0000"/>
      <w:sz w:val="22"/>
      <w:szCs w:val="22"/>
    </w:rPr>
  </w:style>
  <w:style w:type="character" w:customStyle="1" w:styleId="83">
    <w:name w:val="UserStyle_20"/>
    <w:link w:val="84"/>
    <w:qFormat/>
    <w:uiPriority w:val="0"/>
    <w:rPr>
      <w:rFonts w:ascii="宋体"/>
      <w:sz w:val="24"/>
    </w:rPr>
  </w:style>
  <w:style w:type="paragraph" w:customStyle="1" w:styleId="84">
    <w:name w:val="UserStyle_21"/>
    <w:basedOn w:val="1"/>
    <w:link w:val="83"/>
    <w:qFormat/>
    <w:uiPriority w:val="0"/>
    <w:pPr>
      <w:ind w:firstLine="420"/>
      <w:jc w:val="left"/>
    </w:pPr>
    <w:rPr>
      <w:rFonts w:ascii="宋体"/>
      <w:kern w:val="0"/>
      <w:sz w:val="24"/>
      <w:szCs w:val="20"/>
    </w:rPr>
  </w:style>
  <w:style w:type="character" w:customStyle="1" w:styleId="85">
    <w:name w:val="UserStyle_22"/>
    <w:qFormat/>
    <w:uiPriority w:val="0"/>
    <w:rPr>
      <w:rFonts w:ascii="宋体" w:hAnsi="宋体" w:eastAsia="宋体"/>
      <w:color w:val="000000"/>
      <w:sz w:val="20"/>
      <w:szCs w:val="20"/>
    </w:rPr>
  </w:style>
  <w:style w:type="character" w:customStyle="1" w:styleId="86">
    <w:name w:val="UserStyle_23"/>
    <w:semiHidden/>
    <w:qFormat/>
    <w:uiPriority w:val="0"/>
    <w:rPr>
      <w:kern w:val="2"/>
      <w:sz w:val="18"/>
      <w:szCs w:val="18"/>
    </w:rPr>
  </w:style>
  <w:style w:type="character" w:customStyle="1" w:styleId="87">
    <w:name w:val="UserStyle_24"/>
    <w:semiHidden/>
    <w:qFormat/>
    <w:uiPriority w:val="0"/>
    <w:rPr>
      <w:rFonts w:cs="Times New Roman"/>
      <w:b/>
      <w:bCs/>
      <w:kern w:val="2"/>
      <w:sz w:val="21"/>
      <w:szCs w:val="24"/>
    </w:rPr>
  </w:style>
  <w:style w:type="character" w:customStyle="1" w:styleId="88">
    <w:name w:val="UserStyle_25"/>
    <w:qFormat/>
    <w:uiPriority w:val="0"/>
    <w:rPr>
      <w:rFonts w:ascii="宋体" w:hAnsi="宋体" w:eastAsia="宋体"/>
      <w:b/>
      <w:color w:val="000000"/>
      <w:sz w:val="22"/>
      <w:szCs w:val="22"/>
    </w:rPr>
  </w:style>
  <w:style w:type="character" w:customStyle="1" w:styleId="89">
    <w:name w:val="UserStyle_26"/>
    <w:qFormat/>
    <w:uiPriority w:val="0"/>
    <w:rPr>
      <w:rFonts w:ascii="微软雅黑" w:hAnsi="微软雅黑" w:eastAsia="微软雅黑"/>
      <w:color w:val="000000"/>
      <w:sz w:val="20"/>
      <w:szCs w:val="20"/>
      <w:vertAlign w:val="subscript"/>
    </w:rPr>
  </w:style>
  <w:style w:type="character" w:customStyle="1" w:styleId="90">
    <w:name w:val="UserStyle_27"/>
    <w:link w:val="91"/>
    <w:qFormat/>
    <w:uiPriority w:val="0"/>
    <w:rPr>
      <w:rFonts w:ascii="宋体" w:hAnsi="Courier New"/>
    </w:rPr>
  </w:style>
  <w:style w:type="paragraph" w:customStyle="1" w:styleId="91">
    <w:name w:val="UserStyle_28"/>
    <w:basedOn w:val="1"/>
    <w:link w:val="90"/>
    <w:qFormat/>
    <w:uiPriority w:val="0"/>
    <w:rPr>
      <w:rFonts w:ascii="宋体" w:hAnsi="Courier New"/>
      <w:kern w:val="0"/>
      <w:sz w:val="20"/>
      <w:szCs w:val="20"/>
    </w:rPr>
  </w:style>
  <w:style w:type="character" w:customStyle="1" w:styleId="92">
    <w:name w:val="UserStyle_29"/>
    <w:qFormat/>
    <w:uiPriority w:val="0"/>
    <w:rPr>
      <w:rFonts w:ascii="宋体" w:hAnsi="宋体" w:eastAsia="宋体"/>
      <w:color w:val="000000"/>
      <w:sz w:val="24"/>
      <w:szCs w:val="24"/>
    </w:rPr>
  </w:style>
  <w:style w:type="character" w:customStyle="1" w:styleId="93">
    <w:name w:val="UserStyle_30"/>
    <w:qFormat/>
    <w:uiPriority w:val="0"/>
    <w:rPr>
      <w:rFonts w:ascii="宋体" w:hAnsi="宋体" w:eastAsia="宋体"/>
      <w:color w:val="000000"/>
      <w:sz w:val="20"/>
      <w:szCs w:val="20"/>
    </w:rPr>
  </w:style>
  <w:style w:type="character" w:customStyle="1" w:styleId="94">
    <w:name w:val="UserStyle_31"/>
    <w:qFormat/>
    <w:uiPriority w:val="0"/>
    <w:rPr>
      <w:rFonts w:ascii="宋体" w:hAnsi="宋体" w:eastAsia="宋体"/>
      <w:color w:val="000000"/>
      <w:sz w:val="20"/>
      <w:szCs w:val="20"/>
    </w:rPr>
  </w:style>
  <w:style w:type="character" w:customStyle="1" w:styleId="95">
    <w:name w:val="UserStyle_32"/>
    <w:basedOn w:val="37"/>
    <w:qFormat/>
    <w:uiPriority w:val="0"/>
  </w:style>
  <w:style w:type="character" w:customStyle="1" w:styleId="96">
    <w:name w:val="UserStyle_33"/>
    <w:qFormat/>
    <w:uiPriority w:val="0"/>
    <w:rPr>
      <w:rFonts w:ascii="微软雅黑" w:hAnsi="微软雅黑" w:eastAsia="微软雅黑"/>
      <w:color w:val="000000"/>
      <w:sz w:val="20"/>
      <w:szCs w:val="20"/>
    </w:rPr>
  </w:style>
  <w:style w:type="character" w:customStyle="1" w:styleId="97">
    <w:name w:val="UserStyle_34"/>
    <w:semiHidden/>
    <w:qFormat/>
    <w:uiPriority w:val="0"/>
    <w:rPr>
      <w:rFonts w:ascii="Times New Roman" w:hAnsi="Times New Roman" w:eastAsia="宋体"/>
      <w:kern w:val="2"/>
      <w:sz w:val="21"/>
      <w:szCs w:val="24"/>
      <w:lang w:val="en-US" w:eastAsia="zh-CN" w:bidi="ar-SA"/>
    </w:rPr>
  </w:style>
  <w:style w:type="paragraph" w:customStyle="1" w:styleId="98">
    <w:name w:val="UserStyle_35"/>
    <w:qFormat/>
    <w:uiPriority w:val="0"/>
    <w:pPr>
      <w:spacing w:after="160" w:line="278" w:lineRule="auto"/>
      <w:textAlignment w:val="baseline"/>
    </w:pPr>
    <w:rPr>
      <w:rFonts w:ascii="Times New Roman" w:hAnsi="Times New Roman" w:eastAsia="宋体" w:cstheme="minorBidi"/>
      <w:lang w:val="en-US" w:eastAsia="zh-CN" w:bidi="ar-SA"/>
    </w:rPr>
  </w:style>
  <w:style w:type="paragraph" w:customStyle="1" w:styleId="99">
    <w:name w:val="UserStyle_36"/>
    <w:basedOn w:val="1"/>
    <w:qFormat/>
    <w:uiPriority w:val="0"/>
    <w:pPr>
      <w:snapToGrid w:val="0"/>
      <w:spacing w:after="200"/>
      <w:ind w:firstLine="420" w:firstLineChars="200"/>
      <w:jc w:val="left"/>
    </w:pPr>
    <w:rPr>
      <w:rFonts w:ascii="Tahoma" w:hAnsi="Tahoma" w:eastAsia="微软雅黑"/>
      <w:kern w:val="0"/>
      <w:sz w:val="22"/>
    </w:rPr>
  </w:style>
  <w:style w:type="paragraph" w:customStyle="1" w:styleId="100">
    <w:name w:val="UserStyle_37"/>
    <w:basedOn w:val="1"/>
    <w:next w:val="1"/>
    <w:qFormat/>
    <w:uiPriority w:val="0"/>
    <w:pPr>
      <w:spacing w:line="360" w:lineRule="auto"/>
    </w:pPr>
    <w:rPr>
      <w:rFonts w:ascii="仿宋_GB2312" w:eastAsia="仿宋_GB2312"/>
      <w:sz w:val="24"/>
      <w:szCs w:val="20"/>
    </w:rPr>
  </w:style>
  <w:style w:type="paragraph" w:customStyle="1" w:styleId="101">
    <w:name w:val="UserStyle_38"/>
    <w:basedOn w:val="1"/>
    <w:qFormat/>
    <w:uiPriority w:val="0"/>
    <w:pPr>
      <w:tabs>
        <w:tab w:val="left" w:pos="360"/>
      </w:tabs>
    </w:pPr>
    <w:rPr>
      <w:sz w:val="24"/>
    </w:rPr>
  </w:style>
  <w:style w:type="paragraph" w:customStyle="1" w:styleId="102">
    <w:name w:val="UserStyle_39"/>
    <w:basedOn w:val="1"/>
    <w:qFormat/>
    <w:uiPriority w:val="0"/>
    <w:pPr>
      <w:spacing w:line="360" w:lineRule="auto"/>
      <w:jc w:val="left"/>
    </w:pPr>
    <w:rPr>
      <w:rFonts w:ascii="宋体" w:hAnsi="宋体" w:cs="Times New Roman"/>
      <w:b/>
      <w:bCs/>
      <w:sz w:val="24"/>
    </w:rPr>
  </w:style>
  <w:style w:type="paragraph" w:customStyle="1" w:styleId="103">
    <w:name w:val="UserStyle_40"/>
    <w:basedOn w:val="1"/>
    <w:qFormat/>
    <w:uiPriority w:val="0"/>
    <w:pPr>
      <w:spacing w:line="560" w:lineRule="exact"/>
      <w:ind w:firstLine="723" w:firstLineChars="200"/>
      <w:jc w:val="center"/>
    </w:pPr>
    <w:rPr>
      <w:rFonts w:ascii="仿宋_GB2312" w:eastAsia="仿宋_GB2312"/>
      <w:b/>
      <w:sz w:val="36"/>
    </w:rPr>
  </w:style>
  <w:style w:type="paragraph" w:customStyle="1" w:styleId="104">
    <w:name w:val="UserStyle_41"/>
    <w:qFormat/>
    <w:uiPriority w:val="0"/>
    <w:pPr>
      <w:spacing w:after="160" w:line="278" w:lineRule="auto"/>
      <w:textAlignment w:val="baseline"/>
    </w:pPr>
    <w:rPr>
      <w:rFonts w:ascii="宋体" w:hAnsi="宋体" w:eastAsia="宋体" w:cstheme="minorBidi"/>
      <w:sz w:val="24"/>
      <w:szCs w:val="24"/>
      <w:lang w:val="en-US" w:eastAsia="zh-CN" w:bidi="ar-SA"/>
    </w:rPr>
  </w:style>
  <w:style w:type="paragraph" w:customStyle="1" w:styleId="105">
    <w:name w:val="UserStyle_42"/>
    <w:basedOn w:val="1"/>
    <w:qFormat/>
    <w:uiPriority w:val="0"/>
    <w:pPr>
      <w:ind w:firstLine="420" w:firstLineChars="200"/>
      <w:jc w:val="left"/>
    </w:pPr>
    <w:rPr>
      <w:kern w:val="0"/>
      <w:sz w:val="24"/>
    </w:rPr>
  </w:style>
  <w:style w:type="paragraph" w:customStyle="1" w:styleId="106">
    <w:name w:val="UserStyle_43"/>
    <w:basedOn w:val="1"/>
    <w:qFormat/>
    <w:uiPriority w:val="0"/>
    <w:pPr>
      <w:spacing w:before="60" w:after="120" w:line="440" w:lineRule="atLeast"/>
      <w:ind w:firstLine="480"/>
    </w:pPr>
    <w:rPr>
      <w:sz w:val="24"/>
    </w:rPr>
  </w:style>
  <w:style w:type="paragraph" w:customStyle="1" w:styleId="107">
    <w:name w:val="UserStyle_44"/>
    <w:qFormat/>
    <w:uiPriority w:val="0"/>
    <w:pPr>
      <w:spacing w:after="160" w:line="278" w:lineRule="auto"/>
      <w:textAlignment w:val="baseline"/>
    </w:pPr>
    <w:rPr>
      <w:rFonts w:ascii="宋体" w:hAnsi="Times New Roman" w:eastAsia="宋体" w:cstheme="minorBidi"/>
      <w:color w:val="000000"/>
      <w:sz w:val="24"/>
      <w:szCs w:val="24"/>
      <w:lang w:val="en-US" w:eastAsia="zh-CN" w:bidi="ar-SA"/>
    </w:rPr>
  </w:style>
  <w:style w:type="paragraph" w:customStyle="1" w:styleId="108">
    <w:name w:val="UserStyle_45"/>
    <w:basedOn w:val="1"/>
    <w:qFormat/>
    <w:uiPriority w:val="0"/>
    <w:pPr>
      <w:spacing w:line="360" w:lineRule="auto"/>
      <w:ind w:firstLine="200" w:firstLineChars="200"/>
    </w:pPr>
  </w:style>
  <w:style w:type="paragraph" w:customStyle="1" w:styleId="109">
    <w:name w:val="179"/>
    <w:basedOn w:val="1"/>
    <w:qFormat/>
    <w:uiPriority w:val="0"/>
    <w:pPr>
      <w:ind w:firstLine="420" w:firstLineChars="200"/>
    </w:pPr>
  </w:style>
  <w:style w:type="paragraph" w:customStyle="1" w:styleId="110">
    <w:name w:val="UserStyle_46"/>
    <w:qFormat/>
    <w:uiPriority w:val="0"/>
    <w:pPr>
      <w:spacing w:after="160" w:line="300" w:lineRule="auto"/>
      <w:textAlignment w:val="baseline"/>
    </w:pPr>
    <w:rPr>
      <w:rFonts w:ascii="Arial" w:hAnsi="Arial" w:eastAsia="宋体" w:cstheme="minorBidi"/>
      <w:sz w:val="21"/>
      <w:szCs w:val="21"/>
      <w:lang w:val="en-US" w:eastAsia="zh-CN" w:bidi="ar-SA"/>
    </w:rPr>
  </w:style>
  <w:style w:type="paragraph" w:customStyle="1" w:styleId="111">
    <w:name w:val="UserStyle_47"/>
    <w:basedOn w:val="1"/>
    <w:next w:val="110"/>
    <w:qFormat/>
    <w:uiPriority w:val="0"/>
    <w:pPr>
      <w:keepNext/>
      <w:keepLines/>
      <w:numPr>
        <w:ilvl w:val="4"/>
        <w:numId w:val="2"/>
      </w:numPr>
      <w:spacing w:before="280" w:after="156" w:line="377" w:lineRule="auto"/>
      <w:jc w:val="left"/>
    </w:pPr>
    <w:rPr>
      <w:rFonts w:ascii="Arial" w:hAnsi="Arial" w:eastAsia="黑体"/>
      <w:b/>
      <w:sz w:val="24"/>
      <w:szCs w:val="28"/>
    </w:rPr>
  </w:style>
  <w:style w:type="paragraph" w:customStyle="1" w:styleId="112">
    <w:name w:val="UserStyle_48"/>
    <w:basedOn w:val="1"/>
    <w:qFormat/>
    <w:uiPriority w:val="0"/>
    <w:pPr>
      <w:spacing w:before="120" w:after="120" w:line="360" w:lineRule="auto"/>
      <w:jc w:val="center"/>
    </w:pPr>
    <w:rPr>
      <w:rFonts w:eastAsia="仿宋_GB2312"/>
      <w:b/>
      <w:sz w:val="24"/>
    </w:rPr>
  </w:style>
  <w:style w:type="character" w:customStyle="1" w:styleId="113">
    <w:name w:val="font21"/>
    <w:basedOn w:val="28"/>
    <w:qFormat/>
    <w:uiPriority w:val="0"/>
    <w:rPr>
      <w:rFonts w:hint="eastAsia" w:ascii="宋体" w:hAnsi="宋体" w:eastAsia="宋体" w:cs="宋体"/>
      <w:color w:val="000000"/>
      <w:sz w:val="21"/>
      <w:szCs w:val="21"/>
      <w:u w:val="none"/>
    </w:rPr>
  </w:style>
  <w:style w:type="character" w:customStyle="1" w:styleId="114">
    <w:name w:val="font41"/>
    <w:basedOn w:val="28"/>
    <w:qFormat/>
    <w:uiPriority w:val="0"/>
    <w:rPr>
      <w:rFonts w:hint="eastAsia" w:ascii="宋体" w:hAnsi="宋体" w:eastAsia="宋体" w:cs="宋体"/>
      <w:color w:val="000000"/>
      <w:sz w:val="21"/>
      <w:szCs w:val="21"/>
      <w:u w:val="none"/>
    </w:rPr>
  </w:style>
  <w:style w:type="paragraph" w:customStyle="1" w:styleId="115">
    <w:name w:val="正文缩进1"/>
    <w:basedOn w:val="1"/>
    <w:qFormat/>
    <w:uiPriority w:val="0"/>
    <w:pPr>
      <w:autoSpaceDE w:val="0"/>
      <w:autoSpaceDN w:val="0"/>
      <w:adjustRightInd w:val="0"/>
      <w:ind w:firstLine="420"/>
      <w:jc w:val="left"/>
    </w:pPr>
    <w:rPr>
      <w:rFonts w:ascii="宋体"/>
      <w:kern w:val="0"/>
      <w:sz w:val="24"/>
      <w:szCs w:val="20"/>
    </w:rPr>
  </w:style>
  <w:style w:type="paragraph" w:customStyle="1" w:styleId="116">
    <w:name w:val="列出段落1"/>
    <w:basedOn w:val="1"/>
    <w:qFormat/>
    <w:uiPriority w:val="0"/>
    <w:pPr>
      <w:ind w:firstLine="420" w:firstLineChars="200"/>
      <w:jc w:val="left"/>
    </w:pPr>
    <w:rPr>
      <w:kern w:val="0"/>
      <w:sz w:val="24"/>
      <w:szCs w:val="20"/>
    </w:rPr>
  </w:style>
  <w:style w:type="paragraph" w:customStyle="1" w:styleId="117">
    <w:name w:val="一级标题"/>
    <w:basedOn w:val="2"/>
    <w:next w:val="1"/>
    <w:qFormat/>
    <w:uiPriority w:val="0"/>
    <w:pPr>
      <w:spacing w:line="360" w:lineRule="auto"/>
    </w:pPr>
    <w:rPr>
      <w:rFonts w:hAnsi="宋体"/>
      <w:lang w:bidi="ug-CN"/>
    </w:rPr>
  </w:style>
  <w:style w:type="paragraph" w:customStyle="1" w:styleId="118">
    <w:name w:val="图例"/>
    <w:basedOn w:val="1"/>
    <w:qFormat/>
    <w:uiPriority w:val="0"/>
    <w:pPr>
      <w:spacing w:line="360" w:lineRule="auto"/>
      <w:jc w:val="center"/>
    </w:pPr>
    <w:rPr>
      <w:rFonts w:eastAsia="仿宋_GB2312"/>
      <w:b/>
      <w:bCs/>
      <w:sz w:val="24"/>
    </w:rPr>
  </w:style>
  <w:style w:type="paragraph" w:customStyle="1" w:styleId="119">
    <w:name w:val="Char"/>
    <w:basedOn w:val="1"/>
    <w:qFormat/>
    <w:uiPriority w:val="0"/>
    <w:pPr>
      <w:tabs>
        <w:tab w:val="left" w:pos="360"/>
      </w:tabs>
    </w:pPr>
    <w:rPr>
      <w:sz w:val="24"/>
    </w:rPr>
  </w:style>
  <w:style w:type="character" w:customStyle="1" w:styleId="120">
    <w:name w:val="脚注文本 字符"/>
    <w:basedOn w:val="28"/>
    <w:link w:val="20"/>
    <w:qFormat/>
    <w:uiPriority w:val="0"/>
    <w:rPr>
      <w:rFonts w:cstheme="minorBidi"/>
      <w:kern w:val="2"/>
      <w:sz w:val="18"/>
      <w:szCs w:val="24"/>
    </w:rPr>
  </w:style>
  <w:style w:type="paragraph" w:styleId="121">
    <w:name w:val="List Paragraph"/>
    <w:basedOn w:val="1"/>
    <w:unhideWhenUsed/>
    <w:qFormat/>
    <w:uiPriority w:val="99"/>
    <w:pPr>
      <w:ind w:firstLine="420" w:firstLineChars="200"/>
    </w:pPr>
  </w:style>
  <w:style w:type="paragraph" w:customStyle="1" w:styleId="122">
    <w:name w:val="样式 样式 样式 左侧:  2 字符1 + 首行缩进:  2 字符1 + 首行缩进:  2 字符"/>
    <w:basedOn w:val="1"/>
    <w:qFormat/>
    <w:uiPriority w:val="0"/>
    <w:pPr>
      <w:adjustRightInd w:val="0"/>
      <w:spacing w:before="60" w:after="120" w:line="440" w:lineRule="atLeast"/>
      <w:ind w:firstLine="480"/>
    </w:pPr>
    <w:rPr>
      <w:sz w:val="24"/>
    </w:rPr>
  </w:style>
  <w:style w:type="paragraph" w:customStyle="1" w:styleId="123">
    <w:name w:val="正文1"/>
    <w:qFormat/>
    <w:uiPriority w:val="0"/>
    <w:pPr>
      <w:spacing w:after="160" w:line="278" w:lineRule="auto"/>
    </w:pPr>
    <w:rPr>
      <w:rFonts w:ascii="Times New Roman" w:hAnsi="Times New Roman" w:eastAsia="Times New Roman" w:cs="Times New Roman"/>
      <w:sz w:val="24"/>
      <w:szCs w:val="24"/>
      <w:lang w:val="en-US" w:eastAsia="zh-CN" w:bidi="ar-SA"/>
    </w:rPr>
  </w:style>
  <w:style w:type="character" w:customStyle="1" w:styleId="124">
    <w:name w:val="font31"/>
    <w:basedOn w:val="28"/>
    <w:qFormat/>
    <w:uiPriority w:val="0"/>
    <w:rPr>
      <w:rFonts w:hint="eastAsia" w:ascii="宋体" w:hAnsi="宋体" w:eastAsia="宋体" w:cs="宋体"/>
      <w:color w:val="000000"/>
      <w:sz w:val="20"/>
      <w:szCs w:val="20"/>
      <w:u w:val="none"/>
    </w:rPr>
  </w:style>
  <w:style w:type="paragraph" w:customStyle="1" w:styleId="125">
    <w:name w:val="AONormal"/>
    <w:qFormat/>
    <w:uiPriority w:val="0"/>
    <w:pPr>
      <w:autoSpaceDE w:val="0"/>
      <w:autoSpaceDN w:val="0"/>
      <w:adjustRightInd w:val="0"/>
      <w:spacing w:after="160" w:line="400" w:lineRule="exact"/>
      <w:ind w:firstLine="440" w:firstLineChars="200"/>
    </w:pPr>
    <w:rPr>
      <w:rFonts w:ascii="华文楷体" w:hAnsi="华文楷体" w:eastAsia="华文楷体" w:cs="华文楷体"/>
      <w:sz w:val="22"/>
      <w:szCs w:val="21"/>
      <w:lang w:val="en-US" w:eastAsia="zh-CN" w:bidi="ar-SA"/>
    </w:rPr>
  </w:style>
  <w:style w:type="paragraph" w:customStyle="1" w:styleId="126">
    <w:name w:val="Default"/>
    <w:next w:val="1"/>
    <w:qFormat/>
    <w:uiPriority w:val="0"/>
    <w:pPr>
      <w:widowControl w:val="0"/>
      <w:autoSpaceDE w:val="0"/>
      <w:autoSpaceDN w:val="0"/>
      <w:spacing w:after="160" w:line="278" w:lineRule="auto"/>
    </w:pPr>
    <w:rPr>
      <w:rFonts w:ascii="ó×.2" w:hAnsi="Calibri" w:eastAsia="ó×.2" w:cs="ó×.2"/>
      <w:color w:val="000000"/>
      <w:sz w:val="24"/>
      <w:szCs w:val="24"/>
      <w:lang w:val="en-US" w:eastAsia="zh-CN" w:bidi="ar-SA"/>
    </w:rPr>
  </w:style>
  <w:style w:type="character" w:customStyle="1" w:styleId="127">
    <w:name w:val="font11"/>
    <w:basedOn w:val="28"/>
    <w:qFormat/>
    <w:uiPriority w:val="0"/>
    <w:rPr>
      <w:rFonts w:hint="eastAsia" w:ascii="微软雅黑" w:hAnsi="微软雅黑" w:eastAsia="微软雅黑" w:cs="微软雅黑"/>
      <w:color w:val="000000"/>
      <w:sz w:val="20"/>
      <w:szCs w:val="20"/>
      <w:u w:val="none"/>
    </w:rPr>
  </w:style>
  <w:style w:type="paragraph" w:customStyle="1" w:styleId="128">
    <w:name w:val="Revision"/>
    <w:hidden/>
    <w:unhideWhenUsed/>
    <w:qFormat/>
    <w:uiPriority w:val="99"/>
    <w:rPr>
      <w:rFonts w:ascii="Times New Roman" w:hAnsi="Times New Roman" w:eastAsia="宋体" w:cstheme="minorBidi"/>
      <w:kern w:val="2"/>
      <w:sz w:val="21"/>
      <w:szCs w:val="24"/>
      <w:lang w:val="en-US" w:eastAsia="zh-CN" w:bidi="ar-SA"/>
    </w:rPr>
  </w:style>
  <w:style w:type="table" w:customStyle="1" w:styleId="129">
    <w:name w:val="Table Normal"/>
    <w:semiHidden/>
    <w:unhideWhenUsed/>
    <w:qFormat/>
    <w:uiPriority w:val="0"/>
    <w:tblPr>
      <w:tblCellMar>
        <w:top w:w="0" w:type="dxa"/>
        <w:left w:w="0" w:type="dxa"/>
        <w:bottom w:w="0" w:type="dxa"/>
        <w:right w:w="0" w:type="dxa"/>
      </w:tblCellMar>
    </w:tblPr>
  </w:style>
  <w:style w:type="paragraph" w:customStyle="1" w:styleId="130">
    <w:name w:val="样式 标题 6 + 黑色"/>
    <w:basedOn w:val="5"/>
    <w:qFormat/>
    <w:uiPriority w:val="0"/>
    <w:pPr>
      <w:spacing w:before="120" w:after="60"/>
    </w:pPr>
    <w:rPr>
      <w:color w:val="000000"/>
      <w:sz w:val="28"/>
    </w:rPr>
  </w:style>
  <w:style w:type="paragraph" w:customStyle="1" w:styleId="131">
    <w:name w:val="样式5"/>
    <w:basedOn w:val="1"/>
    <w:qFormat/>
    <w:uiPriority w:val="0"/>
    <w:pPr>
      <w:spacing w:line="360" w:lineRule="auto"/>
      <w:ind w:firstLine="200" w:firstLineChars="200"/>
      <w:jc w:val="left"/>
    </w:pPr>
    <w:rPr>
      <w:sz w:val="24"/>
    </w:rPr>
  </w:style>
  <w:style w:type="paragraph" w:customStyle="1" w:styleId="132">
    <w:name w:val="Table Text"/>
    <w:basedOn w:val="1"/>
    <w:semiHidden/>
    <w:qFormat/>
    <w:uiPriority w:val="0"/>
    <w:rPr>
      <w:rFonts w:ascii="仿宋" w:hAnsi="仿宋" w:eastAsia="仿宋" w:cs="仿宋"/>
      <w:sz w:val="24"/>
      <w:szCs w:val="24"/>
      <w:lang w:val="en-US" w:eastAsia="en-US" w:bidi="ar-SA"/>
    </w:rPr>
  </w:style>
  <w:style w:type="paragraph" w:customStyle="1" w:styleId="133">
    <w:name w:val="纯文本11"/>
    <w:basedOn w:val="1"/>
    <w:qFormat/>
    <w:uiPriority w:val="0"/>
    <w:rPr>
      <w:rFonts w:ascii="宋体" w:hAnsi="Courier New"/>
      <w:szCs w:val="20"/>
    </w:rPr>
  </w:style>
  <w:style w:type="paragraph" w:customStyle="1" w:styleId="134">
    <w:name w:val="表格文字"/>
    <w:basedOn w:val="1"/>
    <w:qFormat/>
    <w:uiPriority w:val="0"/>
    <w:pPr>
      <w:spacing w:before="25" w:after="25"/>
      <w:jc w:val="left"/>
    </w:pPr>
    <w:rPr>
      <w:bCs/>
      <w:spacing w:val="10"/>
      <w:kern w:val="0"/>
      <w:sz w:val="24"/>
      <w:szCs w:val="20"/>
    </w:rPr>
  </w:style>
  <w:style w:type="paragraph" w:customStyle="1" w:styleId="135">
    <w:name w:val="页脚1"/>
    <w:basedOn w:val="1"/>
    <w:qFormat/>
    <w:uiPriority w:val="0"/>
    <w:pPr>
      <w:tabs>
        <w:tab w:val="center" w:pos="4153"/>
        <w:tab w:val="right" w:pos="8306"/>
      </w:tabs>
      <w:autoSpaceDE w:val="0"/>
      <w:autoSpaceDN w:val="0"/>
      <w:snapToGrid w:val="0"/>
      <w:jc w:val="left"/>
    </w:pPr>
    <w:rPr>
      <w:rFonts w:ascii="宋体"/>
      <w:kern w:val="0"/>
      <w:sz w:val="18"/>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theme" Target="theme/theme1.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0DA8251-CADF-4279-A975-BD55790A2BEE}">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119</Pages>
  <Words>2314</Words>
  <Characters>2528</Characters>
  <Lines>1</Lines>
  <Paragraphs>1</Paragraphs>
  <TotalTime>86</TotalTime>
  <ScaleCrop>false</ScaleCrop>
  <LinksUpToDate>false</LinksUpToDate>
  <CharactersWithSpaces>2608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2022-07-15T03:48:00Z</dcterms:created>
  <dc:creator>Administrator</dc:creator>
  <cp:lastModifiedBy>Administrator</cp:lastModifiedBy>
  <cp:lastPrinted>2026-02-03T02:56:00Z</cp:lastPrinted>
  <dcterms:modified xsi:type="dcterms:W3CDTF">2026-04-30T10:24:15Z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A108BE60E0F5405991D33049EB2FBABA</vt:lpwstr>
  </property>
  <property fmtid="{D5CDD505-2E9C-101B-9397-08002B2CF9AE}" pid="4" name="KSOTemplateDocerSaveRecord">
    <vt:lpwstr>eyJoZGlkIjoiZjA5ZGI2YzFlYjM3MjNiNWRkNTc3MWNmYTBlY2Y4OTcifQ==</vt:lpwstr>
  </property>
</Properties>
</file>