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rPr>
          <w:rFonts w:hint="eastAsia" w:ascii="仿宋" w:hAnsi="仿宋" w:eastAsia="仿宋" w:cs="仿宋"/>
          <w:highlight w:val="none"/>
        </w:rPr>
      </w:pPr>
      <w:r>
        <w:rPr>
          <w:rFonts w:hint="eastAsia" w:ascii="仿宋" w:hAnsi="仿宋" w:eastAsia="仿宋" w:cs="仿宋"/>
          <w:b/>
          <w:color w:val="000000"/>
          <w:spacing w:val="20"/>
          <w:sz w:val="30"/>
          <w:szCs w:val="30"/>
          <w:highlight w:val="none"/>
        </w:rPr>
        <w:drawing>
          <wp:anchor distT="0" distB="0" distL="114300" distR="114300" simplePos="0" relativeHeight="251661312" behindDoc="0" locked="0" layoutInCell="1" allowOverlap="1">
            <wp:simplePos x="0" y="0"/>
            <wp:positionH relativeFrom="page">
              <wp:posOffset>1160145</wp:posOffset>
            </wp:positionH>
            <wp:positionV relativeFrom="page">
              <wp:posOffset>916940</wp:posOffset>
            </wp:positionV>
            <wp:extent cx="716915" cy="744855"/>
            <wp:effectExtent l="0" t="0" r="6985" b="17145"/>
            <wp:wrapNone/>
            <wp:docPr id="8" name="图片 1" descr="L2SY81WAKC@~0%G}A`S29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2SY81WAKC@~0%G}A`S29U8"/>
                    <pic:cNvPicPr>
                      <a:picLocks noChangeAspect="1"/>
                    </pic:cNvPicPr>
                  </pic:nvPicPr>
                  <pic:blipFill>
                    <a:blip r:embed="rId10"/>
                    <a:stretch>
                      <a:fillRect/>
                    </a:stretch>
                  </pic:blipFill>
                  <pic:spPr>
                    <a:xfrm>
                      <a:off x="0" y="0"/>
                      <a:ext cx="716915" cy="744855"/>
                    </a:xfrm>
                    <a:prstGeom prst="rect">
                      <a:avLst/>
                    </a:prstGeom>
                    <a:noFill/>
                    <a:ln>
                      <a:noFill/>
                    </a:ln>
                  </pic:spPr>
                </pic:pic>
              </a:graphicData>
            </a:graphic>
          </wp:anchor>
        </w:drawing>
      </w:r>
    </w:p>
    <w:p w14:paraId="51DE47A8">
      <w:pPr>
        <w:rPr>
          <w:rFonts w:hint="eastAsia" w:ascii="仿宋" w:hAnsi="仿宋" w:eastAsia="仿宋" w:cs="仿宋"/>
          <w:color w:val="000000"/>
          <w:highlight w:val="none"/>
        </w:rPr>
      </w:pPr>
      <w:bookmarkStart w:id="0" w:name="_Hlk83600134"/>
      <w:bookmarkEnd w:id="0"/>
    </w:p>
    <w:p w14:paraId="686525AA">
      <w:pPr>
        <w:rPr>
          <w:rFonts w:hint="eastAsia" w:ascii="仿宋" w:hAnsi="仿宋" w:eastAsia="仿宋" w:cs="仿宋"/>
          <w:color w:val="000000"/>
          <w:highlight w:val="none"/>
        </w:rPr>
      </w:pPr>
    </w:p>
    <w:p w14:paraId="2FA5254E">
      <w:pPr>
        <w:rPr>
          <w:rFonts w:hint="eastAsia" w:ascii="仿宋" w:hAnsi="仿宋" w:eastAsia="仿宋" w:cs="仿宋"/>
          <w:color w:val="000000"/>
          <w:highlight w:val="none"/>
        </w:rPr>
      </w:pPr>
    </w:p>
    <w:p w14:paraId="765F9427">
      <w:pPr>
        <w:rPr>
          <w:rFonts w:hint="eastAsia" w:ascii="仿宋" w:hAnsi="仿宋" w:eastAsia="仿宋" w:cs="仿宋"/>
          <w:color w:val="000000"/>
          <w:highlight w:val="none"/>
        </w:rPr>
      </w:pPr>
    </w:p>
    <w:p w14:paraId="2E7A2D7D">
      <w:pPr>
        <w:ind w:firstLine="482" w:firstLineChars="200"/>
        <w:rPr>
          <w:rFonts w:hint="eastAsia" w:ascii="仿宋" w:hAnsi="仿宋" w:eastAsia="仿宋" w:cs="仿宋"/>
          <w:b/>
          <w:color w:val="000000"/>
          <w:sz w:val="60"/>
          <w:szCs w:val="22"/>
          <w:highlight w:val="none"/>
        </w:rPr>
      </w:pPr>
      <w:r>
        <w:rPr>
          <w:rFonts w:hint="eastAsia" w:ascii="仿宋" w:hAnsi="仿宋" w:eastAsia="仿宋" w:cs="仿宋"/>
          <w:b/>
          <w:bCs/>
          <w:color w:val="000000"/>
          <w:sz w:val="24"/>
          <w:szCs w:val="22"/>
          <w:highlight w:val="none"/>
          <w:lang w:val="en-US" w:eastAsia="zh-CN"/>
        </w:rPr>
        <w:t>瑞信国际</w:t>
      </w:r>
    </w:p>
    <w:p w14:paraId="2A37987E">
      <w:pPr>
        <w:jc w:val="both"/>
        <w:rPr>
          <w:rFonts w:hint="eastAsia" w:ascii="仿宋" w:hAnsi="仿宋" w:eastAsia="仿宋" w:cs="仿宋"/>
          <w:b/>
          <w:bCs/>
          <w:color w:val="000000"/>
          <w:sz w:val="72"/>
          <w:szCs w:val="60"/>
          <w:highlight w:val="none"/>
        </w:rPr>
      </w:pPr>
      <w:bookmarkStart w:id="1" w:name="_Toc4115"/>
    </w:p>
    <w:p w14:paraId="0DFDDA6B">
      <w:pPr>
        <w:jc w:val="center"/>
        <w:rPr>
          <w:rFonts w:hint="eastAsia" w:ascii="仿宋" w:hAnsi="仿宋" w:eastAsia="仿宋" w:cs="仿宋"/>
          <w:b/>
          <w:bCs/>
          <w:color w:val="000000"/>
          <w:sz w:val="72"/>
          <w:szCs w:val="60"/>
          <w:highlight w:val="none"/>
        </w:rPr>
      </w:pPr>
      <w:r>
        <w:rPr>
          <w:rFonts w:hint="eastAsia" w:ascii="仿宋" w:hAnsi="仿宋" w:eastAsia="仿宋" w:cs="仿宋"/>
          <w:b/>
          <w:bCs/>
          <w:color w:val="000000"/>
          <w:sz w:val="72"/>
          <w:szCs w:val="60"/>
          <w:highlight w:val="none"/>
        </w:rPr>
        <w:t>招</w:t>
      </w:r>
      <w:r>
        <w:rPr>
          <w:rFonts w:hint="eastAsia" w:ascii="仿宋" w:hAnsi="仿宋" w:eastAsia="仿宋" w:cs="仿宋"/>
          <w:b/>
          <w:bCs/>
          <w:color w:val="000000"/>
          <w:sz w:val="72"/>
          <w:szCs w:val="60"/>
          <w:highlight w:val="none"/>
          <w:lang w:val="en-US" w:eastAsia="zh-CN"/>
        </w:rPr>
        <w:t xml:space="preserve"> </w:t>
      </w:r>
      <w:r>
        <w:rPr>
          <w:rFonts w:hint="eastAsia" w:ascii="仿宋" w:hAnsi="仿宋" w:eastAsia="仿宋" w:cs="仿宋"/>
          <w:b/>
          <w:bCs/>
          <w:color w:val="000000"/>
          <w:sz w:val="72"/>
          <w:szCs w:val="60"/>
          <w:highlight w:val="none"/>
        </w:rPr>
        <w:t>标</w:t>
      </w:r>
      <w:r>
        <w:rPr>
          <w:rFonts w:hint="eastAsia" w:ascii="仿宋" w:hAnsi="仿宋" w:eastAsia="仿宋" w:cs="仿宋"/>
          <w:b/>
          <w:bCs/>
          <w:color w:val="000000"/>
          <w:sz w:val="72"/>
          <w:szCs w:val="60"/>
          <w:highlight w:val="none"/>
          <w:lang w:val="en-US" w:eastAsia="zh-CN"/>
        </w:rPr>
        <w:t xml:space="preserve"> </w:t>
      </w:r>
      <w:r>
        <w:rPr>
          <w:rFonts w:hint="eastAsia" w:ascii="仿宋" w:hAnsi="仿宋" w:eastAsia="仿宋" w:cs="仿宋"/>
          <w:b/>
          <w:bCs/>
          <w:color w:val="000000"/>
          <w:sz w:val="72"/>
          <w:szCs w:val="60"/>
          <w:highlight w:val="none"/>
        </w:rPr>
        <w:t>文</w:t>
      </w:r>
      <w:r>
        <w:rPr>
          <w:rFonts w:hint="eastAsia" w:ascii="仿宋" w:hAnsi="仿宋" w:eastAsia="仿宋" w:cs="仿宋"/>
          <w:b/>
          <w:bCs/>
          <w:color w:val="000000"/>
          <w:sz w:val="72"/>
          <w:szCs w:val="60"/>
          <w:highlight w:val="none"/>
          <w:lang w:val="en-US" w:eastAsia="zh-CN"/>
        </w:rPr>
        <w:t xml:space="preserve"> </w:t>
      </w:r>
      <w:r>
        <w:rPr>
          <w:rFonts w:hint="eastAsia" w:ascii="仿宋" w:hAnsi="仿宋" w:eastAsia="仿宋" w:cs="仿宋"/>
          <w:b/>
          <w:bCs/>
          <w:color w:val="000000"/>
          <w:sz w:val="72"/>
          <w:szCs w:val="60"/>
          <w:highlight w:val="none"/>
        </w:rPr>
        <w:t>件</w:t>
      </w:r>
      <w:bookmarkEnd w:id="1"/>
    </w:p>
    <w:p w14:paraId="5495DEFC">
      <w:pPr>
        <w:spacing w:line="360" w:lineRule="auto"/>
        <w:rPr>
          <w:rFonts w:hint="eastAsia" w:ascii="仿宋" w:hAnsi="仿宋" w:eastAsia="仿宋" w:cs="仿宋"/>
          <w:highlight w:val="none"/>
        </w:rPr>
      </w:pPr>
    </w:p>
    <w:p w14:paraId="348E12BA">
      <w:pPr>
        <w:spacing w:line="360" w:lineRule="auto"/>
        <w:rPr>
          <w:rFonts w:hint="eastAsia" w:ascii="仿宋" w:hAnsi="仿宋" w:eastAsia="仿宋" w:cs="仿宋"/>
          <w:highlight w:val="none"/>
        </w:rPr>
      </w:pPr>
    </w:p>
    <w:p w14:paraId="388D93A0">
      <w:pPr>
        <w:spacing w:line="360" w:lineRule="auto"/>
        <w:rPr>
          <w:rFonts w:hint="eastAsia" w:ascii="仿宋" w:hAnsi="仿宋" w:eastAsia="仿宋" w:cs="仿宋"/>
          <w:sz w:val="28"/>
          <w:szCs w:val="28"/>
          <w:highlight w:val="none"/>
        </w:rPr>
      </w:pPr>
    </w:p>
    <w:p w14:paraId="33C0850C">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项目编号：RXGJ-2026-006-CG-4</w:t>
      </w:r>
    </w:p>
    <w:p w14:paraId="507AB14A">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 新疆医科大学附属肿瘤医院第五批卫生类耗材采购项目（四次）</w:t>
      </w:r>
    </w:p>
    <w:p w14:paraId="27628E46">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 购 人（盖章）：</w:t>
      </w:r>
      <w:r>
        <w:rPr>
          <w:rFonts w:hint="eastAsia" w:ascii="仿宋" w:hAnsi="仿宋" w:eastAsia="仿宋" w:cs="仿宋"/>
          <w:sz w:val="28"/>
          <w:szCs w:val="28"/>
          <w:highlight w:val="none"/>
          <w:lang w:eastAsia="zh-CN"/>
        </w:rPr>
        <w:t>新疆医科大学附属肿瘤医院</w:t>
      </w:r>
    </w:p>
    <w:p w14:paraId="3C9EC857">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联系人： </w:t>
      </w:r>
      <w:r>
        <w:rPr>
          <w:rFonts w:hint="eastAsia" w:ascii="仿宋" w:hAnsi="仿宋" w:eastAsia="仿宋" w:cs="仿宋"/>
          <w:sz w:val="28"/>
          <w:szCs w:val="28"/>
          <w:highlight w:val="none"/>
          <w:lang w:val="en-US" w:eastAsia="zh-CN"/>
        </w:rPr>
        <w:t>王老师</w:t>
      </w:r>
    </w:p>
    <w:p w14:paraId="667F3B0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联系方式： 0991-7819055</w:t>
      </w:r>
    </w:p>
    <w:p w14:paraId="6904D60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184785</wp:posOffset>
                </wp:positionV>
                <wp:extent cx="5863590" cy="15240"/>
                <wp:effectExtent l="0" t="6350" r="3810" b="6985"/>
                <wp:wrapNone/>
                <wp:docPr id="9" name="直接连接符 9"/>
                <wp:cNvGraphicFramePr/>
                <a:graphic xmlns:a="http://schemas.openxmlformats.org/drawingml/2006/main">
                  <a:graphicData uri="http://schemas.microsoft.com/office/word/2010/wordprocessingShape">
                    <wps:wsp>
                      <wps:cNvCnPr/>
                      <wps:spPr>
                        <a:xfrm>
                          <a:off x="0" y="0"/>
                          <a:ext cx="5863590" cy="15240"/>
                        </a:xfrm>
                        <a:prstGeom prst="line">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6.95pt;margin-top:14.55pt;height:1.2pt;width:461.7pt;z-index:251659264;mso-width-relative:page;mso-height-relative:page;" filled="f" stroked="t" coordsize="21600,21600" o:gfxdata="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OepW2QAAAAkBAAAPAAAAAAAAAAEAIAAAACIA&#10;AABkcnMvZG93bnJldi54bWxQSwECFAAUAAAACACHTuJAclIieQgCAAAKBAAADgAAAAAAAAABACAA&#10;AAAoAQAAZHJzL2Uyb0RvYy54bWxQSwUGAAAAAAYABgBZAQAAogUAAAAA&#10;">
                <v:fill on="f" focussize="0,0"/>
                <v:stroke weight="1pt" color="#000000 [3213]" miterlimit="8" joinstyle="miter"/>
                <v:imagedata o:title=""/>
                <o:lock v:ext="edit" aspectratio="f"/>
              </v:line>
            </w:pict>
          </mc:Fallback>
        </mc:AlternateContent>
      </w:r>
    </w:p>
    <w:p w14:paraId="58801FA4">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招标代理机构(盖章)：瑞信国际项目管理有限公司</w:t>
      </w:r>
    </w:p>
    <w:p w14:paraId="0438F84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联 系 人：杨玲、陈梅、姚博林、春生</w:t>
      </w:r>
    </w:p>
    <w:p w14:paraId="144196C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话：0991-3750455   13139660103</w:t>
      </w:r>
    </w:p>
    <w:p w14:paraId="3FD52C4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详细地址：乌鲁木齐市沙依巴克区新疆软件园创智大厦A座1506室</w:t>
      </w:r>
    </w:p>
    <w:p w14:paraId="34A23313">
      <w:pPr>
        <w:pStyle w:val="40"/>
        <w:ind w:firstLine="1440"/>
        <w:rPr>
          <w:rFonts w:hint="eastAsia" w:ascii="仿宋" w:hAnsi="仿宋" w:eastAsia="仿宋" w:cs="仿宋"/>
          <w:highlight w:val="none"/>
        </w:rPr>
      </w:pPr>
    </w:p>
    <w:p w14:paraId="4CA9B2D3">
      <w:pPr>
        <w:pStyle w:val="40"/>
        <w:ind w:firstLine="1440"/>
        <w:rPr>
          <w:rFonts w:hint="eastAsia" w:ascii="仿宋" w:hAnsi="仿宋" w:eastAsia="仿宋" w:cs="仿宋"/>
          <w:highlight w:val="none"/>
        </w:rPr>
      </w:pPr>
    </w:p>
    <w:p w14:paraId="34FE92B5">
      <w:pPr>
        <w:pStyle w:val="40"/>
        <w:rPr>
          <w:rFonts w:hint="eastAsia" w:ascii="仿宋" w:hAnsi="仿宋" w:eastAsia="仿宋" w:cs="仿宋"/>
          <w:highlight w:val="none"/>
        </w:rPr>
      </w:pPr>
    </w:p>
    <w:p w14:paraId="02053B40">
      <w:pPr>
        <w:adjustRightInd w:val="0"/>
        <w:snapToGrid w:val="0"/>
        <w:spacing w:line="740" w:lineRule="exact"/>
        <w:jc w:val="center"/>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日    期：202</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05</w:t>
      </w:r>
      <w:r>
        <w:rPr>
          <w:rFonts w:hint="eastAsia" w:ascii="仿宋" w:hAnsi="仿宋" w:eastAsia="仿宋" w:cs="仿宋"/>
          <w:color w:val="000000"/>
          <w:sz w:val="32"/>
          <w:szCs w:val="32"/>
          <w:highlight w:val="none"/>
        </w:rPr>
        <w:t>月</w:t>
      </w:r>
    </w:p>
    <w:p w14:paraId="62F5A7FB">
      <w:pPr>
        <w:pStyle w:val="40"/>
        <w:ind w:firstLine="1440"/>
        <w:rPr>
          <w:rFonts w:hint="eastAsia" w:ascii="仿宋" w:hAnsi="仿宋" w:eastAsia="仿宋" w:cs="仿宋"/>
          <w:highlight w:val="none"/>
        </w:rPr>
        <w:sectPr>
          <w:headerReference r:id="rId3" w:type="default"/>
          <w:pgSz w:w="11906" w:h="16838"/>
          <w:pgMar w:top="1134" w:right="1417" w:bottom="1134" w:left="1417" w:header="567" w:footer="567" w:gutter="0"/>
          <w:cols w:space="0" w:num="1"/>
          <w:docGrid w:type="lines" w:linePitch="312" w:charSpace="0"/>
        </w:sectPr>
      </w:pPr>
    </w:p>
    <w:p w14:paraId="2C74BBD0">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 xml:space="preserve">  录</w:t>
      </w:r>
    </w:p>
    <w:p w14:paraId="3B550376">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highlight w:val="none"/>
        </w:rPr>
      </w:pPr>
    </w:p>
    <w:p w14:paraId="4992F9F7">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TOC \o "1-2" \h \u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_Toc4647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第一章 招标公告</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_Toc4647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- 1 -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4F1287A5">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_Toc5028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第二章 投标人须知</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_Toc5028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- 4 -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7CA832F5">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_Toc28263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第三章 采购需求</w:t>
      </w:r>
      <w:bookmarkStart w:id="448" w:name="_GoBack"/>
      <w:bookmarkEnd w:id="448"/>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_Toc28263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- 37 -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3776D6EC">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_Toc18577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第四章 资格审查</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_Toc18577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- 39 -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022D8A94">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_Toc11221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第五章 评标方法及标准(综合评分法)</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_Toc11221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- 41 -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0B95589E">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_Toc16332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lang w:val="zh-CN"/>
        </w:rPr>
        <w:t>第六章 合同草案</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_Toc16332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- 53 -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143D75E7">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_Toc4092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第七章 投标文件格式</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_Toc4092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- 60 -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3C1F7B1A">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_Toc6071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资格证明文件</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_Toc6071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- 61 -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76F1A792">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_Toc32571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报价文件</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_Toc32571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- 84 -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3721BF6B">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_Toc26592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商务技术文件</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_Toc26592 \h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- 90 -</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14:paraId="502064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highlight w:val="none"/>
        </w:rPr>
      </w:pPr>
      <w:r>
        <w:rPr>
          <w:rFonts w:hint="eastAsia" w:ascii="仿宋" w:hAnsi="仿宋" w:eastAsia="仿宋" w:cs="仿宋"/>
          <w:b w:val="0"/>
          <w:bCs w:val="0"/>
          <w:sz w:val="28"/>
          <w:szCs w:val="28"/>
          <w:highlight w:val="none"/>
        </w:rPr>
        <w:fldChar w:fldCharType="end"/>
      </w:r>
    </w:p>
    <w:p w14:paraId="3E6543AB">
      <w:pPr>
        <w:rPr>
          <w:rFonts w:hint="eastAsia" w:ascii="仿宋" w:hAnsi="仿宋" w:eastAsia="仿宋" w:cs="仿宋"/>
          <w:highlight w:val="none"/>
        </w:rPr>
        <w:sectPr>
          <w:pgSz w:w="11906" w:h="16838"/>
          <w:pgMar w:top="1134" w:right="1417" w:bottom="1134" w:left="1417" w:header="567" w:footer="567" w:gutter="0"/>
          <w:cols w:space="425" w:num="1"/>
          <w:docGrid w:type="lines" w:linePitch="312" w:charSpace="0"/>
        </w:sectPr>
      </w:pPr>
    </w:p>
    <w:p w14:paraId="76A47F6A">
      <w:pPr>
        <w:pStyle w:val="2"/>
        <w:rPr>
          <w:rFonts w:hint="eastAsia" w:ascii="仿宋" w:hAnsi="仿宋" w:eastAsia="仿宋" w:cs="仿宋"/>
          <w:highlight w:val="none"/>
        </w:rPr>
      </w:pPr>
      <w:bookmarkStart w:id="2" w:name="_Toc155185859"/>
      <w:bookmarkStart w:id="3" w:name="_Toc163492811"/>
      <w:bookmarkStart w:id="4" w:name="_Toc4647"/>
      <w:r>
        <w:rPr>
          <w:rFonts w:hint="eastAsia" w:ascii="仿宋" w:hAnsi="仿宋" w:eastAsia="仿宋" w:cs="仿宋"/>
          <w:highlight w:val="none"/>
        </w:rPr>
        <w:t xml:space="preserve">第一章 </w:t>
      </w:r>
      <w:bookmarkEnd w:id="2"/>
      <w:bookmarkEnd w:id="3"/>
      <w:bookmarkStart w:id="5" w:name="_Hlk130458318"/>
      <w:r>
        <w:rPr>
          <w:rFonts w:hint="eastAsia" w:ascii="仿宋" w:hAnsi="仿宋" w:eastAsia="仿宋" w:cs="仿宋"/>
          <w:highlight w:val="none"/>
        </w:rPr>
        <w:t>招标公告</w:t>
      </w:r>
      <w:bookmarkEnd w:id="4"/>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9680" w:type="dxa"/>
            <w:vAlign w:val="top"/>
          </w:tcPr>
          <w:p w14:paraId="41F5F05A">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rPr>
            </w:pPr>
            <w:bookmarkStart w:id="6" w:name="_Toc1203"/>
            <w:bookmarkStart w:id="7" w:name="_Toc140132745"/>
            <w:bookmarkStart w:id="8" w:name="_Toc109899829"/>
            <w:bookmarkStart w:id="9" w:name="_Toc155185860"/>
            <w:bookmarkStart w:id="10" w:name="_Toc35393798"/>
            <w:bookmarkStart w:id="11" w:name="_Toc28359089"/>
            <w:bookmarkStart w:id="12" w:name="_Toc35393629"/>
            <w:bookmarkStart w:id="13" w:name="_Toc44583628"/>
            <w:bookmarkStart w:id="14" w:name="_Toc163492812"/>
            <w:bookmarkStart w:id="15" w:name="_Toc109900248"/>
            <w:bookmarkStart w:id="16" w:name="_Toc109899410"/>
            <w:bookmarkStart w:id="17" w:name="_Toc28359012"/>
            <w:r>
              <w:rPr>
                <w:rFonts w:hint="eastAsia" w:ascii="仿宋" w:hAnsi="仿宋" w:eastAsia="仿宋" w:cs="仿宋"/>
                <w:highlight w:val="none"/>
              </w:rPr>
              <w:t>项目概况：</w:t>
            </w:r>
            <w:bookmarkEnd w:id="6"/>
          </w:p>
          <w:p w14:paraId="5ACE32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sz w:val="24"/>
                <w:szCs w:val="24"/>
                <w:highlight w:val="none"/>
                <w:shd w:val="clear" w:color="auto" w:fill="FFFFFF" w:themeFill="background1"/>
                <w:lang w:val="hr-HR"/>
              </w:rPr>
              <w:t xml:space="preserve"> </w:t>
            </w:r>
            <w:r>
              <w:rPr>
                <w:rStyle w:val="36"/>
                <w:rFonts w:hint="eastAsia" w:ascii="仿宋" w:hAnsi="仿宋" w:eastAsia="仿宋" w:cs="仿宋"/>
                <w:b w:val="0"/>
                <w:color w:val="000000"/>
                <w:sz w:val="24"/>
                <w:szCs w:val="24"/>
                <w:highlight w:val="none"/>
                <w:u w:val="single"/>
              </w:rPr>
              <w:t>新疆医科大学附属肿瘤医院第五批卫生类耗材采购项目（四次）</w:t>
            </w:r>
            <w:r>
              <w:rPr>
                <w:rStyle w:val="36"/>
                <w:rFonts w:hint="eastAsia" w:ascii="仿宋" w:hAnsi="仿宋" w:eastAsia="仿宋" w:cs="仿宋"/>
                <w:b w:val="0"/>
                <w:color w:val="000000"/>
                <w:sz w:val="24"/>
                <w:szCs w:val="24"/>
                <w:highlight w:val="none"/>
              </w:rPr>
              <w:t>的潜在投标人应登录新疆政府采购云平台https://www.zcygov.cn/在线申请获取采购文件，并于2026</w:t>
            </w:r>
            <w:r>
              <w:rPr>
                <w:rStyle w:val="36"/>
                <w:rFonts w:hint="eastAsia" w:ascii="仿宋" w:hAnsi="仿宋" w:eastAsia="仿宋" w:cs="仿宋"/>
                <w:b w:val="0"/>
                <w:color w:val="000000"/>
                <w:sz w:val="24"/>
                <w:szCs w:val="24"/>
                <w:highlight w:val="none"/>
              </w:rPr>
              <w:t>年06月15日11：00</w:t>
            </w:r>
            <w:r>
              <w:rPr>
                <w:rStyle w:val="36"/>
                <w:rFonts w:hint="eastAsia" w:ascii="仿宋" w:hAnsi="仿宋" w:eastAsia="仿宋" w:cs="仿宋"/>
                <w:b w:val="0"/>
                <w:color w:val="000000"/>
                <w:sz w:val="24"/>
                <w:szCs w:val="24"/>
                <w:highlight w:val="none"/>
              </w:rPr>
              <w:t xml:space="preserve">（北京时间）前递交投标文件。 </w:t>
            </w:r>
          </w:p>
        </w:tc>
      </w:tr>
    </w:tbl>
    <w:p w14:paraId="64E07F91">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18" w:name="_Toc11065"/>
      <w:bookmarkStart w:id="19" w:name="_Toc4515"/>
      <w:bookmarkStart w:id="20" w:name="_Toc27682"/>
      <w:bookmarkStart w:id="21" w:name="_Toc16486"/>
      <w:bookmarkStart w:id="22" w:name="_Toc2335"/>
      <w:r>
        <w:rPr>
          <w:rFonts w:hint="eastAsia" w:ascii="仿宋" w:hAnsi="仿宋" w:eastAsia="仿宋" w:cs="仿宋"/>
          <w:highlight w:val="none"/>
          <w:lang w:val="hr-HR"/>
        </w:rPr>
        <w:t>一、项目基本情况</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7F773B7">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highlight w:val="none"/>
        </w:rPr>
      </w:pPr>
      <w:r>
        <w:rPr>
          <w:rFonts w:hint="eastAsia" w:ascii="仿宋" w:hAnsi="仿宋" w:eastAsia="仿宋" w:cs="仿宋"/>
          <w:highlight w:val="none"/>
          <w:lang w:val="hr-HR"/>
        </w:rPr>
        <w:t>1.</w:t>
      </w:r>
      <w:r>
        <w:rPr>
          <w:rFonts w:hint="eastAsia" w:ascii="仿宋" w:hAnsi="仿宋" w:eastAsia="仿宋" w:cs="仿宋"/>
          <w:highlight w:val="none"/>
          <w:lang w:val="hr-HR" w:eastAsia="zh-CN"/>
        </w:rPr>
        <w:t>项目编号：RXGJ-2026-006-CG-4</w:t>
      </w:r>
      <w:r>
        <w:rPr>
          <w:rFonts w:hint="eastAsia" w:ascii="仿宋" w:hAnsi="仿宋" w:eastAsia="仿宋" w:cs="仿宋"/>
          <w:highlight w:val="none"/>
        </w:rPr>
        <w:t xml:space="preserve">                         </w:t>
      </w:r>
      <w:r>
        <w:rPr>
          <w:rFonts w:hint="eastAsia" w:ascii="仿宋" w:hAnsi="仿宋" w:eastAsia="仿宋" w:cs="仿宋"/>
          <w:highlight w:val="none"/>
          <w:lang w:val="hr-HR"/>
        </w:rPr>
        <w:t xml:space="preserve"> </w:t>
      </w:r>
    </w:p>
    <w:p w14:paraId="578E860B">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highlight w:val="none"/>
          <w:lang w:val="hr-HR"/>
        </w:rPr>
      </w:pPr>
      <w:r>
        <w:rPr>
          <w:rFonts w:hint="eastAsia" w:ascii="仿宋" w:hAnsi="仿宋" w:eastAsia="仿宋" w:cs="仿宋"/>
          <w:highlight w:val="none"/>
          <w:lang w:val="en-US"/>
        </w:rPr>
        <w:t>2</w:t>
      </w:r>
      <w:r>
        <w:rPr>
          <w:rFonts w:hint="eastAsia" w:ascii="仿宋" w:hAnsi="仿宋" w:eastAsia="仿宋" w:cs="仿宋"/>
          <w:highlight w:val="none"/>
          <w:lang w:val="hr-HR"/>
        </w:rPr>
        <w:t>.项目名称：</w:t>
      </w:r>
      <w:r>
        <w:rPr>
          <w:rFonts w:hint="eastAsia" w:ascii="仿宋" w:hAnsi="仿宋" w:eastAsia="仿宋" w:cs="仿宋"/>
          <w:highlight w:val="none"/>
          <w:lang w:eastAsia="zh-CN"/>
        </w:rPr>
        <w:t>新疆医科大学附属肿瘤医院第五批卫生类耗材采购项目（四次）</w:t>
      </w:r>
    </w:p>
    <w:p w14:paraId="21A8F99D">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highlight w:val="none"/>
          <w:lang w:val="hr-HR"/>
        </w:rPr>
      </w:pPr>
      <w:r>
        <w:rPr>
          <w:rFonts w:hint="eastAsia" w:ascii="仿宋" w:hAnsi="仿宋" w:eastAsia="仿宋" w:cs="仿宋"/>
          <w:highlight w:val="none"/>
          <w:lang w:val="en-US"/>
        </w:rPr>
        <w:t>3</w:t>
      </w:r>
      <w:r>
        <w:rPr>
          <w:rFonts w:hint="eastAsia" w:ascii="仿宋" w:hAnsi="仿宋" w:eastAsia="仿宋" w:cs="仿宋"/>
          <w:highlight w:val="none"/>
        </w:rPr>
        <w:t>.采购方式：公开招标</w:t>
      </w:r>
    </w:p>
    <w:p w14:paraId="1F02A817">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highlight w:val="none"/>
          <w:lang w:eastAsia="zh-CN"/>
        </w:rPr>
      </w:pPr>
      <w:r>
        <w:rPr>
          <w:rFonts w:hint="eastAsia" w:ascii="仿宋" w:hAnsi="仿宋" w:eastAsia="仿宋" w:cs="仿宋"/>
          <w:highlight w:val="none"/>
          <w:lang w:val="en-US"/>
        </w:rPr>
        <w:t>4</w:t>
      </w:r>
      <w:r>
        <w:rPr>
          <w:rFonts w:hint="eastAsia" w:ascii="仿宋" w:hAnsi="仿宋" w:eastAsia="仿宋" w:cs="仿宋"/>
          <w:highlight w:val="none"/>
        </w:rPr>
        <w:t>.</w:t>
      </w:r>
      <w:r>
        <w:rPr>
          <w:rFonts w:hint="eastAsia" w:ascii="仿宋" w:hAnsi="仿宋" w:eastAsia="仿宋" w:cs="仿宋"/>
          <w:highlight w:val="none"/>
          <w:lang w:val="en-US"/>
        </w:rPr>
        <w:t>项目</w:t>
      </w:r>
      <w:r>
        <w:rPr>
          <w:rFonts w:hint="eastAsia" w:ascii="仿宋" w:hAnsi="仿宋" w:eastAsia="仿宋" w:cs="仿宋"/>
          <w:highlight w:val="none"/>
        </w:rPr>
        <w:t>预算金额：</w:t>
      </w:r>
      <w:r>
        <w:rPr>
          <w:rFonts w:hint="eastAsia" w:ascii="仿宋" w:hAnsi="仿宋" w:eastAsia="仿宋" w:cs="仿宋"/>
          <w:highlight w:val="none"/>
          <w:u w:val="single"/>
          <w:lang w:eastAsia="zh-CN"/>
        </w:rPr>
        <w:t xml:space="preserve"> 81840.00元</w:t>
      </w:r>
    </w:p>
    <w:p w14:paraId="0D80A6E3">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highlight w:val="none"/>
          <w:lang w:val="hr-HR" w:eastAsia="zh-CN"/>
        </w:rPr>
      </w:pPr>
      <w:r>
        <w:rPr>
          <w:rFonts w:hint="eastAsia" w:ascii="仿宋" w:hAnsi="仿宋" w:eastAsia="仿宋" w:cs="仿宋"/>
          <w:highlight w:val="none"/>
          <w:lang w:val="en-US"/>
        </w:rPr>
        <w:t>5</w:t>
      </w:r>
      <w:r>
        <w:rPr>
          <w:rFonts w:hint="eastAsia" w:ascii="仿宋" w:hAnsi="仿宋" w:eastAsia="仿宋" w:cs="仿宋"/>
          <w:highlight w:val="none"/>
          <w:lang w:val="hr-HR"/>
        </w:rPr>
        <w:t>.</w:t>
      </w:r>
      <w:r>
        <w:rPr>
          <w:rFonts w:hint="eastAsia" w:ascii="仿宋" w:hAnsi="仿宋" w:eastAsia="仿宋" w:cs="仿宋"/>
          <w:highlight w:val="none"/>
        </w:rPr>
        <w:t>最高限价</w:t>
      </w:r>
      <w:r>
        <w:rPr>
          <w:rFonts w:hint="eastAsia" w:ascii="仿宋" w:hAnsi="仿宋" w:eastAsia="仿宋" w:cs="仿宋"/>
          <w:highlight w:val="none"/>
          <w:lang w:val="en-US"/>
        </w:rPr>
        <w:t xml:space="preserve"> </w:t>
      </w:r>
      <w:r>
        <w:rPr>
          <w:rFonts w:hint="eastAsia" w:ascii="仿宋" w:hAnsi="仿宋" w:eastAsia="仿宋" w:cs="仿宋"/>
          <w:highlight w:val="none"/>
          <w:lang w:val="hr-HR"/>
        </w:rPr>
        <w:t>：</w:t>
      </w:r>
      <w:r>
        <w:rPr>
          <w:rFonts w:hint="eastAsia" w:ascii="仿宋" w:hAnsi="仿宋" w:eastAsia="仿宋" w:cs="仿宋"/>
          <w:highlight w:val="none"/>
          <w:u w:val="none"/>
          <w:lang w:val="en-US" w:eastAsia="zh-CN"/>
        </w:rPr>
        <w:t>/</w:t>
      </w:r>
    </w:p>
    <w:p w14:paraId="79A0A11D">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highlight w:val="none"/>
          <w:lang w:val="en-US"/>
        </w:rPr>
      </w:pPr>
      <w:r>
        <w:rPr>
          <w:rFonts w:hint="eastAsia" w:ascii="仿宋" w:hAnsi="仿宋" w:eastAsia="仿宋" w:cs="仿宋"/>
          <w:highlight w:val="none"/>
          <w:lang w:val="en-US"/>
        </w:rPr>
        <w:t>6</w:t>
      </w:r>
      <w:r>
        <w:rPr>
          <w:rFonts w:hint="eastAsia" w:ascii="仿宋" w:hAnsi="仿宋" w:eastAsia="仿宋" w:cs="仿宋"/>
          <w:highlight w:val="none"/>
        </w:rPr>
        <w:t>.采购需求：</w:t>
      </w:r>
      <w:r>
        <w:rPr>
          <w:rFonts w:hint="eastAsia" w:ascii="仿宋" w:hAnsi="仿宋" w:eastAsia="仿宋" w:cs="仿宋"/>
          <w:highlight w:val="none"/>
          <w:u w:val="single"/>
        </w:rPr>
        <w:t>加厚型病理标本袋等5项</w:t>
      </w:r>
      <w:r>
        <w:rPr>
          <w:rFonts w:hint="eastAsia" w:ascii="仿宋" w:hAnsi="仿宋" w:eastAsia="仿宋" w:cs="仿宋"/>
          <w:highlight w:val="none"/>
        </w:rPr>
        <w:t>，具体内容详见招标文件</w:t>
      </w:r>
      <w:r>
        <w:rPr>
          <w:rFonts w:hint="eastAsia" w:ascii="仿宋" w:hAnsi="仿宋" w:eastAsia="仿宋" w:cs="仿宋"/>
          <w:color w:val="auto"/>
          <w:sz w:val="24"/>
          <w:highlight w:val="none"/>
          <w:lang w:val="en-US" w:eastAsia="zh-CN"/>
        </w:rPr>
        <w:t>。</w:t>
      </w:r>
      <w:r>
        <w:rPr>
          <w:rFonts w:hint="eastAsia" w:ascii="仿宋" w:hAnsi="仿宋" w:eastAsia="仿宋" w:cs="仿宋"/>
          <w:highlight w:val="none"/>
        </w:rPr>
        <w:t xml:space="preserve">     </w:t>
      </w:r>
    </w:p>
    <w:p w14:paraId="7ADF13F8">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7.合同履行期限：合同签订后二年。合同一年一签，在财政预算保障同时年度考核合格的前提下逐年签订合同。</w:t>
      </w:r>
    </w:p>
    <w:p w14:paraId="23B6C50A">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供货期：</w:t>
      </w:r>
      <w:r>
        <w:rPr>
          <w:rFonts w:hint="eastAsia" w:ascii="仿宋" w:hAnsi="仿宋" w:eastAsia="仿宋" w:cs="仿宋"/>
          <w:color w:val="auto"/>
          <w:kern w:val="0"/>
          <w:sz w:val="24"/>
          <w:highlight w:val="none"/>
        </w:rPr>
        <w:t>接甲方通知，规定时间内送货</w:t>
      </w:r>
    </w:p>
    <w:p w14:paraId="571DB2E0">
      <w:pPr>
        <w:pStyle w:val="41"/>
        <w:keepNext w:val="0"/>
        <w:keepLines w:val="0"/>
        <w:pageBreakBefore w:val="0"/>
        <w:widowControl/>
        <w:kinsoku/>
        <w:wordWrap w:val="0"/>
        <w:overflowPunct/>
        <w:topLinePunct w:val="0"/>
        <w:autoSpaceDE/>
        <w:autoSpaceDN/>
        <w:bidi w:val="0"/>
        <w:adjustRightInd/>
        <w:snapToGrid/>
        <w:spacing w:line="400" w:lineRule="exact"/>
        <w:ind w:firstLine="204" w:firstLineChars="85"/>
        <w:textAlignment w:val="auto"/>
        <w:rPr>
          <w:rFonts w:hint="eastAsia" w:ascii="仿宋" w:hAnsi="仿宋" w:eastAsia="仿宋" w:cs="仿宋"/>
          <w:color w:val="auto"/>
          <w:sz w:val="24"/>
          <w:highlight w:val="none"/>
          <w:lang w:val="en-US" w:eastAsia="zh-CN"/>
        </w:rPr>
      </w:pPr>
      <w:bookmarkStart w:id="23" w:name="_Toc28359013"/>
      <w:bookmarkStart w:id="24" w:name="_Toc28359090"/>
      <w:bookmarkStart w:id="25" w:name="_Toc35393630"/>
      <w:bookmarkStart w:id="26" w:name="_Toc35393799"/>
      <w:bookmarkStart w:id="27" w:name="_Toc44583629"/>
      <w:r>
        <w:rPr>
          <w:rFonts w:hint="eastAsia" w:ascii="仿宋" w:hAnsi="仿宋" w:eastAsia="仿宋" w:cs="仿宋"/>
          <w:color w:val="auto"/>
          <w:sz w:val="24"/>
          <w:highlight w:val="none"/>
          <w:lang w:val="en-US" w:eastAsia="zh-CN"/>
        </w:rPr>
        <w:t>8.</w:t>
      </w:r>
      <w:bookmarkStart w:id="28" w:name="_Hlk162011358"/>
      <w:r>
        <w:rPr>
          <w:rFonts w:hint="eastAsia" w:ascii="仿宋" w:hAnsi="仿宋" w:eastAsia="仿宋" w:cs="仿宋"/>
          <w:color w:val="auto"/>
          <w:sz w:val="24"/>
          <w:highlight w:val="none"/>
          <w:lang w:val="en-US" w:eastAsia="zh-CN"/>
        </w:rPr>
        <w:t>本项目是否接受联合体投标：□是</w:t>
      </w:r>
      <w:bookmarkEnd w:id="28"/>
      <w:r>
        <w:rPr>
          <w:rFonts w:hint="eastAsia" w:ascii="仿宋" w:hAnsi="仿宋" w:eastAsia="仿宋" w:cs="仿宋"/>
          <w:color w:val="auto"/>
          <w:sz w:val="24"/>
          <w:highlight w:val="none"/>
          <w:lang w:val="en-US" w:eastAsia="zh-CN"/>
        </w:rPr>
        <w:t xml:space="preserve">   ☑否</w:t>
      </w:r>
    </w:p>
    <w:p w14:paraId="55251A61">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29" w:name="_Toc27911"/>
      <w:bookmarkStart w:id="30" w:name="_Toc140132746"/>
      <w:bookmarkStart w:id="31" w:name="_Toc10801"/>
      <w:bookmarkStart w:id="32" w:name="_Toc883"/>
      <w:bookmarkStart w:id="33" w:name="_Toc109900249"/>
      <w:bookmarkStart w:id="34" w:name="_Toc31159"/>
      <w:bookmarkStart w:id="35" w:name="_Toc163492813"/>
      <w:bookmarkStart w:id="36" w:name="_Toc30635"/>
      <w:bookmarkStart w:id="37" w:name="_Toc109899830"/>
      <w:bookmarkStart w:id="38" w:name="_Toc155185861"/>
      <w:bookmarkStart w:id="39" w:name="_Toc109899411"/>
      <w:r>
        <w:rPr>
          <w:rFonts w:hint="eastAsia" w:ascii="仿宋" w:hAnsi="仿宋" w:eastAsia="仿宋" w:cs="仿宋"/>
          <w:highlight w:val="none"/>
          <w:lang w:val="hr-HR"/>
        </w:rPr>
        <w:t>二、申请人的资格要求</w:t>
      </w:r>
      <w:bookmarkEnd w:id="23"/>
      <w:bookmarkEnd w:id="24"/>
      <w:bookmarkEnd w:id="25"/>
      <w:bookmarkEnd w:id="26"/>
      <w:bookmarkEnd w:id="27"/>
      <w:bookmarkEnd w:id="29"/>
      <w:bookmarkEnd w:id="30"/>
      <w:bookmarkEnd w:id="31"/>
      <w:bookmarkEnd w:id="32"/>
      <w:bookmarkEnd w:id="33"/>
      <w:bookmarkEnd w:id="34"/>
      <w:bookmarkEnd w:id="35"/>
      <w:bookmarkEnd w:id="36"/>
      <w:bookmarkEnd w:id="37"/>
      <w:bookmarkEnd w:id="38"/>
      <w:bookmarkEnd w:id="39"/>
    </w:p>
    <w:p w14:paraId="05FADDDC">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bookmarkStart w:id="40" w:name="_Toc28359091"/>
      <w:bookmarkStart w:id="41" w:name="_Toc35393800"/>
      <w:bookmarkStart w:id="42" w:name="_Toc35393631"/>
      <w:bookmarkStart w:id="43" w:name="_Toc28359014"/>
      <w:bookmarkStart w:id="44" w:name="_Toc44583630"/>
      <w:r>
        <w:rPr>
          <w:rFonts w:hint="eastAsia" w:ascii="仿宋" w:hAnsi="仿宋" w:eastAsia="仿宋" w:cs="仿宋"/>
          <w:highlight w:val="none"/>
        </w:rPr>
        <w:t>1.满足《中华人民共和国政府采购法》第二十二条规定；</w:t>
      </w:r>
    </w:p>
    <w:p w14:paraId="163B8379">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2.落实政府采购政策需满足的资格要求：</w:t>
      </w:r>
      <w:r>
        <w:rPr>
          <w:rFonts w:hint="eastAsia" w:ascii="仿宋" w:hAnsi="仿宋" w:eastAsia="仿宋" w:cs="仿宋"/>
          <w:highlight w:val="none"/>
          <w:lang w:eastAsia="zh-CN"/>
        </w:rPr>
        <w:t>本项目属于专门面向中小企业采购项目。</w:t>
      </w:r>
    </w:p>
    <w:p w14:paraId="0F898118">
      <w:pPr>
        <w:pStyle w:val="41"/>
        <w:keepNext w:val="0"/>
        <w:keepLines w:val="0"/>
        <w:pageBreakBefore w:val="0"/>
        <w:widowControl/>
        <w:kinsoku/>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 其他资格要求：</w:t>
      </w:r>
    </w:p>
    <w:p w14:paraId="62B9E261">
      <w:pPr>
        <w:pStyle w:val="41"/>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rPr>
        <w:t>（1）</w:t>
      </w:r>
      <w:r>
        <w:rPr>
          <w:rFonts w:hint="eastAsia" w:ascii="仿宋" w:hAnsi="仿宋" w:eastAsia="仿宋" w:cs="仿宋"/>
          <w:highlight w:val="none"/>
        </w:rPr>
        <w:t>法定代表人或</w:t>
      </w:r>
      <w:r>
        <w:rPr>
          <w:rFonts w:hint="eastAsia" w:ascii="仿宋" w:hAnsi="仿宋" w:eastAsia="仿宋" w:cs="仿宋"/>
          <w:highlight w:val="none"/>
          <w:lang w:val="en-US"/>
        </w:rPr>
        <w:t>单位</w:t>
      </w:r>
      <w:r>
        <w:rPr>
          <w:rFonts w:hint="eastAsia" w:ascii="仿宋" w:hAnsi="仿宋" w:eastAsia="仿宋" w:cs="仿宋"/>
          <w:highlight w:val="none"/>
        </w:rPr>
        <w:t>负责人为同一人或者存在</w:t>
      </w:r>
      <w:r>
        <w:rPr>
          <w:rFonts w:hint="eastAsia" w:ascii="仿宋" w:hAnsi="仿宋" w:eastAsia="仿宋" w:cs="仿宋"/>
          <w:highlight w:val="none"/>
          <w:lang w:val="en-US"/>
        </w:rPr>
        <w:t>直接</w:t>
      </w:r>
      <w:r>
        <w:rPr>
          <w:rFonts w:hint="eastAsia" w:ascii="仿宋" w:hAnsi="仿宋" w:eastAsia="仿宋" w:cs="仿宋"/>
          <w:highlight w:val="none"/>
        </w:rPr>
        <w:t>控股、管理关系的</w:t>
      </w:r>
      <w:r>
        <w:rPr>
          <w:rFonts w:hint="eastAsia" w:ascii="仿宋" w:hAnsi="仿宋" w:eastAsia="仿宋" w:cs="仿宋"/>
          <w:highlight w:val="none"/>
          <w:lang w:val="en-US"/>
        </w:rPr>
        <w:t>不同供应商</w:t>
      </w:r>
      <w:r>
        <w:rPr>
          <w:rFonts w:hint="eastAsia" w:ascii="仿宋" w:hAnsi="仿宋" w:eastAsia="仿宋" w:cs="仿宋"/>
          <w:highlight w:val="none"/>
        </w:rPr>
        <w:t>，不得参加同一合同项下的政府采购活动。</w:t>
      </w:r>
    </w:p>
    <w:p w14:paraId="7DC68C78">
      <w:pPr>
        <w:pStyle w:val="41"/>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lang w:val="en-US"/>
        </w:rPr>
        <w:t>（2）</w:t>
      </w:r>
      <w:r>
        <w:rPr>
          <w:rFonts w:hint="eastAsia" w:ascii="仿宋" w:hAnsi="仿宋" w:eastAsia="仿宋" w:cs="仿宋"/>
          <w:highlight w:val="none"/>
        </w:rPr>
        <w:t>除单一来源采购项目外，为采购项目提供整体设计、规范编制或者项目管理、监理、检测等服务的供应商，不得再参加该采购项目的其他采购活动。</w:t>
      </w:r>
    </w:p>
    <w:p w14:paraId="497703E0">
      <w:pPr>
        <w:pStyle w:val="41"/>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lang w:val="hr-HR"/>
        </w:rPr>
        <w:t>（</w:t>
      </w:r>
      <w:r>
        <w:rPr>
          <w:rFonts w:hint="eastAsia" w:ascii="仿宋" w:hAnsi="仿宋" w:eastAsia="仿宋" w:cs="仿宋"/>
          <w:highlight w:val="none"/>
        </w:rPr>
        <w:t>3）</w:t>
      </w:r>
      <w:r>
        <w:rPr>
          <w:rFonts w:hint="eastAsia" w:ascii="仿宋" w:hAnsi="仿宋" w:eastAsia="仿宋" w:cs="仿宋"/>
          <w:highlight w:val="none"/>
          <w:lang w:val="hr-HR"/>
        </w:rPr>
        <w:t>供应商的信用行为：在</w:t>
      </w:r>
      <w:r>
        <w:rPr>
          <w:rFonts w:hint="eastAsia" w:ascii="仿宋" w:hAnsi="仿宋" w:eastAsia="仿宋" w:cs="仿宋"/>
          <w:highlight w:val="none"/>
        </w:rPr>
        <w:t>资格审查阶段经查询</w:t>
      </w:r>
      <w:r>
        <w:rPr>
          <w:rFonts w:hint="eastAsia" w:ascii="仿宋" w:hAnsi="仿宋" w:eastAsia="仿宋" w:cs="仿宋"/>
          <w:highlight w:val="none"/>
          <w:lang w:val="hr-HR"/>
        </w:rPr>
        <w:t>，</w:t>
      </w:r>
      <w:r>
        <w:rPr>
          <w:rFonts w:hint="eastAsia" w:ascii="仿宋" w:hAnsi="仿宋" w:eastAsia="仿宋" w:cs="仿宋"/>
          <w:highlight w:val="none"/>
        </w:rPr>
        <w:t>未被列入“</w:t>
      </w:r>
      <w:r>
        <w:rPr>
          <w:rFonts w:hint="eastAsia" w:ascii="仿宋" w:hAnsi="仿宋" w:eastAsia="仿宋" w:cs="仿宋"/>
          <w:szCs w:val="24"/>
          <w:highlight w:val="none"/>
        </w:rPr>
        <w:t>严重失信主体名单”</w:t>
      </w:r>
      <w:r>
        <w:rPr>
          <w:rFonts w:hint="eastAsia" w:ascii="仿宋" w:hAnsi="仿宋" w:eastAsia="仿宋" w:cs="仿宋"/>
          <w:highlight w:val="none"/>
        </w:rPr>
        <w:t>“失信被执行人”、“重大税收违法失信主体名单”、“政府采购严重违法失信行为记录名单”</w:t>
      </w:r>
      <w:r>
        <w:rPr>
          <w:rFonts w:hint="eastAsia" w:ascii="仿宋" w:hAnsi="仿宋" w:eastAsia="仿宋" w:cs="仿宋"/>
          <w:highlight w:val="none"/>
          <w:lang w:val="hr-HR"/>
        </w:rPr>
        <w:t>其中之一。如有以上不良信用记录</w:t>
      </w:r>
      <w:r>
        <w:rPr>
          <w:rFonts w:hint="eastAsia" w:ascii="仿宋" w:hAnsi="仿宋" w:eastAsia="仿宋" w:cs="仿宋"/>
          <w:highlight w:val="none"/>
        </w:rPr>
        <w:t>之一的，</w:t>
      </w:r>
      <w:r>
        <w:rPr>
          <w:rFonts w:hint="eastAsia" w:ascii="仿宋" w:hAnsi="仿宋" w:eastAsia="仿宋" w:cs="仿宋"/>
          <w:highlight w:val="none"/>
          <w:lang w:val="hr-HR"/>
        </w:rPr>
        <w:t>其</w:t>
      </w:r>
      <w:r>
        <w:rPr>
          <w:rFonts w:hint="eastAsia" w:ascii="仿宋" w:hAnsi="仿宋" w:eastAsia="仿宋" w:cs="仿宋"/>
          <w:b/>
          <w:bCs/>
          <w:highlight w:val="none"/>
          <w:lang w:val="hr-HR"/>
        </w:rPr>
        <w:t>投标</w:t>
      </w:r>
      <w:r>
        <w:rPr>
          <w:rFonts w:hint="eastAsia" w:ascii="仿宋" w:hAnsi="仿宋" w:eastAsia="仿宋" w:cs="仿宋"/>
          <w:b/>
          <w:bCs/>
          <w:highlight w:val="none"/>
        </w:rPr>
        <w:t>无效</w:t>
      </w:r>
      <w:r>
        <w:rPr>
          <w:rFonts w:hint="eastAsia" w:ascii="仿宋" w:hAnsi="仿宋" w:eastAsia="仿宋" w:cs="仿宋"/>
          <w:highlight w:val="none"/>
          <w:lang w:val="hr-HR"/>
        </w:rPr>
        <w:t>。</w:t>
      </w:r>
    </w:p>
    <w:p w14:paraId="4188E161">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45" w:name="_Toc155185862"/>
      <w:bookmarkStart w:id="46" w:name="_Toc13839"/>
      <w:bookmarkStart w:id="47" w:name="_Toc27361"/>
      <w:bookmarkStart w:id="48" w:name="_Toc23301"/>
      <w:bookmarkStart w:id="49" w:name="_Toc109900250"/>
      <w:bookmarkStart w:id="50" w:name="_Toc140132747"/>
      <w:bookmarkStart w:id="51" w:name="_Toc21810"/>
      <w:bookmarkStart w:id="52" w:name="_Toc5466"/>
      <w:bookmarkStart w:id="53" w:name="_Toc163492814"/>
      <w:bookmarkStart w:id="54" w:name="_Toc109899412"/>
      <w:bookmarkStart w:id="55" w:name="_Toc109899831"/>
      <w:r>
        <w:rPr>
          <w:rFonts w:hint="eastAsia" w:ascii="仿宋" w:hAnsi="仿宋" w:eastAsia="仿宋" w:cs="仿宋"/>
          <w:highlight w:val="none"/>
          <w:lang w:val="hr-HR"/>
        </w:rPr>
        <w:t>三、获取招标文件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highlight w:val="none"/>
          <w:lang w:val="hr-HR"/>
        </w:rPr>
        <w:t xml:space="preserve"> </w:t>
      </w:r>
    </w:p>
    <w:p w14:paraId="14841C9D">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val="hr-HR"/>
        </w:rPr>
      </w:pPr>
      <w:bookmarkStart w:id="56" w:name="_Hlk130457234"/>
      <w:bookmarkStart w:id="57" w:name="_Toc35393632"/>
      <w:bookmarkStart w:id="58" w:name="_Toc28359092"/>
      <w:bookmarkStart w:id="59" w:name="_Hlk130457327"/>
      <w:bookmarkStart w:id="60" w:name="_Toc28359015"/>
      <w:bookmarkStart w:id="61" w:name="_Toc35393801"/>
      <w:bookmarkStart w:id="62" w:name="_Hlk130457261"/>
      <w:r>
        <w:rPr>
          <w:rFonts w:hint="eastAsia" w:ascii="仿宋" w:hAnsi="仿宋" w:eastAsia="仿宋" w:cs="仿宋"/>
          <w:highlight w:val="none"/>
          <w:lang w:val="hr-HR"/>
        </w:rPr>
        <w:t>1.时间：</w:t>
      </w:r>
      <w:r>
        <w:rPr>
          <w:rFonts w:hint="eastAsia" w:ascii="仿宋" w:hAnsi="仿宋" w:eastAsia="仿宋" w:cs="仿宋"/>
          <w:highlight w:val="none"/>
        </w:rPr>
        <w:t>2026年</w:t>
      </w:r>
      <w:r>
        <w:rPr>
          <w:rFonts w:hint="eastAsia" w:ascii="仿宋" w:hAnsi="仿宋" w:eastAsia="仿宋" w:cs="仿宋"/>
          <w:highlight w:val="none"/>
          <w:lang w:val="en-US" w:eastAsia="zh-CN"/>
        </w:rPr>
        <w:t>05</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日00时00分</w:t>
      </w:r>
      <w:r>
        <w:rPr>
          <w:rFonts w:hint="eastAsia" w:ascii="仿宋" w:hAnsi="仿宋" w:eastAsia="仿宋" w:cs="仿宋"/>
          <w:highlight w:val="none"/>
          <w:lang w:val="hr-HR"/>
        </w:rPr>
        <w:t>至2026</w:t>
      </w:r>
      <w:r>
        <w:rPr>
          <w:rFonts w:hint="eastAsia" w:ascii="仿宋" w:hAnsi="仿宋" w:eastAsia="仿宋" w:cs="仿宋"/>
          <w:highlight w:val="none"/>
        </w:rPr>
        <w:t>年</w:t>
      </w:r>
      <w:r>
        <w:rPr>
          <w:rFonts w:hint="eastAsia" w:ascii="仿宋" w:hAnsi="仿宋" w:eastAsia="仿宋" w:cs="仿宋"/>
          <w:highlight w:val="none"/>
          <w:lang w:val="en-US" w:eastAsia="zh-CN"/>
        </w:rPr>
        <w:t>06</w:t>
      </w:r>
      <w:r>
        <w:rPr>
          <w:rFonts w:hint="eastAsia" w:ascii="仿宋" w:hAnsi="仿宋" w:eastAsia="仿宋" w:cs="仿宋"/>
          <w:highlight w:val="none"/>
        </w:rPr>
        <w:t>月</w:t>
      </w:r>
      <w:r>
        <w:rPr>
          <w:rFonts w:hint="eastAsia" w:ascii="仿宋" w:hAnsi="仿宋" w:eastAsia="仿宋" w:cs="仿宋"/>
          <w:highlight w:val="none"/>
          <w:lang w:val="en-US" w:eastAsia="zh-CN"/>
        </w:rPr>
        <w:t>05</w:t>
      </w:r>
      <w:r>
        <w:rPr>
          <w:rFonts w:hint="eastAsia" w:ascii="仿宋" w:hAnsi="仿宋" w:eastAsia="仿宋" w:cs="仿宋"/>
          <w:highlight w:val="none"/>
        </w:rPr>
        <w:t>日23时59分</w:t>
      </w:r>
      <w:r>
        <w:rPr>
          <w:rFonts w:hint="eastAsia" w:ascii="仿宋" w:hAnsi="仿宋" w:eastAsia="仿宋" w:cs="仿宋"/>
          <w:highlight w:val="none"/>
          <w:lang w:val="hr-HR"/>
        </w:rPr>
        <w:t>（北京时间）。</w:t>
      </w:r>
    </w:p>
    <w:bookmarkEnd w:id="56"/>
    <w:p w14:paraId="6A927DD5">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val="hr-HR"/>
        </w:rPr>
      </w:pPr>
      <w:r>
        <w:rPr>
          <w:rFonts w:hint="eastAsia" w:ascii="仿宋" w:hAnsi="仿宋" w:eastAsia="仿宋" w:cs="仿宋"/>
          <w:highlight w:val="none"/>
          <w:lang w:val="hr-HR"/>
        </w:rPr>
        <w:t>2.</w:t>
      </w:r>
      <w:r>
        <w:rPr>
          <w:rFonts w:hint="eastAsia" w:ascii="仿宋" w:hAnsi="仿宋" w:eastAsia="仿宋" w:cs="仿宋"/>
          <w:highlight w:val="none"/>
        </w:rPr>
        <w:t>地点</w:t>
      </w:r>
      <w:r>
        <w:rPr>
          <w:rFonts w:hint="eastAsia" w:ascii="仿宋" w:hAnsi="仿宋" w:eastAsia="仿宋" w:cs="仿宋"/>
          <w:highlight w:val="none"/>
          <w:lang w:val="hr-HR"/>
        </w:rPr>
        <w:t>：</w:t>
      </w:r>
      <w:bookmarkStart w:id="63" w:name="_Hlk89807779"/>
      <w:r>
        <w:rPr>
          <w:rFonts w:hint="eastAsia" w:ascii="仿宋" w:hAnsi="仿宋" w:eastAsia="仿宋" w:cs="仿宋"/>
          <w:highlight w:val="none"/>
          <w:lang w:val="en-US"/>
        </w:rPr>
        <w:t>政采云平台线上</w:t>
      </w:r>
      <w:r>
        <w:rPr>
          <w:rFonts w:hint="eastAsia" w:ascii="仿宋" w:hAnsi="仿宋" w:eastAsia="仿宋" w:cs="仿宋"/>
          <w:highlight w:val="none"/>
          <w:lang w:val="hr-HR"/>
        </w:rPr>
        <w:t>（</w:t>
      </w:r>
      <w:r>
        <w:rPr>
          <w:rFonts w:hint="eastAsia" w:ascii="仿宋" w:hAnsi="仿宋" w:eastAsia="仿宋" w:cs="仿宋"/>
          <w:highlight w:val="none"/>
          <w:lang w:val="en-US"/>
        </w:rPr>
        <w:t>网址</w:t>
      </w:r>
      <w:r>
        <w:rPr>
          <w:rFonts w:hint="eastAsia" w:ascii="仿宋" w:hAnsi="仿宋" w:eastAsia="仿宋" w:cs="仿宋"/>
          <w:highlight w:val="none"/>
          <w:lang w:val="hr-HR"/>
        </w:rPr>
        <w:t>：https://www.zcygov.cn/）</w:t>
      </w:r>
      <w:r>
        <w:rPr>
          <w:rFonts w:hint="eastAsia" w:ascii="仿宋" w:hAnsi="仿宋" w:eastAsia="仿宋" w:cs="仿宋"/>
          <w:highlight w:val="none"/>
        </w:rPr>
        <w:t>。</w:t>
      </w:r>
      <w:bookmarkEnd w:id="63"/>
    </w:p>
    <w:p w14:paraId="506A2F9C">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val="hr-HR"/>
        </w:rPr>
      </w:pPr>
      <w:r>
        <w:rPr>
          <w:rFonts w:hint="eastAsia" w:ascii="仿宋" w:hAnsi="仿宋" w:eastAsia="仿宋" w:cs="仿宋"/>
          <w:highlight w:val="none"/>
          <w:lang w:val="hr-HR"/>
        </w:rPr>
        <w:t>3.</w:t>
      </w:r>
      <w:r>
        <w:rPr>
          <w:rFonts w:hint="eastAsia" w:ascii="仿宋" w:hAnsi="仿宋" w:eastAsia="仿宋" w:cs="仿宋"/>
          <w:highlight w:val="none"/>
        </w:rPr>
        <w:t>方式</w:t>
      </w:r>
      <w:r>
        <w:rPr>
          <w:rFonts w:hint="eastAsia" w:ascii="仿宋" w:hAnsi="仿宋" w:eastAsia="仿宋" w:cs="仿宋"/>
          <w:highlight w:val="none"/>
          <w:lang w:val="hr-HR"/>
        </w:rPr>
        <w:t>：</w:t>
      </w:r>
      <w:r>
        <w:rPr>
          <w:rFonts w:hint="eastAsia" w:ascii="仿宋" w:hAnsi="仿宋" w:eastAsia="仿宋" w:cs="仿宋"/>
          <w:highlight w:val="none"/>
        </w:rPr>
        <w:t>投标供应商登录政采云平台</w:t>
      </w:r>
      <w:r>
        <w:rPr>
          <w:rFonts w:hint="eastAsia" w:ascii="仿宋" w:hAnsi="仿宋" w:eastAsia="仿宋" w:cs="仿宋"/>
          <w:highlight w:val="none"/>
          <w:lang w:val="hr-HR"/>
        </w:rPr>
        <w:t>https://www.zcygov.cn/</w:t>
      </w:r>
      <w:r>
        <w:rPr>
          <w:rFonts w:hint="eastAsia" w:ascii="仿宋" w:hAnsi="仿宋" w:eastAsia="仿宋" w:cs="仿宋"/>
          <w:highlight w:val="none"/>
        </w:rPr>
        <w:t>在线申请</w:t>
      </w:r>
      <w:r>
        <w:rPr>
          <w:rFonts w:hint="eastAsia" w:ascii="仿宋" w:hAnsi="仿宋" w:eastAsia="仿宋" w:cs="仿宋"/>
          <w:highlight w:val="none"/>
          <w:lang w:val="hr-HR"/>
        </w:rPr>
        <w:t>，</w:t>
      </w:r>
      <w:r>
        <w:rPr>
          <w:rFonts w:hint="eastAsia" w:ascii="仿宋" w:hAnsi="仿宋" w:eastAsia="仿宋" w:cs="仿宋"/>
          <w:highlight w:val="none"/>
        </w:rPr>
        <w:t>免费获取电子采购文件</w:t>
      </w:r>
      <w:r>
        <w:rPr>
          <w:rFonts w:hint="eastAsia" w:ascii="仿宋" w:hAnsi="仿宋" w:eastAsia="仿宋" w:cs="仿宋"/>
          <w:highlight w:val="none"/>
          <w:lang w:val="hr-HR"/>
        </w:rPr>
        <w:t>（</w:t>
      </w:r>
      <w:r>
        <w:rPr>
          <w:rFonts w:hint="eastAsia" w:ascii="仿宋" w:hAnsi="仿宋" w:eastAsia="仿宋" w:cs="仿宋"/>
          <w:highlight w:val="none"/>
        </w:rPr>
        <w:t>进入</w:t>
      </w:r>
      <w:r>
        <w:rPr>
          <w:rFonts w:hint="eastAsia" w:ascii="仿宋" w:hAnsi="仿宋" w:eastAsia="仿宋" w:cs="仿宋"/>
          <w:highlight w:val="none"/>
          <w:lang w:val="hr-HR"/>
        </w:rPr>
        <w:t>“</w:t>
      </w:r>
      <w:r>
        <w:rPr>
          <w:rFonts w:hint="eastAsia" w:ascii="仿宋" w:hAnsi="仿宋" w:eastAsia="仿宋" w:cs="仿宋"/>
          <w:highlight w:val="none"/>
        </w:rPr>
        <w:t>项目采购</w:t>
      </w:r>
      <w:r>
        <w:rPr>
          <w:rFonts w:hint="eastAsia" w:ascii="仿宋" w:hAnsi="仿宋" w:eastAsia="仿宋" w:cs="仿宋"/>
          <w:highlight w:val="none"/>
          <w:lang w:val="hr-HR"/>
        </w:rPr>
        <w:t>”</w:t>
      </w:r>
      <w:r>
        <w:rPr>
          <w:rFonts w:hint="eastAsia" w:ascii="仿宋" w:hAnsi="仿宋" w:eastAsia="仿宋" w:cs="仿宋"/>
          <w:highlight w:val="none"/>
        </w:rPr>
        <w:t>应用</w:t>
      </w:r>
      <w:r>
        <w:rPr>
          <w:rFonts w:hint="eastAsia" w:ascii="仿宋" w:hAnsi="仿宋" w:eastAsia="仿宋" w:cs="仿宋"/>
          <w:highlight w:val="none"/>
          <w:lang w:val="hr-HR"/>
        </w:rPr>
        <w:t>，</w:t>
      </w:r>
      <w:r>
        <w:rPr>
          <w:rFonts w:hint="eastAsia" w:ascii="仿宋" w:hAnsi="仿宋" w:eastAsia="仿宋" w:cs="仿宋"/>
          <w:highlight w:val="none"/>
        </w:rPr>
        <w:t>在获取采购文件菜单中选择项目</w:t>
      </w:r>
      <w:r>
        <w:rPr>
          <w:rFonts w:hint="eastAsia" w:ascii="仿宋" w:hAnsi="仿宋" w:eastAsia="仿宋" w:cs="仿宋"/>
          <w:highlight w:val="none"/>
          <w:lang w:val="hr-HR"/>
        </w:rPr>
        <w:t>，</w:t>
      </w:r>
      <w:r>
        <w:rPr>
          <w:rFonts w:hint="eastAsia" w:ascii="仿宋" w:hAnsi="仿宋" w:eastAsia="仿宋" w:cs="仿宋"/>
          <w:highlight w:val="none"/>
        </w:rPr>
        <w:t>申请获取采购文件</w:t>
      </w:r>
      <w:r>
        <w:rPr>
          <w:rFonts w:hint="eastAsia" w:ascii="仿宋" w:hAnsi="仿宋" w:eastAsia="仿宋" w:cs="仿宋"/>
          <w:highlight w:val="none"/>
          <w:lang w:val="hr-HR"/>
        </w:rPr>
        <w:t>）</w:t>
      </w:r>
      <w:r>
        <w:rPr>
          <w:rFonts w:hint="eastAsia" w:ascii="仿宋" w:hAnsi="仿宋" w:eastAsia="仿宋" w:cs="仿宋"/>
          <w:highlight w:val="none"/>
        </w:rPr>
        <w:t>。</w:t>
      </w:r>
    </w:p>
    <w:p w14:paraId="570C5293">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4.售价：0元。</w:t>
      </w:r>
    </w:p>
    <w:bookmarkEnd w:id="57"/>
    <w:bookmarkEnd w:id="58"/>
    <w:bookmarkEnd w:id="59"/>
    <w:bookmarkEnd w:id="60"/>
    <w:bookmarkEnd w:id="61"/>
    <w:bookmarkEnd w:id="62"/>
    <w:p w14:paraId="3B806BA9">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64" w:name="_Toc109899832"/>
      <w:bookmarkStart w:id="65" w:name="_Toc140132748"/>
      <w:bookmarkStart w:id="66" w:name="_Toc155185863"/>
      <w:bookmarkStart w:id="67" w:name="_Toc109899413"/>
      <w:bookmarkStart w:id="68" w:name="_Toc109900251"/>
      <w:bookmarkStart w:id="69" w:name="_Toc163492815"/>
      <w:bookmarkStart w:id="70" w:name="_Toc1642"/>
      <w:bookmarkStart w:id="71" w:name="_Toc27258"/>
      <w:bookmarkStart w:id="72" w:name="_Toc1796"/>
      <w:bookmarkStart w:id="73" w:name="_Toc32460"/>
      <w:bookmarkStart w:id="74" w:name="_Toc21751"/>
      <w:r>
        <w:rPr>
          <w:rFonts w:hint="eastAsia" w:ascii="仿宋" w:hAnsi="仿宋" w:eastAsia="仿宋" w:cs="仿宋"/>
          <w:highlight w:val="none"/>
          <w:lang w:val="hr-HR"/>
        </w:rPr>
        <w:t>四、</w:t>
      </w:r>
      <w:bookmarkEnd w:id="64"/>
      <w:bookmarkEnd w:id="65"/>
      <w:bookmarkEnd w:id="66"/>
      <w:bookmarkEnd w:id="67"/>
      <w:bookmarkEnd w:id="68"/>
      <w:bookmarkEnd w:id="69"/>
      <w:r>
        <w:rPr>
          <w:rFonts w:hint="eastAsia" w:ascii="仿宋" w:hAnsi="仿宋" w:eastAsia="仿宋" w:cs="仿宋"/>
          <w:highlight w:val="none"/>
          <w:lang w:val="hr-HR"/>
        </w:rPr>
        <w:t>提交投标文件截止时间/开标时间、递交方式和开标地点</w:t>
      </w:r>
      <w:bookmarkEnd w:id="70"/>
      <w:bookmarkEnd w:id="71"/>
      <w:bookmarkEnd w:id="72"/>
      <w:bookmarkEnd w:id="73"/>
      <w:bookmarkEnd w:id="74"/>
      <w:bookmarkStart w:id="75" w:name="_Hlk130457395"/>
      <w:bookmarkStart w:id="76" w:name="_Toc44583633"/>
      <w:bookmarkStart w:id="77" w:name="_Toc35393803"/>
      <w:bookmarkStart w:id="78" w:name="_Toc28359017"/>
      <w:bookmarkStart w:id="79" w:name="_Toc35393634"/>
      <w:bookmarkStart w:id="80" w:name="_Toc28359094"/>
    </w:p>
    <w:p w14:paraId="32E1904F">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bookmarkStart w:id="81" w:name="_Toc5471"/>
      <w:bookmarkStart w:id="82" w:name="_Toc8573"/>
      <w:bookmarkStart w:id="83" w:name="_Toc12519"/>
      <w:bookmarkStart w:id="84" w:name="_Toc28855"/>
      <w:bookmarkStart w:id="85" w:name="_Toc12436"/>
      <w:r>
        <w:rPr>
          <w:rFonts w:hint="eastAsia" w:ascii="仿宋" w:hAnsi="仿宋" w:eastAsia="仿宋" w:cs="仿宋"/>
          <w:highlight w:val="none"/>
        </w:rPr>
        <w:t>1.截止时间/开标时间：</w:t>
      </w:r>
      <w:r>
        <w:rPr>
          <w:rFonts w:hint="eastAsia" w:ascii="仿宋" w:hAnsi="仿宋" w:eastAsia="仿宋" w:cs="仿宋"/>
          <w:highlight w:val="none"/>
          <w:u w:val="single"/>
          <w:lang w:val="hr-HR"/>
        </w:rPr>
        <w:t>2026</w:t>
      </w:r>
      <w:r>
        <w:rPr>
          <w:rFonts w:hint="eastAsia" w:ascii="仿宋" w:hAnsi="仿宋" w:eastAsia="仿宋" w:cs="仿宋"/>
          <w:highlight w:val="none"/>
          <w:u w:val="single"/>
        </w:rPr>
        <w:t>年</w:t>
      </w:r>
      <w:r>
        <w:rPr>
          <w:rFonts w:hint="eastAsia" w:ascii="仿宋" w:hAnsi="仿宋" w:eastAsia="仿宋" w:cs="仿宋"/>
          <w:highlight w:val="none"/>
          <w:u w:val="single"/>
          <w:lang w:val="en-US" w:eastAsia="zh-CN"/>
        </w:rPr>
        <w:t>06月15日11</w:t>
      </w:r>
      <w:r>
        <w:rPr>
          <w:rFonts w:hint="eastAsia" w:ascii="仿宋" w:hAnsi="仿宋" w:eastAsia="仿宋" w:cs="仿宋"/>
          <w:highlight w:val="none"/>
          <w:u w:val="single"/>
        </w:rPr>
        <w:t xml:space="preserve">时 </w:t>
      </w:r>
      <w:r>
        <w:rPr>
          <w:rFonts w:hint="eastAsia" w:ascii="仿宋" w:hAnsi="仿宋" w:eastAsia="仿宋" w:cs="仿宋"/>
          <w:highlight w:val="none"/>
          <w:u w:val="single"/>
          <w:lang w:val="en-US" w:eastAsia="zh-CN"/>
        </w:rPr>
        <w:t>00</w:t>
      </w:r>
      <w:r>
        <w:rPr>
          <w:rFonts w:hint="eastAsia" w:ascii="仿宋" w:hAnsi="仿宋" w:eastAsia="仿宋" w:cs="仿宋"/>
          <w:highlight w:val="none"/>
          <w:u w:val="single"/>
        </w:rPr>
        <w:t>分</w:t>
      </w:r>
      <w:r>
        <w:rPr>
          <w:rFonts w:hint="eastAsia" w:ascii="仿宋" w:hAnsi="仿宋" w:eastAsia="仿宋" w:cs="仿宋"/>
          <w:highlight w:val="none"/>
          <w:lang w:val="hr-HR"/>
        </w:rPr>
        <w:t>（北京时间）</w:t>
      </w:r>
      <w:r>
        <w:rPr>
          <w:rFonts w:hint="eastAsia" w:ascii="仿宋" w:hAnsi="仿宋" w:eastAsia="仿宋" w:cs="仿宋"/>
          <w:highlight w:val="none"/>
        </w:rPr>
        <w:t>。</w:t>
      </w:r>
      <w:bookmarkEnd w:id="81"/>
      <w:bookmarkEnd w:id="82"/>
      <w:bookmarkEnd w:id="83"/>
      <w:bookmarkEnd w:id="84"/>
      <w:bookmarkEnd w:id="85"/>
    </w:p>
    <w:p w14:paraId="6B2A949B">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2.递交方式：</w:t>
      </w:r>
      <w:bookmarkStart w:id="86" w:name="_Hlk89807823"/>
      <w:r>
        <w:rPr>
          <w:rFonts w:hint="eastAsia" w:ascii="仿宋" w:hAnsi="仿宋" w:eastAsia="仿宋" w:cs="仿宋"/>
          <w:highlight w:val="none"/>
        </w:rPr>
        <w:t>在新疆政府采购电子交易云平台（网址：https://www.zcygov.cn/）进入“项目采购”应用，在投标文件上传菜单中选择项目进行上传。</w:t>
      </w:r>
      <w:bookmarkEnd w:id="86"/>
    </w:p>
    <w:p w14:paraId="057C3CBF">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3.开标地点：投标人登录政采云平台https://www.zcygov.cn/，进入项目采购－开标评标－右边选择对应项目点击“进入项目”进入开标大厅。</w:t>
      </w:r>
    </w:p>
    <w:bookmarkEnd w:id="75"/>
    <w:p w14:paraId="6BCBABB1">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87" w:name="_Toc20013"/>
      <w:bookmarkStart w:id="88" w:name="_Toc109899833"/>
      <w:bookmarkStart w:id="89" w:name="_Toc6696"/>
      <w:bookmarkStart w:id="90" w:name="_Toc13347"/>
      <w:bookmarkStart w:id="91" w:name="_Toc155185864"/>
      <w:bookmarkStart w:id="92" w:name="_Toc23037"/>
      <w:bookmarkStart w:id="93" w:name="_Toc140132749"/>
      <w:bookmarkStart w:id="94" w:name="_Toc109899414"/>
      <w:bookmarkStart w:id="95" w:name="_Toc109900252"/>
      <w:bookmarkStart w:id="96" w:name="_Toc14194"/>
      <w:bookmarkStart w:id="97" w:name="_Toc163492816"/>
      <w:r>
        <w:rPr>
          <w:rFonts w:hint="eastAsia" w:ascii="仿宋" w:hAnsi="仿宋" w:eastAsia="仿宋" w:cs="仿宋"/>
          <w:highlight w:val="none"/>
          <w:lang w:val="hr-HR"/>
        </w:rPr>
        <w:t>五、公告期限</w:t>
      </w:r>
      <w:bookmarkEnd w:id="76"/>
      <w:bookmarkEnd w:id="77"/>
      <w:bookmarkEnd w:id="78"/>
      <w:bookmarkEnd w:id="79"/>
      <w:bookmarkEnd w:id="80"/>
      <w:bookmarkEnd w:id="87"/>
      <w:bookmarkEnd w:id="88"/>
      <w:bookmarkEnd w:id="89"/>
      <w:bookmarkEnd w:id="90"/>
      <w:bookmarkEnd w:id="91"/>
      <w:bookmarkEnd w:id="92"/>
      <w:bookmarkEnd w:id="93"/>
      <w:bookmarkEnd w:id="94"/>
      <w:bookmarkEnd w:id="95"/>
      <w:bookmarkEnd w:id="96"/>
      <w:bookmarkEnd w:id="97"/>
    </w:p>
    <w:p w14:paraId="41FEB11C">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自招标公告发布之日起5个工作日。</w:t>
      </w:r>
    </w:p>
    <w:p w14:paraId="3A8D5BDD">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98" w:name="_Toc109900253"/>
      <w:bookmarkStart w:id="99" w:name="_Toc35393804"/>
      <w:bookmarkStart w:id="100" w:name="_Toc7878"/>
      <w:bookmarkStart w:id="101" w:name="_Toc30667"/>
      <w:bookmarkStart w:id="102" w:name="_Toc155185865"/>
      <w:bookmarkStart w:id="103" w:name="_Toc163492817"/>
      <w:bookmarkStart w:id="104" w:name="_Toc44583634"/>
      <w:bookmarkStart w:id="105" w:name="_Toc140132750"/>
      <w:bookmarkStart w:id="106" w:name="_Toc35393635"/>
      <w:bookmarkStart w:id="107" w:name="_Toc21248"/>
      <w:bookmarkStart w:id="108" w:name="_Toc7635"/>
      <w:bookmarkStart w:id="109" w:name="_Toc109899834"/>
      <w:bookmarkStart w:id="110" w:name="_Toc14182"/>
      <w:bookmarkStart w:id="111" w:name="_Toc109899415"/>
      <w:r>
        <w:rPr>
          <w:rFonts w:hint="eastAsia" w:ascii="仿宋" w:hAnsi="仿宋" w:eastAsia="仿宋" w:cs="仿宋"/>
          <w:highlight w:val="none"/>
          <w:lang w:val="hr-HR"/>
        </w:rPr>
        <w:t>六、其他补充事宜</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CB710E9">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bookmarkStart w:id="112" w:name="_Toc109899835"/>
      <w:bookmarkStart w:id="113" w:name="_Toc140132751"/>
      <w:bookmarkStart w:id="114" w:name="_Toc44583635"/>
      <w:bookmarkStart w:id="115" w:name="_Toc35393805"/>
      <w:bookmarkStart w:id="116" w:name="_Toc28359095"/>
      <w:bookmarkStart w:id="117" w:name="_Toc155185866"/>
      <w:bookmarkStart w:id="118" w:name="_Toc109900254"/>
      <w:bookmarkStart w:id="119" w:name="_Toc163492818"/>
      <w:bookmarkStart w:id="120" w:name="_Toc28359018"/>
      <w:bookmarkStart w:id="121" w:name="_Toc109899416"/>
      <w:bookmarkStart w:id="122" w:name="_Toc35393636"/>
      <w:bookmarkStart w:id="123" w:name="_Toc10795"/>
      <w:bookmarkStart w:id="124" w:name="_Toc14349"/>
      <w:bookmarkStart w:id="125" w:name="_Toc22960"/>
      <w:bookmarkStart w:id="126" w:name="_Toc19771"/>
      <w:r>
        <w:rPr>
          <w:rFonts w:hint="eastAsia" w:ascii="仿宋" w:hAnsi="仿宋" w:eastAsia="仿宋" w:cs="仿宋"/>
          <w:highlight w:val="none"/>
        </w:rPr>
        <w:t>1、本项目实行网上投标，采用电子投标文件。</w:t>
      </w:r>
    </w:p>
    <w:p w14:paraId="1B4BDFC0">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3、供应商将政采云电子交易客户端下载、安装完成后，可通过账号密码或CA登录客户端进行投标文件的制作。在使用政采云投标客户端时，建议使用WIN7及以上操作系统。</w:t>
      </w:r>
    </w:p>
    <w:p w14:paraId="0EAFF92A">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127" w:name="_Toc20593"/>
      <w:r>
        <w:rPr>
          <w:rFonts w:hint="eastAsia" w:ascii="仿宋" w:hAnsi="仿宋" w:eastAsia="仿宋" w:cs="仿宋"/>
          <w:highlight w:val="none"/>
          <w:lang w:val="hr-HR"/>
        </w:rPr>
        <w:t>七、</w:t>
      </w:r>
      <w:bookmarkEnd w:id="112"/>
      <w:bookmarkEnd w:id="113"/>
      <w:bookmarkEnd w:id="114"/>
      <w:bookmarkEnd w:id="115"/>
      <w:bookmarkEnd w:id="116"/>
      <w:bookmarkEnd w:id="117"/>
      <w:bookmarkEnd w:id="118"/>
      <w:bookmarkEnd w:id="119"/>
      <w:bookmarkEnd w:id="120"/>
      <w:bookmarkEnd w:id="121"/>
      <w:bookmarkEnd w:id="122"/>
      <w:r>
        <w:rPr>
          <w:rFonts w:hint="eastAsia" w:ascii="仿宋" w:hAnsi="仿宋" w:eastAsia="仿宋" w:cs="仿宋"/>
          <w:highlight w:val="none"/>
          <w:lang w:val="hr-HR"/>
        </w:rPr>
        <w:t>对本次招标提出询问，请按以下方式联系</w:t>
      </w:r>
      <w:bookmarkEnd w:id="123"/>
      <w:bookmarkEnd w:id="124"/>
      <w:bookmarkEnd w:id="125"/>
      <w:bookmarkEnd w:id="126"/>
      <w:bookmarkEnd w:id="127"/>
    </w:p>
    <w:p w14:paraId="2298604D">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1.采购人信息</w:t>
      </w:r>
    </w:p>
    <w:p w14:paraId="4F5A2E4F">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新疆医科大学附属肿瘤医院</w:t>
      </w:r>
    </w:p>
    <w:p w14:paraId="3B4D77D4">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乌鲁木齐市苏州东街789号</w:t>
      </w:r>
    </w:p>
    <w:p w14:paraId="6A2832B6">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王老师</w:t>
      </w:r>
    </w:p>
    <w:p w14:paraId="71A20031">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联系方式：0991</w:t>
      </w:r>
      <w:r>
        <w:rPr>
          <w:rFonts w:hint="eastAsia" w:ascii="仿宋" w:hAnsi="仿宋" w:eastAsia="仿宋" w:cs="仿宋"/>
          <w:highlight w:val="none"/>
          <w:lang w:val="en-US" w:eastAsia="zh-CN"/>
        </w:rPr>
        <w:t>-</w:t>
      </w:r>
      <w:r>
        <w:rPr>
          <w:rFonts w:hint="eastAsia" w:ascii="仿宋" w:hAnsi="仿宋" w:eastAsia="仿宋" w:cs="仿宋"/>
          <w:highlight w:val="none"/>
        </w:rPr>
        <w:t xml:space="preserve">7819055  </w:t>
      </w:r>
    </w:p>
    <w:p w14:paraId="54AB85BB">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2.采购代理机构信息</w:t>
      </w:r>
    </w:p>
    <w:p w14:paraId="2A177569">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瑞信国际项目管理有限公司</w:t>
      </w:r>
    </w:p>
    <w:p w14:paraId="486C8637">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地址：</w:t>
      </w:r>
      <w:r>
        <w:rPr>
          <w:rFonts w:hint="eastAsia" w:ascii="仿宋" w:hAnsi="仿宋" w:eastAsia="仿宋" w:cs="仿宋"/>
          <w:highlight w:val="none"/>
          <w:lang w:eastAsia="zh-CN"/>
        </w:rPr>
        <w:t>新疆乌鲁木齐市沙依巴克区新疆软件园创智大厦A座1506室</w:t>
      </w:r>
    </w:p>
    <w:p w14:paraId="17E9C25E">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eastAsia="zh-CN"/>
        </w:rPr>
        <w:t xml:space="preserve">0991-3750455   13139660103 </w:t>
      </w:r>
    </w:p>
    <w:p w14:paraId="64D1EBE7">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3.项目联系方式</w:t>
      </w:r>
    </w:p>
    <w:p w14:paraId="2C6DBC54">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eastAsia="zh-CN"/>
        </w:rPr>
        <w:t>杨玲、陈梅、姚博林、春生</w:t>
      </w:r>
    </w:p>
    <w:p w14:paraId="574C172D">
      <w:pPr>
        <w:pStyle w:val="41"/>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电 话：</w:t>
      </w:r>
      <w:r>
        <w:rPr>
          <w:rFonts w:hint="eastAsia" w:ascii="仿宋" w:hAnsi="仿宋" w:eastAsia="仿宋" w:cs="仿宋"/>
          <w:highlight w:val="none"/>
          <w:lang w:eastAsia="zh-CN"/>
        </w:rPr>
        <w:t xml:space="preserve">0991-3750455   13139660103  </w:t>
      </w:r>
    </w:p>
    <w:p w14:paraId="36C66BDC">
      <w:pPr>
        <w:pStyle w:val="41"/>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highlight w:val="none"/>
        </w:rPr>
      </w:pPr>
    </w:p>
    <w:p w14:paraId="7233C655">
      <w:pPr>
        <w:rPr>
          <w:rFonts w:hint="eastAsia" w:ascii="仿宋" w:hAnsi="仿宋" w:eastAsia="仿宋" w:cs="仿宋"/>
          <w:highlight w:val="none"/>
        </w:rPr>
      </w:pPr>
    </w:p>
    <w:p w14:paraId="64D7018E">
      <w:pPr>
        <w:rPr>
          <w:rFonts w:hint="eastAsia" w:ascii="仿宋" w:hAnsi="仿宋" w:eastAsia="仿宋" w:cs="仿宋"/>
          <w:highlight w:val="none"/>
        </w:rPr>
      </w:pPr>
    </w:p>
    <w:p w14:paraId="2A02AD15">
      <w:pPr>
        <w:rPr>
          <w:rFonts w:hint="eastAsia" w:ascii="仿宋" w:hAnsi="仿宋" w:eastAsia="仿宋" w:cs="仿宋"/>
          <w:highlight w:val="none"/>
        </w:rPr>
      </w:pPr>
    </w:p>
    <w:p w14:paraId="2F79D9A6">
      <w:pPr>
        <w:rPr>
          <w:rFonts w:hint="eastAsia" w:ascii="仿宋" w:hAnsi="仿宋" w:eastAsia="仿宋" w:cs="仿宋"/>
          <w:highlight w:val="none"/>
        </w:rPr>
        <w:sectPr>
          <w:footerReference r:id="rId4" w:type="default"/>
          <w:pgSz w:w="11906" w:h="16838"/>
          <w:pgMar w:top="1134" w:right="1134" w:bottom="1134" w:left="1134" w:header="567" w:footer="567" w:gutter="0"/>
          <w:pgNumType w:fmt="numberInDash" w:start="1"/>
          <w:cols w:space="425" w:num="1"/>
          <w:docGrid w:type="lines" w:linePitch="312" w:charSpace="0"/>
        </w:sectPr>
      </w:pPr>
    </w:p>
    <w:p w14:paraId="78829C98">
      <w:pPr>
        <w:pStyle w:val="2"/>
        <w:rPr>
          <w:rFonts w:hint="eastAsia" w:ascii="仿宋" w:hAnsi="仿宋" w:eastAsia="仿宋" w:cs="仿宋"/>
          <w:highlight w:val="none"/>
        </w:rPr>
      </w:pPr>
      <w:bookmarkStart w:id="128" w:name="_Toc163492819"/>
      <w:bookmarkStart w:id="129" w:name="_Toc155185867"/>
      <w:bookmarkStart w:id="130" w:name="_Toc5028"/>
      <w:r>
        <w:rPr>
          <w:rFonts w:hint="eastAsia" w:ascii="仿宋" w:hAnsi="仿宋" w:eastAsia="仿宋" w:cs="仿宋"/>
          <w:highlight w:val="none"/>
        </w:rPr>
        <w:t>第二章 投标人须知</w:t>
      </w:r>
      <w:bookmarkEnd w:id="128"/>
      <w:bookmarkEnd w:id="129"/>
      <w:bookmarkEnd w:id="130"/>
    </w:p>
    <w:bookmarkEnd w:id="5"/>
    <w:p w14:paraId="1E035006">
      <w:pPr>
        <w:pStyle w:val="3"/>
        <w:keepNext/>
        <w:keepLines/>
        <w:pageBreakBefore w:val="0"/>
        <w:widowControl/>
        <w:kinsoku/>
        <w:wordWrap/>
        <w:overflowPunct/>
        <w:topLinePunct w:val="0"/>
        <w:autoSpaceDE/>
        <w:autoSpaceDN/>
        <w:bidi w:val="0"/>
        <w:adjustRightInd/>
        <w:snapToGrid/>
        <w:spacing w:before="120" w:after="120" w:line="440" w:lineRule="exact"/>
        <w:textAlignment w:val="auto"/>
        <w:rPr>
          <w:rFonts w:hint="eastAsia" w:ascii="仿宋" w:hAnsi="仿宋" w:eastAsia="仿宋" w:cs="仿宋"/>
          <w:highlight w:val="none"/>
          <w:lang w:val="hr-HR"/>
        </w:rPr>
      </w:pPr>
      <w:bookmarkStart w:id="131" w:name="_Toc30888"/>
      <w:bookmarkStart w:id="132" w:name="_Toc163492820"/>
      <w:bookmarkStart w:id="133" w:name="_Toc155185868"/>
      <w:r>
        <w:rPr>
          <w:rFonts w:hint="eastAsia" w:ascii="仿宋" w:hAnsi="仿宋" w:eastAsia="仿宋" w:cs="仿宋"/>
          <w:highlight w:val="none"/>
          <w:lang w:val="hr-HR"/>
        </w:rPr>
        <w:t>一、投标人须知前附表</w:t>
      </w:r>
      <w:bookmarkEnd w:id="131"/>
      <w:bookmarkEnd w:id="132"/>
      <w:bookmarkEnd w:id="133"/>
    </w:p>
    <w:p w14:paraId="62216648">
      <w:pPr>
        <w:pStyle w:val="41"/>
        <w:rPr>
          <w:rFonts w:hint="eastAsia" w:ascii="仿宋" w:hAnsi="仿宋" w:eastAsia="仿宋" w:cs="仿宋"/>
          <w:highlight w:val="none"/>
          <w:lang w:val="en-US"/>
        </w:rPr>
      </w:pPr>
      <w:r>
        <w:rPr>
          <w:rFonts w:hint="eastAsia" w:ascii="仿宋" w:hAnsi="仿宋" w:eastAsia="仿宋" w:cs="仿宋"/>
          <w:highlight w:val="none"/>
        </w:rPr>
        <w:t>投标人应仔细阅读本招标文件的第二章“投标人须知”，下面所列资料是对“投标人须知”的具体补充和说明，如有矛盾，应以本表为准。</w:t>
      </w:r>
      <w:r>
        <w:rPr>
          <w:rFonts w:hint="eastAsia" w:ascii="仿宋" w:hAnsi="仿宋" w:eastAsia="仿宋" w:cs="仿宋"/>
          <w:highlight w:val="none"/>
          <w:lang w:val="en-US"/>
        </w:rPr>
        <w:t>标记“☑”的选项意为适用于本项目，标记“□”的选项意为不适用于本项目。</w:t>
      </w:r>
    </w:p>
    <w:tbl>
      <w:tblPr>
        <w:tblStyle w:val="33"/>
        <w:tblW w:w="96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1"/>
        <w:gridCol w:w="1517"/>
        <w:gridCol w:w="7191"/>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2" w:hRule="atLeast"/>
          <w:tblHeader/>
          <w:jc w:val="center"/>
        </w:trPr>
        <w:tc>
          <w:tcPr>
            <w:tcW w:w="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151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条款名称</w:t>
            </w:r>
          </w:p>
        </w:tc>
        <w:tc>
          <w:tcPr>
            <w:tcW w:w="719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10" w:hRule="atLeast"/>
          <w:jc w:val="center"/>
        </w:trPr>
        <w:tc>
          <w:tcPr>
            <w:tcW w:w="971" w:type="dxa"/>
            <w:shd w:val="clear" w:color="auto" w:fill="auto"/>
            <w:vAlign w:val="center"/>
          </w:tcPr>
          <w:p w14:paraId="12C71393">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1517" w:type="dxa"/>
            <w:shd w:val="clear" w:color="auto" w:fill="auto"/>
            <w:vAlign w:val="center"/>
          </w:tcPr>
          <w:p w14:paraId="2F63CB71">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项目名称及编号</w:t>
            </w:r>
          </w:p>
        </w:tc>
        <w:tc>
          <w:tcPr>
            <w:tcW w:w="7191" w:type="dxa"/>
            <w:shd w:val="clear" w:color="auto" w:fill="auto"/>
            <w:vAlign w:val="center"/>
          </w:tcPr>
          <w:p w14:paraId="7F150D7C">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color w:val="auto"/>
                <w:sz w:val="24"/>
                <w:szCs w:val="24"/>
                <w:highlight w:val="none"/>
                <w:lang w:val="hr-HR" w:eastAsia="zh-CN"/>
              </w:rPr>
              <w:t>新疆医科大学附属肿瘤医院第五批卫生类耗材采购项目（四次）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eastAsia="zh-CN"/>
              </w:rPr>
              <w:t>项目编号：RXGJ-2026-006-CG-4</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68" w:hRule="atLeast"/>
          <w:jc w:val="center"/>
        </w:trPr>
        <w:tc>
          <w:tcPr>
            <w:tcW w:w="971" w:type="dxa"/>
            <w:shd w:val="clear" w:color="auto" w:fill="auto"/>
            <w:vAlign w:val="center"/>
          </w:tcPr>
          <w:p w14:paraId="4F49D8B9">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1517" w:type="dxa"/>
            <w:shd w:val="clear" w:color="auto" w:fill="auto"/>
            <w:vAlign w:val="center"/>
          </w:tcPr>
          <w:p w14:paraId="4726965F">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7191" w:type="dxa"/>
            <w:shd w:val="clear" w:color="auto" w:fill="auto"/>
            <w:vAlign w:val="center"/>
          </w:tcPr>
          <w:p w14:paraId="0EADFFA5">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新疆医科大学附属肿瘤医院</w:t>
            </w:r>
          </w:p>
          <w:p w14:paraId="6A2D0C7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乌鲁木齐市苏州东街789号</w:t>
            </w:r>
          </w:p>
          <w:p w14:paraId="531F7ECA">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 系 人：</w:t>
            </w:r>
          </w:p>
          <w:p w14:paraId="4496E6F6">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联系电话： </w:t>
            </w:r>
            <w:r>
              <w:rPr>
                <w:rFonts w:hint="eastAsia" w:ascii="仿宋" w:hAnsi="仿宋" w:eastAsia="仿宋" w:cs="仿宋"/>
                <w:sz w:val="24"/>
                <w:szCs w:val="24"/>
                <w:highlight w:val="none"/>
                <w:lang w:eastAsia="zh-CN"/>
              </w:rPr>
              <w:t xml:space="preserve">0991-7819055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40" w:hRule="atLeast"/>
          <w:jc w:val="center"/>
        </w:trPr>
        <w:tc>
          <w:tcPr>
            <w:tcW w:w="971" w:type="dxa"/>
            <w:shd w:val="clear" w:color="auto" w:fill="auto"/>
            <w:vAlign w:val="center"/>
          </w:tcPr>
          <w:p w14:paraId="47B75670">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1517" w:type="dxa"/>
            <w:shd w:val="clear" w:color="auto" w:fill="auto"/>
            <w:vAlign w:val="center"/>
          </w:tcPr>
          <w:p w14:paraId="5F565009">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7191" w:type="dxa"/>
            <w:shd w:val="clear" w:color="auto" w:fill="auto"/>
            <w:vAlign w:val="center"/>
          </w:tcPr>
          <w:p w14:paraId="3917C2E0">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瑞信国际项目管理有限公司</w:t>
            </w:r>
          </w:p>
          <w:p w14:paraId="389C0198">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新疆乌鲁木齐市沙依巴克区新疆软件园创智大厦A座1506室</w:t>
            </w:r>
          </w:p>
          <w:p w14:paraId="6AB13F2F">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 系 人：</w:t>
            </w:r>
            <w:r>
              <w:rPr>
                <w:rFonts w:hint="eastAsia" w:ascii="仿宋" w:hAnsi="仿宋" w:eastAsia="仿宋" w:cs="仿宋"/>
                <w:sz w:val="24"/>
                <w:szCs w:val="24"/>
                <w:highlight w:val="none"/>
                <w:lang w:eastAsia="zh-CN"/>
              </w:rPr>
              <w:t>杨玲、陈梅、姚博林、春生</w:t>
            </w:r>
          </w:p>
          <w:p w14:paraId="29700A19">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 xml:space="preserve">0991-3750455   13139660103 </w:t>
            </w:r>
          </w:p>
          <w:p w14:paraId="3FBAD647">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电子邮件：</w:t>
            </w:r>
            <w:r>
              <w:rPr>
                <w:rFonts w:hint="eastAsia" w:ascii="仿宋" w:hAnsi="仿宋" w:eastAsia="仿宋" w:cs="仿宋"/>
                <w:sz w:val="24"/>
                <w:szCs w:val="24"/>
                <w:highlight w:val="none"/>
                <w:lang w:val="en-US" w:eastAsia="zh-CN"/>
              </w:rPr>
              <w:t>1528860983@qq.com</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shd w:val="clear" w:color="auto" w:fill="auto"/>
            <w:vAlign w:val="center"/>
          </w:tcPr>
          <w:p w14:paraId="06AF1C4B">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517" w:type="dxa"/>
            <w:shd w:val="clear" w:color="auto" w:fill="auto"/>
            <w:vAlign w:val="center"/>
          </w:tcPr>
          <w:p w14:paraId="6F87AF9C">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项目概况</w:t>
            </w:r>
          </w:p>
        </w:tc>
        <w:tc>
          <w:tcPr>
            <w:tcW w:w="7191" w:type="dxa"/>
            <w:shd w:val="clear" w:color="auto" w:fill="auto"/>
            <w:vAlign w:val="center"/>
          </w:tcPr>
          <w:p w14:paraId="39B1F3C1">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1.项目名称：</w:t>
            </w:r>
            <w:r>
              <w:rPr>
                <w:rFonts w:hint="eastAsia" w:ascii="仿宋" w:hAnsi="仿宋" w:eastAsia="仿宋" w:cs="仿宋"/>
                <w:color w:val="auto"/>
                <w:sz w:val="24"/>
                <w:szCs w:val="24"/>
                <w:highlight w:val="none"/>
                <w:lang w:val="hr-HR" w:eastAsia="zh-CN"/>
              </w:rPr>
              <w:t>新疆医科大学附属肿瘤医院第五批卫生类耗材采购项目（四次）</w:t>
            </w:r>
          </w:p>
          <w:p w14:paraId="650A3EB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项目编号：RXGJ-2026-006-CG-4</w:t>
            </w:r>
          </w:p>
          <w:p w14:paraId="013DBA6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3.采购内容：</w:t>
            </w:r>
            <w:r>
              <w:rPr>
                <w:rFonts w:hint="eastAsia" w:ascii="仿宋" w:hAnsi="仿宋" w:eastAsia="仿宋" w:cs="仿宋"/>
                <w:sz w:val="24"/>
                <w:szCs w:val="24"/>
                <w:highlight w:val="none"/>
                <w:u w:val="single"/>
                <w:lang w:val="en-US" w:eastAsia="zh-CN"/>
              </w:rPr>
              <w:t>采购</w:t>
            </w:r>
            <w:r>
              <w:rPr>
                <w:rFonts w:hint="eastAsia" w:ascii="仿宋" w:hAnsi="仿宋" w:eastAsia="仿宋" w:cs="仿宋"/>
                <w:sz w:val="24"/>
                <w:szCs w:val="24"/>
                <w:highlight w:val="none"/>
                <w:u w:val="single"/>
              </w:rPr>
              <w:t>加厚型病理标本袋一批，具体内容详见《第四章 采购需求》</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 xml:space="preserve"> </w:t>
            </w:r>
          </w:p>
          <w:p w14:paraId="5AE411C8">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4.</w:t>
            </w:r>
            <w:r>
              <w:rPr>
                <w:rFonts w:hint="eastAsia" w:ascii="仿宋" w:hAnsi="仿宋" w:eastAsia="仿宋" w:cs="仿宋"/>
                <w:b/>
                <w:bCs/>
                <w:sz w:val="24"/>
                <w:szCs w:val="24"/>
                <w:highlight w:val="none"/>
              </w:rPr>
              <w:t>最高限价</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单价合计</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9.30 </w:t>
            </w:r>
            <w:r>
              <w:rPr>
                <w:rFonts w:hint="eastAsia" w:ascii="仿宋" w:hAnsi="仿宋" w:eastAsia="仿宋" w:cs="仿宋"/>
                <w:sz w:val="24"/>
                <w:szCs w:val="24"/>
                <w:highlight w:val="none"/>
                <w:lang w:val="en-US" w:eastAsia="zh-CN"/>
              </w:rPr>
              <w:t>元</w:t>
            </w:r>
          </w:p>
          <w:p w14:paraId="5391EFF9">
            <w:pPr>
              <w:pStyle w:val="41"/>
              <w:keepNext w:val="0"/>
              <w:keepLines w:val="0"/>
              <w:pageBreakBefore w:val="0"/>
              <w:kinsoku/>
              <w:overflowPunct/>
              <w:topLinePunct w:val="0"/>
              <w:bidi w:val="0"/>
              <w:spacing w:line="400" w:lineRule="exact"/>
              <w:ind w:left="0" w:leftChars="0" w:firstLine="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合同履行</w:t>
            </w:r>
            <w:r>
              <w:rPr>
                <w:rFonts w:hint="eastAsia" w:ascii="仿宋" w:hAnsi="仿宋" w:eastAsia="仿宋" w:cs="仿宋"/>
                <w:sz w:val="24"/>
                <w:szCs w:val="24"/>
                <w:highlight w:val="none"/>
              </w:rPr>
              <w:t>期</w:t>
            </w:r>
            <w:r>
              <w:rPr>
                <w:rFonts w:hint="eastAsia" w:ascii="仿宋" w:hAnsi="仿宋" w:eastAsia="仿宋" w:cs="仿宋"/>
                <w:sz w:val="24"/>
                <w:szCs w:val="24"/>
                <w:highlight w:val="none"/>
                <w:lang w:val="en-US" w:eastAsia="zh-CN"/>
              </w:rPr>
              <w:t>限</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u w:val="single"/>
                <w:lang w:val="en-US" w:eastAsia="zh-CN"/>
              </w:rPr>
              <w:t>合同签订后二年。合同一年一签，在财政预算保障同时年度考核合格的前提下逐年签订合同。</w:t>
            </w:r>
          </w:p>
          <w:p w14:paraId="05A6E2AE">
            <w:pPr>
              <w:pStyle w:val="41"/>
              <w:keepNext w:val="0"/>
              <w:keepLines w:val="0"/>
              <w:pageBreakBefore w:val="0"/>
              <w:kinsoku/>
              <w:overflowPunct/>
              <w:topLinePunct w:val="0"/>
              <w:bidi w:val="0"/>
              <w:spacing w:line="400" w:lineRule="exact"/>
              <w:ind w:left="0" w:leftChars="0"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6.供货期：</w:t>
            </w:r>
            <w:r>
              <w:rPr>
                <w:rFonts w:hint="eastAsia" w:ascii="仿宋" w:hAnsi="仿宋" w:eastAsia="仿宋" w:cs="仿宋"/>
                <w:i/>
                <w:iCs w:val="0"/>
                <w:color w:val="auto"/>
                <w:kern w:val="0"/>
                <w:sz w:val="24"/>
                <w:szCs w:val="24"/>
                <w:highlight w:val="none"/>
              </w:rPr>
              <w:t>接甲方通知，规定时间内送货</w:t>
            </w:r>
          </w:p>
          <w:p w14:paraId="3B975CCC">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.质保期：</w:t>
            </w:r>
            <w:r>
              <w:rPr>
                <w:rFonts w:hint="eastAsia" w:ascii="仿宋" w:hAnsi="仿宋" w:eastAsia="仿宋" w:cs="仿宋"/>
                <w:b w:val="0"/>
                <w:bCs/>
                <w:color w:val="auto"/>
                <w:sz w:val="24"/>
                <w:szCs w:val="24"/>
                <w:highlight w:val="none"/>
                <w:u w:val="single"/>
                <w:lang w:val="en-US" w:eastAsia="zh-CN"/>
              </w:rPr>
              <w:t>具体质保期以相关产品生产厂家提供的质保期为准。</w:t>
            </w:r>
          </w:p>
          <w:p w14:paraId="5178B91F">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.付款方式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 xml:space="preserve"> 合同签订后，按合同单价乘以甲方实际采购数量进行结算，于验收合格次月起至付款时间为12个月，以网银、承兑、供应链等方式支付。备注：最终付款方式以和甲方签订合同为准。</w:t>
            </w:r>
          </w:p>
          <w:p w14:paraId="69FB1C47">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val="en-US" w:eastAsia="zh-CN"/>
              </w:rPr>
              <w:t>不收取</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0" w:hRule="atLeast"/>
          <w:jc w:val="center"/>
        </w:trPr>
        <w:tc>
          <w:tcPr>
            <w:tcW w:w="971" w:type="dxa"/>
            <w:shd w:val="clear" w:color="auto" w:fill="auto"/>
            <w:vAlign w:val="center"/>
          </w:tcPr>
          <w:p w14:paraId="35B8BE98">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517" w:type="dxa"/>
            <w:shd w:val="clear" w:color="auto" w:fill="auto"/>
            <w:vAlign w:val="center"/>
          </w:tcPr>
          <w:p w14:paraId="52627803">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核心产品</w:t>
            </w:r>
          </w:p>
        </w:tc>
        <w:tc>
          <w:tcPr>
            <w:tcW w:w="7191" w:type="dxa"/>
            <w:shd w:val="clear" w:color="auto" w:fill="auto"/>
            <w:vAlign w:val="center"/>
          </w:tcPr>
          <w:p w14:paraId="548A9120">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核心产品：</w:t>
            </w:r>
          </w:p>
          <w:p w14:paraId="4A207671">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本项目为单一产品采购项目，不适用。 </w:t>
            </w:r>
          </w:p>
          <w:p w14:paraId="542CD03B">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本项目第__包为非单一产品采购项目，其中核心产品为：</w:t>
            </w:r>
            <w:r>
              <w:rPr>
                <w:rFonts w:hint="eastAsia" w:ascii="仿宋" w:hAnsi="仿宋" w:eastAsia="仿宋" w:cs="仿宋"/>
                <w:sz w:val="24"/>
                <w:szCs w:val="24"/>
                <w:highlight w:val="none"/>
                <w:u w:val="single"/>
              </w:rPr>
              <w:t>_/</w:t>
            </w:r>
            <w:r>
              <w:rPr>
                <w:rFonts w:hint="eastAsia" w:ascii="仿宋" w:hAnsi="仿宋" w:eastAsia="仿宋" w:cs="仿宋"/>
                <w:sz w:val="24"/>
                <w:szCs w:val="24"/>
                <w:highlight w:val="none"/>
              </w:rPr>
              <w:t>_。</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jc w:val="center"/>
        </w:trPr>
        <w:tc>
          <w:tcPr>
            <w:tcW w:w="971" w:type="dxa"/>
            <w:shd w:val="clear" w:color="auto" w:fill="auto"/>
            <w:vAlign w:val="center"/>
          </w:tcPr>
          <w:p w14:paraId="774C694C">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517" w:type="dxa"/>
            <w:shd w:val="clear" w:color="auto" w:fill="auto"/>
            <w:vAlign w:val="center"/>
          </w:tcPr>
          <w:p w14:paraId="580A59A2">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科研仪器</w:t>
            </w:r>
          </w:p>
          <w:p w14:paraId="438D8F0A">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设备</w:t>
            </w:r>
          </w:p>
        </w:tc>
        <w:tc>
          <w:tcPr>
            <w:tcW w:w="7191" w:type="dxa"/>
            <w:shd w:val="clear" w:color="auto" w:fill="auto"/>
            <w:vAlign w:val="center"/>
          </w:tcPr>
          <w:p w14:paraId="5FC65EA2">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 xml:space="preserve">是否属于科研仪器设备采购项目： </w:t>
            </w:r>
          </w:p>
          <w:p w14:paraId="620E012D">
            <w:pPr>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bidi="ar"/>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bidi="ar"/>
              </w:rPr>
              <w:t>是</w:t>
            </w:r>
            <w:r>
              <w:rPr>
                <w:rFonts w:hint="eastAsia" w:ascii="仿宋" w:hAnsi="仿宋" w:eastAsia="仿宋" w:cs="仿宋"/>
                <w:sz w:val="24"/>
                <w:szCs w:val="24"/>
                <w:highlight w:val="none"/>
                <w:lang w:val="en-US" w:eastAsia="zh-CN" w:bidi="ar"/>
              </w:rPr>
              <w:t xml:space="preserve">        </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67" w:hRule="atLeast"/>
          <w:jc w:val="center"/>
        </w:trPr>
        <w:tc>
          <w:tcPr>
            <w:tcW w:w="971" w:type="dxa"/>
            <w:shd w:val="clear" w:color="auto" w:fill="auto"/>
            <w:vAlign w:val="center"/>
          </w:tcPr>
          <w:p w14:paraId="5CD667A1">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1517" w:type="dxa"/>
            <w:shd w:val="clear" w:color="auto" w:fill="auto"/>
            <w:vAlign w:val="center"/>
          </w:tcPr>
          <w:p w14:paraId="2B50C6DF">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kern w:val="0"/>
                <w:sz w:val="24"/>
                <w:szCs w:val="24"/>
                <w:highlight w:val="none"/>
                <w:lang w:bidi="ar"/>
              </w:rPr>
            </w:pPr>
            <w:r>
              <w:rPr>
                <w:rFonts w:hint="eastAsia" w:ascii="仿宋" w:hAnsi="仿宋" w:eastAsia="仿宋" w:cs="仿宋"/>
                <w:sz w:val="24"/>
                <w:szCs w:val="24"/>
                <w:highlight w:val="none"/>
              </w:rPr>
              <w:t>投标人资格要求</w:t>
            </w:r>
          </w:p>
        </w:tc>
        <w:tc>
          <w:tcPr>
            <w:tcW w:w="7191" w:type="dxa"/>
            <w:shd w:val="clear" w:color="auto" w:fill="auto"/>
            <w:vAlign w:val="center"/>
          </w:tcPr>
          <w:p w14:paraId="2046ABF3">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1.供应商应具备《中华人民共和国政府采购法》第二十二条规定的条件，提供下列材料：</w:t>
            </w:r>
          </w:p>
          <w:p w14:paraId="2B76720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b/>
                <w:bCs/>
                <w:sz w:val="24"/>
                <w:szCs w:val="24"/>
                <w:highlight w:val="none"/>
              </w:rPr>
              <w:t>1）具有独立承担民事责任的能力；</w:t>
            </w:r>
            <w:r>
              <w:rPr>
                <w:rFonts w:hint="eastAsia" w:ascii="仿宋" w:hAnsi="仿宋" w:eastAsia="仿宋" w:cs="仿宋"/>
                <w:sz w:val="24"/>
                <w:szCs w:val="24"/>
                <w:highlight w:val="none"/>
              </w:rPr>
              <w:t>（投标时，提供在中华人民共和国境内注册的法人或其他组织的营业执照或事业单位法人证书或社会团体法人登记证书复印件/扫描件）</w:t>
            </w:r>
          </w:p>
          <w:p w14:paraId="6AEB8CD3">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b/>
                <w:bCs/>
                <w:sz w:val="24"/>
                <w:szCs w:val="24"/>
                <w:highlight w:val="none"/>
              </w:rPr>
              <w:t>2）有依法缴纳税收和社会保障资金的良好记录</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 xml:space="preserve">（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b/>
                <w:bCs/>
                <w:sz w:val="24"/>
                <w:szCs w:val="24"/>
                <w:highlight w:val="none"/>
              </w:rPr>
              <w:t>3）具有良好的商业信誉和健全的财务会计制度</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rPr>
              <w:t>（投标时，投标时，若投标人成立超过一年需提供</w:t>
            </w:r>
            <w:r>
              <w:rPr>
                <w:rFonts w:hint="eastAsia" w:ascii="仿宋" w:hAnsi="仿宋" w:eastAsia="仿宋" w:cs="仿宋"/>
                <w:sz w:val="24"/>
                <w:szCs w:val="24"/>
                <w:highlight w:val="none"/>
                <w:lang w:eastAsia="zh-CN"/>
              </w:rPr>
              <w:t>2024年、2025年度任意一年的财务状况报表</w:t>
            </w:r>
            <w:r>
              <w:rPr>
                <w:rFonts w:hint="eastAsia" w:ascii="仿宋" w:hAnsi="仿宋" w:eastAsia="仿宋" w:cs="仿宋"/>
                <w:sz w:val="24"/>
                <w:szCs w:val="24"/>
                <w:highlight w:val="none"/>
              </w:rPr>
              <w:t xml:space="preserve">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b/>
                <w:bCs/>
                <w:sz w:val="24"/>
                <w:szCs w:val="24"/>
                <w:highlight w:val="none"/>
              </w:rPr>
              <w:t>4）具有履行合同所必须的设备和专业技术能力；</w:t>
            </w:r>
            <w:r>
              <w:rPr>
                <w:rFonts w:hint="eastAsia" w:ascii="仿宋" w:hAnsi="仿宋" w:eastAsia="仿宋" w:cs="仿宋"/>
                <w:sz w:val="24"/>
                <w:szCs w:val="24"/>
                <w:highlight w:val="none"/>
              </w:rPr>
              <w:t>（投标时，供应商出具承诺函，承诺满足要求，加盖供应商公章）</w:t>
            </w:r>
          </w:p>
          <w:p w14:paraId="7DB44073">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rPr>
              <w:t>5）参加采购活动前3年内，在经营活动中没有重大违法记录；</w:t>
            </w:r>
            <w:r>
              <w:rPr>
                <w:rFonts w:hint="eastAsia" w:ascii="仿宋" w:hAnsi="仿宋" w:eastAsia="仿宋" w:cs="仿宋"/>
                <w:sz w:val="24"/>
                <w:szCs w:val="24"/>
                <w:highlight w:val="none"/>
              </w:rPr>
              <w:t>（投标时，供应商出具承诺函，加盖供应商公章）</w:t>
            </w:r>
          </w:p>
          <w:p w14:paraId="47D4E5E5">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010FBF0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（投标时，供应商出具承诺函，加盖供应商公章）。</w:t>
            </w:r>
          </w:p>
          <w:p w14:paraId="3516E845">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eastAsia="zh-CN"/>
              </w:rPr>
              <w:t>本项目属于专门面向中小企业采购项目。</w:t>
            </w:r>
          </w:p>
          <w:p w14:paraId="3AC1581B">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其他资格要求：</w:t>
            </w:r>
          </w:p>
          <w:p w14:paraId="7635D5FA">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（1）法定代表人或单位负责人为同一人或者存在直接控股、管理关系的不同供应商，不得参加同一合同项下的政府采购活动。</w:t>
            </w:r>
          </w:p>
          <w:p w14:paraId="2F6F9886">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（2）除单一来源采购项目外，为采购项目提供整体设计、规范编制或者项目管理、监理、检测等服务的供应商，不得再参加该采购项目的其他采购活动。</w:t>
            </w:r>
          </w:p>
          <w:p w14:paraId="200A46E9">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vAlign w:val="center"/>
          </w:tcPr>
          <w:p w14:paraId="6E0045BC">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517" w:type="dxa"/>
            <w:vAlign w:val="center"/>
          </w:tcPr>
          <w:p w14:paraId="505E6D0A">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bookmarkStart w:id="134" w:name="_Hlk143529175"/>
            <w:r>
              <w:rPr>
                <w:rFonts w:hint="eastAsia" w:ascii="仿宋" w:hAnsi="仿宋" w:eastAsia="仿宋" w:cs="仿宋"/>
                <w:sz w:val="24"/>
                <w:szCs w:val="24"/>
                <w:highlight w:val="none"/>
              </w:rPr>
              <w:t>现场考察</w:t>
            </w:r>
            <w:bookmarkEnd w:id="134"/>
          </w:p>
        </w:tc>
        <w:tc>
          <w:tcPr>
            <w:tcW w:w="7191" w:type="dxa"/>
            <w:vAlign w:val="center"/>
          </w:tcPr>
          <w:p w14:paraId="45B692C1">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不组织，投标人自行前往。</w:t>
            </w:r>
          </w:p>
          <w:p w14:paraId="171CC89E">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组织</w:t>
            </w:r>
          </w:p>
          <w:p w14:paraId="7C1B24EB">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0AB67C2C">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75" w:hRule="atLeast"/>
          <w:jc w:val="center"/>
        </w:trPr>
        <w:tc>
          <w:tcPr>
            <w:tcW w:w="971" w:type="dxa"/>
            <w:vAlign w:val="center"/>
          </w:tcPr>
          <w:p w14:paraId="50665D64">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1517" w:type="dxa"/>
            <w:vAlign w:val="center"/>
          </w:tcPr>
          <w:p w14:paraId="1BF7CA93">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答疑会</w:t>
            </w:r>
          </w:p>
        </w:tc>
        <w:tc>
          <w:tcPr>
            <w:tcW w:w="7191" w:type="dxa"/>
            <w:vAlign w:val="center"/>
          </w:tcPr>
          <w:p w14:paraId="2C704AC5">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不组织</w:t>
            </w:r>
          </w:p>
          <w:p w14:paraId="78DB8E60">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组织</w:t>
            </w:r>
          </w:p>
          <w:p w14:paraId="49B874E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7D9D2F30">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74" w:hRule="atLeast"/>
          <w:jc w:val="center"/>
        </w:trPr>
        <w:tc>
          <w:tcPr>
            <w:tcW w:w="971" w:type="dxa"/>
            <w:vAlign w:val="center"/>
          </w:tcPr>
          <w:p w14:paraId="32C923B0">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517" w:type="dxa"/>
            <w:vAlign w:val="center"/>
          </w:tcPr>
          <w:p w14:paraId="41A8C1D9">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询问</w:t>
            </w:r>
          </w:p>
        </w:tc>
        <w:tc>
          <w:tcPr>
            <w:tcW w:w="7191" w:type="dxa"/>
            <w:vAlign w:val="center"/>
          </w:tcPr>
          <w:p w14:paraId="6958E305">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1.方式：在投标人客户端中按照格式填写询问函，并在生成询问函后加盖电子印章提交；其他询问方式：</w:t>
            </w:r>
            <w:r>
              <w:rPr>
                <w:rFonts w:hint="eastAsia" w:ascii="仿宋" w:hAnsi="仿宋" w:eastAsia="仿宋" w:cs="仿宋"/>
                <w:sz w:val="24"/>
                <w:szCs w:val="24"/>
                <w:highlight w:val="none"/>
                <w:u w:val="single"/>
              </w:rPr>
              <w:t xml:space="preserve"> 电话咨询</w:t>
            </w:r>
            <w:r>
              <w:rPr>
                <w:rFonts w:hint="eastAsia" w:ascii="仿宋" w:hAnsi="仿宋" w:eastAsia="仿宋" w:cs="仿宋"/>
                <w:sz w:val="24"/>
                <w:szCs w:val="24"/>
                <w:highlight w:val="none"/>
              </w:rPr>
              <w:t>。</w:t>
            </w:r>
          </w:p>
          <w:p w14:paraId="4840E5CE">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20" w:hRule="atLeast"/>
          <w:jc w:val="center"/>
        </w:trPr>
        <w:tc>
          <w:tcPr>
            <w:tcW w:w="971" w:type="dxa"/>
            <w:vAlign w:val="center"/>
          </w:tcPr>
          <w:p w14:paraId="691FB506">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517" w:type="dxa"/>
            <w:vAlign w:val="center"/>
          </w:tcPr>
          <w:p w14:paraId="1F3826A7">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最高限价</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单价合计</w:t>
            </w:r>
            <w:r>
              <w:rPr>
                <w:rFonts w:hint="eastAsia" w:ascii="仿宋" w:hAnsi="仿宋" w:eastAsia="仿宋" w:cs="仿宋"/>
                <w:b/>
                <w:bCs/>
                <w:sz w:val="24"/>
                <w:szCs w:val="24"/>
                <w:highlight w:val="none"/>
                <w:lang w:eastAsia="zh-CN"/>
              </w:rPr>
              <w:t>）</w:t>
            </w:r>
          </w:p>
        </w:tc>
        <w:tc>
          <w:tcPr>
            <w:tcW w:w="7191" w:type="dxa"/>
            <w:vAlign w:val="center"/>
          </w:tcPr>
          <w:p w14:paraId="68A51000">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最高限价</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单价合计</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u w:val="single"/>
                <w:lang w:val="en-US" w:eastAsia="zh-CN"/>
              </w:rPr>
              <w:t xml:space="preserve"> 9.30 </w:t>
            </w:r>
            <w:r>
              <w:rPr>
                <w:rFonts w:hint="eastAsia" w:ascii="仿宋" w:hAnsi="仿宋" w:eastAsia="仿宋" w:cs="仿宋"/>
                <w:b/>
                <w:bCs/>
                <w:sz w:val="24"/>
                <w:szCs w:val="24"/>
                <w:highlight w:val="none"/>
                <w:lang w:val="en-US" w:eastAsia="zh-CN"/>
              </w:rPr>
              <w:t xml:space="preserve"> 元</w:t>
            </w:r>
          </w:p>
          <w:p w14:paraId="008FDD5B">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1" w:hRule="atLeast"/>
          <w:jc w:val="center"/>
        </w:trPr>
        <w:tc>
          <w:tcPr>
            <w:tcW w:w="971" w:type="dxa"/>
            <w:vAlign w:val="center"/>
          </w:tcPr>
          <w:p w14:paraId="567B9466">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517" w:type="dxa"/>
            <w:vAlign w:val="center"/>
          </w:tcPr>
          <w:p w14:paraId="2A9A32F7">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7191" w:type="dxa"/>
            <w:vAlign w:val="center"/>
          </w:tcPr>
          <w:p w14:paraId="6826CF2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投标截止时间后</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64" w:hRule="atLeast"/>
          <w:jc w:val="center"/>
        </w:trPr>
        <w:tc>
          <w:tcPr>
            <w:tcW w:w="971" w:type="dxa"/>
            <w:vAlign w:val="center"/>
          </w:tcPr>
          <w:p w14:paraId="2E6B153D">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517" w:type="dxa"/>
            <w:vAlign w:val="center"/>
          </w:tcPr>
          <w:p w14:paraId="60183CA0">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招标文件实质性要求的标识及非实质性要求的偏离要求</w:t>
            </w:r>
          </w:p>
        </w:tc>
        <w:tc>
          <w:tcPr>
            <w:tcW w:w="7191" w:type="dxa"/>
            <w:vAlign w:val="center"/>
          </w:tcPr>
          <w:p w14:paraId="3FF05E8A">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（1）招标文件中标识“</w:t>
            </w:r>
            <w:r>
              <w:rPr>
                <w:rFonts w:hint="eastAsia" w:ascii="仿宋" w:hAnsi="仿宋" w:eastAsia="仿宋" w:cs="仿宋"/>
                <w:snapToGrid w:val="0"/>
                <w:color w:val="auto"/>
                <w:sz w:val="24"/>
                <w:szCs w:val="24"/>
                <w:highlight w:val="none"/>
                <w:lang w:val="zh-CN" w:eastAsia="zh-CN"/>
              </w:rPr>
              <w:t>★</w:t>
            </w:r>
            <w:r>
              <w:rPr>
                <w:rFonts w:hint="eastAsia" w:ascii="仿宋" w:hAnsi="仿宋" w:eastAsia="仿宋" w:cs="仿宋"/>
                <w:sz w:val="24"/>
                <w:szCs w:val="24"/>
                <w:highlight w:val="none"/>
              </w:rPr>
              <w:t>”的条款，均为实质性条款，投标人任何不满足实质性条款的投标均将被否决。</w:t>
            </w:r>
          </w:p>
          <w:p w14:paraId="32E4C3DA">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（2）非实质性要求的偏离要求：技术参数中重要参数（标记“▲”）允许最大偏离项为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项，一般参数（无标记）允许最大偏离项为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509" w:hRule="atLeast"/>
          <w:jc w:val="center"/>
        </w:trPr>
        <w:tc>
          <w:tcPr>
            <w:tcW w:w="971" w:type="dxa"/>
            <w:vAlign w:val="center"/>
          </w:tcPr>
          <w:p w14:paraId="0ADF0F35">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517" w:type="dxa"/>
            <w:vAlign w:val="center"/>
          </w:tcPr>
          <w:p w14:paraId="62C55010">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191" w:type="dxa"/>
            <w:vAlign w:val="center"/>
          </w:tcPr>
          <w:p w14:paraId="2EB7C92F">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1.金额：</w:t>
            </w:r>
          </w:p>
          <w:p w14:paraId="3F2D783C">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□免收</w:t>
            </w:r>
          </w:p>
          <w:p w14:paraId="341323F9">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□预算金额的   %。</w:t>
            </w:r>
          </w:p>
          <w:p w14:paraId="61694906">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☑定额收取：人民币</w:t>
            </w:r>
            <w:r>
              <w:rPr>
                <w:rFonts w:hint="eastAsia" w:ascii="仿宋" w:hAnsi="仿宋" w:eastAsia="仿宋" w:cs="仿宋"/>
                <w:sz w:val="24"/>
                <w:szCs w:val="24"/>
                <w:highlight w:val="none"/>
                <w:u w:val="single"/>
                <w:lang w:val="en-US" w:eastAsia="zh-CN"/>
              </w:rPr>
              <w:t xml:space="preserve"> 800 </w:t>
            </w:r>
            <w:r>
              <w:rPr>
                <w:rFonts w:hint="eastAsia" w:ascii="仿宋" w:hAnsi="仿宋" w:eastAsia="仿宋" w:cs="仿宋"/>
                <w:sz w:val="24"/>
                <w:szCs w:val="24"/>
                <w:highlight w:val="none"/>
              </w:rPr>
              <w:t>元。</w:t>
            </w:r>
          </w:p>
          <w:p w14:paraId="5B7F75DE">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2.支付方式：</w:t>
            </w:r>
          </w:p>
          <w:p w14:paraId="2DC55250">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9CEE585">
            <w:pPr>
              <w:pStyle w:val="57"/>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3.账户名称：瑞信国际项目管理有限公司新疆分公司</w:t>
            </w:r>
          </w:p>
          <w:p w14:paraId="6418DD75">
            <w:pPr>
              <w:pStyle w:val="57"/>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账号：108306784661</w:t>
            </w:r>
          </w:p>
          <w:p w14:paraId="405FA0A4">
            <w:pPr>
              <w:pStyle w:val="57"/>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开户银行：中国银行股份有限公司乌鲁木齐市南湖东路支行</w:t>
            </w:r>
          </w:p>
          <w:p w14:paraId="0D583D3B">
            <w:pPr>
              <w:pStyle w:val="57"/>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行号：104881006151</w:t>
            </w:r>
          </w:p>
          <w:p w14:paraId="0D4ACB2E">
            <w:pPr>
              <w:pStyle w:val="57"/>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注意事项：</w:t>
            </w:r>
          </w:p>
          <w:p w14:paraId="596D1198">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采用电汇或转账时，需附注：（项目编号+保证金），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3.以上各类机构出具的以担保函、保证保险承担责任的方式均须满足无条件见索即付条件。</w:t>
            </w:r>
          </w:p>
          <w:p w14:paraId="30C84CED">
            <w:pPr>
              <w:pStyle w:val="57"/>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00" w:hRule="atLeast"/>
          <w:jc w:val="center"/>
        </w:trPr>
        <w:tc>
          <w:tcPr>
            <w:tcW w:w="971" w:type="dxa"/>
            <w:vAlign w:val="center"/>
          </w:tcPr>
          <w:p w14:paraId="1EB6F183">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517" w:type="dxa"/>
            <w:vAlign w:val="center"/>
          </w:tcPr>
          <w:p w14:paraId="5160BEDD">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实物样品</w:t>
            </w:r>
          </w:p>
        </w:tc>
        <w:tc>
          <w:tcPr>
            <w:tcW w:w="7191" w:type="dxa"/>
            <w:vAlign w:val="center"/>
          </w:tcPr>
          <w:p w14:paraId="1CA3DD8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投标样品递交： </w:t>
            </w:r>
          </w:p>
          <w:p w14:paraId="7781AC53">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□不需要 </w:t>
            </w:r>
          </w:p>
          <w:p w14:paraId="70EB5A32">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☑需要，具体要求如下： </w:t>
            </w:r>
          </w:p>
          <w:p w14:paraId="76E51715">
            <w:pPr>
              <w:pStyle w:val="53"/>
              <w:keepNext w:val="0"/>
              <w:keepLines w:val="0"/>
              <w:pageBreakBefore w:val="0"/>
              <w:kinsoku/>
              <w:overflowPunct/>
              <w:topLinePunct w:val="0"/>
              <w:bidi w:val="0"/>
              <w:spacing w:line="400" w:lineRule="exact"/>
              <w:ind w:firstLine="0" w:firstLineChars="0"/>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  1.样品制作的标准和要求：投标供应商应提供实物供现场评测：开标前，投标供应商必须按照招标文件规定提供“加厚型病理标本袋”五种规格各一个样品，各投标供应商须单独提供所述样品，所提供样品须与投标文件内所投产品一致。样品须密封，在密封条上须注明：投标单位名称、样品名称（规格型号及数量）、项目编号。</w:t>
            </w:r>
          </w:p>
          <w:p w14:paraId="4DF2D793">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  2.是否需要随样品提交相关检测报告： </w:t>
            </w:r>
          </w:p>
          <w:p w14:paraId="62902C88">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☑不需要       □需要 （若有）</w:t>
            </w:r>
          </w:p>
          <w:p w14:paraId="11BA499D">
            <w:pPr>
              <w:pStyle w:val="58"/>
              <w:keepNext w:val="0"/>
              <w:keepLines w:val="0"/>
              <w:pageBreakBefore w:val="0"/>
              <w:shd w:val="clear" w:color="000000" w:fill="auto"/>
              <w:kinsoku/>
              <w:wordWrap/>
              <w:overflowPunct/>
              <w:topLinePunct w:val="0"/>
              <w:bidi w:val="0"/>
              <w:adjustRightInd/>
              <w:snapToGrid/>
              <w:spacing w:line="400" w:lineRule="exact"/>
              <w:ind w:firstLine="0" w:firstLineChars="0"/>
              <w:rPr>
                <w:rFonts w:hint="eastAsia" w:ascii="仿宋" w:hAnsi="仿宋" w:eastAsia="仿宋" w:cs="仿宋"/>
                <w:color w:val="auto"/>
                <w:sz w:val="24"/>
                <w:szCs w:val="24"/>
                <w:highlight w:val="none"/>
                <w:u w:val="single"/>
              </w:rPr>
            </w:pPr>
            <w:r>
              <w:rPr>
                <w:rFonts w:hint="eastAsia" w:ascii="仿宋" w:hAnsi="仿宋" w:eastAsia="仿宋" w:cs="仿宋"/>
                <w:kern w:val="0"/>
                <w:sz w:val="24"/>
                <w:szCs w:val="24"/>
                <w:highlight w:val="none"/>
                <w:lang w:val="en-US" w:eastAsia="zh-CN" w:bidi="ar-SA"/>
              </w:rPr>
              <w:t>3.样品递交要求：</w:t>
            </w:r>
            <w:r>
              <w:rPr>
                <w:rFonts w:hint="eastAsia" w:ascii="仿宋" w:hAnsi="仿宋" w:eastAsia="仿宋" w:cs="仿宋"/>
                <w:color w:val="auto"/>
                <w:sz w:val="24"/>
                <w:szCs w:val="24"/>
                <w:highlight w:val="none"/>
                <w:lang w:val="en-US" w:eastAsia="zh-CN"/>
              </w:rPr>
              <w:t>样品递交截止</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2026年0</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lang w:eastAsia="zh-CN"/>
              </w:rPr>
              <w:t>月15日11：00</w:t>
            </w:r>
            <w:r>
              <w:rPr>
                <w:rFonts w:hint="eastAsia" w:ascii="仿宋" w:hAnsi="仿宋" w:eastAsia="仿宋" w:cs="仿宋"/>
                <w:color w:val="auto"/>
                <w:sz w:val="24"/>
                <w:szCs w:val="24"/>
                <w:highlight w:val="none"/>
                <w:u w:val="single"/>
              </w:rPr>
              <w:t>（北京时间）</w:t>
            </w:r>
          </w:p>
          <w:p w14:paraId="18F41CAC">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样品递交</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新疆乌鲁木齐市沙依巴克区新疆软件园创智大厦A座1506室</w:t>
            </w:r>
            <w:r>
              <w:rPr>
                <w:rFonts w:hint="eastAsia" w:ascii="仿宋" w:hAnsi="仿宋" w:eastAsia="仿宋" w:cs="仿宋"/>
                <w:kern w:val="0"/>
                <w:sz w:val="24"/>
                <w:szCs w:val="24"/>
                <w:highlight w:val="none"/>
                <w:lang w:val="en-US" w:eastAsia="zh-CN" w:bidi="ar-SA"/>
              </w:rPr>
              <w:t xml:space="preserve">，逾期提供的样品将不予接受。 </w:t>
            </w:r>
          </w:p>
          <w:p w14:paraId="376DFF6F">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  4.未中标人样品退还：</w:t>
            </w:r>
            <w:r>
              <w:rPr>
                <w:rFonts w:hint="eastAsia" w:ascii="仿宋" w:hAnsi="仿宋" w:eastAsia="仿宋" w:cs="仿宋"/>
                <w:kern w:val="0"/>
                <w:sz w:val="24"/>
                <w:szCs w:val="24"/>
                <w:highlight w:val="none"/>
                <w:u w:val="single"/>
                <w:lang w:val="en-US" w:eastAsia="zh-CN" w:bidi="ar-SA"/>
              </w:rPr>
              <w:t xml:space="preserve">接通知后自行领回 </w:t>
            </w:r>
            <w:r>
              <w:rPr>
                <w:rFonts w:hint="eastAsia" w:ascii="仿宋" w:hAnsi="仿宋" w:eastAsia="仿宋" w:cs="仿宋"/>
                <w:kern w:val="0"/>
                <w:sz w:val="24"/>
                <w:szCs w:val="24"/>
                <w:highlight w:val="none"/>
                <w:lang w:val="en-US" w:eastAsia="zh-CN" w:bidi="ar-SA"/>
              </w:rPr>
              <w:t xml:space="preserve">； </w:t>
            </w:r>
          </w:p>
          <w:p w14:paraId="7C65F99B">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 xml:space="preserve">  5.中标人样品保管、封存及退还：</w:t>
            </w:r>
            <w:r>
              <w:rPr>
                <w:rFonts w:hint="eastAsia" w:ascii="仿宋" w:hAnsi="仿宋" w:eastAsia="仿宋" w:cs="仿宋"/>
                <w:kern w:val="0"/>
                <w:sz w:val="24"/>
                <w:szCs w:val="24"/>
                <w:highlight w:val="none"/>
                <w:u w:val="single"/>
                <w:lang w:val="en-US" w:eastAsia="zh-CN" w:bidi="ar-SA"/>
              </w:rPr>
              <w:t xml:space="preserve">按采购人实际要求 </w:t>
            </w:r>
            <w:r>
              <w:rPr>
                <w:rFonts w:hint="eastAsia" w:ascii="仿宋" w:hAnsi="仿宋" w:eastAsia="仿宋" w:cs="仿宋"/>
                <w:kern w:val="0"/>
                <w:sz w:val="24"/>
                <w:szCs w:val="24"/>
                <w:highlight w:val="none"/>
                <w:lang w:val="en-US" w:eastAsia="zh-CN" w:bidi="ar-SA"/>
              </w:rPr>
              <w:t xml:space="preserve">；  </w:t>
            </w:r>
          </w:p>
          <w:p w14:paraId="6B9ED539">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SA"/>
              </w:rPr>
              <w:t xml:space="preserve">  6.其他要求（如有）：</w:t>
            </w:r>
            <w:r>
              <w:rPr>
                <w:rFonts w:hint="eastAsia" w:ascii="仿宋" w:hAnsi="仿宋" w:eastAsia="仿宋" w:cs="仿宋"/>
                <w:kern w:val="0"/>
                <w:sz w:val="24"/>
                <w:szCs w:val="24"/>
                <w:highlight w:val="none"/>
                <w:u w:val="single"/>
                <w:lang w:val="en-US" w:eastAsia="zh-CN" w:bidi="ar-SA"/>
              </w:rPr>
              <w:t>无菌类医用耗材需采用符合标准的无菌包装，注明生产厂家、品牌、规格型号。单个样品包装后，统一将所有样品密封装进一个箱体内，并在外封装注明单位名称、项目编号，投标人须密封。</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46" w:hRule="atLeast"/>
          <w:jc w:val="center"/>
        </w:trPr>
        <w:tc>
          <w:tcPr>
            <w:tcW w:w="971" w:type="dxa"/>
            <w:vAlign w:val="center"/>
          </w:tcPr>
          <w:p w14:paraId="20B63BA5">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1517" w:type="dxa"/>
            <w:vAlign w:val="center"/>
          </w:tcPr>
          <w:p w14:paraId="5698E14B">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演示</w:t>
            </w:r>
          </w:p>
        </w:tc>
        <w:tc>
          <w:tcPr>
            <w:tcW w:w="7191" w:type="dxa"/>
            <w:vAlign w:val="center"/>
          </w:tcPr>
          <w:p w14:paraId="0723418F">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不进行</w:t>
            </w:r>
          </w:p>
          <w:p w14:paraId="1F2CA262">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进行，远程线上演示/现场演示</w:t>
            </w:r>
          </w:p>
          <w:p w14:paraId="50562C81">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1.演示时间不得超过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分钟；</w:t>
            </w:r>
          </w:p>
          <w:p w14:paraId="6635A76E">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3.进行现场演示的，演示人员不得超过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人，演示现场提供</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17" w:hRule="atLeast"/>
          <w:jc w:val="center"/>
        </w:trPr>
        <w:tc>
          <w:tcPr>
            <w:tcW w:w="971" w:type="dxa"/>
            <w:vAlign w:val="center"/>
          </w:tcPr>
          <w:p w14:paraId="4A8C8A1E">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1517" w:type="dxa"/>
            <w:vAlign w:val="center"/>
          </w:tcPr>
          <w:p w14:paraId="53C17B98">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解密投标文件的时限</w:t>
            </w:r>
          </w:p>
        </w:tc>
        <w:tc>
          <w:tcPr>
            <w:tcW w:w="7191" w:type="dxa"/>
            <w:vAlign w:val="center"/>
          </w:tcPr>
          <w:p w14:paraId="77120C7E">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不见面开标默认解密时长：</w:t>
            </w:r>
            <w:r>
              <w:rPr>
                <w:rFonts w:hint="eastAsia" w:ascii="仿宋" w:hAnsi="仿宋" w:eastAsia="仿宋" w:cs="仿宋"/>
                <w:sz w:val="24"/>
                <w:szCs w:val="24"/>
                <w:highlight w:val="none"/>
                <w:u w:val="single"/>
              </w:rPr>
              <w:t xml:space="preserve">  30</w:t>
            </w:r>
            <w:r>
              <w:rPr>
                <w:rFonts w:hint="eastAsia" w:ascii="仿宋" w:hAnsi="仿宋" w:eastAsia="仿宋" w:cs="仿宋"/>
                <w:sz w:val="24"/>
                <w:szCs w:val="24"/>
                <w:highlight w:val="none"/>
              </w:rPr>
              <w:t xml:space="preserve">分钟。 </w:t>
            </w:r>
          </w:p>
          <w:p w14:paraId="047DA0BB">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95" w:hRule="atLeast"/>
          <w:jc w:val="center"/>
        </w:trPr>
        <w:tc>
          <w:tcPr>
            <w:tcW w:w="971" w:type="dxa"/>
            <w:vAlign w:val="center"/>
          </w:tcPr>
          <w:p w14:paraId="02C735DD">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1517" w:type="dxa"/>
            <w:vAlign w:val="center"/>
          </w:tcPr>
          <w:p w14:paraId="51974AA1">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评标方法</w:t>
            </w:r>
          </w:p>
        </w:tc>
        <w:tc>
          <w:tcPr>
            <w:tcW w:w="7191" w:type="dxa"/>
            <w:vAlign w:val="center"/>
          </w:tcPr>
          <w:p w14:paraId="7BEAE380">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综合评分法</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5" w:hRule="atLeast"/>
          <w:jc w:val="center"/>
        </w:trPr>
        <w:tc>
          <w:tcPr>
            <w:tcW w:w="971" w:type="dxa"/>
            <w:vAlign w:val="center"/>
          </w:tcPr>
          <w:p w14:paraId="1AB3F892">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1517" w:type="dxa"/>
            <w:vAlign w:val="center"/>
          </w:tcPr>
          <w:p w14:paraId="4B865407">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推荐中标候</w:t>
            </w:r>
          </w:p>
          <w:p w14:paraId="5898BE30">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选人</w:t>
            </w:r>
          </w:p>
        </w:tc>
        <w:tc>
          <w:tcPr>
            <w:tcW w:w="7191" w:type="dxa"/>
            <w:vAlign w:val="center"/>
          </w:tcPr>
          <w:p w14:paraId="724BD26A">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中标候选人数量</w:t>
            </w:r>
            <w:r>
              <w:rPr>
                <w:rFonts w:hint="eastAsia" w:ascii="仿宋" w:hAnsi="仿宋" w:eastAsia="仿宋" w:cs="仿宋"/>
                <w:sz w:val="24"/>
                <w:szCs w:val="24"/>
                <w:highlight w:val="none"/>
                <w:u w:val="single"/>
              </w:rPr>
              <w:t xml:space="preserve">  3 </w:t>
            </w:r>
            <w:r>
              <w:rPr>
                <w:rFonts w:hint="eastAsia" w:ascii="仿宋" w:hAnsi="仿宋" w:eastAsia="仿宋" w:cs="仿宋"/>
                <w:sz w:val="24"/>
                <w:szCs w:val="24"/>
                <w:highlight w:val="none"/>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98" w:hRule="atLeast"/>
          <w:jc w:val="center"/>
        </w:trPr>
        <w:tc>
          <w:tcPr>
            <w:tcW w:w="971" w:type="dxa"/>
            <w:vAlign w:val="center"/>
          </w:tcPr>
          <w:p w14:paraId="1592862F">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517" w:type="dxa"/>
            <w:vAlign w:val="center"/>
          </w:tcPr>
          <w:p w14:paraId="6801D7F6">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确定中标人</w:t>
            </w:r>
          </w:p>
        </w:tc>
        <w:tc>
          <w:tcPr>
            <w:tcW w:w="7191" w:type="dxa"/>
            <w:vAlign w:val="center"/>
          </w:tcPr>
          <w:p w14:paraId="6F09A3CB">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采购人按评审报告中推荐的中标候选人排序确定中标人。</w:t>
            </w:r>
          </w:p>
          <w:p w14:paraId="45E773E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43" w:hRule="atLeast"/>
          <w:jc w:val="center"/>
        </w:trPr>
        <w:tc>
          <w:tcPr>
            <w:tcW w:w="971" w:type="dxa"/>
            <w:vAlign w:val="center"/>
          </w:tcPr>
          <w:p w14:paraId="1F144863">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1517" w:type="dxa"/>
            <w:vAlign w:val="center"/>
          </w:tcPr>
          <w:p w14:paraId="7D8959E4">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提供相同品牌产品的不同投标人确定中标候选人的规定</w:t>
            </w:r>
          </w:p>
        </w:tc>
        <w:tc>
          <w:tcPr>
            <w:tcW w:w="7191" w:type="dxa"/>
            <w:vAlign w:val="center"/>
          </w:tcPr>
          <w:p w14:paraId="3201127C">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kern w:val="0"/>
                <w:sz w:val="24"/>
                <w:szCs w:val="24"/>
                <w:highlight w:val="none"/>
                <w:lang w:bidi="ar"/>
              </w:rPr>
            </w:pPr>
            <w:r>
              <w:rPr>
                <w:rFonts w:hint="eastAsia" w:ascii="仿宋" w:hAnsi="仿宋" w:eastAsia="仿宋" w:cs="仿宋"/>
                <w:sz w:val="24"/>
                <w:szCs w:val="24"/>
                <w:highlight w:val="none"/>
              </w:rPr>
              <w:sym w:font="Wingdings" w:char="00FE"/>
            </w:r>
            <w:r>
              <w:rPr>
                <w:rFonts w:hint="eastAsia" w:ascii="仿宋" w:hAnsi="仿宋" w:eastAsia="仿宋" w:cs="仿宋"/>
                <w:kern w:val="0"/>
                <w:sz w:val="24"/>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ascii="仿宋" w:hAnsi="仿宋" w:eastAsia="仿宋" w:cs="仿宋"/>
                <w:kern w:val="0"/>
                <w:sz w:val="24"/>
                <w:szCs w:val="24"/>
                <w:highlight w:val="none"/>
                <w:u w:val="single"/>
                <w:lang w:bidi="ar"/>
              </w:rPr>
              <w:t xml:space="preserve"> 报价最低的 </w:t>
            </w:r>
            <w:r>
              <w:rPr>
                <w:rFonts w:hint="eastAsia" w:ascii="仿宋" w:hAnsi="仿宋" w:eastAsia="仿宋" w:cs="仿宋"/>
                <w:kern w:val="0"/>
                <w:sz w:val="24"/>
                <w:szCs w:val="24"/>
                <w:highlight w:val="none"/>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8" w:hRule="atLeast"/>
          <w:jc w:val="center"/>
        </w:trPr>
        <w:tc>
          <w:tcPr>
            <w:tcW w:w="971" w:type="dxa"/>
            <w:vAlign w:val="center"/>
          </w:tcPr>
          <w:p w14:paraId="065721AB">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1517" w:type="dxa"/>
            <w:vAlign w:val="center"/>
          </w:tcPr>
          <w:p w14:paraId="19196DCF">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7191" w:type="dxa"/>
            <w:vAlign w:val="center"/>
          </w:tcPr>
          <w:p w14:paraId="192AA84F">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1.金额：</w:t>
            </w:r>
          </w:p>
          <w:p w14:paraId="2709BCC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☑免收</w:t>
            </w:r>
          </w:p>
          <w:p w14:paraId="4C76072A">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□合同价的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14:paraId="7249A07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□定额收取：人民币</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元</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6" w:hRule="atLeast"/>
          <w:jc w:val="center"/>
        </w:trPr>
        <w:tc>
          <w:tcPr>
            <w:tcW w:w="971" w:type="dxa"/>
            <w:vAlign w:val="center"/>
          </w:tcPr>
          <w:p w14:paraId="247703D2">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1517" w:type="dxa"/>
            <w:vAlign w:val="center"/>
          </w:tcPr>
          <w:p w14:paraId="13E3EA36">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中标后分包</w:t>
            </w:r>
          </w:p>
        </w:tc>
        <w:tc>
          <w:tcPr>
            <w:tcW w:w="7191" w:type="dxa"/>
            <w:vAlign w:val="center"/>
          </w:tcPr>
          <w:p w14:paraId="38E28DA2">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本项目的非主体、非关键性工作是否允许分包： </w:t>
            </w:r>
          </w:p>
          <w:p w14:paraId="0E473B9C">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☑不允许 </w:t>
            </w:r>
          </w:p>
          <w:p w14:paraId="63E0D552">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□允许，具体要求： </w:t>
            </w:r>
          </w:p>
          <w:p w14:paraId="04641696">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1.可以分包履行的具体内容：_</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 xml:space="preserve">__； </w:t>
            </w:r>
          </w:p>
          <w:p w14:paraId="5002DD5E">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2.允许分包的金额或者比例：_</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 xml:space="preserve">__； </w:t>
            </w:r>
          </w:p>
          <w:p w14:paraId="1BD50188">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3.其他要求：_</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1" w:type="dxa"/>
            <w:vAlign w:val="center"/>
          </w:tcPr>
          <w:p w14:paraId="010F1F4B">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1517" w:type="dxa"/>
            <w:vAlign w:val="center"/>
          </w:tcPr>
          <w:p w14:paraId="2B7A6D74">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质疑</w:t>
            </w:r>
          </w:p>
        </w:tc>
        <w:tc>
          <w:tcPr>
            <w:tcW w:w="7191" w:type="dxa"/>
            <w:vAlign w:val="center"/>
          </w:tcPr>
          <w:p w14:paraId="01ACBEE5">
            <w:pPr>
              <w:pStyle w:val="61"/>
              <w:keepNext w:val="0"/>
              <w:keepLines w:val="0"/>
              <w:pageBreakBefore w:val="0"/>
              <w:kinsoku/>
              <w:overflowPunct/>
              <w:topLinePunct w:val="0"/>
              <w:autoSpaceDE w:val="0"/>
              <w:autoSpaceDN w:val="0"/>
              <w:bidi w:val="0"/>
              <w:adjustRightInd w:val="0"/>
              <w:spacing w:line="400" w:lineRule="exact"/>
              <w:ind w:firstLine="0" w:firstLineChars="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递交方式：</w:t>
            </w:r>
            <w:r>
              <w:rPr>
                <w:rFonts w:hint="eastAsia" w:ascii="仿宋" w:hAnsi="仿宋" w:eastAsia="仿宋" w:cs="仿宋"/>
                <w:sz w:val="24"/>
                <w:szCs w:val="24"/>
                <w:highlight w:val="none"/>
              </w:rPr>
              <w:t>纸质版盖章质疑函原件递交至采购代理公司</w:t>
            </w:r>
            <w:r>
              <w:rPr>
                <w:rFonts w:hint="eastAsia" w:ascii="仿宋" w:hAnsi="仿宋" w:eastAsia="仿宋" w:cs="仿宋"/>
                <w:sz w:val="24"/>
                <w:szCs w:val="24"/>
                <w:highlight w:val="none"/>
                <w:lang w:val="zh-CN"/>
              </w:rPr>
              <w:t xml:space="preserve">              </w:t>
            </w:r>
          </w:p>
          <w:p w14:paraId="6D8993A3">
            <w:pPr>
              <w:pStyle w:val="61"/>
              <w:keepNext w:val="0"/>
              <w:keepLines w:val="0"/>
              <w:pageBreakBefore w:val="0"/>
              <w:kinsoku/>
              <w:overflowPunct/>
              <w:topLinePunct w:val="0"/>
              <w:autoSpaceDE w:val="0"/>
              <w:autoSpaceDN w:val="0"/>
              <w:bidi w:val="0"/>
              <w:adjustRightInd w:val="0"/>
              <w:spacing w:line="400" w:lineRule="exact"/>
              <w:ind w:firstLine="0" w:firstLineChars="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接收部门：</w:t>
            </w:r>
            <w:r>
              <w:rPr>
                <w:rFonts w:hint="eastAsia" w:ascii="仿宋" w:hAnsi="仿宋" w:eastAsia="仿宋" w:cs="仿宋"/>
                <w:sz w:val="24"/>
                <w:szCs w:val="24"/>
                <w:highlight w:val="none"/>
                <w:lang w:eastAsia="zh-CN"/>
              </w:rPr>
              <w:t>瑞信国际项目管理有限公司</w:t>
            </w:r>
          </w:p>
          <w:p w14:paraId="5CADA3DA">
            <w:pPr>
              <w:pStyle w:val="61"/>
              <w:keepNext w:val="0"/>
              <w:keepLines w:val="0"/>
              <w:pageBreakBefore w:val="0"/>
              <w:kinsoku/>
              <w:overflowPunct/>
              <w:topLinePunct w:val="0"/>
              <w:autoSpaceDE w:val="0"/>
              <w:autoSpaceDN w:val="0"/>
              <w:bidi w:val="0"/>
              <w:adjustRightInd w:val="0"/>
              <w:spacing w:line="400" w:lineRule="exact"/>
              <w:ind w:firstLine="0" w:firstLineChars="0"/>
              <w:jc w:val="lef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rPr>
              <w:t>联系电话：</w:t>
            </w:r>
            <w:r>
              <w:rPr>
                <w:rFonts w:hint="eastAsia" w:ascii="仿宋" w:hAnsi="仿宋" w:eastAsia="仿宋" w:cs="仿宋"/>
                <w:sz w:val="24"/>
                <w:szCs w:val="24"/>
                <w:highlight w:val="none"/>
                <w:lang w:eastAsia="zh-CN"/>
              </w:rPr>
              <w:t xml:space="preserve">0991-3750455   13139660103 </w:t>
            </w:r>
          </w:p>
          <w:p w14:paraId="5A72DF0C">
            <w:pPr>
              <w:pStyle w:val="61"/>
              <w:keepNext w:val="0"/>
              <w:keepLines w:val="0"/>
              <w:pageBreakBefore w:val="0"/>
              <w:kinsoku/>
              <w:overflowPunct/>
              <w:topLinePunct w:val="0"/>
              <w:autoSpaceDE w:val="0"/>
              <w:autoSpaceDN w:val="0"/>
              <w:bidi w:val="0"/>
              <w:adjustRightInd w:val="0"/>
              <w:spacing w:line="400" w:lineRule="exact"/>
              <w:ind w:firstLine="0" w:firstLineChars="0"/>
              <w:jc w:val="left"/>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zh-CN"/>
              </w:rPr>
              <w:t>通讯地址：</w:t>
            </w:r>
            <w:r>
              <w:rPr>
                <w:rFonts w:hint="eastAsia" w:ascii="仿宋" w:hAnsi="仿宋" w:eastAsia="仿宋" w:cs="仿宋"/>
                <w:kern w:val="0"/>
                <w:sz w:val="24"/>
                <w:szCs w:val="24"/>
                <w:highlight w:val="none"/>
                <w:lang w:eastAsia="zh-CN"/>
              </w:rPr>
              <w:t>新疆乌鲁木齐市沙依巴克区新疆软件园创智大厦A座1506室</w:t>
            </w:r>
          </w:p>
          <w:p w14:paraId="15A788A4">
            <w:pPr>
              <w:pStyle w:val="61"/>
              <w:keepNext w:val="0"/>
              <w:keepLines w:val="0"/>
              <w:pageBreakBefore w:val="0"/>
              <w:kinsoku/>
              <w:overflowPunct/>
              <w:topLinePunct w:val="0"/>
              <w:autoSpaceDE w:val="0"/>
              <w:autoSpaceDN w:val="0"/>
              <w:bidi w:val="0"/>
              <w:adjustRightInd w:val="0"/>
              <w:spacing w:line="400" w:lineRule="exact"/>
              <w:ind w:firstLine="0" w:firstLineChars="0"/>
              <w:jc w:val="lef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9" w:hRule="atLeast"/>
          <w:jc w:val="center"/>
        </w:trPr>
        <w:tc>
          <w:tcPr>
            <w:tcW w:w="971" w:type="dxa"/>
            <w:vAlign w:val="center"/>
          </w:tcPr>
          <w:p w14:paraId="5AFC3883">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1517" w:type="dxa"/>
            <w:vAlign w:val="center"/>
          </w:tcPr>
          <w:p w14:paraId="784226FD">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采购代理服务费</w:t>
            </w:r>
          </w:p>
        </w:tc>
        <w:tc>
          <w:tcPr>
            <w:tcW w:w="7191" w:type="dxa"/>
            <w:vAlign w:val="center"/>
          </w:tcPr>
          <w:p w14:paraId="31D17168">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一、代理服务费</w:t>
            </w:r>
          </w:p>
          <w:p w14:paraId="395EAA93">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1、本项目招标代理服务费</w:t>
            </w:r>
            <w:r>
              <w:rPr>
                <w:rFonts w:hint="eastAsia" w:ascii="仿宋" w:hAnsi="仿宋" w:eastAsia="仿宋" w:cs="仿宋"/>
                <w:sz w:val="24"/>
                <w:szCs w:val="24"/>
                <w:highlight w:val="none"/>
                <w:lang w:val="en-US" w:eastAsia="zh-CN"/>
              </w:rPr>
              <w:t>参照</w:t>
            </w:r>
            <w:r>
              <w:rPr>
                <w:rFonts w:hint="eastAsia" w:ascii="仿宋" w:hAnsi="仿宋" w:eastAsia="仿宋" w:cs="仿宋"/>
                <w:sz w:val="24"/>
                <w:szCs w:val="24"/>
                <w:highlight w:val="none"/>
              </w:rPr>
              <w:t>《招标代理服务收费管理暂行办法》计价格[2002]1980号文件（发改办价格[2003]857号文件）及财库[2018]2号文件计算的招标代理服务费下浮50%由中标人向招标代理支付。</w:t>
            </w:r>
          </w:p>
          <w:p w14:paraId="00984766">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2、招标代理服务费按照中标总价为基数计取，中标人不再支付其他任何费用和款项。</w:t>
            </w:r>
          </w:p>
          <w:p w14:paraId="67C4CA8F">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3、具体费用详见本项目中标结果公告中第六条“代理服务收费标准及金额”</w:t>
            </w:r>
          </w:p>
          <w:p w14:paraId="274E5F57">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二、付款方式</w:t>
            </w:r>
          </w:p>
          <w:p w14:paraId="31D5416E">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2、中标人于中标公示发布后7个工作日内一次性向招标代理公司支付代理服务费。</w:t>
            </w:r>
          </w:p>
          <w:p w14:paraId="6AFC97FB">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三、责任认定</w:t>
            </w:r>
          </w:p>
          <w:p w14:paraId="765C60F1">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47" w:hRule="atLeast"/>
          <w:jc w:val="center"/>
        </w:trPr>
        <w:tc>
          <w:tcPr>
            <w:tcW w:w="971" w:type="dxa"/>
            <w:vAlign w:val="center"/>
          </w:tcPr>
          <w:p w14:paraId="7245951E">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w:t>
            </w:r>
          </w:p>
        </w:tc>
        <w:tc>
          <w:tcPr>
            <w:tcW w:w="1517" w:type="dxa"/>
            <w:vAlign w:val="center"/>
          </w:tcPr>
          <w:p w14:paraId="3A75A0CC">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支持本国产品政策</w:t>
            </w:r>
          </w:p>
        </w:tc>
        <w:tc>
          <w:tcPr>
            <w:tcW w:w="7191" w:type="dxa"/>
            <w:vAlign w:val="center"/>
          </w:tcPr>
          <w:p w14:paraId="58B44E04">
            <w:pPr>
              <w:keepNext w:val="0"/>
              <w:keepLines w:val="0"/>
              <w:pageBreakBefore w:val="0"/>
              <w:widowControl w:val="0"/>
              <w:kinsoku/>
              <w:overflowPunct/>
              <w:topLinePunct w:val="0"/>
              <w:bidi w:val="0"/>
              <w:spacing w:line="400" w:lineRule="exact"/>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1.支持本国产品：</w:t>
            </w:r>
          </w:p>
          <w:p w14:paraId="3B402E3E">
            <w:pPr>
              <w:keepNext w:val="0"/>
              <w:keepLines w:val="0"/>
              <w:pageBreakBefore w:val="0"/>
              <w:widowControl w:val="0"/>
              <w:kinsoku/>
              <w:overflowPunct/>
              <w:topLinePunct w:val="0"/>
              <w:bidi w:val="0"/>
              <w:spacing w:line="400" w:lineRule="exact"/>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keepNext w:val="0"/>
              <w:keepLines w:val="0"/>
              <w:pageBreakBefore w:val="0"/>
              <w:widowControl w:val="0"/>
              <w:kinsoku/>
              <w:overflowPunct/>
              <w:topLinePunct w:val="0"/>
              <w:bidi w:val="0"/>
              <w:spacing w:line="400" w:lineRule="exact"/>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□不适用</w:t>
            </w:r>
          </w:p>
          <w:p w14:paraId="6DCC2C92">
            <w:pPr>
              <w:keepNext w:val="0"/>
              <w:keepLines w:val="0"/>
              <w:pageBreakBefore w:val="0"/>
              <w:widowControl w:val="0"/>
              <w:kinsoku/>
              <w:overflowPunct/>
              <w:topLinePunct w:val="0"/>
              <w:bidi w:val="0"/>
              <w:spacing w:line="400" w:lineRule="exact"/>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 政策使用情形：</w:t>
            </w:r>
          </w:p>
          <w:p w14:paraId="1951E0A1">
            <w:pPr>
              <w:keepNext w:val="0"/>
              <w:keepLines w:val="0"/>
              <w:pageBreakBefore w:val="0"/>
              <w:widowControl w:val="0"/>
              <w:kinsoku/>
              <w:overflowPunct/>
              <w:topLinePunct w:val="0"/>
              <w:bidi w:val="0"/>
              <w:spacing w:line="400" w:lineRule="exact"/>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98" w:hRule="atLeast"/>
          <w:jc w:val="center"/>
        </w:trPr>
        <w:tc>
          <w:tcPr>
            <w:tcW w:w="971" w:type="dxa"/>
            <w:vAlign w:val="center"/>
          </w:tcPr>
          <w:p w14:paraId="3C7EFBE8">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28</w:t>
            </w:r>
          </w:p>
        </w:tc>
        <w:tc>
          <w:tcPr>
            <w:tcW w:w="1517" w:type="dxa"/>
            <w:vAlign w:val="center"/>
          </w:tcPr>
          <w:p w14:paraId="51D05088">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是否接受进口产品</w:t>
            </w:r>
          </w:p>
        </w:tc>
        <w:tc>
          <w:tcPr>
            <w:tcW w:w="7191" w:type="dxa"/>
            <w:vAlign w:val="center"/>
          </w:tcPr>
          <w:p w14:paraId="4FF8F163">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不接受</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24" w:hRule="atLeast"/>
          <w:jc w:val="center"/>
        </w:trPr>
        <w:tc>
          <w:tcPr>
            <w:tcW w:w="971" w:type="dxa"/>
            <w:shd w:val="clear" w:color="auto" w:fill="auto"/>
            <w:vAlign w:val="center"/>
          </w:tcPr>
          <w:p w14:paraId="15B3EF66">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29</w:t>
            </w:r>
          </w:p>
        </w:tc>
        <w:tc>
          <w:tcPr>
            <w:tcW w:w="1517" w:type="dxa"/>
            <w:shd w:val="clear" w:color="auto" w:fill="auto"/>
            <w:vAlign w:val="center"/>
          </w:tcPr>
          <w:p w14:paraId="00DC7B3D">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支持中小企业政策</w:t>
            </w:r>
            <w:r>
              <w:rPr>
                <w:rStyle w:val="36"/>
                <w:rFonts w:hint="eastAsia" w:ascii="仿宋" w:hAnsi="仿宋" w:eastAsia="仿宋" w:cs="仿宋"/>
                <w:sz w:val="24"/>
                <w:szCs w:val="24"/>
                <w:highlight w:val="none"/>
              </w:rPr>
              <w:t>（非专门面向中小企业采购项目适用）</w:t>
            </w:r>
          </w:p>
        </w:tc>
        <w:tc>
          <w:tcPr>
            <w:tcW w:w="7191" w:type="dxa"/>
            <w:shd w:val="clear" w:color="auto" w:fill="auto"/>
            <w:vAlign w:val="center"/>
          </w:tcPr>
          <w:p w14:paraId="1CC235FA">
            <w:pPr>
              <w:pStyle w:val="74"/>
              <w:keepNext w:val="0"/>
              <w:keepLines w:val="0"/>
              <w:pageBreakBefore w:val="0"/>
              <w:kinsoku/>
              <w:overflowPunct/>
              <w:topLinePunct w:val="0"/>
              <w:bidi w:val="0"/>
              <w:spacing w:before="0" w:beforeAutospacing="0" w:after="0" w:afterAutospacing="0" w:line="400" w:lineRule="exact"/>
              <w:ind w:firstLine="0" w:firstLineChars="0"/>
              <w:jc w:val="left"/>
              <w:rPr>
                <w:rFonts w:hint="eastAsia" w:ascii="仿宋" w:hAnsi="仿宋" w:eastAsia="仿宋" w:cs="仿宋"/>
                <w:b w:val="0"/>
                <w:color w:val="auto"/>
                <w:sz w:val="24"/>
                <w:szCs w:val="24"/>
                <w:highlight w:val="none"/>
              </w:rPr>
            </w:pPr>
            <w:r>
              <w:rPr>
                <w:rFonts w:hint="eastAsia" w:ascii="仿宋" w:hAnsi="仿宋" w:eastAsia="仿宋" w:cs="仿宋"/>
                <w:b w:val="0"/>
                <w:sz w:val="24"/>
                <w:szCs w:val="24"/>
                <w:highlight w:val="none"/>
              </w:rPr>
              <w:t>1.小型和微型企业价格扣除</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10%</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w:t>
            </w:r>
          </w:p>
          <w:p w14:paraId="39974B9B">
            <w:pPr>
              <w:pStyle w:val="74"/>
              <w:keepNext w:val="0"/>
              <w:keepLines w:val="0"/>
              <w:pageBreakBefore w:val="0"/>
              <w:kinsoku/>
              <w:overflowPunct/>
              <w:topLinePunct w:val="0"/>
              <w:bidi w:val="0"/>
              <w:spacing w:before="0" w:beforeAutospacing="0" w:after="0" w:afterAutospacing="0" w:line="400" w:lineRule="exact"/>
              <w:ind w:firstLine="0" w:firstLineChars="0"/>
              <w:jc w:val="lef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2.监狱企业价格扣除：同小型和微型企业。</w:t>
            </w:r>
          </w:p>
          <w:p w14:paraId="3A23FADA">
            <w:pPr>
              <w:pStyle w:val="74"/>
              <w:keepNext w:val="0"/>
              <w:keepLines w:val="0"/>
              <w:pageBreakBefore w:val="0"/>
              <w:kinsoku/>
              <w:overflowPunct/>
              <w:topLinePunct w:val="0"/>
              <w:bidi w:val="0"/>
              <w:spacing w:before="0" w:beforeAutospacing="0" w:after="0" w:afterAutospacing="0" w:line="400" w:lineRule="exact"/>
              <w:ind w:firstLine="0" w:firstLineChars="0"/>
              <w:jc w:val="lef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3.残疾人福利性单位价格扣除：同小型和微型企业。</w:t>
            </w:r>
          </w:p>
          <w:p w14:paraId="7762BB1D">
            <w:pPr>
              <w:pStyle w:val="74"/>
              <w:keepNext w:val="0"/>
              <w:keepLines w:val="0"/>
              <w:pageBreakBefore w:val="0"/>
              <w:kinsoku/>
              <w:overflowPunct/>
              <w:topLinePunct w:val="0"/>
              <w:bidi w:val="0"/>
              <w:spacing w:before="0" w:beforeAutospacing="0" w:after="0" w:afterAutospacing="0" w:line="400" w:lineRule="exact"/>
              <w:ind w:firstLine="0" w:firstLineChars="0"/>
              <w:jc w:val="lef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4.符合条件的联合体价格扣除：</w:t>
            </w:r>
            <w:r>
              <w:rPr>
                <w:rFonts w:hint="eastAsia" w:ascii="仿宋" w:hAnsi="仿宋" w:eastAsia="仿宋" w:cs="仿宋"/>
                <w:b w:val="0"/>
                <w:sz w:val="24"/>
                <w:szCs w:val="24"/>
                <w:highlight w:val="none"/>
                <w:u w:val="single"/>
              </w:rPr>
              <w:t xml:space="preserve">  /  </w:t>
            </w:r>
            <w:r>
              <w:rPr>
                <w:rFonts w:hint="eastAsia" w:ascii="仿宋" w:hAnsi="仿宋" w:eastAsia="仿宋" w:cs="仿宋"/>
                <w:b w:val="0"/>
                <w:sz w:val="24"/>
                <w:szCs w:val="24"/>
                <w:highlight w:val="none"/>
              </w:rPr>
              <w:t xml:space="preserve"> 。</w:t>
            </w:r>
          </w:p>
          <w:p w14:paraId="56FC8EC8">
            <w:pPr>
              <w:pStyle w:val="74"/>
              <w:keepNext w:val="0"/>
              <w:keepLines w:val="0"/>
              <w:pageBreakBefore w:val="0"/>
              <w:kinsoku/>
              <w:overflowPunct/>
              <w:topLinePunct w:val="0"/>
              <w:bidi w:val="0"/>
              <w:spacing w:before="0" w:beforeAutospacing="0" w:after="0" w:afterAutospacing="0" w:line="400" w:lineRule="exact"/>
              <w:ind w:firstLine="0" w:firstLineChars="0"/>
              <w:jc w:val="lef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5.符合条件的向小微企业分包的大中型企业价格扣除：</w:t>
            </w:r>
            <w:r>
              <w:rPr>
                <w:rFonts w:hint="eastAsia" w:ascii="仿宋" w:hAnsi="仿宋" w:eastAsia="仿宋" w:cs="仿宋"/>
                <w:b w:val="0"/>
                <w:sz w:val="24"/>
                <w:szCs w:val="24"/>
                <w:highlight w:val="none"/>
                <w:u w:val="single"/>
              </w:rPr>
              <w:t>/</w:t>
            </w:r>
            <w:r>
              <w:rPr>
                <w:rFonts w:hint="eastAsia" w:ascii="仿宋" w:hAnsi="仿宋" w:eastAsia="仿宋" w:cs="仿宋"/>
                <w:b w:val="0"/>
                <w:sz w:val="24"/>
                <w:szCs w:val="24"/>
                <w:highlight w:val="none"/>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82" w:hRule="atLeast"/>
          <w:jc w:val="center"/>
        </w:trPr>
        <w:tc>
          <w:tcPr>
            <w:tcW w:w="971" w:type="dxa"/>
            <w:shd w:val="clear" w:color="auto" w:fill="auto"/>
            <w:vAlign w:val="center"/>
          </w:tcPr>
          <w:p w14:paraId="5C48AB3D">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c>
          <w:tcPr>
            <w:tcW w:w="1517" w:type="dxa"/>
            <w:shd w:val="clear" w:color="auto" w:fill="auto"/>
            <w:vAlign w:val="center"/>
          </w:tcPr>
          <w:p w14:paraId="6257F90C">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标的所属行业</w:t>
            </w:r>
          </w:p>
          <w:p w14:paraId="7DA0D7F5">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Style w:val="36"/>
                <w:rFonts w:hint="eastAsia" w:ascii="仿宋" w:hAnsi="仿宋" w:eastAsia="仿宋" w:cs="仿宋"/>
                <w:sz w:val="24"/>
                <w:szCs w:val="24"/>
                <w:highlight w:val="none"/>
              </w:rPr>
              <w:t>参照后附《工信部联企业〔2011〕300号》</w:t>
            </w:r>
          </w:p>
        </w:tc>
        <w:tc>
          <w:tcPr>
            <w:tcW w:w="7191" w:type="dxa"/>
            <w:shd w:val="clear" w:color="auto" w:fill="auto"/>
            <w:vAlign w:val="center"/>
          </w:tcPr>
          <w:p w14:paraId="474C8DF6">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本项目采购标的对应的中小企业划分标准所属行业： </w:t>
            </w:r>
          </w:p>
          <w:tbl>
            <w:tblPr>
              <w:tblStyle w:val="34"/>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包号</w:t>
                  </w:r>
                </w:p>
              </w:tc>
              <w:tc>
                <w:tcPr>
                  <w:tcW w:w="1824" w:type="dxa"/>
                  <w:vAlign w:val="center"/>
                </w:tcPr>
                <w:p w14:paraId="4A761E2A">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标的名称</w:t>
                  </w:r>
                </w:p>
              </w:tc>
              <w:tc>
                <w:tcPr>
                  <w:tcW w:w="3245" w:type="dxa"/>
                  <w:vAlign w:val="center"/>
                </w:tcPr>
                <w:p w14:paraId="2B65CC85">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w:t>
                  </w:r>
                </w:p>
              </w:tc>
              <w:tc>
                <w:tcPr>
                  <w:tcW w:w="1824" w:type="dxa"/>
                  <w:vAlign w:val="center"/>
                </w:tcPr>
                <w:p w14:paraId="473FD2B6">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rPr>
                    <w:t>加厚型病理标本袋一批</w:t>
                  </w:r>
                </w:p>
              </w:tc>
              <w:tc>
                <w:tcPr>
                  <w:tcW w:w="3245" w:type="dxa"/>
                  <w:vAlign w:val="center"/>
                </w:tcPr>
                <w:p w14:paraId="5D080819">
                  <w:pPr>
                    <w:keepNext w:val="0"/>
                    <w:keepLines w:val="0"/>
                    <w:pageBreakBefore w:val="0"/>
                    <w:kinsoku/>
                    <w:overflowPunct/>
                    <w:topLinePunct w:val="0"/>
                    <w:bidi w:val="0"/>
                    <w:spacing w:line="400" w:lineRule="exact"/>
                    <w:ind w:firstLine="0" w:firstLineChars="0"/>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rPr>
                    <w:t>工业</w:t>
                  </w:r>
                </w:p>
              </w:tc>
            </w:tr>
          </w:tbl>
          <w:p w14:paraId="602A52D8">
            <w:pPr>
              <w:keepNext w:val="0"/>
              <w:keepLines w:val="0"/>
              <w:pageBreakBefore w:val="0"/>
              <w:kinsoku/>
              <w:overflowPunct/>
              <w:topLinePunct w:val="0"/>
              <w:autoSpaceDE w:val="0"/>
              <w:autoSpaceDN w:val="0"/>
              <w:bidi w:val="0"/>
              <w:adjustRightInd w:val="0"/>
              <w:spacing w:line="400" w:lineRule="exact"/>
              <w:ind w:firstLine="0" w:firstLineChars="0"/>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本项目采购标的属于工业。企业规模类型根据《中小企业划型标准规定》（工信部联企业[2011]300号）确定：</w:t>
            </w:r>
          </w:p>
          <w:p w14:paraId="3AF51A25">
            <w:pPr>
              <w:keepNext w:val="0"/>
              <w:keepLines w:val="0"/>
              <w:pageBreakBefore w:val="0"/>
              <w:kinsoku/>
              <w:overflowPunct/>
              <w:topLinePunct w:val="0"/>
              <w:autoSpaceDE w:val="0"/>
              <w:autoSpaceDN w:val="0"/>
              <w:bidi w:val="0"/>
              <w:adjustRightInd w:val="0"/>
              <w:spacing w:line="400" w:lineRule="exact"/>
              <w:ind w:firstLine="0" w:firstLineChars="0"/>
              <w:textAlignment w:val="baseline"/>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温馨提示：</w:t>
            </w:r>
          </w:p>
          <w:p w14:paraId="50661EC2">
            <w:pPr>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bCs/>
                <w:sz w:val="24"/>
                <w:szCs w:val="24"/>
                <w:highlight w:val="none"/>
              </w:rPr>
              <w:t>1、为方便广大中小企业识别企业规模类型，</w:t>
            </w:r>
            <w:r>
              <w:rPr>
                <w:rFonts w:hint="eastAsia" w:ascii="仿宋" w:hAnsi="仿宋" w:eastAsia="仿宋" w:cs="仿宋"/>
                <w:bCs/>
                <w:sz w:val="24"/>
                <w:szCs w:val="24"/>
                <w:highlight w:val="none"/>
                <w:u w:val="single"/>
              </w:rPr>
              <w:t>工业和信息化部组织开发了中小企业规模类型自测小程序，在国务院客户端和工业和信息化部网站上均有链接，</w:t>
            </w:r>
            <w:r>
              <w:rPr>
                <w:rFonts w:hint="eastAsia" w:ascii="仿宋" w:hAnsi="仿宋" w:eastAsia="仿宋" w:cs="仿宋"/>
                <w:bCs/>
                <w:sz w:val="24"/>
                <w:szCs w:val="24"/>
                <w:highlight w:val="none"/>
              </w:rPr>
              <w:t>供应商填写所属的行业和指标数据可自动生成企业规模类型测试结果</w:t>
            </w:r>
            <w:r>
              <w:rPr>
                <w:rFonts w:hint="eastAsia" w:ascii="仿宋" w:hAnsi="仿宋" w:eastAsia="仿宋" w:cs="仿宋"/>
                <w:b/>
                <w:bCs/>
                <w:sz w:val="24"/>
                <w:szCs w:val="24"/>
                <w:highlight w:val="none"/>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1" w:hRule="atLeast"/>
          <w:jc w:val="center"/>
        </w:trPr>
        <w:tc>
          <w:tcPr>
            <w:tcW w:w="971" w:type="dxa"/>
            <w:shd w:val="clear" w:color="auto" w:fill="auto"/>
            <w:vAlign w:val="center"/>
          </w:tcPr>
          <w:p w14:paraId="09442DCE">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w:t>
            </w:r>
          </w:p>
        </w:tc>
        <w:tc>
          <w:tcPr>
            <w:tcW w:w="1517" w:type="dxa"/>
            <w:shd w:val="clear" w:color="auto" w:fill="auto"/>
            <w:vAlign w:val="center"/>
          </w:tcPr>
          <w:p w14:paraId="30BE8B8E">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优先采购创新节能环保产品</w:t>
            </w:r>
          </w:p>
        </w:tc>
        <w:tc>
          <w:tcPr>
            <w:tcW w:w="7191" w:type="dxa"/>
            <w:shd w:val="clear" w:color="auto" w:fill="auto"/>
            <w:vAlign w:val="center"/>
          </w:tcPr>
          <w:p w14:paraId="7DE1A589">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所投产品纳入创新产品应用示范推荐目录内企业、所投产品获得节能产品或环境标志产品认证证书的供应商给予</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37" w:hRule="atLeast"/>
          <w:jc w:val="center"/>
        </w:trPr>
        <w:tc>
          <w:tcPr>
            <w:tcW w:w="971" w:type="dxa"/>
            <w:tcBorders>
              <w:right w:val="single" w:color="auto" w:sz="4" w:space="0"/>
            </w:tcBorders>
            <w:vAlign w:val="center"/>
          </w:tcPr>
          <w:p w14:paraId="508C11A2">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tc>
        <w:tc>
          <w:tcPr>
            <w:tcW w:w="1517" w:type="dxa"/>
            <w:tcBorders>
              <w:left w:val="single" w:color="auto" w:sz="4" w:space="0"/>
              <w:right w:val="single" w:color="auto" w:sz="4" w:space="0"/>
            </w:tcBorders>
            <w:vAlign w:val="center"/>
          </w:tcPr>
          <w:p w14:paraId="22600EA8">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w:t>
            </w:r>
          </w:p>
          <w:p w14:paraId="0E1E3032">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合同融资</w:t>
            </w:r>
          </w:p>
          <w:p w14:paraId="5DC8AE0E">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政策</w:t>
            </w:r>
          </w:p>
        </w:tc>
        <w:tc>
          <w:tcPr>
            <w:tcW w:w="7191" w:type="dxa"/>
            <w:tcBorders>
              <w:left w:val="single" w:color="auto" w:sz="4" w:space="0"/>
            </w:tcBorders>
            <w:vAlign w:val="center"/>
          </w:tcPr>
          <w:p w14:paraId="303D597F">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渠道和方式：详见新疆政府采购网。</w:t>
            </w:r>
          </w:p>
          <w:p w14:paraId="1D711CF6">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99" w:hRule="atLeast"/>
          <w:jc w:val="center"/>
        </w:trPr>
        <w:tc>
          <w:tcPr>
            <w:tcW w:w="971" w:type="dxa"/>
            <w:vMerge w:val="restart"/>
            <w:tcBorders>
              <w:right w:val="single" w:color="auto" w:sz="4" w:space="0"/>
            </w:tcBorders>
            <w:vAlign w:val="center"/>
          </w:tcPr>
          <w:p w14:paraId="5D0268BB">
            <w:pPr>
              <w:pStyle w:val="53"/>
              <w:keepNext w:val="0"/>
              <w:keepLines w:val="0"/>
              <w:pageBreakBefore w:val="0"/>
              <w:kinsoku/>
              <w:overflowPunct/>
              <w:topLinePunct w:val="0"/>
              <w:bidi w:val="0"/>
              <w:spacing w:line="400" w:lineRule="exact"/>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w:t>
            </w:r>
          </w:p>
        </w:tc>
        <w:tc>
          <w:tcPr>
            <w:tcW w:w="1517" w:type="dxa"/>
            <w:vMerge w:val="restart"/>
            <w:tcBorders>
              <w:right w:val="single" w:color="auto" w:sz="4" w:space="0"/>
            </w:tcBorders>
            <w:vAlign w:val="center"/>
          </w:tcPr>
          <w:p w14:paraId="019C7EEF">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需要补充的其他内容</w:t>
            </w:r>
          </w:p>
        </w:tc>
        <w:tc>
          <w:tcPr>
            <w:tcW w:w="7191" w:type="dxa"/>
            <w:tcBorders>
              <w:left w:val="single" w:color="auto" w:sz="4" w:space="0"/>
            </w:tcBorders>
            <w:vAlign w:val="center"/>
          </w:tcPr>
          <w:p w14:paraId="7867079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59" w:hRule="atLeast"/>
          <w:jc w:val="center"/>
        </w:trPr>
        <w:tc>
          <w:tcPr>
            <w:tcW w:w="971" w:type="dxa"/>
            <w:vMerge w:val="continue"/>
            <w:tcBorders>
              <w:right w:val="single" w:color="auto" w:sz="4" w:space="0"/>
            </w:tcBorders>
            <w:vAlign w:val="center"/>
          </w:tcPr>
          <w:p w14:paraId="472C3BB8">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p>
        </w:tc>
        <w:tc>
          <w:tcPr>
            <w:tcW w:w="1517" w:type="dxa"/>
            <w:vMerge w:val="continue"/>
            <w:tcBorders>
              <w:right w:val="single" w:color="auto" w:sz="4" w:space="0"/>
            </w:tcBorders>
            <w:vAlign w:val="center"/>
          </w:tcPr>
          <w:p w14:paraId="2170190C">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p>
        </w:tc>
        <w:tc>
          <w:tcPr>
            <w:tcW w:w="7191" w:type="dxa"/>
            <w:tcBorders>
              <w:left w:val="single" w:color="auto" w:sz="4" w:space="0"/>
            </w:tcBorders>
            <w:vAlign w:val="center"/>
          </w:tcPr>
          <w:p w14:paraId="2DE13BF9">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2.异常低价情形认定</w:t>
            </w:r>
          </w:p>
          <w:p w14:paraId="52410CDE">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政府采购评审中出现下列情形之一的，评审委员会应当启动异常低价投标（响应）审查程序：</w:t>
            </w:r>
          </w:p>
          <w:p w14:paraId="09B9FE6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（1）投标（响应）报价低于全部通过符合性审查供应商投标（响应）报价平均值50%的，即投标（响应）报价&lt;全部通过符合性审查供应商投标（响应）报价平均值×50%；</w:t>
            </w:r>
          </w:p>
          <w:p w14:paraId="52ABADBD">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（2）投标（响应）报价低于通过符合性审查的次低报价供应商投标（响应）报价50%的，即投标（响应）报价&lt;通过符合性审查的次低报价供应商投标（响应）报价×50%；</w:t>
            </w:r>
          </w:p>
          <w:p w14:paraId="332B326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（3）投标（响应）报价低于采购项目最高限价45%的，即投标（响应）报价&lt;采购项目最高限价×45%；</w:t>
            </w:r>
          </w:p>
          <w:p w14:paraId="22D1EB84">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（4）评审委员会基于专业判断，认为供应商报价过低，有可能影响产品质量或者不能诚信履约的其他情形。</w:t>
            </w:r>
          </w:p>
          <w:p w14:paraId="7B105870">
            <w:pPr>
              <w:keepNext w:val="0"/>
              <w:keepLines w:val="0"/>
              <w:pageBreakBefore w:val="0"/>
              <w:kinsoku/>
              <w:overflowPunct/>
              <w:topLinePunct w:val="0"/>
              <w:bidi w:val="0"/>
              <w:spacing w:line="40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采购人可以结合具体项目实际情况，提高上述第（1）项至第（3）项中启动异常低价投标（响应）审查的数值标准，但最高不得超过65%。</w:t>
            </w:r>
          </w:p>
          <w:p w14:paraId="274D5100">
            <w:pPr>
              <w:keepNext w:val="0"/>
              <w:keepLines w:val="0"/>
              <w:pageBreakBefore w:val="0"/>
              <w:kinsoku/>
              <w:overflowPunct/>
              <w:topLinePunct w:val="0"/>
              <w:bidi w:val="0"/>
              <w:snapToGrid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b/>
                <w:bCs/>
                <w:sz w:val="24"/>
                <w:szCs w:val="24"/>
                <w:highlight w:val="none"/>
              </w:rPr>
              <w:t>本项目启动异常低价投标（响应）审查的数值标准详见以上描述。</w:t>
            </w: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38" w:hRule="atLeast"/>
          <w:jc w:val="center"/>
        </w:trPr>
        <w:tc>
          <w:tcPr>
            <w:tcW w:w="971" w:type="dxa"/>
            <w:vMerge w:val="continue"/>
            <w:tcBorders>
              <w:right w:val="single" w:color="auto" w:sz="4" w:space="0"/>
            </w:tcBorders>
            <w:vAlign w:val="center"/>
          </w:tcPr>
          <w:p w14:paraId="6ED53375">
            <w:pPr>
              <w:pStyle w:val="53"/>
              <w:keepNext w:val="0"/>
              <w:keepLines w:val="0"/>
              <w:pageBreakBefore w:val="0"/>
              <w:kinsoku/>
              <w:overflowPunct/>
              <w:topLinePunct w:val="0"/>
              <w:bidi w:val="0"/>
              <w:spacing w:line="400" w:lineRule="exact"/>
              <w:ind w:firstLine="0" w:firstLineChars="0"/>
              <w:jc w:val="center"/>
              <w:rPr>
                <w:rFonts w:hint="eastAsia" w:ascii="仿宋" w:hAnsi="仿宋" w:eastAsia="仿宋" w:cs="仿宋"/>
                <w:sz w:val="24"/>
                <w:szCs w:val="24"/>
                <w:highlight w:val="none"/>
              </w:rPr>
            </w:pPr>
          </w:p>
        </w:tc>
        <w:tc>
          <w:tcPr>
            <w:tcW w:w="1517" w:type="dxa"/>
            <w:vMerge w:val="continue"/>
            <w:tcBorders>
              <w:right w:val="single" w:color="auto" w:sz="4" w:space="0"/>
            </w:tcBorders>
            <w:vAlign w:val="center"/>
          </w:tcPr>
          <w:p w14:paraId="10A6D429">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p>
        </w:tc>
        <w:tc>
          <w:tcPr>
            <w:tcW w:w="7191" w:type="dxa"/>
            <w:tcBorders>
              <w:left w:val="single" w:color="auto" w:sz="4" w:space="0"/>
            </w:tcBorders>
            <w:shd w:val="clear" w:color="auto" w:fill="auto"/>
            <w:vAlign w:val="center"/>
          </w:tcPr>
          <w:p w14:paraId="040310AC">
            <w:pPr>
              <w:pStyle w:val="78"/>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3.注意事项：</w:t>
            </w:r>
          </w:p>
          <w:p w14:paraId="3060AFD3">
            <w:pPr>
              <w:pStyle w:val="78"/>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电子标书加盖印章的两种方式:一种为电子章；另一种为纸质版盖章后扫描，两种方式的任意一种在评审时均予认可。</w:t>
            </w:r>
          </w:p>
          <w:p w14:paraId="2F3405E8">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b/>
                <w:bCs/>
                <w:sz w:val="24"/>
                <w:szCs w:val="24"/>
                <w:highlight w:val="none"/>
              </w:rPr>
            </w:pPr>
            <w:r>
              <w:rPr>
                <w:rFonts w:hint="eastAsia" w:ascii="仿宋" w:hAnsi="仿宋" w:eastAsia="仿宋" w:cs="仿宋"/>
                <w:bCs/>
                <w:sz w:val="24"/>
                <w:szCs w:val="24"/>
                <w:highlight w:val="none"/>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43" w:hRule="atLeast"/>
          <w:jc w:val="center"/>
        </w:trPr>
        <w:tc>
          <w:tcPr>
            <w:tcW w:w="9679" w:type="dxa"/>
            <w:gridSpan w:val="3"/>
            <w:vAlign w:val="center"/>
          </w:tcPr>
          <w:p w14:paraId="2F10B18F">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68336E88">
            <w:pPr>
              <w:pStyle w:val="53"/>
              <w:keepNext w:val="0"/>
              <w:keepLines w:val="0"/>
              <w:pageBreakBefore w:val="0"/>
              <w:numPr>
                <w:ilvl w:val="0"/>
                <w:numId w:val="3"/>
              </w:numPr>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除本招标文件另有规定外，招标文件中出现的类似于“近三年”或“前三年”、“近五年”或“前五年”均指递交投标文件截止时间之前三年或前五年，以此类推。</w:t>
            </w:r>
          </w:p>
          <w:p w14:paraId="550B46D2">
            <w:pPr>
              <w:pStyle w:val="53"/>
              <w:keepNext w:val="0"/>
              <w:keepLines w:val="0"/>
              <w:pageBreakBefore w:val="0"/>
              <w:numPr>
                <w:ilvl w:val="0"/>
                <w:numId w:val="3"/>
              </w:numPr>
              <w:kinsoku/>
              <w:overflowPunct/>
              <w:topLinePunct w:val="0"/>
              <w:bidi w:val="0"/>
              <w:spacing w:line="4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本招标文件所称的“以上”、“以下”、“内”、“以内”，包括本数；所称的“不足”，不包括本数。</w:t>
            </w:r>
          </w:p>
          <w:p w14:paraId="09FB57E3">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 招标文件中部分加“</w:t>
            </w:r>
            <w:r>
              <w:rPr>
                <w:rFonts w:hint="eastAsia" w:ascii="仿宋" w:hAnsi="仿宋" w:eastAsia="仿宋" w:cs="仿宋"/>
                <w:snapToGrid w:val="0"/>
                <w:color w:val="auto"/>
                <w:sz w:val="24"/>
                <w:szCs w:val="24"/>
                <w:highlight w:val="none"/>
                <w:lang w:val="zh-CN" w:eastAsia="zh-CN"/>
              </w:rPr>
              <w:t>★</w:t>
            </w:r>
            <w:r>
              <w:rPr>
                <w:rFonts w:hint="eastAsia" w:ascii="仿宋" w:hAnsi="仿宋" w:eastAsia="仿宋" w:cs="仿宋"/>
                <w:sz w:val="24"/>
                <w:szCs w:val="24"/>
                <w:highlight w:val="none"/>
                <w:lang w:val="en-US" w:eastAsia="zh-CN"/>
              </w:rPr>
              <w:t>”、加粗、加下划线、废标、无效标、投标被拒绝字样的条款，为招标的实质性要求和条件，着重提醒各投标人注意，并认真查看招标文件中的每一个条款及要求，因误读招标文件而造成的后果，招标人概不负责。</w:t>
            </w:r>
          </w:p>
          <w:p w14:paraId="69E74866">
            <w:pPr>
              <w:pStyle w:val="53"/>
              <w:keepNext w:val="0"/>
              <w:keepLines w:val="0"/>
              <w:pageBreakBefore w:val="0"/>
              <w:kinsoku/>
              <w:overflowPunct/>
              <w:topLinePunct w:val="0"/>
              <w:bidi w:val="0"/>
              <w:spacing w:line="40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 投标文件中有弄虚作假的内容，其投标文件作废。（如假证书、假业绩、隐瞒不良行为记录、夸大荣誉、使用非本单位在职员工的相关证件及不符合招标文件规定的条款等）；在签订合同之前，如发现投标人的投标文件有弄虚作假内容，招标人可拒绝与其签订合同,且上报上级主管部门。</w:t>
            </w:r>
          </w:p>
          <w:p w14:paraId="300104E5">
            <w:pPr>
              <w:pStyle w:val="53"/>
              <w:keepNext w:val="0"/>
              <w:keepLines w:val="0"/>
              <w:pageBreakBefore w:val="0"/>
              <w:kinsoku/>
              <w:overflowPunct/>
              <w:topLinePunct w:val="0"/>
              <w:bidi w:val="0"/>
              <w:spacing w:line="400" w:lineRule="exact"/>
              <w:ind w:firstLine="0" w:firstLineChars="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5. </w:t>
            </w:r>
            <w:r>
              <w:rPr>
                <w:rFonts w:hint="eastAsia" w:ascii="仿宋" w:hAnsi="仿宋" w:eastAsia="仿宋" w:cs="仿宋"/>
                <w:sz w:val="24"/>
                <w:szCs w:val="24"/>
                <w:highlight w:val="none"/>
              </w:rPr>
              <w:t>解释权:构成采购文件的各个组成文件应互为解释，互为说明；除采购文件中有特别规定外，招标公告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投标人须知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资格审查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评标方法及标准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合同草案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投标文件的格式的先后顺序解释；如采购文件出现前后</w:t>
            </w:r>
            <w:r>
              <w:rPr>
                <w:rFonts w:hint="eastAsia" w:ascii="仿宋" w:hAnsi="仿宋" w:eastAsia="仿宋" w:cs="仿宋"/>
                <w:sz w:val="24"/>
                <w:szCs w:val="24"/>
                <w:highlight w:val="none"/>
              </w:rPr>
              <w:t>不一致的内容以投标人须知前附表为准。</w:t>
            </w:r>
          </w:p>
        </w:tc>
      </w:tr>
    </w:tbl>
    <w:p w14:paraId="1FAB2D8A">
      <w:pPr>
        <w:rPr>
          <w:rFonts w:hint="eastAsia" w:ascii="仿宋" w:hAnsi="仿宋" w:eastAsia="仿宋" w:cs="仿宋"/>
          <w:highlight w:val="none"/>
        </w:rPr>
      </w:pPr>
      <w:r>
        <w:rPr>
          <w:rFonts w:hint="eastAsia" w:ascii="仿宋" w:hAnsi="仿宋" w:eastAsia="仿宋" w:cs="仿宋"/>
          <w:highlight w:val="none"/>
        </w:rPr>
        <w:br w:type="page"/>
      </w:r>
    </w:p>
    <w:p w14:paraId="5A782D71">
      <w:pPr>
        <w:pStyle w:val="3"/>
        <w:keepNext/>
        <w:keepLines/>
        <w:pageBreakBefore w:val="0"/>
        <w:widowControl/>
        <w:kinsoku/>
        <w:wordWrap/>
        <w:overflowPunct/>
        <w:topLinePunct w:val="0"/>
        <w:autoSpaceDE/>
        <w:autoSpaceDN/>
        <w:bidi w:val="0"/>
        <w:adjustRightInd/>
        <w:snapToGrid/>
        <w:spacing w:before="120" w:after="120" w:line="440" w:lineRule="exact"/>
        <w:textAlignment w:val="auto"/>
        <w:rPr>
          <w:rFonts w:hint="eastAsia" w:ascii="仿宋" w:hAnsi="仿宋" w:eastAsia="仿宋" w:cs="仿宋"/>
          <w:highlight w:val="none"/>
          <w:lang w:val="hr-HR"/>
        </w:rPr>
      </w:pPr>
      <w:bookmarkStart w:id="135" w:name="_Toc23095"/>
      <w:bookmarkStart w:id="136" w:name="_Toc163492821"/>
      <w:bookmarkStart w:id="137" w:name="_Toc155185869"/>
      <w:r>
        <w:rPr>
          <w:rFonts w:hint="eastAsia" w:ascii="仿宋" w:hAnsi="仿宋" w:eastAsia="仿宋" w:cs="仿宋"/>
          <w:highlight w:val="none"/>
          <w:lang w:val="hr-HR"/>
        </w:rPr>
        <w:t>二、投标人须知</w:t>
      </w:r>
      <w:bookmarkEnd w:id="135"/>
      <w:bookmarkEnd w:id="136"/>
      <w:bookmarkEnd w:id="137"/>
    </w:p>
    <w:p w14:paraId="0AC8A88B">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38" w:name="_Toc155185870"/>
      <w:bookmarkStart w:id="139" w:name="_Toc163492822"/>
      <w:r>
        <w:rPr>
          <w:rFonts w:hint="eastAsia" w:ascii="仿宋" w:hAnsi="仿宋" w:eastAsia="仿宋" w:cs="仿宋"/>
          <w:sz w:val="24"/>
          <w:szCs w:val="24"/>
          <w:highlight w:val="none"/>
        </w:rPr>
        <w:t>（一）总则</w:t>
      </w:r>
      <w:bookmarkEnd w:id="138"/>
      <w:bookmarkEnd w:id="139"/>
    </w:p>
    <w:p w14:paraId="72EAAC37">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40" w:name="_Toc109897532"/>
      <w:bookmarkStart w:id="141" w:name="_Toc155095689"/>
      <w:bookmarkStart w:id="142" w:name="_Toc109900469"/>
      <w:bookmarkStart w:id="143" w:name="_Toc163492823"/>
      <w:bookmarkStart w:id="144" w:name="_Toc109899631"/>
      <w:bookmarkStart w:id="145" w:name="_Toc109900050"/>
      <w:bookmarkStart w:id="146" w:name="_Toc31233"/>
      <w:r>
        <w:rPr>
          <w:rFonts w:hint="eastAsia" w:ascii="仿宋" w:hAnsi="仿宋" w:eastAsia="仿宋" w:cs="仿宋"/>
          <w:sz w:val="24"/>
          <w:szCs w:val="24"/>
          <w:highlight w:val="none"/>
        </w:rPr>
        <w:t>1.适用范围</w:t>
      </w:r>
      <w:bookmarkEnd w:id="140"/>
      <w:bookmarkEnd w:id="141"/>
      <w:bookmarkEnd w:id="142"/>
      <w:bookmarkEnd w:id="143"/>
      <w:bookmarkEnd w:id="144"/>
      <w:bookmarkEnd w:id="145"/>
      <w:bookmarkEnd w:id="146"/>
    </w:p>
    <w:p w14:paraId="0AD75D3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1.1本招标文件仅适用于本项目的采购活动。</w:t>
      </w:r>
    </w:p>
    <w:p w14:paraId="6E144820">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47" w:name="_Toc163492824"/>
      <w:r>
        <w:rPr>
          <w:rFonts w:hint="eastAsia" w:ascii="仿宋" w:hAnsi="仿宋" w:eastAsia="仿宋" w:cs="仿宋"/>
          <w:sz w:val="24"/>
          <w:szCs w:val="24"/>
          <w:highlight w:val="none"/>
        </w:rPr>
        <w:t>2.基本定义</w:t>
      </w:r>
      <w:bookmarkEnd w:id="147"/>
    </w:p>
    <w:p w14:paraId="60C39EA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根据《中华人民共和国政府采购法》及其实施条例等有关法律、法规和规章的规定，制定本招标文件。</w:t>
      </w:r>
    </w:p>
    <w:p w14:paraId="40ABB1F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2.1项目名称及编号：</w:t>
      </w:r>
      <w:r>
        <w:rPr>
          <w:rFonts w:hint="eastAsia" w:ascii="仿宋" w:hAnsi="仿宋" w:eastAsia="仿宋" w:cs="仿宋"/>
          <w:sz w:val="24"/>
          <w:szCs w:val="24"/>
          <w:highlight w:val="none"/>
          <w:lang w:val="en-US"/>
        </w:rPr>
        <w:t>见</w:t>
      </w:r>
      <w:r>
        <w:rPr>
          <w:rFonts w:hint="eastAsia" w:ascii="仿宋" w:hAnsi="仿宋" w:eastAsia="仿宋" w:cs="仿宋"/>
          <w:sz w:val="24"/>
          <w:szCs w:val="24"/>
          <w:highlight w:val="none"/>
        </w:rPr>
        <w:t>“投标人须知前附表”</w:t>
      </w:r>
      <w:r>
        <w:rPr>
          <w:rFonts w:hint="eastAsia" w:ascii="仿宋" w:hAnsi="仿宋" w:eastAsia="仿宋" w:cs="仿宋"/>
          <w:sz w:val="24"/>
          <w:szCs w:val="24"/>
          <w:highlight w:val="none"/>
          <w:lang w:val="en-US"/>
        </w:rPr>
        <w:t>。</w:t>
      </w:r>
    </w:p>
    <w:p w14:paraId="38762F3C">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2.2采购人：</w:t>
      </w:r>
      <w:r>
        <w:rPr>
          <w:rFonts w:hint="eastAsia" w:ascii="仿宋" w:hAnsi="仿宋" w:eastAsia="仿宋" w:cs="仿宋"/>
          <w:sz w:val="24"/>
          <w:szCs w:val="24"/>
          <w:highlight w:val="none"/>
          <w:lang w:bidi="ar"/>
        </w:rPr>
        <w:t>指依法进行政府采购的国家机关、事业单位、团体组织</w:t>
      </w:r>
      <w:r>
        <w:rPr>
          <w:rFonts w:hint="eastAsia" w:ascii="仿宋" w:hAnsi="仿宋" w:eastAsia="仿宋" w:cs="仿宋"/>
          <w:sz w:val="24"/>
          <w:szCs w:val="24"/>
          <w:highlight w:val="none"/>
        </w:rPr>
        <w:t>。</w:t>
      </w:r>
    </w:p>
    <w:p w14:paraId="33538EDA">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2.3采购代理机构：</w:t>
      </w:r>
      <w:r>
        <w:rPr>
          <w:rFonts w:hint="eastAsia" w:ascii="仿宋" w:hAnsi="仿宋" w:eastAsia="仿宋" w:cs="仿宋"/>
          <w:sz w:val="24"/>
          <w:szCs w:val="24"/>
          <w:highlight w:val="none"/>
          <w:lang w:bidi="ar"/>
        </w:rPr>
        <w:t>指依法进行政府采购的国家机关、事业单位、团体组织</w:t>
      </w:r>
      <w:r>
        <w:rPr>
          <w:rFonts w:hint="eastAsia" w:ascii="仿宋" w:hAnsi="仿宋" w:eastAsia="仿宋" w:cs="仿宋"/>
          <w:sz w:val="24"/>
          <w:szCs w:val="24"/>
          <w:highlight w:val="none"/>
        </w:rPr>
        <w:t>委托的采购代理机构。</w:t>
      </w:r>
    </w:p>
    <w:p w14:paraId="00D734D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w:t>
      </w:r>
      <w:r>
        <w:rPr>
          <w:rFonts w:hint="eastAsia" w:ascii="仿宋" w:hAnsi="仿宋" w:eastAsia="仿宋" w:cs="仿宋"/>
          <w:sz w:val="24"/>
          <w:szCs w:val="24"/>
          <w:highlight w:val="none"/>
          <w:lang w:val="en-US"/>
        </w:rPr>
        <w:t>项目概况：见</w:t>
      </w:r>
      <w:r>
        <w:rPr>
          <w:rFonts w:hint="eastAsia" w:ascii="仿宋" w:hAnsi="仿宋" w:eastAsia="仿宋" w:cs="仿宋"/>
          <w:sz w:val="24"/>
          <w:szCs w:val="24"/>
          <w:highlight w:val="none"/>
        </w:rPr>
        <w:t>“投标人须知前附表”</w:t>
      </w:r>
    </w:p>
    <w:p w14:paraId="3B36247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2.6核心产品见“投标人须知前附表”。</w:t>
      </w:r>
    </w:p>
    <w:p w14:paraId="5AC98EE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2.7是否属于</w:t>
      </w:r>
      <w:r>
        <w:rPr>
          <w:rFonts w:hint="eastAsia" w:ascii="仿宋" w:hAnsi="仿宋" w:eastAsia="仿宋" w:cs="仿宋"/>
          <w:kern w:val="0"/>
          <w:sz w:val="24"/>
          <w:szCs w:val="24"/>
          <w:highlight w:val="none"/>
          <w:lang w:bidi="ar"/>
        </w:rPr>
        <w:t>科研仪器设备采购</w:t>
      </w:r>
      <w:r>
        <w:rPr>
          <w:rFonts w:hint="eastAsia" w:ascii="仿宋" w:hAnsi="仿宋" w:eastAsia="仿宋" w:cs="仿宋"/>
          <w:sz w:val="24"/>
          <w:szCs w:val="24"/>
          <w:highlight w:val="none"/>
        </w:rPr>
        <w:t>见“投标人须知前附表”。</w:t>
      </w:r>
    </w:p>
    <w:p w14:paraId="4BF3CBA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iCs w:val="0"/>
          <w:sz w:val="24"/>
          <w:szCs w:val="24"/>
          <w:highlight w:val="none"/>
        </w:rPr>
        <w:t>2.8</w:t>
      </w:r>
      <w:r>
        <w:rPr>
          <w:rFonts w:hint="eastAsia" w:ascii="仿宋" w:hAnsi="仿宋" w:eastAsia="仿宋" w:cs="仿宋"/>
          <w:sz w:val="24"/>
          <w:szCs w:val="24"/>
          <w:highlight w:val="none"/>
        </w:rPr>
        <w:t>投标人</w:t>
      </w:r>
      <w:r>
        <w:rPr>
          <w:rFonts w:hint="eastAsia" w:ascii="仿宋" w:hAnsi="仿宋" w:eastAsia="仿宋" w:cs="仿宋"/>
          <w:iCs w:val="0"/>
          <w:sz w:val="24"/>
          <w:szCs w:val="24"/>
          <w:highlight w:val="none"/>
        </w:rPr>
        <w:t>（也称“供应商”、“申请人”）：指向采购人提供货物、工程或者服务的法人、其他组织或者自然人。</w:t>
      </w:r>
      <w:r>
        <w:rPr>
          <w:rFonts w:hint="eastAsia" w:ascii="仿宋" w:hAnsi="仿宋" w:eastAsia="仿宋" w:cs="仿宋"/>
          <w:sz w:val="24"/>
          <w:szCs w:val="24"/>
          <w:highlight w:val="none"/>
        </w:rPr>
        <w:t>分支机构不得参加政府采购活动，但银行、保险、石油石化、电力、电信等有行业特殊情况的除外。本项目的投标人须满足以下条件：</w:t>
      </w:r>
    </w:p>
    <w:p w14:paraId="3E69703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2.8.1具备《中华人民共和国政府采购法》第二十二条规定的条件，遵守本项目采购人本级和上级财政部门政府采购的有关规定。</w:t>
      </w:r>
    </w:p>
    <w:p w14:paraId="6999C76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2.8.2以招标公告中发布的方式依法获得了本项目的招标文件。</w:t>
      </w:r>
    </w:p>
    <w:p w14:paraId="5F23F58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2.8.3符合本招标文件规定并参加投标的供应商。</w:t>
      </w:r>
    </w:p>
    <w:p w14:paraId="505FFEB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w:t>
      </w:r>
      <w:r>
        <w:rPr>
          <w:rFonts w:hint="eastAsia" w:ascii="仿宋" w:hAnsi="仿宋" w:eastAsia="仿宋" w:cs="仿宋"/>
          <w:iCs w:val="0"/>
          <w:sz w:val="24"/>
          <w:szCs w:val="24"/>
          <w:highlight w:val="none"/>
        </w:rPr>
        <w:t>潜在</w:t>
      </w:r>
      <w:r>
        <w:rPr>
          <w:rFonts w:hint="eastAsia" w:ascii="仿宋" w:hAnsi="仿宋" w:eastAsia="仿宋" w:cs="仿宋"/>
          <w:sz w:val="24"/>
          <w:szCs w:val="24"/>
          <w:highlight w:val="none"/>
        </w:rPr>
        <w:t>投标人</w:t>
      </w:r>
      <w:r>
        <w:rPr>
          <w:rFonts w:hint="eastAsia" w:ascii="仿宋" w:hAnsi="仿宋" w:eastAsia="仿宋" w:cs="仿宋"/>
          <w:iCs w:val="0"/>
          <w:sz w:val="24"/>
          <w:szCs w:val="24"/>
          <w:highlight w:val="none"/>
        </w:rPr>
        <w:t>、潜在供应商：指</w:t>
      </w:r>
      <w:r>
        <w:rPr>
          <w:rFonts w:hint="eastAsia" w:ascii="仿宋" w:hAnsi="仿宋" w:eastAsia="仿宋" w:cs="仿宋"/>
          <w:sz w:val="24"/>
          <w:szCs w:val="24"/>
          <w:highlight w:val="none"/>
        </w:rPr>
        <w:t>符合本招标文件规定的供应商。</w:t>
      </w:r>
    </w:p>
    <w:p w14:paraId="3B747576">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48" w:name="_Toc163492825"/>
      <w:bookmarkStart w:id="149" w:name="_Toc140132758"/>
      <w:r>
        <w:rPr>
          <w:rFonts w:hint="eastAsia" w:ascii="仿宋" w:hAnsi="仿宋" w:eastAsia="仿宋" w:cs="仿宋"/>
          <w:sz w:val="24"/>
          <w:szCs w:val="24"/>
          <w:highlight w:val="none"/>
        </w:rPr>
        <w:t>3.资金来源</w:t>
      </w:r>
      <w:bookmarkEnd w:id="148"/>
      <w:bookmarkEnd w:id="149"/>
    </w:p>
    <w:p w14:paraId="62A70D8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3.1资金来源：</w:t>
      </w:r>
      <w:r>
        <w:rPr>
          <w:rFonts w:hint="eastAsia" w:ascii="仿宋" w:hAnsi="仿宋" w:eastAsia="仿宋" w:cs="仿宋"/>
          <w:sz w:val="24"/>
          <w:szCs w:val="24"/>
          <w:highlight w:val="none"/>
          <w:lang w:val="en-US"/>
        </w:rPr>
        <w:t>为财政性资金即</w:t>
      </w:r>
      <w:r>
        <w:rPr>
          <w:rFonts w:hint="eastAsia" w:ascii="仿宋" w:hAnsi="仿宋" w:eastAsia="仿宋" w:cs="仿宋"/>
          <w:sz w:val="24"/>
          <w:szCs w:val="24"/>
          <w:highlight w:val="none"/>
        </w:rPr>
        <w:t>纳入预算管理的资金。以财政性资金作为还款来源的借贷资金，视同财政性资金。财政性资金与非财政性资金无法分割采购的，统一适用《中华人民共和国政府采购法》及其实施条例。</w:t>
      </w:r>
    </w:p>
    <w:p w14:paraId="424FA6EA">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50" w:name="_Toc140132760"/>
      <w:bookmarkStart w:id="151" w:name="_Toc163492826"/>
      <w:r>
        <w:rPr>
          <w:rFonts w:hint="eastAsia" w:ascii="仿宋" w:hAnsi="仿宋" w:eastAsia="仿宋" w:cs="仿宋"/>
          <w:sz w:val="24"/>
          <w:szCs w:val="24"/>
          <w:highlight w:val="none"/>
        </w:rPr>
        <w:t>4.投标人资格要求</w:t>
      </w:r>
      <w:bookmarkEnd w:id="150"/>
      <w:bookmarkEnd w:id="151"/>
    </w:p>
    <w:p w14:paraId="5E6FF28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4.1投标人资格要求：见“</w:t>
      </w:r>
      <w:r>
        <w:rPr>
          <w:rFonts w:hint="eastAsia" w:ascii="仿宋" w:hAnsi="仿宋" w:eastAsia="仿宋" w:cs="仿宋"/>
          <w:sz w:val="24"/>
          <w:szCs w:val="24"/>
          <w:highlight w:val="none"/>
          <w:lang w:val="en-US"/>
        </w:rPr>
        <w:t>第一章 招标公告</w:t>
      </w:r>
      <w:r>
        <w:rPr>
          <w:rFonts w:hint="eastAsia" w:ascii="仿宋" w:hAnsi="仿宋" w:eastAsia="仿宋" w:cs="仿宋"/>
          <w:sz w:val="24"/>
          <w:szCs w:val="24"/>
          <w:highlight w:val="none"/>
        </w:rPr>
        <w:t>”；</w:t>
      </w:r>
    </w:p>
    <w:p w14:paraId="09E8405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第一章 招标公告</w:t>
      </w:r>
      <w:r>
        <w:rPr>
          <w:rFonts w:hint="eastAsia" w:ascii="仿宋" w:hAnsi="仿宋" w:eastAsia="仿宋" w:cs="仿宋"/>
          <w:sz w:val="24"/>
          <w:szCs w:val="24"/>
          <w:highlight w:val="none"/>
        </w:rPr>
        <w:t>”规定接受联合体投标的，还应遵守以下规定：</w:t>
      </w:r>
    </w:p>
    <w:p w14:paraId="6E53318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1两个以上的自然人、法人或者其他组织可以组成一个联合体，以一个</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的身份共同参加政府采购。以联合体形式进行政府采购的，参加联合体的供应商均应当具备《中华人民共和国政府采购法》第二十二条规定的条件。</w:t>
      </w:r>
    </w:p>
    <w:p w14:paraId="6F3A21D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2.2</w:t>
      </w:r>
      <w:r>
        <w:rPr>
          <w:rFonts w:hint="eastAsia" w:ascii="仿宋" w:hAnsi="仿宋" w:eastAsia="仿宋" w:cs="仿宋"/>
          <w:sz w:val="24"/>
          <w:szCs w:val="24"/>
          <w:highlight w:val="none"/>
        </w:rPr>
        <w:t>联合体各方应按招标文件提供的格式签订联合</w:t>
      </w:r>
      <w:r>
        <w:rPr>
          <w:rFonts w:hint="eastAsia" w:ascii="仿宋" w:hAnsi="仿宋" w:eastAsia="仿宋" w:cs="仿宋"/>
          <w:sz w:val="24"/>
          <w:szCs w:val="24"/>
          <w:highlight w:val="none"/>
          <w:lang w:val="en-US"/>
        </w:rPr>
        <w:t>体</w:t>
      </w:r>
      <w:r>
        <w:rPr>
          <w:rFonts w:hint="eastAsia" w:ascii="仿宋" w:hAnsi="仿宋" w:eastAsia="仿宋" w:cs="仿宋"/>
          <w:sz w:val="24"/>
          <w:szCs w:val="24"/>
          <w:highlight w:val="none"/>
        </w:rPr>
        <w:t>协议</w:t>
      </w:r>
      <w:r>
        <w:rPr>
          <w:rFonts w:hint="eastAsia" w:ascii="仿宋" w:hAnsi="仿宋" w:eastAsia="仿宋" w:cs="仿宋"/>
          <w:sz w:val="24"/>
          <w:szCs w:val="24"/>
          <w:highlight w:val="none"/>
          <w:lang w:val="en-US"/>
        </w:rPr>
        <w:t>书</w:t>
      </w:r>
      <w:r>
        <w:rPr>
          <w:rFonts w:hint="eastAsia" w:ascii="仿宋" w:hAnsi="仿宋" w:eastAsia="仿宋" w:cs="仿宋"/>
          <w:sz w:val="24"/>
          <w:szCs w:val="24"/>
          <w:highlight w:val="none"/>
        </w:rPr>
        <w:t>，明确约定联合体各方承担的工作和相应的责任，并将联合</w:t>
      </w:r>
      <w:r>
        <w:rPr>
          <w:rFonts w:hint="eastAsia" w:ascii="仿宋" w:hAnsi="仿宋" w:eastAsia="仿宋" w:cs="仿宋"/>
          <w:sz w:val="24"/>
          <w:szCs w:val="24"/>
          <w:highlight w:val="none"/>
          <w:lang w:val="en-US"/>
        </w:rPr>
        <w:t>体</w:t>
      </w:r>
      <w:r>
        <w:rPr>
          <w:rFonts w:hint="eastAsia" w:ascii="仿宋" w:hAnsi="仿宋" w:eastAsia="仿宋" w:cs="仿宋"/>
          <w:sz w:val="24"/>
          <w:szCs w:val="24"/>
          <w:highlight w:val="none"/>
        </w:rPr>
        <w:t>协议</w:t>
      </w:r>
      <w:r>
        <w:rPr>
          <w:rFonts w:hint="eastAsia" w:ascii="仿宋" w:hAnsi="仿宋" w:eastAsia="仿宋" w:cs="仿宋"/>
          <w:sz w:val="24"/>
          <w:szCs w:val="24"/>
          <w:highlight w:val="none"/>
          <w:lang w:val="en-US"/>
        </w:rPr>
        <w:t>书</w:t>
      </w:r>
      <w:r>
        <w:rPr>
          <w:rFonts w:hint="eastAsia" w:ascii="仿宋" w:hAnsi="仿宋" w:eastAsia="仿宋" w:cs="仿宋"/>
          <w:sz w:val="24"/>
          <w:szCs w:val="24"/>
          <w:highlight w:val="none"/>
        </w:rPr>
        <w:t>作为投标文件的一部分提交，该协议书对联合</w:t>
      </w:r>
      <w:r>
        <w:rPr>
          <w:rFonts w:hint="eastAsia" w:ascii="仿宋" w:hAnsi="仿宋" w:eastAsia="仿宋" w:cs="仿宋"/>
          <w:sz w:val="24"/>
          <w:szCs w:val="24"/>
          <w:highlight w:val="none"/>
          <w:lang w:val="en-US"/>
        </w:rPr>
        <w:t>体所有成员</w:t>
      </w:r>
      <w:r>
        <w:rPr>
          <w:rFonts w:hint="eastAsia" w:ascii="仿宋" w:hAnsi="仿宋" w:eastAsia="仿宋" w:cs="仿宋"/>
          <w:sz w:val="24"/>
          <w:szCs w:val="24"/>
          <w:highlight w:val="none"/>
        </w:rPr>
        <w:t>均具有法律约束力。</w:t>
      </w:r>
    </w:p>
    <w:p w14:paraId="24F2EE3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4.2.3</w:t>
      </w:r>
      <w:r>
        <w:rPr>
          <w:rFonts w:hint="eastAsia" w:ascii="仿宋" w:hAnsi="仿宋" w:eastAsia="仿宋" w:cs="仿宋"/>
          <w:sz w:val="24"/>
          <w:szCs w:val="24"/>
          <w:highlight w:val="none"/>
        </w:rPr>
        <w:t>联合体中有同类资质的供应商按照联合体分工承担相同工作的，应当按照资质等级较低的供应商确定资质等级。</w:t>
      </w:r>
    </w:p>
    <w:p w14:paraId="3B20480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以联合体形式参加政府采购活动的，联合体各方不得再单独参加或者与其他供应商另外组成联合体参加</w:t>
      </w:r>
      <w:r>
        <w:rPr>
          <w:rFonts w:hint="eastAsia" w:ascii="仿宋" w:hAnsi="仿宋" w:eastAsia="仿宋" w:cs="仿宋"/>
          <w:sz w:val="24"/>
          <w:szCs w:val="24"/>
          <w:highlight w:val="none"/>
          <w:lang w:val="en-US"/>
        </w:rPr>
        <w:t>同一合同项下的</w:t>
      </w:r>
      <w:r>
        <w:rPr>
          <w:rFonts w:hint="eastAsia" w:ascii="仿宋" w:hAnsi="仿宋" w:eastAsia="仿宋" w:cs="仿宋"/>
          <w:sz w:val="24"/>
          <w:szCs w:val="24"/>
          <w:highlight w:val="none"/>
        </w:rPr>
        <w:t>投标，否则相关投标将被认定为</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505F07E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4.2</w:t>
      </w:r>
      <w:r>
        <w:rPr>
          <w:rFonts w:hint="eastAsia" w:ascii="仿宋" w:hAnsi="仿宋" w:eastAsia="仿宋" w:cs="仿宋"/>
          <w:sz w:val="24"/>
          <w:szCs w:val="24"/>
          <w:highlight w:val="none"/>
        </w:rPr>
        <w:t>.5大中型企业、其他自然人、法人或者非法人组织与小型、微型企业组成联合体共同参加投标</w:t>
      </w:r>
      <w:r>
        <w:rPr>
          <w:rFonts w:hint="eastAsia" w:ascii="仿宋" w:hAnsi="仿宋" w:eastAsia="仿宋" w:cs="仿宋"/>
          <w:sz w:val="24"/>
          <w:szCs w:val="24"/>
          <w:highlight w:val="none"/>
          <w:lang w:val="en-US"/>
        </w:rPr>
        <w:t>的</w:t>
      </w:r>
      <w:r>
        <w:rPr>
          <w:rFonts w:hint="eastAsia" w:ascii="仿宋" w:hAnsi="仿宋" w:eastAsia="仿宋" w:cs="仿宋"/>
          <w:sz w:val="24"/>
          <w:szCs w:val="24"/>
          <w:highlight w:val="none"/>
        </w:rPr>
        <w:t>，联合</w:t>
      </w:r>
      <w:r>
        <w:rPr>
          <w:rFonts w:hint="eastAsia" w:ascii="仿宋" w:hAnsi="仿宋" w:eastAsia="仿宋" w:cs="仿宋"/>
          <w:sz w:val="24"/>
          <w:szCs w:val="24"/>
          <w:highlight w:val="none"/>
          <w:lang w:val="en-US"/>
        </w:rPr>
        <w:t>体</w:t>
      </w:r>
      <w:r>
        <w:rPr>
          <w:rFonts w:hint="eastAsia" w:ascii="仿宋" w:hAnsi="仿宋" w:eastAsia="仿宋" w:cs="仿宋"/>
          <w:sz w:val="24"/>
          <w:szCs w:val="24"/>
          <w:highlight w:val="none"/>
        </w:rPr>
        <w:t>协议</w:t>
      </w:r>
      <w:r>
        <w:rPr>
          <w:rFonts w:hint="eastAsia" w:ascii="仿宋" w:hAnsi="仿宋" w:eastAsia="仿宋" w:cs="仿宋"/>
          <w:sz w:val="24"/>
          <w:szCs w:val="24"/>
          <w:highlight w:val="none"/>
          <w:lang w:val="en-US"/>
        </w:rPr>
        <w:t>书</w:t>
      </w:r>
      <w:r>
        <w:rPr>
          <w:rFonts w:hint="eastAsia" w:ascii="仿宋" w:hAnsi="仿宋" w:eastAsia="仿宋" w:cs="仿宋"/>
          <w:sz w:val="24"/>
          <w:szCs w:val="24"/>
          <w:highlight w:val="none"/>
        </w:rPr>
        <w:t>中应写明小型、微型企业的合同金额占到联合</w:t>
      </w:r>
      <w:r>
        <w:rPr>
          <w:rFonts w:hint="eastAsia" w:ascii="仿宋" w:hAnsi="仿宋" w:eastAsia="仿宋" w:cs="仿宋"/>
          <w:sz w:val="24"/>
          <w:szCs w:val="24"/>
          <w:highlight w:val="none"/>
          <w:lang w:val="en-US"/>
        </w:rPr>
        <w:t>体</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rPr>
        <w:t>合同</w:t>
      </w:r>
      <w:r>
        <w:rPr>
          <w:rFonts w:hint="eastAsia" w:ascii="仿宋" w:hAnsi="仿宋" w:eastAsia="仿宋" w:cs="仿宋"/>
          <w:sz w:val="24"/>
          <w:szCs w:val="24"/>
          <w:highlight w:val="none"/>
        </w:rPr>
        <w:t>总金额的比例。</w:t>
      </w:r>
    </w:p>
    <w:p w14:paraId="405D439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联合体中标</w:t>
      </w:r>
      <w:r>
        <w:rPr>
          <w:rFonts w:hint="eastAsia" w:ascii="仿宋" w:hAnsi="仿宋" w:eastAsia="仿宋" w:cs="仿宋"/>
          <w:sz w:val="24"/>
          <w:szCs w:val="24"/>
          <w:highlight w:val="none"/>
          <w:lang w:val="en-US"/>
        </w:rPr>
        <w:t>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采购</w:t>
      </w:r>
      <w:r>
        <w:rPr>
          <w:rFonts w:hint="eastAsia" w:ascii="仿宋" w:hAnsi="仿宋" w:eastAsia="仿宋" w:cs="仿宋"/>
          <w:sz w:val="24"/>
          <w:szCs w:val="24"/>
          <w:highlight w:val="none"/>
        </w:rPr>
        <w:t>合同应由</w:t>
      </w:r>
      <w:r>
        <w:rPr>
          <w:rFonts w:hint="eastAsia" w:ascii="仿宋" w:hAnsi="仿宋" w:eastAsia="仿宋" w:cs="仿宋"/>
          <w:sz w:val="24"/>
          <w:szCs w:val="24"/>
          <w:highlight w:val="none"/>
          <w:lang w:val="en-US"/>
        </w:rPr>
        <w:t>联合体</w:t>
      </w:r>
      <w:r>
        <w:rPr>
          <w:rFonts w:hint="eastAsia" w:ascii="仿宋" w:hAnsi="仿宋" w:eastAsia="仿宋" w:cs="仿宋"/>
          <w:sz w:val="24"/>
          <w:szCs w:val="24"/>
          <w:highlight w:val="none"/>
        </w:rPr>
        <w:t>各成员的合法授权代表签字</w:t>
      </w:r>
      <w:r>
        <w:rPr>
          <w:rFonts w:hint="eastAsia" w:ascii="仿宋" w:hAnsi="仿宋" w:eastAsia="仿宋" w:cs="仿宋"/>
          <w:sz w:val="24"/>
          <w:szCs w:val="24"/>
          <w:highlight w:val="none"/>
          <w:lang w:val="en-US"/>
        </w:rPr>
        <w:t>及</w:t>
      </w:r>
      <w:r>
        <w:rPr>
          <w:rFonts w:hint="eastAsia" w:ascii="仿宋" w:hAnsi="仿宋" w:eastAsia="仿宋" w:cs="仿宋"/>
          <w:sz w:val="24"/>
          <w:szCs w:val="24"/>
          <w:highlight w:val="none"/>
        </w:rPr>
        <w:t>加盖</w:t>
      </w:r>
      <w:r>
        <w:rPr>
          <w:rFonts w:hint="eastAsia" w:ascii="仿宋" w:hAnsi="仿宋" w:eastAsia="仿宋" w:cs="仿宋"/>
          <w:sz w:val="24"/>
          <w:szCs w:val="24"/>
          <w:highlight w:val="none"/>
          <w:lang w:val="en-US"/>
        </w:rPr>
        <w:t>联合体</w:t>
      </w:r>
      <w:r>
        <w:rPr>
          <w:rFonts w:hint="eastAsia" w:ascii="仿宋" w:hAnsi="仿宋" w:eastAsia="仿宋" w:cs="仿宋"/>
          <w:sz w:val="24"/>
          <w:szCs w:val="24"/>
          <w:highlight w:val="none"/>
        </w:rPr>
        <w:t>各成员公章，</w:t>
      </w:r>
      <w:r>
        <w:rPr>
          <w:rFonts w:hint="eastAsia" w:ascii="仿宋" w:hAnsi="仿宋" w:eastAsia="仿宋" w:cs="仿宋"/>
          <w:sz w:val="24"/>
          <w:szCs w:val="24"/>
          <w:highlight w:val="none"/>
          <w:lang w:val="en-US"/>
        </w:rPr>
        <w:t>并</w:t>
      </w:r>
      <w:r>
        <w:rPr>
          <w:rFonts w:hint="eastAsia" w:ascii="仿宋" w:hAnsi="仿宋" w:eastAsia="仿宋" w:cs="仿宋"/>
          <w:sz w:val="24"/>
          <w:szCs w:val="24"/>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联合体或其成员不得将其在合同项下的权利或义务全部或部分转让给第三人，有关分包事项须事先取得采购</w:t>
      </w:r>
      <w:r>
        <w:rPr>
          <w:rFonts w:hint="eastAsia" w:ascii="仿宋" w:hAnsi="仿宋" w:eastAsia="仿宋" w:cs="仿宋"/>
          <w:sz w:val="24"/>
          <w:szCs w:val="24"/>
          <w:highlight w:val="none"/>
          <w:lang w:val="en-US"/>
        </w:rPr>
        <w:t>人</w:t>
      </w:r>
      <w:r>
        <w:rPr>
          <w:rFonts w:hint="eastAsia" w:ascii="仿宋" w:hAnsi="仿宋" w:eastAsia="仿宋" w:cs="仿宋"/>
          <w:sz w:val="24"/>
          <w:szCs w:val="24"/>
          <w:highlight w:val="none"/>
        </w:rPr>
        <w:t>书面同意并且须遵守相关法律、法规、本次招标的全部相关规定。</w:t>
      </w:r>
    </w:p>
    <w:p w14:paraId="5C541B3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4.2.8对联合体投标的其他资格要求见“第一章 招标公告”中的“二、申请人的资格要求”。</w:t>
      </w:r>
    </w:p>
    <w:p w14:paraId="1C91A91C">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52" w:name="_Toc163492827"/>
      <w:r>
        <w:rPr>
          <w:rFonts w:hint="eastAsia" w:ascii="仿宋" w:hAnsi="仿宋" w:eastAsia="仿宋" w:cs="仿宋"/>
          <w:sz w:val="24"/>
          <w:szCs w:val="24"/>
          <w:highlight w:val="none"/>
        </w:rPr>
        <w:t>5.费用承担</w:t>
      </w:r>
      <w:bookmarkEnd w:id="152"/>
    </w:p>
    <w:p w14:paraId="00F7005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5.1不论投标的结果如何，投标人应承担所有与准备和参加投标有关的费用。</w:t>
      </w:r>
    </w:p>
    <w:p w14:paraId="041F0A72">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53" w:name="_Toc140132761"/>
      <w:bookmarkStart w:id="154" w:name="_Toc163492828"/>
      <w:r>
        <w:rPr>
          <w:rFonts w:hint="eastAsia" w:ascii="仿宋" w:hAnsi="仿宋" w:eastAsia="仿宋" w:cs="仿宋"/>
          <w:sz w:val="24"/>
          <w:szCs w:val="24"/>
          <w:highlight w:val="none"/>
        </w:rPr>
        <w:t>6.保密</w:t>
      </w:r>
      <w:bookmarkEnd w:id="153"/>
      <w:bookmarkEnd w:id="154"/>
    </w:p>
    <w:p w14:paraId="59D1B9C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参与招标投标活动的各方应对招标文件和投标文件中的商业和技术等秘密保密，否则应承担相应的法律责任。</w:t>
      </w:r>
    </w:p>
    <w:p w14:paraId="565D8234">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6.3 采购代理机构有权将投标人提供的所有资料向有关政府部门或评审投标文件的有关人员披露。</w:t>
      </w:r>
    </w:p>
    <w:p w14:paraId="4BAA1C74">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6.4 各级人民政府财政部门对政府采购活动进行监督检查，有权查阅、复制有关文件、资料，相关单位和人员应当予以配合。</w:t>
      </w:r>
    </w:p>
    <w:p w14:paraId="6ACB699D">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55" w:name="_Toc163492829"/>
      <w:bookmarkStart w:id="156" w:name="_Toc140132762"/>
      <w:r>
        <w:rPr>
          <w:rFonts w:hint="eastAsia" w:ascii="仿宋" w:hAnsi="仿宋" w:eastAsia="仿宋" w:cs="仿宋"/>
          <w:sz w:val="24"/>
          <w:szCs w:val="24"/>
          <w:highlight w:val="none"/>
        </w:rPr>
        <w:t>7.语言文字</w:t>
      </w:r>
      <w:bookmarkEnd w:id="155"/>
      <w:bookmarkEnd w:id="156"/>
    </w:p>
    <w:p w14:paraId="4FB9882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57" w:name="_Toc140132763"/>
      <w:bookmarkStart w:id="158" w:name="_Toc163492830"/>
      <w:r>
        <w:rPr>
          <w:rFonts w:hint="eastAsia" w:ascii="仿宋" w:hAnsi="仿宋" w:eastAsia="仿宋" w:cs="仿宋"/>
          <w:sz w:val="24"/>
          <w:szCs w:val="24"/>
          <w:highlight w:val="none"/>
        </w:rPr>
        <w:t>8.计量单位</w:t>
      </w:r>
      <w:bookmarkEnd w:id="157"/>
      <w:bookmarkEnd w:id="158"/>
    </w:p>
    <w:p w14:paraId="4B0D602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8.1所有计量均采用中华人民共和国法定计量单位。</w:t>
      </w:r>
    </w:p>
    <w:p w14:paraId="1496EDC0">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59" w:name="_Toc163492831"/>
      <w:bookmarkStart w:id="160" w:name="_Toc140132764"/>
      <w:r>
        <w:rPr>
          <w:rFonts w:hint="eastAsia" w:ascii="仿宋" w:hAnsi="仿宋" w:eastAsia="仿宋" w:cs="仿宋"/>
          <w:sz w:val="24"/>
          <w:szCs w:val="24"/>
          <w:highlight w:val="none"/>
        </w:rPr>
        <w:t>9.现场考察和答疑会</w:t>
      </w:r>
      <w:bookmarkEnd w:id="159"/>
      <w:bookmarkEnd w:id="160"/>
    </w:p>
    <w:p w14:paraId="0E08189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161" w:name="_Hlk143529198"/>
      <w:r>
        <w:rPr>
          <w:rFonts w:hint="eastAsia" w:ascii="仿宋" w:hAnsi="仿宋" w:eastAsia="仿宋" w:cs="仿宋"/>
          <w:sz w:val="24"/>
          <w:szCs w:val="24"/>
          <w:highlight w:val="none"/>
        </w:rPr>
        <w:t xml:space="preserve">9.1 “投标人须知前附表”规定组织现场考察的，采购代理机构按“投标人须知前附表”规定的时间、地点组织投标人项目现场考察。 </w:t>
      </w:r>
    </w:p>
    <w:p w14:paraId="762DB36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 投标人现场考察发生的费用自理。</w:t>
      </w:r>
    </w:p>
    <w:p w14:paraId="37C684B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9.3 在现场考察中，因投标人自身原因发生的人员伤亡和财产损失，由投标人自行负责。</w:t>
      </w:r>
    </w:p>
    <w:p w14:paraId="4ED1AEF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34A922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9.5 “投标人须知前附表”规定召开答疑会的，采购代理机构按“投标人须知前附表”规定的时间和地点召开答疑会，澄清投标人提出的问题。</w:t>
      </w:r>
    </w:p>
    <w:p w14:paraId="2DA01DC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9.6 由于未参加现场考察或未参加标前答疑会而导致对项目实际情况不了解，影响投标文件编制、投标报价准确性、综合因素响应不全面等问题的，由投标人自行承担不利评审后果。</w:t>
      </w:r>
    </w:p>
    <w:bookmarkEnd w:id="161"/>
    <w:p w14:paraId="4D29C25F">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62" w:name="_Toc155185858"/>
      <w:bookmarkStart w:id="163" w:name="_Toc163492833"/>
      <w:bookmarkStart w:id="164" w:name="_Toc155185871"/>
      <w:r>
        <w:rPr>
          <w:rFonts w:hint="eastAsia" w:ascii="仿宋" w:hAnsi="仿宋" w:eastAsia="仿宋" w:cs="仿宋"/>
          <w:sz w:val="24"/>
          <w:szCs w:val="24"/>
          <w:highlight w:val="none"/>
        </w:rPr>
        <w:t>10.电子投标说明</w:t>
      </w:r>
      <w:bookmarkEnd w:id="162"/>
      <w:bookmarkEnd w:id="163"/>
      <w:r>
        <w:rPr>
          <w:rFonts w:hint="eastAsia" w:ascii="仿宋" w:hAnsi="仿宋" w:eastAsia="仿宋" w:cs="仿宋"/>
          <w:sz w:val="24"/>
          <w:szCs w:val="24"/>
          <w:highlight w:val="none"/>
        </w:rPr>
        <w:t xml:space="preserve">   </w:t>
      </w:r>
    </w:p>
    <w:p w14:paraId="02CFA65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10.1 </w:t>
      </w:r>
      <w:r>
        <w:rPr>
          <w:rFonts w:hint="eastAsia" w:ascii="仿宋" w:hAnsi="仿宋" w:eastAsia="仿宋" w:cs="仿宋"/>
          <w:sz w:val="24"/>
          <w:szCs w:val="24"/>
          <w:highlight w:val="none"/>
        </w:rPr>
        <w:t>本次采购采用电子交易方式</w:t>
      </w: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rPr>
        <w:t>电子交易平台为</w:t>
      </w:r>
      <w:r>
        <w:rPr>
          <w:rFonts w:hint="eastAsia" w:ascii="仿宋" w:hAnsi="仿宋" w:eastAsia="仿宋" w:cs="仿宋"/>
          <w:sz w:val="24"/>
          <w:szCs w:val="24"/>
          <w:highlight w:val="none"/>
          <w:lang w:val="en-US"/>
        </w:rPr>
        <w:t>新疆政府采购电子交易云</w:t>
      </w:r>
      <w:r>
        <w:rPr>
          <w:rFonts w:hint="eastAsia" w:ascii="仿宋" w:hAnsi="仿宋" w:eastAsia="仿宋" w:cs="仿宋"/>
          <w:sz w:val="24"/>
          <w:szCs w:val="24"/>
          <w:highlight w:val="none"/>
        </w:rPr>
        <w:t>平台</w:t>
      </w:r>
      <w:r>
        <w:rPr>
          <w:rFonts w:hint="eastAsia" w:ascii="仿宋" w:hAnsi="仿宋" w:eastAsia="仿宋" w:cs="仿宋"/>
          <w:sz w:val="24"/>
          <w:szCs w:val="24"/>
          <w:highlight w:val="none"/>
          <w:lang w:val="hr-HR"/>
        </w:rPr>
        <w:t>（</w:t>
      </w:r>
      <w:r>
        <w:rPr>
          <w:rFonts w:hint="eastAsia" w:ascii="仿宋" w:hAnsi="仿宋" w:eastAsia="仿宋" w:cs="仿宋"/>
          <w:sz w:val="24"/>
          <w:szCs w:val="24"/>
          <w:highlight w:val="none"/>
        </w:rPr>
        <w:t>网址</w:t>
      </w:r>
      <w:r>
        <w:rPr>
          <w:rFonts w:hint="eastAsia" w:ascii="仿宋" w:hAnsi="仿宋" w:eastAsia="仿宋" w:cs="仿宋"/>
          <w:sz w:val="24"/>
          <w:szCs w:val="24"/>
          <w:highlight w:val="none"/>
          <w:lang w:val="hr-HR"/>
        </w:rPr>
        <w:t>：https://www.zcygov.cn/）</w:t>
      </w:r>
      <w:r>
        <w:rPr>
          <w:rFonts w:hint="eastAsia" w:ascii="仿宋" w:hAnsi="仿宋" w:eastAsia="仿宋" w:cs="仿宋"/>
          <w:sz w:val="24"/>
          <w:szCs w:val="24"/>
          <w:highlight w:val="none"/>
        </w:rPr>
        <w:t>。投标人参与本项目电子交易活动前，应</w:t>
      </w:r>
      <w:r>
        <w:rPr>
          <w:rFonts w:hint="eastAsia" w:ascii="仿宋" w:hAnsi="仿宋" w:eastAsia="仿宋" w:cs="仿宋"/>
          <w:sz w:val="24"/>
          <w:szCs w:val="24"/>
          <w:highlight w:val="none"/>
          <w:lang w:val="en-US"/>
        </w:rPr>
        <w:t>在</w:t>
      </w:r>
      <w:r>
        <w:rPr>
          <w:rFonts w:hint="eastAsia" w:ascii="仿宋" w:hAnsi="仿宋" w:eastAsia="仿宋" w:cs="仿宋"/>
          <w:sz w:val="24"/>
          <w:szCs w:val="24"/>
          <w:highlight w:val="none"/>
        </w:rPr>
        <w:t>政</w:t>
      </w:r>
      <w:r>
        <w:rPr>
          <w:rFonts w:hint="eastAsia" w:ascii="仿宋" w:hAnsi="仿宋" w:eastAsia="仿宋" w:cs="仿宋"/>
          <w:sz w:val="24"/>
          <w:szCs w:val="24"/>
          <w:highlight w:val="none"/>
          <w:lang w:val="en-US"/>
        </w:rPr>
        <w:t>采云</w:t>
      </w:r>
      <w:r>
        <w:rPr>
          <w:rFonts w:hint="eastAsia" w:ascii="仿宋" w:hAnsi="仿宋" w:eastAsia="仿宋" w:cs="仿宋"/>
          <w:sz w:val="24"/>
          <w:szCs w:val="24"/>
          <w:highlight w:val="none"/>
        </w:rPr>
        <w:t>平台</w:t>
      </w:r>
      <w:r>
        <w:rPr>
          <w:rFonts w:hint="eastAsia" w:ascii="仿宋" w:hAnsi="仿宋" w:eastAsia="仿宋" w:cs="仿宋"/>
          <w:sz w:val="24"/>
          <w:szCs w:val="24"/>
          <w:highlight w:val="none"/>
          <w:lang w:val="en-US"/>
        </w:rPr>
        <w:t>上</w:t>
      </w:r>
      <w:r>
        <w:rPr>
          <w:rFonts w:hint="eastAsia" w:ascii="仿宋" w:hAnsi="仿宋" w:eastAsia="仿宋" w:cs="仿宋"/>
          <w:sz w:val="24"/>
          <w:szCs w:val="24"/>
          <w:highlight w:val="none"/>
        </w:rPr>
        <w:t>注册</w:t>
      </w:r>
      <w:r>
        <w:rPr>
          <w:rFonts w:hint="eastAsia" w:ascii="仿宋" w:hAnsi="仿宋" w:eastAsia="仿宋" w:cs="仿宋"/>
          <w:sz w:val="24"/>
          <w:szCs w:val="24"/>
          <w:highlight w:val="none"/>
          <w:lang w:val="en-US"/>
        </w:rPr>
        <w:t>供应商账号</w:t>
      </w:r>
      <w:r>
        <w:rPr>
          <w:rFonts w:hint="eastAsia" w:ascii="仿宋" w:hAnsi="仿宋" w:eastAsia="仿宋" w:cs="仿宋"/>
          <w:sz w:val="24"/>
          <w:szCs w:val="24"/>
          <w:highlight w:val="none"/>
        </w:rPr>
        <w:t>。编制电子</w:t>
      </w:r>
      <w:r>
        <w:rPr>
          <w:rFonts w:hint="eastAsia" w:ascii="仿宋" w:hAnsi="仿宋" w:eastAsia="仿宋" w:cs="仿宋"/>
          <w:sz w:val="24"/>
          <w:szCs w:val="24"/>
          <w:highlight w:val="none"/>
          <w:lang w:val="en-US"/>
        </w:rPr>
        <w:t>投标</w:t>
      </w:r>
      <w:r>
        <w:rPr>
          <w:rFonts w:hint="eastAsia" w:ascii="仿宋" w:hAnsi="仿宋" w:eastAsia="仿宋" w:cs="仿宋"/>
          <w:sz w:val="24"/>
          <w:szCs w:val="24"/>
          <w:highlight w:val="none"/>
        </w:rPr>
        <w:t>文件前还需</w:t>
      </w:r>
      <w:r>
        <w:rPr>
          <w:rFonts w:hint="eastAsia" w:ascii="仿宋" w:hAnsi="仿宋" w:eastAsia="仿宋" w:cs="仿宋"/>
          <w:sz w:val="24"/>
          <w:szCs w:val="24"/>
          <w:highlight w:val="none"/>
          <w:lang w:val="en-US"/>
        </w:rPr>
        <w:t>申领CA证书并绑定账号。投标人应充分考虑完成平台注册、申领CA证书等所需的时间。</w:t>
      </w:r>
      <w:r>
        <w:rPr>
          <w:rFonts w:hint="eastAsia" w:ascii="仿宋" w:hAnsi="仿宋" w:eastAsia="仿宋" w:cs="仿宋"/>
          <w:sz w:val="24"/>
          <w:szCs w:val="24"/>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登录新疆政府采购网“供应商注册”—“新疆生产建设新疆政府采购供应商入驻登记”—“立即登记”进行自助注册绑定。</w:t>
      </w:r>
    </w:p>
    <w:p w14:paraId="5CF1CE1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投标人将</w:t>
      </w:r>
      <w:r>
        <w:rPr>
          <w:rFonts w:hint="eastAsia" w:ascii="仿宋" w:hAnsi="仿宋" w:eastAsia="仿宋" w:cs="仿宋"/>
          <w:sz w:val="24"/>
          <w:szCs w:val="24"/>
          <w:highlight w:val="none"/>
          <w:lang w:val="en-US"/>
        </w:rPr>
        <w:t>新疆政府采购电子交易云</w:t>
      </w:r>
      <w:r>
        <w:rPr>
          <w:rFonts w:hint="eastAsia" w:ascii="仿宋" w:hAnsi="仿宋" w:eastAsia="仿宋" w:cs="仿宋"/>
          <w:sz w:val="24"/>
          <w:szCs w:val="24"/>
          <w:highlight w:val="none"/>
        </w:rPr>
        <w:t>平台电子交易客户端下载、安装完成后，可通过账号密码或CA登录客户端进行投标文件制作。在使用政采云“投标客户端”时，建议使用WIN7及以上操作系统。</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登录新疆政府采购网“下载专区”—“电子招投标客户端下载”下载相关客户端，如有问题可拨打政采云客户服务热线95763进行咨询。</w:t>
      </w:r>
    </w:p>
    <w:p w14:paraId="0776D8A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加密的电子投标文件应在投标文件递交截止时间前通过政采云平台上传完成。逾期上传或者未上传指定地点的投标文件，不予受理。</w:t>
      </w:r>
    </w:p>
    <w:p w14:paraId="34FFD80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投标人在开标前须提前配置好电脑</w:t>
      </w:r>
      <w:r>
        <w:rPr>
          <w:rFonts w:hint="eastAsia" w:ascii="仿宋" w:hAnsi="仿宋" w:eastAsia="仿宋" w:cs="仿宋"/>
          <w:sz w:val="24"/>
          <w:szCs w:val="24"/>
          <w:highlight w:val="none"/>
          <w:lang w:val="en-US"/>
        </w:rPr>
        <w:t>及</w:t>
      </w:r>
      <w:r>
        <w:rPr>
          <w:rFonts w:hint="eastAsia" w:ascii="仿宋" w:hAnsi="仿宋" w:eastAsia="仿宋" w:cs="仿宋"/>
          <w:sz w:val="24"/>
          <w:szCs w:val="24"/>
          <w:highlight w:val="none"/>
        </w:rPr>
        <w:t>浏览器，开标时请使用制作加密电子投标文件的CA锁进行解密及报价确认。本项目投标文件解密时间</w:t>
      </w:r>
      <w:r>
        <w:rPr>
          <w:rFonts w:hint="eastAsia" w:ascii="仿宋" w:hAnsi="仿宋" w:eastAsia="仿宋" w:cs="仿宋"/>
          <w:sz w:val="24"/>
          <w:szCs w:val="24"/>
          <w:highlight w:val="none"/>
          <w:lang w:val="en-US"/>
        </w:rPr>
        <w:t>详见“投标人须知前附表”</w:t>
      </w:r>
      <w:r>
        <w:rPr>
          <w:rFonts w:hint="eastAsia" w:ascii="仿宋" w:hAnsi="仿宋" w:eastAsia="仿宋" w:cs="仿宋"/>
          <w:sz w:val="24"/>
          <w:szCs w:val="24"/>
          <w:highlight w:val="none"/>
        </w:rPr>
        <w:t>，如因自身原因导致无法正常解密，后果由投标人自行承担。</w:t>
      </w:r>
    </w:p>
    <w:p w14:paraId="648EBD3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如遇“</w:t>
      </w:r>
      <w:r>
        <w:rPr>
          <w:rFonts w:hint="eastAsia" w:ascii="仿宋" w:hAnsi="仿宋" w:eastAsia="仿宋" w:cs="仿宋"/>
          <w:sz w:val="24"/>
          <w:szCs w:val="24"/>
          <w:highlight w:val="none"/>
          <w:lang w:val="en-US"/>
        </w:rPr>
        <w:t>新疆政府采购电子交易云</w:t>
      </w:r>
      <w:r>
        <w:rPr>
          <w:rFonts w:hint="eastAsia" w:ascii="仿宋" w:hAnsi="仿宋" w:eastAsia="仿宋" w:cs="仿宋"/>
          <w:sz w:val="24"/>
          <w:szCs w:val="24"/>
          <w:highlight w:val="none"/>
        </w:rPr>
        <w:t>平台</w:t>
      </w:r>
      <w:r>
        <w:rPr>
          <w:rFonts w:hint="eastAsia" w:ascii="仿宋" w:hAnsi="仿宋" w:eastAsia="仿宋" w:cs="仿宋"/>
          <w:sz w:val="24"/>
          <w:szCs w:val="24"/>
          <w:highlight w:val="none"/>
          <w:lang w:val="hr-HR"/>
        </w:rPr>
        <w:t>（</w:t>
      </w:r>
      <w:r>
        <w:rPr>
          <w:rFonts w:hint="eastAsia" w:ascii="仿宋" w:hAnsi="仿宋" w:eastAsia="仿宋" w:cs="仿宋"/>
          <w:sz w:val="24"/>
          <w:szCs w:val="24"/>
          <w:highlight w:val="none"/>
        </w:rPr>
        <w:t>网址</w:t>
      </w:r>
      <w:r>
        <w:rPr>
          <w:rFonts w:hint="eastAsia" w:ascii="仿宋" w:hAnsi="仿宋" w:eastAsia="仿宋" w:cs="仿宋"/>
          <w:sz w:val="24"/>
          <w:szCs w:val="24"/>
          <w:highlight w:val="none"/>
          <w:lang w:val="hr-HR"/>
        </w:rPr>
        <w:t>：https://www.zcygov.cn/）</w:t>
      </w:r>
      <w:r>
        <w:rPr>
          <w:rFonts w:hint="eastAsia" w:ascii="仿宋" w:hAnsi="仿宋" w:eastAsia="仿宋" w:cs="仿宋"/>
          <w:sz w:val="24"/>
          <w:szCs w:val="24"/>
          <w:highlight w:val="none"/>
        </w:rPr>
        <w:t>”电子交易规则调整，以最新要求为准。</w:t>
      </w:r>
    </w:p>
    <w:p w14:paraId="54CB150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10.6 电子交易系统咨询：投标人应当充分考虑到电子投标可能会发生的各种问题和风险，特别是投标文件签署、提交等问题，可按照“第一章 招标公告”的联系方式咨询相关人员。</w:t>
      </w:r>
    </w:p>
    <w:p w14:paraId="11726F9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65" w:name="_Toc163492834"/>
      <w:r>
        <w:rPr>
          <w:rFonts w:hint="eastAsia" w:ascii="仿宋" w:hAnsi="仿宋" w:eastAsia="仿宋" w:cs="仿宋"/>
          <w:sz w:val="24"/>
          <w:szCs w:val="24"/>
          <w:highlight w:val="none"/>
        </w:rPr>
        <w:t>（二）招标文件</w:t>
      </w:r>
      <w:bookmarkEnd w:id="164"/>
      <w:bookmarkEnd w:id="165"/>
    </w:p>
    <w:p w14:paraId="61F4106C">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66" w:name="_Toc163492835"/>
      <w:bookmarkStart w:id="167" w:name="_Toc140132768"/>
      <w:r>
        <w:rPr>
          <w:rFonts w:hint="eastAsia" w:ascii="仿宋" w:hAnsi="仿宋" w:eastAsia="仿宋" w:cs="仿宋"/>
          <w:sz w:val="24"/>
          <w:szCs w:val="24"/>
          <w:highlight w:val="none"/>
        </w:rPr>
        <w:t>11.招标文件的组成</w:t>
      </w:r>
      <w:bookmarkEnd w:id="166"/>
      <w:bookmarkEnd w:id="167"/>
    </w:p>
    <w:p w14:paraId="5C259E2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11.1本招标文件包括下列文件及根据本章第9款、第12款对招标文件所作的澄清或者修改。</w:t>
      </w:r>
    </w:p>
    <w:p w14:paraId="1A89BF46">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第一章 招标公告</w:t>
      </w:r>
    </w:p>
    <w:p w14:paraId="328B44DA">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第二章 投标人须知</w:t>
      </w:r>
    </w:p>
    <w:p w14:paraId="68FA1346">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第三章 采购需求</w:t>
      </w:r>
    </w:p>
    <w:p w14:paraId="69057458">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第四章 资格审查</w:t>
      </w:r>
    </w:p>
    <w:p w14:paraId="0DFDB378">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第五章 评标方法及标准</w:t>
      </w:r>
    </w:p>
    <w:p w14:paraId="71952187">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第六章 合同草案</w:t>
      </w:r>
    </w:p>
    <w:p w14:paraId="1B3B5D24">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第七章 投标文件的格式</w:t>
      </w:r>
    </w:p>
    <w:p w14:paraId="2C4F6896">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68" w:name="_Toc140132769"/>
      <w:bookmarkStart w:id="169" w:name="_Toc163492836"/>
      <w:r>
        <w:rPr>
          <w:rFonts w:hint="eastAsia" w:ascii="仿宋" w:hAnsi="仿宋" w:eastAsia="仿宋" w:cs="仿宋"/>
          <w:sz w:val="24"/>
          <w:szCs w:val="24"/>
          <w:highlight w:val="none"/>
        </w:rPr>
        <w:t>12.招标文件的询问、澄清或者修改</w:t>
      </w:r>
      <w:bookmarkEnd w:id="168"/>
      <w:bookmarkEnd w:id="169"/>
    </w:p>
    <w:p w14:paraId="6C80C1B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12.1投标人如对招标文件内容有疑问，须在“投标人须知前附表”规定的询问方式和时间提交给采购人或采购代理机构。</w:t>
      </w:r>
    </w:p>
    <w:p w14:paraId="11D789E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采购人可主动地或在答复投标人提出的询问时对招标文件进行澄清与修改。采购代理机构将在新疆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14:paraId="54248E0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12.5对于没有提出疑问又参与了本项目投标的投标人将被视为完全认同本招标文件（含更正公告的内容）。</w:t>
      </w:r>
    </w:p>
    <w:p w14:paraId="40106DA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rPr>
        <w:t>投标人须知”所称“书面形式”包括系统消息、政府采购</w:t>
      </w:r>
      <w:r>
        <w:rPr>
          <w:rFonts w:hint="eastAsia" w:ascii="仿宋" w:hAnsi="仿宋" w:eastAsia="仿宋" w:cs="仿宋"/>
          <w:sz w:val="24"/>
          <w:szCs w:val="24"/>
          <w:highlight w:val="none"/>
          <w:lang w:val="en-US"/>
        </w:rPr>
        <w:t>云平台</w:t>
      </w:r>
      <w:r>
        <w:rPr>
          <w:rFonts w:hint="eastAsia" w:ascii="仿宋" w:hAnsi="仿宋" w:eastAsia="仿宋" w:cs="仿宋"/>
          <w:sz w:val="24"/>
          <w:szCs w:val="24"/>
          <w:highlight w:val="none"/>
        </w:rPr>
        <w:t>发布的公告。</w:t>
      </w:r>
    </w:p>
    <w:p w14:paraId="51312FE6">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12.7当招标文件的澄清、修改及其他答复等就同一内容的表述不一致时，以最后发布的内容为准。</w:t>
      </w:r>
    </w:p>
    <w:p w14:paraId="215EFC91">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70" w:name="_Toc155185872"/>
      <w:bookmarkStart w:id="171" w:name="_Toc163492837"/>
      <w:r>
        <w:rPr>
          <w:rFonts w:hint="eastAsia" w:ascii="仿宋" w:hAnsi="仿宋" w:eastAsia="仿宋" w:cs="仿宋"/>
          <w:sz w:val="24"/>
          <w:szCs w:val="24"/>
          <w:highlight w:val="none"/>
        </w:rPr>
        <w:t>（三）投标文件</w:t>
      </w:r>
      <w:bookmarkEnd w:id="170"/>
      <w:bookmarkEnd w:id="171"/>
    </w:p>
    <w:p w14:paraId="3EA99C15">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72" w:name="_Toc163492838"/>
      <w:r>
        <w:rPr>
          <w:rFonts w:hint="eastAsia" w:ascii="仿宋" w:hAnsi="仿宋" w:eastAsia="仿宋" w:cs="仿宋"/>
          <w:sz w:val="24"/>
          <w:szCs w:val="24"/>
          <w:highlight w:val="none"/>
        </w:rPr>
        <w:t>13.投标文件的组成</w:t>
      </w:r>
      <w:bookmarkEnd w:id="172"/>
    </w:p>
    <w:p w14:paraId="3D9219C4">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bookmarkStart w:id="173" w:name="_Toc140132772"/>
      <w:bookmarkStart w:id="174" w:name="_Toc163492839"/>
      <w:r>
        <w:rPr>
          <w:rFonts w:hint="eastAsia" w:ascii="仿宋" w:hAnsi="仿宋" w:eastAsia="仿宋" w:cs="仿宋"/>
          <w:kern w:val="2"/>
          <w:sz w:val="24"/>
          <w:szCs w:val="24"/>
          <w:highlight w:val="none"/>
        </w:rPr>
        <w:t>13.1投标人应完整地按招标文件提供的投标文件格式及要求编写投标文件，具体内容详见“第七章 投标文件格式”的相关内容。</w:t>
      </w:r>
    </w:p>
    <w:p w14:paraId="52CFA8D0">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13.2投标人应提交招标文件要求的证明文件，证明其投标内容符合招标文件规定，该证明文件是投标文件的一部分。证明文件形式可以是文字资料、图纸和数据</w:t>
      </w:r>
      <w:bookmarkStart w:id="175" w:name="_Hlk11703583"/>
      <w:r>
        <w:rPr>
          <w:rFonts w:hint="eastAsia" w:ascii="仿宋" w:hAnsi="仿宋" w:eastAsia="仿宋" w:cs="仿宋"/>
          <w:kern w:val="2"/>
          <w:sz w:val="24"/>
          <w:szCs w:val="24"/>
          <w:highlight w:val="none"/>
        </w:rPr>
        <w:t>等。</w:t>
      </w:r>
    </w:p>
    <w:bookmarkEnd w:id="175"/>
    <w:p w14:paraId="46274C03">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13.3为保证公平公正，除非本招标文件另有规定或说明，投标人对同一项目投标时，不得同时提供备选投标方案。</w:t>
      </w:r>
    </w:p>
    <w:p w14:paraId="4C859BF7">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14.投标报价</w:t>
      </w:r>
      <w:bookmarkEnd w:id="173"/>
      <w:bookmarkEnd w:id="174"/>
    </w:p>
    <w:p w14:paraId="5B926B6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14.1 投标人的报价均应以人民币进行报价。</w:t>
      </w:r>
    </w:p>
    <w:p w14:paraId="3ACB019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14.2 投标人应按照本招标文件规定的报价方式进行报价，投标报价中不得包含招标文件要求以外的内容，也不得缺漏招标文件所要求的内容，否则其</w:t>
      </w:r>
      <w:r>
        <w:rPr>
          <w:rFonts w:hint="eastAsia" w:ascii="仿宋" w:hAnsi="仿宋" w:eastAsia="仿宋" w:cs="仿宋"/>
          <w:b/>
          <w:bCs/>
          <w:snapToGrid w:val="0"/>
          <w:sz w:val="24"/>
          <w:szCs w:val="24"/>
          <w:highlight w:val="none"/>
        </w:rPr>
        <w:t>投标无效</w:t>
      </w:r>
      <w:r>
        <w:rPr>
          <w:rFonts w:hint="eastAsia" w:ascii="仿宋" w:hAnsi="仿宋" w:eastAsia="仿宋" w:cs="仿宋"/>
          <w:snapToGrid w:val="0"/>
          <w:sz w:val="24"/>
          <w:szCs w:val="24"/>
          <w:highlight w:val="none"/>
        </w:rPr>
        <w:t>。</w:t>
      </w:r>
    </w:p>
    <w:p w14:paraId="3B3C1D2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0"/>
        <w:keepNext w:val="0"/>
        <w:pageBreakBefore w:val="0"/>
        <w:widowControl w:val="0"/>
        <w:kinsoku/>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投标人的报价应包括但不限于下列内容： </w:t>
      </w:r>
    </w:p>
    <w:p w14:paraId="7863C417">
      <w:pPr>
        <w:pStyle w:val="10"/>
        <w:keepNext w:val="0"/>
        <w:pageBreakBefore w:val="0"/>
        <w:widowControl w:val="0"/>
        <w:kinsoku/>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napToGrid w:val="0"/>
          <w:sz w:val="24"/>
          <w:szCs w:val="24"/>
          <w:highlight w:val="none"/>
        </w:rPr>
        <w:t>14.2.1 投标货物及标准附件、备品备件、专用工具等的出厂价（包括已在中</w:t>
      </w:r>
      <w:r>
        <w:rPr>
          <w:rFonts w:hint="eastAsia" w:ascii="仿宋" w:hAnsi="仿宋" w:eastAsia="仿宋" w:cs="仿宋"/>
          <w:sz w:val="24"/>
          <w:szCs w:val="24"/>
          <w:highlight w:val="none"/>
        </w:rPr>
        <w:t xml:space="preserve">国国内的进口货物完税后的仓库交货价、展室交货价或货架交货价）和运至最终目的地的运输费和保险费，安装调试、检验、技术服务、培训、质量保证、售后服务、税费等； </w:t>
      </w:r>
    </w:p>
    <w:p w14:paraId="4C4E8EE2">
      <w:pPr>
        <w:pStyle w:val="10"/>
        <w:keepNext w:val="0"/>
        <w:pageBreakBefore w:val="0"/>
        <w:widowControl w:val="0"/>
        <w:kinsoku/>
        <w:overflowPunct/>
        <w:topLinePunct w:val="0"/>
        <w:autoSpaceDE/>
        <w:autoSpaceDN/>
        <w:bidi w:val="0"/>
        <w:adjustRightInd/>
        <w:snapToGrid/>
        <w:spacing w:line="400" w:lineRule="exact"/>
        <w:ind w:firstLine="48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14.2.2 按照招标文件要求完成本项目的全部相关费用。</w:t>
      </w:r>
    </w:p>
    <w:p w14:paraId="6331CAB3">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lang w:val="zh-CN"/>
        </w:rPr>
      </w:pPr>
      <w:r>
        <w:rPr>
          <w:rFonts w:hint="eastAsia" w:ascii="仿宋" w:hAnsi="仿宋" w:eastAsia="仿宋" w:cs="仿宋"/>
          <w:snapToGrid w:val="0"/>
          <w:sz w:val="24"/>
          <w:szCs w:val="24"/>
          <w:highlight w:val="none"/>
        </w:rPr>
        <w:t xml:space="preserve">14.3 </w:t>
      </w:r>
      <w:r>
        <w:rPr>
          <w:rFonts w:hint="eastAsia" w:ascii="仿宋" w:hAnsi="仿宋" w:eastAsia="仿宋" w:cs="仿宋"/>
          <w:sz w:val="24"/>
          <w:szCs w:val="24"/>
          <w:highlight w:val="none"/>
        </w:rPr>
        <w:t>投标人须严格按照分项报价表规定的内容填写货物单价以及其他事项。</w:t>
      </w:r>
      <w:r>
        <w:rPr>
          <w:rFonts w:hint="eastAsia" w:ascii="仿宋" w:hAnsi="仿宋" w:eastAsia="仿宋" w:cs="仿宋"/>
          <w:snapToGrid w:val="0"/>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sz w:val="24"/>
          <w:szCs w:val="24"/>
          <w:highlight w:val="none"/>
        </w:rPr>
        <w:t>缴</w:t>
      </w:r>
      <w:r>
        <w:rPr>
          <w:rFonts w:hint="eastAsia" w:ascii="仿宋" w:hAnsi="仿宋" w:eastAsia="仿宋" w:cs="仿宋"/>
          <w:snapToGrid w:val="0"/>
          <w:sz w:val="24"/>
          <w:szCs w:val="24"/>
          <w:highlight w:val="none"/>
          <w:lang w:val="zh-CN"/>
        </w:rPr>
        <w:t>纳的费用都应包括在投标人提交的投标报价中。</w:t>
      </w:r>
    </w:p>
    <w:p w14:paraId="0DEA50E6">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14.4 投标人在投标文件中注明免费的项目将视为包含在投标报价中。</w:t>
      </w:r>
    </w:p>
    <w:p w14:paraId="432AEFA9">
      <w:pPr>
        <w:pStyle w:val="10"/>
        <w:keepNext w:val="0"/>
        <w:pageBreakBefore w:val="0"/>
        <w:widowControl w:val="0"/>
        <w:kinsoku/>
        <w:overflowPunct/>
        <w:topLinePunct w:val="0"/>
        <w:autoSpaceDE/>
        <w:autoSpaceDN/>
        <w:bidi w:val="0"/>
        <w:adjustRightInd/>
        <w:snapToGrid/>
        <w:spacing w:line="400" w:lineRule="exact"/>
        <w:ind w:firstLine="480"/>
        <w:textAlignment w:val="auto"/>
        <w:rPr>
          <w:rFonts w:hint="eastAsia" w:ascii="仿宋" w:hAnsi="仿宋" w:eastAsia="仿宋" w:cs="仿宋"/>
          <w:sz w:val="24"/>
          <w:szCs w:val="24"/>
          <w:highlight w:val="none"/>
        </w:rPr>
      </w:pPr>
      <w:r>
        <w:rPr>
          <w:rFonts w:hint="eastAsia" w:ascii="仿宋" w:hAnsi="仿宋" w:eastAsia="仿宋" w:cs="仿宋"/>
          <w:snapToGrid w:val="0"/>
          <w:sz w:val="24"/>
          <w:szCs w:val="24"/>
          <w:highlight w:val="none"/>
        </w:rPr>
        <w:t>14.5 每一种采购内容只允许有一个报价，否则其</w:t>
      </w:r>
      <w:r>
        <w:rPr>
          <w:rFonts w:hint="eastAsia" w:ascii="仿宋" w:hAnsi="仿宋" w:eastAsia="仿宋" w:cs="仿宋"/>
          <w:b/>
          <w:bCs/>
          <w:snapToGrid w:val="0"/>
          <w:sz w:val="24"/>
          <w:szCs w:val="24"/>
          <w:highlight w:val="none"/>
        </w:rPr>
        <w:t>投标无效</w:t>
      </w:r>
      <w:r>
        <w:rPr>
          <w:rFonts w:hint="eastAsia" w:ascii="仿宋" w:hAnsi="仿宋" w:eastAsia="仿宋" w:cs="仿宋"/>
          <w:snapToGrid w:val="0"/>
          <w:sz w:val="24"/>
          <w:szCs w:val="24"/>
          <w:highlight w:val="none"/>
        </w:rPr>
        <w:t>。</w:t>
      </w:r>
      <w:r>
        <w:rPr>
          <w:rFonts w:hint="eastAsia" w:ascii="仿宋" w:hAnsi="仿宋" w:eastAsia="仿宋" w:cs="仿宋"/>
          <w:sz w:val="24"/>
          <w:szCs w:val="24"/>
          <w:highlight w:val="none"/>
        </w:rPr>
        <w:t>除非招标文件另有规定，不接受可选择或可调整的投标方案和报价，任何有选择的或可调整的投标方案和报价将被视为非实质性响应招标文件，其</w:t>
      </w:r>
      <w:r>
        <w:rPr>
          <w:rFonts w:hint="eastAsia" w:ascii="仿宋" w:hAnsi="仿宋" w:eastAsia="仿宋" w:cs="仿宋"/>
          <w:b/>
          <w:bCs/>
          <w:snapToGrid w:val="0"/>
          <w:sz w:val="24"/>
          <w:szCs w:val="24"/>
          <w:highlight w:val="none"/>
        </w:rPr>
        <w:t>投标无效</w:t>
      </w:r>
      <w:r>
        <w:rPr>
          <w:rFonts w:hint="eastAsia" w:ascii="仿宋" w:hAnsi="仿宋" w:eastAsia="仿宋" w:cs="仿宋"/>
          <w:sz w:val="24"/>
          <w:szCs w:val="24"/>
          <w:highlight w:val="none"/>
        </w:rPr>
        <w:t>。</w:t>
      </w:r>
    </w:p>
    <w:p w14:paraId="05BE3F8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14.6 投标报价不得超过“第一章 招标公告”中规定的最高投标限价或者预算金额，否则评标委员会将对其作</w:t>
      </w:r>
      <w:r>
        <w:rPr>
          <w:rFonts w:hint="eastAsia" w:ascii="仿宋" w:hAnsi="仿宋" w:eastAsia="仿宋" w:cs="仿宋"/>
          <w:b/>
          <w:bCs/>
          <w:sz w:val="24"/>
          <w:szCs w:val="24"/>
          <w:highlight w:val="none"/>
        </w:rPr>
        <w:t>无效投标处理</w:t>
      </w:r>
      <w:r>
        <w:rPr>
          <w:rFonts w:hint="eastAsia" w:ascii="仿宋" w:hAnsi="仿宋" w:eastAsia="仿宋" w:cs="仿宋"/>
          <w:sz w:val="24"/>
          <w:szCs w:val="24"/>
          <w:highlight w:val="none"/>
        </w:rPr>
        <w:t>。</w:t>
      </w:r>
    </w:p>
    <w:p w14:paraId="762C7026">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14.7 投标人对投标报价若有说明应在投标文件中显著处注明。</w:t>
      </w:r>
    </w:p>
    <w:p w14:paraId="322D0111">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除政策性文件规定以外，投标人所报价格在合同实施期间不因市场变化因素而变动。</w:t>
      </w:r>
    </w:p>
    <w:p w14:paraId="652CDE21">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8"/>
        <w:keepNext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14.9 最低报价不能作为中标的保证。</w:t>
      </w:r>
    </w:p>
    <w:p w14:paraId="28F3E0C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14.10</w:t>
      </w:r>
      <w:r>
        <w:rPr>
          <w:rFonts w:hint="eastAsia" w:ascii="仿宋" w:hAnsi="仿宋" w:eastAsia="仿宋" w:cs="仿宋"/>
          <w:sz w:val="24"/>
          <w:szCs w:val="24"/>
          <w:highlight w:val="none"/>
          <w:lang w:bidi="ar"/>
        </w:rPr>
        <w:t>采购人</w:t>
      </w:r>
      <w:r>
        <w:rPr>
          <w:rFonts w:hint="eastAsia" w:ascii="仿宋" w:hAnsi="仿宋" w:eastAsia="仿宋" w:cs="仿宋"/>
          <w:sz w:val="24"/>
          <w:szCs w:val="24"/>
          <w:highlight w:val="none"/>
        </w:rPr>
        <w:t>不得</w:t>
      </w:r>
      <w:r>
        <w:rPr>
          <w:rFonts w:hint="eastAsia" w:ascii="仿宋" w:hAnsi="仿宋" w:eastAsia="仿宋" w:cs="仿宋"/>
          <w:sz w:val="24"/>
          <w:szCs w:val="24"/>
          <w:highlight w:val="none"/>
          <w:lang w:bidi="ar"/>
        </w:rPr>
        <w:t>向投标人索要或者接受其给予的赠品、回扣或者与采购无关的其他商品、服务。</w:t>
      </w:r>
    </w:p>
    <w:p w14:paraId="4E71F840">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76" w:name="_Toc140132773"/>
      <w:bookmarkStart w:id="177" w:name="_Toc163492840"/>
      <w:r>
        <w:rPr>
          <w:rFonts w:hint="eastAsia" w:ascii="仿宋" w:hAnsi="仿宋" w:eastAsia="仿宋" w:cs="仿宋"/>
          <w:sz w:val="24"/>
          <w:szCs w:val="24"/>
          <w:highlight w:val="none"/>
        </w:rPr>
        <w:t>15.投标有效期</w:t>
      </w:r>
      <w:bookmarkEnd w:id="176"/>
      <w:bookmarkEnd w:id="177"/>
    </w:p>
    <w:p w14:paraId="61A6D66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15.1 </w:t>
      </w:r>
      <w:r>
        <w:rPr>
          <w:rFonts w:hint="eastAsia" w:ascii="仿宋" w:hAnsi="仿宋" w:eastAsia="仿宋" w:cs="仿宋"/>
          <w:kern w:val="0"/>
          <w:sz w:val="24"/>
          <w:szCs w:val="24"/>
          <w:highlight w:val="none"/>
          <w:lang w:val="en"/>
        </w:rPr>
        <w:t>投标有</w:t>
      </w:r>
      <w:r>
        <w:rPr>
          <w:rFonts w:hint="eastAsia" w:ascii="仿宋" w:hAnsi="仿宋" w:eastAsia="仿宋" w:cs="仿宋"/>
          <w:sz w:val="24"/>
          <w:szCs w:val="24"/>
          <w:highlight w:val="none"/>
        </w:rPr>
        <w:t>效期见“第二章 投标人须知前附表”，投标人承诺的投标有效期少于招标文件规定期限的，其投标无效。</w:t>
      </w:r>
    </w:p>
    <w:p w14:paraId="3D8ED93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5C0ECBB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528ACC4B">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78" w:name="_Toc140132774"/>
      <w:bookmarkStart w:id="179" w:name="_Toc163492841"/>
      <w:r>
        <w:rPr>
          <w:rFonts w:hint="eastAsia" w:ascii="仿宋" w:hAnsi="仿宋" w:eastAsia="仿宋" w:cs="仿宋"/>
          <w:sz w:val="24"/>
          <w:szCs w:val="24"/>
          <w:highlight w:val="none"/>
        </w:rPr>
        <w:t>16.投标文件的编制</w:t>
      </w:r>
      <w:bookmarkEnd w:id="178"/>
      <w:bookmarkEnd w:id="179"/>
    </w:p>
    <w:p w14:paraId="2DA78DF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16.1投标文件应在“投标客户端”中进行编制，在投标文件中要求加盖印章的，除有特殊说明之外，可使用电子签章签署。</w:t>
      </w:r>
    </w:p>
    <w:p w14:paraId="456D171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w:t>
      </w:r>
      <w:bookmarkStart w:id="180" w:name="_Hlk143528557"/>
      <w:r>
        <w:rPr>
          <w:rFonts w:hint="eastAsia" w:ascii="仿宋" w:hAnsi="仿宋" w:eastAsia="仿宋" w:cs="仿宋"/>
          <w:sz w:val="24"/>
          <w:szCs w:val="24"/>
          <w:highlight w:val="none"/>
        </w:rPr>
        <w:t>2投标人在“</w:t>
      </w:r>
      <w:r>
        <w:rPr>
          <w:rFonts w:hint="eastAsia" w:ascii="仿宋" w:hAnsi="仿宋" w:eastAsia="仿宋" w:cs="仿宋"/>
          <w:sz w:val="24"/>
          <w:szCs w:val="24"/>
          <w:highlight w:val="none"/>
          <w:lang w:val="en-US"/>
        </w:rPr>
        <w:t>投标</w:t>
      </w:r>
      <w:r>
        <w:rPr>
          <w:rFonts w:hint="eastAsia" w:ascii="仿宋" w:hAnsi="仿宋" w:eastAsia="仿宋" w:cs="仿宋"/>
          <w:sz w:val="24"/>
          <w:szCs w:val="24"/>
          <w:highlight w:val="none"/>
        </w:rPr>
        <w:t>客户端”中按照“</w:t>
      </w:r>
      <w:r>
        <w:rPr>
          <w:rFonts w:hint="eastAsia" w:ascii="仿宋" w:hAnsi="仿宋" w:eastAsia="仿宋" w:cs="仿宋"/>
          <w:sz w:val="24"/>
          <w:szCs w:val="24"/>
          <w:highlight w:val="none"/>
          <w:lang w:val="en-US"/>
        </w:rPr>
        <w:t>投标</w:t>
      </w:r>
      <w:r>
        <w:rPr>
          <w:rFonts w:hint="eastAsia" w:ascii="仿宋" w:hAnsi="仿宋" w:eastAsia="仿宋" w:cs="仿宋"/>
          <w:sz w:val="24"/>
          <w:szCs w:val="24"/>
          <w:highlight w:val="none"/>
        </w:rPr>
        <w:t>客户端”中的格式要求填写响应内容后，生成投标文件。投标人须按照招标文件的要求使用电子签章对要求加盖印章的部分逐一进行签章。</w:t>
      </w:r>
      <w:bookmarkEnd w:id="180"/>
    </w:p>
    <w:p w14:paraId="6D0ED04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sz w:val="24"/>
          <w:szCs w:val="24"/>
          <w:highlight w:val="none"/>
        </w:rPr>
        <w:t>导致</w:t>
      </w:r>
      <w:r>
        <w:rPr>
          <w:rFonts w:hint="eastAsia" w:ascii="仿宋" w:hAnsi="仿宋" w:eastAsia="仿宋" w:cs="仿宋"/>
          <w:b/>
          <w:bCs/>
          <w:sz w:val="24"/>
          <w:szCs w:val="24"/>
          <w:highlight w:val="none"/>
          <w:lang w:val="en-US"/>
        </w:rPr>
        <w:t>其</w:t>
      </w:r>
      <w:r>
        <w:rPr>
          <w:rFonts w:hint="eastAsia" w:ascii="仿宋" w:hAnsi="仿宋" w:eastAsia="仿宋" w:cs="仿宋"/>
          <w:b/>
          <w:bCs/>
          <w:sz w:val="24"/>
          <w:szCs w:val="24"/>
          <w:highlight w:val="none"/>
        </w:rPr>
        <w:t>投标</w:t>
      </w:r>
      <w:r>
        <w:rPr>
          <w:rFonts w:hint="eastAsia" w:ascii="仿宋" w:hAnsi="仿宋" w:eastAsia="仿宋" w:cs="仿宋"/>
          <w:b/>
          <w:bCs/>
          <w:sz w:val="24"/>
          <w:szCs w:val="24"/>
          <w:highlight w:val="none"/>
          <w:lang w:val="en-US"/>
        </w:rPr>
        <w:t>无效</w:t>
      </w:r>
      <w:r>
        <w:rPr>
          <w:rFonts w:hint="eastAsia" w:ascii="仿宋" w:hAnsi="仿宋" w:eastAsia="仿宋" w:cs="仿宋"/>
          <w:sz w:val="24"/>
          <w:szCs w:val="24"/>
          <w:highlight w:val="none"/>
        </w:rPr>
        <w:t>。</w:t>
      </w:r>
    </w:p>
    <w:p w14:paraId="6904BD9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投标文件须严格按照</w:t>
      </w:r>
      <w:r>
        <w:rPr>
          <w:rFonts w:hint="eastAsia" w:ascii="仿宋" w:hAnsi="仿宋" w:eastAsia="仿宋" w:cs="仿宋"/>
          <w:sz w:val="24"/>
          <w:szCs w:val="24"/>
          <w:highlight w:val="none"/>
          <w:lang w:val="en-US"/>
        </w:rPr>
        <w:t>本</w:t>
      </w:r>
      <w:r>
        <w:rPr>
          <w:rFonts w:hint="eastAsia" w:ascii="仿宋" w:hAnsi="仿宋" w:eastAsia="仿宋" w:cs="仿宋"/>
          <w:sz w:val="24"/>
          <w:szCs w:val="24"/>
          <w:highlight w:val="none"/>
        </w:rPr>
        <w:t>招标文件第</w:t>
      </w:r>
      <w:r>
        <w:rPr>
          <w:rFonts w:hint="eastAsia" w:ascii="仿宋" w:hAnsi="仿宋" w:eastAsia="仿宋" w:cs="仿宋"/>
          <w:sz w:val="24"/>
          <w:szCs w:val="24"/>
          <w:highlight w:val="none"/>
          <w:lang w:val="en-US"/>
        </w:rPr>
        <w:t>七章</w:t>
      </w:r>
      <w:r>
        <w:rPr>
          <w:rFonts w:hint="eastAsia" w:ascii="仿宋" w:hAnsi="仿宋" w:eastAsia="仿宋" w:cs="仿宋"/>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sz w:val="24"/>
          <w:szCs w:val="24"/>
          <w:highlight w:val="none"/>
        </w:rPr>
        <w:t>视为未响应</w:t>
      </w:r>
      <w:r>
        <w:rPr>
          <w:rFonts w:hint="eastAsia" w:ascii="仿宋" w:hAnsi="仿宋" w:eastAsia="仿宋" w:cs="仿宋"/>
          <w:sz w:val="24"/>
          <w:szCs w:val="24"/>
          <w:highlight w:val="none"/>
        </w:rPr>
        <w:t>。</w:t>
      </w:r>
    </w:p>
    <w:p w14:paraId="5B139B3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开标一览表为在开标</w:t>
      </w:r>
      <w:r>
        <w:rPr>
          <w:rFonts w:hint="eastAsia" w:ascii="仿宋" w:hAnsi="仿宋" w:eastAsia="仿宋" w:cs="仿宋"/>
          <w:sz w:val="24"/>
          <w:szCs w:val="24"/>
          <w:highlight w:val="none"/>
          <w:lang w:val="en-US"/>
        </w:rPr>
        <w:t>时</w:t>
      </w:r>
      <w:r>
        <w:rPr>
          <w:rFonts w:hint="eastAsia" w:ascii="仿宋" w:hAnsi="仿宋" w:eastAsia="仿宋" w:cs="仿宋"/>
          <w:sz w:val="24"/>
          <w:szCs w:val="24"/>
          <w:highlight w:val="none"/>
        </w:rPr>
        <w:t>唱标的内容，要求按格式统一填写，不得自行增减内容。</w:t>
      </w:r>
    </w:p>
    <w:p w14:paraId="75168A5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sz w:val="24"/>
          <w:szCs w:val="24"/>
          <w:highlight w:val="none"/>
          <w:lang w:val="en-US"/>
        </w:rPr>
        <w:t>按</w:t>
      </w:r>
      <w:r>
        <w:rPr>
          <w:rFonts w:hint="eastAsia" w:ascii="仿宋" w:hAnsi="仿宋" w:eastAsia="仿宋" w:cs="仿宋"/>
          <w:b/>
          <w:bCs/>
          <w:sz w:val="24"/>
          <w:szCs w:val="24"/>
          <w:highlight w:val="none"/>
          <w:lang w:val="en-US"/>
        </w:rPr>
        <w:t>无效投标</w:t>
      </w:r>
      <w:r>
        <w:rPr>
          <w:rFonts w:hint="eastAsia" w:ascii="仿宋" w:hAnsi="仿宋" w:eastAsia="仿宋" w:cs="仿宋"/>
          <w:sz w:val="24"/>
          <w:szCs w:val="24"/>
          <w:highlight w:val="none"/>
        </w:rPr>
        <w:t>处理。</w:t>
      </w:r>
    </w:p>
    <w:p w14:paraId="1C5D829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8</w:t>
      </w:r>
      <w:r>
        <w:rPr>
          <w:rFonts w:hint="eastAsia" w:ascii="仿宋" w:hAnsi="仿宋" w:eastAsia="仿宋" w:cs="仿宋"/>
          <w:sz w:val="24"/>
          <w:szCs w:val="24"/>
          <w:highlight w:val="none"/>
        </w:rPr>
        <w:t>投标人必须保证投标文件所提供的全部资料真实可靠，并接受采购</w:t>
      </w:r>
      <w:r>
        <w:rPr>
          <w:rFonts w:hint="eastAsia" w:ascii="仿宋" w:hAnsi="仿宋" w:eastAsia="仿宋" w:cs="仿宋"/>
          <w:sz w:val="24"/>
          <w:szCs w:val="24"/>
          <w:highlight w:val="none"/>
          <w:lang w:val="en-US"/>
        </w:rPr>
        <w:t>人、采购</w:t>
      </w:r>
      <w:r>
        <w:rPr>
          <w:rFonts w:hint="eastAsia" w:ascii="仿宋" w:hAnsi="仿宋" w:eastAsia="仿宋" w:cs="仿宋"/>
          <w:sz w:val="24"/>
          <w:szCs w:val="24"/>
          <w:highlight w:val="none"/>
        </w:rPr>
        <w:t>代理机构或评标委员会对其中任何资料进一步审查的要求。</w:t>
      </w:r>
    </w:p>
    <w:p w14:paraId="3BDDFBF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9</w:t>
      </w:r>
      <w:r>
        <w:rPr>
          <w:rFonts w:hint="eastAsia" w:ascii="仿宋" w:hAnsi="仿宋" w:eastAsia="仿宋" w:cs="仿宋"/>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sz w:val="24"/>
          <w:szCs w:val="24"/>
          <w:highlight w:val="none"/>
        </w:rPr>
        <w:t>无效投标</w:t>
      </w:r>
      <w:r>
        <w:rPr>
          <w:rFonts w:hint="eastAsia" w:ascii="仿宋" w:hAnsi="仿宋" w:eastAsia="仿宋" w:cs="仿宋"/>
          <w:sz w:val="24"/>
          <w:szCs w:val="24"/>
          <w:highlight w:val="none"/>
        </w:rPr>
        <w:t>处理。</w:t>
      </w:r>
    </w:p>
    <w:p w14:paraId="4A95421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16.10电子投标文件的编制</w:t>
      </w:r>
    </w:p>
    <w:p w14:paraId="4D3D31A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16.10.1</w:t>
      </w:r>
      <w:r>
        <w:rPr>
          <w:rFonts w:hint="eastAsia" w:ascii="仿宋" w:hAnsi="仿宋" w:eastAsia="仿宋" w:cs="仿宋"/>
          <w:sz w:val="24"/>
          <w:szCs w:val="24"/>
          <w:highlight w:val="none"/>
        </w:rPr>
        <w:t>电子</w:t>
      </w:r>
      <w:r>
        <w:rPr>
          <w:rFonts w:hint="eastAsia" w:ascii="仿宋" w:hAnsi="仿宋" w:eastAsia="仿宋" w:cs="仿宋"/>
          <w:iCs w:val="0"/>
          <w:sz w:val="24"/>
          <w:szCs w:val="24"/>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16.10.2</w:t>
      </w:r>
      <w:r>
        <w:rPr>
          <w:rFonts w:hint="eastAsia" w:ascii="仿宋" w:hAnsi="仿宋" w:eastAsia="仿宋" w:cs="仿宋"/>
          <w:sz w:val="24"/>
          <w:szCs w:val="24"/>
          <w:highlight w:val="none"/>
        </w:rPr>
        <w:t>电子</w:t>
      </w:r>
      <w:r>
        <w:rPr>
          <w:rFonts w:hint="eastAsia" w:ascii="仿宋" w:hAnsi="仿宋" w:eastAsia="仿宋" w:cs="仿宋"/>
          <w:iCs w:val="0"/>
          <w:sz w:val="24"/>
          <w:szCs w:val="24"/>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val="0"/>
          <w:sz w:val="24"/>
          <w:szCs w:val="24"/>
          <w:highlight w:val="none"/>
        </w:rPr>
        <w:t>其投标无效</w:t>
      </w:r>
      <w:r>
        <w:rPr>
          <w:rFonts w:hint="eastAsia" w:ascii="仿宋" w:hAnsi="仿宋" w:eastAsia="仿宋" w:cs="仿宋"/>
          <w:iCs w:val="0"/>
          <w:sz w:val="24"/>
          <w:szCs w:val="24"/>
          <w:highlight w:val="none"/>
        </w:rPr>
        <w:t xml:space="preserve">。 </w:t>
      </w:r>
    </w:p>
    <w:p w14:paraId="03FE5336">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81" w:name="_Toc155185873"/>
      <w:bookmarkStart w:id="182" w:name="_Toc163492842"/>
      <w:r>
        <w:rPr>
          <w:rFonts w:hint="eastAsia" w:ascii="仿宋" w:hAnsi="仿宋" w:eastAsia="仿宋" w:cs="仿宋"/>
          <w:sz w:val="24"/>
          <w:szCs w:val="24"/>
          <w:highlight w:val="none"/>
        </w:rPr>
        <w:t>（四）投标</w:t>
      </w:r>
      <w:bookmarkEnd w:id="181"/>
      <w:bookmarkEnd w:id="182"/>
    </w:p>
    <w:p w14:paraId="116D4EC7">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83" w:name="_Toc163492843"/>
      <w:r>
        <w:rPr>
          <w:rFonts w:hint="eastAsia" w:ascii="仿宋" w:hAnsi="仿宋" w:eastAsia="仿宋" w:cs="仿宋"/>
          <w:sz w:val="24"/>
          <w:szCs w:val="24"/>
          <w:highlight w:val="none"/>
        </w:rPr>
        <w:t>17.投标保证金</w:t>
      </w:r>
    </w:p>
    <w:p w14:paraId="7EC73FD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17.1投标人应按照招标文件“第二章 投标人须知前附表”规定的金额及要求提交投标保证金。投标人自愿超额缴纳投标保证金的，投标文件不作无效处理。</w:t>
      </w:r>
    </w:p>
    <w:p w14:paraId="72329C8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17.2提交投标保证金可采用的形式：政府采购法律法规接受的支票、汇票、本票、网上银行支付或者金融机构、担保机构出具的保函等非现金形式。投标人未按照招标文件要求提交投标保证金的，其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。投标保证金有效期同投标有效期。</w:t>
      </w:r>
    </w:p>
    <w:p w14:paraId="4EA0CDE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4571DA9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 xml:space="preserve">17.4 </w:t>
      </w:r>
      <w:r>
        <w:rPr>
          <w:rFonts w:hint="eastAsia" w:ascii="仿宋" w:hAnsi="仿宋" w:eastAsia="仿宋" w:cs="仿宋"/>
          <w:sz w:val="24"/>
          <w:szCs w:val="24"/>
          <w:highlight w:val="none"/>
        </w:rPr>
        <w:t>投标人</w:t>
      </w:r>
      <w:r>
        <w:rPr>
          <w:rFonts w:hint="eastAsia" w:ascii="仿宋" w:hAnsi="仿宋" w:eastAsia="仿宋" w:cs="仿宋"/>
          <w:iCs w:val="0"/>
          <w:sz w:val="24"/>
          <w:szCs w:val="24"/>
          <w:highlight w:val="none"/>
        </w:rPr>
        <w:t>为联合体的，可以由联合体中的一方或者多方共同提交投标保证金，其提交的投标保证金对联合体各方均具有约束力。</w:t>
      </w:r>
    </w:p>
    <w:p w14:paraId="17B15CB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1FB9A5E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 xml:space="preserve">17.6 投标人在投标截止时间前撤回已提交的投标文件的，自收到投标人书面撤回通知之日起 5 个工作日内，退还已收取的投标保证金，但因投标人自身原因导致无法及时退还的除外。 </w:t>
      </w:r>
    </w:p>
    <w:p w14:paraId="0F38F45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17.7 终止招标项目已经收取投标保证金的，自终止采购活动后 5 个工作日内退还已收取的投标保证金及其在银行产生的孳息。</w:t>
      </w:r>
    </w:p>
    <w:p w14:paraId="788E394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17.8 有下列情形之一的，采购人或采购代理机构可以不予退还投标保证金，</w:t>
      </w:r>
      <w:r>
        <w:rPr>
          <w:rFonts w:hint="eastAsia" w:ascii="仿宋" w:hAnsi="仿宋" w:eastAsia="仿宋" w:cs="仿宋"/>
          <w:sz w:val="24"/>
          <w:szCs w:val="24"/>
          <w:highlight w:val="none"/>
        </w:rPr>
        <w:t>情节严重的将其列入不良记录名单</w:t>
      </w:r>
      <w:r>
        <w:rPr>
          <w:rFonts w:hint="eastAsia" w:ascii="仿宋" w:hAnsi="仿宋" w:eastAsia="仿宋" w:cs="仿宋"/>
          <w:iCs w:val="0"/>
          <w:sz w:val="24"/>
          <w:szCs w:val="24"/>
          <w:highlight w:val="none"/>
        </w:rPr>
        <w:t xml:space="preserve">： </w:t>
      </w:r>
    </w:p>
    <w:p w14:paraId="2DD24BF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 xml:space="preserve">17.8.1 </w:t>
      </w:r>
      <w:r>
        <w:rPr>
          <w:rFonts w:hint="eastAsia" w:ascii="仿宋" w:hAnsi="仿宋" w:eastAsia="仿宋" w:cs="仿宋"/>
          <w:sz w:val="24"/>
          <w:szCs w:val="24"/>
          <w:highlight w:val="none"/>
        </w:rPr>
        <w:t>开标后在投标有效期内，投标人撤销其投标的；</w:t>
      </w:r>
      <w:r>
        <w:rPr>
          <w:rFonts w:hint="eastAsia" w:ascii="仿宋" w:hAnsi="仿宋" w:eastAsia="仿宋" w:cs="仿宋"/>
          <w:iCs w:val="0"/>
          <w:sz w:val="24"/>
          <w:szCs w:val="24"/>
          <w:highlight w:val="none"/>
        </w:rPr>
        <w:t xml:space="preserve"> </w:t>
      </w:r>
    </w:p>
    <w:p w14:paraId="047A281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 xml:space="preserve">17.8.2 </w:t>
      </w:r>
      <w:r>
        <w:rPr>
          <w:rFonts w:hint="eastAsia" w:ascii="仿宋" w:hAnsi="仿宋" w:eastAsia="仿宋" w:cs="仿宋"/>
          <w:sz w:val="24"/>
          <w:szCs w:val="24"/>
          <w:highlight w:val="none"/>
        </w:rPr>
        <w:t>中标后无正当理由不与采购人签订合同的；</w:t>
      </w:r>
    </w:p>
    <w:p w14:paraId="5478B66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iCs w:val="0"/>
          <w:sz w:val="24"/>
          <w:szCs w:val="24"/>
          <w:highlight w:val="none"/>
        </w:rPr>
        <w:t xml:space="preserve">17.8.3 </w:t>
      </w:r>
      <w:r>
        <w:rPr>
          <w:rFonts w:hint="eastAsia" w:ascii="仿宋" w:hAnsi="仿宋" w:eastAsia="仿宋" w:cs="仿宋"/>
          <w:sz w:val="24"/>
          <w:szCs w:val="24"/>
          <w:highlight w:val="none"/>
        </w:rPr>
        <w:t>中标人与采购人订立背离合同实质性内容的其他协议；</w:t>
      </w:r>
    </w:p>
    <w:p w14:paraId="1707BC5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iCs w:val="0"/>
          <w:sz w:val="24"/>
          <w:szCs w:val="24"/>
          <w:highlight w:val="none"/>
        </w:rPr>
        <w:t>17.8.</w:t>
      </w:r>
      <w:r>
        <w:rPr>
          <w:rFonts w:hint="eastAsia" w:ascii="仿宋" w:hAnsi="仿宋" w:eastAsia="仿宋" w:cs="仿宋"/>
          <w:sz w:val="24"/>
          <w:szCs w:val="24"/>
          <w:highlight w:val="none"/>
        </w:rPr>
        <w:t>4 将中标项目转让给他人，或者在投标文件中未说明，且未经采购人同意，将中标项目分包给他人的；</w:t>
      </w:r>
    </w:p>
    <w:p w14:paraId="6356244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iCs w:val="0"/>
          <w:sz w:val="24"/>
          <w:szCs w:val="24"/>
          <w:highlight w:val="none"/>
        </w:rPr>
        <w:t>17.8.</w:t>
      </w:r>
      <w:r>
        <w:rPr>
          <w:rFonts w:hint="eastAsia" w:ascii="仿宋" w:hAnsi="仿宋" w:eastAsia="仿宋" w:cs="仿宋"/>
          <w:sz w:val="24"/>
          <w:szCs w:val="24"/>
          <w:highlight w:val="none"/>
        </w:rPr>
        <w:t>5 存在串通投标行为的；</w:t>
      </w:r>
    </w:p>
    <w:p w14:paraId="4A8B107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iCs w:val="0"/>
          <w:sz w:val="24"/>
          <w:szCs w:val="24"/>
          <w:highlight w:val="none"/>
        </w:rPr>
        <w:t>17.8.</w:t>
      </w:r>
      <w:r>
        <w:rPr>
          <w:rFonts w:hint="eastAsia" w:ascii="仿宋" w:hAnsi="仿宋" w:eastAsia="仿宋" w:cs="仿宋"/>
          <w:sz w:val="24"/>
          <w:szCs w:val="24"/>
          <w:highlight w:val="none"/>
        </w:rPr>
        <w:t>6 存在弄虚作假或提供虚假材料谋取中标的；</w:t>
      </w:r>
    </w:p>
    <w:p w14:paraId="6A389F1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iCs w:val="0"/>
          <w:sz w:val="24"/>
          <w:szCs w:val="24"/>
          <w:highlight w:val="none"/>
        </w:rPr>
        <w:t>17.8.</w:t>
      </w:r>
      <w:r>
        <w:rPr>
          <w:rFonts w:hint="eastAsia" w:ascii="仿宋" w:hAnsi="仿宋" w:eastAsia="仿宋" w:cs="仿宋"/>
          <w:sz w:val="24"/>
          <w:szCs w:val="24"/>
          <w:highlight w:val="none"/>
        </w:rPr>
        <w:t>7 投标人其他未按招标文件规定和合同约定履行义务的行为。</w:t>
      </w:r>
    </w:p>
    <w:p w14:paraId="13DF747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17.9如开标时投标人对本单位投标保证金缴纳情况有疑义，投标人应在开标结束前向采购人提交书面申请核实保证金缴纳情况。由银行或保险公司核实后出具书面材料予以答复。</w:t>
      </w:r>
    </w:p>
    <w:p w14:paraId="535C5AB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直达链接（电子保函）：</w:t>
      </w:r>
    </w:p>
    <w:p w14:paraId="09BB71D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https://</w:t>
      </w:r>
      <w:r>
        <w:rPr>
          <w:rFonts w:hint="eastAsia" w:ascii="仿宋" w:hAnsi="仿宋" w:eastAsia="仿宋" w:cs="仿宋"/>
          <w:sz w:val="24"/>
          <w:szCs w:val="24"/>
          <w:highlight w:val="none"/>
        </w:rPr>
        <w:t>jinrong</w:t>
      </w:r>
      <w:r>
        <w:rPr>
          <w:rFonts w:hint="eastAsia" w:ascii="仿宋" w:hAnsi="仿宋" w:eastAsia="仿宋" w:cs="仿宋"/>
          <w:iCs w:val="0"/>
          <w:sz w:val="24"/>
          <w:szCs w:val="24"/>
          <w:highlight w:val="none"/>
        </w:rPr>
        <w:t>.zcygov.cn/luban/finance/xinjiang?utm=site.site-PC-4838.1473-pc-wsg-customFloatWindow-front.1.b9d627301e6311efb796b33a13fe0d0a</w:t>
      </w:r>
    </w:p>
    <w:p w14:paraId="1AB08A6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iCs w:val="0"/>
          <w:sz w:val="24"/>
          <w:szCs w:val="24"/>
          <w:highlight w:val="none"/>
        </w:rPr>
      </w:pPr>
      <w:r>
        <w:rPr>
          <w:rFonts w:hint="eastAsia" w:ascii="仿宋" w:hAnsi="仿宋" w:eastAsia="仿宋" w:cs="仿宋"/>
          <w:iCs w:val="0"/>
          <w:sz w:val="24"/>
          <w:szCs w:val="24"/>
          <w:highlight w:val="none"/>
        </w:rPr>
        <w:t>金融服务</w:t>
      </w:r>
      <w:r>
        <w:rPr>
          <w:rFonts w:hint="eastAsia" w:ascii="仿宋" w:hAnsi="仿宋" w:eastAsia="仿宋" w:cs="仿宋"/>
          <w:sz w:val="24"/>
          <w:szCs w:val="24"/>
          <w:highlight w:val="none"/>
        </w:rPr>
        <w:t>支撑</w:t>
      </w:r>
      <w:r>
        <w:rPr>
          <w:rFonts w:hint="eastAsia" w:ascii="仿宋" w:hAnsi="仿宋" w:eastAsia="仿宋" w:cs="仿宋"/>
          <w:iCs w:val="0"/>
          <w:sz w:val="24"/>
          <w:szCs w:val="24"/>
          <w:highlight w:val="none"/>
        </w:rPr>
        <w:t>热线：</w:t>
      </w:r>
      <w:r>
        <w:rPr>
          <w:rFonts w:hint="eastAsia" w:ascii="仿宋" w:hAnsi="仿宋" w:eastAsia="仿宋" w:cs="仿宋"/>
          <w:b/>
          <w:bCs/>
          <w:iCs w:val="0"/>
          <w:sz w:val="24"/>
          <w:szCs w:val="24"/>
          <w:highlight w:val="none"/>
        </w:rPr>
        <w:t>95763</w:t>
      </w:r>
      <w:r>
        <w:rPr>
          <w:rFonts w:hint="eastAsia" w:ascii="仿宋" w:hAnsi="仿宋" w:eastAsia="仿宋" w:cs="仿宋"/>
          <w:iCs w:val="0"/>
          <w:sz w:val="24"/>
          <w:szCs w:val="24"/>
          <w:highlight w:val="none"/>
        </w:rPr>
        <w:t xml:space="preserve">     </w:t>
      </w:r>
    </w:p>
    <w:p w14:paraId="578CC0E0">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18.投标文件的加密</w:t>
      </w:r>
      <w:bookmarkEnd w:id="183"/>
    </w:p>
    <w:p w14:paraId="01008C7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u w:val="single"/>
        </w:rPr>
      </w:pPr>
      <w:bookmarkStart w:id="184" w:name="_Hlk143531864"/>
      <w:r>
        <w:rPr>
          <w:rFonts w:hint="eastAsia" w:ascii="仿宋" w:hAnsi="仿宋" w:eastAsia="仿宋" w:cs="仿宋"/>
          <w:sz w:val="24"/>
          <w:szCs w:val="24"/>
          <w:highlight w:val="none"/>
        </w:rPr>
        <w:t>18.1投标人在“投标客户端”中生成投标文件并完成签章之后，使用CA证书在“投标客户端”中对投标文件进行加密。</w:t>
      </w:r>
    </w:p>
    <w:p w14:paraId="6888A65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18.2投标人应在“投标客户端”中对加密的投标文件进行解密验证，以防止投标文件加密异常，在开标时无法解密。</w:t>
      </w:r>
    </w:p>
    <w:p w14:paraId="0C79850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 投标人应保证加密投标文件的CA证书有效期在开标时间之前。若CA证书有效期临近开标时间，建议投标人提前办理CA证书续期，以免开标时无法进行解密。</w:t>
      </w:r>
    </w:p>
    <w:p w14:paraId="4F0E23A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18.6本项目采用不见面开标，无需提供电子投标文件U盘。</w:t>
      </w:r>
    </w:p>
    <w:bookmarkEnd w:id="184"/>
    <w:p w14:paraId="4E59CAB6">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85" w:name="_Toc140132777"/>
      <w:bookmarkStart w:id="186" w:name="_Toc163492844"/>
      <w:r>
        <w:rPr>
          <w:rFonts w:hint="eastAsia" w:ascii="仿宋" w:hAnsi="仿宋" w:eastAsia="仿宋" w:cs="仿宋"/>
          <w:sz w:val="24"/>
          <w:szCs w:val="24"/>
          <w:highlight w:val="none"/>
        </w:rPr>
        <w:t>19.投标文件的递交</w:t>
      </w:r>
      <w:bookmarkEnd w:id="185"/>
      <w:r>
        <w:rPr>
          <w:rFonts w:hint="eastAsia" w:ascii="仿宋" w:hAnsi="仿宋" w:eastAsia="仿宋" w:cs="仿宋"/>
          <w:sz w:val="24"/>
          <w:szCs w:val="24"/>
          <w:highlight w:val="none"/>
        </w:rPr>
        <w:t>（上传）</w:t>
      </w:r>
      <w:bookmarkEnd w:id="186"/>
    </w:p>
    <w:p w14:paraId="7B6C6FB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187" w:name="_Hlk143531977"/>
      <w:r>
        <w:rPr>
          <w:rFonts w:hint="eastAsia" w:ascii="仿宋" w:hAnsi="仿宋" w:eastAsia="仿宋" w:cs="仿宋"/>
          <w:sz w:val="24"/>
          <w:szCs w:val="24"/>
          <w:highlight w:val="none"/>
        </w:rPr>
        <w:t>19.1 投标人应在“第一章 招标公告”规定的投标截止时间前递交（上传）投标文件。</w:t>
      </w:r>
    </w:p>
    <w:p w14:paraId="45151C2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19.2 投标人递交（上传）投标文件的地点见“第一章 招标公告”。</w:t>
      </w:r>
    </w:p>
    <w:p w14:paraId="296967D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19.4 投标人应在“投标客户端”中下载未加密且完成签章的投标文件妥善保存，以便启动应急开标程序时使用。</w:t>
      </w:r>
    </w:p>
    <w:p w14:paraId="4C832699">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19.5投标人所递交的投标文件不予退还。</w:t>
      </w:r>
    </w:p>
    <w:bookmarkEnd w:id="187"/>
    <w:p w14:paraId="4ACBBCB3">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88" w:name="_Toc163492845"/>
      <w:r>
        <w:rPr>
          <w:rFonts w:hint="eastAsia" w:ascii="仿宋" w:hAnsi="仿宋" w:eastAsia="仿宋" w:cs="仿宋"/>
          <w:sz w:val="24"/>
          <w:szCs w:val="24"/>
          <w:highlight w:val="none"/>
        </w:rPr>
        <w:t>20.拒收</w:t>
      </w:r>
      <w:bookmarkEnd w:id="188"/>
    </w:p>
    <w:p w14:paraId="1A873F0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20.1 超过投标文件提交截止时间</w:t>
      </w:r>
      <w:bookmarkStart w:id="189" w:name="_Hlk143532404"/>
      <w:r>
        <w:rPr>
          <w:rFonts w:hint="eastAsia" w:ascii="仿宋" w:hAnsi="仿宋" w:eastAsia="仿宋" w:cs="仿宋"/>
          <w:sz w:val="24"/>
          <w:szCs w:val="24"/>
          <w:highlight w:val="none"/>
        </w:rPr>
        <w:t>或者不按照本章要求加密的投标文件，交易系统应当拒收</w:t>
      </w:r>
      <w:bookmarkEnd w:id="189"/>
      <w:r>
        <w:rPr>
          <w:rFonts w:hint="eastAsia" w:ascii="仿宋" w:hAnsi="仿宋" w:eastAsia="仿宋" w:cs="仿宋"/>
          <w:sz w:val="24"/>
          <w:szCs w:val="24"/>
          <w:highlight w:val="none"/>
        </w:rPr>
        <w:t>。</w:t>
      </w:r>
    </w:p>
    <w:p w14:paraId="696BA176">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90" w:name="_Toc140132778"/>
      <w:bookmarkStart w:id="191" w:name="_Toc163492846"/>
      <w:r>
        <w:rPr>
          <w:rFonts w:hint="eastAsia" w:ascii="仿宋" w:hAnsi="仿宋" w:eastAsia="仿宋" w:cs="仿宋"/>
          <w:sz w:val="24"/>
          <w:szCs w:val="24"/>
          <w:highlight w:val="none"/>
        </w:rPr>
        <w:t>21.投标文件的修改与撤回</w:t>
      </w:r>
      <w:bookmarkEnd w:id="190"/>
      <w:bookmarkEnd w:id="191"/>
    </w:p>
    <w:p w14:paraId="4B63285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w:t>
      </w:r>
      <w:bookmarkStart w:id="192" w:name="_Hlk143532466"/>
      <w:r>
        <w:rPr>
          <w:rFonts w:hint="eastAsia" w:ascii="仿宋" w:hAnsi="仿宋" w:eastAsia="仿宋" w:cs="仿宋"/>
          <w:sz w:val="24"/>
          <w:szCs w:val="24"/>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2"/>
    <w:p w14:paraId="4B611931">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93" w:name="_Toc155185874"/>
      <w:bookmarkStart w:id="194" w:name="_Toc163492847"/>
      <w:r>
        <w:rPr>
          <w:rFonts w:hint="eastAsia" w:ascii="仿宋" w:hAnsi="仿宋" w:eastAsia="仿宋" w:cs="仿宋"/>
          <w:sz w:val="24"/>
          <w:szCs w:val="24"/>
          <w:highlight w:val="none"/>
        </w:rPr>
        <w:t>22.实物样品</w:t>
      </w:r>
      <w:bookmarkEnd w:id="193"/>
      <w:bookmarkEnd w:id="194"/>
    </w:p>
    <w:p w14:paraId="46BA6B6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.1“投标人须知前附表”要求提供样品的，样品的具体要求及评审详见“第三章 采购需求”和“第五章 评标</w:t>
      </w:r>
      <w:r>
        <w:rPr>
          <w:rFonts w:hint="eastAsia" w:ascii="仿宋" w:hAnsi="仿宋" w:eastAsia="仿宋" w:cs="仿宋"/>
          <w:sz w:val="24"/>
          <w:szCs w:val="24"/>
          <w:highlight w:val="none"/>
          <w:lang w:val="en-US"/>
        </w:rPr>
        <w:t>方</w:t>
      </w:r>
      <w:r>
        <w:rPr>
          <w:rFonts w:hint="eastAsia" w:ascii="仿宋" w:hAnsi="仿宋" w:eastAsia="仿宋" w:cs="仿宋"/>
          <w:sz w:val="24"/>
          <w:szCs w:val="24"/>
          <w:highlight w:val="none"/>
        </w:rPr>
        <w:t>法及标准”。</w:t>
      </w:r>
    </w:p>
    <w:p w14:paraId="338F658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.2样品退还：未中标的投标人应</w:t>
      </w:r>
      <w:r>
        <w:rPr>
          <w:rFonts w:hint="eastAsia" w:ascii="仿宋" w:hAnsi="仿宋" w:eastAsia="仿宋" w:cs="仿宋"/>
          <w:sz w:val="24"/>
          <w:szCs w:val="24"/>
          <w:highlight w:val="none"/>
          <w:lang w:val="en-US"/>
        </w:rPr>
        <w:t>按照</w:t>
      </w:r>
      <w:r>
        <w:rPr>
          <w:rFonts w:hint="eastAsia" w:ascii="仿宋" w:hAnsi="仿宋" w:eastAsia="仿宋" w:cs="仿宋"/>
          <w:sz w:val="24"/>
          <w:szCs w:val="24"/>
          <w:highlight w:val="none"/>
        </w:rPr>
        <w:t>“投标人须知前附表”</w:t>
      </w:r>
      <w:r>
        <w:rPr>
          <w:rFonts w:hint="eastAsia" w:ascii="仿宋" w:hAnsi="仿宋" w:eastAsia="仿宋" w:cs="仿宋"/>
          <w:sz w:val="24"/>
          <w:szCs w:val="24"/>
          <w:highlight w:val="none"/>
          <w:lang w:val="en-US"/>
        </w:rPr>
        <w:t>要求</w:t>
      </w:r>
      <w:r>
        <w:rPr>
          <w:rFonts w:hint="eastAsia" w:ascii="仿宋" w:hAnsi="仿宋" w:eastAsia="仿宋" w:cs="仿宋"/>
          <w:sz w:val="24"/>
          <w:szCs w:val="24"/>
          <w:highlight w:val="none"/>
        </w:rPr>
        <w:t>自行联系采购人取回投标样品；中标人的样品由采购人进行保管、封存，并作为履约验收的参考（招标文件另有规定的从其规定）。</w:t>
      </w:r>
    </w:p>
    <w:p w14:paraId="32EC091C">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95" w:name="_Toc155185875"/>
      <w:bookmarkStart w:id="196" w:name="_Toc163492848"/>
      <w:r>
        <w:rPr>
          <w:rFonts w:hint="eastAsia" w:ascii="仿宋" w:hAnsi="仿宋" w:eastAsia="仿宋" w:cs="仿宋"/>
          <w:sz w:val="24"/>
          <w:szCs w:val="24"/>
          <w:highlight w:val="none"/>
        </w:rPr>
        <w:t>23.演示</w:t>
      </w:r>
      <w:bookmarkEnd w:id="195"/>
      <w:bookmarkEnd w:id="196"/>
    </w:p>
    <w:p w14:paraId="77494F0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.1要求投标人进行演示的，演示要求详见“投标人须知前附表”。</w:t>
      </w:r>
    </w:p>
    <w:p w14:paraId="48D1833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.2演示的评审详见“第三章 采购需求”和“第五章 评标</w:t>
      </w:r>
      <w:r>
        <w:rPr>
          <w:rFonts w:hint="eastAsia" w:ascii="仿宋" w:hAnsi="仿宋" w:eastAsia="仿宋" w:cs="仿宋"/>
          <w:sz w:val="24"/>
          <w:szCs w:val="24"/>
          <w:highlight w:val="none"/>
          <w:lang w:val="en-US"/>
        </w:rPr>
        <w:t>方</w:t>
      </w:r>
      <w:r>
        <w:rPr>
          <w:rFonts w:hint="eastAsia" w:ascii="仿宋" w:hAnsi="仿宋" w:eastAsia="仿宋" w:cs="仿宋"/>
          <w:sz w:val="24"/>
          <w:szCs w:val="24"/>
          <w:highlight w:val="none"/>
        </w:rPr>
        <w:t>法及标准”。</w:t>
      </w:r>
    </w:p>
    <w:p w14:paraId="1D39C2A9">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197" w:name="_Toc163492849"/>
      <w:bookmarkStart w:id="198" w:name="_Toc155185876"/>
      <w:bookmarkStart w:id="199" w:name="_Toc140132779"/>
      <w:r>
        <w:rPr>
          <w:rFonts w:hint="eastAsia" w:ascii="仿宋" w:hAnsi="仿宋" w:eastAsia="仿宋" w:cs="仿宋"/>
          <w:sz w:val="24"/>
          <w:szCs w:val="24"/>
          <w:highlight w:val="none"/>
        </w:rPr>
        <w:t>（五）开标</w:t>
      </w:r>
      <w:bookmarkEnd w:id="197"/>
      <w:bookmarkEnd w:id="198"/>
      <w:bookmarkEnd w:id="199"/>
    </w:p>
    <w:p w14:paraId="2C01D2DA">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00" w:name="_Toc140132780"/>
      <w:bookmarkStart w:id="201" w:name="_Toc163492850"/>
      <w:r>
        <w:rPr>
          <w:rFonts w:hint="eastAsia" w:ascii="仿宋" w:hAnsi="仿宋" w:eastAsia="仿宋" w:cs="仿宋"/>
          <w:sz w:val="24"/>
          <w:szCs w:val="24"/>
          <w:highlight w:val="none"/>
        </w:rPr>
        <w:t>24.开标会议</w:t>
      </w:r>
      <w:bookmarkEnd w:id="200"/>
      <w:bookmarkEnd w:id="201"/>
    </w:p>
    <w:p w14:paraId="379580B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202" w:name="_Toc140132781"/>
      <w:r>
        <w:rPr>
          <w:rFonts w:hint="eastAsia" w:ascii="仿宋" w:hAnsi="仿宋" w:eastAsia="仿宋" w:cs="仿宋"/>
          <w:sz w:val="24"/>
          <w:szCs w:val="24"/>
          <w:highlight w:val="none"/>
        </w:rPr>
        <w:t>24.1开标会按“第一章 招标公告”规定的开标时间和地点准时举行，采购人、采购代理机构邀请所有投标人准时参加开标会。投标人应按照招标文件的要求参与不见面开标。</w:t>
      </w:r>
    </w:p>
    <w:p w14:paraId="63183A2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24.2 </w:t>
      </w:r>
      <w:bookmarkEnd w:id="202"/>
      <w:r>
        <w:rPr>
          <w:rFonts w:hint="eastAsia" w:ascii="仿宋" w:hAnsi="仿宋" w:eastAsia="仿宋" w:cs="仿宋"/>
          <w:sz w:val="24"/>
          <w:szCs w:val="24"/>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03" w:name="_Toc140132783"/>
      <w:bookmarkStart w:id="204" w:name="_Toc163492852"/>
      <w:r>
        <w:rPr>
          <w:rFonts w:hint="eastAsia" w:ascii="仿宋" w:hAnsi="仿宋" w:eastAsia="仿宋" w:cs="仿宋"/>
          <w:sz w:val="24"/>
          <w:szCs w:val="24"/>
          <w:highlight w:val="none"/>
        </w:rPr>
        <w:t>25.开标程序</w:t>
      </w:r>
      <w:bookmarkEnd w:id="203"/>
      <w:bookmarkEnd w:id="204"/>
    </w:p>
    <w:p w14:paraId="7338E31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25.1 投标人不足3家的，不得开标。</w:t>
      </w:r>
    </w:p>
    <w:p w14:paraId="1B814DE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25.2 评标委员会成员不得参加开标活动。</w:t>
      </w:r>
    </w:p>
    <w:p w14:paraId="6D03B74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25.3主持人按下列程序进行开标：</w:t>
      </w:r>
    </w:p>
    <w:p w14:paraId="2A790655">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（1）宣布开标会纪律；</w:t>
      </w:r>
    </w:p>
    <w:p w14:paraId="118B60DE">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（2）介绍参加开标会的单位和人员；</w:t>
      </w:r>
    </w:p>
    <w:p w14:paraId="3FF8C931">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（3）发起投标文件解密。投标人应在“投标人须知前附表”规定的时间内使用加密投标文件的CA证书在系统中完成投标文件的解密；投标人不足3家的，不予解密；</w:t>
      </w:r>
    </w:p>
    <w:p w14:paraId="3F6AF4F2">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（4）解密完成后，系统自动显示投标人名称、投标价格和招标文件规定的需要宣布的其他内容；</w:t>
      </w:r>
    </w:p>
    <w:p w14:paraId="6A8614F5">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（5）系统自动生成开标记录表，投标人应在线对开标记录进行签署确认；</w:t>
      </w:r>
    </w:p>
    <w:p w14:paraId="0FF3586C">
      <w:pPr>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（6）开标会结束。</w:t>
      </w:r>
      <w:bookmarkStart w:id="205" w:name="_Toc140132784"/>
      <w:bookmarkStart w:id="206" w:name="_Toc163492853"/>
    </w:p>
    <w:p w14:paraId="4A843237">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26.开标疑义及回避情形</w:t>
      </w:r>
      <w:bookmarkEnd w:id="205"/>
      <w:bookmarkEnd w:id="206"/>
    </w:p>
    <w:p w14:paraId="6B022FE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.2投标人未参加开标的，视同认可开标结果。</w:t>
      </w:r>
    </w:p>
    <w:p w14:paraId="62B29FAB">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07" w:name="_Toc155185877"/>
      <w:bookmarkStart w:id="208" w:name="_Toc163492854"/>
      <w:bookmarkStart w:id="209" w:name="_Toc140132785"/>
      <w:r>
        <w:rPr>
          <w:rFonts w:hint="eastAsia" w:ascii="仿宋" w:hAnsi="仿宋" w:eastAsia="仿宋" w:cs="仿宋"/>
          <w:sz w:val="24"/>
          <w:szCs w:val="24"/>
          <w:highlight w:val="none"/>
        </w:rPr>
        <w:t>（六）资格审查</w:t>
      </w:r>
      <w:bookmarkEnd w:id="207"/>
      <w:bookmarkEnd w:id="208"/>
      <w:bookmarkEnd w:id="209"/>
    </w:p>
    <w:p w14:paraId="71B3193E">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10" w:name="_Toc163492855"/>
      <w:r>
        <w:rPr>
          <w:rFonts w:hint="eastAsia" w:ascii="仿宋" w:hAnsi="仿宋" w:eastAsia="仿宋" w:cs="仿宋"/>
          <w:sz w:val="24"/>
          <w:szCs w:val="24"/>
          <w:highlight w:val="none"/>
        </w:rPr>
        <w:t>27.资格审查及审查主体</w:t>
      </w:r>
      <w:bookmarkEnd w:id="210"/>
    </w:p>
    <w:p w14:paraId="606B05E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211" w:name="_Toc140132786"/>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.1</w:t>
      </w:r>
      <w:bookmarkEnd w:id="211"/>
      <w:r>
        <w:rPr>
          <w:rFonts w:hint="eastAsia" w:ascii="仿宋" w:hAnsi="仿宋" w:eastAsia="仿宋" w:cs="仿宋"/>
          <w:sz w:val="24"/>
          <w:szCs w:val="24"/>
          <w:highlight w:val="none"/>
        </w:rPr>
        <w:t>开标结束后，采购人或者采购代理机构应当依法对投标人的资格进行审查。</w:t>
      </w:r>
    </w:p>
    <w:p w14:paraId="567C6CA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212" w:name="_Toc140132787"/>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.2资格审查按“第四章</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资格审查”的规定进行。</w:t>
      </w:r>
      <w:bookmarkEnd w:id="212"/>
    </w:p>
    <w:p w14:paraId="1A3A615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213" w:name="_Toc140132788"/>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.3资格审查结束后，应及时对资格审查结果进行复核，对资格审查错误进行及时纠正并记录。</w:t>
      </w:r>
      <w:bookmarkEnd w:id="213"/>
    </w:p>
    <w:p w14:paraId="7EFE3DC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27.4</w:t>
      </w:r>
      <w:r>
        <w:rPr>
          <w:rFonts w:hint="eastAsia" w:ascii="仿宋" w:hAnsi="仿宋" w:eastAsia="仿宋" w:cs="仿宋"/>
          <w:sz w:val="24"/>
          <w:szCs w:val="24"/>
          <w:highlight w:val="none"/>
        </w:rPr>
        <w:t>资格审查合格投标人不足3家的，不得评标。</w:t>
      </w:r>
    </w:p>
    <w:p w14:paraId="0AC8C495">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14" w:name="_Toc163492856"/>
      <w:bookmarkStart w:id="215" w:name="_Toc140132789"/>
      <w:bookmarkStart w:id="216" w:name="_Toc155185878"/>
      <w:r>
        <w:rPr>
          <w:rFonts w:hint="eastAsia" w:ascii="仿宋" w:hAnsi="仿宋" w:eastAsia="仿宋" w:cs="仿宋"/>
          <w:sz w:val="24"/>
          <w:szCs w:val="24"/>
          <w:highlight w:val="none"/>
        </w:rPr>
        <w:t>（七）评标</w:t>
      </w:r>
      <w:bookmarkEnd w:id="214"/>
      <w:bookmarkEnd w:id="215"/>
      <w:bookmarkEnd w:id="216"/>
    </w:p>
    <w:p w14:paraId="26A7D6D9">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17" w:name="_Toc140132790"/>
      <w:bookmarkStart w:id="218" w:name="_Toc163492857"/>
      <w:r>
        <w:rPr>
          <w:rFonts w:hint="eastAsia" w:ascii="仿宋" w:hAnsi="仿宋" w:eastAsia="仿宋" w:cs="仿宋"/>
          <w:sz w:val="24"/>
          <w:szCs w:val="24"/>
          <w:highlight w:val="none"/>
        </w:rPr>
        <w:t>28.评标委员会</w:t>
      </w:r>
      <w:bookmarkEnd w:id="217"/>
      <w:bookmarkEnd w:id="218"/>
    </w:p>
    <w:p w14:paraId="630DCB2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14:paraId="378269F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28.2 采购项目符合下列情形之一的，评标委员会成员人数应当为7人以上单数：</w:t>
      </w:r>
    </w:p>
    <w:p w14:paraId="5420908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（1）采购预算金额在1000万元以上；</w:t>
      </w:r>
    </w:p>
    <w:p w14:paraId="7F3B6F4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（2）技术复杂；</w:t>
      </w:r>
    </w:p>
    <w:p w14:paraId="2395506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（3）社会影响较大。</w:t>
      </w:r>
    </w:p>
    <w:p w14:paraId="7522E99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28.4评标委员会成员名单在评标结果公告前应当保密。</w:t>
      </w:r>
    </w:p>
    <w:p w14:paraId="06C5119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28.6无法及时补足评标委员会成员的，采购人或者采购代理机构应当停止评标活动，封存所有投标文件和开标、评标资料，依法重新组建评标委员会进行评标。原评标委员会所作出的评标意见无效。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8</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 xml:space="preserve"> 评标委员会成员有下列情形之一的，应当回避：</w:t>
      </w:r>
    </w:p>
    <w:p w14:paraId="3FAAD7A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14:paraId="3B7DD8B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14:paraId="0E62812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（3）参加采购活动前3年内是投标人的控股股东或实际控制人；</w:t>
      </w:r>
    </w:p>
    <w:p w14:paraId="5895829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14:paraId="05A3323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14:paraId="061BB813">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19" w:name="_Toc140132791"/>
      <w:bookmarkStart w:id="220" w:name="_Toc163492858"/>
      <w:r>
        <w:rPr>
          <w:rFonts w:hint="eastAsia" w:ascii="仿宋" w:hAnsi="仿宋" w:eastAsia="仿宋" w:cs="仿宋"/>
          <w:sz w:val="24"/>
          <w:szCs w:val="24"/>
          <w:highlight w:val="none"/>
        </w:rPr>
        <w:t>29.评标</w:t>
      </w:r>
      <w:bookmarkEnd w:id="219"/>
      <w:bookmarkEnd w:id="220"/>
    </w:p>
    <w:p w14:paraId="11FE1CB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29</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 xml:space="preserve"> 评标方法分为综合评分法和</w:t>
      </w:r>
      <w:r>
        <w:rPr>
          <w:rFonts w:hint="eastAsia" w:ascii="仿宋" w:hAnsi="仿宋" w:eastAsia="仿宋" w:cs="仿宋"/>
          <w:sz w:val="24"/>
          <w:szCs w:val="24"/>
          <w:highlight w:val="none"/>
        </w:rPr>
        <w:t>最低评标价法，本项目评标</w:t>
      </w:r>
      <w:r>
        <w:rPr>
          <w:rFonts w:hint="eastAsia" w:ascii="仿宋" w:hAnsi="仿宋" w:eastAsia="仿宋" w:cs="仿宋"/>
          <w:sz w:val="24"/>
          <w:szCs w:val="24"/>
          <w:highlight w:val="none"/>
          <w:lang w:val="en-US"/>
        </w:rPr>
        <w:t>方法详见</w:t>
      </w:r>
      <w:r>
        <w:rPr>
          <w:rFonts w:hint="eastAsia" w:ascii="仿宋" w:hAnsi="仿宋" w:eastAsia="仿宋" w:cs="仿宋"/>
          <w:sz w:val="24"/>
          <w:szCs w:val="24"/>
          <w:highlight w:val="none"/>
        </w:rPr>
        <w:t>“投标人须知前附表”。</w:t>
      </w:r>
    </w:p>
    <w:p w14:paraId="70DE000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9.1.1</w:t>
      </w:r>
      <w:r>
        <w:rPr>
          <w:rFonts w:hint="eastAsia" w:ascii="仿宋" w:hAnsi="仿宋" w:eastAsia="仿宋" w:cs="仿宋"/>
          <w:sz w:val="24"/>
          <w:szCs w:val="24"/>
          <w:highlight w:val="none"/>
        </w:rPr>
        <w:t>综合评分法，是指投标文件满足招标文件全部实质性要求，且按照评审因素的量化指标评审得分最高的投标人为中标候选人的评标方法。</w:t>
      </w:r>
    </w:p>
    <w:p w14:paraId="64FDFC9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29.1.2.</w:t>
      </w:r>
      <w:r>
        <w:rPr>
          <w:rFonts w:hint="eastAsia" w:ascii="仿宋" w:hAnsi="仿宋" w:eastAsia="仿宋" w:cs="仿宋"/>
          <w:sz w:val="24"/>
          <w:szCs w:val="24"/>
          <w:highlight w:val="none"/>
        </w:rPr>
        <w:t>最低评标价法，是指投标文件满足招标文件全部实质性要求，且投标报价最低的投标人为中标候选人的评标方法。</w:t>
      </w:r>
    </w:p>
    <w:p w14:paraId="3209BFC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 xml:space="preserve">2 </w:t>
      </w:r>
      <w:r>
        <w:rPr>
          <w:rFonts w:hint="eastAsia" w:ascii="仿宋" w:hAnsi="仿宋" w:eastAsia="仿宋" w:cs="仿宋"/>
          <w:sz w:val="24"/>
          <w:szCs w:val="24"/>
          <w:highlight w:val="none"/>
        </w:rPr>
        <w:t>评标委员会按照“第五章</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评标</w:t>
      </w:r>
      <w:r>
        <w:rPr>
          <w:rFonts w:hint="eastAsia" w:ascii="仿宋" w:hAnsi="仿宋" w:eastAsia="仿宋" w:cs="仿宋"/>
          <w:sz w:val="24"/>
          <w:szCs w:val="24"/>
          <w:highlight w:val="none"/>
          <w:lang w:val="en-US"/>
        </w:rPr>
        <w:t>方</w:t>
      </w:r>
      <w:r>
        <w:rPr>
          <w:rFonts w:hint="eastAsia" w:ascii="仿宋" w:hAnsi="仿宋" w:eastAsia="仿宋" w:cs="仿宋"/>
          <w:sz w:val="24"/>
          <w:szCs w:val="24"/>
          <w:highlight w:val="none"/>
        </w:rPr>
        <w:t>法及标准”</w:t>
      </w:r>
      <w:r>
        <w:rPr>
          <w:rFonts w:hint="eastAsia" w:ascii="仿宋" w:hAnsi="仿宋" w:eastAsia="仿宋" w:cs="仿宋"/>
          <w:sz w:val="24"/>
          <w:szCs w:val="24"/>
          <w:highlight w:val="none"/>
          <w:lang w:val="en-US"/>
        </w:rPr>
        <w:t>的</w:t>
      </w:r>
      <w:r>
        <w:rPr>
          <w:rFonts w:hint="eastAsia" w:ascii="仿宋" w:hAnsi="仿宋" w:eastAsia="仿宋" w:cs="仿宋"/>
          <w:sz w:val="24"/>
          <w:szCs w:val="24"/>
          <w:highlight w:val="none"/>
        </w:rPr>
        <w:t>规定对投标文件进行评审。“第五章</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评标</w:t>
      </w:r>
      <w:r>
        <w:rPr>
          <w:rFonts w:hint="eastAsia" w:ascii="仿宋" w:hAnsi="仿宋" w:eastAsia="仿宋" w:cs="仿宋"/>
          <w:sz w:val="24"/>
          <w:szCs w:val="24"/>
          <w:highlight w:val="none"/>
          <w:lang w:val="en-US"/>
        </w:rPr>
        <w:t>方</w:t>
      </w:r>
      <w:r>
        <w:rPr>
          <w:rFonts w:hint="eastAsia" w:ascii="仿宋" w:hAnsi="仿宋" w:eastAsia="仿宋" w:cs="仿宋"/>
          <w:sz w:val="24"/>
          <w:szCs w:val="24"/>
          <w:highlight w:val="none"/>
        </w:rPr>
        <w:t>法及标准”没有规定的方法、评审因素和标准，不作为评标依据。</w:t>
      </w:r>
    </w:p>
    <w:p w14:paraId="1CD728F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 xml:space="preserve">3 </w:t>
      </w:r>
      <w:r>
        <w:rPr>
          <w:rFonts w:hint="eastAsia" w:ascii="仿宋" w:hAnsi="仿宋" w:eastAsia="仿宋" w:cs="仿宋"/>
          <w:sz w:val="24"/>
          <w:szCs w:val="24"/>
          <w:highlight w:val="none"/>
        </w:rPr>
        <w:t>评标委员会按“投标人须知前附表”规定的中标候选人数量在评标报告中向采购人推荐中标候选人。</w:t>
      </w:r>
    </w:p>
    <w:p w14:paraId="3146535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29.4 开标之后，直到签订合同止，凡是属于审查、澄清、评价和比较投标的有关资料以及定标意向等，均不得向投标人或者其他与评标无关的人员透露。</w:t>
      </w:r>
    </w:p>
    <w:p w14:paraId="2A2C0A0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29.5 在确定中标人之前，投标人试图在投标文件审查、澄清、比较和评标时对评标委员会、采购人和采购代理机构施加任何影响都可能导致其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37F4823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29.6 电子招投标的应急措施</w:t>
      </w:r>
    </w:p>
    <w:p w14:paraId="370A53A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29.6.1电子开标、评标如出现下列原因，导致系统无法正常运行或无法正常评标时，应采取应急措施。</w:t>
      </w:r>
    </w:p>
    <w:p w14:paraId="238D9A7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（1）系统服务器发生故障，无法访问或无法使用系统；</w:t>
      </w:r>
    </w:p>
    <w:p w14:paraId="3BD7119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（2）系统的软件或数据库出现错误，不能进行正常操作；</w:t>
      </w:r>
    </w:p>
    <w:p w14:paraId="6C55677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（3）系统发现有安全漏洞，有潜在的泄密危险；</w:t>
      </w:r>
    </w:p>
    <w:p w14:paraId="79131E5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（4）病毒发作或受到外来病毒的攻击；</w:t>
      </w:r>
    </w:p>
    <w:p w14:paraId="055BEEE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（5）出现其他不可抗拒的客观原因造成开评标系统无法正常使用。</w:t>
      </w:r>
    </w:p>
    <w:p w14:paraId="6EC3906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出现上述情况时，应对未开标的暂停开标。已在系统内开标、评标的立即停止。采取应急措施时，必须对原有资料及信息作出妥善保密处理。</w:t>
      </w:r>
    </w:p>
    <w:p w14:paraId="27B180C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29.6.2因系统原因导致投标人均无法解密电子投标文件时，采购代理机构可在开标现场直接导入投标人在投标截止时间前递交的未加密的电子投标文件进行开标、评标。</w:t>
      </w:r>
    </w:p>
    <w:p w14:paraId="5F4E0CD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29.7 投标人瑕疵滞后发现的处理规则</w:t>
      </w:r>
    </w:p>
    <w:p w14:paraId="57A3BC0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29.7.1无论基于何种原因，各项本应作</w:t>
      </w:r>
      <w:r>
        <w:rPr>
          <w:rFonts w:hint="eastAsia" w:ascii="仿宋" w:hAnsi="仿宋" w:eastAsia="仿宋" w:cs="仿宋"/>
          <w:b/>
          <w:bCs/>
          <w:sz w:val="24"/>
          <w:szCs w:val="24"/>
          <w:highlight w:val="none"/>
        </w:rPr>
        <w:t>无效投标</w:t>
      </w:r>
      <w:r>
        <w:rPr>
          <w:rFonts w:hint="eastAsia" w:ascii="仿宋" w:hAnsi="仿宋" w:eastAsia="仿宋" w:cs="仿宋"/>
          <w:sz w:val="24"/>
          <w:szCs w:val="24"/>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21" w:name="_Toc155185879"/>
      <w:bookmarkStart w:id="222" w:name="_Toc163492859"/>
      <w:bookmarkStart w:id="223" w:name="_Toc140132792"/>
      <w:r>
        <w:rPr>
          <w:rFonts w:hint="eastAsia" w:ascii="仿宋" w:hAnsi="仿宋" w:eastAsia="仿宋" w:cs="仿宋"/>
          <w:sz w:val="24"/>
          <w:szCs w:val="24"/>
          <w:highlight w:val="none"/>
        </w:rPr>
        <w:t>（八）中标</w:t>
      </w:r>
      <w:bookmarkEnd w:id="221"/>
      <w:bookmarkEnd w:id="222"/>
      <w:bookmarkEnd w:id="223"/>
    </w:p>
    <w:p w14:paraId="25D11BCB">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24" w:name="_Toc140132793"/>
      <w:bookmarkStart w:id="225" w:name="_Toc163492860"/>
      <w:r>
        <w:rPr>
          <w:rFonts w:hint="eastAsia" w:ascii="仿宋" w:hAnsi="仿宋" w:eastAsia="仿宋" w:cs="仿宋"/>
          <w:sz w:val="24"/>
          <w:szCs w:val="24"/>
          <w:highlight w:val="none"/>
        </w:rPr>
        <w:t>30.确定中标人</w:t>
      </w:r>
      <w:bookmarkEnd w:id="224"/>
      <w:bookmarkEnd w:id="225"/>
    </w:p>
    <w:p w14:paraId="76F9B47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rPr>
        <w:t>30.1</w:t>
      </w:r>
      <w:r>
        <w:rPr>
          <w:rFonts w:hint="eastAsia" w:ascii="仿宋" w:hAnsi="仿宋" w:eastAsia="仿宋" w:cs="仿宋"/>
          <w:sz w:val="24"/>
          <w:szCs w:val="24"/>
          <w:highlight w:val="none"/>
          <w:lang w:bidi="ar"/>
        </w:rPr>
        <w:t>采购人将在评标报告确定的中标候选人名单中按顺序确定中标人，中标候选人并列的，按照</w:t>
      </w:r>
      <w:r>
        <w:rPr>
          <w:rFonts w:hint="eastAsia" w:ascii="仿宋" w:hAnsi="仿宋" w:eastAsia="仿宋" w:cs="仿宋"/>
          <w:sz w:val="24"/>
          <w:szCs w:val="24"/>
          <w:highlight w:val="none"/>
        </w:rPr>
        <w:t>“投标人须知前附表”</w:t>
      </w:r>
      <w:r>
        <w:rPr>
          <w:rFonts w:hint="eastAsia" w:ascii="仿宋" w:hAnsi="仿宋" w:eastAsia="仿宋" w:cs="仿宋"/>
          <w:sz w:val="24"/>
          <w:szCs w:val="24"/>
          <w:highlight w:val="none"/>
          <w:lang w:bidi="ar"/>
        </w:rPr>
        <w:t>确定中标人；招标文件未规定的，采取随机抽取的方式确定。采购人是否委托评标委员会直接确定中标人，见</w:t>
      </w:r>
      <w:r>
        <w:rPr>
          <w:rFonts w:hint="eastAsia" w:ascii="仿宋" w:hAnsi="仿宋" w:eastAsia="仿宋" w:cs="仿宋"/>
          <w:sz w:val="24"/>
          <w:szCs w:val="24"/>
          <w:highlight w:val="none"/>
        </w:rPr>
        <w:t>“投标人须知前附表”</w:t>
      </w:r>
      <w:r>
        <w:rPr>
          <w:rFonts w:hint="eastAsia" w:ascii="仿宋" w:hAnsi="仿宋" w:eastAsia="仿宋" w:cs="仿宋"/>
          <w:sz w:val="24"/>
          <w:szCs w:val="24"/>
          <w:highlight w:val="none"/>
          <w:lang w:bidi="ar"/>
        </w:rPr>
        <w:t>。</w:t>
      </w:r>
    </w:p>
    <w:p w14:paraId="5CE7C7B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30.2采用综合评分法的采购项目，提供相同品牌产品且通过资格审查、符合性审查的不同</w:t>
      </w: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sz w:val="24"/>
          <w:szCs w:val="24"/>
          <w:highlight w:val="none"/>
        </w:rPr>
        <w:t>“投标人须知前附表”</w:t>
      </w:r>
      <w:r>
        <w:rPr>
          <w:rFonts w:hint="eastAsia" w:ascii="仿宋" w:hAnsi="仿宋" w:eastAsia="仿宋" w:cs="仿宋"/>
          <w:sz w:val="24"/>
          <w:szCs w:val="24"/>
          <w:highlight w:val="none"/>
          <w:lang w:bidi="ar"/>
        </w:rPr>
        <w:t>规定的方式确定一个投标人获得中标人推荐资格，招标文件未规定的采取随机抽取方式确定，其他同品牌投标人不作为中标候选人。</w:t>
      </w:r>
    </w:p>
    <w:p w14:paraId="0BC25A4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sz w:val="24"/>
          <w:szCs w:val="24"/>
          <w:highlight w:val="none"/>
        </w:rPr>
        <w:t>“投标人须知前附表”</w:t>
      </w:r>
      <w:r>
        <w:rPr>
          <w:rFonts w:hint="eastAsia" w:ascii="仿宋" w:hAnsi="仿宋" w:eastAsia="仿宋" w:cs="仿宋"/>
          <w:sz w:val="24"/>
          <w:szCs w:val="24"/>
          <w:highlight w:val="none"/>
          <w:lang w:bidi="ar"/>
        </w:rPr>
        <w:t>规定的方式确定一个参加评标的投标人，招标文件未规定的采取随机抽取方式确定，其他投标无效。</w:t>
      </w:r>
    </w:p>
    <w:p w14:paraId="6BDE823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30.4非单一产品采购项目，采购人应当根据采购项目技术构成、产品价格比重等合理确定</w:t>
      </w:r>
      <w:r>
        <w:rPr>
          <w:rFonts w:hint="eastAsia" w:ascii="仿宋" w:hAnsi="仿宋" w:eastAsia="仿宋" w:cs="仿宋"/>
          <w:sz w:val="24"/>
          <w:szCs w:val="24"/>
          <w:highlight w:val="none"/>
        </w:rPr>
        <w:t>核心</w:t>
      </w:r>
      <w:r>
        <w:rPr>
          <w:rFonts w:hint="eastAsia" w:ascii="仿宋" w:hAnsi="仿宋" w:eastAsia="仿宋" w:cs="仿宋"/>
          <w:sz w:val="24"/>
          <w:szCs w:val="24"/>
          <w:highlight w:val="none"/>
          <w:lang w:bidi="ar"/>
        </w:rPr>
        <w:t>产品，并在</w:t>
      </w:r>
      <w:r>
        <w:rPr>
          <w:rFonts w:hint="eastAsia" w:ascii="仿宋" w:hAnsi="仿宋" w:eastAsia="仿宋" w:cs="仿宋"/>
          <w:sz w:val="24"/>
          <w:szCs w:val="24"/>
          <w:highlight w:val="none"/>
        </w:rPr>
        <w:t>“投标人须知前附表”</w:t>
      </w:r>
      <w:r>
        <w:rPr>
          <w:rFonts w:hint="eastAsia" w:ascii="仿宋" w:hAnsi="仿宋" w:eastAsia="仿宋" w:cs="仿宋"/>
          <w:sz w:val="24"/>
          <w:szCs w:val="24"/>
          <w:highlight w:val="none"/>
          <w:lang w:bidi="ar"/>
        </w:rPr>
        <w:t xml:space="preserve">中载明。多家投标人提供的核心产品品牌相同的，按前两款规定处理。 </w:t>
      </w:r>
    </w:p>
    <w:p w14:paraId="6D53CFAE">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26" w:name="_Toc140132794"/>
      <w:bookmarkStart w:id="227" w:name="_Toc163492861"/>
      <w:r>
        <w:rPr>
          <w:rFonts w:hint="eastAsia" w:ascii="仿宋" w:hAnsi="仿宋" w:eastAsia="仿宋" w:cs="仿宋"/>
          <w:sz w:val="24"/>
          <w:szCs w:val="24"/>
          <w:highlight w:val="none"/>
        </w:rPr>
        <w:t>31.中标结果公告</w:t>
      </w:r>
      <w:bookmarkEnd w:id="226"/>
      <w:bookmarkEnd w:id="227"/>
    </w:p>
    <w:p w14:paraId="14E2166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1</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采购人或</w:t>
      </w:r>
      <w:r>
        <w:rPr>
          <w:rFonts w:hint="eastAsia" w:ascii="仿宋" w:hAnsi="仿宋" w:eastAsia="仿宋" w:cs="仿宋"/>
          <w:sz w:val="24"/>
          <w:szCs w:val="24"/>
          <w:highlight w:val="none"/>
        </w:rPr>
        <w:t>采购代理机构应当自中标人确定之日起2个工作日内，在</w:t>
      </w:r>
      <w:r>
        <w:rPr>
          <w:rFonts w:hint="eastAsia" w:ascii="仿宋" w:hAnsi="仿宋" w:eastAsia="仿宋" w:cs="仿宋"/>
          <w:sz w:val="24"/>
          <w:szCs w:val="24"/>
          <w:highlight w:val="none"/>
          <w:lang w:val="en-US"/>
        </w:rPr>
        <w:t>发布招标公告的同一</w:t>
      </w:r>
      <w:r>
        <w:rPr>
          <w:rFonts w:hint="eastAsia" w:ascii="仿宋" w:hAnsi="仿宋" w:eastAsia="仿宋" w:cs="仿宋"/>
          <w:sz w:val="24"/>
          <w:szCs w:val="24"/>
          <w:highlight w:val="none"/>
        </w:rPr>
        <w:t>媒体上发布中标结果公告，</w:t>
      </w:r>
      <w:r>
        <w:rPr>
          <w:rFonts w:hint="eastAsia" w:ascii="仿宋" w:hAnsi="仿宋" w:eastAsia="仿宋" w:cs="仿宋"/>
          <w:sz w:val="24"/>
          <w:szCs w:val="24"/>
          <w:highlight w:val="none"/>
          <w:lang w:val="en-US"/>
        </w:rPr>
        <w:t>同时向中标人</w:t>
      </w:r>
      <w:r>
        <w:rPr>
          <w:rFonts w:hint="eastAsia" w:ascii="仿宋" w:hAnsi="仿宋" w:eastAsia="仿宋" w:cs="仿宋"/>
          <w:sz w:val="24"/>
          <w:szCs w:val="24"/>
          <w:highlight w:val="none"/>
        </w:rPr>
        <w:t>发出中标通知书。招标文件随中标结果同时公告，中标结果公告期限为1个工作日。</w:t>
      </w:r>
    </w:p>
    <w:p w14:paraId="0EFD42C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.2中标</w:t>
      </w:r>
      <w:r>
        <w:rPr>
          <w:rFonts w:hint="eastAsia" w:ascii="仿宋" w:hAnsi="仿宋" w:eastAsia="仿宋" w:cs="仿宋"/>
          <w:sz w:val="24"/>
          <w:szCs w:val="24"/>
          <w:highlight w:val="none"/>
          <w:lang w:val="en-US"/>
        </w:rPr>
        <w:t>人</w:t>
      </w:r>
      <w:r>
        <w:rPr>
          <w:rFonts w:hint="eastAsia" w:ascii="仿宋" w:hAnsi="仿宋" w:eastAsia="仿宋" w:cs="仿宋"/>
          <w:sz w:val="24"/>
          <w:szCs w:val="24"/>
          <w:highlight w:val="none"/>
        </w:rPr>
        <w:t>为中小企业</w:t>
      </w:r>
      <w:r>
        <w:rPr>
          <w:rFonts w:hint="eastAsia" w:ascii="仿宋" w:hAnsi="仿宋" w:eastAsia="仿宋" w:cs="仿宋"/>
          <w:sz w:val="24"/>
          <w:szCs w:val="24"/>
          <w:highlight w:val="none"/>
          <w:lang w:val="en-US"/>
        </w:rPr>
        <w:t>享受中小企业扶持政策的</w:t>
      </w:r>
      <w:r>
        <w:rPr>
          <w:rFonts w:hint="eastAsia" w:ascii="仿宋" w:hAnsi="仿宋" w:eastAsia="仿宋" w:cs="仿宋"/>
          <w:sz w:val="24"/>
          <w:szCs w:val="24"/>
          <w:highlight w:val="none"/>
        </w:rPr>
        <w:t>，其“中小企业声明函”随中标结果同时公告。中标</w:t>
      </w:r>
      <w:r>
        <w:rPr>
          <w:rFonts w:hint="eastAsia" w:ascii="仿宋" w:hAnsi="仿宋" w:eastAsia="仿宋" w:cs="仿宋"/>
          <w:sz w:val="24"/>
          <w:szCs w:val="24"/>
          <w:highlight w:val="none"/>
          <w:lang w:val="en-US"/>
        </w:rPr>
        <w:t>人</w:t>
      </w:r>
      <w:r>
        <w:rPr>
          <w:rFonts w:hint="eastAsia" w:ascii="仿宋" w:hAnsi="仿宋" w:eastAsia="仿宋" w:cs="仿宋"/>
          <w:sz w:val="24"/>
          <w:szCs w:val="24"/>
          <w:highlight w:val="none"/>
        </w:rPr>
        <w:t>为残疾人福利性单位的，其“残疾人福利性单位声明函”随中标结果同时公告。</w:t>
      </w:r>
    </w:p>
    <w:p w14:paraId="1D7F97E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31.3</w:t>
      </w:r>
      <w:r>
        <w:rPr>
          <w:rFonts w:hint="eastAsia" w:ascii="仿宋" w:hAnsi="仿宋" w:eastAsia="仿宋" w:cs="仿宋"/>
          <w:sz w:val="24"/>
          <w:szCs w:val="24"/>
          <w:highlight w:val="none"/>
        </w:rPr>
        <w:t>项目采购采用最低评标价法的，公告中标结果时同时公告因落实政府采购政策等原因进行价格扣除后中标</w:t>
      </w:r>
      <w:r>
        <w:rPr>
          <w:rFonts w:hint="eastAsia" w:ascii="仿宋" w:hAnsi="仿宋" w:eastAsia="仿宋" w:cs="仿宋"/>
          <w:sz w:val="24"/>
          <w:szCs w:val="24"/>
          <w:highlight w:val="none"/>
          <w:lang w:val="en-US"/>
        </w:rPr>
        <w:t>人</w:t>
      </w:r>
      <w:r>
        <w:rPr>
          <w:rFonts w:hint="eastAsia" w:ascii="仿宋" w:hAnsi="仿宋" w:eastAsia="仿宋" w:cs="仿宋"/>
          <w:sz w:val="24"/>
          <w:szCs w:val="24"/>
          <w:highlight w:val="none"/>
        </w:rPr>
        <w:t>的评审报价；项目采购采用综合评分法的，公告中标结果时同时公告中标</w:t>
      </w:r>
      <w:r>
        <w:rPr>
          <w:rFonts w:hint="eastAsia" w:ascii="仿宋" w:hAnsi="仿宋" w:eastAsia="仿宋" w:cs="仿宋"/>
          <w:sz w:val="24"/>
          <w:szCs w:val="24"/>
          <w:highlight w:val="none"/>
          <w:lang w:val="en-US"/>
        </w:rPr>
        <w:t>供应商</w:t>
      </w:r>
      <w:r>
        <w:rPr>
          <w:rFonts w:hint="eastAsia" w:ascii="仿宋" w:hAnsi="仿宋" w:eastAsia="仿宋" w:cs="仿宋"/>
          <w:sz w:val="24"/>
          <w:szCs w:val="24"/>
          <w:highlight w:val="none"/>
        </w:rPr>
        <w:t>的评审总得分。</w:t>
      </w:r>
    </w:p>
    <w:p w14:paraId="64942756">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28" w:name="_Toc163492862"/>
      <w:bookmarkStart w:id="229" w:name="_Toc140132795"/>
      <w:r>
        <w:rPr>
          <w:rFonts w:hint="eastAsia" w:ascii="仿宋" w:hAnsi="仿宋" w:eastAsia="仿宋" w:cs="仿宋"/>
          <w:sz w:val="24"/>
          <w:szCs w:val="24"/>
          <w:highlight w:val="none"/>
        </w:rPr>
        <w:t>32.中标通知</w:t>
      </w:r>
      <w:bookmarkEnd w:id="228"/>
      <w:bookmarkEnd w:id="229"/>
    </w:p>
    <w:p w14:paraId="220648D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2</w:t>
      </w:r>
      <w:r>
        <w:rPr>
          <w:rFonts w:hint="eastAsia" w:ascii="仿宋" w:hAnsi="仿宋" w:eastAsia="仿宋" w:cs="仿宋"/>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32.2中标通知书对采购人和中标人均具有法律效力。中标通知书发出后，采购人改变中标结果的，或者中标人放弃中标项目的，应当依法承担法律责任。</w:t>
      </w:r>
    </w:p>
    <w:p w14:paraId="221CD480">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30" w:name="_Toc163492863"/>
      <w:r>
        <w:rPr>
          <w:rFonts w:hint="eastAsia" w:ascii="仿宋" w:hAnsi="仿宋" w:eastAsia="仿宋" w:cs="仿宋"/>
          <w:sz w:val="24"/>
          <w:szCs w:val="24"/>
          <w:highlight w:val="none"/>
        </w:rPr>
        <w:t>（九）签订</w:t>
      </w:r>
      <w:bookmarkStart w:id="231" w:name="_Toc155185880"/>
      <w:bookmarkStart w:id="232" w:name="_Toc140132796"/>
      <w:r>
        <w:rPr>
          <w:rFonts w:hint="eastAsia" w:ascii="仿宋" w:hAnsi="仿宋" w:eastAsia="仿宋" w:cs="仿宋"/>
          <w:sz w:val="24"/>
          <w:szCs w:val="24"/>
          <w:highlight w:val="none"/>
        </w:rPr>
        <w:t>合同</w:t>
      </w:r>
      <w:bookmarkEnd w:id="230"/>
      <w:bookmarkEnd w:id="231"/>
      <w:bookmarkEnd w:id="232"/>
    </w:p>
    <w:p w14:paraId="37D7F428">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33" w:name="_Toc163492864"/>
      <w:bookmarkStart w:id="234" w:name="_Toc140132797"/>
      <w:r>
        <w:rPr>
          <w:rFonts w:hint="eastAsia" w:ascii="仿宋" w:hAnsi="仿宋" w:eastAsia="仿宋" w:cs="仿宋"/>
          <w:sz w:val="24"/>
          <w:szCs w:val="24"/>
          <w:highlight w:val="none"/>
        </w:rPr>
        <w:t>33.履约保证金</w:t>
      </w:r>
      <w:bookmarkEnd w:id="233"/>
      <w:bookmarkEnd w:id="234"/>
    </w:p>
    <w:p w14:paraId="25BAD04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3</w:t>
      </w:r>
      <w:r>
        <w:rPr>
          <w:rFonts w:hint="eastAsia" w:ascii="仿宋" w:hAnsi="仿宋" w:eastAsia="仿宋" w:cs="仿宋"/>
          <w:sz w:val="24"/>
          <w:szCs w:val="24"/>
          <w:highlight w:val="none"/>
        </w:rPr>
        <w:t>.1在签订合同前，中标人应按“投标人须知前附表”规定的金额、担保形式和采购人认可的履约担保格式向采购人提交履约保证金。</w:t>
      </w:r>
    </w:p>
    <w:p w14:paraId="3E57413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3</w:t>
      </w:r>
      <w:r>
        <w:rPr>
          <w:rFonts w:hint="eastAsia" w:ascii="仿宋" w:hAnsi="仿宋" w:eastAsia="仿宋" w:cs="仿宋"/>
          <w:sz w:val="24"/>
          <w:szCs w:val="24"/>
          <w:highlight w:val="none"/>
        </w:rPr>
        <w:t>.2中标人不能按本章第3</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.1项要求提交履约担保的，视为放弃中标，给采购人造成损失的，中标人还应当承担民事责任。</w:t>
      </w:r>
    </w:p>
    <w:p w14:paraId="08A15E96">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35" w:name="_Toc163492865"/>
      <w:bookmarkStart w:id="236" w:name="_Toc140132798"/>
      <w:r>
        <w:rPr>
          <w:rFonts w:hint="eastAsia" w:ascii="仿宋" w:hAnsi="仿宋" w:eastAsia="仿宋" w:cs="仿宋"/>
          <w:sz w:val="24"/>
          <w:szCs w:val="24"/>
          <w:highlight w:val="none"/>
        </w:rPr>
        <w:t>34.签订合同</w:t>
      </w:r>
      <w:bookmarkEnd w:id="235"/>
      <w:bookmarkEnd w:id="236"/>
    </w:p>
    <w:p w14:paraId="37F6977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4</w:t>
      </w:r>
      <w:r>
        <w:rPr>
          <w:rFonts w:hint="eastAsia" w:ascii="仿宋" w:hAnsi="仿宋" w:eastAsia="仿宋" w:cs="仿宋"/>
          <w:sz w:val="24"/>
          <w:szCs w:val="24"/>
          <w:highlight w:val="none"/>
        </w:rPr>
        <w:t>.1 采购人和中标人应当自中标通知书发出之日起</w:t>
      </w: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34.2 中标人拒绝与采购人签订合同的，采购人可以按照评标报告推荐的中标候选人名单排序，确定下一候选人为中标人，也可以重新开展政府采购活动。</w:t>
      </w:r>
    </w:p>
    <w:p w14:paraId="71CB89C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 xml:space="preserve"> 采购人和中标人不得向对方提出任何不合理的要求，作为签订合同的条件，双方不得私下订立背离合同实质性内容的协议。</w:t>
      </w:r>
    </w:p>
    <w:p w14:paraId="3AFAF34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34.4 联合体中标的，联合体各方应当共同与采购人签订合同，就采购合同约定的事项向采购人承担连带责任。</w:t>
      </w:r>
    </w:p>
    <w:p w14:paraId="45E0A8A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。中标人就采购项目和分包项目向采购人负责，分包供应商就分包项目承担责任。</w:t>
      </w:r>
      <w:r>
        <w:rPr>
          <w:rFonts w:hint="eastAsia" w:ascii="仿宋" w:hAnsi="仿宋" w:eastAsia="仿宋" w:cs="仿宋"/>
          <w:b/>
          <w:bCs/>
          <w:sz w:val="24"/>
          <w:szCs w:val="24"/>
          <w:highlight w:val="none"/>
        </w:rPr>
        <w:t>政府采购合同不能转包。</w:t>
      </w:r>
    </w:p>
    <w:p w14:paraId="1A512F7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采购合同履行中，采购人需追加与合同标的相同的</w:t>
      </w:r>
      <w:r>
        <w:rPr>
          <w:rFonts w:hint="eastAsia" w:ascii="仿宋" w:hAnsi="仿宋" w:eastAsia="仿宋" w:cs="仿宋"/>
          <w:sz w:val="24"/>
          <w:szCs w:val="24"/>
          <w:highlight w:val="none"/>
          <w:lang w:val="en-US"/>
        </w:rPr>
        <w:t>货物、工程或者服务</w:t>
      </w:r>
      <w:r>
        <w:rPr>
          <w:rFonts w:hint="eastAsia" w:ascii="仿宋" w:hAnsi="仿宋" w:eastAsia="仿宋" w:cs="仿宋"/>
          <w:sz w:val="24"/>
          <w:szCs w:val="24"/>
          <w:highlight w:val="none"/>
        </w:rPr>
        <w:t>的，在不改变合同其他条款的前提下，可以与中标人协商签订补充合同，但所有补充合同的采购金额不得超过原合同采购金额的百分之十。</w:t>
      </w:r>
    </w:p>
    <w:p w14:paraId="0B9F11B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34.7 采购人应于签订合同之日起2个工作日内在政采云平台备案公示。</w:t>
      </w:r>
    </w:p>
    <w:p w14:paraId="0BB93A49">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37" w:name="_Toc155185881"/>
      <w:bookmarkStart w:id="238" w:name="_Toc140132799"/>
      <w:bookmarkStart w:id="239" w:name="_Toc163492866"/>
      <w:r>
        <w:rPr>
          <w:rFonts w:hint="eastAsia" w:ascii="仿宋" w:hAnsi="仿宋" w:eastAsia="仿宋" w:cs="仿宋"/>
          <w:sz w:val="24"/>
          <w:szCs w:val="24"/>
          <w:highlight w:val="none"/>
        </w:rPr>
        <w:t>（十）质疑和投诉</w:t>
      </w:r>
      <w:bookmarkEnd w:id="237"/>
      <w:bookmarkEnd w:id="238"/>
      <w:bookmarkEnd w:id="239"/>
    </w:p>
    <w:p w14:paraId="6A767C53">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40" w:name="_Toc163492867"/>
      <w:bookmarkStart w:id="241" w:name="_Toc140132800"/>
      <w:r>
        <w:rPr>
          <w:rFonts w:hint="eastAsia" w:ascii="仿宋" w:hAnsi="仿宋" w:eastAsia="仿宋" w:cs="仿宋"/>
          <w:sz w:val="24"/>
          <w:szCs w:val="24"/>
          <w:highlight w:val="none"/>
        </w:rPr>
        <w:t>35.质疑</w:t>
      </w:r>
      <w:bookmarkEnd w:id="240"/>
      <w:bookmarkEnd w:id="241"/>
    </w:p>
    <w:p w14:paraId="28C8943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sz w:val="24"/>
          <w:szCs w:val="24"/>
          <w:highlight w:val="none"/>
          <w:lang w:val="en-US"/>
        </w:rPr>
        <w:t>详见“投标人须知前附表”</w:t>
      </w:r>
      <w:r>
        <w:rPr>
          <w:rFonts w:hint="eastAsia" w:ascii="仿宋" w:hAnsi="仿宋" w:eastAsia="仿宋" w:cs="仿宋"/>
          <w:sz w:val="24"/>
          <w:szCs w:val="24"/>
          <w:highlight w:val="none"/>
        </w:rPr>
        <w:t>。供应商在法定质疑期内一次性提出针对同一采购程序环节的质疑。</w:t>
      </w:r>
    </w:p>
    <w:p w14:paraId="74EDDEA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.2提出质疑的供应商（以下简称质疑供应商）应当是参与所质疑项目采购活动的供应商。</w:t>
      </w:r>
    </w:p>
    <w:p w14:paraId="471F23C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35.3</w:t>
      </w:r>
      <w:r>
        <w:rPr>
          <w:rFonts w:hint="eastAsia" w:ascii="仿宋" w:hAnsi="仿宋" w:eastAsia="仿宋" w:cs="仿宋"/>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3724749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35.4</w:t>
      </w:r>
      <w:r>
        <w:rPr>
          <w:rFonts w:hint="eastAsia" w:ascii="仿宋" w:hAnsi="仿宋" w:eastAsia="仿宋" w:cs="仿宋"/>
          <w:sz w:val="24"/>
          <w:szCs w:val="24"/>
          <w:highlight w:val="none"/>
        </w:rPr>
        <w:t>供应商提出质疑应当提交质疑函和必要的证明材料。质疑函应当包括下列内容：</w:t>
      </w:r>
    </w:p>
    <w:p w14:paraId="273F23A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）供应商的姓名或者名称、地址、邮编、联系人及联系电话；</w:t>
      </w:r>
    </w:p>
    <w:p w14:paraId="6D0B9E9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lang w:val="en-US"/>
        </w:rPr>
        <w:t>项目</w:t>
      </w:r>
      <w:r>
        <w:rPr>
          <w:rFonts w:hint="eastAsia" w:ascii="仿宋" w:hAnsi="仿宋" w:eastAsia="仿宋" w:cs="仿宋"/>
          <w:sz w:val="24"/>
          <w:szCs w:val="24"/>
          <w:highlight w:val="none"/>
        </w:rPr>
        <w:t>编号</w:t>
      </w:r>
      <w:r>
        <w:rPr>
          <w:rFonts w:hint="eastAsia" w:ascii="仿宋" w:hAnsi="仿宋" w:eastAsia="仿宋" w:cs="仿宋"/>
          <w:sz w:val="24"/>
          <w:szCs w:val="24"/>
          <w:highlight w:val="none"/>
          <w:lang w:val="en-US"/>
        </w:rPr>
        <w:t>/包号</w:t>
      </w:r>
      <w:r>
        <w:rPr>
          <w:rFonts w:hint="eastAsia" w:ascii="仿宋" w:hAnsi="仿宋" w:eastAsia="仿宋" w:cs="仿宋"/>
          <w:sz w:val="24"/>
          <w:szCs w:val="24"/>
          <w:highlight w:val="none"/>
        </w:rPr>
        <w:t>；</w:t>
      </w:r>
    </w:p>
    <w:p w14:paraId="6ED790B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）具体、明确的质疑事项和与质疑事项相关的请求；</w:t>
      </w:r>
    </w:p>
    <w:p w14:paraId="57C4469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）事实依据；</w:t>
      </w:r>
    </w:p>
    <w:p w14:paraId="2F68FF9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）必要的法律依据；</w:t>
      </w:r>
    </w:p>
    <w:p w14:paraId="0DF4C46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）提出质疑的日期。</w:t>
      </w:r>
    </w:p>
    <w:p w14:paraId="10D8180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供应商为自然人的，应当由本人签字；供应商为法人或者其他组织的，应当由法定代表人、主要负责人，或者其授权代表签字或者盖章，并加盖公章。</w:t>
      </w:r>
    </w:p>
    <w:p w14:paraId="0C1E9FF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.5质疑函不符合上述要求的，采购人或代理机构应书面告知具体事项，质疑人应当按要求进行修改或补充，并在质疑有效期限内提交。</w:t>
      </w:r>
    </w:p>
    <w:p w14:paraId="4EC34EA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3</w:t>
      </w:r>
      <w:r>
        <w:rPr>
          <w:rFonts w:hint="eastAsia" w:ascii="仿宋" w:hAnsi="仿宋" w:eastAsia="仿宋" w:cs="仿宋"/>
          <w:snapToGrid w:val="0"/>
          <w:sz w:val="24"/>
          <w:szCs w:val="24"/>
          <w:highlight w:val="none"/>
          <w:lang w:val="en-US"/>
        </w:rPr>
        <w:t>5</w:t>
      </w:r>
      <w:r>
        <w:rPr>
          <w:rFonts w:hint="eastAsia" w:ascii="仿宋" w:hAnsi="仿宋" w:eastAsia="仿宋" w:cs="仿宋"/>
          <w:snapToGrid w:val="0"/>
          <w:sz w:val="24"/>
          <w:szCs w:val="24"/>
          <w:highlight w:val="none"/>
        </w:rPr>
        <w:t>.</w:t>
      </w:r>
      <w:r>
        <w:rPr>
          <w:rFonts w:hint="eastAsia" w:ascii="仿宋" w:hAnsi="仿宋" w:eastAsia="仿宋" w:cs="仿宋"/>
          <w:snapToGrid w:val="0"/>
          <w:sz w:val="24"/>
          <w:szCs w:val="24"/>
          <w:highlight w:val="none"/>
          <w:lang w:val="en-US"/>
        </w:rPr>
        <w:t>6</w:t>
      </w:r>
      <w:r>
        <w:rPr>
          <w:rFonts w:hint="eastAsia" w:ascii="仿宋" w:hAnsi="仿宋" w:eastAsia="仿宋" w:cs="仿宋"/>
          <w:snapToGrid w:val="0"/>
          <w:sz w:val="24"/>
          <w:szCs w:val="24"/>
          <w:highlight w:val="none"/>
        </w:rPr>
        <w:t>投标人进行虚假和恶意</w:t>
      </w:r>
      <w:r>
        <w:rPr>
          <w:rFonts w:hint="eastAsia" w:ascii="仿宋" w:hAnsi="仿宋" w:eastAsia="仿宋" w:cs="仿宋"/>
          <w:snapToGrid w:val="0"/>
          <w:sz w:val="24"/>
          <w:szCs w:val="24"/>
          <w:highlight w:val="none"/>
          <w:lang w:val="en-US"/>
        </w:rPr>
        <w:t>质疑投诉</w:t>
      </w:r>
      <w:r>
        <w:rPr>
          <w:rFonts w:hint="eastAsia" w:ascii="仿宋" w:hAnsi="仿宋" w:eastAsia="仿宋" w:cs="仿宋"/>
          <w:snapToGrid w:val="0"/>
          <w:sz w:val="24"/>
          <w:szCs w:val="24"/>
          <w:highlight w:val="none"/>
        </w:rPr>
        <w:t>的，采购代理机构将提请有关部门将其列入不良记录名单，在一至三年内禁止参加政府采购活动，并将处理决定在相关政府采购媒体上公布。</w:t>
      </w:r>
    </w:p>
    <w:p w14:paraId="2446BEF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35.7</w:t>
      </w:r>
      <w:r>
        <w:rPr>
          <w:rFonts w:hint="eastAsia" w:ascii="仿宋" w:hAnsi="仿宋" w:eastAsia="仿宋" w:cs="仿宋"/>
          <w:sz w:val="24"/>
          <w:szCs w:val="24"/>
          <w:highlight w:val="none"/>
        </w:rPr>
        <w:t>质疑函应当使用中文，并采用财政部门制定的范本。</w:t>
      </w:r>
    </w:p>
    <w:p w14:paraId="67321C66">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42" w:name="_Toc140132801"/>
      <w:bookmarkStart w:id="243" w:name="_Toc163492868"/>
      <w:r>
        <w:rPr>
          <w:rFonts w:hint="eastAsia" w:ascii="仿宋" w:hAnsi="仿宋" w:eastAsia="仿宋" w:cs="仿宋"/>
          <w:sz w:val="24"/>
          <w:szCs w:val="24"/>
          <w:highlight w:val="none"/>
        </w:rPr>
        <w:t>36.质疑答复</w:t>
      </w:r>
      <w:bookmarkEnd w:id="242"/>
      <w:bookmarkEnd w:id="243"/>
    </w:p>
    <w:p w14:paraId="40DE1F3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221D78C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36.2供应商对评审过程、中标结果提出质疑的，采购人、采购代理机构可以组织原评标委员会协助答复质疑。</w:t>
      </w:r>
    </w:p>
    <w:p w14:paraId="5E14EDA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bookmarkStart w:id="244" w:name="_Toc163492869"/>
      <w:bookmarkStart w:id="245" w:name="_Toc140132802"/>
      <w:r>
        <w:rPr>
          <w:rFonts w:hint="eastAsia" w:ascii="仿宋" w:hAnsi="仿宋" w:eastAsia="仿宋" w:cs="仿宋"/>
          <w:sz w:val="24"/>
          <w:szCs w:val="24"/>
          <w:highlight w:val="none"/>
        </w:rPr>
        <w:t>质疑答复应当包括下列内容：</w:t>
      </w:r>
    </w:p>
    <w:p w14:paraId="6883984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）质疑供应商的姓名或者名称；</w:t>
      </w:r>
    </w:p>
    <w:p w14:paraId="0135736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）收到质疑函的日期、质疑项目名称及</w:t>
      </w:r>
      <w:r>
        <w:rPr>
          <w:rFonts w:hint="eastAsia" w:ascii="仿宋" w:hAnsi="仿宋" w:eastAsia="仿宋" w:cs="仿宋"/>
          <w:sz w:val="24"/>
          <w:szCs w:val="24"/>
          <w:highlight w:val="none"/>
          <w:lang w:val="en-US"/>
        </w:rPr>
        <w:t>项目</w:t>
      </w:r>
      <w:r>
        <w:rPr>
          <w:rFonts w:hint="eastAsia" w:ascii="仿宋" w:hAnsi="仿宋" w:eastAsia="仿宋" w:cs="仿宋"/>
          <w:sz w:val="24"/>
          <w:szCs w:val="24"/>
          <w:highlight w:val="none"/>
        </w:rPr>
        <w:t>编号/包号；</w:t>
      </w:r>
    </w:p>
    <w:p w14:paraId="5981E6E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）质疑事项、质疑答复的具体内容、事实依据和法律依据；</w:t>
      </w:r>
    </w:p>
    <w:p w14:paraId="55E9F9B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）告知质疑供应商依法投诉的权利；</w:t>
      </w:r>
    </w:p>
    <w:p w14:paraId="5150D47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）质疑答复人名称；</w:t>
      </w:r>
    </w:p>
    <w:p w14:paraId="55C41FC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）答复质疑的日期。</w:t>
      </w:r>
    </w:p>
    <w:p w14:paraId="42A6DB1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质疑答复的内容不得涉及商业秘密。</w:t>
      </w:r>
    </w:p>
    <w:p w14:paraId="1A6339F9">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37.投诉</w:t>
      </w:r>
      <w:bookmarkEnd w:id="244"/>
      <w:bookmarkEnd w:id="245"/>
    </w:p>
    <w:p w14:paraId="7FD04A3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37.1</w:t>
      </w:r>
      <w:r>
        <w:rPr>
          <w:rFonts w:hint="eastAsia" w:ascii="仿宋" w:hAnsi="仿宋" w:eastAsia="仿宋" w:cs="仿宋"/>
          <w:sz w:val="24"/>
          <w:szCs w:val="24"/>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sz w:val="24"/>
          <w:szCs w:val="24"/>
          <w:highlight w:val="none"/>
          <w:lang w:val="en-US"/>
        </w:rPr>
        <w:t>同级政府采购监督管理部门</w:t>
      </w:r>
      <w:r>
        <w:rPr>
          <w:rFonts w:hint="eastAsia" w:ascii="仿宋" w:hAnsi="仿宋" w:eastAsia="仿宋" w:cs="仿宋"/>
          <w:sz w:val="24"/>
          <w:szCs w:val="24"/>
          <w:highlight w:val="none"/>
        </w:rPr>
        <w:t>提起投诉。</w:t>
      </w:r>
    </w:p>
    <w:p w14:paraId="7E8BE05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37.2</w:t>
      </w:r>
      <w:r>
        <w:rPr>
          <w:rFonts w:hint="eastAsia" w:ascii="仿宋" w:hAnsi="仿宋" w:eastAsia="仿宋" w:cs="仿宋"/>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）投诉人和被投诉人的姓名或者名称、通讯地址、邮编、联系人及联系电话；</w:t>
      </w:r>
    </w:p>
    <w:p w14:paraId="449BF27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）质疑和质疑答复情况说明及相关证明材料；</w:t>
      </w:r>
    </w:p>
    <w:p w14:paraId="049875F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）具体、明确的投诉事项和与投诉事项相关的投诉请求；</w:t>
      </w:r>
    </w:p>
    <w:p w14:paraId="03D6083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）事实依据；</w:t>
      </w:r>
    </w:p>
    <w:p w14:paraId="73F0487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）法律依据；</w:t>
      </w:r>
    </w:p>
    <w:p w14:paraId="4C73F13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）提起投诉的日期。</w:t>
      </w:r>
    </w:p>
    <w:p w14:paraId="550A68B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投诉人为自然人的，应当由本人签字；投诉人为法人或者其他组织的，应当由法定代表人、主要负责人，或者其授权代表签字或者盖章，并加盖公章。</w:t>
      </w:r>
    </w:p>
    <w:p w14:paraId="7A7EDD4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37.3</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rPr>
        <w:t>质疑、</w:t>
      </w:r>
      <w:r>
        <w:rPr>
          <w:rFonts w:hint="eastAsia" w:ascii="仿宋" w:hAnsi="仿宋" w:eastAsia="仿宋" w:cs="仿宋"/>
          <w:sz w:val="24"/>
          <w:szCs w:val="24"/>
          <w:highlight w:val="none"/>
        </w:rPr>
        <w:t>投诉</w:t>
      </w:r>
      <w:r>
        <w:rPr>
          <w:rFonts w:hint="eastAsia" w:ascii="仿宋" w:hAnsi="仿宋" w:eastAsia="仿宋" w:cs="仿宋"/>
          <w:sz w:val="24"/>
          <w:szCs w:val="24"/>
          <w:highlight w:val="none"/>
          <w:lang w:val="en-US"/>
        </w:rPr>
        <w:t>应当有明确的请求和必要的证明材料</w:t>
      </w:r>
      <w:r>
        <w:rPr>
          <w:rFonts w:hint="eastAsia" w:ascii="仿宋" w:hAnsi="仿宋" w:eastAsia="仿宋" w:cs="仿宋"/>
          <w:sz w:val="24"/>
          <w:szCs w:val="24"/>
          <w:highlight w:val="none"/>
        </w:rPr>
        <w:t>。供应商投诉的事项不得超出</w:t>
      </w:r>
      <w:r>
        <w:rPr>
          <w:rFonts w:hint="eastAsia" w:ascii="仿宋" w:hAnsi="仿宋" w:eastAsia="仿宋" w:cs="仿宋"/>
          <w:sz w:val="24"/>
          <w:szCs w:val="24"/>
          <w:highlight w:val="none"/>
          <w:lang w:val="en-US"/>
        </w:rPr>
        <w:t>已</w:t>
      </w:r>
      <w:r>
        <w:rPr>
          <w:rFonts w:hint="eastAsia" w:ascii="仿宋" w:hAnsi="仿宋" w:eastAsia="仿宋" w:cs="仿宋"/>
          <w:sz w:val="24"/>
          <w:szCs w:val="24"/>
          <w:highlight w:val="none"/>
        </w:rPr>
        <w:t>质疑事项的范围，但基于质疑答复内容提出的投诉事项除外。</w:t>
      </w:r>
    </w:p>
    <w:p w14:paraId="3D9E8D2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napToGrid w:val="0"/>
          <w:sz w:val="24"/>
          <w:szCs w:val="24"/>
          <w:highlight w:val="none"/>
        </w:rPr>
        <w:t>37.4</w:t>
      </w:r>
      <w:r>
        <w:rPr>
          <w:rFonts w:hint="eastAsia" w:ascii="仿宋" w:hAnsi="仿宋" w:eastAsia="仿宋" w:cs="仿宋"/>
          <w:sz w:val="24"/>
          <w:szCs w:val="24"/>
          <w:highlight w:val="none"/>
        </w:rPr>
        <w:t>投诉书应当使用中文，并采用财政部门制定的范本。</w:t>
      </w:r>
    </w:p>
    <w:p w14:paraId="0D79CF50">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46" w:name="_Toc163492870"/>
      <w:bookmarkStart w:id="247" w:name="_Toc155185882"/>
      <w:bookmarkStart w:id="248" w:name="_Toc140132803"/>
      <w:r>
        <w:rPr>
          <w:rFonts w:hint="eastAsia" w:ascii="仿宋" w:hAnsi="仿宋" w:eastAsia="仿宋" w:cs="仿宋"/>
          <w:sz w:val="24"/>
          <w:szCs w:val="24"/>
          <w:highlight w:val="none"/>
        </w:rPr>
        <w:t>（十一）采购代理服务费</w:t>
      </w:r>
      <w:bookmarkEnd w:id="246"/>
      <w:bookmarkEnd w:id="247"/>
      <w:bookmarkEnd w:id="248"/>
    </w:p>
    <w:p w14:paraId="5C1CB55A">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49" w:name="_Toc163492871"/>
      <w:bookmarkStart w:id="250" w:name="_Toc140132804"/>
      <w:r>
        <w:rPr>
          <w:rFonts w:hint="eastAsia" w:ascii="仿宋" w:hAnsi="仿宋" w:eastAsia="仿宋" w:cs="仿宋"/>
          <w:sz w:val="24"/>
          <w:szCs w:val="24"/>
          <w:highlight w:val="none"/>
        </w:rPr>
        <w:t>38.收取方式和标准</w:t>
      </w:r>
      <w:bookmarkEnd w:id="249"/>
      <w:bookmarkEnd w:id="250"/>
    </w:p>
    <w:p w14:paraId="48E9C5F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rPr>
        <w:t>8</w:t>
      </w:r>
      <w:r>
        <w:rPr>
          <w:rFonts w:hint="eastAsia" w:ascii="仿宋" w:hAnsi="仿宋" w:eastAsia="仿宋" w:cs="仿宋"/>
          <w:sz w:val="24"/>
          <w:szCs w:val="24"/>
          <w:highlight w:val="none"/>
        </w:rPr>
        <w:t>.1采购代理机构按“投标人须知前附表”规定的方式和标准收取采购代理服务费。</w:t>
      </w:r>
    </w:p>
    <w:p w14:paraId="5FAEDD25">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51" w:name="_Toc140132805"/>
      <w:bookmarkStart w:id="252" w:name="_Toc163492872"/>
      <w:bookmarkStart w:id="253" w:name="_Toc155185883"/>
      <w:r>
        <w:rPr>
          <w:rFonts w:hint="eastAsia" w:ascii="仿宋" w:hAnsi="仿宋" w:eastAsia="仿宋" w:cs="仿宋"/>
          <w:sz w:val="24"/>
          <w:szCs w:val="24"/>
          <w:highlight w:val="none"/>
        </w:rPr>
        <w:t>（十二）无效投标和废标</w:t>
      </w:r>
      <w:bookmarkEnd w:id="251"/>
      <w:bookmarkEnd w:id="252"/>
      <w:bookmarkEnd w:id="253"/>
    </w:p>
    <w:p w14:paraId="2C23C0CC">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54" w:name="_Toc163492873"/>
      <w:bookmarkStart w:id="255" w:name="_Toc140132806"/>
      <w:r>
        <w:rPr>
          <w:rFonts w:hint="eastAsia" w:ascii="仿宋" w:hAnsi="仿宋" w:eastAsia="仿宋" w:cs="仿宋"/>
          <w:sz w:val="24"/>
          <w:szCs w:val="24"/>
          <w:highlight w:val="none"/>
        </w:rPr>
        <w:t>39.无效投标</w:t>
      </w:r>
      <w:bookmarkEnd w:id="254"/>
      <w:bookmarkEnd w:id="255"/>
    </w:p>
    <w:p w14:paraId="69A4309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39</w:t>
      </w:r>
      <w:r>
        <w:rPr>
          <w:rFonts w:hint="eastAsia" w:ascii="仿宋" w:hAnsi="仿宋" w:eastAsia="仿宋" w:cs="仿宋"/>
          <w:sz w:val="24"/>
          <w:szCs w:val="24"/>
          <w:highlight w:val="none"/>
        </w:rPr>
        <w:t>.1投标文件存在“第四章</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资格审查”、“第五章</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评标</w:t>
      </w:r>
      <w:r>
        <w:rPr>
          <w:rFonts w:hint="eastAsia" w:ascii="仿宋" w:hAnsi="仿宋" w:eastAsia="仿宋" w:cs="仿宋"/>
          <w:sz w:val="24"/>
          <w:szCs w:val="24"/>
          <w:highlight w:val="none"/>
          <w:lang w:val="en-US"/>
        </w:rPr>
        <w:t>方</w:t>
      </w:r>
      <w:r>
        <w:rPr>
          <w:rFonts w:hint="eastAsia" w:ascii="仿宋" w:hAnsi="仿宋" w:eastAsia="仿宋" w:cs="仿宋"/>
          <w:sz w:val="24"/>
          <w:szCs w:val="24"/>
          <w:highlight w:val="none"/>
        </w:rPr>
        <w:t>法及标准”</w:t>
      </w:r>
      <w:r>
        <w:rPr>
          <w:rFonts w:hint="eastAsia" w:ascii="仿宋" w:hAnsi="仿宋" w:eastAsia="仿宋" w:cs="仿宋"/>
          <w:sz w:val="24"/>
          <w:szCs w:val="24"/>
          <w:highlight w:val="none"/>
          <w:lang w:val="en-US"/>
        </w:rPr>
        <w:t>及本招标文件</w:t>
      </w:r>
      <w:r>
        <w:rPr>
          <w:rFonts w:hint="eastAsia" w:ascii="仿宋" w:hAnsi="仿宋" w:eastAsia="仿宋" w:cs="仿宋"/>
          <w:sz w:val="24"/>
          <w:szCs w:val="24"/>
          <w:highlight w:val="none"/>
        </w:rPr>
        <w:t>规定的投标无效情形的，其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44FAA137">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56" w:name="_Toc163492874"/>
      <w:bookmarkStart w:id="257" w:name="_Toc140132807"/>
      <w:r>
        <w:rPr>
          <w:rFonts w:hint="eastAsia" w:ascii="仿宋" w:hAnsi="仿宋" w:eastAsia="仿宋" w:cs="仿宋"/>
          <w:sz w:val="24"/>
          <w:szCs w:val="24"/>
          <w:highlight w:val="none"/>
        </w:rPr>
        <w:t>40.废标</w:t>
      </w:r>
      <w:bookmarkEnd w:id="256"/>
      <w:bookmarkEnd w:id="257"/>
    </w:p>
    <w:p w14:paraId="0415FBF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rPr>
        <w:t>0</w:t>
      </w:r>
      <w:r>
        <w:rPr>
          <w:rFonts w:hint="eastAsia" w:ascii="仿宋" w:hAnsi="仿宋" w:eastAsia="仿宋" w:cs="仿宋"/>
          <w:sz w:val="24"/>
          <w:szCs w:val="24"/>
          <w:highlight w:val="none"/>
        </w:rPr>
        <w:t>.1在招标采购中出现有“第五章</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评标</w:t>
      </w:r>
      <w:r>
        <w:rPr>
          <w:rFonts w:hint="eastAsia" w:ascii="仿宋" w:hAnsi="仿宋" w:eastAsia="仿宋" w:cs="仿宋"/>
          <w:sz w:val="24"/>
          <w:szCs w:val="24"/>
          <w:highlight w:val="none"/>
          <w:lang w:val="en-US"/>
        </w:rPr>
        <w:t>方</w:t>
      </w:r>
      <w:r>
        <w:rPr>
          <w:rFonts w:hint="eastAsia" w:ascii="仿宋" w:hAnsi="仿宋" w:eastAsia="仿宋" w:cs="仿宋"/>
          <w:sz w:val="24"/>
          <w:szCs w:val="24"/>
          <w:highlight w:val="none"/>
        </w:rPr>
        <w:t>法及标准”</w:t>
      </w:r>
      <w:r>
        <w:rPr>
          <w:rFonts w:hint="eastAsia" w:ascii="仿宋" w:hAnsi="仿宋" w:eastAsia="仿宋" w:cs="仿宋"/>
          <w:sz w:val="24"/>
          <w:szCs w:val="24"/>
          <w:highlight w:val="none"/>
          <w:lang w:val="en-US"/>
        </w:rPr>
        <w:t>及本招标文件</w:t>
      </w:r>
      <w:r>
        <w:rPr>
          <w:rFonts w:hint="eastAsia" w:ascii="仿宋" w:hAnsi="仿宋" w:eastAsia="仿宋" w:cs="仿宋"/>
          <w:sz w:val="24"/>
          <w:szCs w:val="24"/>
          <w:highlight w:val="none"/>
        </w:rPr>
        <w:t>规定的废标情形的，应予以</w:t>
      </w:r>
      <w:r>
        <w:rPr>
          <w:rFonts w:hint="eastAsia" w:ascii="仿宋" w:hAnsi="仿宋" w:eastAsia="仿宋" w:cs="仿宋"/>
          <w:b/>
          <w:bCs/>
          <w:sz w:val="24"/>
          <w:szCs w:val="24"/>
          <w:highlight w:val="none"/>
        </w:rPr>
        <w:t>废标</w:t>
      </w:r>
      <w:r>
        <w:rPr>
          <w:rFonts w:hint="eastAsia" w:ascii="仿宋" w:hAnsi="仿宋" w:eastAsia="仿宋" w:cs="仿宋"/>
          <w:sz w:val="24"/>
          <w:szCs w:val="24"/>
          <w:highlight w:val="none"/>
        </w:rPr>
        <w:t>。</w:t>
      </w:r>
    </w:p>
    <w:p w14:paraId="25A4D910">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58" w:name="_Toc140132766"/>
      <w:bookmarkStart w:id="259" w:name="_Toc163492875"/>
      <w:bookmarkStart w:id="260" w:name="_Toc140132808"/>
      <w:bookmarkStart w:id="261" w:name="_Toc155185884"/>
      <w:r>
        <w:rPr>
          <w:rFonts w:hint="eastAsia" w:ascii="仿宋" w:hAnsi="仿宋" w:eastAsia="仿宋" w:cs="仿宋"/>
          <w:sz w:val="24"/>
          <w:szCs w:val="24"/>
          <w:highlight w:val="none"/>
        </w:rPr>
        <w:t>（十三）落实政府采购政策</w:t>
      </w:r>
      <w:bookmarkEnd w:id="258"/>
      <w:bookmarkEnd w:id="259"/>
      <w:r>
        <w:rPr>
          <w:rFonts w:hint="eastAsia" w:ascii="仿宋" w:hAnsi="仿宋" w:eastAsia="仿宋" w:cs="仿宋"/>
          <w:sz w:val="24"/>
          <w:szCs w:val="24"/>
          <w:highlight w:val="none"/>
        </w:rPr>
        <w:t>（包括但不限于下列具体政策要求）</w:t>
      </w:r>
    </w:p>
    <w:p w14:paraId="112A023D">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2" w:name="_Toc163492876"/>
      <w:r>
        <w:rPr>
          <w:rFonts w:hint="eastAsia" w:ascii="仿宋" w:hAnsi="仿宋" w:eastAsia="仿宋" w:cs="仿宋"/>
          <w:sz w:val="24"/>
          <w:szCs w:val="24"/>
          <w:highlight w:val="none"/>
        </w:rPr>
        <w:t>41.本国产品和进口产品</w:t>
      </w:r>
      <w:bookmarkEnd w:id="262"/>
    </w:p>
    <w:p w14:paraId="0583D63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41.1本国产品标准及支持政策</w:t>
      </w:r>
    </w:p>
    <w:p w14:paraId="5A9C2DA6">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41.1.3对国家相关部门后续发布的特定产品清单内的产品，除满足上述条件外，还需同时满足关键组件境内生产、关键工序境内完成等特定要求。</w:t>
      </w:r>
    </w:p>
    <w:p w14:paraId="78EBDC8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医疗器械产品，取得药品监督管理部门授予的准字号医疗器械注册证的，视为符合本国产品标准。</w:t>
      </w:r>
    </w:p>
    <w:p w14:paraId="12D1178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41.1.8对于仅有本国产品参与竞争的政府采购项目，本国产品不享受价格扣除评审优惠。</w:t>
      </w:r>
    </w:p>
    <w:p w14:paraId="0C39ABB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41.2进口产品</w:t>
      </w:r>
    </w:p>
    <w:p w14:paraId="39E696F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41.2.2进口产品指通过中国海关报关验放进入中国境内且产自关境外的产品，包括已经进入中国境内的进口产品。 </w:t>
      </w:r>
    </w:p>
    <w:p w14:paraId="6F9C808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41.2.3若采购需求中写明允许采购进口产品，投标人应保证所投产品可履行合法报通关手续进入中国关境内。</w:t>
      </w:r>
    </w:p>
    <w:p w14:paraId="34AB10F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41.2.4若采购需求中未写明允许采购进口产品，如投标人所投产品为进口产品，其投标将被认定为</w:t>
      </w:r>
      <w:r>
        <w:rPr>
          <w:rFonts w:hint="eastAsia" w:ascii="仿宋" w:hAnsi="仿宋" w:eastAsia="仿宋" w:cs="仿宋"/>
          <w:b/>
          <w:bCs/>
          <w:snapToGrid w:val="0"/>
          <w:sz w:val="24"/>
          <w:szCs w:val="24"/>
          <w:highlight w:val="none"/>
        </w:rPr>
        <w:t>投标无效</w:t>
      </w:r>
      <w:r>
        <w:rPr>
          <w:rFonts w:hint="eastAsia" w:ascii="仿宋" w:hAnsi="仿宋" w:eastAsia="仿宋" w:cs="仿宋"/>
          <w:snapToGrid w:val="0"/>
          <w:sz w:val="24"/>
          <w:szCs w:val="24"/>
          <w:highlight w:val="none"/>
        </w:rPr>
        <w:t>。</w:t>
      </w:r>
    </w:p>
    <w:p w14:paraId="6F161415">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3" w:name="_Toc163492877"/>
      <w:r>
        <w:rPr>
          <w:rFonts w:hint="eastAsia" w:ascii="仿宋" w:hAnsi="仿宋" w:eastAsia="仿宋" w:cs="仿宋"/>
          <w:sz w:val="24"/>
          <w:szCs w:val="24"/>
          <w:highlight w:val="none"/>
        </w:rPr>
        <w:t>42.中小企业、监狱企业及残疾人福利性单位</w:t>
      </w:r>
      <w:bookmarkEnd w:id="263"/>
    </w:p>
    <w:p w14:paraId="27EA1CE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32281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rPr>
        <w:t>42</w:t>
      </w:r>
      <w:r>
        <w:rPr>
          <w:rFonts w:hint="eastAsia" w:ascii="仿宋" w:hAnsi="仿宋" w:eastAsia="仿宋" w:cs="仿宋"/>
          <w:snapToGrid w:val="0"/>
          <w:sz w:val="24"/>
          <w:szCs w:val="24"/>
          <w:highlight w:val="none"/>
        </w:rPr>
        <w:t>.</w:t>
      </w:r>
      <w:r>
        <w:rPr>
          <w:rFonts w:hint="eastAsia" w:ascii="仿宋" w:hAnsi="仿宋" w:eastAsia="仿宋" w:cs="仿宋"/>
          <w:snapToGrid w:val="0"/>
          <w:sz w:val="24"/>
          <w:szCs w:val="24"/>
          <w:highlight w:val="none"/>
          <w:lang w:val="en-US"/>
        </w:rPr>
        <w:t>2</w:t>
      </w:r>
      <w:r>
        <w:rPr>
          <w:rFonts w:hint="eastAsia" w:ascii="仿宋" w:hAnsi="仿宋" w:eastAsia="仿宋" w:cs="仿宋"/>
          <w:snapToGrid w:val="0"/>
          <w:sz w:val="24"/>
          <w:szCs w:val="24"/>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仿宋" w:hAnsi="仿宋" w:eastAsia="仿宋" w:cs="仿宋"/>
          <w:snapToGrid w:val="0"/>
          <w:sz w:val="24"/>
          <w:szCs w:val="24"/>
          <w:highlight w:val="none"/>
          <w:lang w:val="en-US"/>
        </w:rPr>
        <w:t>招标</w:t>
      </w:r>
      <w:r>
        <w:rPr>
          <w:rFonts w:hint="eastAsia" w:ascii="仿宋" w:hAnsi="仿宋" w:eastAsia="仿宋" w:cs="仿宋"/>
          <w:snapToGrid w:val="0"/>
          <w:sz w:val="24"/>
          <w:szCs w:val="24"/>
          <w:highlight w:val="none"/>
        </w:rPr>
        <w:t>文件规定格式提供“中小企业声明函”</w:t>
      </w:r>
      <w:r>
        <w:rPr>
          <w:rFonts w:hint="eastAsia" w:ascii="仿宋" w:hAnsi="仿宋" w:eastAsia="仿宋" w:cs="仿宋"/>
          <w:snapToGrid w:val="0"/>
          <w:sz w:val="24"/>
          <w:szCs w:val="24"/>
          <w:highlight w:val="none"/>
          <w:lang w:val="en-US"/>
        </w:rPr>
        <w:t>或“</w:t>
      </w:r>
      <w:r>
        <w:rPr>
          <w:rFonts w:hint="eastAsia" w:ascii="仿宋" w:hAnsi="仿宋" w:eastAsia="仿宋" w:cs="仿宋"/>
          <w:snapToGrid w:val="0"/>
          <w:sz w:val="24"/>
          <w:szCs w:val="24"/>
          <w:highlight w:val="none"/>
        </w:rPr>
        <w:t>监狱企业证明文件”</w:t>
      </w:r>
      <w:r>
        <w:rPr>
          <w:rFonts w:hint="eastAsia" w:ascii="仿宋" w:hAnsi="仿宋" w:eastAsia="仿宋" w:cs="仿宋"/>
          <w:snapToGrid w:val="0"/>
          <w:sz w:val="24"/>
          <w:szCs w:val="24"/>
          <w:highlight w:val="none"/>
          <w:lang w:val="en-US"/>
        </w:rPr>
        <w:t>或</w:t>
      </w:r>
      <w:r>
        <w:rPr>
          <w:rFonts w:hint="eastAsia" w:ascii="仿宋" w:hAnsi="仿宋" w:eastAsia="仿宋" w:cs="仿宋"/>
          <w:snapToGrid w:val="0"/>
          <w:sz w:val="24"/>
          <w:szCs w:val="24"/>
          <w:highlight w:val="none"/>
        </w:rPr>
        <w:t>“残疾人福利性单位声明函”，评审时，</w:t>
      </w:r>
      <w:r>
        <w:rPr>
          <w:rFonts w:hint="eastAsia" w:ascii="仿宋" w:hAnsi="仿宋" w:eastAsia="仿宋" w:cs="仿宋"/>
          <w:snapToGrid w:val="0"/>
          <w:sz w:val="24"/>
          <w:szCs w:val="24"/>
          <w:highlight w:val="none"/>
          <w:lang w:val="en-US"/>
        </w:rPr>
        <w:t>评标委员会</w:t>
      </w:r>
      <w:r>
        <w:rPr>
          <w:rFonts w:hint="eastAsia" w:ascii="仿宋" w:hAnsi="仿宋" w:eastAsia="仿宋" w:cs="仿宋"/>
          <w:snapToGrid w:val="0"/>
          <w:sz w:val="24"/>
          <w:szCs w:val="24"/>
          <w:highlight w:val="none"/>
        </w:rPr>
        <w:t>将依据本</w:t>
      </w:r>
      <w:r>
        <w:rPr>
          <w:rFonts w:hint="eastAsia" w:ascii="仿宋" w:hAnsi="仿宋" w:eastAsia="仿宋" w:cs="仿宋"/>
          <w:snapToGrid w:val="0"/>
          <w:sz w:val="24"/>
          <w:szCs w:val="24"/>
          <w:highlight w:val="none"/>
          <w:lang w:val="en-US"/>
        </w:rPr>
        <w:t>招标</w:t>
      </w:r>
      <w:r>
        <w:rPr>
          <w:rFonts w:hint="eastAsia" w:ascii="仿宋" w:hAnsi="仿宋" w:eastAsia="仿宋" w:cs="仿宋"/>
          <w:snapToGrid w:val="0"/>
          <w:sz w:val="24"/>
          <w:szCs w:val="24"/>
          <w:highlight w:val="none"/>
        </w:rPr>
        <w:t>文件“</w:t>
      </w:r>
      <w:r>
        <w:rPr>
          <w:rFonts w:hint="eastAsia" w:ascii="仿宋" w:hAnsi="仿宋" w:eastAsia="仿宋" w:cs="仿宋"/>
          <w:snapToGrid w:val="0"/>
          <w:sz w:val="24"/>
          <w:szCs w:val="24"/>
          <w:highlight w:val="none"/>
          <w:lang w:val="en-US"/>
        </w:rPr>
        <w:t>投标人</w:t>
      </w:r>
      <w:r>
        <w:rPr>
          <w:rFonts w:hint="eastAsia" w:ascii="仿宋" w:hAnsi="仿宋" w:eastAsia="仿宋" w:cs="仿宋"/>
          <w:snapToGrid w:val="0"/>
          <w:sz w:val="24"/>
          <w:szCs w:val="24"/>
          <w:highlight w:val="none"/>
        </w:rPr>
        <w:t>须知前附表”规定的报价扣除比例，对供应商报价进行价格扣除，用扣除后的价格参与评审；</w:t>
      </w:r>
      <w:r>
        <w:rPr>
          <w:rFonts w:hint="eastAsia" w:ascii="仿宋" w:hAnsi="仿宋" w:eastAsia="仿宋" w:cs="仿宋"/>
          <w:snapToGrid w:val="0"/>
          <w:sz w:val="24"/>
          <w:szCs w:val="24"/>
          <w:highlight w:val="none"/>
          <w:lang w:val="en-US"/>
        </w:rPr>
        <w:t>招标</w:t>
      </w:r>
      <w:r>
        <w:rPr>
          <w:rFonts w:hint="eastAsia" w:ascii="仿宋" w:hAnsi="仿宋" w:eastAsia="仿宋" w:cs="仿宋"/>
          <w:snapToGrid w:val="0"/>
          <w:sz w:val="24"/>
          <w:szCs w:val="24"/>
          <w:highlight w:val="none"/>
        </w:rPr>
        <w:t>公告中明确项目专门面向中小企业采购的，“中小企业声明函”为资格要求文件，供应商参与</w:t>
      </w:r>
      <w:r>
        <w:rPr>
          <w:rFonts w:hint="eastAsia" w:ascii="仿宋" w:hAnsi="仿宋" w:eastAsia="仿宋" w:cs="仿宋"/>
          <w:snapToGrid w:val="0"/>
          <w:sz w:val="24"/>
          <w:szCs w:val="24"/>
          <w:highlight w:val="none"/>
          <w:lang w:val="en-US"/>
        </w:rPr>
        <w:t>投标</w:t>
      </w:r>
      <w:r>
        <w:rPr>
          <w:rFonts w:hint="eastAsia" w:ascii="仿宋" w:hAnsi="仿宋" w:eastAsia="仿宋" w:cs="仿宋"/>
          <w:snapToGrid w:val="0"/>
          <w:sz w:val="24"/>
          <w:szCs w:val="24"/>
          <w:highlight w:val="none"/>
        </w:rPr>
        <w:t>须按本</w:t>
      </w:r>
      <w:r>
        <w:rPr>
          <w:rFonts w:hint="eastAsia" w:ascii="仿宋" w:hAnsi="仿宋" w:eastAsia="仿宋" w:cs="仿宋"/>
          <w:snapToGrid w:val="0"/>
          <w:sz w:val="24"/>
          <w:szCs w:val="24"/>
          <w:highlight w:val="none"/>
          <w:lang w:val="en-US"/>
        </w:rPr>
        <w:t>招标</w:t>
      </w:r>
      <w:r>
        <w:rPr>
          <w:rFonts w:hint="eastAsia" w:ascii="仿宋" w:hAnsi="仿宋" w:eastAsia="仿宋" w:cs="仿宋"/>
          <w:snapToGrid w:val="0"/>
          <w:sz w:val="24"/>
          <w:szCs w:val="24"/>
          <w:highlight w:val="none"/>
        </w:rPr>
        <w:t>文件规定格式提供“中小企业声明函”</w:t>
      </w:r>
      <w:r>
        <w:rPr>
          <w:rFonts w:hint="eastAsia" w:ascii="仿宋" w:hAnsi="仿宋" w:eastAsia="仿宋" w:cs="仿宋"/>
          <w:snapToGrid w:val="0"/>
          <w:sz w:val="24"/>
          <w:szCs w:val="24"/>
          <w:highlight w:val="none"/>
          <w:lang w:val="en-US"/>
        </w:rPr>
        <w:t>或“</w:t>
      </w:r>
      <w:r>
        <w:rPr>
          <w:rFonts w:hint="eastAsia" w:ascii="仿宋" w:hAnsi="仿宋" w:eastAsia="仿宋" w:cs="仿宋"/>
          <w:snapToGrid w:val="0"/>
          <w:sz w:val="24"/>
          <w:szCs w:val="24"/>
          <w:highlight w:val="none"/>
        </w:rPr>
        <w:t>监狱企业证明文件”</w:t>
      </w:r>
      <w:r>
        <w:rPr>
          <w:rFonts w:hint="eastAsia" w:ascii="仿宋" w:hAnsi="仿宋" w:eastAsia="仿宋" w:cs="仿宋"/>
          <w:snapToGrid w:val="0"/>
          <w:sz w:val="24"/>
          <w:szCs w:val="24"/>
          <w:highlight w:val="none"/>
          <w:lang w:val="en-US"/>
        </w:rPr>
        <w:t>或</w:t>
      </w:r>
      <w:r>
        <w:rPr>
          <w:rFonts w:hint="eastAsia" w:ascii="仿宋" w:hAnsi="仿宋" w:eastAsia="仿宋" w:cs="仿宋"/>
          <w:snapToGrid w:val="0"/>
          <w:sz w:val="24"/>
          <w:szCs w:val="24"/>
          <w:highlight w:val="none"/>
        </w:rPr>
        <w:t>“残疾人福利性单位声明函”等作为资格证明文件。</w:t>
      </w:r>
      <w:r>
        <w:rPr>
          <w:rFonts w:hint="eastAsia" w:ascii="仿宋" w:hAnsi="仿宋" w:eastAsia="仿宋" w:cs="仿宋"/>
          <w:snapToGrid w:val="0"/>
          <w:sz w:val="24"/>
          <w:szCs w:val="24"/>
          <w:highlight w:val="none"/>
          <w:lang w:val="en-US"/>
        </w:rPr>
        <w:t xml:space="preserve"> </w:t>
      </w:r>
    </w:p>
    <w:p w14:paraId="728C45D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42.3 投标人提供的货物、工程或者服务符合下列情形的，享受中小企业扶持政策：</w:t>
      </w:r>
    </w:p>
    <w:p w14:paraId="0D386BA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（1）在货物采购项目中，货物由中小企业制造，即货物由中小企业生产且使用该中小企业商号或者注册商标； </w:t>
      </w:r>
    </w:p>
    <w:p w14:paraId="0931342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（2）在工程采购项目中，工程由中小企业承建，即工程施工单位为中小企业； </w:t>
      </w:r>
    </w:p>
    <w:p w14:paraId="6E11523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（3）在服务采购项目中，服务由中小企业承接，即提供服务的人员为中小企业依照《中华人民共和国劳动合同法》订立劳动合同的从业人员。</w:t>
      </w:r>
    </w:p>
    <w:p w14:paraId="23F66ED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42.4 在货物采购项目中，投标人提供的货物既有中小企业制造货物，也有大型企业制造货物的，不享受中小企业扶持政策。 </w:t>
      </w:r>
    </w:p>
    <w:p w14:paraId="21CC303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42.5 以联合体形式参加政府采购活动，联合体各方均为中小企业的，联合体视同中小企业。其中，联合体各方均为小微企业的，联合体视同小微企业。</w:t>
      </w:r>
    </w:p>
    <w:p w14:paraId="2DC7489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42.7.1 安置的残疾人占本单位在职职工人数的比例不低于 25% （含 25%），并且安置的残疾人人数不少于 10 人（含 10人）； </w:t>
      </w:r>
    </w:p>
    <w:p w14:paraId="62254D3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42.7.2 依法与安置的每位残疾人签订了1年以上（含1年）的劳动合同或服务协议； </w:t>
      </w:r>
    </w:p>
    <w:p w14:paraId="4207CD4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42.7.3 为安置的每位残疾人按月足额缴纳了基本养老保险、基本医疗保险、失业保险、工伤保险和生育保险等社会保险费； </w:t>
      </w:r>
    </w:p>
    <w:p w14:paraId="7DEAEFA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42.7.4 通过银行等金融机构向安置的每位残疾人，按月支付了不低于单位所在区县适用的经省级人民政府批准的月最低工资标准的工资； </w:t>
      </w:r>
    </w:p>
    <w:p w14:paraId="7A42333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42.7.5 提供本单位制造的货物、承担的工程或者服务（以下简称产品），或者提供其他残疾人福利性单位制造的货物（不包括使用非残疾人福利性单位注册商标的货物）； </w:t>
      </w:r>
    </w:p>
    <w:p w14:paraId="0408EB0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4B69260">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1DF887A2">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4" w:name="_Toc163492878"/>
      <w:r>
        <w:rPr>
          <w:rFonts w:hint="eastAsia" w:ascii="仿宋" w:hAnsi="仿宋" w:eastAsia="仿宋" w:cs="仿宋"/>
          <w:sz w:val="24"/>
          <w:szCs w:val="24"/>
          <w:highlight w:val="none"/>
        </w:rPr>
        <w:t>43.政府采购节能产品、环境标志产品</w:t>
      </w:r>
      <w:bookmarkEnd w:id="264"/>
    </w:p>
    <w:p w14:paraId="77C7C9A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4A4A289">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sz w:val="24"/>
          <w:szCs w:val="24"/>
          <w:highlight w:val="none"/>
        </w:rPr>
        <w:t>投标无效</w:t>
      </w:r>
      <w:r>
        <w:rPr>
          <w:rFonts w:hint="eastAsia" w:ascii="仿宋" w:hAnsi="仿宋" w:eastAsia="仿宋" w:cs="仿宋"/>
          <w:snapToGrid w:val="0"/>
          <w:sz w:val="24"/>
          <w:szCs w:val="24"/>
          <w:highlight w:val="none"/>
        </w:rPr>
        <w:t xml:space="preserve">。 </w:t>
      </w:r>
    </w:p>
    <w:p w14:paraId="2CCA50E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43.4 非政府强制采购的节能产品或环境标志产品，依据品目清单和认证证书实施政府优先采购。优先采购的具体规定见“第五章 评标方法及标准”（如涉及）。</w:t>
      </w:r>
    </w:p>
    <w:p w14:paraId="6ED1227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napToGrid w:val="0"/>
          <w:sz w:val="24"/>
          <w:szCs w:val="24"/>
          <w:highlight w:val="none"/>
          <w:lang w:val="en-US"/>
        </w:rPr>
        <w:t xml:space="preserve">43.5 </w:t>
      </w:r>
      <w:r>
        <w:rPr>
          <w:rFonts w:hint="eastAsia" w:ascii="仿宋" w:hAnsi="仿宋" w:eastAsia="仿宋" w:cs="仿宋"/>
          <w:snapToGrid w:val="0"/>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sz w:val="24"/>
          <w:szCs w:val="24"/>
          <w:highlight w:val="none"/>
          <w:lang w:val="en-US"/>
        </w:rPr>
        <w:t>评审优惠</w:t>
      </w:r>
      <w:r>
        <w:rPr>
          <w:rFonts w:hint="eastAsia" w:ascii="仿宋" w:hAnsi="仿宋" w:eastAsia="仿宋" w:cs="仿宋"/>
          <w:snapToGrid w:val="0"/>
          <w:sz w:val="24"/>
          <w:szCs w:val="24"/>
          <w:highlight w:val="none"/>
        </w:rPr>
        <w:t>，未提供认证证书的视为</w:t>
      </w:r>
      <w:r>
        <w:rPr>
          <w:rFonts w:hint="eastAsia" w:ascii="仿宋" w:hAnsi="仿宋" w:eastAsia="仿宋" w:cs="仿宋"/>
          <w:b/>
          <w:bCs/>
          <w:snapToGrid w:val="0"/>
          <w:sz w:val="24"/>
          <w:szCs w:val="24"/>
          <w:highlight w:val="none"/>
          <w:lang w:val="en-US"/>
        </w:rPr>
        <w:t>投标</w:t>
      </w:r>
      <w:r>
        <w:rPr>
          <w:rFonts w:hint="eastAsia" w:ascii="仿宋" w:hAnsi="仿宋" w:eastAsia="仿宋" w:cs="仿宋"/>
          <w:b/>
          <w:bCs/>
          <w:snapToGrid w:val="0"/>
          <w:sz w:val="24"/>
          <w:szCs w:val="24"/>
          <w:highlight w:val="none"/>
        </w:rPr>
        <w:t>无效</w:t>
      </w:r>
      <w:r>
        <w:rPr>
          <w:rFonts w:hint="eastAsia" w:ascii="仿宋" w:hAnsi="仿宋" w:eastAsia="仿宋" w:cs="仿宋"/>
          <w:snapToGrid w:val="0"/>
          <w:sz w:val="24"/>
          <w:szCs w:val="24"/>
          <w:highlight w:val="none"/>
        </w:rPr>
        <w:t>。属于</w:t>
      </w:r>
      <w:r>
        <w:rPr>
          <w:rFonts w:hint="eastAsia" w:ascii="仿宋" w:hAnsi="仿宋" w:eastAsia="仿宋" w:cs="仿宋"/>
          <w:snapToGrid w:val="0"/>
          <w:sz w:val="24"/>
          <w:szCs w:val="24"/>
          <w:highlight w:val="none"/>
          <w:lang w:val="en-US"/>
        </w:rPr>
        <w:t>优先采购</w:t>
      </w:r>
      <w:r>
        <w:rPr>
          <w:rFonts w:hint="eastAsia" w:ascii="仿宋" w:hAnsi="仿宋" w:eastAsia="仿宋" w:cs="仿宋"/>
          <w:snapToGrid w:val="0"/>
          <w:sz w:val="24"/>
          <w:szCs w:val="24"/>
          <w:highlight w:val="none"/>
        </w:rPr>
        <w:t>节能产品政府采购品目清单、环境标志产品政府采购品目清单、</w:t>
      </w:r>
      <w:r>
        <w:rPr>
          <w:rFonts w:hint="eastAsia" w:ascii="仿宋" w:hAnsi="仿宋" w:eastAsia="仿宋" w:cs="仿宋"/>
          <w:snapToGrid w:val="0"/>
          <w:sz w:val="24"/>
          <w:szCs w:val="24"/>
          <w:highlight w:val="none"/>
          <w:lang w:val="en-US"/>
        </w:rPr>
        <w:t>创新产品</w:t>
      </w:r>
      <w:r>
        <w:rPr>
          <w:rFonts w:hint="eastAsia" w:ascii="仿宋" w:hAnsi="仿宋" w:eastAsia="仿宋" w:cs="仿宋"/>
          <w:snapToGrid w:val="0"/>
          <w:sz w:val="24"/>
          <w:szCs w:val="24"/>
          <w:highlight w:val="none"/>
        </w:rPr>
        <w:t>范围的，按照“</w:t>
      </w:r>
      <w:r>
        <w:rPr>
          <w:rFonts w:hint="eastAsia" w:ascii="仿宋" w:hAnsi="仿宋" w:eastAsia="仿宋" w:cs="仿宋"/>
          <w:sz w:val="24"/>
          <w:szCs w:val="24"/>
          <w:highlight w:val="none"/>
          <w:lang w:val="en-US"/>
        </w:rPr>
        <w:t>第五章 评标方法及标准</w:t>
      </w:r>
      <w:r>
        <w:rPr>
          <w:rFonts w:hint="eastAsia" w:ascii="仿宋" w:hAnsi="仿宋" w:eastAsia="仿宋" w:cs="仿宋"/>
          <w:snapToGrid w:val="0"/>
          <w:sz w:val="24"/>
          <w:szCs w:val="24"/>
          <w:highlight w:val="none"/>
        </w:rPr>
        <w:t>”中相关规定</w:t>
      </w:r>
      <w:r>
        <w:rPr>
          <w:rFonts w:hint="eastAsia" w:ascii="仿宋" w:hAnsi="仿宋" w:eastAsia="仿宋" w:cs="仿宋"/>
          <w:sz w:val="24"/>
          <w:szCs w:val="24"/>
          <w:highlight w:val="none"/>
          <w:lang w:val="en-US"/>
        </w:rPr>
        <w:t>在评审时给予优惠，具体详见</w:t>
      </w:r>
      <w:r>
        <w:rPr>
          <w:rFonts w:hint="eastAsia" w:ascii="仿宋" w:hAnsi="仿宋" w:eastAsia="仿宋" w:cs="仿宋"/>
          <w:snapToGrid w:val="0"/>
          <w:sz w:val="24"/>
          <w:szCs w:val="24"/>
          <w:highlight w:val="none"/>
          <w:lang w:val="en-US"/>
        </w:rPr>
        <w:t>“投标人须知前附表”及</w:t>
      </w:r>
      <w:r>
        <w:rPr>
          <w:rFonts w:hint="eastAsia" w:ascii="仿宋" w:hAnsi="仿宋" w:eastAsia="仿宋" w:cs="仿宋"/>
          <w:sz w:val="24"/>
          <w:szCs w:val="24"/>
          <w:highlight w:val="none"/>
          <w:lang w:val="en-US"/>
        </w:rPr>
        <w:t>“第五章 评标方法及标准”</w:t>
      </w:r>
      <w:r>
        <w:rPr>
          <w:rFonts w:hint="eastAsia" w:ascii="仿宋" w:hAnsi="仿宋" w:eastAsia="仿宋" w:cs="仿宋"/>
          <w:sz w:val="24"/>
          <w:szCs w:val="24"/>
          <w:highlight w:val="none"/>
        </w:rPr>
        <w:t>。</w:t>
      </w:r>
    </w:p>
    <w:p w14:paraId="59ADBA82">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5" w:name="_Toc163492879"/>
      <w:r>
        <w:rPr>
          <w:rFonts w:hint="eastAsia" w:ascii="仿宋" w:hAnsi="仿宋" w:eastAsia="仿宋" w:cs="仿宋"/>
          <w:sz w:val="24"/>
          <w:szCs w:val="24"/>
          <w:highlight w:val="none"/>
        </w:rPr>
        <w:t xml:space="preserve">44.正版软件  </w:t>
      </w:r>
    </w:p>
    <w:p w14:paraId="57FE12D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45.网络安全专用产品   </w:t>
      </w:r>
    </w:p>
    <w:p w14:paraId="1C79BDF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46.采购需求标准   </w:t>
      </w:r>
    </w:p>
    <w:p w14:paraId="4525A1E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46.1 商品包装、快递包装政府采购需求标准（试行） </w:t>
      </w:r>
    </w:p>
    <w:p w14:paraId="0E61781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46.2 绿色数据中心政府采购需求标准（试行） </w:t>
      </w:r>
    </w:p>
    <w:p w14:paraId="2197354D">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46.3台式计算机政府采购需求标准</w:t>
      </w:r>
    </w:p>
    <w:p w14:paraId="7122828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46.4便携式计算机政府采购需求标准</w:t>
      </w:r>
    </w:p>
    <w:p w14:paraId="6CAC949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46.5一体式计算机政府采购需求标准</w:t>
      </w:r>
    </w:p>
    <w:p w14:paraId="14282CDF">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46.6工作站政府采购需求标准</w:t>
      </w:r>
    </w:p>
    <w:p w14:paraId="42B529F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46.7通用服务器政府采购需求标准</w:t>
      </w:r>
    </w:p>
    <w:p w14:paraId="43B5189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46.8操作系统政府采购需求标准</w:t>
      </w:r>
    </w:p>
    <w:p w14:paraId="07D95695">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46.9数据库政府采购需求标准</w:t>
      </w:r>
    </w:p>
    <w:p w14:paraId="79BDCFF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46.10物业管理服务政府采购需求标准（办公场所类）（试行）</w:t>
      </w:r>
    </w:p>
    <w:p w14:paraId="3E08BCB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（十四）政府采购合同融资政策</w:t>
      </w:r>
      <w:bookmarkEnd w:id="260"/>
      <w:bookmarkEnd w:id="261"/>
      <w:bookmarkEnd w:id="265"/>
    </w:p>
    <w:p w14:paraId="0DC34B7A">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6" w:name="_Toc163492880"/>
      <w:r>
        <w:rPr>
          <w:rFonts w:hint="eastAsia" w:ascii="仿宋" w:hAnsi="仿宋" w:eastAsia="仿宋" w:cs="仿宋"/>
          <w:sz w:val="24"/>
          <w:szCs w:val="24"/>
          <w:highlight w:val="none"/>
        </w:rPr>
        <w:t>47.政府采购合同融资政策</w:t>
      </w:r>
      <w:bookmarkEnd w:id="266"/>
    </w:p>
    <w:p w14:paraId="66E359B1">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.1政府采购合同融资政策：见投标人须知前附表。</w:t>
      </w:r>
    </w:p>
    <w:p w14:paraId="250FC869">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7" w:name="_Toc163492881"/>
      <w:r>
        <w:rPr>
          <w:rFonts w:hint="eastAsia" w:ascii="仿宋" w:hAnsi="仿宋" w:eastAsia="仿宋" w:cs="仿宋"/>
          <w:sz w:val="24"/>
          <w:szCs w:val="24"/>
          <w:highlight w:val="none"/>
        </w:rPr>
        <w:t>（十五）其他</w:t>
      </w:r>
      <w:bookmarkEnd w:id="267"/>
    </w:p>
    <w:p w14:paraId="0ACE23BF">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8" w:name="_Toc163492882"/>
      <w:r>
        <w:rPr>
          <w:rFonts w:hint="eastAsia" w:ascii="仿宋" w:hAnsi="仿宋" w:eastAsia="仿宋" w:cs="仿宋"/>
          <w:sz w:val="24"/>
          <w:szCs w:val="24"/>
          <w:highlight w:val="none"/>
        </w:rPr>
        <w:t>48.需要补充的其他内容</w:t>
      </w:r>
      <w:bookmarkEnd w:id="268"/>
    </w:p>
    <w:p w14:paraId="77279777">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需要补充的其他内容：见投标人须知前附表。</w:t>
      </w:r>
    </w:p>
    <w:p w14:paraId="02CBFF4C">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69" w:name="_Toc155185886"/>
      <w:bookmarkStart w:id="270" w:name="_Toc140132810"/>
      <w:bookmarkStart w:id="271" w:name="_Toc163492883"/>
      <w:r>
        <w:rPr>
          <w:rFonts w:hint="eastAsia" w:ascii="仿宋" w:hAnsi="仿宋" w:eastAsia="仿宋" w:cs="仿宋"/>
          <w:sz w:val="24"/>
          <w:szCs w:val="24"/>
          <w:highlight w:val="none"/>
        </w:rPr>
        <w:t>49.适用法律</w:t>
      </w:r>
      <w:bookmarkEnd w:id="269"/>
      <w:bookmarkEnd w:id="270"/>
      <w:bookmarkEnd w:id="271"/>
    </w:p>
    <w:p w14:paraId="5BF804A2">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rPr>
        <w:t>49</w:t>
      </w:r>
      <w:r>
        <w:rPr>
          <w:rFonts w:hint="eastAsia" w:ascii="仿宋" w:hAnsi="仿宋" w:eastAsia="仿宋" w:cs="仿宋"/>
          <w:snapToGrid w:val="0"/>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napToGrid w:val="0"/>
          <w:sz w:val="24"/>
          <w:szCs w:val="24"/>
          <w:highlight w:val="none"/>
          <w:lang w:val="en-US"/>
        </w:rPr>
        <w:t>49</w:t>
      </w:r>
      <w:r>
        <w:rPr>
          <w:rFonts w:hint="eastAsia" w:ascii="仿宋" w:hAnsi="仿宋" w:eastAsia="仿宋" w:cs="仿宋"/>
          <w:snapToGrid w:val="0"/>
          <w:sz w:val="24"/>
          <w:szCs w:val="24"/>
          <w:highlight w:val="none"/>
        </w:rPr>
        <w:t>.2政府采购合同的履行、违约责任和解决争议的方法等适用《中华人民共和国民法典》。</w:t>
      </w:r>
    </w:p>
    <w:p w14:paraId="1B46C8E2">
      <w:pPr>
        <w:pStyle w:val="5"/>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rPr>
      </w:pPr>
      <w:bookmarkStart w:id="272" w:name="_Toc163492884"/>
      <w:bookmarkStart w:id="273" w:name="_Toc155185887"/>
      <w:r>
        <w:rPr>
          <w:rFonts w:hint="eastAsia" w:ascii="仿宋" w:hAnsi="仿宋" w:eastAsia="仿宋" w:cs="仿宋"/>
          <w:sz w:val="24"/>
          <w:szCs w:val="24"/>
          <w:highlight w:val="none"/>
        </w:rPr>
        <w:t>50.解释权</w:t>
      </w:r>
      <w:bookmarkEnd w:id="272"/>
      <w:bookmarkEnd w:id="273"/>
    </w:p>
    <w:p w14:paraId="22CF137C">
      <w:pPr>
        <w:pStyle w:val="41"/>
        <w:keepNext w:val="0"/>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rPr>
        <w:t>50</w:t>
      </w:r>
      <w:r>
        <w:rPr>
          <w:rFonts w:hint="eastAsia" w:ascii="仿宋" w:hAnsi="仿宋" w:eastAsia="仿宋" w:cs="仿宋"/>
          <w:snapToGrid w:val="0"/>
          <w:sz w:val="24"/>
          <w:szCs w:val="24"/>
          <w:highlight w:val="none"/>
        </w:rPr>
        <w:t>.1本招标文件最终解释权归采购人或采购代理机构所有。</w:t>
      </w:r>
    </w:p>
    <w:p w14:paraId="478905B0">
      <w:pPr>
        <w:pageBreakBefore w:val="0"/>
        <w:kinsoku/>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bookmarkStart w:id="274" w:name="_Toc155185888"/>
      <w:bookmarkStart w:id="275" w:name="_Toc163492885"/>
      <w:r>
        <w:rPr>
          <w:rFonts w:hint="eastAsia" w:ascii="仿宋" w:hAnsi="仿宋" w:eastAsia="仿宋" w:cs="仿宋"/>
          <w:sz w:val="24"/>
          <w:szCs w:val="24"/>
          <w:highlight w:val="none"/>
        </w:rPr>
        <w:br w:type="page"/>
      </w:r>
    </w:p>
    <w:p w14:paraId="47561702">
      <w:pPr>
        <w:pStyle w:val="2"/>
        <w:rPr>
          <w:rFonts w:hint="eastAsia" w:ascii="仿宋" w:hAnsi="仿宋" w:eastAsia="仿宋" w:cs="仿宋"/>
          <w:highlight w:val="none"/>
        </w:rPr>
      </w:pPr>
      <w:bookmarkStart w:id="276" w:name="_Toc28263"/>
      <w:r>
        <w:rPr>
          <w:rFonts w:hint="eastAsia" w:ascii="仿宋" w:hAnsi="仿宋" w:eastAsia="仿宋" w:cs="仿宋"/>
          <w:highlight w:val="none"/>
        </w:rPr>
        <w:t>第三章 采购需求</w:t>
      </w:r>
      <w:bookmarkEnd w:id="274"/>
      <w:bookmarkEnd w:id="275"/>
      <w:bookmarkEnd w:id="276"/>
    </w:p>
    <w:p w14:paraId="2AA52D10">
      <w:pPr>
        <w:pStyle w:val="41"/>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snapToGrid w:val="0"/>
          <w:highlight w:val="none"/>
        </w:rPr>
      </w:pPr>
      <w:bookmarkStart w:id="277" w:name="_Toc140132812"/>
      <w:bookmarkStart w:id="278" w:name="_Toc155185889"/>
      <w:bookmarkStart w:id="279" w:name="_Toc163492886"/>
      <w:r>
        <w:rPr>
          <w:rFonts w:hint="eastAsia" w:ascii="仿宋" w:hAnsi="仿宋" w:eastAsia="仿宋" w:cs="仿宋"/>
          <w:snapToGrid w:val="0"/>
          <w:highlight w:val="none"/>
        </w:rPr>
        <w:t xml:space="preserve">说明： </w:t>
      </w:r>
    </w:p>
    <w:p w14:paraId="4BCE9FE7">
      <w:pPr>
        <w:pStyle w:val="41"/>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snapToGrid w:val="0"/>
          <w:highlight w:val="none"/>
        </w:rPr>
      </w:pPr>
      <w:r>
        <w:rPr>
          <w:rFonts w:hint="eastAsia" w:ascii="仿宋" w:hAnsi="仿宋" w:eastAsia="仿宋" w:cs="仿宋"/>
          <w:snapToGrid w:val="0"/>
          <w:highlight w:val="none"/>
        </w:rPr>
        <w:t xml:space="preserve">1. 当采购项目涉及数据中心相关设备、运维服务时，采购需求应当符合《绿色数据中心政府采购需求标准（试行）》（财库〔2023〕7 号）的有关要求。 </w:t>
      </w:r>
    </w:p>
    <w:p w14:paraId="281FEB04">
      <w:pPr>
        <w:pStyle w:val="41"/>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ascii="仿宋" w:hAnsi="仿宋" w:eastAsia="仿宋" w:cs="仿宋"/>
          <w:snapToGrid w:val="0"/>
          <w:highlight w:val="none"/>
        </w:rPr>
      </w:pPr>
      <w:r>
        <w:rPr>
          <w:rFonts w:hint="eastAsia" w:ascii="仿宋" w:hAnsi="仿宋" w:eastAsia="仿宋" w:cs="仿宋"/>
          <w:snapToGrid w:val="0"/>
          <w:highlight w:val="none"/>
        </w:rPr>
        <w:t xml:space="preserve">2. 当采购项目涉及政务信息系统时，采购需求应当符合《政务信息系统政府采购管理暂行办法》（财库〔2017〕210 号）的相关要求。 </w:t>
      </w:r>
    </w:p>
    <w:p w14:paraId="0B41540C">
      <w:pPr>
        <w:pStyle w:val="3"/>
        <w:pageBreakBefore w:val="0"/>
        <w:kinsoku/>
        <w:overflowPunct/>
        <w:topLinePunct w:val="0"/>
        <w:autoSpaceDE/>
        <w:autoSpaceDN/>
        <w:bidi w:val="0"/>
        <w:adjustRightInd/>
        <w:spacing w:before="0" w:after="0" w:line="400" w:lineRule="exact"/>
        <w:rPr>
          <w:rFonts w:hint="eastAsia" w:ascii="仿宋" w:hAnsi="仿宋" w:eastAsia="仿宋" w:cs="仿宋"/>
          <w:highlight w:val="none"/>
        </w:rPr>
      </w:pPr>
      <w:bookmarkStart w:id="280" w:name="_Toc1834"/>
      <w:r>
        <w:rPr>
          <w:rFonts w:hint="eastAsia" w:ascii="仿宋" w:hAnsi="仿宋" w:eastAsia="仿宋" w:cs="仿宋"/>
          <w:highlight w:val="none"/>
        </w:rPr>
        <w:t>一、采购标的</w:t>
      </w:r>
      <w:bookmarkEnd w:id="280"/>
      <w:r>
        <w:rPr>
          <w:rFonts w:hint="eastAsia" w:ascii="仿宋" w:hAnsi="仿宋" w:eastAsia="仿宋" w:cs="仿宋"/>
          <w:highlight w:val="none"/>
        </w:rPr>
        <w:t xml:space="preserve"> </w:t>
      </w:r>
    </w:p>
    <w:p w14:paraId="3C97F7A5">
      <w:pPr>
        <w:pStyle w:val="41"/>
        <w:pageBreakBefore w:val="0"/>
        <w:kinsoku/>
        <w:overflowPunct/>
        <w:topLinePunct w:val="0"/>
        <w:autoSpaceDE/>
        <w:autoSpaceDN/>
        <w:bidi w:val="0"/>
        <w:adjustRightInd/>
        <w:spacing w:line="400" w:lineRule="exact"/>
        <w:rPr>
          <w:rFonts w:hint="eastAsia" w:ascii="仿宋" w:hAnsi="仿宋" w:eastAsia="仿宋" w:cs="仿宋"/>
          <w:snapToGrid w:val="0"/>
          <w:highlight w:val="none"/>
        </w:rPr>
      </w:pPr>
      <w:r>
        <w:rPr>
          <w:rFonts w:hint="eastAsia" w:ascii="仿宋" w:hAnsi="仿宋" w:eastAsia="仿宋" w:cs="仿宋"/>
          <w:snapToGrid w:val="0"/>
          <w:highlight w:val="none"/>
        </w:rPr>
        <w:t xml:space="preserve">1. 采购标的（货物需求一览表或简要服务内容及数量） </w:t>
      </w:r>
    </w:p>
    <w:tbl>
      <w:tblPr>
        <w:tblStyle w:val="33"/>
        <w:tblW w:w="9597" w:type="dxa"/>
        <w:jc w:val="center"/>
        <w:tblLayout w:type="fixed"/>
        <w:tblCellMar>
          <w:top w:w="0" w:type="dxa"/>
          <w:left w:w="108" w:type="dxa"/>
          <w:bottom w:w="0" w:type="dxa"/>
          <w:right w:w="108" w:type="dxa"/>
        </w:tblCellMar>
      </w:tblPr>
      <w:tblGrid>
        <w:gridCol w:w="1441"/>
        <w:gridCol w:w="2374"/>
        <w:gridCol w:w="787"/>
        <w:gridCol w:w="713"/>
        <w:gridCol w:w="1331"/>
        <w:gridCol w:w="1594"/>
        <w:gridCol w:w="1357"/>
      </w:tblGrid>
      <w:tr w14:paraId="6FB14F45">
        <w:trPr>
          <w:trHeight w:val="626" w:hRule="atLeast"/>
          <w:jc w:val="center"/>
        </w:trPr>
        <w:tc>
          <w:tcPr>
            <w:tcW w:w="1441" w:type="dxa"/>
            <w:tcBorders>
              <w:top w:val="single" w:color="000000" w:sz="4" w:space="0"/>
              <w:left w:val="single" w:color="000000" w:sz="4" w:space="0"/>
              <w:bottom w:val="single" w:color="000000" w:sz="4" w:space="0"/>
              <w:right w:val="single" w:color="000000" w:sz="4" w:space="0"/>
            </w:tcBorders>
            <w:vAlign w:val="center"/>
          </w:tcPr>
          <w:p w14:paraId="28747309">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highlight w:val="none"/>
                <w:lang w:bidi="ar"/>
              </w:rPr>
              <w:t>货物总名称</w:t>
            </w:r>
          </w:p>
        </w:tc>
        <w:tc>
          <w:tcPr>
            <w:tcW w:w="2374" w:type="dxa"/>
            <w:tcBorders>
              <w:top w:val="single" w:color="000000" w:sz="4" w:space="0"/>
              <w:left w:val="single" w:color="000000" w:sz="4" w:space="0"/>
              <w:bottom w:val="single" w:color="000000" w:sz="4" w:space="0"/>
              <w:right w:val="single" w:color="000000" w:sz="4" w:space="0"/>
            </w:tcBorders>
            <w:vAlign w:val="center"/>
          </w:tcPr>
          <w:p w14:paraId="19D10670">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highlight w:val="none"/>
                <w:lang w:bidi="ar"/>
              </w:rPr>
              <w:t>分项货物名称</w:t>
            </w:r>
          </w:p>
        </w:tc>
        <w:tc>
          <w:tcPr>
            <w:tcW w:w="787" w:type="dxa"/>
            <w:tcBorders>
              <w:top w:val="single" w:color="000000" w:sz="4" w:space="0"/>
              <w:left w:val="single" w:color="000000" w:sz="4" w:space="0"/>
              <w:bottom w:val="single" w:color="000000" w:sz="4" w:space="0"/>
              <w:right w:val="single" w:color="000000" w:sz="4" w:space="0"/>
            </w:tcBorders>
            <w:vAlign w:val="center"/>
          </w:tcPr>
          <w:p w14:paraId="3678BF23">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highlight w:val="none"/>
                <w:lang w:bidi="ar"/>
              </w:rPr>
              <w:t>单位</w:t>
            </w:r>
          </w:p>
        </w:tc>
        <w:tc>
          <w:tcPr>
            <w:tcW w:w="713" w:type="dxa"/>
            <w:tcBorders>
              <w:top w:val="single" w:color="000000" w:sz="4" w:space="0"/>
              <w:left w:val="single" w:color="000000" w:sz="4" w:space="0"/>
              <w:bottom w:val="single" w:color="000000" w:sz="4" w:space="0"/>
              <w:right w:val="single" w:color="000000" w:sz="4" w:space="0"/>
            </w:tcBorders>
            <w:vAlign w:val="center"/>
          </w:tcPr>
          <w:p w14:paraId="064060B3">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highlight w:val="none"/>
                <w:lang w:bidi="ar"/>
              </w:rPr>
              <w:t>数量</w:t>
            </w:r>
          </w:p>
        </w:tc>
        <w:tc>
          <w:tcPr>
            <w:tcW w:w="1331" w:type="dxa"/>
            <w:tcBorders>
              <w:top w:val="single" w:color="000000" w:sz="4" w:space="0"/>
              <w:left w:val="single" w:color="000000" w:sz="4" w:space="0"/>
              <w:bottom w:val="single" w:color="000000" w:sz="4" w:space="0"/>
              <w:right w:val="single" w:color="000000" w:sz="4" w:space="0"/>
            </w:tcBorders>
            <w:vAlign w:val="center"/>
          </w:tcPr>
          <w:p w14:paraId="4D4FE907">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highlight w:val="none"/>
                <w:lang w:bidi="ar"/>
              </w:rPr>
              <w:t>限价含税单价（元）</w:t>
            </w:r>
          </w:p>
        </w:tc>
        <w:tc>
          <w:tcPr>
            <w:tcW w:w="1594" w:type="dxa"/>
            <w:tcBorders>
              <w:top w:val="single" w:color="000000" w:sz="4" w:space="0"/>
              <w:left w:val="single" w:color="000000" w:sz="4" w:space="0"/>
              <w:bottom w:val="single" w:color="000000" w:sz="4" w:space="0"/>
              <w:right w:val="single" w:color="000000" w:sz="4" w:space="0"/>
            </w:tcBorders>
            <w:vAlign w:val="center"/>
          </w:tcPr>
          <w:p w14:paraId="13D8CF03">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highlight w:val="none"/>
                <w:lang w:bidi="ar"/>
              </w:rPr>
              <w:t>限价合计（元）</w:t>
            </w:r>
          </w:p>
        </w:tc>
        <w:tc>
          <w:tcPr>
            <w:tcW w:w="1357" w:type="dxa"/>
            <w:tcBorders>
              <w:top w:val="single" w:color="000000" w:sz="4" w:space="0"/>
              <w:left w:val="single" w:color="000000" w:sz="4" w:space="0"/>
              <w:bottom w:val="single" w:color="000000" w:sz="4" w:space="0"/>
              <w:right w:val="single" w:color="000000" w:sz="4" w:space="0"/>
            </w:tcBorders>
            <w:vAlign w:val="center"/>
          </w:tcPr>
          <w:p w14:paraId="7DEA2DEB">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highlight w:val="none"/>
                <w:lang w:bidi="ar"/>
              </w:rPr>
              <w:t>备注(进口/国产)</w:t>
            </w:r>
          </w:p>
        </w:tc>
      </w:tr>
      <w:tr w14:paraId="5D53607D">
        <w:tblPrEx>
          <w:tblCellMar>
            <w:top w:w="0" w:type="dxa"/>
            <w:left w:w="108" w:type="dxa"/>
            <w:bottom w:w="0" w:type="dxa"/>
            <w:right w:w="108" w:type="dxa"/>
          </w:tblCellMar>
        </w:tblPrEx>
        <w:trPr>
          <w:trHeight w:val="850" w:hRule="atLeast"/>
          <w:jc w:val="center"/>
        </w:trPr>
        <w:tc>
          <w:tcPr>
            <w:tcW w:w="1441" w:type="dxa"/>
            <w:vMerge w:val="restart"/>
            <w:tcBorders>
              <w:top w:val="single" w:color="000000" w:sz="4" w:space="0"/>
              <w:left w:val="single" w:color="000000" w:sz="4" w:space="0"/>
              <w:right w:val="single" w:color="000000" w:sz="4" w:space="0"/>
            </w:tcBorders>
            <w:vAlign w:val="center"/>
          </w:tcPr>
          <w:p w14:paraId="2EB3B161">
            <w:pPr>
              <w:pageBreakBefore w:val="0"/>
              <w:kinsoku/>
              <w:overflowPunct/>
              <w:topLinePunct w:val="0"/>
              <w:autoSpaceDE/>
              <w:autoSpaceDN/>
              <w:bidi w:val="0"/>
              <w:adjustRightInd/>
              <w:spacing w:line="400" w:lineRule="exact"/>
              <w:jc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加厚型</w:t>
            </w:r>
          </w:p>
          <w:p w14:paraId="2F2FD69D">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病理标本袋</w:t>
            </w:r>
          </w:p>
        </w:tc>
        <w:tc>
          <w:tcPr>
            <w:tcW w:w="2374" w:type="dxa"/>
            <w:tcBorders>
              <w:top w:val="single" w:color="000000" w:sz="4" w:space="0"/>
              <w:left w:val="single" w:color="000000" w:sz="4" w:space="0"/>
              <w:bottom w:val="single" w:color="000000" w:sz="4" w:space="0"/>
              <w:right w:val="single" w:color="000000" w:sz="4" w:space="0"/>
            </w:tcBorders>
            <w:vAlign w:val="center"/>
          </w:tcPr>
          <w:p w14:paraId="1D7DB602">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加厚型病理标本袋（特大）</w:t>
            </w:r>
          </w:p>
        </w:tc>
        <w:tc>
          <w:tcPr>
            <w:tcW w:w="787" w:type="dxa"/>
            <w:tcBorders>
              <w:top w:val="single" w:color="000000" w:sz="4" w:space="0"/>
              <w:left w:val="single" w:color="000000" w:sz="4" w:space="0"/>
              <w:bottom w:val="single" w:color="000000" w:sz="4" w:space="0"/>
              <w:right w:val="single" w:color="000000" w:sz="4" w:space="0"/>
            </w:tcBorders>
            <w:vAlign w:val="center"/>
          </w:tcPr>
          <w:p w14:paraId="75D20259">
            <w:pPr>
              <w:pageBreakBefore w:val="0"/>
              <w:kinsoku/>
              <w:overflowPunct/>
              <w:topLinePunct w:val="0"/>
              <w:autoSpaceDE/>
              <w:autoSpaceDN/>
              <w:bidi w:val="0"/>
              <w:adjustRightInd/>
              <w:spacing w:line="400"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vAlign w:val="center"/>
          </w:tcPr>
          <w:p w14:paraId="354E054D">
            <w:pPr>
              <w:pageBreakBefore w:val="0"/>
              <w:kinsoku/>
              <w:overflowPunct/>
              <w:topLinePunct w:val="0"/>
              <w:autoSpaceDE/>
              <w:autoSpaceDN/>
              <w:bidi w:val="0"/>
              <w:adjustRightInd/>
              <w:spacing w:line="400"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7DD9881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3.30</w:t>
            </w:r>
          </w:p>
        </w:tc>
        <w:tc>
          <w:tcPr>
            <w:tcW w:w="1594" w:type="dxa"/>
            <w:tcBorders>
              <w:top w:val="single" w:color="000000" w:sz="4" w:space="0"/>
              <w:left w:val="single" w:color="000000" w:sz="4" w:space="0"/>
              <w:bottom w:val="single" w:color="000000" w:sz="4" w:space="0"/>
              <w:right w:val="single" w:color="000000" w:sz="4" w:space="0"/>
            </w:tcBorders>
            <w:vAlign w:val="center"/>
          </w:tcPr>
          <w:p w14:paraId="06343D3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3.30</w:t>
            </w:r>
          </w:p>
        </w:tc>
        <w:tc>
          <w:tcPr>
            <w:tcW w:w="1357" w:type="dxa"/>
            <w:vMerge w:val="restart"/>
            <w:tcBorders>
              <w:top w:val="single" w:color="000000" w:sz="4" w:space="0"/>
              <w:left w:val="single" w:color="000000" w:sz="4" w:space="0"/>
              <w:right w:val="single" w:color="000000" w:sz="4" w:space="0"/>
            </w:tcBorders>
            <w:vAlign w:val="center"/>
          </w:tcPr>
          <w:p w14:paraId="0C0E23CB">
            <w:pPr>
              <w:pageBreakBefore w:val="0"/>
              <w:kinsoku/>
              <w:overflowPunct/>
              <w:topLinePunct w:val="0"/>
              <w:autoSpaceDE/>
              <w:autoSpaceDN/>
              <w:bidi w:val="0"/>
              <w:adjustRightInd/>
              <w:spacing w:line="400"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国产</w:t>
            </w:r>
          </w:p>
        </w:tc>
      </w:tr>
      <w:tr w14:paraId="2D16BAE2">
        <w:tblPrEx>
          <w:tblCellMar>
            <w:top w:w="0" w:type="dxa"/>
            <w:left w:w="108" w:type="dxa"/>
            <w:bottom w:w="0" w:type="dxa"/>
            <w:right w:w="108" w:type="dxa"/>
          </w:tblCellMar>
        </w:tblPrEx>
        <w:trPr>
          <w:trHeight w:val="850" w:hRule="atLeast"/>
          <w:jc w:val="center"/>
        </w:trPr>
        <w:tc>
          <w:tcPr>
            <w:tcW w:w="1441" w:type="dxa"/>
            <w:vMerge w:val="continue"/>
            <w:tcBorders>
              <w:left w:val="single" w:color="000000" w:sz="4" w:space="0"/>
              <w:right w:val="single" w:color="000000" w:sz="4" w:space="0"/>
            </w:tcBorders>
            <w:vAlign w:val="center"/>
          </w:tcPr>
          <w:p w14:paraId="4478DFFF">
            <w:pPr>
              <w:pageBreakBefore w:val="0"/>
              <w:kinsoku/>
              <w:overflowPunct/>
              <w:topLinePunct w:val="0"/>
              <w:autoSpaceDE/>
              <w:autoSpaceDN/>
              <w:bidi w:val="0"/>
              <w:adjustRightInd/>
              <w:spacing w:line="400" w:lineRule="exact"/>
              <w:jc w:val="center"/>
              <w:rPr>
                <w:rFonts w:hint="eastAsia" w:ascii="仿宋" w:hAnsi="仿宋" w:eastAsia="仿宋" w:cs="仿宋"/>
                <w:b w:val="0"/>
                <w:bCs w:val="0"/>
                <w:i w:val="0"/>
                <w:iCs w:val="0"/>
                <w:color w:val="auto"/>
                <w:kern w:val="0"/>
                <w:sz w:val="24"/>
                <w:szCs w:val="24"/>
                <w:highlight w:val="none"/>
                <w:u w:val="none"/>
                <w:lang w:val="en-US" w:eastAsia="zh-CN" w:bidi="ar"/>
              </w:rPr>
            </w:pPr>
          </w:p>
        </w:tc>
        <w:tc>
          <w:tcPr>
            <w:tcW w:w="2374" w:type="dxa"/>
            <w:tcBorders>
              <w:top w:val="single" w:color="000000" w:sz="4" w:space="0"/>
              <w:left w:val="single" w:color="000000" w:sz="4" w:space="0"/>
              <w:bottom w:val="single" w:color="000000" w:sz="4" w:space="0"/>
              <w:right w:val="single" w:color="000000" w:sz="4" w:space="0"/>
            </w:tcBorders>
            <w:vAlign w:val="center"/>
          </w:tcPr>
          <w:p w14:paraId="24EB7AAE">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加厚型病理标本袋（加大）</w:t>
            </w:r>
          </w:p>
        </w:tc>
        <w:tc>
          <w:tcPr>
            <w:tcW w:w="787" w:type="dxa"/>
            <w:tcBorders>
              <w:top w:val="single" w:color="000000" w:sz="4" w:space="0"/>
              <w:left w:val="single" w:color="000000" w:sz="4" w:space="0"/>
              <w:bottom w:val="single" w:color="000000" w:sz="4" w:space="0"/>
              <w:right w:val="single" w:color="000000" w:sz="4" w:space="0"/>
            </w:tcBorders>
            <w:vAlign w:val="center"/>
          </w:tcPr>
          <w:p w14:paraId="3B531E4F">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vAlign w:val="center"/>
          </w:tcPr>
          <w:p w14:paraId="29B38594">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4B14FCB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2.00</w:t>
            </w:r>
          </w:p>
        </w:tc>
        <w:tc>
          <w:tcPr>
            <w:tcW w:w="1594" w:type="dxa"/>
            <w:tcBorders>
              <w:top w:val="single" w:color="000000" w:sz="4" w:space="0"/>
              <w:left w:val="single" w:color="000000" w:sz="4" w:space="0"/>
              <w:bottom w:val="single" w:color="000000" w:sz="4" w:space="0"/>
              <w:right w:val="single" w:color="000000" w:sz="4" w:space="0"/>
            </w:tcBorders>
            <w:vAlign w:val="center"/>
          </w:tcPr>
          <w:p w14:paraId="459122F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2.00</w:t>
            </w:r>
          </w:p>
        </w:tc>
        <w:tc>
          <w:tcPr>
            <w:tcW w:w="1357" w:type="dxa"/>
            <w:vMerge w:val="continue"/>
            <w:tcBorders>
              <w:left w:val="single" w:color="000000" w:sz="4" w:space="0"/>
              <w:right w:val="single" w:color="000000" w:sz="4" w:space="0"/>
            </w:tcBorders>
            <w:vAlign w:val="center"/>
          </w:tcPr>
          <w:p w14:paraId="403BEE91">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p>
        </w:tc>
      </w:tr>
      <w:tr w14:paraId="2DAA54A5">
        <w:tblPrEx>
          <w:tblCellMar>
            <w:top w:w="0" w:type="dxa"/>
            <w:left w:w="108" w:type="dxa"/>
            <w:bottom w:w="0" w:type="dxa"/>
            <w:right w:w="108" w:type="dxa"/>
          </w:tblCellMar>
        </w:tblPrEx>
        <w:trPr>
          <w:trHeight w:val="850" w:hRule="atLeast"/>
          <w:jc w:val="center"/>
        </w:trPr>
        <w:tc>
          <w:tcPr>
            <w:tcW w:w="1441" w:type="dxa"/>
            <w:vMerge w:val="continue"/>
            <w:tcBorders>
              <w:left w:val="single" w:color="000000" w:sz="4" w:space="0"/>
              <w:right w:val="single" w:color="000000" w:sz="4" w:space="0"/>
            </w:tcBorders>
            <w:vAlign w:val="center"/>
          </w:tcPr>
          <w:p w14:paraId="307FF85E">
            <w:pPr>
              <w:pageBreakBefore w:val="0"/>
              <w:kinsoku/>
              <w:overflowPunct/>
              <w:topLinePunct w:val="0"/>
              <w:autoSpaceDE/>
              <w:autoSpaceDN/>
              <w:bidi w:val="0"/>
              <w:adjustRightInd/>
              <w:spacing w:line="400" w:lineRule="exact"/>
              <w:jc w:val="center"/>
              <w:rPr>
                <w:rFonts w:hint="eastAsia" w:ascii="仿宋" w:hAnsi="仿宋" w:eastAsia="仿宋" w:cs="仿宋"/>
                <w:b w:val="0"/>
                <w:bCs w:val="0"/>
                <w:i w:val="0"/>
                <w:iCs w:val="0"/>
                <w:color w:val="auto"/>
                <w:kern w:val="0"/>
                <w:sz w:val="24"/>
                <w:szCs w:val="24"/>
                <w:highlight w:val="none"/>
                <w:u w:val="none"/>
                <w:lang w:val="en-US" w:eastAsia="zh-CN" w:bidi="ar"/>
              </w:rPr>
            </w:pPr>
          </w:p>
        </w:tc>
        <w:tc>
          <w:tcPr>
            <w:tcW w:w="2374" w:type="dxa"/>
            <w:tcBorders>
              <w:top w:val="single" w:color="000000" w:sz="4" w:space="0"/>
              <w:left w:val="single" w:color="000000" w:sz="4" w:space="0"/>
              <w:bottom w:val="single" w:color="000000" w:sz="4" w:space="0"/>
              <w:right w:val="single" w:color="000000" w:sz="4" w:space="0"/>
            </w:tcBorders>
            <w:vAlign w:val="center"/>
          </w:tcPr>
          <w:p w14:paraId="7F103BF9">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加厚型病理标本袋（大）</w:t>
            </w:r>
          </w:p>
        </w:tc>
        <w:tc>
          <w:tcPr>
            <w:tcW w:w="787" w:type="dxa"/>
            <w:tcBorders>
              <w:top w:val="single" w:color="000000" w:sz="4" w:space="0"/>
              <w:left w:val="single" w:color="000000" w:sz="4" w:space="0"/>
              <w:bottom w:val="single" w:color="000000" w:sz="4" w:space="0"/>
              <w:right w:val="single" w:color="000000" w:sz="4" w:space="0"/>
            </w:tcBorders>
            <w:vAlign w:val="center"/>
          </w:tcPr>
          <w:p w14:paraId="552121B6">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vAlign w:val="center"/>
          </w:tcPr>
          <w:p w14:paraId="68DF0D65">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6B1AD91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1.65</w:t>
            </w:r>
          </w:p>
        </w:tc>
        <w:tc>
          <w:tcPr>
            <w:tcW w:w="1594" w:type="dxa"/>
            <w:tcBorders>
              <w:top w:val="single" w:color="000000" w:sz="4" w:space="0"/>
              <w:left w:val="single" w:color="000000" w:sz="4" w:space="0"/>
              <w:bottom w:val="single" w:color="000000" w:sz="4" w:space="0"/>
              <w:right w:val="single" w:color="000000" w:sz="4" w:space="0"/>
            </w:tcBorders>
            <w:vAlign w:val="center"/>
          </w:tcPr>
          <w:p w14:paraId="3873BA0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1.65</w:t>
            </w:r>
          </w:p>
        </w:tc>
        <w:tc>
          <w:tcPr>
            <w:tcW w:w="1357" w:type="dxa"/>
            <w:vMerge w:val="continue"/>
            <w:tcBorders>
              <w:left w:val="single" w:color="000000" w:sz="4" w:space="0"/>
              <w:right w:val="single" w:color="000000" w:sz="4" w:space="0"/>
            </w:tcBorders>
            <w:vAlign w:val="center"/>
          </w:tcPr>
          <w:p w14:paraId="34BD2738">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p>
        </w:tc>
      </w:tr>
      <w:tr w14:paraId="4179FFF8">
        <w:tblPrEx>
          <w:tblCellMar>
            <w:top w:w="0" w:type="dxa"/>
            <w:left w:w="108" w:type="dxa"/>
            <w:bottom w:w="0" w:type="dxa"/>
            <w:right w:w="108" w:type="dxa"/>
          </w:tblCellMar>
        </w:tblPrEx>
        <w:trPr>
          <w:trHeight w:val="850" w:hRule="atLeast"/>
          <w:jc w:val="center"/>
        </w:trPr>
        <w:tc>
          <w:tcPr>
            <w:tcW w:w="1441" w:type="dxa"/>
            <w:vMerge w:val="continue"/>
            <w:tcBorders>
              <w:left w:val="single" w:color="000000" w:sz="4" w:space="0"/>
              <w:right w:val="single" w:color="000000" w:sz="4" w:space="0"/>
            </w:tcBorders>
            <w:vAlign w:val="center"/>
          </w:tcPr>
          <w:p w14:paraId="48C622E2">
            <w:pPr>
              <w:pageBreakBefore w:val="0"/>
              <w:kinsoku/>
              <w:overflowPunct/>
              <w:topLinePunct w:val="0"/>
              <w:autoSpaceDE/>
              <w:autoSpaceDN/>
              <w:bidi w:val="0"/>
              <w:adjustRightInd/>
              <w:spacing w:line="400" w:lineRule="exact"/>
              <w:jc w:val="center"/>
              <w:rPr>
                <w:rFonts w:hint="eastAsia" w:ascii="仿宋" w:hAnsi="仿宋" w:eastAsia="仿宋" w:cs="仿宋"/>
                <w:b w:val="0"/>
                <w:bCs w:val="0"/>
                <w:i w:val="0"/>
                <w:iCs w:val="0"/>
                <w:color w:val="auto"/>
                <w:kern w:val="0"/>
                <w:sz w:val="24"/>
                <w:szCs w:val="24"/>
                <w:highlight w:val="none"/>
                <w:u w:val="none"/>
                <w:lang w:val="en-US" w:eastAsia="zh-CN" w:bidi="ar"/>
              </w:rPr>
            </w:pPr>
          </w:p>
        </w:tc>
        <w:tc>
          <w:tcPr>
            <w:tcW w:w="2374" w:type="dxa"/>
            <w:tcBorders>
              <w:top w:val="single" w:color="000000" w:sz="4" w:space="0"/>
              <w:left w:val="single" w:color="000000" w:sz="4" w:space="0"/>
              <w:bottom w:val="single" w:color="000000" w:sz="4" w:space="0"/>
              <w:right w:val="single" w:color="000000" w:sz="4" w:space="0"/>
            </w:tcBorders>
            <w:vAlign w:val="center"/>
          </w:tcPr>
          <w:p w14:paraId="228680D1">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加厚型病理标本袋（中）</w:t>
            </w:r>
          </w:p>
        </w:tc>
        <w:tc>
          <w:tcPr>
            <w:tcW w:w="787" w:type="dxa"/>
            <w:tcBorders>
              <w:top w:val="single" w:color="000000" w:sz="4" w:space="0"/>
              <w:left w:val="single" w:color="000000" w:sz="4" w:space="0"/>
              <w:bottom w:val="single" w:color="000000" w:sz="4" w:space="0"/>
              <w:right w:val="single" w:color="000000" w:sz="4" w:space="0"/>
            </w:tcBorders>
            <w:vAlign w:val="center"/>
          </w:tcPr>
          <w:p w14:paraId="4B13F6E1">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vAlign w:val="center"/>
          </w:tcPr>
          <w:p w14:paraId="4B1394B5">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3EAB90B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1.20</w:t>
            </w:r>
          </w:p>
        </w:tc>
        <w:tc>
          <w:tcPr>
            <w:tcW w:w="1594" w:type="dxa"/>
            <w:tcBorders>
              <w:top w:val="single" w:color="000000" w:sz="4" w:space="0"/>
              <w:left w:val="single" w:color="000000" w:sz="4" w:space="0"/>
              <w:bottom w:val="single" w:color="000000" w:sz="4" w:space="0"/>
              <w:right w:val="single" w:color="000000" w:sz="4" w:space="0"/>
            </w:tcBorders>
            <w:vAlign w:val="center"/>
          </w:tcPr>
          <w:p w14:paraId="2F5D641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1.20</w:t>
            </w:r>
          </w:p>
        </w:tc>
        <w:tc>
          <w:tcPr>
            <w:tcW w:w="1357" w:type="dxa"/>
            <w:vMerge w:val="continue"/>
            <w:tcBorders>
              <w:left w:val="single" w:color="000000" w:sz="4" w:space="0"/>
              <w:right w:val="single" w:color="000000" w:sz="4" w:space="0"/>
            </w:tcBorders>
            <w:vAlign w:val="center"/>
          </w:tcPr>
          <w:p w14:paraId="151949D6">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p>
        </w:tc>
      </w:tr>
      <w:tr w14:paraId="2200CEB8">
        <w:tblPrEx>
          <w:tblCellMar>
            <w:top w:w="0" w:type="dxa"/>
            <w:left w:w="108" w:type="dxa"/>
            <w:bottom w:w="0" w:type="dxa"/>
            <w:right w:w="108" w:type="dxa"/>
          </w:tblCellMar>
        </w:tblPrEx>
        <w:trPr>
          <w:trHeight w:val="850" w:hRule="atLeast"/>
          <w:jc w:val="center"/>
        </w:trPr>
        <w:tc>
          <w:tcPr>
            <w:tcW w:w="1441" w:type="dxa"/>
            <w:vMerge w:val="continue"/>
            <w:tcBorders>
              <w:left w:val="single" w:color="000000" w:sz="4" w:space="0"/>
              <w:right w:val="single" w:color="000000" w:sz="4" w:space="0"/>
            </w:tcBorders>
            <w:vAlign w:val="center"/>
          </w:tcPr>
          <w:p w14:paraId="197EFF55">
            <w:pPr>
              <w:pageBreakBefore w:val="0"/>
              <w:kinsoku/>
              <w:overflowPunct/>
              <w:topLinePunct w:val="0"/>
              <w:autoSpaceDE/>
              <w:autoSpaceDN/>
              <w:bidi w:val="0"/>
              <w:adjustRightInd/>
              <w:spacing w:line="400" w:lineRule="exact"/>
              <w:jc w:val="center"/>
              <w:rPr>
                <w:rFonts w:hint="eastAsia" w:ascii="仿宋" w:hAnsi="仿宋" w:eastAsia="仿宋" w:cs="仿宋"/>
                <w:b w:val="0"/>
                <w:bCs w:val="0"/>
                <w:i w:val="0"/>
                <w:iCs w:val="0"/>
                <w:color w:val="auto"/>
                <w:kern w:val="0"/>
                <w:sz w:val="24"/>
                <w:szCs w:val="24"/>
                <w:highlight w:val="none"/>
                <w:u w:val="none"/>
                <w:lang w:val="en-US" w:eastAsia="zh-CN" w:bidi="ar"/>
              </w:rPr>
            </w:pPr>
          </w:p>
        </w:tc>
        <w:tc>
          <w:tcPr>
            <w:tcW w:w="2374" w:type="dxa"/>
            <w:tcBorders>
              <w:top w:val="single" w:color="000000" w:sz="4" w:space="0"/>
              <w:left w:val="single" w:color="000000" w:sz="4" w:space="0"/>
              <w:bottom w:val="single" w:color="000000" w:sz="4" w:space="0"/>
              <w:right w:val="single" w:color="000000" w:sz="4" w:space="0"/>
            </w:tcBorders>
            <w:vAlign w:val="center"/>
          </w:tcPr>
          <w:p w14:paraId="48451869">
            <w:pPr>
              <w:pageBreakBefore w:val="0"/>
              <w:kinsoku/>
              <w:overflowPunct/>
              <w:topLinePunct w:val="0"/>
              <w:autoSpaceDE/>
              <w:autoSpaceDN/>
              <w:bidi w:val="0"/>
              <w:adjustRightInd/>
              <w:spacing w:line="400" w:lineRule="exact"/>
              <w:jc w:val="center"/>
              <w:rPr>
                <w:rFonts w:hint="eastAsia" w:ascii="仿宋" w:hAnsi="仿宋" w:eastAsia="仿宋" w:cs="仿宋"/>
                <w:highlight w:val="none"/>
              </w:rPr>
            </w:pPr>
            <w:r>
              <w:rPr>
                <w:rFonts w:hint="eastAsia" w:ascii="仿宋" w:hAnsi="仿宋" w:eastAsia="仿宋" w:cs="仿宋"/>
                <w:b w:val="0"/>
                <w:bCs w:val="0"/>
                <w:i w:val="0"/>
                <w:iCs w:val="0"/>
                <w:color w:val="auto"/>
                <w:kern w:val="0"/>
                <w:sz w:val="24"/>
                <w:szCs w:val="24"/>
                <w:highlight w:val="none"/>
                <w:u w:val="none"/>
                <w:lang w:val="en-US" w:eastAsia="zh-CN" w:bidi="ar"/>
              </w:rPr>
              <w:t>加厚型病理标本袋（小）</w:t>
            </w:r>
          </w:p>
        </w:tc>
        <w:tc>
          <w:tcPr>
            <w:tcW w:w="787" w:type="dxa"/>
            <w:tcBorders>
              <w:top w:val="single" w:color="000000" w:sz="4" w:space="0"/>
              <w:left w:val="single" w:color="000000" w:sz="4" w:space="0"/>
              <w:bottom w:val="single" w:color="000000" w:sz="4" w:space="0"/>
              <w:right w:val="single" w:color="000000" w:sz="4" w:space="0"/>
            </w:tcBorders>
            <w:vAlign w:val="center"/>
          </w:tcPr>
          <w:p w14:paraId="3CF5C48D">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vAlign w:val="center"/>
          </w:tcPr>
          <w:p w14:paraId="270B8BA9">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51C3CEA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1.15</w:t>
            </w:r>
          </w:p>
        </w:tc>
        <w:tc>
          <w:tcPr>
            <w:tcW w:w="1594" w:type="dxa"/>
            <w:tcBorders>
              <w:top w:val="single" w:color="000000" w:sz="4" w:space="0"/>
              <w:left w:val="single" w:color="000000" w:sz="4" w:space="0"/>
              <w:bottom w:val="single" w:color="000000" w:sz="4" w:space="0"/>
              <w:right w:val="single" w:color="000000" w:sz="4" w:space="0"/>
            </w:tcBorders>
            <w:vAlign w:val="center"/>
          </w:tcPr>
          <w:p w14:paraId="26258E9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highlight w:val="none"/>
                <w:lang w:val="en-US" w:eastAsia="zh-CN"/>
              </w:rPr>
            </w:pPr>
            <w:r>
              <w:rPr>
                <w:rFonts w:hint="eastAsia" w:ascii="仿宋" w:hAnsi="仿宋" w:eastAsia="仿宋" w:cs="仿宋"/>
                <w:b w:val="0"/>
                <w:bCs w:val="0"/>
                <w:i w:val="0"/>
                <w:iCs w:val="0"/>
                <w:color w:val="auto"/>
                <w:kern w:val="0"/>
                <w:sz w:val="24"/>
                <w:szCs w:val="24"/>
                <w:highlight w:val="none"/>
                <w:u w:val="none"/>
                <w:lang w:val="en-US" w:eastAsia="zh-CN" w:bidi="ar"/>
              </w:rPr>
              <w:t>1.15</w:t>
            </w:r>
          </w:p>
        </w:tc>
        <w:tc>
          <w:tcPr>
            <w:tcW w:w="1357" w:type="dxa"/>
            <w:vMerge w:val="continue"/>
            <w:tcBorders>
              <w:left w:val="single" w:color="000000" w:sz="4" w:space="0"/>
              <w:right w:val="single" w:color="000000" w:sz="4" w:space="0"/>
            </w:tcBorders>
            <w:vAlign w:val="center"/>
          </w:tcPr>
          <w:p w14:paraId="7C268875">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p>
        </w:tc>
      </w:tr>
      <w:tr w14:paraId="2E3294FE">
        <w:trPr>
          <w:trHeight w:val="850" w:hRule="atLeast"/>
          <w:jc w:val="center"/>
        </w:trPr>
        <w:tc>
          <w:tcPr>
            <w:tcW w:w="1441" w:type="dxa"/>
            <w:tcBorders>
              <w:left w:val="single" w:color="000000" w:sz="4" w:space="0"/>
              <w:bottom w:val="single" w:color="auto" w:sz="4" w:space="0"/>
              <w:right w:val="single" w:color="000000" w:sz="4" w:space="0"/>
            </w:tcBorders>
            <w:vAlign w:val="center"/>
          </w:tcPr>
          <w:p w14:paraId="66A2D5F2">
            <w:pPr>
              <w:pageBreakBefore w:val="0"/>
              <w:kinsoku/>
              <w:overflowPunct/>
              <w:topLinePunct w:val="0"/>
              <w:autoSpaceDE/>
              <w:autoSpaceDN/>
              <w:bidi w:val="0"/>
              <w:adjustRightInd/>
              <w:spacing w:line="400" w:lineRule="exact"/>
              <w:jc w:val="center"/>
              <w:rPr>
                <w:rFonts w:hint="eastAsia" w:ascii="仿宋" w:hAnsi="仿宋" w:eastAsia="仿宋" w:cs="仿宋"/>
                <w:b w:val="0"/>
                <w:bCs w:val="0"/>
                <w:i w:val="0"/>
                <w:iCs w:val="0"/>
                <w:color w:val="auto"/>
                <w:kern w:val="0"/>
                <w:sz w:val="24"/>
                <w:szCs w:val="24"/>
                <w:highlight w:val="none"/>
                <w:u w:val="none"/>
                <w:lang w:val="en-US" w:eastAsia="zh-CN" w:bidi="ar"/>
              </w:rPr>
            </w:pPr>
          </w:p>
        </w:tc>
        <w:tc>
          <w:tcPr>
            <w:tcW w:w="3874" w:type="dxa"/>
            <w:gridSpan w:val="3"/>
            <w:tcBorders>
              <w:top w:val="single" w:color="000000" w:sz="4" w:space="0"/>
              <w:left w:val="single" w:color="000000" w:sz="4" w:space="0"/>
              <w:bottom w:val="single" w:color="auto" w:sz="4" w:space="0"/>
              <w:right w:val="single" w:color="000000" w:sz="4" w:space="0"/>
            </w:tcBorders>
            <w:vAlign w:val="center"/>
          </w:tcPr>
          <w:p w14:paraId="206FF37F">
            <w:pPr>
              <w:pageBreakBefore w:val="0"/>
              <w:kinsoku/>
              <w:overflowPunct/>
              <w:topLinePunct w:val="0"/>
              <w:autoSpaceDE/>
              <w:autoSpaceDN/>
              <w:bidi w:val="0"/>
              <w:adjustRightInd/>
              <w:spacing w:line="400" w:lineRule="exact"/>
              <w:jc w:val="center"/>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合计：</w:t>
            </w:r>
          </w:p>
        </w:tc>
        <w:tc>
          <w:tcPr>
            <w:tcW w:w="1331" w:type="dxa"/>
            <w:tcBorders>
              <w:top w:val="single" w:color="000000" w:sz="4" w:space="0"/>
              <w:left w:val="single" w:color="000000" w:sz="4" w:space="0"/>
              <w:bottom w:val="single" w:color="000000" w:sz="4" w:space="0"/>
              <w:right w:val="single" w:color="000000" w:sz="4" w:space="0"/>
            </w:tcBorders>
            <w:vAlign w:val="center"/>
          </w:tcPr>
          <w:p w14:paraId="3E2870B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fldChar w:fldCharType="begin"/>
            </w:r>
            <w:r>
              <w:rPr>
                <w:rFonts w:hint="eastAsia" w:ascii="仿宋" w:hAnsi="仿宋" w:eastAsia="仿宋" w:cs="仿宋"/>
                <w:b/>
                <w:bCs/>
                <w:i w:val="0"/>
                <w:iCs w:val="0"/>
                <w:color w:val="auto"/>
                <w:kern w:val="0"/>
                <w:sz w:val="24"/>
                <w:szCs w:val="24"/>
                <w:highlight w:val="none"/>
                <w:u w:val="none"/>
                <w:lang w:val="en-US" w:eastAsia="zh-CN" w:bidi="ar"/>
              </w:rPr>
              <w:instrText xml:space="preserve"> = sum(E2:E6) \* MERGEFORMAT </w:instrText>
            </w:r>
            <w:r>
              <w:rPr>
                <w:rFonts w:hint="eastAsia" w:ascii="仿宋" w:hAnsi="仿宋" w:eastAsia="仿宋" w:cs="仿宋"/>
                <w:b/>
                <w:bCs/>
                <w:i w:val="0"/>
                <w:iCs w:val="0"/>
                <w:color w:val="auto"/>
                <w:kern w:val="0"/>
                <w:sz w:val="24"/>
                <w:szCs w:val="24"/>
                <w:highlight w:val="none"/>
                <w:u w:val="none"/>
                <w:lang w:val="en-US" w:eastAsia="zh-CN" w:bidi="ar"/>
              </w:rPr>
              <w:fldChar w:fldCharType="separate"/>
            </w:r>
            <w:r>
              <w:rPr>
                <w:rFonts w:hint="eastAsia" w:ascii="仿宋" w:hAnsi="仿宋" w:eastAsia="仿宋" w:cs="仿宋"/>
                <w:b/>
                <w:bCs/>
                <w:i w:val="0"/>
                <w:iCs w:val="0"/>
                <w:color w:val="auto"/>
                <w:kern w:val="0"/>
                <w:sz w:val="24"/>
                <w:szCs w:val="24"/>
                <w:highlight w:val="none"/>
                <w:u w:val="none"/>
                <w:lang w:val="en-US" w:eastAsia="zh-CN" w:bidi="ar"/>
              </w:rPr>
              <w:t>9.3</w:t>
            </w:r>
            <w:r>
              <w:rPr>
                <w:rFonts w:hint="eastAsia" w:ascii="仿宋" w:hAnsi="仿宋" w:eastAsia="仿宋" w:cs="仿宋"/>
                <w:b/>
                <w:bCs/>
                <w:i w:val="0"/>
                <w:iCs w:val="0"/>
                <w:color w:val="auto"/>
                <w:kern w:val="0"/>
                <w:sz w:val="24"/>
                <w:szCs w:val="24"/>
                <w:highlight w:val="none"/>
                <w:u w:val="none"/>
                <w:lang w:val="en-US" w:eastAsia="zh-CN" w:bidi="ar"/>
              </w:rPr>
              <w:fldChar w:fldCharType="end"/>
            </w:r>
          </w:p>
        </w:tc>
        <w:tc>
          <w:tcPr>
            <w:tcW w:w="1594" w:type="dxa"/>
            <w:tcBorders>
              <w:top w:val="single" w:color="000000" w:sz="4" w:space="0"/>
              <w:left w:val="single" w:color="000000" w:sz="4" w:space="0"/>
              <w:bottom w:val="single" w:color="000000" w:sz="4" w:space="0"/>
              <w:right w:val="single" w:color="000000" w:sz="4" w:space="0"/>
            </w:tcBorders>
            <w:vAlign w:val="center"/>
          </w:tcPr>
          <w:p w14:paraId="7A35EC6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fldChar w:fldCharType="begin"/>
            </w:r>
            <w:r>
              <w:rPr>
                <w:rFonts w:hint="eastAsia" w:ascii="仿宋" w:hAnsi="仿宋" w:eastAsia="仿宋" w:cs="仿宋"/>
                <w:b/>
                <w:bCs/>
                <w:i w:val="0"/>
                <w:iCs w:val="0"/>
                <w:color w:val="auto"/>
                <w:kern w:val="0"/>
                <w:sz w:val="24"/>
                <w:szCs w:val="24"/>
                <w:highlight w:val="none"/>
                <w:u w:val="none"/>
                <w:lang w:val="en-US" w:eastAsia="zh-CN" w:bidi="ar"/>
              </w:rPr>
              <w:instrText xml:space="preserve"> = sum(F2:F6) \* MERGEFORMAT </w:instrText>
            </w:r>
            <w:r>
              <w:rPr>
                <w:rFonts w:hint="eastAsia" w:ascii="仿宋" w:hAnsi="仿宋" w:eastAsia="仿宋" w:cs="仿宋"/>
                <w:b/>
                <w:bCs/>
                <w:i w:val="0"/>
                <w:iCs w:val="0"/>
                <w:color w:val="auto"/>
                <w:kern w:val="0"/>
                <w:sz w:val="24"/>
                <w:szCs w:val="24"/>
                <w:highlight w:val="none"/>
                <w:u w:val="none"/>
                <w:lang w:val="en-US" w:eastAsia="zh-CN" w:bidi="ar"/>
              </w:rPr>
              <w:fldChar w:fldCharType="separate"/>
            </w:r>
            <w:r>
              <w:rPr>
                <w:rFonts w:hint="eastAsia" w:ascii="仿宋" w:hAnsi="仿宋" w:eastAsia="仿宋" w:cs="仿宋"/>
                <w:b/>
                <w:bCs/>
                <w:i w:val="0"/>
                <w:iCs w:val="0"/>
                <w:color w:val="auto"/>
                <w:kern w:val="0"/>
                <w:sz w:val="24"/>
                <w:szCs w:val="24"/>
                <w:highlight w:val="none"/>
                <w:u w:val="none"/>
                <w:lang w:val="en-US" w:eastAsia="zh-CN" w:bidi="ar"/>
              </w:rPr>
              <w:t>9.3</w:t>
            </w:r>
            <w:r>
              <w:rPr>
                <w:rFonts w:hint="eastAsia" w:ascii="仿宋" w:hAnsi="仿宋" w:eastAsia="仿宋" w:cs="仿宋"/>
                <w:b/>
                <w:bCs/>
                <w:i w:val="0"/>
                <w:iCs w:val="0"/>
                <w:color w:val="auto"/>
                <w:kern w:val="0"/>
                <w:sz w:val="24"/>
                <w:szCs w:val="24"/>
                <w:highlight w:val="none"/>
                <w:u w:val="none"/>
                <w:lang w:val="en-US" w:eastAsia="zh-CN" w:bidi="ar"/>
              </w:rPr>
              <w:fldChar w:fldCharType="end"/>
            </w:r>
          </w:p>
        </w:tc>
        <w:tc>
          <w:tcPr>
            <w:tcW w:w="1357" w:type="dxa"/>
            <w:tcBorders>
              <w:left w:val="single" w:color="000000" w:sz="4" w:space="0"/>
              <w:bottom w:val="single" w:color="000000" w:sz="4" w:space="0"/>
              <w:right w:val="single" w:color="000000" w:sz="4" w:space="0"/>
            </w:tcBorders>
            <w:vAlign w:val="center"/>
          </w:tcPr>
          <w:p w14:paraId="72A40ED3">
            <w:pPr>
              <w:pageBreakBefore w:val="0"/>
              <w:kinsoku/>
              <w:overflowPunct/>
              <w:topLinePunct w:val="0"/>
              <w:autoSpaceDE/>
              <w:autoSpaceDN/>
              <w:bidi w:val="0"/>
              <w:adjustRightInd/>
              <w:spacing w:line="400" w:lineRule="exact"/>
              <w:jc w:val="center"/>
              <w:rPr>
                <w:rFonts w:hint="eastAsia" w:ascii="仿宋" w:hAnsi="仿宋" w:eastAsia="仿宋" w:cs="仿宋"/>
                <w:highlight w:val="none"/>
                <w:lang w:val="en-US" w:eastAsia="zh-CN"/>
              </w:rPr>
            </w:pPr>
          </w:p>
        </w:tc>
      </w:tr>
    </w:tbl>
    <w:p w14:paraId="1937F8B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rPr>
      </w:pPr>
      <w:r>
        <w:rPr>
          <w:rFonts w:hint="eastAsia" w:ascii="仿宋" w:hAnsi="仿宋" w:eastAsia="仿宋" w:cs="仿宋"/>
          <w:snapToGrid w:val="0"/>
          <w:highlight w:val="none"/>
        </w:rPr>
        <w:t xml:space="preserve"> 注：投标人的报价未高于采购预算/最高限价，同时未高于单个产品采购预算或最高限价；</w:t>
      </w:r>
    </w:p>
    <w:p w14:paraId="40AD533C">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rPr>
      </w:pPr>
      <w:r>
        <w:rPr>
          <w:rFonts w:hint="eastAsia" w:ascii="仿宋" w:hAnsi="仿宋" w:eastAsia="仿宋" w:cs="仿宋"/>
          <w:snapToGrid w:val="0"/>
          <w:highlight w:val="none"/>
        </w:rPr>
        <w:t xml:space="preserve">若投标产品为国产的，投标分项报价表内货物品牌和规格型号必须详细如实填写，否则按废标处理； </w:t>
      </w:r>
    </w:p>
    <w:p w14:paraId="07318354">
      <w:pPr>
        <w:pStyle w:val="3"/>
        <w:pageBreakBefore w:val="0"/>
        <w:kinsoku/>
        <w:overflowPunct/>
        <w:topLinePunct w:val="0"/>
        <w:autoSpaceDE/>
        <w:autoSpaceDN/>
        <w:bidi w:val="0"/>
        <w:adjustRightInd/>
        <w:snapToGrid/>
        <w:spacing w:before="0" w:after="0" w:line="400" w:lineRule="exact"/>
        <w:textAlignment w:val="auto"/>
        <w:rPr>
          <w:rFonts w:hint="eastAsia" w:ascii="仿宋" w:hAnsi="仿宋" w:eastAsia="仿宋" w:cs="仿宋"/>
          <w:highlight w:val="none"/>
        </w:rPr>
      </w:pPr>
      <w:bookmarkStart w:id="281" w:name="_Toc32026"/>
      <w:r>
        <w:rPr>
          <w:rFonts w:hint="eastAsia" w:ascii="仿宋" w:hAnsi="仿宋" w:eastAsia="仿宋" w:cs="仿宋"/>
          <w:highlight w:val="none"/>
        </w:rPr>
        <w:t>二、商务要求</w:t>
      </w:r>
      <w:bookmarkEnd w:id="281"/>
    </w:p>
    <w:p w14:paraId="1D70996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rPr>
      </w:pPr>
      <w:r>
        <w:rPr>
          <w:rFonts w:hint="eastAsia" w:ascii="仿宋" w:hAnsi="仿宋" w:eastAsia="仿宋" w:cs="仿宋"/>
          <w:snapToGrid w:val="0"/>
          <w:highlight w:val="none"/>
        </w:rPr>
        <w:t xml:space="preserve">1. </w:t>
      </w:r>
      <w:r>
        <w:rPr>
          <w:rFonts w:hint="eastAsia" w:ascii="仿宋" w:hAnsi="仿宋" w:eastAsia="仿宋" w:cs="仿宋"/>
          <w:b/>
          <w:bCs/>
          <w:snapToGrid w:val="0"/>
          <w:highlight w:val="none"/>
        </w:rPr>
        <w:t>★</w:t>
      </w:r>
      <w:r>
        <w:rPr>
          <w:rFonts w:hint="eastAsia" w:ascii="仿宋" w:hAnsi="仿宋" w:eastAsia="仿宋" w:cs="仿宋"/>
          <w:snapToGrid w:val="0"/>
          <w:highlight w:val="none"/>
        </w:rPr>
        <w:t>交付（实施）的时间（期限）和地点（范围）</w:t>
      </w:r>
    </w:p>
    <w:p w14:paraId="44E9C68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snapToGrid w:val="0"/>
          <w:highlight w:val="none"/>
        </w:rPr>
        <w:t xml:space="preserve">交付（实施）的时间（期限）： </w:t>
      </w:r>
      <w:r>
        <w:rPr>
          <w:rFonts w:hint="eastAsia" w:ascii="仿宋" w:hAnsi="仿宋" w:eastAsia="仿宋" w:cs="仿宋"/>
          <w:color w:val="auto"/>
          <w:sz w:val="24"/>
          <w:highlight w:val="none"/>
          <w:lang w:val="en-US" w:eastAsia="zh-CN"/>
        </w:rPr>
        <w:t>合同签订后二年。合同一年一签，在财政预算保障同时年度考核合格的前提下逐年签订合同。</w:t>
      </w:r>
    </w:p>
    <w:p w14:paraId="5A0A1DF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rPr>
      </w:pPr>
      <w:r>
        <w:rPr>
          <w:rFonts w:hint="eastAsia" w:ascii="仿宋" w:hAnsi="仿宋" w:eastAsia="仿宋" w:cs="仿宋"/>
          <w:color w:val="auto"/>
          <w:sz w:val="24"/>
          <w:highlight w:val="none"/>
          <w:lang w:val="en-US" w:eastAsia="zh-CN"/>
        </w:rPr>
        <w:t>2.供货期：</w:t>
      </w:r>
      <w:r>
        <w:rPr>
          <w:rFonts w:hint="eastAsia" w:ascii="仿宋" w:hAnsi="仿宋" w:eastAsia="仿宋" w:cs="仿宋"/>
          <w:color w:val="auto"/>
          <w:kern w:val="0"/>
          <w:sz w:val="24"/>
          <w:highlight w:val="none"/>
        </w:rPr>
        <w:t>接甲方通知，规定时间内送货</w:t>
      </w:r>
    </w:p>
    <w:p w14:paraId="563A7F31">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rPr>
      </w:pPr>
      <w:r>
        <w:rPr>
          <w:rFonts w:hint="eastAsia" w:ascii="仿宋" w:hAnsi="仿宋" w:eastAsia="仿宋" w:cs="仿宋"/>
          <w:snapToGrid w:val="0"/>
          <w:highlight w:val="none"/>
        </w:rPr>
        <w:t>地点（范围）：新疆医科大学附属肿瘤医院。</w:t>
      </w:r>
    </w:p>
    <w:p w14:paraId="1BF57C75">
      <w:pPr>
        <w:pStyle w:val="41"/>
        <w:pageBreakBefore w:val="0"/>
        <w:numPr>
          <w:ilvl w:val="0"/>
          <w:numId w:val="4"/>
        </w:numPr>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u w:val="none"/>
          <w:lang w:val="en-US" w:eastAsia="zh-CN"/>
        </w:rPr>
      </w:pPr>
      <w:r>
        <w:rPr>
          <w:rFonts w:hint="eastAsia" w:ascii="仿宋" w:hAnsi="仿宋" w:eastAsia="仿宋" w:cs="仿宋"/>
          <w:b/>
          <w:bCs/>
          <w:snapToGrid w:val="0"/>
          <w:highlight w:val="none"/>
        </w:rPr>
        <w:t>★</w:t>
      </w:r>
      <w:r>
        <w:rPr>
          <w:rFonts w:hint="eastAsia" w:ascii="仿宋" w:hAnsi="仿宋" w:eastAsia="仿宋" w:cs="仿宋"/>
          <w:snapToGrid w:val="0"/>
          <w:highlight w:val="none"/>
        </w:rPr>
        <w:t xml:space="preserve">付款条件（进度和方式） </w:t>
      </w:r>
      <w:r>
        <w:rPr>
          <w:rFonts w:hint="eastAsia" w:ascii="仿宋" w:hAnsi="仿宋" w:eastAsia="仿宋" w:cs="仿宋"/>
          <w:snapToGrid w:val="0"/>
          <w:highlight w:val="none"/>
          <w:lang w:val="en-US" w:eastAsia="zh-CN"/>
        </w:rPr>
        <w:t xml:space="preserve">: </w:t>
      </w:r>
      <w:r>
        <w:rPr>
          <w:rFonts w:hint="eastAsia" w:ascii="仿宋" w:hAnsi="仿宋" w:eastAsia="仿宋" w:cs="仿宋"/>
          <w:snapToGrid w:val="0"/>
          <w:highlight w:val="none"/>
          <w:u w:val="none"/>
          <w:lang w:val="en-US" w:eastAsia="zh-CN"/>
        </w:rPr>
        <w:t xml:space="preserve"> 合同签订后，按合同单价乘以甲方实际采购数量进行结算，于验收合格次月起至付款时间为12个月，以网银、承兑、供应链等方式支付。</w:t>
      </w:r>
    </w:p>
    <w:p w14:paraId="3B3AF6E8">
      <w:pPr>
        <w:pStyle w:val="41"/>
        <w:pageBreakBefore w:val="0"/>
        <w:numPr>
          <w:ilvl w:val="0"/>
          <w:numId w:val="0"/>
        </w:numPr>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snapToGrid w:val="0"/>
          <w:highlight w:val="none"/>
          <w:u w:val="none"/>
        </w:rPr>
      </w:pPr>
      <w:r>
        <w:rPr>
          <w:rFonts w:hint="eastAsia" w:ascii="仿宋" w:hAnsi="仿宋" w:eastAsia="仿宋" w:cs="仿宋"/>
          <w:snapToGrid w:val="0"/>
          <w:highlight w:val="none"/>
          <w:u w:val="none"/>
          <w:lang w:val="en-US" w:eastAsia="zh-CN"/>
        </w:rPr>
        <w:t>备注：最终付款方式以和甲方签订合同为准。</w:t>
      </w:r>
    </w:p>
    <w:p w14:paraId="3EC81F71">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lang w:val="en-US" w:eastAsia="zh-CN"/>
        </w:rPr>
      </w:pPr>
      <w:r>
        <w:rPr>
          <w:rFonts w:hint="eastAsia" w:ascii="仿宋" w:hAnsi="仿宋" w:eastAsia="仿宋" w:cs="仿宋"/>
          <w:snapToGrid w:val="0"/>
          <w:highlight w:val="none"/>
          <w:lang w:val="en-US" w:eastAsia="zh-CN"/>
        </w:rPr>
        <w:t>4.</w:t>
      </w:r>
      <w:r>
        <w:rPr>
          <w:rFonts w:hint="eastAsia" w:ascii="仿宋" w:hAnsi="仿宋" w:eastAsia="仿宋" w:cs="仿宋"/>
          <w:snapToGrid w:val="0"/>
          <w:highlight w:val="none"/>
        </w:rPr>
        <w:t>履约保证金：</w:t>
      </w:r>
      <w:r>
        <w:rPr>
          <w:rFonts w:hint="eastAsia" w:ascii="仿宋" w:hAnsi="仿宋" w:eastAsia="仿宋" w:cs="仿宋"/>
          <w:snapToGrid w:val="0"/>
          <w:highlight w:val="none"/>
          <w:lang w:val="en-US" w:eastAsia="zh-CN"/>
        </w:rPr>
        <w:t>不收取</w:t>
      </w:r>
    </w:p>
    <w:p w14:paraId="20B52BBA">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rPr>
      </w:pPr>
      <w:r>
        <w:rPr>
          <w:rFonts w:hint="eastAsia" w:ascii="仿宋" w:hAnsi="仿宋" w:eastAsia="仿宋" w:cs="仿宋"/>
          <w:snapToGrid w:val="0"/>
          <w:highlight w:val="none"/>
          <w:lang w:val="en-US" w:eastAsia="zh-CN"/>
        </w:rPr>
        <w:t>5.</w:t>
      </w:r>
      <w:r>
        <w:rPr>
          <w:rFonts w:hint="eastAsia" w:ascii="仿宋" w:hAnsi="仿宋" w:eastAsia="仿宋" w:cs="仿宋"/>
          <w:snapToGrid w:val="0"/>
          <w:highlight w:val="none"/>
        </w:rPr>
        <w:t xml:space="preserve"> 包装和运输（如适用，须满足《关于印发〈商品包装政府采购需求标准（试行）〉、〈快递包装政府采购需求标准（试行）〉的通知》（财办库﹝2020﹞123 号）） </w:t>
      </w:r>
    </w:p>
    <w:p w14:paraId="7B4E4330">
      <w:pPr>
        <w:pStyle w:val="41"/>
        <w:keepNext w:val="0"/>
        <w:keepLines w:val="0"/>
        <w:pageBreakBefore w:val="0"/>
        <w:widowControl w:val="0"/>
        <w:kinsoku/>
        <w:overflowPunct/>
        <w:topLinePunct w:val="0"/>
        <w:autoSpaceDE/>
        <w:autoSpaceDN/>
        <w:bidi w:val="0"/>
        <w:adjustRightInd/>
        <w:snapToGrid/>
        <w:spacing w:line="400" w:lineRule="exact"/>
        <w:ind w:left="0" w:leftChars="0" w:right="0" w:rightChars="0" w:firstLine="0" w:firstLineChars="0"/>
        <w:textAlignment w:val="auto"/>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注：★为实质性响应条款，不满足作废标处理。</w:t>
      </w:r>
    </w:p>
    <w:p w14:paraId="678295E4">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highlight w:val="none"/>
        </w:rPr>
      </w:pPr>
    </w:p>
    <w:p w14:paraId="707636C2">
      <w:pPr>
        <w:pStyle w:val="3"/>
        <w:pageBreakBefore w:val="0"/>
        <w:kinsoku/>
        <w:overflowPunct/>
        <w:topLinePunct w:val="0"/>
        <w:autoSpaceDE/>
        <w:autoSpaceDN/>
        <w:bidi w:val="0"/>
        <w:adjustRightInd/>
        <w:snapToGrid/>
        <w:spacing w:before="0" w:after="0" w:line="400" w:lineRule="exact"/>
        <w:textAlignment w:val="auto"/>
        <w:rPr>
          <w:rFonts w:hint="eastAsia" w:ascii="仿宋" w:hAnsi="仿宋" w:eastAsia="仿宋" w:cs="仿宋"/>
          <w:highlight w:val="none"/>
        </w:rPr>
      </w:pPr>
      <w:bookmarkStart w:id="282" w:name="_Toc23056"/>
      <w:r>
        <w:rPr>
          <w:rFonts w:hint="eastAsia" w:ascii="仿宋" w:hAnsi="仿宋" w:eastAsia="仿宋" w:cs="仿宋"/>
          <w:highlight w:val="none"/>
        </w:rPr>
        <w:t>三、技术要求</w:t>
      </w:r>
      <w:bookmarkEnd w:id="282"/>
    </w:p>
    <w:bookmarkEnd w:id="277"/>
    <w:bookmarkEnd w:id="278"/>
    <w:bookmarkEnd w:id="279"/>
    <w:p w14:paraId="61792DD8">
      <w:pPr>
        <w:pStyle w:val="8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bookmarkStart w:id="283" w:name="_Toc163492892"/>
      <w:bookmarkStart w:id="284" w:name="_Toc155185895"/>
      <w:r>
        <w:rPr>
          <w:rFonts w:hint="eastAsia" w:ascii="仿宋" w:hAnsi="仿宋" w:eastAsia="仿宋" w:cs="仿宋"/>
          <w:highlight w:val="none"/>
        </w:rPr>
        <w:t>（一）本项目主要产品为：</w:t>
      </w:r>
      <w:r>
        <w:rPr>
          <w:rFonts w:hint="eastAsia" w:ascii="仿宋" w:hAnsi="仿宋" w:eastAsia="仿宋" w:cs="仿宋"/>
          <w:snapToGrid w:val="0"/>
          <w:highlight w:val="none"/>
          <w:u w:val="single"/>
          <w:lang w:val="en-US" w:eastAsia="zh-CN"/>
        </w:rPr>
        <w:t xml:space="preserve"> 本项目为单一产品项目 </w:t>
      </w:r>
      <w:r>
        <w:rPr>
          <w:rFonts w:hint="eastAsia" w:ascii="仿宋" w:hAnsi="仿宋" w:eastAsia="仿宋" w:cs="仿宋"/>
          <w:highlight w:val="none"/>
        </w:rPr>
        <w:t>。</w:t>
      </w:r>
    </w:p>
    <w:p w14:paraId="2FB9E220">
      <w:pPr>
        <w:pageBreakBefore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w:t>
      </w:r>
      <w:r>
        <w:rPr>
          <w:rFonts w:hint="eastAsia" w:ascii="仿宋" w:hAnsi="仿宋" w:eastAsia="仿宋" w:cs="仿宋"/>
          <w:highlight w:val="none"/>
        </w:rPr>
        <w:t>的，按商务技术评审得分最高的获得中标人推荐资格，评审得分、投标报价和商务技术评审得分三项均相同的由评标委员会采取随机抽取方式确定，其他同品牌投标人不作为中标候选人。</w:t>
      </w:r>
    </w:p>
    <w:p w14:paraId="344E57CD">
      <w:pPr>
        <w:pStyle w:val="8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bookmarkStart w:id="285" w:name="_Toc170992351"/>
      <w:r>
        <w:rPr>
          <w:rFonts w:hint="eastAsia" w:ascii="仿宋" w:hAnsi="仿宋" w:eastAsia="仿宋" w:cs="仿宋"/>
          <w:highlight w:val="none"/>
        </w:rPr>
        <w:t>（二）具体技术参数</w:t>
      </w:r>
      <w:bookmarkEnd w:id="285"/>
    </w:p>
    <w:tbl>
      <w:tblPr>
        <w:tblStyle w:val="33"/>
        <w:tblW w:w="9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
        <w:gridCol w:w="2004"/>
        <w:gridCol w:w="569"/>
        <w:gridCol w:w="1077"/>
        <w:gridCol w:w="2889"/>
        <w:gridCol w:w="2721"/>
      </w:tblGrid>
      <w:tr w14:paraId="4F6C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blHeader/>
          <w:jc w:val="center"/>
        </w:trPr>
        <w:tc>
          <w:tcPr>
            <w:tcW w:w="537" w:type="dxa"/>
            <w:tcBorders>
              <w:top w:val="single" w:color="000000" w:sz="4" w:space="0"/>
              <w:left w:val="single" w:color="000000" w:sz="4" w:space="0"/>
              <w:bottom w:val="single" w:color="000000" w:sz="4" w:space="0"/>
              <w:right w:val="single" w:color="000000" w:sz="4" w:space="0"/>
            </w:tcBorders>
            <w:noWrap w:val="0"/>
            <w:vAlign w:val="center"/>
          </w:tcPr>
          <w:p w14:paraId="7FDACEE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序号</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48B65EA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i w:val="0"/>
                <w:iCs w:val="0"/>
                <w:color w:val="auto"/>
                <w:kern w:val="0"/>
                <w:sz w:val="24"/>
                <w:szCs w:val="24"/>
                <w:highlight w:val="none"/>
                <w:u w:val="none"/>
                <w:lang w:val="en-US" w:eastAsia="zh-CN" w:bidi="ar"/>
              </w:rPr>
            </w:pPr>
            <w:r>
              <w:rPr>
                <w:rFonts w:hint="eastAsia" w:ascii="仿宋" w:hAnsi="仿宋" w:eastAsia="仿宋" w:cs="仿宋"/>
                <w:b w:val="0"/>
                <w:bCs/>
                <w:i w:val="0"/>
                <w:iCs w:val="0"/>
                <w:color w:val="auto"/>
                <w:kern w:val="0"/>
                <w:sz w:val="24"/>
                <w:szCs w:val="24"/>
                <w:highlight w:val="none"/>
                <w:u w:val="none"/>
                <w:lang w:val="en-US" w:eastAsia="zh-CN" w:bidi="ar"/>
              </w:rPr>
              <w:t>货物名称</w:t>
            </w:r>
          </w:p>
          <w:p w14:paraId="309EE93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（标的名称）</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0C5EB2D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557398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rPr>
            </w:pPr>
            <w:r>
              <w:rPr>
                <w:rFonts w:hint="eastAsia" w:ascii="仿宋" w:hAnsi="仿宋" w:eastAsia="仿宋" w:cs="仿宋"/>
                <w:b w:val="0"/>
                <w:bCs/>
                <w:i w:val="0"/>
                <w:iCs w:val="0"/>
                <w:color w:val="auto"/>
                <w:kern w:val="0"/>
                <w:sz w:val="24"/>
                <w:szCs w:val="24"/>
                <w:highlight w:val="none"/>
                <w:u w:val="none"/>
                <w:lang w:val="en-US" w:eastAsia="zh-CN" w:bidi="ar"/>
              </w:rPr>
              <w:t>国产/进口</w:t>
            </w:r>
          </w:p>
        </w:tc>
        <w:tc>
          <w:tcPr>
            <w:tcW w:w="2889" w:type="dxa"/>
            <w:tcBorders>
              <w:top w:val="single" w:color="000000" w:sz="4" w:space="0"/>
              <w:left w:val="single" w:color="000000" w:sz="4" w:space="0"/>
              <w:bottom w:val="single" w:color="000000" w:sz="4" w:space="0"/>
              <w:right w:val="single" w:color="000000" w:sz="4" w:space="0"/>
            </w:tcBorders>
            <w:noWrap/>
            <w:vAlign w:val="center"/>
          </w:tcPr>
          <w:p w14:paraId="4188DAD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规格型号</w:t>
            </w:r>
          </w:p>
        </w:tc>
        <w:tc>
          <w:tcPr>
            <w:tcW w:w="2721" w:type="dxa"/>
            <w:tcBorders>
              <w:top w:val="single" w:color="000000" w:sz="4" w:space="0"/>
              <w:left w:val="single" w:color="000000" w:sz="4" w:space="0"/>
              <w:bottom w:val="single" w:color="000000" w:sz="4" w:space="0"/>
              <w:right w:val="single" w:color="000000" w:sz="4" w:space="0"/>
            </w:tcBorders>
            <w:noWrap/>
            <w:vAlign w:val="center"/>
          </w:tcPr>
          <w:p w14:paraId="36044D5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i w:val="0"/>
                <w:iCs w:val="0"/>
                <w:color w:val="auto"/>
                <w:sz w:val="24"/>
                <w:szCs w:val="24"/>
                <w:highlight w:val="none"/>
                <w:u w:val="none"/>
                <w:lang w:val="en-US"/>
              </w:rPr>
            </w:pPr>
            <w:r>
              <w:rPr>
                <w:rFonts w:hint="eastAsia" w:ascii="仿宋" w:hAnsi="仿宋" w:eastAsia="仿宋" w:cs="仿宋"/>
                <w:b w:val="0"/>
                <w:bCs/>
                <w:i w:val="0"/>
                <w:iCs w:val="0"/>
                <w:color w:val="auto"/>
                <w:kern w:val="0"/>
                <w:sz w:val="24"/>
                <w:szCs w:val="24"/>
                <w:highlight w:val="none"/>
                <w:u w:val="none"/>
                <w:lang w:val="en-US" w:eastAsia="zh-CN" w:bidi="ar"/>
              </w:rPr>
              <w:t>技术要求</w:t>
            </w:r>
          </w:p>
        </w:tc>
      </w:tr>
      <w:tr w14:paraId="1070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537" w:type="dxa"/>
            <w:tcBorders>
              <w:top w:val="single" w:color="000000" w:sz="4" w:space="0"/>
              <w:left w:val="single" w:color="000000" w:sz="4" w:space="0"/>
              <w:bottom w:val="single" w:color="000000" w:sz="4" w:space="0"/>
              <w:right w:val="single" w:color="000000" w:sz="4" w:space="0"/>
            </w:tcBorders>
            <w:noWrap/>
            <w:vAlign w:val="center"/>
          </w:tcPr>
          <w:p w14:paraId="6F2DE5C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auto"/>
                <w:kern w:val="0"/>
                <w:sz w:val="24"/>
                <w:szCs w:val="24"/>
                <w:highlight w:val="none"/>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A139B5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加厚型</w:t>
            </w:r>
          </w:p>
          <w:p w14:paraId="6A2DE1D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病理标本袋</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7DC19A4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7B734F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国产</w:t>
            </w:r>
          </w:p>
        </w:tc>
        <w:tc>
          <w:tcPr>
            <w:tcW w:w="2889" w:type="dxa"/>
            <w:tcBorders>
              <w:top w:val="single" w:color="000000" w:sz="4" w:space="0"/>
              <w:left w:val="single" w:color="000000" w:sz="4" w:space="0"/>
              <w:bottom w:val="single" w:color="000000" w:sz="4" w:space="0"/>
              <w:right w:val="single" w:color="000000" w:sz="4" w:space="0"/>
            </w:tcBorders>
            <w:noWrap w:val="0"/>
            <w:vAlign w:val="center"/>
          </w:tcPr>
          <w:p w14:paraId="0BE50DB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特大，可站立,≥（高36±2cm*宽28cm±2cm，插底≥7cm）</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5C16379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1透明；2有底；3可持续站立；4有封口；5无泄漏</w:t>
            </w:r>
          </w:p>
        </w:tc>
      </w:tr>
      <w:tr w14:paraId="4AFD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537" w:type="dxa"/>
            <w:tcBorders>
              <w:top w:val="single" w:color="000000" w:sz="4" w:space="0"/>
              <w:left w:val="single" w:color="000000" w:sz="4" w:space="0"/>
              <w:bottom w:val="single" w:color="000000" w:sz="4" w:space="0"/>
              <w:right w:val="single" w:color="000000" w:sz="4" w:space="0"/>
            </w:tcBorders>
            <w:noWrap/>
            <w:vAlign w:val="center"/>
          </w:tcPr>
          <w:p w14:paraId="71D5E8F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1EF1FA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加厚型</w:t>
            </w:r>
          </w:p>
          <w:p w14:paraId="5B070B8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病理标本袋</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093C3DE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FF7BB1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国产</w:t>
            </w:r>
          </w:p>
        </w:tc>
        <w:tc>
          <w:tcPr>
            <w:tcW w:w="2889" w:type="dxa"/>
            <w:tcBorders>
              <w:top w:val="single" w:color="000000" w:sz="4" w:space="0"/>
              <w:left w:val="single" w:color="000000" w:sz="4" w:space="0"/>
              <w:bottom w:val="single" w:color="000000" w:sz="4" w:space="0"/>
              <w:right w:val="single" w:color="000000" w:sz="4" w:space="0"/>
            </w:tcBorders>
            <w:noWrap w:val="0"/>
            <w:vAlign w:val="center"/>
          </w:tcPr>
          <w:p w14:paraId="11FF49F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加大，可站立≥(高30±1cm*宽20cm±1cm，插底≥5cm)</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3DD098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1透明；2有底；3可持续站立；4有封口；5无泄漏</w:t>
            </w:r>
          </w:p>
        </w:tc>
      </w:tr>
      <w:tr w14:paraId="1E49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537" w:type="dxa"/>
            <w:tcBorders>
              <w:top w:val="single" w:color="000000" w:sz="4" w:space="0"/>
              <w:left w:val="single" w:color="000000" w:sz="4" w:space="0"/>
              <w:bottom w:val="single" w:color="000000" w:sz="4" w:space="0"/>
              <w:right w:val="single" w:color="000000" w:sz="4" w:space="0"/>
            </w:tcBorders>
            <w:noWrap/>
            <w:vAlign w:val="center"/>
          </w:tcPr>
          <w:p w14:paraId="2E29E9B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10DE98E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加厚型</w:t>
            </w:r>
          </w:p>
          <w:p w14:paraId="5028781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病理标本袋</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2FA424F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4DA0F4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国产</w:t>
            </w:r>
          </w:p>
        </w:tc>
        <w:tc>
          <w:tcPr>
            <w:tcW w:w="2889" w:type="dxa"/>
            <w:tcBorders>
              <w:top w:val="single" w:color="000000" w:sz="4" w:space="0"/>
              <w:left w:val="single" w:color="000000" w:sz="4" w:space="0"/>
              <w:bottom w:val="single" w:color="000000" w:sz="4" w:space="0"/>
              <w:right w:val="single" w:color="000000" w:sz="4" w:space="0"/>
            </w:tcBorders>
            <w:noWrap w:val="0"/>
            <w:vAlign w:val="center"/>
          </w:tcPr>
          <w:p w14:paraId="1FBAA81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大，可站立，≥(高25±1cm*宽18cm±1cm插底≥3.5cm)</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73A5C36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1透明；2有底；3可持续站立；4有封口；5无泄漏</w:t>
            </w:r>
          </w:p>
        </w:tc>
      </w:tr>
      <w:tr w14:paraId="117E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537" w:type="dxa"/>
            <w:tcBorders>
              <w:top w:val="single" w:color="000000" w:sz="4" w:space="0"/>
              <w:left w:val="single" w:color="000000" w:sz="4" w:space="0"/>
              <w:bottom w:val="single" w:color="000000" w:sz="4" w:space="0"/>
              <w:right w:val="single" w:color="000000" w:sz="4" w:space="0"/>
            </w:tcBorders>
            <w:noWrap/>
            <w:vAlign w:val="center"/>
          </w:tcPr>
          <w:p w14:paraId="2875B28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223C5A6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加厚型</w:t>
            </w:r>
          </w:p>
          <w:p w14:paraId="3AC68CA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病理标本袋</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7EF09BC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784CDD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国产</w:t>
            </w:r>
          </w:p>
        </w:tc>
        <w:tc>
          <w:tcPr>
            <w:tcW w:w="2889" w:type="dxa"/>
            <w:tcBorders>
              <w:top w:val="single" w:color="000000" w:sz="4" w:space="0"/>
              <w:left w:val="single" w:color="000000" w:sz="4" w:space="0"/>
              <w:bottom w:val="single" w:color="000000" w:sz="4" w:space="0"/>
              <w:right w:val="single" w:color="000000" w:sz="4" w:space="0"/>
            </w:tcBorders>
            <w:noWrap w:val="0"/>
            <w:vAlign w:val="center"/>
          </w:tcPr>
          <w:p w14:paraId="2400900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中，可站立，≥(高22±1cm*宽14cm±1cm插底≥3.0cm)</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3B73B93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1透明；2有底；3可持续站立；4有封口；5无泄漏</w:t>
            </w:r>
          </w:p>
        </w:tc>
      </w:tr>
      <w:tr w14:paraId="431E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537" w:type="dxa"/>
            <w:tcBorders>
              <w:top w:val="single" w:color="000000" w:sz="4" w:space="0"/>
              <w:left w:val="single" w:color="000000" w:sz="4" w:space="0"/>
              <w:bottom w:val="single" w:color="000000" w:sz="4" w:space="0"/>
              <w:right w:val="single" w:color="000000" w:sz="4" w:space="0"/>
            </w:tcBorders>
            <w:noWrap/>
            <w:vAlign w:val="center"/>
          </w:tcPr>
          <w:p w14:paraId="5669BAF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0F6156B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加厚型</w:t>
            </w:r>
          </w:p>
          <w:p w14:paraId="2758CF3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病理标本袋</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518E26A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509247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国产</w:t>
            </w:r>
          </w:p>
        </w:tc>
        <w:tc>
          <w:tcPr>
            <w:tcW w:w="2889" w:type="dxa"/>
            <w:tcBorders>
              <w:top w:val="single" w:color="000000" w:sz="4" w:space="0"/>
              <w:left w:val="single" w:color="000000" w:sz="4" w:space="0"/>
              <w:bottom w:val="single" w:color="000000" w:sz="4" w:space="0"/>
              <w:right w:val="single" w:color="000000" w:sz="4" w:space="0"/>
            </w:tcBorders>
            <w:noWrap w:val="0"/>
            <w:vAlign w:val="center"/>
          </w:tcPr>
          <w:p w14:paraId="581FC80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小，可站立，≥(高18cm*宽12cm，插底≥3.0cm)</w:t>
            </w:r>
          </w:p>
        </w:tc>
        <w:tc>
          <w:tcPr>
            <w:tcW w:w="2721" w:type="dxa"/>
            <w:tcBorders>
              <w:top w:val="single" w:color="000000" w:sz="4" w:space="0"/>
              <w:left w:val="single" w:color="000000" w:sz="4" w:space="0"/>
              <w:bottom w:val="single" w:color="000000" w:sz="4" w:space="0"/>
              <w:right w:val="single" w:color="000000" w:sz="4" w:space="0"/>
            </w:tcBorders>
            <w:noWrap w:val="0"/>
            <w:vAlign w:val="center"/>
          </w:tcPr>
          <w:p w14:paraId="2DB6733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1透明；2有底；3可持续站立；4有封口；5无泄漏</w:t>
            </w:r>
          </w:p>
        </w:tc>
      </w:tr>
    </w:tbl>
    <w:p w14:paraId="22C0109E">
      <w:pPr>
        <w:pStyle w:val="41"/>
        <w:keepNext w:val="0"/>
        <w:keepLines w:val="0"/>
        <w:pageBreakBefore w:val="0"/>
        <w:widowControl w:val="0"/>
        <w:kinsoku/>
        <w:overflowPunct/>
        <w:topLinePunct w:val="0"/>
        <w:autoSpaceDE/>
        <w:autoSpaceDN/>
        <w:bidi w:val="0"/>
        <w:adjustRightInd/>
        <w:snapToGrid/>
        <w:spacing w:line="400" w:lineRule="exact"/>
        <w:ind w:left="0" w:leftChars="0" w:right="0" w:rightChars="0" w:firstLine="0" w:firstLineChars="0"/>
        <w:textAlignment w:val="auto"/>
        <w:rPr>
          <w:rFonts w:hint="eastAsia" w:ascii="仿宋" w:hAnsi="仿宋" w:eastAsia="仿宋" w:cs="仿宋"/>
          <w:snapToGrid w:val="0"/>
          <w:color w:val="auto"/>
          <w:sz w:val="24"/>
          <w:szCs w:val="24"/>
          <w:highlight w:val="none"/>
          <w:lang w:val="en-US" w:eastAsia="zh-CN"/>
        </w:rPr>
      </w:pPr>
    </w:p>
    <w:p w14:paraId="28BC0505">
      <w:pPr>
        <w:pageBreakBefore w:val="0"/>
        <w:kinsoku/>
        <w:overflowPunct/>
        <w:topLinePunct w:val="0"/>
        <w:autoSpaceDE/>
        <w:autoSpaceDN/>
        <w:bidi w:val="0"/>
        <w:adjustRightInd/>
        <w:snapToGrid/>
        <w:spacing w:line="440" w:lineRule="exact"/>
        <w:textAlignment w:val="auto"/>
        <w:rPr>
          <w:rFonts w:hint="eastAsia" w:ascii="仿宋" w:hAnsi="仿宋" w:eastAsia="仿宋" w:cs="仿宋"/>
          <w:highlight w:val="none"/>
        </w:rPr>
      </w:pPr>
    </w:p>
    <w:p w14:paraId="116AD867">
      <w:pPr>
        <w:pStyle w:val="2"/>
        <w:rPr>
          <w:rFonts w:hint="eastAsia" w:ascii="仿宋" w:hAnsi="仿宋" w:eastAsia="仿宋" w:cs="仿宋"/>
          <w:highlight w:val="none"/>
        </w:rPr>
      </w:pPr>
      <w:bookmarkStart w:id="286" w:name="_Toc18577"/>
      <w:r>
        <w:rPr>
          <w:rFonts w:hint="eastAsia" w:ascii="仿宋" w:hAnsi="仿宋" w:eastAsia="仿宋" w:cs="仿宋"/>
          <w:highlight w:val="none"/>
        </w:rPr>
        <w:t>第四章 资格审查</w:t>
      </w:r>
      <w:bookmarkEnd w:id="283"/>
      <w:bookmarkEnd w:id="284"/>
      <w:bookmarkEnd w:id="286"/>
    </w:p>
    <w:p w14:paraId="0D527F00">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zh-CN"/>
        </w:rPr>
      </w:pPr>
      <w:bookmarkStart w:id="287" w:name="_Toc4412"/>
      <w:bookmarkStart w:id="288" w:name="_Toc26583"/>
      <w:r>
        <w:rPr>
          <w:rFonts w:hint="eastAsia" w:ascii="仿宋" w:hAnsi="仿宋" w:eastAsia="仿宋" w:cs="仿宋"/>
          <w:highlight w:val="none"/>
          <w:lang w:val="hr-HR"/>
        </w:rPr>
        <w:t>一、资格审查程序</w:t>
      </w:r>
      <w:bookmarkEnd w:id="287"/>
      <w:bookmarkEnd w:id="288"/>
      <w:r>
        <w:rPr>
          <w:rFonts w:hint="eastAsia" w:ascii="仿宋" w:hAnsi="仿宋" w:eastAsia="仿宋" w:cs="仿宋"/>
          <w:highlight w:val="none"/>
          <w:lang w:val="hr-HR"/>
        </w:rPr>
        <w:t xml:space="preserve"> </w:t>
      </w:r>
    </w:p>
    <w:p w14:paraId="67458B8A">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 xml:space="preserve">1 开标结束后，采购人或采购代理机构将根据《资格审查要求》中的规定，对投标人进行资格审查，并形成资格审查结果。 </w:t>
      </w:r>
    </w:p>
    <w:p w14:paraId="079857D2">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2 投标人《资格证明文件》有任何一项不符合《资格审查要求》的，资格审查不合格，其</w:t>
      </w:r>
      <w:r>
        <w:rPr>
          <w:rFonts w:hint="eastAsia" w:ascii="仿宋" w:hAnsi="仿宋" w:eastAsia="仿宋" w:cs="仿宋"/>
          <w:b/>
          <w:bCs/>
          <w:highlight w:val="none"/>
        </w:rPr>
        <w:t>投标无效</w:t>
      </w:r>
      <w:r>
        <w:rPr>
          <w:rFonts w:hint="eastAsia" w:ascii="仿宋" w:hAnsi="仿宋" w:eastAsia="仿宋" w:cs="仿宋"/>
          <w:highlight w:val="none"/>
        </w:rPr>
        <w:t xml:space="preserve">。 </w:t>
      </w:r>
    </w:p>
    <w:p w14:paraId="7BCC2D7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 xml:space="preserve">3 资格审查合格的投标人不足 3 家的，不进行评标。 </w:t>
      </w:r>
    </w:p>
    <w:p w14:paraId="6255854D">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hr-HR"/>
        </w:rPr>
      </w:pPr>
      <w:bookmarkStart w:id="289" w:name="_Toc32303"/>
      <w:bookmarkStart w:id="290" w:name="_Toc6358"/>
      <w:r>
        <w:rPr>
          <w:rFonts w:hint="eastAsia" w:ascii="仿宋" w:hAnsi="仿宋" w:eastAsia="仿宋" w:cs="仿宋"/>
          <w:highlight w:val="none"/>
          <w:lang w:val="hr-HR"/>
        </w:rPr>
        <w:t>二、资格审查要求</w:t>
      </w:r>
      <w:bookmarkEnd w:id="289"/>
      <w:bookmarkEnd w:id="290"/>
      <w:r>
        <w:rPr>
          <w:rFonts w:hint="eastAsia" w:ascii="仿宋" w:hAnsi="仿宋" w:eastAsia="仿宋" w:cs="仿宋"/>
          <w:highlight w:val="none"/>
          <w:lang w:val="hr-HR"/>
        </w:rPr>
        <w:t xml:space="preserve"> </w:t>
      </w:r>
    </w:p>
    <w:tbl>
      <w:tblPr>
        <w:tblStyle w:val="33"/>
        <w:tblW w:w="5435"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99"/>
        <w:gridCol w:w="2076"/>
        <w:gridCol w:w="6033"/>
        <w:gridCol w:w="564"/>
        <w:gridCol w:w="571"/>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评分因素</w:t>
            </w:r>
          </w:p>
        </w:tc>
        <w:tc>
          <w:tcPr>
            <w:tcW w:w="2888" w:type="pct"/>
            <w:vMerge w:val="restart"/>
            <w:tcBorders>
              <w:top w:val="outset" w:color="auto" w:sz="6" w:space="0"/>
              <w:left w:val="outset" w:color="auto" w:sz="6" w:space="0"/>
              <w:bottom w:val="outset" w:color="auto" w:sz="6" w:space="0"/>
              <w:right w:val="outset" w:color="auto" w:sz="6" w:space="0"/>
            </w:tcBorders>
            <w:vAlign w:val="center"/>
          </w:tcPr>
          <w:p w14:paraId="40980C7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评审标准</w:t>
            </w:r>
          </w:p>
        </w:tc>
        <w:tc>
          <w:tcPr>
            <w:tcW w:w="543" w:type="pct"/>
            <w:gridSpan w:val="2"/>
            <w:tcBorders>
              <w:top w:val="outset" w:color="auto" w:sz="6" w:space="0"/>
              <w:left w:val="outset" w:color="auto" w:sz="6" w:space="0"/>
              <w:bottom w:val="outset" w:color="auto" w:sz="6" w:space="0"/>
              <w:right w:val="outset" w:color="auto" w:sz="6" w:space="0"/>
            </w:tcBorders>
            <w:vAlign w:val="center"/>
          </w:tcPr>
          <w:p w14:paraId="4923C78A">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888" w:type="pct"/>
            <w:vMerge w:val="continue"/>
            <w:tcBorders>
              <w:top w:val="outset" w:color="auto" w:sz="6" w:space="0"/>
              <w:left w:val="outset" w:color="auto" w:sz="6" w:space="0"/>
              <w:bottom w:val="outset" w:color="auto" w:sz="6" w:space="0"/>
              <w:right w:val="outset" w:color="auto" w:sz="6" w:space="0"/>
            </w:tcBorders>
            <w:vAlign w:val="center"/>
          </w:tcPr>
          <w:p w14:paraId="18A867CA">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0" w:type="pct"/>
            <w:tcBorders>
              <w:top w:val="outset" w:color="auto" w:sz="6" w:space="0"/>
              <w:left w:val="outset" w:color="auto" w:sz="6" w:space="0"/>
              <w:bottom w:val="outset" w:color="auto" w:sz="6" w:space="0"/>
              <w:right w:val="outset" w:color="auto" w:sz="6" w:space="0"/>
            </w:tcBorders>
            <w:vAlign w:val="center"/>
          </w:tcPr>
          <w:p w14:paraId="0218E882">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c>
          <w:tcPr>
            <w:tcW w:w="273" w:type="pct"/>
            <w:tcBorders>
              <w:top w:val="outset" w:color="auto" w:sz="6" w:space="0"/>
              <w:left w:val="outset" w:color="auto" w:sz="6" w:space="0"/>
              <w:bottom w:val="outset" w:color="auto" w:sz="6" w:space="0"/>
              <w:right w:val="outset" w:color="auto" w:sz="6" w:space="0"/>
            </w:tcBorders>
            <w:vAlign w:val="center"/>
          </w:tcPr>
          <w:p w14:paraId="32881315">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资格检查</w:t>
            </w:r>
          </w:p>
        </w:tc>
        <w:tc>
          <w:tcPr>
            <w:tcW w:w="993" w:type="pct"/>
            <w:tcBorders>
              <w:top w:val="outset" w:color="auto" w:sz="6" w:space="0"/>
              <w:left w:val="outset" w:color="auto" w:sz="6" w:space="0"/>
              <w:bottom w:val="outset" w:color="auto" w:sz="6" w:space="0"/>
              <w:right w:val="outset" w:color="auto" w:sz="6" w:space="0"/>
            </w:tcBorders>
            <w:vAlign w:val="center"/>
          </w:tcPr>
          <w:p w14:paraId="441F20D4">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具有独立承担民事责任的能力</w:t>
            </w:r>
          </w:p>
        </w:tc>
        <w:tc>
          <w:tcPr>
            <w:tcW w:w="2888" w:type="pct"/>
            <w:tcBorders>
              <w:top w:val="outset" w:color="auto" w:sz="6" w:space="0"/>
              <w:left w:val="outset" w:color="auto" w:sz="6" w:space="0"/>
              <w:bottom w:val="outset" w:color="auto" w:sz="6" w:space="0"/>
              <w:right w:val="outset" w:color="auto" w:sz="6" w:space="0"/>
            </w:tcBorders>
            <w:vAlign w:val="center"/>
          </w:tcPr>
          <w:p w14:paraId="5FC16FD9">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投标时，</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提供在中华人民共和国境内注册的法人或其他组织的营业执照或事业单位法人证书或社会团体法人登记证书复印件/扫描件）</w:t>
            </w:r>
          </w:p>
        </w:tc>
        <w:tc>
          <w:tcPr>
            <w:tcW w:w="270" w:type="pct"/>
            <w:tcBorders>
              <w:top w:val="outset" w:color="auto" w:sz="6" w:space="0"/>
              <w:left w:val="outset" w:color="auto" w:sz="6" w:space="0"/>
              <w:bottom w:val="outset" w:color="auto" w:sz="6" w:space="0"/>
              <w:right w:val="outset" w:color="auto" w:sz="6" w:space="0"/>
            </w:tcBorders>
            <w:vAlign w:val="center"/>
          </w:tcPr>
          <w:p w14:paraId="5D07E7F7">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10096DFE">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17"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75364C73">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具有良好的商业信誉和健全的财务会计制度</w:t>
            </w:r>
          </w:p>
        </w:tc>
        <w:tc>
          <w:tcPr>
            <w:tcW w:w="2888" w:type="pct"/>
            <w:tcBorders>
              <w:top w:val="outset" w:color="auto" w:sz="6" w:space="0"/>
              <w:left w:val="outset" w:color="auto" w:sz="6" w:space="0"/>
              <w:bottom w:val="outset" w:color="auto" w:sz="6" w:space="0"/>
              <w:right w:val="outset" w:color="auto" w:sz="6" w:space="0"/>
            </w:tcBorders>
            <w:vAlign w:val="center"/>
          </w:tcPr>
          <w:p w14:paraId="72E778B1">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提供2024年或2025年度任意一年经第三方审计出具的审计报告复印件/扫描件并加盖公章或财务状况报表或近一年内银行提供的资信证明（新公司从成立之日起算）</w:t>
            </w:r>
          </w:p>
          <w:p w14:paraId="63C46854">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（注：财务报表应至少包括资产负债表、利润表、现金流量表或财务状况变动表，当月新成立公司不需提供）</w:t>
            </w:r>
          </w:p>
        </w:tc>
        <w:tc>
          <w:tcPr>
            <w:tcW w:w="270" w:type="pct"/>
            <w:tcBorders>
              <w:top w:val="outset" w:color="auto" w:sz="6" w:space="0"/>
              <w:left w:val="outset" w:color="auto" w:sz="6" w:space="0"/>
              <w:bottom w:val="outset" w:color="auto" w:sz="6" w:space="0"/>
              <w:right w:val="outset" w:color="auto" w:sz="6" w:space="0"/>
            </w:tcBorders>
            <w:vAlign w:val="center"/>
          </w:tcPr>
          <w:p w14:paraId="6E4D79CE">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1126D1FF">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33A1E96D">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有依法缴纳税收和社会保障资金的良好记录</w:t>
            </w:r>
          </w:p>
        </w:tc>
        <w:tc>
          <w:tcPr>
            <w:tcW w:w="2888" w:type="pct"/>
            <w:tcBorders>
              <w:top w:val="outset" w:color="auto" w:sz="6" w:space="0"/>
              <w:left w:val="outset" w:color="auto" w:sz="6" w:space="0"/>
              <w:bottom w:val="outset" w:color="auto" w:sz="6" w:space="0"/>
              <w:right w:val="outset" w:color="auto" w:sz="6" w:space="0"/>
            </w:tcBorders>
            <w:vAlign w:val="center"/>
          </w:tcPr>
          <w:p w14:paraId="1F0CF52E">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270" w:type="pct"/>
            <w:tcBorders>
              <w:top w:val="outset" w:color="auto" w:sz="6" w:space="0"/>
              <w:left w:val="outset" w:color="auto" w:sz="6" w:space="0"/>
              <w:bottom w:val="outset" w:color="auto" w:sz="6" w:space="0"/>
              <w:right w:val="outset" w:color="auto" w:sz="6" w:space="0"/>
            </w:tcBorders>
            <w:vAlign w:val="center"/>
          </w:tcPr>
          <w:p w14:paraId="75675DC1">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21E06394">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748D6FEE">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具有履行合同所必需的设备和专业技术能力</w:t>
            </w:r>
          </w:p>
        </w:tc>
        <w:tc>
          <w:tcPr>
            <w:tcW w:w="2888" w:type="pct"/>
            <w:tcBorders>
              <w:top w:val="outset" w:color="auto" w:sz="6" w:space="0"/>
              <w:left w:val="outset" w:color="auto" w:sz="6" w:space="0"/>
              <w:bottom w:val="outset" w:color="auto" w:sz="6" w:space="0"/>
              <w:right w:val="outset" w:color="auto" w:sz="6" w:space="0"/>
            </w:tcBorders>
            <w:vAlign w:val="center"/>
          </w:tcPr>
          <w:p w14:paraId="2E734AEA">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投标人履行合同所必须的设备和专业技术能力的证明材料或声明。（投标时，投标人出具承诺函，承诺满足要求，加盖投标人公章。）</w:t>
            </w:r>
          </w:p>
        </w:tc>
        <w:tc>
          <w:tcPr>
            <w:tcW w:w="270" w:type="pct"/>
            <w:tcBorders>
              <w:top w:val="outset" w:color="auto" w:sz="6" w:space="0"/>
              <w:left w:val="outset" w:color="auto" w:sz="6" w:space="0"/>
              <w:bottom w:val="outset" w:color="auto" w:sz="6" w:space="0"/>
              <w:right w:val="outset" w:color="auto" w:sz="6" w:space="0"/>
            </w:tcBorders>
            <w:vAlign w:val="center"/>
          </w:tcPr>
          <w:p w14:paraId="44F35014">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331F6C2E">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08"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675F26C0">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w:t>
            </w:r>
          </w:p>
        </w:tc>
        <w:tc>
          <w:tcPr>
            <w:tcW w:w="2888" w:type="pct"/>
            <w:tcBorders>
              <w:top w:val="outset" w:color="auto" w:sz="6" w:space="0"/>
              <w:left w:val="outset" w:color="auto" w:sz="6" w:space="0"/>
              <w:bottom w:val="outset" w:color="auto" w:sz="6" w:space="0"/>
              <w:right w:val="outset" w:color="auto" w:sz="6" w:space="0"/>
            </w:tcBorders>
            <w:vAlign w:val="center"/>
          </w:tcPr>
          <w:p w14:paraId="153A4FE3">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参加政府采购活动前三年内在经营活动中没有重大违法记录的书面声明。（投标时，投标人出具承诺函，加盖投标人公章。）</w:t>
            </w:r>
          </w:p>
          <w:p w14:paraId="1F507CC7">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270" w:type="pct"/>
            <w:tcBorders>
              <w:top w:val="outset" w:color="auto" w:sz="6" w:space="0"/>
              <w:left w:val="outset" w:color="auto" w:sz="6" w:space="0"/>
              <w:bottom w:val="outset" w:color="auto" w:sz="6" w:space="0"/>
              <w:right w:val="outset" w:color="auto" w:sz="6" w:space="0"/>
            </w:tcBorders>
            <w:vAlign w:val="center"/>
          </w:tcPr>
          <w:p w14:paraId="26ECFA5C">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6749EEBE">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5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0B000683">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信用记录</w:t>
            </w:r>
          </w:p>
        </w:tc>
        <w:tc>
          <w:tcPr>
            <w:tcW w:w="2888" w:type="pct"/>
            <w:tcBorders>
              <w:top w:val="outset" w:color="auto" w:sz="6" w:space="0"/>
              <w:left w:val="outset" w:color="auto" w:sz="6" w:space="0"/>
              <w:bottom w:val="outset" w:color="auto" w:sz="6" w:space="0"/>
              <w:right w:val="outset" w:color="auto" w:sz="6" w:space="0"/>
            </w:tcBorders>
            <w:vAlign w:val="center"/>
          </w:tcPr>
          <w:p w14:paraId="7029D305">
            <w:pPr>
              <w:pStyle w:val="63"/>
              <w:keepNext w:val="0"/>
              <w:keepLines w:val="0"/>
              <w:pageBreakBefore w:val="0"/>
              <w:kinsoku/>
              <w:wordWrap w:val="0"/>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未被列入“信用中国”网站(www.creditchina.gov.cn)“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270" w:type="pct"/>
            <w:tcBorders>
              <w:top w:val="outset" w:color="auto" w:sz="6" w:space="0"/>
              <w:left w:val="outset" w:color="auto" w:sz="6" w:space="0"/>
              <w:bottom w:val="outset" w:color="auto" w:sz="6" w:space="0"/>
              <w:right w:val="outset" w:color="auto" w:sz="6" w:space="0"/>
            </w:tcBorders>
            <w:vAlign w:val="center"/>
          </w:tcPr>
          <w:p w14:paraId="45C20780">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5DFFDB09">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47571A5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2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3D877A">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18155392">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控股、管理关系</w:t>
            </w:r>
          </w:p>
        </w:tc>
        <w:tc>
          <w:tcPr>
            <w:tcW w:w="2888" w:type="pct"/>
            <w:tcBorders>
              <w:top w:val="outset" w:color="auto" w:sz="6" w:space="0"/>
              <w:left w:val="outset" w:color="auto" w:sz="6" w:space="0"/>
              <w:bottom w:val="outset" w:color="auto" w:sz="6" w:space="0"/>
              <w:right w:val="outset" w:color="auto" w:sz="6" w:space="0"/>
            </w:tcBorders>
            <w:vAlign w:val="center"/>
          </w:tcPr>
          <w:p w14:paraId="7448D163">
            <w:pPr>
              <w:pStyle w:val="53"/>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单位负责人为同一人或者存在直接控股、管理关系的不同供应商，不得参加同一合同项下的政府采购活动。与采购人存在利害关系可能影响招标公正性的法人、其他组织或者个人，不得参加投标。</w:t>
            </w:r>
          </w:p>
          <w:p w14:paraId="3C469AB1">
            <w:pPr>
              <w:pStyle w:val="53"/>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（投标时，供应商需按照招标文件第七章 投标文件格式出具《控股、管理关系声明函》，加盖供应商公章）。</w:t>
            </w:r>
          </w:p>
        </w:tc>
        <w:tc>
          <w:tcPr>
            <w:tcW w:w="270" w:type="pct"/>
            <w:tcBorders>
              <w:top w:val="outset" w:color="auto" w:sz="6" w:space="0"/>
              <w:left w:val="outset" w:color="auto" w:sz="6" w:space="0"/>
              <w:bottom w:val="outset" w:color="auto" w:sz="6" w:space="0"/>
              <w:right w:val="outset" w:color="auto" w:sz="6" w:space="0"/>
            </w:tcBorders>
            <w:vAlign w:val="center"/>
          </w:tcPr>
          <w:p w14:paraId="7FB26818">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46B71417">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9E32F8E">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0391C9F6">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存在利害关系</w:t>
            </w:r>
          </w:p>
        </w:tc>
        <w:tc>
          <w:tcPr>
            <w:tcW w:w="2888" w:type="pct"/>
            <w:tcBorders>
              <w:top w:val="outset" w:color="auto" w:sz="6" w:space="0"/>
              <w:left w:val="outset" w:color="auto" w:sz="6" w:space="0"/>
              <w:bottom w:val="outset" w:color="auto" w:sz="6" w:space="0"/>
              <w:right w:val="outset" w:color="auto" w:sz="6" w:space="0"/>
            </w:tcBorders>
            <w:vAlign w:val="center"/>
          </w:tcPr>
          <w:p w14:paraId="663BDAC5">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除单一来源采购项目外，为采购项目提供整体设计、规范编制或者项目管理、监理、检测等服务的供应商，不得再参加该采购项目的其他采购活动。</w:t>
            </w:r>
          </w:p>
          <w:p w14:paraId="3BEB4103">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（投标时，供应商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出具承诺函，加盖供应商公章）</w:t>
            </w:r>
          </w:p>
        </w:tc>
        <w:tc>
          <w:tcPr>
            <w:tcW w:w="270" w:type="pct"/>
            <w:tcBorders>
              <w:top w:val="outset" w:color="auto" w:sz="6" w:space="0"/>
              <w:left w:val="outset" w:color="auto" w:sz="6" w:space="0"/>
              <w:bottom w:val="outset" w:color="auto" w:sz="6" w:space="0"/>
              <w:right w:val="outset" w:color="auto" w:sz="6" w:space="0"/>
            </w:tcBorders>
            <w:vAlign w:val="center"/>
          </w:tcPr>
          <w:p w14:paraId="00636E8B">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1C470356">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7BCCF28E">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w:t>
            </w:r>
          </w:p>
        </w:tc>
        <w:tc>
          <w:tcPr>
            <w:tcW w:w="2888" w:type="pct"/>
            <w:tcBorders>
              <w:top w:val="outset" w:color="auto" w:sz="6" w:space="0"/>
              <w:left w:val="outset" w:color="auto" w:sz="6" w:space="0"/>
              <w:bottom w:val="outset" w:color="auto" w:sz="6" w:space="0"/>
              <w:right w:val="outset" w:color="auto" w:sz="6" w:space="0"/>
            </w:tcBorders>
            <w:vAlign w:val="center"/>
          </w:tcPr>
          <w:p w14:paraId="33527419">
            <w:pPr>
              <w:pStyle w:val="63"/>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w:t>
            </w:r>
          </w:p>
        </w:tc>
        <w:tc>
          <w:tcPr>
            <w:tcW w:w="270" w:type="pct"/>
            <w:tcBorders>
              <w:top w:val="outset" w:color="auto" w:sz="6" w:space="0"/>
              <w:left w:val="outset" w:color="auto" w:sz="6" w:space="0"/>
              <w:bottom w:val="outset" w:color="auto" w:sz="6" w:space="0"/>
              <w:right w:val="outset" w:color="auto" w:sz="6" w:space="0"/>
            </w:tcBorders>
            <w:vAlign w:val="center"/>
          </w:tcPr>
          <w:p w14:paraId="2A30323A">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58A598D9">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c>
          <w:tcPr>
            <w:tcW w:w="993" w:type="pct"/>
            <w:tcBorders>
              <w:top w:val="outset" w:color="auto" w:sz="6" w:space="0"/>
              <w:left w:val="outset" w:color="auto" w:sz="6" w:space="0"/>
              <w:bottom w:val="outset" w:color="auto" w:sz="6" w:space="0"/>
              <w:right w:val="outset" w:color="auto" w:sz="6" w:space="0"/>
            </w:tcBorders>
            <w:vAlign w:val="center"/>
          </w:tcPr>
          <w:p w14:paraId="6822005F">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落实政府采购政策需满足的资格要求</w:t>
            </w:r>
          </w:p>
        </w:tc>
        <w:tc>
          <w:tcPr>
            <w:tcW w:w="2888" w:type="pct"/>
            <w:tcBorders>
              <w:top w:val="outset" w:color="auto" w:sz="6" w:space="0"/>
              <w:left w:val="outset" w:color="auto" w:sz="6" w:space="0"/>
              <w:bottom w:val="outset" w:color="auto" w:sz="6" w:space="0"/>
              <w:right w:val="outset" w:color="auto" w:sz="6" w:space="0"/>
            </w:tcBorders>
            <w:vAlign w:val="center"/>
          </w:tcPr>
          <w:p w14:paraId="0CA5F3B9">
            <w:pPr>
              <w:pStyle w:val="63"/>
              <w:keepNext w:val="0"/>
              <w:keepLines w:val="0"/>
              <w:pageBreakBefore w:val="0"/>
              <w:kinsoku/>
              <w:overflowPunct/>
              <w:topLinePunct w:val="0"/>
              <w:autoSpaceDE/>
              <w:autoSpaceDN/>
              <w:bidi w:val="0"/>
              <w:adjustRightInd/>
              <w:snapToGrid/>
              <w:spacing w:line="400" w:lineRule="exact"/>
              <w:ind w:left="120" w:leftChars="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本项目属于专门面向中小企业采购项目。</w:t>
            </w:r>
          </w:p>
        </w:tc>
        <w:tc>
          <w:tcPr>
            <w:tcW w:w="270" w:type="pct"/>
            <w:tcBorders>
              <w:top w:val="outset" w:color="auto" w:sz="6" w:space="0"/>
              <w:left w:val="outset" w:color="auto" w:sz="6" w:space="0"/>
              <w:bottom w:val="outset" w:color="auto" w:sz="6" w:space="0"/>
              <w:right w:val="outset" w:color="auto" w:sz="6" w:space="0"/>
            </w:tcBorders>
            <w:vAlign w:val="center"/>
          </w:tcPr>
          <w:p w14:paraId="184944C6">
            <w:pPr>
              <w:pStyle w:val="53"/>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szCs w:val="24"/>
                <w:highlight w:val="none"/>
              </w:rPr>
            </w:pPr>
          </w:p>
        </w:tc>
        <w:tc>
          <w:tcPr>
            <w:tcW w:w="273" w:type="pct"/>
            <w:tcBorders>
              <w:top w:val="outset" w:color="auto" w:sz="6" w:space="0"/>
              <w:left w:val="outset" w:color="auto" w:sz="6" w:space="0"/>
              <w:bottom w:val="outset" w:color="auto" w:sz="6" w:space="0"/>
              <w:right w:val="outset" w:color="auto" w:sz="6" w:space="0"/>
            </w:tcBorders>
            <w:vAlign w:val="center"/>
          </w:tcPr>
          <w:p w14:paraId="5AA45CDF">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tc>
      </w:tr>
    </w:tbl>
    <w:p w14:paraId="1D72EC9C">
      <w:pPr>
        <w:rPr>
          <w:rFonts w:hint="eastAsia" w:ascii="仿宋" w:hAnsi="仿宋" w:eastAsia="仿宋" w:cs="仿宋"/>
          <w:highlight w:val="none"/>
        </w:rPr>
      </w:pPr>
      <w:r>
        <w:rPr>
          <w:rFonts w:hint="eastAsia" w:ascii="仿宋" w:hAnsi="仿宋" w:eastAsia="仿宋" w:cs="仿宋"/>
          <w:highlight w:val="none"/>
          <w:lang w:bidi="ar"/>
        </w:rPr>
        <w:t xml:space="preserve"> </w:t>
      </w:r>
    </w:p>
    <w:p w14:paraId="64DF6EE9">
      <w:pPr>
        <w:rPr>
          <w:rFonts w:hint="eastAsia" w:ascii="仿宋" w:hAnsi="仿宋" w:eastAsia="仿宋" w:cs="仿宋"/>
          <w:highlight w:val="none"/>
        </w:rPr>
      </w:pPr>
      <w:r>
        <w:rPr>
          <w:rFonts w:hint="eastAsia" w:ascii="仿宋" w:hAnsi="仿宋" w:eastAsia="仿宋" w:cs="仿宋"/>
          <w:highlight w:val="none"/>
          <w:lang w:bidi="ar"/>
        </w:rPr>
        <w:t xml:space="preserve"> </w:t>
      </w:r>
    </w:p>
    <w:p w14:paraId="36E64832">
      <w:pPr>
        <w:rPr>
          <w:rFonts w:hint="eastAsia" w:ascii="仿宋" w:hAnsi="仿宋" w:eastAsia="仿宋" w:cs="仿宋"/>
          <w:highlight w:val="none"/>
        </w:rPr>
      </w:pPr>
      <w:bookmarkStart w:id="291" w:name="_Toc155185903"/>
      <w:bookmarkStart w:id="292" w:name="_Toc163492899"/>
      <w:bookmarkStart w:id="293" w:name="_Toc11221"/>
      <w:r>
        <w:rPr>
          <w:rFonts w:hint="eastAsia" w:ascii="仿宋" w:hAnsi="仿宋" w:eastAsia="仿宋" w:cs="仿宋"/>
          <w:highlight w:val="none"/>
        </w:rPr>
        <w:br w:type="page"/>
      </w:r>
    </w:p>
    <w:p w14:paraId="359BE85A">
      <w:pPr>
        <w:pStyle w:val="2"/>
        <w:bidi w:val="0"/>
        <w:rPr>
          <w:rFonts w:hint="eastAsia" w:ascii="仿宋" w:hAnsi="仿宋" w:eastAsia="仿宋" w:cs="仿宋"/>
          <w:highlight w:val="none"/>
        </w:rPr>
      </w:pPr>
      <w:r>
        <w:rPr>
          <w:rFonts w:hint="eastAsia" w:ascii="仿宋" w:hAnsi="仿宋" w:eastAsia="仿宋" w:cs="仿宋"/>
          <w:highlight w:val="none"/>
        </w:rPr>
        <w:t>第五章 评标方法</w:t>
      </w:r>
      <w:bookmarkEnd w:id="291"/>
      <w:r>
        <w:rPr>
          <w:rFonts w:hint="eastAsia" w:ascii="仿宋" w:hAnsi="仿宋" w:eastAsia="仿宋" w:cs="仿宋"/>
          <w:highlight w:val="none"/>
        </w:rPr>
        <w:t>及标准</w:t>
      </w:r>
      <w:bookmarkEnd w:id="292"/>
      <w:r>
        <w:rPr>
          <w:rFonts w:hint="eastAsia" w:ascii="仿宋" w:hAnsi="仿宋" w:eastAsia="仿宋" w:cs="仿宋"/>
          <w:highlight w:val="none"/>
        </w:rPr>
        <w:t>(综合评分法)</w:t>
      </w:r>
      <w:bookmarkEnd w:id="293"/>
    </w:p>
    <w:p w14:paraId="2A067B2B">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根据《中华人民共和国政府采购法》及其实施条例、《政府采购货物和服务招标投标管理办法》</w:t>
      </w:r>
      <w:r>
        <w:rPr>
          <w:rFonts w:hint="eastAsia" w:ascii="仿宋" w:hAnsi="仿宋" w:eastAsia="仿宋" w:cs="仿宋"/>
          <w:sz w:val="24"/>
          <w:szCs w:val="24"/>
          <w:highlight w:val="none"/>
          <w:lang w:val="en-US"/>
        </w:rPr>
        <w:t>及</w:t>
      </w:r>
      <w:r>
        <w:rPr>
          <w:rFonts w:hint="eastAsia" w:ascii="仿宋" w:hAnsi="仿宋" w:eastAsia="仿宋" w:cs="仿宋"/>
          <w:sz w:val="24"/>
          <w:szCs w:val="24"/>
          <w:highlight w:val="none"/>
        </w:rPr>
        <w:t>相关法律法规确定以下评标</w:t>
      </w:r>
      <w:r>
        <w:rPr>
          <w:rFonts w:hint="eastAsia" w:ascii="仿宋" w:hAnsi="仿宋" w:eastAsia="仿宋" w:cs="仿宋"/>
          <w:sz w:val="24"/>
          <w:szCs w:val="24"/>
          <w:highlight w:val="none"/>
          <w:lang w:val="en-US"/>
        </w:rPr>
        <w:t>方</w:t>
      </w:r>
      <w:r>
        <w:rPr>
          <w:rFonts w:hint="eastAsia" w:ascii="仿宋" w:hAnsi="仿宋" w:eastAsia="仿宋" w:cs="仿宋"/>
          <w:sz w:val="24"/>
          <w:szCs w:val="24"/>
          <w:highlight w:val="none"/>
        </w:rPr>
        <w:t>法及标准。</w:t>
      </w:r>
    </w:p>
    <w:p w14:paraId="59EE192E">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bookmarkStart w:id="294" w:name="_Toc163492900"/>
      <w:bookmarkStart w:id="295" w:name="_Toc18841"/>
      <w:bookmarkStart w:id="296" w:name="_Toc272247709"/>
      <w:bookmarkStart w:id="297" w:name="_Toc278891606"/>
      <w:bookmarkStart w:id="298" w:name="_Toc140132826"/>
      <w:bookmarkStart w:id="299" w:name="_Toc494561962"/>
      <w:bookmarkStart w:id="300" w:name="_Toc109900322"/>
      <w:bookmarkStart w:id="301" w:name="_Toc61280402"/>
      <w:bookmarkStart w:id="302" w:name="_Toc511894518"/>
      <w:bookmarkStart w:id="303" w:name="_Toc109899903"/>
      <w:bookmarkStart w:id="304" w:name="_Toc155185905"/>
      <w:bookmarkStart w:id="305" w:name="_Toc109899484"/>
      <w:r>
        <w:rPr>
          <w:rFonts w:hint="eastAsia" w:ascii="仿宋" w:hAnsi="仿宋" w:eastAsia="仿宋" w:cs="仿宋"/>
          <w:sz w:val="24"/>
          <w:szCs w:val="24"/>
          <w:highlight w:val="none"/>
          <w:lang w:val="zh-CN"/>
        </w:rPr>
        <w:t>一、评标</w:t>
      </w:r>
      <w:r>
        <w:rPr>
          <w:rFonts w:hint="eastAsia" w:ascii="仿宋" w:hAnsi="仿宋" w:eastAsia="仿宋" w:cs="仿宋"/>
          <w:sz w:val="24"/>
          <w:szCs w:val="24"/>
          <w:highlight w:val="none"/>
          <w:lang w:val="hr-HR"/>
        </w:rPr>
        <w:t>方</w:t>
      </w:r>
      <w:r>
        <w:rPr>
          <w:rFonts w:hint="eastAsia" w:ascii="仿宋" w:hAnsi="仿宋" w:eastAsia="仿宋" w:cs="仿宋"/>
          <w:sz w:val="24"/>
          <w:szCs w:val="24"/>
          <w:highlight w:val="none"/>
          <w:lang w:val="zh-CN"/>
        </w:rPr>
        <w:t>法</w:t>
      </w:r>
      <w:bookmarkEnd w:id="294"/>
      <w:bookmarkEnd w:id="295"/>
    </w:p>
    <w:p w14:paraId="5D4836F1">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bCs/>
          <w:sz w:val="24"/>
          <w:szCs w:val="24"/>
          <w:highlight w:val="none"/>
        </w:rPr>
        <w:t>本项目采用综合评分法</w:t>
      </w:r>
      <w:r>
        <w:rPr>
          <w:rFonts w:hint="eastAsia" w:ascii="仿宋" w:hAnsi="仿宋" w:eastAsia="仿宋" w:cs="仿宋"/>
          <w:sz w:val="24"/>
          <w:szCs w:val="24"/>
          <w:highlight w:val="none"/>
        </w:rPr>
        <w:t>。综合评分法，是指投标文件满足招标文件全部实质性要求，且按照评审因素的量化指标评审得分最高的投标人为中标候选人的评标方法。</w:t>
      </w:r>
    </w:p>
    <w:p w14:paraId="4533A7D9">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bookmarkStart w:id="306" w:name="_Toc20986"/>
      <w:r>
        <w:rPr>
          <w:rFonts w:hint="eastAsia" w:ascii="仿宋" w:hAnsi="仿宋" w:eastAsia="仿宋" w:cs="仿宋"/>
          <w:sz w:val="24"/>
          <w:szCs w:val="24"/>
          <w:highlight w:val="none"/>
          <w:lang w:val="zh-CN"/>
        </w:rPr>
        <w:t>二、评标程序</w:t>
      </w:r>
      <w:bookmarkEnd w:id="306"/>
    </w:p>
    <w:p w14:paraId="63ABCD08">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（一）符合性审查</w:t>
      </w:r>
    </w:p>
    <w:p w14:paraId="4A0C45A9">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评标委员会应当对</w:t>
      </w:r>
      <w:r>
        <w:rPr>
          <w:rFonts w:hint="eastAsia" w:ascii="仿宋" w:hAnsi="仿宋" w:eastAsia="仿宋" w:cs="仿宋"/>
          <w:sz w:val="24"/>
          <w:szCs w:val="24"/>
          <w:highlight w:val="none"/>
          <w:lang w:val="en-US"/>
        </w:rPr>
        <w:t>通过</w:t>
      </w:r>
      <w:r>
        <w:rPr>
          <w:rFonts w:hint="eastAsia" w:ascii="仿宋" w:hAnsi="仿宋" w:eastAsia="仿宋" w:cs="仿宋"/>
          <w:sz w:val="24"/>
          <w:szCs w:val="24"/>
          <w:highlight w:val="none"/>
        </w:rPr>
        <w:t>资格</w:t>
      </w:r>
      <w:r>
        <w:rPr>
          <w:rFonts w:hint="eastAsia" w:ascii="仿宋" w:hAnsi="仿宋" w:eastAsia="仿宋" w:cs="仿宋"/>
          <w:sz w:val="24"/>
          <w:szCs w:val="24"/>
          <w:highlight w:val="none"/>
          <w:lang w:val="en-US"/>
        </w:rPr>
        <w:t>审查</w:t>
      </w:r>
      <w:r>
        <w:rPr>
          <w:rFonts w:hint="eastAsia" w:ascii="仿宋" w:hAnsi="仿宋" w:eastAsia="仿宋" w:cs="仿宋"/>
          <w:sz w:val="24"/>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仿宋" w:hAnsi="仿宋" w:eastAsia="仿宋" w:cs="仿宋"/>
          <w:sz w:val="24"/>
          <w:szCs w:val="24"/>
          <w:highlight w:val="none"/>
          <w:lang w:val="en-US"/>
        </w:rPr>
        <w:t>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具体内容详见</w:t>
      </w:r>
      <w:r>
        <w:rPr>
          <w:rFonts w:hint="eastAsia" w:ascii="仿宋" w:hAnsi="仿宋" w:eastAsia="仿宋" w:cs="仿宋"/>
          <w:sz w:val="24"/>
          <w:szCs w:val="24"/>
          <w:highlight w:val="none"/>
        </w:rPr>
        <w:t>本章“</w:t>
      </w:r>
      <w:r>
        <w:rPr>
          <w:rFonts w:hint="eastAsia" w:ascii="仿宋" w:hAnsi="仿宋" w:eastAsia="仿宋" w:cs="仿宋"/>
          <w:sz w:val="24"/>
          <w:szCs w:val="24"/>
          <w:highlight w:val="none"/>
          <w:lang w:val="en-US"/>
        </w:rPr>
        <w:t>四</w:t>
      </w:r>
      <w:r>
        <w:rPr>
          <w:rFonts w:hint="eastAsia" w:ascii="仿宋" w:hAnsi="仿宋" w:eastAsia="仿宋" w:cs="仿宋"/>
          <w:sz w:val="24"/>
          <w:szCs w:val="24"/>
          <w:highlight w:val="none"/>
        </w:rPr>
        <w:t>、评标标准”中</w:t>
      </w:r>
      <w:r>
        <w:rPr>
          <w:rFonts w:hint="eastAsia" w:ascii="仿宋" w:hAnsi="仿宋" w:eastAsia="仿宋" w:cs="仿宋"/>
          <w:sz w:val="24"/>
          <w:szCs w:val="24"/>
          <w:highlight w:val="none"/>
          <w:lang w:val="en-US"/>
        </w:rPr>
        <w:t>的</w:t>
      </w:r>
      <w:r>
        <w:rPr>
          <w:rFonts w:hint="eastAsia" w:ascii="仿宋" w:hAnsi="仿宋" w:eastAsia="仿宋" w:cs="仿宋"/>
          <w:sz w:val="24"/>
          <w:szCs w:val="24"/>
          <w:highlight w:val="none"/>
        </w:rPr>
        <w:t>“（一）符合性审查”。</w:t>
      </w:r>
    </w:p>
    <w:p w14:paraId="1C0D931E">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通过</w:t>
      </w:r>
      <w:r>
        <w:rPr>
          <w:rFonts w:hint="eastAsia" w:ascii="仿宋" w:hAnsi="仿宋" w:eastAsia="仿宋" w:cs="仿宋"/>
          <w:sz w:val="24"/>
          <w:szCs w:val="24"/>
          <w:highlight w:val="none"/>
        </w:rPr>
        <w:t>符合性审查</w:t>
      </w:r>
      <w:r>
        <w:rPr>
          <w:rFonts w:hint="eastAsia" w:ascii="仿宋" w:hAnsi="仿宋" w:eastAsia="仿宋" w:cs="仿宋"/>
          <w:sz w:val="24"/>
          <w:szCs w:val="24"/>
          <w:highlight w:val="none"/>
          <w:lang w:val="en-US"/>
        </w:rPr>
        <w:t>的</w:t>
      </w:r>
      <w:r>
        <w:rPr>
          <w:rFonts w:hint="eastAsia" w:ascii="仿宋" w:hAnsi="仿宋" w:eastAsia="仿宋" w:cs="仿宋"/>
          <w:sz w:val="24"/>
          <w:szCs w:val="24"/>
          <w:highlight w:val="none"/>
        </w:rPr>
        <w:t>有效供应商不足3家的应当终止采购活动，发布项目终止公告并说明原因，重新开展采购活动。</w:t>
      </w:r>
    </w:p>
    <w:p w14:paraId="1C213F69">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bookmarkStart w:id="307" w:name="_Toc155185907"/>
      <w:bookmarkStart w:id="308" w:name="_Toc102056244"/>
      <w:bookmarkStart w:id="309" w:name="_Toc102116178"/>
      <w:bookmarkStart w:id="310" w:name="_Toc102057744"/>
      <w:bookmarkStart w:id="311" w:name="_Toc102116048"/>
      <w:bookmarkStart w:id="312" w:name="_Toc102119879"/>
      <w:bookmarkStart w:id="313" w:name="_Toc102114946"/>
      <w:bookmarkStart w:id="314" w:name="_Toc163492903"/>
      <w:r>
        <w:rPr>
          <w:rFonts w:hint="eastAsia" w:ascii="仿宋" w:hAnsi="仿宋" w:eastAsia="仿宋" w:cs="仿宋"/>
          <w:sz w:val="24"/>
          <w:szCs w:val="24"/>
          <w:highlight w:val="none"/>
          <w:lang w:val="zh-CN"/>
        </w:rPr>
        <w:t>（二）投标文件澄清</w:t>
      </w:r>
      <w:bookmarkEnd w:id="307"/>
      <w:bookmarkEnd w:id="308"/>
      <w:bookmarkEnd w:id="309"/>
      <w:bookmarkEnd w:id="310"/>
      <w:bookmarkEnd w:id="311"/>
      <w:bookmarkEnd w:id="312"/>
      <w:bookmarkEnd w:id="313"/>
      <w:r>
        <w:rPr>
          <w:rFonts w:hint="eastAsia" w:ascii="仿宋" w:hAnsi="仿宋" w:eastAsia="仿宋" w:cs="仿宋"/>
          <w:sz w:val="24"/>
          <w:szCs w:val="24"/>
          <w:highlight w:val="none"/>
          <w:lang w:val="zh-CN"/>
        </w:rPr>
        <w:t>及修正</w:t>
      </w:r>
      <w:bookmarkEnd w:id="314"/>
    </w:p>
    <w:p w14:paraId="1B9ECCD6">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仿宋" w:hAnsi="仿宋" w:eastAsia="仿宋" w:cs="仿宋"/>
          <w:sz w:val="24"/>
          <w:szCs w:val="24"/>
          <w:highlight w:val="none"/>
          <w:lang w:val="en-US"/>
        </w:rPr>
        <w:t>政采云平台评标</w:t>
      </w:r>
      <w:r>
        <w:rPr>
          <w:rFonts w:hint="eastAsia" w:ascii="仿宋" w:hAnsi="仿宋" w:eastAsia="仿宋" w:cs="仿宋"/>
          <w:sz w:val="24"/>
          <w:szCs w:val="24"/>
          <w:highlight w:val="none"/>
        </w:rPr>
        <w:t>系统中以书面形式要求投标人作出必要的澄清、说明或者补正。</w:t>
      </w:r>
    </w:p>
    <w:p w14:paraId="3ABA223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.投标人应按照评标委员会要求在规定时间内作出澄清、说明或者补正，澄清、说明或者补正不得超出投标文件的范围或者改变投标文件的实质性内容。</w:t>
      </w:r>
    </w:p>
    <w:p w14:paraId="500C4A84">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.投标人的澄清、说明或者补正是其投标文件的有效组成部分，澄清、说明或者补正应当在</w:t>
      </w:r>
      <w:r>
        <w:rPr>
          <w:rFonts w:hint="eastAsia" w:ascii="仿宋" w:hAnsi="仿宋" w:eastAsia="仿宋" w:cs="仿宋"/>
          <w:sz w:val="24"/>
          <w:szCs w:val="24"/>
          <w:highlight w:val="none"/>
          <w:lang w:val="en-US"/>
        </w:rPr>
        <w:t>政采云平台评标</w:t>
      </w:r>
      <w:r>
        <w:rPr>
          <w:rFonts w:hint="eastAsia" w:ascii="仿宋" w:hAnsi="仿宋" w:eastAsia="仿宋" w:cs="仿宋"/>
          <w:sz w:val="24"/>
          <w:szCs w:val="24"/>
          <w:highlight w:val="none"/>
        </w:rPr>
        <w:t>系统中加盖电子印章后提交。</w:t>
      </w:r>
    </w:p>
    <w:p w14:paraId="2AF3276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.报价合理性说明：评标委员会认为投标人的报价明显低于其他通过符合性审查投标人的报价，有可能影响</w:t>
      </w:r>
      <w:r>
        <w:rPr>
          <w:rFonts w:hint="eastAsia" w:ascii="仿宋" w:hAnsi="仿宋" w:eastAsia="仿宋" w:cs="仿宋"/>
          <w:sz w:val="24"/>
          <w:szCs w:val="24"/>
          <w:highlight w:val="none"/>
          <w:lang w:val="en-US"/>
        </w:rPr>
        <w:t>货物</w:t>
      </w:r>
      <w:r>
        <w:rPr>
          <w:rFonts w:hint="eastAsia" w:ascii="仿宋" w:hAnsi="仿宋" w:eastAsia="仿宋" w:cs="仿宋"/>
          <w:sz w:val="24"/>
          <w:szCs w:val="24"/>
          <w:highlight w:val="none"/>
        </w:rPr>
        <w:t>质量或者不能诚信履约的，</w:t>
      </w:r>
      <w:r>
        <w:rPr>
          <w:rFonts w:hint="eastAsia" w:ascii="仿宋" w:hAnsi="仿宋" w:eastAsia="仿宋" w:cs="仿宋"/>
          <w:sz w:val="24"/>
          <w:szCs w:val="24"/>
          <w:highlight w:val="none"/>
          <w:lang w:val="en-US"/>
        </w:rPr>
        <w:t>应当</w:t>
      </w:r>
      <w:r>
        <w:rPr>
          <w:rFonts w:hint="eastAsia" w:ascii="仿宋" w:hAnsi="仿宋" w:eastAsia="仿宋" w:cs="仿宋"/>
          <w:sz w:val="24"/>
          <w:szCs w:val="24"/>
          <w:highlight w:val="none"/>
        </w:rPr>
        <w:t>要求</w:t>
      </w:r>
      <w:r>
        <w:rPr>
          <w:rFonts w:hint="eastAsia" w:ascii="仿宋" w:hAnsi="仿宋" w:eastAsia="仿宋" w:cs="仿宋"/>
          <w:sz w:val="24"/>
          <w:szCs w:val="24"/>
          <w:highlight w:val="none"/>
          <w:lang w:val="en-US"/>
        </w:rPr>
        <w:t>该投标人</w:t>
      </w:r>
      <w:r>
        <w:rPr>
          <w:rFonts w:hint="eastAsia" w:ascii="仿宋" w:hAnsi="仿宋" w:eastAsia="仿宋" w:cs="仿宋"/>
          <w:sz w:val="24"/>
          <w:szCs w:val="24"/>
          <w:highlight w:val="none"/>
        </w:rPr>
        <w:t>在合理的时间内提供说明，必要时提交相关证明材料；</w:t>
      </w:r>
      <w:r>
        <w:rPr>
          <w:rFonts w:hint="eastAsia" w:ascii="仿宋" w:hAnsi="仿宋" w:eastAsia="仿宋" w:cs="仿宋"/>
          <w:sz w:val="24"/>
          <w:szCs w:val="24"/>
          <w:highlight w:val="none"/>
          <w:lang w:val="en-US"/>
        </w:rPr>
        <w:t>若</w:t>
      </w:r>
      <w:r>
        <w:rPr>
          <w:rFonts w:hint="eastAsia" w:ascii="仿宋" w:hAnsi="仿宋" w:eastAsia="仿宋" w:cs="仿宋"/>
          <w:sz w:val="24"/>
          <w:szCs w:val="24"/>
          <w:highlight w:val="none"/>
        </w:rPr>
        <w:t>投标人不能证明其报价合理性的，评标委员</w:t>
      </w:r>
      <w:r>
        <w:rPr>
          <w:rFonts w:hint="eastAsia" w:ascii="仿宋" w:hAnsi="仿宋" w:eastAsia="仿宋" w:cs="仿宋"/>
          <w:sz w:val="24"/>
          <w:szCs w:val="24"/>
          <w:highlight w:val="none"/>
          <w:lang w:val="en-US"/>
        </w:rPr>
        <w:t>会应当</w:t>
      </w:r>
      <w:r>
        <w:rPr>
          <w:rFonts w:hint="eastAsia" w:ascii="仿宋" w:hAnsi="仿宋" w:eastAsia="仿宋" w:cs="仿宋"/>
          <w:sz w:val="24"/>
          <w:szCs w:val="24"/>
          <w:highlight w:val="none"/>
        </w:rPr>
        <w:t>将其作</w:t>
      </w:r>
      <w:r>
        <w:rPr>
          <w:rFonts w:hint="eastAsia" w:ascii="仿宋" w:hAnsi="仿宋" w:eastAsia="仿宋" w:cs="仿宋"/>
          <w:b/>
          <w:bCs/>
          <w:sz w:val="24"/>
          <w:szCs w:val="24"/>
          <w:highlight w:val="none"/>
        </w:rPr>
        <w:t>无效投标</w:t>
      </w:r>
      <w:r>
        <w:rPr>
          <w:rFonts w:hint="eastAsia" w:ascii="仿宋" w:hAnsi="仿宋" w:eastAsia="仿宋" w:cs="仿宋"/>
          <w:sz w:val="24"/>
          <w:szCs w:val="24"/>
          <w:highlight w:val="none"/>
        </w:rPr>
        <w:t>处理。</w:t>
      </w:r>
    </w:p>
    <w:p w14:paraId="0FE7BE4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1951460A">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8.投标文件报价出现前后不一致的，除招标文件另有规定外，按照下列规定修正：</w:t>
      </w:r>
    </w:p>
    <w:p w14:paraId="4535CAA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w:t>
      </w:r>
      <w:bookmarkStart w:id="315" w:name="OLE_LINK1"/>
      <w:r>
        <w:rPr>
          <w:rFonts w:hint="eastAsia" w:ascii="仿宋" w:hAnsi="仿宋" w:eastAsia="仿宋" w:cs="仿宋"/>
          <w:sz w:val="24"/>
          <w:szCs w:val="24"/>
          <w:highlight w:val="none"/>
        </w:rPr>
        <w:t>投标文件中开标一览表（报价表）内容与投标文件中相应内容不一致的，以开标一览表（报价表）为准；</w:t>
      </w:r>
      <w:bookmarkEnd w:id="315"/>
    </w:p>
    <w:p w14:paraId="7F15FF9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8.2大写金额和小写金额不一致的，以大写金额为准；</w:t>
      </w:r>
    </w:p>
    <w:p w14:paraId="0556FBFB">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8.3单价金额小数点或者百分比有明显错位的，以开标一览表的总价为准，并修改单价；</w:t>
      </w:r>
    </w:p>
    <w:p w14:paraId="26E82AB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8.4总价金额与按单价汇总金额不一致的，以单价金额计算结果为准。</w:t>
      </w:r>
    </w:p>
    <w:p w14:paraId="40B2E35A">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0F569D39">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（三）比较与评价</w:t>
      </w:r>
    </w:p>
    <w:p w14:paraId="3345EC1C">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9.</w:t>
      </w:r>
      <w:r>
        <w:rPr>
          <w:rFonts w:hint="eastAsia" w:ascii="仿宋" w:hAnsi="仿宋" w:eastAsia="仿宋" w:cs="仿宋"/>
          <w:sz w:val="24"/>
          <w:szCs w:val="24"/>
          <w:highlight w:val="none"/>
        </w:rPr>
        <w:t>评标委员会应当按照招标文件中规定的评标方法和标准，对符合性审查合格的投标文件进行商务和技术评</w:t>
      </w:r>
      <w:r>
        <w:rPr>
          <w:rFonts w:hint="eastAsia" w:ascii="仿宋" w:hAnsi="仿宋" w:eastAsia="仿宋" w:cs="仿宋"/>
          <w:sz w:val="24"/>
          <w:szCs w:val="24"/>
          <w:highlight w:val="none"/>
          <w:lang w:val="en-US"/>
        </w:rPr>
        <w:t>估</w:t>
      </w:r>
      <w:r>
        <w:rPr>
          <w:rFonts w:hint="eastAsia" w:ascii="仿宋" w:hAnsi="仿宋" w:eastAsia="仿宋" w:cs="仿宋"/>
          <w:sz w:val="24"/>
          <w:szCs w:val="24"/>
          <w:highlight w:val="none"/>
        </w:rPr>
        <w:t>，综合比较与评价</w:t>
      </w:r>
      <w:r>
        <w:rPr>
          <w:rFonts w:hint="eastAsia" w:ascii="仿宋" w:hAnsi="仿宋" w:eastAsia="仿宋" w:cs="仿宋"/>
          <w:sz w:val="24"/>
          <w:szCs w:val="24"/>
          <w:highlight w:val="none"/>
          <w:lang w:val="en-US"/>
        </w:rPr>
        <w:t>；未通过符合性审查的投标文件不得进入比较与评价</w:t>
      </w:r>
      <w:r>
        <w:rPr>
          <w:rFonts w:hint="eastAsia" w:ascii="仿宋" w:hAnsi="仿宋" w:eastAsia="仿宋" w:cs="仿宋"/>
          <w:sz w:val="24"/>
          <w:szCs w:val="24"/>
          <w:highlight w:val="none"/>
        </w:rPr>
        <w:t>。评审因素包括投标报价、商务技术以及落实政府采购政策。评审因素及标准见本章“</w:t>
      </w:r>
      <w:r>
        <w:rPr>
          <w:rFonts w:hint="eastAsia" w:ascii="仿宋" w:hAnsi="仿宋" w:eastAsia="仿宋" w:cs="仿宋"/>
          <w:sz w:val="24"/>
          <w:szCs w:val="24"/>
          <w:highlight w:val="none"/>
          <w:lang w:val="en-US"/>
        </w:rPr>
        <w:t>四、</w:t>
      </w:r>
      <w:r>
        <w:rPr>
          <w:rFonts w:hint="eastAsia" w:ascii="仿宋" w:hAnsi="仿宋" w:eastAsia="仿宋" w:cs="仿宋"/>
          <w:sz w:val="24"/>
          <w:szCs w:val="24"/>
          <w:highlight w:val="none"/>
        </w:rPr>
        <w:t>评</w:t>
      </w:r>
      <w:r>
        <w:rPr>
          <w:rFonts w:hint="eastAsia" w:ascii="仿宋" w:hAnsi="仿宋" w:eastAsia="仿宋" w:cs="仿宋"/>
          <w:sz w:val="24"/>
          <w:szCs w:val="24"/>
          <w:highlight w:val="none"/>
          <w:lang w:val="en-US"/>
        </w:rPr>
        <w:t>标</w:t>
      </w:r>
      <w:r>
        <w:rPr>
          <w:rFonts w:hint="eastAsia" w:ascii="仿宋" w:hAnsi="仿宋" w:eastAsia="仿宋" w:cs="仿宋"/>
          <w:sz w:val="24"/>
          <w:szCs w:val="24"/>
          <w:highlight w:val="none"/>
        </w:rPr>
        <w:t>标准”。</w:t>
      </w:r>
    </w:p>
    <w:p w14:paraId="736D8FE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10.相同品牌处理原则</w:t>
      </w:r>
    </w:p>
    <w:p w14:paraId="424503F2">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w:t>
      </w:r>
      <w:r>
        <w:rPr>
          <w:rFonts w:hint="eastAsia" w:ascii="仿宋" w:hAnsi="仿宋" w:eastAsia="仿宋" w:cs="仿宋"/>
          <w:sz w:val="24"/>
          <w:szCs w:val="24"/>
          <w:highlight w:val="none"/>
        </w:rPr>
        <w:t>.1单一产品采购（或非单一产品采购中的核心产品），提供相同品牌产品且通过资格审查、符合性审查的不同投标人参加同一合同项下投标的，按一家投标人计算。</w:t>
      </w:r>
    </w:p>
    <w:p w14:paraId="47AA11F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w:t>
      </w:r>
      <w:r>
        <w:rPr>
          <w:rFonts w:hint="eastAsia" w:ascii="仿宋" w:hAnsi="仿宋" w:eastAsia="仿宋" w:cs="仿宋"/>
          <w:sz w:val="24"/>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10</w:t>
      </w:r>
      <w:r>
        <w:rPr>
          <w:rFonts w:hint="eastAsia" w:ascii="仿宋" w:hAnsi="仿宋" w:eastAsia="仿宋" w:cs="仿宋"/>
          <w:sz w:val="24"/>
          <w:szCs w:val="24"/>
          <w:highlight w:val="none"/>
        </w:rPr>
        <w:t>.3有效投标品牌不足3家的应按</w:t>
      </w:r>
      <w:r>
        <w:rPr>
          <w:rFonts w:hint="eastAsia" w:ascii="仿宋" w:hAnsi="仿宋" w:eastAsia="仿宋" w:cs="仿宋"/>
          <w:b/>
          <w:bCs/>
          <w:sz w:val="24"/>
          <w:szCs w:val="24"/>
          <w:highlight w:val="none"/>
        </w:rPr>
        <w:t>废标</w:t>
      </w:r>
      <w:r>
        <w:rPr>
          <w:rFonts w:hint="eastAsia" w:ascii="仿宋" w:hAnsi="仿宋" w:eastAsia="仿宋" w:cs="仿宋"/>
          <w:sz w:val="24"/>
          <w:szCs w:val="24"/>
          <w:highlight w:val="none"/>
        </w:rPr>
        <w:t>处理。</w:t>
      </w:r>
    </w:p>
    <w:p w14:paraId="218B6D8C">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（四）报价评审</w:t>
      </w:r>
    </w:p>
    <w:p w14:paraId="66266F24">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11.</w:t>
      </w:r>
      <w:r>
        <w:rPr>
          <w:rFonts w:hint="eastAsia" w:ascii="仿宋" w:hAnsi="仿宋" w:eastAsia="仿宋" w:cs="仿宋"/>
          <w:sz w:val="24"/>
          <w:szCs w:val="24"/>
          <w:highlight w:val="none"/>
        </w:rPr>
        <w:t>投标报价评审</w:t>
      </w:r>
    </w:p>
    <w:p w14:paraId="061501B4">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11.</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货物项目的价格分值占总分值的比重不得低于30%。执行国家统一定价标准和采用固定价格采购的项目，其价格不列为评审因素。</w:t>
      </w:r>
      <w:r>
        <w:rPr>
          <w:rFonts w:hint="eastAsia" w:ascii="仿宋" w:hAnsi="仿宋" w:eastAsia="仿宋" w:cs="仿宋"/>
          <w:sz w:val="24"/>
          <w:szCs w:val="24"/>
          <w:highlight w:val="none"/>
        </w:rPr>
        <w:t>价格分应当采用低价优先法计算，即满足招标文件要求且投标价格最低的投标报价为评标基准价，其价格分为满分。其他投标人的价格分统一按照下列公式计算：</w:t>
      </w:r>
    </w:p>
    <w:p w14:paraId="453B48C3">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投标报价得分=（评标基准价／投标报价)×价格分值</w:t>
      </w:r>
    </w:p>
    <w:p w14:paraId="29D5079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评标过程中，不得去掉报价中的最高报价和最低报价。</w:t>
      </w:r>
    </w:p>
    <w:p w14:paraId="6C7CAF51">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11.</w:t>
      </w:r>
      <w:r>
        <w:rPr>
          <w:rFonts w:hint="eastAsia" w:ascii="仿宋" w:hAnsi="仿宋" w:eastAsia="仿宋" w:cs="仿宋"/>
          <w:sz w:val="24"/>
          <w:szCs w:val="24"/>
          <w:highlight w:val="none"/>
        </w:rPr>
        <w:t>2除算术修正和落实政府采购政策的价格扣除外，不对投标报价进行调整；</w:t>
      </w:r>
    </w:p>
    <w:p w14:paraId="4D131A7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11.</w:t>
      </w:r>
      <w:r>
        <w:rPr>
          <w:rFonts w:hint="eastAsia" w:ascii="仿宋" w:hAnsi="仿宋" w:eastAsia="仿宋" w:cs="仿宋"/>
          <w:sz w:val="24"/>
          <w:szCs w:val="24"/>
          <w:highlight w:val="none"/>
        </w:rPr>
        <w:t>3价格分值见本章“</w:t>
      </w:r>
      <w:r>
        <w:rPr>
          <w:rFonts w:hint="eastAsia" w:ascii="仿宋" w:hAnsi="仿宋" w:eastAsia="仿宋" w:cs="仿宋"/>
          <w:sz w:val="24"/>
          <w:szCs w:val="24"/>
          <w:highlight w:val="none"/>
          <w:lang w:val="en-US"/>
        </w:rPr>
        <w:t>四、</w:t>
      </w:r>
      <w:r>
        <w:rPr>
          <w:rFonts w:hint="eastAsia" w:ascii="仿宋" w:hAnsi="仿宋" w:eastAsia="仿宋" w:cs="仿宋"/>
          <w:sz w:val="24"/>
          <w:szCs w:val="24"/>
          <w:highlight w:val="none"/>
        </w:rPr>
        <w:t>评</w:t>
      </w:r>
      <w:r>
        <w:rPr>
          <w:rFonts w:hint="eastAsia" w:ascii="仿宋" w:hAnsi="仿宋" w:eastAsia="仿宋" w:cs="仿宋"/>
          <w:sz w:val="24"/>
          <w:szCs w:val="24"/>
          <w:highlight w:val="none"/>
          <w:lang w:val="en-US"/>
        </w:rPr>
        <w:t>标</w:t>
      </w:r>
      <w:r>
        <w:rPr>
          <w:rFonts w:hint="eastAsia" w:ascii="仿宋" w:hAnsi="仿宋" w:eastAsia="仿宋" w:cs="仿宋"/>
          <w:sz w:val="24"/>
          <w:szCs w:val="24"/>
          <w:highlight w:val="none"/>
        </w:rPr>
        <w:t>标准”。</w:t>
      </w:r>
    </w:p>
    <w:p w14:paraId="038057F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12.</w:t>
      </w:r>
      <w:r>
        <w:rPr>
          <w:rFonts w:hint="eastAsia" w:ascii="仿宋" w:hAnsi="仿宋" w:eastAsia="仿宋" w:cs="仿宋"/>
          <w:sz w:val="24"/>
          <w:szCs w:val="24"/>
          <w:highlight w:val="none"/>
        </w:rPr>
        <w:t>政府采购异常低价审查</w:t>
      </w:r>
    </w:p>
    <w:p w14:paraId="1901E575">
      <w:pPr>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12.1政府采购评审中出现下列情形之一的，评审委员会应当启动异常低价投标（响应）审查程序：</w:t>
      </w:r>
    </w:p>
    <w:p w14:paraId="2CED877D">
      <w:pPr>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（1）投标（响应）报价低于全部通过符合性审查供应商投标（响应）报价平均值50%的，即投标（响应）报价&lt;全部通过符合性审查供应商投标（响应）报价平均值×50%；</w:t>
      </w:r>
    </w:p>
    <w:p w14:paraId="63360E9E">
      <w:pPr>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（2）投标（响应）报价低于通过符合性审查的次低报价供应商投标（响应）报价50%的，即投标（响应）报价&lt;通过符合性审查的次低报价供应商投标（响应）报价×50%；</w:t>
      </w:r>
    </w:p>
    <w:p w14:paraId="1840E08A">
      <w:pPr>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（3）投标（响应）报价低于采购项目最高限价45%的，即投标（响应）报价&lt;采购项目最高限价×45%；</w:t>
      </w:r>
    </w:p>
    <w:p w14:paraId="0778E388">
      <w:pPr>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（4）评审委员会基于专业判断，认为供应商报价过低，有可能影响产品质量或者不能诚信履约的其他情形。</w:t>
      </w:r>
    </w:p>
    <w:p w14:paraId="3AA5A7F5">
      <w:pPr>
        <w:pageBreakBefore w:val="0"/>
        <w:kinsoku/>
        <w:overflowPunct/>
        <w:topLinePunct w:val="0"/>
        <w:autoSpaceDE/>
        <w:autoSpaceDN/>
        <w:bidi w:val="0"/>
        <w:adjustRightInd/>
        <w:snapToGrid/>
        <w:spacing w:line="400" w:lineRule="exac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 xml:space="preserve">采购人可以结合具体项目实际情况，提高上述第（1）项至第（3）项中启动异常低价投标（响应）审查的数值标准，但最高不得超过65%。   </w:t>
      </w:r>
      <w:r>
        <w:rPr>
          <w:rFonts w:hint="eastAsia" w:ascii="仿宋" w:hAnsi="仿宋" w:eastAsia="仿宋" w:cs="仿宋"/>
          <w:b/>
          <w:bCs/>
          <w:sz w:val="24"/>
          <w:szCs w:val="24"/>
          <w:highlight w:val="none"/>
        </w:rPr>
        <w:t>本项目启动异常低价投标（响应）审查的数值标准详见以上描述。</w:t>
      </w:r>
    </w:p>
    <w:p w14:paraId="3457F2CE">
      <w:pPr>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.政府采购政策评审</w:t>
      </w:r>
    </w:p>
    <w:p w14:paraId="7AE757F9">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.1非专门面向中小企业的采购项目或采购包，对符合规定的小微企业（</w:t>
      </w:r>
      <w:r>
        <w:rPr>
          <w:rFonts w:hint="eastAsia" w:ascii="仿宋" w:hAnsi="仿宋" w:eastAsia="仿宋" w:cs="仿宋"/>
          <w:sz w:val="24"/>
          <w:szCs w:val="24"/>
          <w:highlight w:val="none"/>
          <w:lang w:val="en-US"/>
        </w:rPr>
        <w:t>含</w:t>
      </w:r>
      <w:r>
        <w:rPr>
          <w:rFonts w:hint="eastAsia" w:ascii="仿宋" w:hAnsi="仿宋" w:eastAsia="仿宋" w:cs="仿宋"/>
          <w:sz w:val="24"/>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ascii="仿宋" w:hAnsi="仿宋" w:eastAsia="仿宋" w:cs="仿宋"/>
          <w:sz w:val="24"/>
          <w:szCs w:val="24"/>
          <w:highlight w:val="none"/>
          <w:lang w:val="en-US"/>
        </w:rPr>
        <w:t>招标</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须知前附表”中的规定扣除，用扣除后的价格</w:t>
      </w:r>
      <w:r>
        <w:rPr>
          <w:rFonts w:hint="eastAsia" w:ascii="仿宋" w:hAnsi="仿宋" w:eastAsia="仿宋" w:cs="仿宋"/>
          <w:sz w:val="24"/>
          <w:szCs w:val="24"/>
          <w:highlight w:val="none"/>
          <w:lang w:val="en-US"/>
        </w:rPr>
        <w:t>参与</w:t>
      </w:r>
      <w:r>
        <w:rPr>
          <w:rFonts w:hint="eastAsia" w:ascii="仿宋" w:hAnsi="仿宋" w:eastAsia="仿宋" w:cs="仿宋"/>
          <w:sz w:val="24"/>
          <w:szCs w:val="24"/>
          <w:highlight w:val="none"/>
        </w:rPr>
        <w:t>评审，采购产品纳入创新产品应用示范推荐目录内企业、采购产品获得节能产品或环境标志产品认证证书</w:t>
      </w:r>
      <w:r>
        <w:rPr>
          <w:rFonts w:hint="eastAsia" w:ascii="仿宋" w:hAnsi="仿宋" w:eastAsia="仿宋" w:cs="仿宋"/>
          <w:sz w:val="24"/>
          <w:szCs w:val="24"/>
          <w:highlight w:val="none"/>
          <w:lang w:val="en-US"/>
        </w:rPr>
        <w:t>的投标人</w:t>
      </w:r>
      <w:r>
        <w:rPr>
          <w:rFonts w:hint="eastAsia" w:ascii="仿宋" w:hAnsi="仿宋" w:eastAsia="仿宋" w:cs="仿宋"/>
          <w:sz w:val="24"/>
          <w:szCs w:val="24"/>
          <w:highlight w:val="none"/>
        </w:rPr>
        <w:t>按照本</w:t>
      </w:r>
      <w:r>
        <w:rPr>
          <w:rFonts w:hint="eastAsia" w:ascii="仿宋" w:hAnsi="仿宋" w:eastAsia="仿宋" w:cs="仿宋"/>
          <w:sz w:val="24"/>
          <w:szCs w:val="24"/>
          <w:highlight w:val="none"/>
          <w:lang w:val="en-US"/>
        </w:rPr>
        <w:t>招标</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须知前附表”中的规定</w:t>
      </w:r>
      <w:r>
        <w:rPr>
          <w:rFonts w:hint="eastAsia" w:ascii="仿宋" w:hAnsi="仿宋" w:eastAsia="仿宋" w:cs="仿宋"/>
          <w:sz w:val="24"/>
          <w:szCs w:val="24"/>
          <w:highlight w:val="none"/>
          <w:lang w:val="en-US"/>
        </w:rPr>
        <w:t>给予评审优惠</w:t>
      </w:r>
      <w:r>
        <w:rPr>
          <w:rFonts w:hint="eastAsia" w:ascii="仿宋" w:hAnsi="仿宋" w:eastAsia="仿宋" w:cs="仿宋"/>
          <w:sz w:val="24"/>
          <w:szCs w:val="24"/>
          <w:highlight w:val="none"/>
        </w:rPr>
        <w:t>。</w:t>
      </w:r>
    </w:p>
    <w:p w14:paraId="1EC42C6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13.</w:t>
      </w:r>
      <w:r>
        <w:rPr>
          <w:rFonts w:hint="eastAsia" w:ascii="仿宋" w:hAnsi="仿宋" w:eastAsia="仿宋" w:cs="仿宋"/>
          <w:sz w:val="24"/>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sz w:val="24"/>
          <w:szCs w:val="24"/>
          <w:highlight w:val="none"/>
          <w:lang w:val="en-US"/>
        </w:rPr>
        <w:t>若供应商同时属于小型或微型企业、监狱企业、残疾人福利性单位 中的两种及以上，将不重复享受小微企业价格扣减的优惠政策。</w:t>
      </w:r>
    </w:p>
    <w:p w14:paraId="0E3E0AB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组成联合体或者接受分包的小微企业与联合体内其他企业、分包企业之间存在直接控股、管理关系的，不享受价格扣除优惠政策。</w:t>
      </w:r>
    </w:p>
    <w:p w14:paraId="293B137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价格扣除比例对小型企业和微型企业同等对待，不作区分。</w:t>
      </w:r>
    </w:p>
    <w:p w14:paraId="52040EA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13.</w:t>
      </w:r>
      <w:r>
        <w:rPr>
          <w:rFonts w:hint="eastAsia" w:ascii="仿宋" w:hAnsi="仿宋" w:eastAsia="仿宋" w:cs="仿宋"/>
          <w:sz w:val="24"/>
          <w:szCs w:val="24"/>
          <w:highlight w:val="none"/>
        </w:rPr>
        <w:t>3专门面向中小企业、预留部分采购份额面向中小企业采购的项目或采购包，评审时不再进行价格扣除。</w:t>
      </w:r>
    </w:p>
    <w:p w14:paraId="575F7C0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13.4</w:t>
      </w:r>
      <w:r>
        <w:rPr>
          <w:rFonts w:hint="eastAsia" w:ascii="仿宋" w:hAnsi="仿宋" w:eastAsia="仿宋" w:cs="仿宋"/>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sz w:val="24"/>
          <w:szCs w:val="24"/>
          <w:highlight w:val="none"/>
          <w:lang w:val="en-US"/>
        </w:rPr>
        <w:t>体</w:t>
      </w:r>
      <w:r>
        <w:rPr>
          <w:rFonts w:hint="eastAsia" w:ascii="仿宋" w:hAnsi="仿宋" w:eastAsia="仿宋" w:cs="仿宋"/>
          <w:sz w:val="24"/>
          <w:szCs w:val="24"/>
          <w:highlight w:val="none"/>
        </w:rPr>
        <w:t>协议</w:t>
      </w:r>
      <w:r>
        <w:rPr>
          <w:rFonts w:hint="eastAsia" w:ascii="仿宋" w:hAnsi="仿宋" w:eastAsia="仿宋" w:cs="仿宋"/>
          <w:sz w:val="24"/>
          <w:szCs w:val="24"/>
          <w:highlight w:val="none"/>
          <w:lang w:val="en-US"/>
        </w:rPr>
        <w:t>书</w:t>
      </w:r>
      <w:r>
        <w:rPr>
          <w:rFonts w:hint="eastAsia" w:ascii="仿宋" w:hAnsi="仿宋" w:eastAsia="仿宋" w:cs="仿宋"/>
          <w:sz w:val="24"/>
          <w:szCs w:val="24"/>
          <w:highlight w:val="none"/>
        </w:rPr>
        <w:t>或者分包意向协议</w:t>
      </w:r>
      <w:r>
        <w:rPr>
          <w:rFonts w:hint="eastAsia" w:ascii="仿宋" w:hAnsi="仿宋" w:eastAsia="仿宋" w:cs="仿宋"/>
          <w:sz w:val="24"/>
          <w:szCs w:val="24"/>
          <w:highlight w:val="none"/>
          <w:lang w:val="en-US"/>
        </w:rPr>
        <w:t>书</w:t>
      </w:r>
      <w:r>
        <w:rPr>
          <w:rFonts w:hint="eastAsia" w:ascii="仿宋" w:hAnsi="仿宋" w:eastAsia="仿宋" w:cs="仿宋"/>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napToGrid w:val="0"/>
          <w:sz w:val="24"/>
          <w:szCs w:val="24"/>
          <w:highlight w:val="none"/>
        </w:rPr>
        <w:t>13.6采购标的仅包含单一产品时，</w:t>
      </w:r>
      <w:r>
        <w:rPr>
          <w:rFonts w:hint="eastAsia" w:ascii="仿宋" w:hAnsi="仿宋" w:eastAsia="仿宋" w:cs="仿宋"/>
          <w:sz w:val="24"/>
          <w:szCs w:val="24"/>
          <w:highlight w:val="none"/>
        </w:rPr>
        <w:t>政府采购活动中既有本国产品又有非本国产品参与竞争的，</w:t>
      </w:r>
      <w:r>
        <w:rPr>
          <w:rFonts w:hint="eastAsia" w:ascii="仿宋" w:hAnsi="仿宋" w:eastAsia="仿宋" w:cs="仿宋"/>
          <w:snapToGrid w:val="0"/>
          <w:sz w:val="24"/>
          <w:szCs w:val="24"/>
          <w:highlight w:val="none"/>
        </w:rPr>
        <w:t>供应商对其提供的产品出具《关于符合本国产品标准的声明函》，</w:t>
      </w:r>
      <w:r>
        <w:rPr>
          <w:rFonts w:hint="eastAsia" w:ascii="仿宋" w:hAnsi="仿宋" w:eastAsia="仿宋" w:cs="仿宋"/>
          <w:sz w:val="24"/>
          <w:szCs w:val="24"/>
          <w:highlight w:val="none"/>
        </w:rPr>
        <w:t>依法对本国产品给予价格评审优惠，对本国产品的报价给予20%的价格扣除，用扣除后的价格参与评审。</w:t>
      </w:r>
    </w:p>
    <w:p w14:paraId="0173A9B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13.8对于仅有本国产品参与竞争的政府采购项目，本国产品不享受价格扣除评审优惠。</w:t>
      </w:r>
    </w:p>
    <w:p w14:paraId="2A4A771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对医疗器械产品，提供取得药品监督管理部门授予的准字号医疗器械注册证的，视为符合本国产品标准，无须填写《声明函》，</w:t>
      </w:r>
      <w:r>
        <w:rPr>
          <w:rFonts w:hint="eastAsia" w:ascii="仿宋" w:hAnsi="仿宋" w:eastAsia="仿宋" w:cs="仿宋"/>
          <w:sz w:val="24"/>
          <w:szCs w:val="24"/>
          <w:highlight w:val="none"/>
        </w:rPr>
        <w:t>报价给予20%的价格扣除，用扣除后的价格参与评审。</w:t>
      </w:r>
    </w:p>
    <w:p w14:paraId="47ED6261">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（五）评标得分及复核</w:t>
      </w:r>
    </w:p>
    <w:p w14:paraId="04F5DF7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14.</w:t>
      </w:r>
      <w:r>
        <w:rPr>
          <w:rFonts w:hint="eastAsia" w:ascii="仿宋" w:hAnsi="仿宋" w:eastAsia="仿宋" w:cs="仿宋"/>
          <w:sz w:val="24"/>
          <w:szCs w:val="24"/>
          <w:highlight w:val="none"/>
        </w:rPr>
        <w:t>评标过程中，各项分值一般精确到小数点后两位，评标得分应为商务评分、技术评分、报价评分之和。评标委员会各成员应汇总每个投标人的得分。</w:t>
      </w:r>
    </w:p>
    <w:p w14:paraId="4FE906AE">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14.1</w:t>
      </w:r>
      <w:r>
        <w:rPr>
          <w:rFonts w:hint="eastAsia" w:ascii="仿宋" w:hAnsi="仿宋" w:eastAsia="仿宋" w:cs="仿宋"/>
          <w:sz w:val="24"/>
          <w:szCs w:val="24"/>
          <w:highlight w:val="none"/>
        </w:rPr>
        <w:t>评标结果汇总完成后，采购代理机构应对评标结果进行复核。经复核发现存在以下情形之一的，评标委员会应当当场修改评标结果，并在评标报告中记载：</w:t>
      </w:r>
    </w:p>
    <w:p w14:paraId="5C5C5F9C">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分值汇总计算错误的；</w:t>
      </w:r>
    </w:p>
    <w:p w14:paraId="1613252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分项评分超出评分标准范围的；</w:t>
      </w:r>
    </w:p>
    <w:p w14:paraId="4A488E5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评标委员会成员对客观评审因素评分不一致的；</w:t>
      </w:r>
    </w:p>
    <w:p w14:paraId="3F4F6B5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经评标委员会认定评分畸高、畸低的。</w:t>
      </w:r>
    </w:p>
    <w:p w14:paraId="14C15E3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15.</w:t>
      </w:r>
      <w:r>
        <w:rPr>
          <w:rFonts w:hint="eastAsia" w:ascii="仿宋" w:hAnsi="仿宋" w:eastAsia="仿宋" w:cs="仿宋"/>
          <w:sz w:val="24"/>
          <w:szCs w:val="24"/>
          <w:highlight w:val="none"/>
        </w:rPr>
        <w:t>各投标人的最终得分为评标委员会所有成员对各投标人评标得分汇总后的算术平均值。</w:t>
      </w:r>
    </w:p>
    <w:p w14:paraId="5F249DF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15.2采购人或者采购代理机构不得通过对样品进行检测、对投标人进行考察等方式改变评审结果。</w:t>
      </w:r>
    </w:p>
    <w:p w14:paraId="3867F7E7">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（六）排序与推荐</w:t>
      </w:r>
    </w:p>
    <w:p w14:paraId="4EF6ED73">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18.中标候选人推荐家数详见“投标人须知前附表”。</w:t>
      </w:r>
    </w:p>
    <w:p w14:paraId="717AA9CE">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（七）编写评标报告</w:t>
      </w:r>
    </w:p>
    <w:p w14:paraId="10E82CC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19.</w:t>
      </w:r>
      <w:r>
        <w:rPr>
          <w:rFonts w:hint="eastAsia" w:ascii="仿宋" w:hAnsi="仿宋" w:eastAsia="仿宋" w:cs="仿宋"/>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6" w:name="_Toc102056217"/>
      <w:bookmarkStart w:id="317" w:name="_Toc155185913"/>
      <w:bookmarkStart w:id="318" w:name="_Toc163492906"/>
      <w:bookmarkStart w:id="319" w:name="_Toc102116151"/>
      <w:bookmarkStart w:id="320" w:name="_Toc102116021"/>
      <w:bookmarkStart w:id="321" w:name="_Toc102119852"/>
      <w:bookmarkStart w:id="322" w:name="_Toc102114919"/>
      <w:bookmarkStart w:id="323" w:name="_Toc102057717"/>
    </w:p>
    <w:p w14:paraId="4D476182">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（八）投标无效及应予废标的情形</w:t>
      </w:r>
      <w:bookmarkEnd w:id="316"/>
      <w:bookmarkEnd w:id="317"/>
      <w:bookmarkEnd w:id="318"/>
      <w:bookmarkEnd w:id="319"/>
      <w:bookmarkEnd w:id="320"/>
      <w:bookmarkEnd w:id="321"/>
      <w:bookmarkEnd w:id="322"/>
      <w:bookmarkEnd w:id="323"/>
    </w:p>
    <w:p w14:paraId="6BDFE51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20.投标人存在下列情形之一的，</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379A23A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不具备《中华人民共和国政府采购法》第二十二条规定条件</w:t>
      </w:r>
      <w:r>
        <w:rPr>
          <w:rFonts w:hint="eastAsia" w:ascii="仿宋" w:hAnsi="仿宋" w:eastAsia="仿宋" w:cs="仿宋"/>
          <w:sz w:val="24"/>
          <w:szCs w:val="24"/>
          <w:highlight w:val="none"/>
          <w:lang w:val="en-US"/>
        </w:rPr>
        <w:t>；</w:t>
      </w:r>
    </w:p>
    <w:p w14:paraId="4C4A705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2投标文件未按招标文件要求签署、盖章的</w:t>
      </w:r>
      <w:r>
        <w:rPr>
          <w:rFonts w:hint="eastAsia" w:ascii="仿宋" w:hAnsi="仿宋" w:eastAsia="仿宋" w:cs="仿宋"/>
          <w:sz w:val="24"/>
          <w:szCs w:val="24"/>
          <w:highlight w:val="none"/>
          <w:lang w:val="en-US"/>
        </w:rPr>
        <w:t>；</w:t>
      </w:r>
    </w:p>
    <w:p w14:paraId="45A98F7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20.3不具备招标文件中规定的资格要求的（投标人未提供有效资格文件的，视为投标人不具备招标文件中规定的资格要求）；</w:t>
      </w:r>
    </w:p>
    <w:p w14:paraId="0C61613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rPr>
        <w:t>投标</w:t>
      </w:r>
      <w:r>
        <w:rPr>
          <w:rFonts w:hint="eastAsia" w:ascii="仿宋" w:hAnsi="仿宋" w:eastAsia="仿宋" w:cs="仿宋"/>
          <w:sz w:val="24"/>
          <w:szCs w:val="24"/>
          <w:highlight w:val="none"/>
        </w:rPr>
        <w:t>文件提供虚假材料的</w:t>
      </w:r>
      <w:r>
        <w:rPr>
          <w:rFonts w:hint="eastAsia" w:ascii="仿宋" w:hAnsi="仿宋" w:eastAsia="仿宋" w:cs="仿宋"/>
          <w:sz w:val="24"/>
          <w:szCs w:val="24"/>
          <w:highlight w:val="none"/>
          <w:lang w:val="en-US"/>
        </w:rPr>
        <w:t>；</w:t>
      </w:r>
    </w:p>
    <w:p w14:paraId="37ACC796">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rPr>
        <w:t>投标</w:t>
      </w:r>
      <w:r>
        <w:rPr>
          <w:rFonts w:hint="eastAsia" w:ascii="仿宋" w:hAnsi="仿宋" w:eastAsia="仿宋" w:cs="仿宋"/>
          <w:sz w:val="24"/>
          <w:szCs w:val="24"/>
          <w:highlight w:val="none"/>
        </w:rPr>
        <w:t>文件不满足</w:t>
      </w:r>
      <w:r>
        <w:rPr>
          <w:rFonts w:hint="eastAsia" w:ascii="仿宋" w:hAnsi="仿宋" w:eastAsia="仿宋" w:cs="仿宋"/>
          <w:sz w:val="24"/>
          <w:szCs w:val="24"/>
          <w:highlight w:val="none"/>
          <w:lang w:val="en-US"/>
        </w:rPr>
        <w:t>招标</w:t>
      </w:r>
      <w:r>
        <w:rPr>
          <w:rFonts w:hint="eastAsia" w:ascii="仿宋" w:hAnsi="仿宋" w:eastAsia="仿宋" w:cs="仿宋"/>
          <w:sz w:val="24"/>
          <w:szCs w:val="24"/>
          <w:highlight w:val="none"/>
        </w:rPr>
        <w:t>文件中标注“★”号的实质性条款（或指标）要求的</w:t>
      </w:r>
      <w:r>
        <w:rPr>
          <w:rFonts w:hint="eastAsia" w:ascii="仿宋" w:hAnsi="仿宋" w:eastAsia="仿宋" w:cs="仿宋"/>
          <w:sz w:val="24"/>
          <w:szCs w:val="24"/>
          <w:highlight w:val="none"/>
          <w:lang w:val="en-US"/>
        </w:rPr>
        <w:t>；</w:t>
      </w:r>
    </w:p>
    <w:p w14:paraId="068B3E67">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报价超过招标文件中规定的最高限价或者预算金额的</w:t>
      </w:r>
      <w:r>
        <w:rPr>
          <w:rFonts w:hint="eastAsia" w:ascii="仿宋" w:hAnsi="仿宋" w:eastAsia="仿宋" w:cs="仿宋"/>
          <w:sz w:val="24"/>
          <w:szCs w:val="24"/>
          <w:highlight w:val="none"/>
          <w:lang w:val="en-US"/>
        </w:rPr>
        <w:t>；</w:t>
      </w:r>
    </w:p>
    <w:p w14:paraId="2FFF900A">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7联合体的供应商未提交各方共同签署的</w:t>
      </w:r>
      <w:r>
        <w:rPr>
          <w:rFonts w:hint="eastAsia" w:ascii="仿宋" w:hAnsi="仿宋" w:eastAsia="仿宋" w:cs="仿宋"/>
          <w:sz w:val="24"/>
          <w:szCs w:val="24"/>
          <w:highlight w:val="none"/>
          <w:lang w:val="en-US"/>
        </w:rPr>
        <w:t>联合体</w:t>
      </w:r>
      <w:r>
        <w:rPr>
          <w:rFonts w:hint="eastAsia" w:ascii="仿宋" w:hAnsi="仿宋" w:eastAsia="仿宋" w:cs="仿宋"/>
          <w:sz w:val="24"/>
          <w:szCs w:val="24"/>
          <w:highlight w:val="none"/>
        </w:rPr>
        <w:t>协议</w:t>
      </w:r>
      <w:r>
        <w:rPr>
          <w:rFonts w:hint="eastAsia" w:ascii="仿宋" w:hAnsi="仿宋" w:eastAsia="仿宋" w:cs="仿宋"/>
          <w:sz w:val="24"/>
          <w:szCs w:val="24"/>
          <w:highlight w:val="none"/>
          <w:lang w:val="en-US"/>
        </w:rPr>
        <w:t>的；</w:t>
      </w:r>
    </w:p>
    <w:p w14:paraId="6CCA8DA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20.8投标人未按招标文件的规定交纳投标保证金的；</w:t>
      </w:r>
    </w:p>
    <w:p w14:paraId="414297D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9评审期间，</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没有按评标委员会的要求提交经授权代表签字的澄清、说明、补正或改变了</w:t>
      </w:r>
      <w:r>
        <w:rPr>
          <w:rFonts w:hint="eastAsia" w:ascii="仿宋" w:hAnsi="仿宋" w:eastAsia="仿宋" w:cs="仿宋"/>
          <w:sz w:val="24"/>
          <w:szCs w:val="24"/>
          <w:highlight w:val="none"/>
          <w:lang w:val="en-US"/>
        </w:rPr>
        <w:t>投标</w:t>
      </w:r>
      <w:r>
        <w:rPr>
          <w:rFonts w:hint="eastAsia" w:ascii="仿宋" w:hAnsi="仿宋" w:eastAsia="仿宋" w:cs="仿宋"/>
          <w:sz w:val="24"/>
          <w:szCs w:val="24"/>
          <w:highlight w:val="none"/>
        </w:rPr>
        <w:t>文件的实质性内容</w:t>
      </w:r>
      <w:r>
        <w:rPr>
          <w:rFonts w:hint="eastAsia" w:ascii="仿宋" w:hAnsi="仿宋" w:eastAsia="仿宋" w:cs="仿宋"/>
          <w:sz w:val="24"/>
          <w:szCs w:val="24"/>
          <w:highlight w:val="none"/>
          <w:lang w:val="en-US"/>
        </w:rPr>
        <w:t>的；</w:t>
      </w:r>
    </w:p>
    <w:p w14:paraId="379E498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val="en-US"/>
        </w:rPr>
        <w:t>投标人</w:t>
      </w:r>
      <w:r>
        <w:rPr>
          <w:rFonts w:hint="eastAsia" w:ascii="仿宋" w:hAnsi="仿宋" w:eastAsia="仿宋" w:cs="仿宋"/>
          <w:sz w:val="24"/>
          <w:szCs w:val="24"/>
          <w:highlight w:val="none"/>
        </w:rPr>
        <w:t>对采购人、采购代理机构、评标委员会及其工作人员施加影响，有碍公平、公正</w:t>
      </w:r>
      <w:r>
        <w:rPr>
          <w:rFonts w:hint="eastAsia" w:ascii="仿宋" w:hAnsi="仿宋" w:eastAsia="仿宋" w:cs="仿宋"/>
          <w:sz w:val="24"/>
          <w:szCs w:val="24"/>
          <w:highlight w:val="none"/>
          <w:lang w:val="en-US"/>
        </w:rPr>
        <w:t>的；</w:t>
      </w:r>
    </w:p>
    <w:p w14:paraId="0E68F4EB">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20.11投标文件含有采购人不能接受的附加条件的；</w:t>
      </w:r>
    </w:p>
    <w:p w14:paraId="50E76903">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20.</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法律、法规、规章规定属于</w:t>
      </w:r>
      <w:r>
        <w:rPr>
          <w:rFonts w:hint="eastAsia" w:ascii="仿宋" w:hAnsi="仿宋" w:eastAsia="仿宋" w:cs="仿宋"/>
          <w:sz w:val="24"/>
          <w:szCs w:val="24"/>
          <w:highlight w:val="none"/>
          <w:lang w:val="en-US"/>
        </w:rPr>
        <w:t>投标</w:t>
      </w:r>
      <w:r>
        <w:rPr>
          <w:rFonts w:hint="eastAsia" w:ascii="仿宋" w:hAnsi="仿宋" w:eastAsia="仿宋" w:cs="仿宋"/>
          <w:sz w:val="24"/>
          <w:szCs w:val="24"/>
          <w:highlight w:val="none"/>
        </w:rPr>
        <w:t>无效的其他情形。</w:t>
      </w:r>
    </w:p>
    <w:p w14:paraId="16D36936">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21.有下列情形之一的，视为投标人串通投标，其</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w:t>
      </w:r>
    </w:p>
    <w:p w14:paraId="4DBF702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21.1不同投标人的投标文件由同一单位或者个人编制；</w:t>
      </w:r>
    </w:p>
    <w:p w14:paraId="6B33075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21.2不同投标人委托同一单位或者个人办理投标事宜；</w:t>
      </w:r>
    </w:p>
    <w:p w14:paraId="764082CE">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21.3不同投标人的投标文件载明的项目管理成员或者联系人员为同一人；</w:t>
      </w:r>
    </w:p>
    <w:p w14:paraId="59A267B2">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21.4不同投标人的投标文件异常一致或者投标报价呈规律性差异；</w:t>
      </w:r>
    </w:p>
    <w:p w14:paraId="5772D14E">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21.5不同投标人的投标文件相互混装；</w:t>
      </w:r>
    </w:p>
    <w:p w14:paraId="153B6329">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21.6不同投标人的投标保证金从同一单位或者个人的账户转出；</w:t>
      </w:r>
    </w:p>
    <w:p w14:paraId="3FB64D53">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21.7</w:t>
      </w:r>
      <w:r>
        <w:rPr>
          <w:rFonts w:hint="eastAsia" w:ascii="仿宋" w:hAnsi="仿宋" w:eastAsia="仿宋" w:cs="仿宋"/>
          <w:sz w:val="24"/>
          <w:szCs w:val="24"/>
          <w:highlight w:val="none"/>
        </w:rPr>
        <w:t>不同投标人使用同一电脑（机器特征值一致：如MAC地址等）或使用同一电子密钥，编制或上传电子投标文件</w:t>
      </w:r>
      <w:r>
        <w:rPr>
          <w:rFonts w:hint="eastAsia" w:ascii="仿宋" w:hAnsi="仿宋" w:eastAsia="仿宋" w:cs="仿宋"/>
          <w:sz w:val="24"/>
          <w:szCs w:val="24"/>
          <w:highlight w:val="none"/>
          <w:lang w:val="en-US"/>
        </w:rPr>
        <w:t>；</w:t>
      </w:r>
    </w:p>
    <w:p w14:paraId="7C9F743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21.8法律、法规、规章规定属于投标人串通投标的其他情形。</w:t>
      </w:r>
    </w:p>
    <w:p w14:paraId="2378CD94">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22</w:t>
      </w:r>
      <w:r>
        <w:rPr>
          <w:rFonts w:hint="eastAsia" w:ascii="仿宋" w:hAnsi="仿宋" w:eastAsia="仿宋" w:cs="仿宋"/>
          <w:sz w:val="24"/>
          <w:szCs w:val="24"/>
          <w:highlight w:val="none"/>
        </w:rPr>
        <w:t>.根据《中华人民共和国政府采购法》第三十六条之规定，在招标采购过程中，出现下列情形之一的，应予</w:t>
      </w:r>
      <w:r>
        <w:rPr>
          <w:rFonts w:hint="eastAsia" w:ascii="仿宋" w:hAnsi="仿宋" w:eastAsia="仿宋" w:cs="仿宋"/>
          <w:b/>
          <w:bCs/>
          <w:sz w:val="24"/>
          <w:szCs w:val="24"/>
          <w:highlight w:val="none"/>
        </w:rPr>
        <w:t>废标</w:t>
      </w:r>
      <w:r>
        <w:rPr>
          <w:rFonts w:hint="eastAsia" w:ascii="仿宋" w:hAnsi="仿宋" w:eastAsia="仿宋" w:cs="仿宋"/>
          <w:sz w:val="24"/>
          <w:szCs w:val="24"/>
          <w:highlight w:val="none"/>
        </w:rPr>
        <w:t>：</w:t>
      </w:r>
    </w:p>
    <w:p w14:paraId="53B4C00C">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22</w:t>
      </w:r>
      <w:r>
        <w:rPr>
          <w:rFonts w:hint="eastAsia" w:ascii="仿宋" w:hAnsi="仿宋" w:eastAsia="仿宋" w:cs="仿宋"/>
          <w:sz w:val="24"/>
          <w:szCs w:val="24"/>
          <w:highlight w:val="none"/>
        </w:rPr>
        <w:t>.1符合专业条件的供应商或者对招标文件作实质响应的供应商不足3家的；</w:t>
      </w:r>
    </w:p>
    <w:p w14:paraId="0DF07E0F">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22</w:t>
      </w:r>
      <w:r>
        <w:rPr>
          <w:rFonts w:hint="eastAsia" w:ascii="仿宋" w:hAnsi="仿宋" w:eastAsia="仿宋" w:cs="仿宋"/>
          <w:sz w:val="24"/>
          <w:szCs w:val="24"/>
          <w:highlight w:val="none"/>
        </w:rPr>
        <w:t>.2出现影响采购公正的违法、违规行为的；</w:t>
      </w:r>
    </w:p>
    <w:p w14:paraId="1F2AE266">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22</w:t>
      </w:r>
      <w:r>
        <w:rPr>
          <w:rFonts w:hint="eastAsia" w:ascii="仿宋" w:hAnsi="仿宋" w:eastAsia="仿宋" w:cs="仿宋"/>
          <w:sz w:val="24"/>
          <w:szCs w:val="24"/>
          <w:highlight w:val="none"/>
        </w:rPr>
        <w:t>.3投标人的报价均超过了采购预算，采购人不能支付的；</w:t>
      </w:r>
    </w:p>
    <w:p w14:paraId="572C965B">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22</w:t>
      </w:r>
      <w:r>
        <w:rPr>
          <w:rFonts w:hint="eastAsia" w:ascii="仿宋" w:hAnsi="仿宋" w:eastAsia="仿宋" w:cs="仿宋"/>
          <w:sz w:val="24"/>
          <w:szCs w:val="24"/>
          <w:highlight w:val="none"/>
        </w:rPr>
        <w:t>.4因重大变故，采购任务取消的</w:t>
      </w:r>
      <w:r>
        <w:rPr>
          <w:rFonts w:hint="eastAsia" w:ascii="仿宋" w:hAnsi="仿宋" w:eastAsia="仿宋" w:cs="仿宋"/>
          <w:sz w:val="24"/>
          <w:szCs w:val="24"/>
          <w:highlight w:val="none"/>
          <w:lang w:val="en-US"/>
        </w:rPr>
        <w:t>；</w:t>
      </w:r>
    </w:p>
    <w:p w14:paraId="3659CDD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 xml:space="preserve">22.5 </w:t>
      </w:r>
      <w:r>
        <w:rPr>
          <w:rFonts w:hint="eastAsia" w:ascii="仿宋" w:hAnsi="仿宋" w:eastAsia="仿宋" w:cs="仿宋"/>
          <w:sz w:val="24"/>
          <w:szCs w:val="24"/>
          <w:highlight w:val="none"/>
        </w:rPr>
        <w:t>法律、法规、规章规定属于</w:t>
      </w:r>
      <w:r>
        <w:rPr>
          <w:rFonts w:hint="eastAsia" w:ascii="仿宋" w:hAnsi="仿宋" w:eastAsia="仿宋" w:cs="仿宋"/>
          <w:sz w:val="24"/>
          <w:szCs w:val="24"/>
          <w:highlight w:val="none"/>
          <w:lang w:val="en-US"/>
        </w:rPr>
        <w:t>废标</w:t>
      </w:r>
      <w:r>
        <w:rPr>
          <w:rFonts w:hint="eastAsia" w:ascii="仿宋" w:hAnsi="仿宋" w:eastAsia="仿宋" w:cs="仿宋"/>
          <w:sz w:val="24"/>
          <w:szCs w:val="24"/>
          <w:highlight w:val="none"/>
        </w:rPr>
        <w:t>的其他情形。</w:t>
      </w:r>
    </w:p>
    <w:p w14:paraId="0B570E9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23.</w:t>
      </w:r>
      <w:r>
        <w:rPr>
          <w:rFonts w:hint="eastAsia" w:ascii="仿宋" w:hAnsi="仿宋" w:eastAsia="仿宋" w:cs="仿宋"/>
          <w:sz w:val="24"/>
          <w:szCs w:val="24"/>
          <w:highlight w:val="none"/>
        </w:rPr>
        <w:t>废标后，采购人应当将废标理由通知所有投标人。</w:t>
      </w:r>
    </w:p>
    <w:p w14:paraId="5A151912">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bookmarkStart w:id="324" w:name="_Toc102057718"/>
      <w:bookmarkStart w:id="325" w:name="_Toc102119853"/>
      <w:bookmarkStart w:id="326" w:name="_Toc102116152"/>
      <w:bookmarkStart w:id="327" w:name="_Toc102056218"/>
      <w:bookmarkStart w:id="328" w:name="_Toc155185914"/>
      <w:bookmarkStart w:id="329" w:name="_Toc102116022"/>
      <w:bookmarkStart w:id="330" w:name="_Toc163492907"/>
      <w:bookmarkStart w:id="331" w:name="_Toc102114920"/>
      <w:r>
        <w:rPr>
          <w:rFonts w:hint="eastAsia" w:ascii="仿宋" w:hAnsi="仿宋" w:eastAsia="仿宋" w:cs="仿宋"/>
          <w:sz w:val="24"/>
          <w:szCs w:val="24"/>
          <w:highlight w:val="none"/>
          <w:lang w:val="zh-CN"/>
        </w:rPr>
        <w:t>（九）停止评标的情形</w:t>
      </w:r>
      <w:bookmarkEnd w:id="324"/>
      <w:bookmarkEnd w:id="325"/>
      <w:bookmarkEnd w:id="326"/>
      <w:bookmarkEnd w:id="327"/>
      <w:bookmarkEnd w:id="328"/>
      <w:bookmarkEnd w:id="329"/>
      <w:bookmarkEnd w:id="330"/>
      <w:bookmarkEnd w:id="331"/>
    </w:p>
    <w:p w14:paraId="2E993390">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24</w:t>
      </w:r>
      <w:r>
        <w:rPr>
          <w:rFonts w:hint="eastAsia" w:ascii="仿宋" w:hAnsi="仿宋" w:eastAsia="仿宋" w:cs="仿宋"/>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（十）重新开展采购</w:t>
      </w:r>
    </w:p>
    <w:p w14:paraId="1BB0BA25">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有《中华人民共和国政府采购法》第七十一条、第七十二条规定的违法行为之一，影响或者可能影响中标结果的，依照下列规定处理：</w:t>
      </w:r>
    </w:p>
    <w:p w14:paraId="0D9C1B2D">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.1未确定中标供应商的，终止本次政府采购活动，重新开展政府采购活动。</w:t>
      </w:r>
    </w:p>
    <w:p w14:paraId="0547863C">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.2已确定中标供应商但尚未签订政府采购合同的，中标结果无效，从合格的中标候选人中另行确定中标供应商；没有合格的中标候选人的，重新开展政府采购活动。</w:t>
      </w:r>
    </w:p>
    <w:p w14:paraId="64D21FB9">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.3政府采购合同已签订但尚未履行的，撤销合同，从合格的中标候选人中另行确定中标供应商；没有合格的中标候选人的，重新开展政府采购活动。</w:t>
      </w:r>
    </w:p>
    <w:p w14:paraId="45A81838">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.4政府采购合同已经履行，给采购人、供应商造成损失的，由责任人承担赔偿责任。</w:t>
      </w:r>
    </w:p>
    <w:p w14:paraId="1A2B55B2">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25</w:t>
      </w:r>
      <w:r>
        <w:rPr>
          <w:rFonts w:hint="eastAsia" w:ascii="仿宋" w:hAnsi="仿宋" w:eastAsia="仿宋" w:cs="仿宋"/>
          <w:sz w:val="24"/>
          <w:szCs w:val="24"/>
          <w:highlight w:val="none"/>
        </w:rPr>
        <w:t>.4规定处理。</w:t>
      </w:r>
    </w:p>
    <w:bookmarkEnd w:id="296"/>
    <w:bookmarkEnd w:id="297"/>
    <w:bookmarkEnd w:id="298"/>
    <w:bookmarkEnd w:id="299"/>
    <w:bookmarkEnd w:id="300"/>
    <w:bookmarkEnd w:id="301"/>
    <w:bookmarkEnd w:id="302"/>
    <w:bookmarkEnd w:id="303"/>
    <w:bookmarkEnd w:id="304"/>
    <w:bookmarkEnd w:id="305"/>
    <w:p w14:paraId="01721EBD">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bookmarkStart w:id="332" w:name="_Toc8700"/>
      <w:r>
        <w:rPr>
          <w:rFonts w:hint="eastAsia" w:ascii="仿宋" w:hAnsi="仿宋" w:eastAsia="仿宋" w:cs="仿宋"/>
          <w:sz w:val="24"/>
          <w:szCs w:val="24"/>
          <w:highlight w:val="none"/>
          <w:lang w:val="zh-CN"/>
        </w:rPr>
        <w:t>三、评标其他要求</w:t>
      </w:r>
      <w:bookmarkEnd w:id="332"/>
    </w:p>
    <w:p w14:paraId="79AD4A72">
      <w:pPr>
        <w:pStyle w:val="41"/>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【可根据项目的情况增加上述内容中未包含的要求】</w:t>
      </w:r>
    </w:p>
    <w:p w14:paraId="40EC80FF">
      <w:pPr>
        <w:pStyle w:val="3"/>
        <w:keepNext/>
        <w:keepLines/>
        <w:pageBreakBefore w:val="0"/>
        <w:widowControl/>
        <w:kinsoku/>
        <w:wordWrap/>
        <w:overflowPunct/>
        <w:topLinePunct w:val="0"/>
        <w:autoSpaceDE/>
        <w:autoSpaceDN/>
        <w:bidi w:val="0"/>
        <w:adjustRightInd/>
        <w:snapToGrid/>
        <w:spacing w:before="120" w:after="120" w:line="400" w:lineRule="exact"/>
        <w:textAlignment w:val="auto"/>
        <w:rPr>
          <w:rFonts w:hint="eastAsia" w:ascii="仿宋" w:hAnsi="仿宋" w:eastAsia="仿宋" w:cs="仿宋"/>
          <w:highlight w:val="none"/>
          <w:lang w:val="zh-CN"/>
        </w:rPr>
      </w:pPr>
      <w:bookmarkStart w:id="333" w:name="_Toc3058"/>
      <w:bookmarkStart w:id="334" w:name="_Toc163492908"/>
      <w:bookmarkStart w:id="335" w:name="_Toc155185915"/>
      <w:r>
        <w:rPr>
          <w:rFonts w:hint="eastAsia" w:ascii="仿宋" w:hAnsi="仿宋" w:eastAsia="仿宋" w:cs="仿宋"/>
          <w:highlight w:val="none"/>
          <w:lang w:val="zh-CN"/>
        </w:rPr>
        <w:t>四、评标标准</w:t>
      </w:r>
      <w:bookmarkEnd w:id="333"/>
      <w:bookmarkEnd w:id="334"/>
      <w:bookmarkEnd w:id="335"/>
    </w:p>
    <w:p w14:paraId="104C7C95">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bookmarkStart w:id="336" w:name="_Toc163492909"/>
      <w:r>
        <w:rPr>
          <w:rFonts w:hint="eastAsia" w:ascii="仿宋" w:hAnsi="仿宋" w:eastAsia="仿宋" w:cs="仿宋"/>
          <w:sz w:val="24"/>
          <w:szCs w:val="24"/>
          <w:highlight w:val="none"/>
          <w:lang w:val="zh-CN"/>
        </w:rPr>
        <w:t>（一）符合性审查表</w:t>
      </w:r>
      <w:bookmarkEnd w:id="336"/>
    </w:p>
    <w:tbl>
      <w:tblPr>
        <w:tblStyle w:val="33"/>
        <w:tblW w:w="501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0"/>
        <w:gridCol w:w="1801"/>
        <w:gridCol w:w="5585"/>
        <w:gridCol w:w="797"/>
        <w:gridCol w:w="978"/>
      </w:tblGrid>
      <w:tr w14:paraId="68568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jc w:val="center"/>
        </w:trPr>
        <w:tc>
          <w:tcPr>
            <w:tcW w:w="254" w:type="pct"/>
            <w:vMerge w:val="restart"/>
            <w:shd w:val="clear" w:color="auto" w:fill="D8D8D8" w:themeFill="background1" w:themeFillShade="D9"/>
            <w:vAlign w:val="center"/>
          </w:tcPr>
          <w:p w14:paraId="71CBE4B8">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序号</w:t>
            </w:r>
          </w:p>
        </w:tc>
        <w:tc>
          <w:tcPr>
            <w:tcW w:w="933" w:type="pct"/>
            <w:vMerge w:val="restart"/>
            <w:shd w:val="clear" w:color="auto" w:fill="D8D8D8" w:themeFill="background1" w:themeFillShade="D9"/>
            <w:vAlign w:val="center"/>
          </w:tcPr>
          <w:p w14:paraId="7663ADA5">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审查项名称</w:t>
            </w:r>
          </w:p>
        </w:tc>
        <w:tc>
          <w:tcPr>
            <w:tcW w:w="2893" w:type="pct"/>
            <w:vMerge w:val="restart"/>
            <w:shd w:val="clear" w:color="auto" w:fill="D8D8D8" w:themeFill="background1" w:themeFillShade="D9"/>
            <w:vAlign w:val="center"/>
          </w:tcPr>
          <w:p w14:paraId="1B69FDB0">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审查内容</w:t>
            </w:r>
          </w:p>
        </w:tc>
        <w:tc>
          <w:tcPr>
            <w:tcW w:w="919" w:type="pct"/>
            <w:gridSpan w:val="2"/>
            <w:shd w:val="clear" w:color="auto" w:fill="D8D8D8" w:themeFill="background1" w:themeFillShade="D9"/>
            <w:vAlign w:val="center"/>
          </w:tcPr>
          <w:p w14:paraId="059B2F47">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审查结果</w:t>
            </w:r>
          </w:p>
        </w:tc>
      </w:tr>
      <w:tr w14:paraId="68EE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54" w:type="pct"/>
            <w:vMerge w:val="continue"/>
            <w:shd w:val="clear" w:color="auto" w:fill="D8D8D8" w:themeFill="background1" w:themeFillShade="D9"/>
            <w:vAlign w:val="center"/>
          </w:tcPr>
          <w:p w14:paraId="4DEE82DD">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zh-CN"/>
              </w:rPr>
            </w:pPr>
          </w:p>
        </w:tc>
        <w:tc>
          <w:tcPr>
            <w:tcW w:w="933" w:type="pct"/>
            <w:vMerge w:val="continue"/>
            <w:shd w:val="clear" w:color="auto" w:fill="D8D8D8" w:themeFill="background1" w:themeFillShade="D9"/>
            <w:vAlign w:val="center"/>
          </w:tcPr>
          <w:p w14:paraId="1E664684">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zh-CN"/>
              </w:rPr>
            </w:pPr>
          </w:p>
        </w:tc>
        <w:tc>
          <w:tcPr>
            <w:tcW w:w="2893" w:type="pct"/>
            <w:vMerge w:val="continue"/>
            <w:shd w:val="clear" w:color="auto" w:fill="D8D8D8" w:themeFill="background1" w:themeFillShade="D9"/>
            <w:vAlign w:val="center"/>
          </w:tcPr>
          <w:p w14:paraId="3E340912">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zh-CN"/>
              </w:rPr>
            </w:pPr>
          </w:p>
        </w:tc>
        <w:tc>
          <w:tcPr>
            <w:tcW w:w="413" w:type="pct"/>
            <w:shd w:val="clear" w:color="auto" w:fill="D8D8D8" w:themeFill="background1" w:themeFillShade="D9"/>
            <w:vAlign w:val="center"/>
          </w:tcPr>
          <w:p w14:paraId="33FD2C7B">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符合</w:t>
            </w:r>
          </w:p>
        </w:tc>
        <w:tc>
          <w:tcPr>
            <w:tcW w:w="506" w:type="pct"/>
            <w:shd w:val="clear" w:color="auto" w:fill="D8D8D8" w:themeFill="background1" w:themeFillShade="D9"/>
            <w:vAlign w:val="center"/>
          </w:tcPr>
          <w:p w14:paraId="21B59DB3">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不符合</w:t>
            </w:r>
          </w:p>
        </w:tc>
      </w:tr>
      <w:tr w14:paraId="58D5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54" w:type="pct"/>
            <w:shd w:val="clear" w:color="auto" w:fill="auto"/>
            <w:vAlign w:val="center"/>
          </w:tcPr>
          <w:p w14:paraId="04E1953B">
            <w:pPr>
              <w:pStyle w:val="53"/>
              <w:keepNext w:val="0"/>
              <w:keepLines w:val="0"/>
              <w:pageBreakBefore w:val="0"/>
              <w:widowControl w:val="0"/>
              <w:kinsoku/>
              <w:wordWrap/>
              <w:overflowPunct/>
              <w:topLinePunct w:val="0"/>
              <w:autoSpaceDE/>
              <w:autoSpaceDN/>
              <w:bidi w:val="0"/>
              <w:adjustRightInd/>
              <w:snapToGrid/>
              <w:spacing w:line="400" w:lineRule="exact"/>
              <w:ind w:left="420" w:hanging="420"/>
              <w:jc w:val="center"/>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p>
        </w:tc>
        <w:tc>
          <w:tcPr>
            <w:tcW w:w="933" w:type="pct"/>
            <w:vAlign w:val="center"/>
          </w:tcPr>
          <w:p w14:paraId="40893614">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投标文件</w:t>
            </w:r>
            <w:r>
              <w:rPr>
                <w:rFonts w:hint="eastAsia" w:ascii="仿宋" w:hAnsi="仿宋" w:eastAsia="仿宋" w:cs="仿宋"/>
                <w:sz w:val="24"/>
                <w:szCs w:val="24"/>
                <w:highlight w:val="none"/>
              </w:rPr>
              <w:t>签署</w:t>
            </w:r>
          </w:p>
        </w:tc>
        <w:tc>
          <w:tcPr>
            <w:tcW w:w="2893" w:type="pct"/>
            <w:shd w:val="clear" w:color="auto" w:fill="auto"/>
            <w:vAlign w:val="center"/>
          </w:tcPr>
          <w:p w14:paraId="1553DCA2">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投标文件按招标文件要求签署、盖章的</w:t>
            </w:r>
          </w:p>
        </w:tc>
        <w:tc>
          <w:tcPr>
            <w:tcW w:w="413" w:type="pct"/>
            <w:shd w:val="clear" w:color="auto" w:fill="auto"/>
            <w:vAlign w:val="center"/>
          </w:tcPr>
          <w:p w14:paraId="370CB61A">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2BDB978A">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22B3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254" w:type="pct"/>
            <w:shd w:val="clear" w:color="auto" w:fill="auto"/>
            <w:vAlign w:val="center"/>
          </w:tcPr>
          <w:p w14:paraId="0FF6BBBD">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zh-CN"/>
              </w:rPr>
              <w:t>2</w:t>
            </w:r>
          </w:p>
        </w:tc>
        <w:tc>
          <w:tcPr>
            <w:tcW w:w="933" w:type="pct"/>
            <w:vAlign w:val="center"/>
          </w:tcPr>
          <w:p w14:paraId="11D4791F">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实质性要求</w:t>
            </w:r>
          </w:p>
        </w:tc>
        <w:tc>
          <w:tcPr>
            <w:tcW w:w="2893" w:type="pct"/>
            <w:shd w:val="clear" w:color="auto" w:fill="auto"/>
            <w:vAlign w:val="center"/>
          </w:tcPr>
          <w:p w14:paraId="4A100292">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zh-CN"/>
              </w:rPr>
              <w:t>文件满足</w:t>
            </w:r>
            <w:r>
              <w:rPr>
                <w:rFonts w:hint="eastAsia" w:ascii="仿宋" w:hAnsi="仿宋" w:eastAsia="仿宋" w:cs="仿宋"/>
                <w:sz w:val="24"/>
                <w:szCs w:val="24"/>
                <w:highlight w:val="none"/>
              </w:rPr>
              <w:t>招标</w:t>
            </w:r>
            <w:r>
              <w:rPr>
                <w:rFonts w:hint="eastAsia" w:ascii="仿宋" w:hAnsi="仿宋" w:eastAsia="仿宋" w:cs="仿宋"/>
                <w:sz w:val="24"/>
                <w:szCs w:val="24"/>
                <w:highlight w:val="none"/>
                <w:lang w:val="zh-CN"/>
              </w:rPr>
              <w:t>文件中标注“★”号的实质性条款（或指标）要求的</w:t>
            </w:r>
            <w:r>
              <w:rPr>
                <w:rFonts w:hint="eastAsia" w:ascii="仿宋" w:hAnsi="仿宋" w:eastAsia="仿宋" w:cs="仿宋"/>
                <w:sz w:val="24"/>
                <w:szCs w:val="24"/>
                <w:highlight w:val="none"/>
              </w:rPr>
              <w:t>，具体详见</w:t>
            </w:r>
            <w:r>
              <w:rPr>
                <w:rFonts w:hint="eastAsia" w:ascii="仿宋" w:hAnsi="仿宋" w:eastAsia="仿宋" w:cs="仿宋"/>
                <w:sz w:val="24"/>
                <w:szCs w:val="24"/>
                <w:highlight w:val="none"/>
                <w:lang w:val="zh-CN"/>
              </w:rPr>
              <w:t>“实质性响应一览表”</w:t>
            </w:r>
          </w:p>
        </w:tc>
        <w:tc>
          <w:tcPr>
            <w:tcW w:w="413" w:type="pct"/>
            <w:shd w:val="clear" w:color="auto" w:fill="auto"/>
            <w:vAlign w:val="center"/>
          </w:tcPr>
          <w:p w14:paraId="2BD784EF">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3DD08CF0">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6F38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254" w:type="pct"/>
            <w:shd w:val="clear" w:color="auto" w:fill="auto"/>
            <w:vAlign w:val="center"/>
          </w:tcPr>
          <w:p w14:paraId="2EB45B76">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zh-CN"/>
              </w:rPr>
              <w:t>3</w:t>
            </w:r>
          </w:p>
        </w:tc>
        <w:tc>
          <w:tcPr>
            <w:tcW w:w="933" w:type="pct"/>
            <w:shd w:val="clear" w:color="auto" w:fill="auto"/>
            <w:vAlign w:val="center"/>
          </w:tcPr>
          <w:p w14:paraId="364048D6">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投标报价</w:t>
            </w:r>
          </w:p>
        </w:tc>
        <w:tc>
          <w:tcPr>
            <w:tcW w:w="2893" w:type="pct"/>
            <w:shd w:val="clear" w:color="auto" w:fill="auto"/>
            <w:vAlign w:val="center"/>
          </w:tcPr>
          <w:p w14:paraId="4B1F2707">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投标人报价未超过招标文件中规定的最高限价或者预算金额的，同时投标单价未高于本项目单个采购设备最高限价单价的</w:t>
            </w:r>
          </w:p>
        </w:tc>
        <w:tc>
          <w:tcPr>
            <w:tcW w:w="413" w:type="pct"/>
            <w:shd w:val="clear" w:color="auto" w:fill="auto"/>
            <w:vAlign w:val="center"/>
          </w:tcPr>
          <w:p w14:paraId="22E3EEDF">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726F5238">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3E2D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254" w:type="pct"/>
            <w:shd w:val="clear" w:color="auto" w:fill="auto"/>
            <w:vAlign w:val="center"/>
          </w:tcPr>
          <w:p w14:paraId="61652112">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4</w:t>
            </w:r>
          </w:p>
        </w:tc>
        <w:tc>
          <w:tcPr>
            <w:tcW w:w="933" w:type="pct"/>
            <w:vAlign w:val="center"/>
          </w:tcPr>
          <w:p w14:paraId="2A46242C">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采购清单</w:t>
            </w:r>
          </w:p>
        </w:tc>
        <w:tc>
          <w:tcPr>
            <w:tcW w:w="2893" w:type="pct"/>
            <w:shd w:val="clear" w:color="auto" w:fill="auto"/>
            <w:vAlign w:val="center"/>
          </w:tcPr>
          <w:p w14:paraId="18CE0503">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未改变招标文件提供的采购标的清单数量和缺漏项的</w:t>
            </w:r>
          </w:p>
        </w:tc>
        <w:tc>
          <w:tcPr>
            <w:tcW w:w="413" w:type="pct"/>
            <w:shd w:val="clear" w:color="auto" w:fill="auto"/>
            <w:vAlign w:val="center"/>
          </w:tcPr>
          <w:p w14:paraId="6B6D24EA">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7EF75E8A">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0DF9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54" w:type="pct"/>
            <w:shd w:val="clear" w:color="auto" w:fill="auto"/>
            <w:vAlign w:val="center"/>
          </w:tcPr>
          <w:p w14:paraId="49AF99E8">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5</w:t>
            </w:r>
          </w:p>
        </w:tc>
        <w:tc>
          <w:tcPr>
            <w:tcW w:w="933" w:type="pct"/>
            <w:shd w:val="clear" w:color="auto" w:fill="auto"/>
            <w:vAlign w:val="center"/>
          </w:tcPr>
          <w:p w14:paraId="42224ACA">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虚假材料</w:t>
            </w:r>
          </w:p>
        </w:tc>
        <w:tc>
          <w:tcPr>
            <w:tcW w:w="2893" w:type="pct"/>
            <w:shd w:val="clear" w:color="auto" w:fill="auto"/>
            <w:vAlign w:val="center"/>
          </w:tcPr>
          <w:p w14:paraId="7598E897">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zh-CN"/>
              </w:rPr>
              <w:t>文件</w:t>
            </w:r>
            <w:r>
              <w:rPr>
                <w:rFonts w:hint="eastAsia" w:ascii="仿宋" w:hAnsi="仿宋" w:eastAsia="仿宋" w:cs="仿宋"/>
                <w:sz w:val="24"/>
                <w:szCs w:val="24"/>
                <w:highlight w:val="none"/>
              </w:rPr>
              <w:t>未</w:t>
            </w:r>
            <w:r>
              <w:rPr>
                <w:rFonts w:hint="eastAsia" w:ascii="仿宋" w:hAnsi="仿宋" w:eastAsia="仿宋" w:cs="仿宋"/>
                <w:sz w:val="24"/>
                <w:szCs w:val="24"/>
                <w:highlight w:val="none"/>
                <w:lang w:val="zh-CN"/>
              </w:rPr>
              <w:t>提供虚假材料的</w:t>
            </w:r>
          </w:p>
        </w:tc>
        <w:tc>
          <w:tcPr>
            <w:tcW w:w="413" w:type="pct"/>
            <w:shd w:val="clear" w:color="auto" w:fill="auto"/>
            <w:vAlign w:val="center"/>
          </w:tcPr>
          <w:p w14:paraId="4E1ADDAA">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370599CE">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2E60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254" w:type="pct"/>
            <w:shd w:val="clear" w:color="auto" w:fill="auto"/>
            <w:vAlign w:val="center"/>
          </w:tcPr>
          <w:p w14:paraId="3B81CAB1">
            <w:pPr>
              <w:pStyle w:val="5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6</w:t>
            </w:r>
          </w:p>
        </w:tc>
        <w:tc>
          <w:tcPr>
            <w:tcW w:w="933" w:type="pct"/>
            <w:vAlign w:val="center"/>
          </w:tcPr>
          <w:p w14:paraId="43C8751E">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2893" w:type="pct"/>
            <w:shd w:val="clear" w:color="auto" w:fill="auto"/>
            <w:vAlign w:val="center"/>
          </w:tcPr>
          <w:p w14:paraId="3AA01A22">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投标人按招标文件的规定交纳投标保证金的</w:t>
            </w:r>
          </w:p>
        </w:tc>
        <w:tc>
          <w:tcPr>
            <w:tcW w:w="413" w:type="pct"/>
            <w:shd w:val="clear" w:color="auto" w:fill="auto"/>
            <w:vAlign w:val="center"/>
          </w:tcPr>
          <w:p w14:paraId="3D4CBEA1">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1C8E5F34">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0DF9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254" w:type="pct"/>
            <w:shd w:val="clear" w:color="auto" w:fill="auto"/>
            <w:vAlign w:val="center"/>
          </w:tcPr>
          <w:p w14:paraId="6599F2F4">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7</w:t>
            </w:r>
          </w:p>
        </w:tc>
        <w:tc>
          <w:tcPr>
            <w:tcW w:w="933" w:type="pct"/>
            <w:vAlign w:val="center"/>
          </w:tcPr>
          <w:p w14:paraId="4A13EC06">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投标文件的澄清、说明、补正</w:t>
            </w:r>
          </w:p>
        </w:tc>
        <w:tc>
          <w:tcPr>
            <w:tcW w:w="2893" w:type="pct"/>
            <w:shd w:val="clear" w:color="auto" w:fill="auto"/>
            <w:vAlign w:val="center"/>
          </w:tcPr>
          <w:p w14:paraId="7DF395B8">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lang w:val="zh-CN"/>
              </w:rPr>
              <w:t>评审期间，</w:t>
            </w: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val="zh-CN"/>
              </w:rPr>
              <w:t>按评标委员会的要求提交经授权代表签字的澄清、说明、补正或</w:t>
            </w:r>
            <w:r>
              <w:rPr>
                <w:rFonts w:hint="eastAsia" w:ascii="仿宋" w:hAnsi="仿宋" w:eastAsia="仿宋" w:cs="仿宋"/>
                <w:sz w:val="24"/>
                <w:szCs w:val="24"/>
                <w:highlight w:val="none"/>
              </w:rPr>
              <w:t>未</w:t>
            </w:r>
            <w:r>
              <w:rPr>
                <w:rFonts w:hint="eastAsia" w:ascii="仿宋" w:hAnsi="仿宋" w:eastAsia="仿宋" w:cs="仿宋"/>
                <w:sz w:val="24"/>
                <w:szCs w:val="24"/>
                <w:highlight w:val="none"/>
                <w:lang w:val="zh-CN"/>
              </w:rPr>
              <w:t>改变</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zh-CN"/>
              </w:rPr>
              <w:t>文件的实质性内容</w:t>
            </w:r>
          </w:p>
        </w:tc>
        <w:tc>
          <w:tcPr>
            <w:tcW w:w="413" w:type="pct"/>
            <w:shd w:val="clear" w:color="auto" w:fill="auto"/>
            <w:vAlign w:val="center"/>
          </w:tcPr>
          <w:p w14:paraId="73CD42C6">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3019DFFE">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6349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254" w:type="pct"/>
            <w:shd w:val="clear" w:color="auto" w:fill="auto"/>
            <w:vAlign w:val="center"/>
          </w:tcPr>
          <w:p w14:paraId="200D3341">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8</w:t>
            </w:r>
          </w:p>
        </w:tc>
        <w:tc>
          <w:tcPr>
            <w:tcW w:w="933" w:type="pct"/>
            <w:vAlign w:val="center"/>
          </w:tcPr>
          <w:p w14:paraId="094BB3D2">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投标人影响评标</w:t>
            </w:r>
          </w:p>
        </w:tc>
        <w:tc>
          <w:tcPr>
            <w:tcW w:w="2893" w:type="pct"/>
            <w:shd w:val="clear" w:color="auto" w:fill="auto"/>
            <w:vAlign w:val="center"/>
          </w:tcPr>
          <w:p w14:paraId="1245B30C">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val="zh-CN"/>
              </w:rPr>
              <w:t>对采购人、采购代理机构、评标委员会及其工作人员</w:t>
            </w:r>
            <w:r>
              <w:rPr>
                <w:rFonts w:hint="eastAsia" w:ascii="仿宋" w:hAnsi="仿宋" w:eastAsia="仿宋" w:cs="仿宋"/>
                <w:sz w:val="24"/>
                <w:szCs w:val="24"/>
                <w:highlight w:val="none"/>
              </w:rPr>
              <w:t>未</w:t>
            </w:r>
            <w:r>
              <w:rPr>
                <w:rFonts w:hint="eastAsia" w:ascii="仿宋" w:hAnsi="仿宋" w:eastAsia="仿宋" w:cs="仿宋"/>
                <w:sz w:val="24"/>
                <w:szCs w:val="24"/>
                <w:highlight w:val="none"/>
                <w:lang w:val="zh-CN"/>
              </w:rPr>
              <w:t>施加影响，</w:t>
            </w:r>
            <w:r>
              <w:rPr>
                <w:rFonts w:hint="eastAsia" w:ascii="仿宋" w:hAnsi="仿宋" w:eastAsia="仿宋" w:cs="仿宋"/>
                <w:sz w:val="24"/>
                <w:szCs w:val="24"/>
                <w:highlight w:val="none"/>
              </w:rPr>
              <w:t>无</w:t>
            </w:r>
            <w:r>
              <w:rPr>
                <w:rFonts w:hint="eastAsia" w:ascii="仿宋" w:hAnsi="仿宋" w:eastAsia="仿宋" w:cs="仿宋"/>
                <w:sz w:val="24"/>
                <w:szCs w:val="24"/>
                <w:highlight w:val="none"/>
                <w:lang w:val="zh-CN"/>
              </w:rPr>
              <w:t>有碍公平、公正</w:t>
            </w:r>
            <w:r>
              <w:rPr>
                <w:rFonts w:hint="eastAsia" w:ascii="仿宋" w:hAnsi="仿宋" w:eastAsia="仿宋" w:cs="仿宋"/>
                <w:sz w:val="24"/>
                <w:szCs w:val="24"/>
                <w:highlight w:val="none"/>
              </w:rPr>
              <w:t>的</w:t>
            </w:r>
          </w:p>
        </w:tc>
        <w:tc>
          <w:tcPr>
            <w:tcW w:w="413" w:type="pct"/>
            <w:shd w:val="clear" w:color="auto" w:fill="auto"/>
            <w:vAlign w:val="center"/>
          </w:tcPr>
          <w:p w14:paraId="3F07154F">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62254DF6">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1173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254" w:type="pct"/>
            <w:shd w:val="clear" w:color="auto" w:fill="auto"/>
            <w:vAlign w:val="center"/>
          </w:tcPr>
          <w:p w14:paraId="288C72DD">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9</w:t>
            </w:r>
          </w:p>
        </w:tc>
        <w:tc>
          <w:tcPr>
            <w:tcW w:w="933" w:type="pct"/>
            <w:vAlign w:val="center"/>
          </w:tcPr>
          <w:p w14:paraId="05A77AC1">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围标串标情形</w:t>
            </w:r>
          </w:p>
        </w:tc>
        <w:tc>
          <w:tcPr>
            <w:tcW w:w="2893" w:type="pct"/>
            <w:shd w:val="clear" w:color="auto" w:fill="auto"/>
            <w:vAlign w:val="center"/>
          </w:tcPr>
          <w:p w14:paraId="08C861D8">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没有</w:t>
            </w:r>
            <w:r>
              <w:rPr>
                <w:rFonts w:hint="eastAsia" w:ascii="仿宋" w:hAnsi="仿宋" w:eastAsia="仿宋" w:cs="仿宋"/>
                <w:sz w:val="24"/>
                <w:szCs w:val="24"/>
                <w:highlight w:val="none"/>
                <w:lang w:val="zh-CN"/>
              </w:rPr>
              <w:t>“第五章 评标方法及标准”</w:t>
            </w:r>
            <w:r>
              <w:rPr>
                <w:rFonts w:hint="eastAsia" w:ascii="仿宋" w:hAnsi="仿宋" w:eastAsia="仿宋" w:cs="仿宋"/>
                <w:sz w:val="24"/>
                <w:szCs w:val="24"/>
                <w:highlight w:val="none"/>
              </w:rPr>
              <w:t>第21条情形之一的</w:t>
            </w:r>
          </w:p>
        </w:tc>
        <w:tc>
          <w:tcPr>
            <w:tcW w:w="413" w:type="pct"/>
            <w:shd w:val="clear" w:color="auto" w:fill="auto"/>
            <w:vAlign w:val="center"/>
          </w:tcPr>
          <w:p w14:paraId="20B3A047">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31817BCE">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r w14:paraId="44C0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254" w:type="pct"/>
            <w:shd w:val="clear" w:color="auto" w:fill="auto"/>
            <w:vAlign w:val="center"/>
          </w:tcPr>
          <w:p w14:paraId="129042E6">
            <w:pPr>
              <w:pStyle w:val="53"/>
              <w:keepNext w:val="0"/>
              <w:keepLines w:val="0"/>
              <w:pageBreakBefore w:val="0"/>
              <w:widowControl w:val="0"/>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p>
        </w:tc>
        <w:tc>
          <w:tcPr>
            <w:tcW w:w="933" w:type="pct"/>
            <w:vAlign w:val="center"/>
          </w:tcPr>
          <w:p w14:paraId="2653C501">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附加条件</w:t>
            </w:r>
          </w:p>
        </w:tc>
        <w:tc>
          <w:tcPr>
            <w:tcW w:w="2893" w:type="pct"/>
            <w:shd w:val="clear" w:color="auto" w:fill="auto"/>
            <w:vAlign w:val="center"/>
          </w:tcPr>
          <w:p w14:paraId="15B3C9A9">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投标文件没有采购人不能接受的附加条件的</w:t>
            </w:r>
          </w:p>
        </w:tc>
        <w:tc>
          <w:tcPr>
            <w:tcW w:w="413" w:type="pct"/>
            <w:shd w:val="clear" w:color="auto" w:fill="auto"/>
            <w:vAlign w:val="center"/>
          </w:tcPr>
          <w:p w14:paraId="130297FF">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c>
          <w:tcPr>
            <w:tcW w:w="506" w:type="pct"/>
            <w:shd w:val="clear" w:color="auto" w:fill="auto"/>
            <w:vAlign w:val="center"/>
          </w:tcPr>
          <w:p w14:paraId="08FE6A5A">
            <w:pPr>
              <w:pStyle w:val="5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zh-CN"/>
              </w:rPr>
            </w:pPr>
          </w:p>
        </w:tc>
      </w:tr>
    </w:tbl>
    <w:p w14:paraId="7DBD20A9">
      <w:pPr>
        <w:rPr>
          <w:rFonts w:hint="eastAsia" w:ascii="仿宋" w:hAnsi="仿宋" w:eastAsia="仿宋" w:cs="仿宋"/>
          <w:highlight w:val="none"/>
        </w:rPr>
      </w:pPr>
    </w:p>
    <w:p w14:paraId="54AF9C41">
      <w:pPr>
        <w:rPr>
          <w:rFonts w:hint="eastAsia" w:ascii="仿宋" w:hAnsi="仿宋" w:eastAsia="仿宋" w:cs="仿宋"/>
          <w:highlight w:val="none"/>
        </w:rPr>
      </w:pPr>
      <w:r>
        <w:rPr>
          <w:rFonts w:hint="eastAsia" w:ascii="仿宋" w:hAnsi="仿宋" w:eastAsia="仿宋" w:cs="仿宋"/>
          <w:highlight w:val="none"/>
        </w:rPr>
        <w:br w:type="page"/>
      </w:r>
    </w:p>
    <w:p w14:paraId="31F602CE">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符合性审查表－附表</w:t>
      </w:r>
    </w:p>
    <w:p w14:paraId="07F25DED">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p w14:paraId="6E218CEB">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实质性响应一览表</w:t>
      </w:r>
    </w:p>
    <w:p w14:paraId="51F77063">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（投标人须对本附表所有内容逐条响应且无负偏离，否则其</w:t>
      </w:r>
      <w:r>
        <w:rPr>
          <w:rFonts w:hint="eastAsia" w:ascii="仿宋" w:hAnsi="仿宋" w:eastAsia="仿宋" w:cs="仿宋"/>
          <w:b/>
          <w:highlight w:val="none"/>
        </w:rPr>
        <w:t>投标无效</w:t>
      </w:r>
      <w:r>
        <w:rPr>
          <w:rFonts w:hint="eastAsia" w:ascii="仿宋" w:hAnsi="仿宋" w:eastAsia="仿宋" w:cs="仿宋"/>
          <w:highlight w:val="none"/>
        </w:rPr>
        <w:t>）</w:t>
      </w:r>
    </w:p>
    <w:p w14:paraId="153F8BF4">
      <w:pPr>
        <w:pStyle w:val="26"/>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bl>
      <w:tblPr>
        <w:tblStyle w:val="33"/>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907"/>
        <w:gridCol w:w="4742"/>
        <w:gridCol w:w="1990"/>
        <w:gridCol w:w="776"/>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8" w:type="pct"/>
            <w:vMerge w:val="restart"/>
            <w:vAlign w:val="center"/>
          </w:tcPr>
          <w:p w14:paraId="123C5E35">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序号</w:t>
            </w:r>
          </w:p>
        </w:tc>
        <w:tc>
          <w:tcPr>
            <w:tcW w:w="3376" w:type="pct"/>
            <w:gridSpan w:val="2"/>
            <w:vAlign w:val="center"/>
          </w:tcPr>
          <w:p w14:paraId="773F412A">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招标文件要求的实质性响应内容</w:t>
            </w:r>
          </w:p>
        </w:tc>
        <w:tc>
          <w:tcPr>
            <w:tcW w:w="1010" w:type="pct"/>
            <w:vMerge w:val="restart"/>
            <w:vAlign w:val="center"/>
          </w:tcPr>
          <w:p w14:paraId="61FF0C4B">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投标文件响应的具体内容</w:t>
            </w:r>
          </w:p>
        </w:tc>
        <w:tc>
          <w:tcPr>
            <w:tcW w:w="393" w:type="pct"/>
            <w:vMerge w:val="restart"/>
            <w:vAlign w:val="center"/>
          </w:tcPr>
          <w:p w14:paraId="5355821F">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18" w:type="pct"/>
            <w:vMerge w:val="continue"/>
            <w:vAlign w:val="center"/>
          </w:tcPr>
          <w:p w14:paraId="76BF9804">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p>
        </w:tc>
        <w:tc>
          <w:tcPr>
            <w:tcW w:w="968" w:type="pct"/>
            <w:shd w:val="clear" w:color="auto" w:fill="auto"/>
            <w:vAlign w:val="center"/>
          </w:tcPr>
          <w:p w14:paraId="2B5ED6BA">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实质性要求</w:t>
            </w:r>
          </w:p>
        </w:tc>
        <w:tc>
          <w:tcPr>
            <w:tcW w:w="2407" w:type="pct"/>
            <w:shd w:val="clear" w:color="auto" w:fill="auto"/>
            <w:vAlign w:val="center"/>
          </w:tcPr>
          <w:p w14:paraId="21473917">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招标文件中的规定</w:t>
            </w:r>
          </w:p>
        </w:tc>
        <w:tc>
          <w:tcPr>
            <w:tcW w:w="1010" w:type="pct"/>
            <w:vMerge w:val="continue"/>
            <w:vAlign w:val="center"/>
          </w:tcPr>
          <w:p w14:paraId="7E074CA1">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Merge w:val="continue"/>
            <w:vAlign w:val="center"/>
          </w:tcPr>
          <w:p w14:paraId="641D33AF">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18" w:type="pct"/>
            <w:vAlign w:val="center"/>
          </w:tcPr>
          <w:p w14:paraId="2722F611">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1</w:t>
            </w:r>
          </w:p>
        </w:tc>
        <w:tc>
          <w:tcPr>
            <w:tcW w:w="968" w:type="pct"/>
            <w:shd w:val="clear" w:color="auto" w:fill="auto"/>
            <w:vAlign w:val="center"/>
          </w:tcPr>
          <w:p w14:paraId="136DF3E9">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投标内容</w:t>
            </w:r>
          </w:p>
        </w:tc>
        <w:tc>
          <w:tcPr>
            <w:tcW w:w="2407" w:type="pct"/>
            <w:shd w:val="clear" w:color="auto" w:fill="auto"/>
            <w:vAlign w:val="center"/>
          </w:tcPr>
          <w:p w14:paraId="0756B88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对采购标的全部报价，无缺项漏项或改变清单数量</w:t>
            </w:r>
          </w:p>
        </w:tc>
        <w:tc>
          <w:tcPr>
            <w:tcW w:w="1010" w:type="pct"/>
            <w:vAlign w:val="center"/>
          </w:tcPr>
          <w:p w14:paraId="38CE613B">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【投标人在此处填写投标文件的相关内容】</w:t>
            </w:r>
          </w:p>
        </w:tc>
        <w:tc>
          <w:tcPr>
            <w:tcW w:w="393" w:type="pct"/>
            <w:vAlign w:val="center"/>
          </w:tcPr>
          <w:p w14:paraId="06CA1B0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18" w:type="pct"/>
            <w:vAlign w:val="center"/>
          </w:tcPr>
          <w:p w14:paraId="64ED593E">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2</w:t>
            </w:r>
          </w:p>
        </w:tc>
        <w:tc>
          <w:tcPr>
            <w:tcW w:w="968" w:type="pct"/>
            <w:shd w:val="clear" w:color="auto" w:fill="auto"/>
            <w:vAlign w:val="center"/>
          </w:tcPr>
          <w:p w14:paraId="0B77057A">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投标有效期</w:t>
            </w:r>
          </w:p>
        </w:tc>
        <w:tc>
          <w:tcPr>
            <w:tcW w:w="2407" w:type="pct"/>
            <w:shd w:val="clear" w:color="auto" w:fill="auto"/>
            <w:vAlign w:val="center"/>
          </w:tcPr>
          <w:p w14:paraId="1C0ED6A8">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招标文件“第二章 投标须知”关于投标有效期的规定</w:t>
            </w:r>
          </w:p>
        </w:tc>
        <w:tc>
          <w:tcPr>
            <w:tcW w:w="1010" w:type="pct"/>
            <w:shd w:val="clear" w:color="auto" w:fill="auto"/>
            <w:vAlign w:val="center"/>
          </w:tcPr>
          <w:p w14:paraId="615B7F8C">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Align w:val="center"/>
          </w:tcPr>
          <w:p w14:paraId="0B5294FE">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18" w:type="pct"/>
            <w:vAlign w:val="center"/>
          </w:tcPr>
          <w:p w14:paraId="3FCEA4F5">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3</w:t>
            </w:r>
          </w:p>
        </w:tc>
        <w:tc>
          <w:tcPr>
            <w:tcW w:w="968" w:type="pct"/>
            <w:shd w:val="clear" w:color="auto" w:fill="auto"/>
            <w:vAlign w:val="center"/>
          </w:tcPr>
          <w:p w14:paraId="6F630530">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交货期</w:t>
            </w:r>
          </w:p>
        </w:tc>
        <w:tc>
          <w:tcPr>
            <w:tcW w:w="2407" w:type="pct"/>
            <w:shd w:val="clear" w:color="auto" w:fill="auto"/>
            <w:vAlign w:val="center"/>
          </w:tcPr>
          <w:p w14:paraId="63560D21">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采购需求”-商务要求关于交货期的规定</w:t>
            </w:r>
          </w:p>
        </w:tc>
        <w:tc>
          <w:tcPr>
            <w:tcW w:w="1010" w:type="pct"/>
            <w:shd w:val="clear" w:color="auto" w:fill="auto"/>
            <w:vAlign w:val="center"/>
          </w:tcPr>
          <w:p w14:paraId="76F1076D">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Align w:val="center"/>
          </w:tcPr>
          <w:p w14:paraId="3B4AD46C">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787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18" w:type="pct"/>
            <w:shd w:val="clear" w:color="auto" w:fill="auto"/>
            <w:vAlign w:val="center"/>
          </w:tcPr>
          <w:p w14:paraId="0BB62896">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4</w:t>
            </w:r>
          </w:p>
        </w:tc>
        <w:tc>
          <w:tcPr>
            <w:tcW w:w="968" w:type="pct"/>
            <w:shd w:val="clear" w:color="auto" w:fill="auto"/>
            <w:vAlign w:val="center"/>
          </w:tcPr>
          <w:p w14:paraId="0C4D24FB">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质保期</w:t>
            </w:r>
          </w:p>
        </w:tc>
        <w:tc>
          <w:tcPr>
            <w:tcW w:w="2407" w:type="pct"/>
            <w:shd w:val="clear" w:color="auto" w:fill="auto"/>
            <w:vAlign w:val="center"/>
          </w:tcPr>
          <w:p w14:paraId="484DBA22">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w:t>
            </w:r>
            <w:r>
              <w:rPr>
                <w:rFonts w:hint="eastAsia" w:ascii="仿宋" w:hAnsi="仿宋" w:eastAsia="仿宋" w:cs="仿宋"/>
                <w:highlight w:val="none"/>
                <w:lang w:val="en-US" w:eastAsia="zh-CN"/>
              </w:rPr>
              <w:t>质保期</w:t>
            </w:r>
            <w:r>
              <w:rPr>
                <w:rFonts w:hint="eastAsia" w:ascii="仿宋" w:hAnsi="仿宋" w:eastAsia="仿宋" w:cs="仿宋"/>
                <w:highlight w:val="none"/>
              </w:rPr>
              <w:t>的规定</w:t>
            </w:r>
          </w:p>
        </w:tc>
        <w:tc>
          <w:tcPr>
            <w:tcW w:w="1010" w:type="pct"/>
            <w:shd w:val="clear" w:color="auto" w:fill="auto"/>
            <w:vAlign w:val="center"/>
          </w:tcPr>
          <w:p w14:paraId="49E233C5">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Align w:val="center"/>
          </w:tcPr>
          <w:p w14:paraId="400ACD22">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18" w:type="pct"/>
            <w:shd w:val="clear" w:color="auto" w:fill="auto"/>
            <w:vAlign w:val="center"/>
          </w:tcPr>
          <w:p w14:paraId="503F74E3">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5</w:t>
            </w:r>
          </w:p>
        </w:tc>
        <w:tc>
          <w:tcPr>
            <w:tcW w:w="968" w:type="pct"/>
            <w:shd w:val="clear" w:color="auto" w:fill="auto"/>
            <w:vAlign w:val="center"/>
          </w:tcPr>
          <w:p w14:paraId="7F8ACA54">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交货地点</w:t>
            </w:r>
          </w:p>
        </w:tc>
        <w:tc>
          <w:tcPr>
            <w:tcW w:w="2407" w:type="pct"/>
            <w:shd w:val="clear" w:color="auto" w:fill="auto"/>
            <w:vAlign w:val="center"/>
          </w:tcPr>
          <w:p w14:paraId="3B338933">
            <w:pPr>
              <w:pStyle w:val="53"/>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采购需求”-商务要求关于交货地点的规定</w:t>
            </w:r>
          </w:p>
        </w:tc>
        <w:tc>
          <w:tcPr>
            <w:tcW w:w="1010" w:type="pct"/>
            <w:shd w:val="clear" w:color="auto" w:fill="auto"/>
            <w:vAlign w:val="center"/>
          </w:tcPr>
          <w:p w14:paraId="5C1D8A85">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Align w:val="center"/>
          </w:tcPr>
          <w:p w14:paraId="05B081F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18" w:type="pct"/>
            <w:shd w:val="clear" w:color="auto" w:fill="auto"/>
            <w:vAlign w:val="center"/>
          </w:tcPr>
          <w:p w14:paraId="085E1DF1">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6</w:t>
            </w:r>
          </w:p>
        </w:tc>
        <w:tc>
          <w:tcPr>
            <w:tcW w:w="968" w:type="pct"/>
            <w:shd w:val="clear" w:color="auto" w:fill="auto"/>
            <w:vAlign w:val="center"/>
          </w:tcPr>
          <w:p w14:paraId="1B21B6B2">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付款方式</w:t>
            </w:r>
          </w:p>
        </w:tc>
        <w:tc>
          <w:tcPr>
            <w:tcW w:w="2407" w:type="pct"/>
            <w:shd w:val="clear" w:color="auto" w:fill="auto"/>
            <w:vAlign w:val="center"/>
          </w:tcPr>
          <w:p w14:paraId="40DBB43C">
            <w:pPr>
              <w:pStyle w:val="53"/>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采购需求”-商务要求关于付款方式的规定</w:t>
            </w:r>
          </w:p>
        </w:tc>
        <w:tc>
          <w:tcPr>
            <w:tcW w:w="1010" w:type="pct"/>
            <w:shd w:val="clear" w:color="auto" w:fill="auto"/>
            <w:vAlign w:val="center"/>
          </w:tcPr>
          <w:p w14:paraId="1FD6091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Align w:val="center"/>
          </w:tcPr>
          <w:p w14:paraId="49D3EE34">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18" w:type="pct"/>
            <w:shd w:val="clear" w:color="auto" w:fill="auto"/>
            <w:vAlign w:val="center"/>
          </w:tcPr>
          <w:p w14:paraId="6AE913A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7</w:t>
            </w:r>
          </w:p>
        </w:tc>
        <w:tc>
          <w:tcPr>
            <w:tcW w:w="968" w:type="pct"/>
            <w:shd w:val="clear" w:color="auto" w:fill="auto"/>
            <w:vAlign w:val="center"/>
          </w:tcPr>
          <w:p w14:paraId="3923588D">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履约保证金</w:t>
            </w:r>
          </w:p>
        </w:tc>
        <w:tc>
          <w:tcPr>
            <w:tcW w:w="2407" w:type="pct"/>
            <w:shd w:val="clear" w:color="auto" w:fill="auto"/>
            <w:vAlign w:val="center"/>
          </w:tcPr>
          <w:p w14:paraId="38989B40">
            <w:pPr>
              <w:pStyle w:val="53"/>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采购需求”-商务要求关于履约保证金的规定</w:t>
            </w:r>
          </w:p>
        </w:tc>
        <w:tc>
          <w:tcPr>
            <w:tcW w:w="1010" w:type="pct"/>
            <w:shd w:val="clear" w:color="auto" w:fill="auto"/>
            <w:vAlign w:val="center"/>
          </w:tcPr>
          <w:p w14:paraId="594B8F10">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Align w:val="center"/>
          </w:tcPr>
          <w:p w14:paraId="4695EB59">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18" w:type="pct"/>
            <w:vAlign w:val="center"/>
          </w:tcPr>
          <w:p w14:paraId="509A63AB">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8</w:t>
            </w:r>
          </w:p>
        </w:tc>
        <w:tc>
          <w:tcPr>
            <w:tcW w:w="968" w:type="pct"/>
            <w:shd w:val="clear" w:color="auto" w:fill="auto"/>
            <w:vAlign w:val="center"/>
          </w:tcPr>
          <w:p w14:paraId="5708B351">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zh-CN"/>
              </w:rPr>
            </w:pPr>
            <w:r>
              <w:rPr>
                <w:rFonts w:hint="eastAsia" w:ascii="仿宋" w:hAnsi="仿宋" w:eastAsia="仿宋" w:cs="仿宋"/>
                <w:highlight w:val="none"/>
                <w:lang w:val="zh-CN"/>
              </w:rPr>
              <w:t>其他实质性要求</w:t>
            </w:r>
          </w:p>
        </w:tc>
        <w:tc>
          <w:tcPr>
            <w:tcW w:w="2407" w:type="pct"/>
            <w:vAlign w:val="center"/>
          </w:tcPr>
          <w:p w14:paraId="49C20CFC">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详见招标文件中明确投标无效的条款规定</w:t>
            </w:r>
          </w:p>
        </w:tc>
        <w:tc>
          <w:tcPr>
            <w:tcW w:w="1010" w:type="pct"/>
            <w:vAlign w:val="center"/>
          </w:tcPr>
          <w:p w14:paraId="44774458">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93" w:type="pct"/>
            <w:vAlign w:val="center"/>
          </w:tcPr>
          <w:p w14:paraId="31A13FA2">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bl>
    <w:p w14:paraId="28272F20">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p w14:paraId="172C5EF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注：“实质性响应一览表”中的内容为参考，可根据项目情况自行设置。</w:t>
      </w:r>
    </w:p>
    <w:p w14:paraId="4947C104">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zh-CN"/>
        </w:rPr>
      </w:pPr>
      <w:bookmarkStart w:id="337" w:name="_Toc163492910"/>
      <w:bookmarkStart w:id="338" w:name="_Toc155185917"/>
      <w:r>
        <w:rPr>
          <w:rFonts w:hint="eastAsia" w:ascii="仿宋" w:hAnsi="仿宋" w:eastAsia="仿宋" w:cs="仿宋"/>
          <w:highlight w:val="none"/>
          <w:lang w:val="zh-CN"/>
        </w:rPr>
        <w:br w:type="page"/>
      </w:r>
    </w:p>
    <w:p w14:paraId="48606EF8">
      <w:pPr>
        <w:pStyle w:val="4"/>
        <w:keepNext w:val="0"/>
        <w:keepLines/>
        <w:pageBreakBefore w:val="0"/>
        <w:widowControl w:val="0"/>
        <w:kinsoku/>
        <w:wordWrap/>
        <w:overflowPunct/>
        <w:topLinePunct w:val="0"/>
        <w:autoSpaceDE/>
        <w:autoSpaceDN/>
        <w:bidi w:val="0"/>
        <w:adjustRightInd/>
        <w:snapToGrid/>
        <w:spacing w:before="120" w:after="120" w:line="4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（二）评分标准</w:t>
      </w:r>
      <w:bookmarkEnd w:id="337"/>
      <w:bookmarkEnd w:id="338"/>
    </w:p>
    <w:tbl>
      <w:tblPr>
        <w:tblStyle w:val="33"/>
        <w:tblW w:w="9758" w:type="dxa"/>
        <w:jc w:val="center"/>
        <w:tblLayout w:type="autofit"/>
        <w:tblCellMar>
          <w:top w:w="0" w:type="dxa"/>
          <w:left w:w="108" w:type="dxa"/>
          <w:bottom w:w="0" w:type="dxa"/>
          <w:right w:w="108" w:type="dxa"/>
        </w:tblCellMar>
      </w:tblPr>
      <w:tblGrid>
        <w:gridCol w:w="1571"/>
        <w:gridCol w:w="1670"/>
        <w:gridCol w:w="6517"/>
      </w:tblGrid>
      <w:tr w14:paraId="292F5BB3">
        <w:tblPrEx>
          <w:tblCellMar>
            <w:top w:w="0" w:type="dxa"/>
            <w:left w:w="108" w:type="dxa"/>
            <w:bottom w:w="0" w:type="dxa"/>
            <w:right w:w="108" w:type="dxa"/>
          </w:tblCellMar>
        </w:tblPrEx>
        <w:trPr>
          <w:trHeight w:val="813" w:hRule="atLeast"/>
          <w:jc w:val="center"/>
        </w:trPr>
        <w:tc>
          <w:tcPr>
            <w:tcW w:w="1571" w:type="dxa"/>
            <w:tcBorders>
              <w:top w:val="single" w:color="000000" w:sz="4" w:space="0"/>
              <w:left w:val="single" w:color="000000" w:sz="4" w:space="0"/>
              <w:bottom w:val="single" w:color="000000" w:sz="4" w:space="0"/>
              <w:right w:val="single" w:color="000000" w:sz="4" w:space="0"/>
            </w:tcBorders>
            <w:vAlign w:val="center"/>
          </w:tcPr>
          <w:p w14:paraId="4CE5E6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lang w:bidi="ar"/>
              </w:rPr>
              <w:t>评分因素</w:t>
            </w:r>
          </w:p>
        </w:tc>
        <w:tc>
          <w:tcPr>
            <w:tcW w:w="1670" w:type="dxa"/>
            <w:tcBorders>
              <w:top w:val="single" w:color="000000" w:sz="4" w:space="0"/>
              <w:left w:val="single" w:color="000000" w:sz="4" w:space="0"/>
              <w:bottom w:val="single" w:color="000000" w:sz="4" w:space="0"/>
              <w:right w:val="single" w:color="000000" w:sz="4" w:space="0"/>
            </w:tcBorders>
            <w:vAlign w:val="center"/>
          </w:tcPr>
          <w:p w14:paraId="316E4C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bidi="ar"/>
              </w:rPr>
              <w:t>评分点</w:t>
            </w:r>
            <w:r>
              <w:rPr>
                <w:rFonts w:hint="eastAsia" w:ascii="仿宋" w:hAnsi="仿宋" w:eastAsia="仿宋" w:cs="仿宋"/>
                <w:b/>
                <w:bCs/>
                <w:sz w:val="24"/>
                <w:szCs w:val="24"/>
                <w:highlight w:val="none"/>
                <w:lang w:val="en-US" w:eastAsia="zh-CN" w:bidi="ar"/>
              </w:rPr>
              <w:t>及分值</w:t>
            </w:r>
          </w:p>
        </w:tc>
        <w:tc>
          <w:tcPr>
            <w:tcW w:w="6517" w:type="dxa"/>
            <w:tcBorders>
              <w:top w:val="single" w:color="000000" w:sz="4" w:space="0"/>
              <w:left w:val="single" w:color="000000" w:sz="4" w:space="0"/>
              <w:bottom w:val="single" w:color="000000" w:sz="4" w:space="0"/>
              <w:right w:val="single" w:color="000000" w:sz="4" w:space="0"/>
            </w:tcBorders>
            <w:vAlign w:val="center"/>
          </w:tcPr>
          <w:p w14:paraId="74DE46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评分标准</w:t>
            </w:r>
          </w:p>
        </w:tc>
      </w:tr>
      <w:tr w14:paraId="36A2B178">
        <w:tblPrEx>
          <w:tblCellMar>
            <w:top w:w="0" w:type="dxa"/>
            <w:left w:w="108" w:type="dxa"/>
            <w:bottom w:w="0" w:type="dxa"/>
            <w:right w:w="108" w:type="dxa"/>
          </w:tblCellMar>
        </w:tblPrEx>
        <w:trPr>
          <w:trHeight w:val="1995" w:hRule="atLeast"/>
          <w:jc w:val="center"/>
        </w:trPr>
        <w:tc>
          <w:tcPr>
            <w:tcW w:w="1571" w:type="dxa"/>
            <w:tcBorders>
              <w:top w:val="single" w:color="000000" w:sz="4" w:space="0"/>
              <w:left w:val="single" w:color="000000" w:sz="4" w:space="0"/>
              <w:bottom w:val="single" w:color="000000" w:sz="4" w:space="0"/>
              <w:right w:val="single" w:color="000000" w:sz="4" w:space="0"/>
            </w:tcBorders>
            <w:vAlign w:val="center"/>
          </w:tcPr>
          <w:p w14:paraId="418006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价格评审</w:t>
            </w:r>
          </w:p>
          <w:p w14:paraId="102DD7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（30分）</w:t>
            </w:r>
          </w:p>
        </w:tc>
        <w:tc>
          <w:tcPr>
            <w:tcW w:w="1670" w:type="dxa"/>
            <w:tcBorders>
              <w:top w:val="single" w:color="000000" w:sz="4" w:space="0"/>
              <w:left w:val="single" w:color="000000" w:sz="4" w:space="0"/>
              <w:bottom w:val="single" w:color="000000" w:sz="4" w:space="0"/>
              <w:right w:val="single" w:color="000000" w:sz="4" w:space="0"/>
            </w:tcBorders>
            <w:vAlign w:val="center"/>
          </w:tcPr>
          <w:p w14:paraId="0CE1AF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投标报价</w:t>
            </w:r>
          </w:p>
          <w:p w14:paraId="2CE63A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（30分）</w:t>
            </w:r>
          </w:p>
        </w:tc>
        <w:tc>
          <w:tcPr>
            <w:tcW w:w="6517" w:type="dxa"/>
            <w:tcBorders>
              <w:top w:val="single" w:color="000000" w:sz="4" w:space="0"/>
              <w:left w:val="single" w:color="000000" w:sz="4" w:space="0"/>
              <w:bottom w:val="single" w:color="000000" w:sz="4" w:space="0"/>
              <w:right w:val="single" w:color="000000" w:sz="4" w:space="0"/>
            </w:tcBorders>
            <w:vAlign w:val="center"/>
          </w:tcPr>
          <w:p w14:paraId="715D427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649347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投标报价得分=(评标基准价／投标报价)×价格分值×100%，小数点保留2位。</w:t>
            </w:r>
          </w:p>
        </w:tc>
      </w:tr>
      <w:tr w14:paraId="6E4C8AF5">
        <w:tblPrEx>
          <w:tblCellMar>
            <w:top w:w="0" w:type="dxa"/>
            <w:left w:w="108" w:type="dxa"/>
            <w:bottom w:w="0" w:type="dxa"/>
            <w:right w:w="108" w:type="dxa"/>
          </w:tblCellMar>
        </w:tblPrEx>
        <w:trPr>
          <w:trHeight w:val="1995" w:hRule="atLeast"/>
          <w:jc w:val="center"/>
        </w:trPr>
        <w:tc>
          <w:tcPr>
            <w:tcW w:w="1571" w:type="dxa"/>
            <w:vMerge w:val="restart"/>
            <w:tcBorders>
              <w:top w:val="single" w:color="000000" w:sz="4" w:space="0"/>
              <w:left w:val="single" w:color="000000" w:sz="4" w:space="0"/>
              <w:right w:val="single" w:color="000000" w:sz="4" w:space="0"/>
            </w:tcBorders>
            <w:vAlign w:val="center"/>
          </w:tcPr>
          <w:p w14:paraId="4A0BBE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商务标评审</w:t>
            </w:r>
          </w:p>
          <w:p w14:paraId="601F8B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（29分）</w:t>
            </w:r>
          </w:p>
        </w:tc>
        <w:tc>
          <w:tcPr>
            <w:tcW w:w="1670" w:type="dxa"/>
            <w:tcBorders>
              <w:top w:val="single" w:color="000000" w:sz="4" w:space="0"/>
              <w:left w:val="single" w:color="000000" w:sz="4" w:space="0"/>
              <w:bottom w:val="single" w:color="000000" w:sz="4" w:space="0"/>
              <w:right w:val="single" w:color="000000" w:sz="4" w:space="0"/>
            </w:tcBorders>
            <w:vAlign w:val="center"/>
          </w:tcPr>
          <w:p w14:paraId="01B022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业绩</w:t>
            </w:r>
          </w:p>
          <w:p w14:paraId="11E054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（5分）</w:t>
            </w:r>
          </w:p>
        </w:tc>
        <w:tc>
          <w:tcPr>
            <w:tcW w:w="6517" w:type="dxa"/>
            <w:tcBorders>
              <w:top w:val="single" w:color="000000" w:sz="4" w:space="0"/>
              <w:left w:val="single" w:color="000000" w:sz="4" w:space="0"/>
              <w:bottom w:val="single" w:color="000000" w:sz="4" w:space="0"/>
              <w:right w:val="single" w:color="000000" w:sz="4" w:space="0"/>
            </w:tcBorders>
            <w:vAlign w:val="center"/>
          </w:tcPr>
          <w:p w14:paraId="00602B8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2023年6月1日至投标截止时间的类似项目产品业绩，需提供类似业绩证明材料，提供一项得1分，最多得5分。</w:t>
            </w:r>
          </w:p>
          <w:p w14:paraId="064B00D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业绩认定：业绩必须提供合同协议书或中标通知书的复印件或扫描件。未按上述要求提供业绩证明材或内容模糊不清的，其业绩不予认定。</w:t>
            </w:r>
          </w:p>
        </w:tc>
      </w:tr>
      <w:tr w14:paraId="141BD456">
        <w:tblPrEx>
          <w:tblCellMar>
            <w:top w:w="0" w:type="dxa"/>
            <w:left w:w="108" w:type="dxa"/>
            <w:bottom w:w="0" w:type="dxa"/>
            <w:right w:w="108" w:type="dxa"/>
          </w:tblCellMar>
        </w:tblPrEx>
        <w:trPr>
          <w:trHeight w:val="1342" w:hRule="atLeast"/>
          <w:jc w:val="center"/>
        </w:trPr>
        <w:tc>
          <w:tcPr>
            <w:tcW w:w="1571" w:type="dxa"/>
            <w:vMerge w:val="continue"/>
            <w:tcBorders>
              <w:left w:val="single" w:color="000000" w:sz="4" w:space="0"/>
              <w:right w:val="single" w:color="000000" w:sz="4" w:space="0"/>
            </w:tcBorders>
            <w:vAlign w:val="center"/>
          </w:tcPr>
          <w:p w14:paraId="11D722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AD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用户使用评价（2分）</w:t>
            </w:r>
          </w:p>
        </w:tc>
        <w:tc>
          <w:tcPr>
            <w:tcW w:w="6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33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由曾服务过的甲方单位为投标人所提供的类似相关服务而出具的供应评价，每提供一项评价满意或优秀或验收合格的得1分，满分2分。（须提供有效的业主评价函）</w:t>
            </w:r>
          </w:p>
        </w:tc>
      </w:tr>
      <w:tr w14:paraId="1B6A8C92">
        <w:tblPrEx>
          <w:tblCellMar>
            <w:top w:w="0" w:type="dxa"/>
            <w:left w:w="108" w:type="dxa"/>
            <w:bottom w:w="0" w:type="dxa"/>
            <w:right w:w="108" w:type="dxa"/>
          </w:tblCellMar>
        </w:tblPrEx>
        <w:trPr>
          <w:trHeight w:val="1995" w:hRule="atLeast"/>
          <w:jc w:val="center"/>
        </w:trPr>
        <w:tc>
          <w:tcPr>
            <w:tcW w:w="1571" w:type="dxa"/>
            <w:vMerge w:val="continue"/>
            <w:tcBorders>
              <w:left w:val="single" w:color="000000" w:sz="4" w:space="0"/>
              <w:right w:val="single" w:color="000000" w:sz="4" w:space="0"/>
            </w:tcBorders>
            <w:vAlign w:val="center"/>
          </w:tcPr>
          <w:p w14:paraId="2619D5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26C570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服务方案</w:t>
            </w:r>
          </w:p>
          <w:p w14:paraId="5AD3C0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（10分）</w:t>
            </w:r>
          </w:p>
        </w:tc>
        <w:tc>
          <w:tcPr>
            <w:tcW w:w="6517" w:type="dxa"/>
            <w:tcBorders>
              <w:top w:val="single" w:color="000000" w:sz="4" w:space="0"/>
              <w:left w:val="single" w:color="000000" w:sz="4" w:space="0"/>
              <w:bottom w:val="single" w:color="000000" w:sz="4" w:space="0"/>
              <w:right w:val="single" w:color="000000" w:sz="4" w:space="0"/>
            </w:tcBorders>
            <w:vAlign w:val="center"/>
          </w:tcPr>
          <w:p w14:paraId="390E84D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根据投标人提供的服务方案进行打分，服务方案须包括：</w:t>
            </w:r>
          </w:p>
          <w:p w14:paraId="077895A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1、产品质量管理方案；</w:t>
            </w:r>
          </w:p>
          <w:p w14:paraId="069F6A7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2、库存管理方案；</w:t>
            </w:r>
          </w:p>
          <w:p w14:paraId="16F8915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3、产品出现问题的补救方案；</w:t>
            </w:r>
          </w:p>
          <w:p w14:paraId="16B9788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4、质量故障退（换）承诺；</w:t>
            </w:r>
          </w:p>
          <w:p w14:paraId="086B0B7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5、配送方案。</w:t>
            </w:r>
          </w:p>
          <w:p w14:paraId="1EA3F92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以上内容完整且完全满足项目要求得10分，每缺失一项内容扣2分，每项内容中每有一处内容缺陷扣1 分，扣完为止。</w:t>
            </w:r>
          </w:p>
          <w:p w14:paraId="404010F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153DFA8F">
        <w:tblPrEx>
          <w:tblCellMar>
            <w:top w:w="0" w:type="dxa"/>
            <w:left w:w="108" w:type="dxa"/>
            <w:bottom w:w="0" w:type="dxa"/>
            <w:right w:w="108" w:type="dxa"/>
          </w:tblCellMar>
        </w:tblPrEx>
        <w:trPr>
          <w:trHeight w:val="2392" w:hRule="atLeast"/>
          <w:jc w:val="center"/>
        </w:trPr>
        <w:tc>
          <w:tcPr>
            <w:tcW w:w="1571" w:type="dxa"/>
            <w:vMerge w:val="continue"/>
            <w:tcBorders>
              <w:left w:val="single" w:color="000000" w:sz="4" w:space="0"/>
              <w:bottom w:val="single" w:color="000000" w:sz="4" w:space="0"/>
              <w:right w:val="single" w:color="000000" w:sz="4" w:space="0"/>
            </w:tcBorders>
            <w:vAlign w:val="center"/>
          </w:tcPr>
          <w:p w14:paraId="6948B5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67BA6A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售后服务方案（12分）</w:t>
            </w:r>
          </w:p>
        </w:tc>
        <w:tc>
          <w:tcPr>
            <w:tcW w:w="6517" w:type="dxa"/>
            <w:tcBorders>
              <w:top w:val="single" w:color="000000" w:sz="4" w:space="0"/>
              <w:left w:val="single" w:color="000000" w:sz="4" w:space="0"/>
              <w:bottom w:val="single" w:color="000000" w:sz="4" w:space="0"/>
              <w:right w:val="single" w:color="000000" w:sz="4" w:space="0"/>
            </w:tcBorders>
            <w:vAlign w:val="center"/>
          </w:tcPr>
          <w:p w14:paraId="620E28C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根据本项目采购需求制定售后服务方案，方案内容须包括：</w:t>
            </w:r>
          </w:p>
          <w:p w14:paraId="1B2B9C81">
            <w:pPr>
              <w:keepNext w:val="0"/>
              <w:keepLines w:val="0"/>
              <w:pageBreakBefore w:val="0"/>
              <w:widowControl/>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售后服务场所设立情况；</w:t>
            </w:r>
          </w:p>
          <w:p w14:paraId="04E174C4">
            <w:pPr>
              <w:keepNext w:val="0"/>
              <w:keepLines w:val="0"/>
              <w:pageBreakBefore w:val="0"/>
              <w:widowControl/>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应急配送和节假日配送保障；</w:t>
            </w:r>
          </w:p>
          <w:p w14:paraId="1CE20F2C">
            <w:pPr>
              <w:keepNext w:val="0"/>
              <w:keepLines w:val="0"/>
              <w:pageBreakBefore w:val="0"/>
              <w:widowControl/>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响应时间、到场时间；</w:t>
            </w:r>
          </w:p>
          <w:p w14:paraId="05EE0EAA">
            <w:pPr>
              <w:keepNext w:val="0"/>
              <w:keepLines w:val="0"/>
              <w:pageBreakBefore w:val="0"/>
              <w:widowControl/>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人员配置；</w:t>
            </w:r>
          </w:p>
          <w:p w14:paraId="79B9CD9D">
            <w:pPr>
              <w:keepNext w:val="0"/>
              <w:keepLines w:val="0"/>
              <w:pageBreakBefore w:val="0"/>
              <w:widowControl/>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配送流程的可追溯性；</w:t>
            </w:r>
          </w:p>
          <w:p w14:paraId="61606C89">
            <w:pPr>
              <w:keepNext w:val="0"/>
              <w:keepLines w:val="0"/>
              <w:pageBreakBefore w:val="0"/>
              <w:widowControl/>
              <w:numPr>
                <w:ilvl w:val="0"/>
                <w:numId w:val="5"/>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售后承诺及退换货承诺；</w:t>
            </w:r>
          </w:p>
          <w:p w14:paraId="54B7A8C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提供以上方案且方案内容详实，完全满足服务的得12分，每缺失一项内容扣2分，每项内容中每有一处内容缺陷扣1 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1AE2D7FA">
        <w:tblPrEx>
          <w:tblCellMar>
            <w:top w:w="0" w:type="dxa"/>
            <w:left w:w="108" w:type="dxa"/>
            <w:bottom w:w="0" w:type="dxa"/>
            <w:right w:w="108" w:type="dxa"/>
          </w:tblCellMar>
        </w:tblPrEx>
        <w:trPr>
          <w:trHeight w:val="810" w:hRule="atLeast"/>
          <w:jc w:val="center"/>
        </w:trPr>
        <w:tc>
          <w:tcPr>
            <w:tcW w:w="1571" w:type="dxa"/>
            <w:vMerge w:val="restart"/>
            <w:tcBorders>
              <w:top w:val="single" w:color="000000" w:sz="4" w:space="0"/>
              <w:left w:val="single" w:color="000000" w:sz="4" w:space="0"/>
              <w:bottom w:val="single" w:color="000000" w:sz="4" w:space="0"/>
              <w:right w:val="single" w:color="000000" w:sz="4" w:space="0"/>
            </w:tcBorders>
            <w:vAlign w:val="center"/>
          </w:tcPr>
          <w:p w14:paraId="045D29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技术标评审</w:t>
            </w:r>
            <w:r>
              <w:rPr>
                <w:rFonts w:hint="eastAsia" w:ascii="仿宋" w:hAnsi="仿宋" w:eastAsia="仿宋" w:cs="仿宋"/>
                <w:color w:val="auto"/>
                <w:kern w:val="0"/>
                <w:sz w:val="24"/>
                <w:szCs w:val="24"/>
                <w:highlight w:val="none"/>
                <w:lang w:val="en-US" w:eastAsia="zh-CN" w:bidi="ar-SA"/>
              </w:rPr>
              <w:br w:type="textWrapping"/>
            </w:r>
            <w:r>
              <w:rPr>
                <w:rFonts w:hint="eastAsia" w:ascii="仿宋" w:hAnsi="仿宋" w:eastAsia="仿宋" w:cs="仿宋"/>
                <w:color w:val="auto"/>
                <w:kern w:val="0"/>
                <w:sz w:val="24"/>
                <w:szCs w:val="24"/>
                <w:highlight w:val="none"/>
                <w:lang w:val="en-US" w:eastAsia="zh-CN" w:bidi="ar-SA"/>
              </w:rPr>
              <w:t>（41分）</w:t>
            </w:r>
          </w:p>
        </w:tc>
        <w:tc>
          <w:tcPr>
            <w:tcW w:w="1670" w:type="dxa"/>
            <w:tcBorders>
              <w:top w:val="single" w:color="000000" w:sz="4" w:space="0"/>
              <w:left w:val="single" w:color="000000" w:sz="4" w:space="0"/>
              <w:bottom w:val="single" w:color="000000" w:sz="4" w:space="0"/>
              <w:right w:val="single" w:color="000000" w:sz="4" w:space="0"/>
            </w:tcBorders>
            <w:vAlign w:val="center"/>
          </w:tcPr>
          <w:p w14:paraId="0B9221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产品技术参数响应</w:t>
            </w:r>
          </w:p>
          <w:p w14:paraId="1C1B1F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（20分）</w:t>
            </w:r>
          </w:p>
        </w:tc>
        <w:tc>
          <w:tcPr>
            <w:tcW w:w="6517" w:type="dxa"/>
            <w:tcBorders>
              <w:top w:val="single" w:color="000000" w:sz="4" w:space="0"/>
              <w:left w:val="single" w:color="000000" w:sz="4" w:space="0"/>
              <w:bottom w:val="single" w:color="auto" w:sz="4" w:space="0"/>
              <w:right w:val="single" w:color="000000" w:sz="4" w:space="0"/>
            </w:tcBorders>
            <w:vAlign w:val="center"/>
          </w:tcPr>
          <w:p w14:paraId="1F5B1C2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Hans" w:bidi="ar-SA"/>
              </w:rPr>
            </w:pPr>
            <w:r>
              <w:rPr>
                <w:rFonts w:hint="eastAsia" w:ascii="仿宋" w:hAnsi="仿宋" w:eastAsia="仿宋" w:cs="仿宋"/>
                <w:color w:val="auto"/>
                <w:kern w:val="0"/>
                <w:sz w:val="24"/>
                <w:szCs w:val="24"/>
                <w:highlight w:val="none"/>
                <w:lang w:val="en-US" w:eastAsia="zh-Hans" w:bidi="ar-SA"/>
              </w:rPr>
              <w:t>针对招标文件技术参数，满足招标文件要求，全部满足要求得</w:t>
            </w:r>
            <w:r>
              <w:rPr>
                <w:rFonts w:hint="eastAsia" w:ascii="仿宋" w:hAnsi="仿宋" w:eastAsia="仿宋" w:cs="仿宋"/>
                <w:color w:val="auto"/>
                <w:kern w:val="0"/>
                <w:sz w:val="24"/>
                <w:szCs w:val="24"/>
                <w:highlight w:val="none"/>
                <w:lang w:val="en-US" w:eastAsia="zh-CN" w:bidi="ar-SA"/>
              </w:rPr>
              <w:t>20</w:t>
            </w:r>
            <w:r>
              <w:rPr>
                <w:rFonts w:hint="eastAsia" w:ascii="仿宋" w:hAnsi="仿宋" w:eastAsia="仿宋" w:cs="仿宋"/>
                <w:color w:val="auto"/>
                <w:kern w:val="0"/>
                <w:sz w:val="24"/>
                <w:szCs w:val="24"/>
                <w:highlight w:val="none"/>
                <w:lang w:val="en-US" w:eastAsia="zh-Hans" w:bidi="ar-SA"/>
              </w:rPr>
              <w:t>分。</w:t>
            </w:r>
          </w:p>
          <w:p w14:paraId="22AC2AA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（1）供应商所投本项目产品五种规格型号均应满足以下</w:t>
            </w:r>
            <w:r>
              <w:rPr>
                <w:rFonts w:hint="eastAsia" w:ascii="仿宋" w:hAnsi="仿宋" w:eastAsia="仿宋" w:cs="仿宋"/>
                <w:b/>
                <w:bCs/>
                <w:i w:val="0"/>
                <w:iCs w:val="0"/>
                <w:color w:val="auto"/>
                <w:kern w:val="0"/>
                <w:sz w:val="24"/>
                <w:szCs w:val="24"/>
                <w:highlight w:val="none"/>
                <w:u w:val="none"/>
                <w:lang w:val="en-US" w:eastAsia="zh-CN" w:bidi="ar"/>
              </w:rPr>
              <w:t>技术要求</w:t>
            </w:r>
            <w:r>
              <w:rPr>
                <w:rFonts w:hint="eastAsia" w:ascii="仿宋" w:hAnsi="仿宋" w:eastAsia="仿宋" w:cs="仿宋"/>
                <w:b w:val="0"/>
                <w:bCs w:val="0"/>
                <w:i w:val="0"/>
                <w:iCs w:val="0"/>
                <w:color w:val="auto"/>
                <w:kern w:val="0"/>
                <w:sz w:val="24"/>
                <w:szCs w:val="24"/>
                <w:highlight w:val="none"/>
                <w:u w:val="none"/>
                <w:lang w:val="en-US" w:eastAsia="zh-CN" w:bidi="ar"/>
              </w:rPr>
              <w:t>：1.透明；2.有底；3.可持续站立；4.有封口；5.无泄漏，每有一种规格型号中的一项技术要求不满足扣1分，最多扣5分，扣完为止；</w:t>
            </w:r>
          </w:p>
          <w:p w14:paraId="0C9673A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（2）供应商所投本项目产品均应满足</w:t>
            </w:r>
            <w:r>
              <w:rPr>
                <w:rFonts w:hint="eastAsia" w:ascii="仿宋" w:hAnsi="仿宋" w:eastAsia="仿宋" w:cs="仿宋"/>
                <w:b/>
                <w:bCs/>
                <w:i w:val="0"/>
                <w:iCs w:val="0"/>
                <w:color w:val="auto"/>
                <w:kern w:val="0"/>
                <w:sz w:val="24"/>
                <w:szCs w:val="24"/>
                <w:highlight w:val="none"/>
                <w:u w:val="none"/>
                <w:lang w:val="en-US" w:eastAsia="zh-CN" w:bidi="ar"/>
              </w:rPr>
              <w:t>对应规格型号</w:t>
            </w:r>
            <w:r>
              <w:rPr>
                <w:rFonts w:hint="eastAsia" w:ascii="仿宋" w:hAnsi="仿宋" w:eastAsia="仿宋" w:cs="仿宋"/>
                <w:b w:val="0"/>
                <w:bCs w:val="0"/>
                <w:i w:val="0"/>
                <w:iCs w:val="0"/>
                <w:color w:val="auto"/>
                <w:kern w:val="0"/>
                <w:sz w:val="24"/>
                <w:szCs w:val="24"/>
                <w:highlight w:val="none"/>
                <w:u w:val="none"/>
                <w:lang w:val="en-US" w:eastAsia="zh-CN" w:bidi="ar"/>
              </w:rPr>
              <w:t>的以下技术指标：1.高度；2.宽度；3.插底，每有一种规格型号中的一项不满足扣5分，最多扣15分，扣完为止。</w:t>
            </w:r>
          </w:p>
          <w:p w14:paraId="5F65082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w:t>
            </w:r>
            <w:r>
              <w:rPr>
                <w:rFonts w:hint="eastAsia" w:ascii="仿宋" w:hAnsi="仿宋" w:eastAsia="仿宋" w:cs="仿宋"/>
                <w:color w:val="auto"/>
                <w:kern w:val="0"/>
                <w:sz w:val="24"/>
                <w:szCs w:val="24"/>
                <w:highlight w:val="none"/>
                <w:lang w:val="en-US" w:eastAsia="zh-Hans" w:bidi="ar-SA"/>
              </w:rPr>
              <w:t>（1）供应商应在《技术条款响应表》中按要求逐条按顺序响应，未逐条响应或未写明偏离说明的，将视同为负偏离；（2）投标人须结合所投产品的实际参数值，并提供相关证明材料，若技术参数有明确证明材料形式要求的，必须按要求提供，未提供或不符合要求的，视为不响应技术参数，若技术参数无明确证明材料形式要求的，投标人需提供完整有效的产品检测报告（具备法定检测机构认证）</w:t>
            </w:r>
            <w:r>
              <w:rPr>
                <w:rFonts w:hint="eastAsia" w:ascii="仿宋" w:hAnsi="仿宋" w:eastAsia="仿宋" w:cs="仿宋"/>
                <w:color w:val="auto"/>
                <w:kern w:val="0"/>
                <w:sz w:val="24"/>
                <w:szCs w:val="24"/>
                <w:highlight w:val="none"/>
                <w:lang w:val="en-US" w:eastAsia="zh-CN" w:bidi="ar-SA"/>
              </w:rPr>
              <w:t>或</w:t>
            </w:r>
            <w:r>
              <w:rPr>
                <w:rFonts w:hint="eastAsia" w:ascii="仿宋" w:hAnsi="仿宋" w:eastAsia="仿宋" w:cs="仿宋"/>
                <w:color w:val="auto"/>
                <w:kern w:val="0"/>
                <w:sz w:val="24"/>
                <w:szCs w:val="24"/>
                <w:highlight w:val="none"/>
                <w:lang w:val="en-US" w:eastAsia="zh-Hans" w:bidi="ar-SA"/>
              </w:rPr>
              <w:t>详细技术规格说明书（技术白皮书）</w:t>
            </w:r>
            <w:r>
              <w:rPr>
                <w:rFonts w:hint="eastAsia" w:ascii="仿宋" w:hAnsi="仿宋" w:eastAsia="仿宋" w:cs="仿宋"/>
                <w:color w:val="auto"/>
                <w:kern w:val="0"/>
                <w:sz w:val="24"/>
                <w:szCs w:val="24"/>
                <w:highlight w:val="none"/>
                <w:lang w:val="en-US" w:eastAsia="zh-CN" w:bidi="ar-SA"/>
              </w:rPr>
              <w:t>或</w:t>
            </w:r>
            <w:r>
              <w:rPr>
                <w:rFonts w:hint="eastAsia" w:ascii="仿宋" w:hAnsi="仿宋" w:eastAsia="仿宋" w:cs="仿宋"/>
                <w:color w:val="auto"/>
                <w:kern w:val="0"/>
                <w:sz w:val="24"/>
                <w:szCs w:val="24"/>
                <w:highlight w:val="none"/>
                <w:lang w:val="en-US" w:eastAsia="zh-Hans" w:bidi="ar-SA"/>
              </w:rPr>
              <w:t>官方彩色样本资料产品彩页等证明材料，以证明其参数满足要求，否则视为负偏离。若以上证明材料表述不一致的，按照产品检测报告</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Hans" w:bidi="ar-SA"/>
              </w:rPr>
              <w:t>详细技术规格说明书</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kern w:val="0"/>
                <w:sz w:val="24"/>
                <w:szCs w:val="24"/>
                <w:highlight w:val="none"/>
                <w:lang w:val="en-US" w:eastAsia="zh-Hans" w:bidi="ar-SA"/>
              </w:rPr>
              <w:t>官方彩色样本资料的顺序优先认定。（3）中标产品交付标准必须以投标文件中技术参数</w:t>
            </w:r>
            <w:r>
              <w:rPr>
                <w:rFonts w:hint="eastAsia" w:ascii="仿宋" w:hAnsi="仿宋" w:eastAsia="仿宋" w:cs="仿宋"/>
                <w:color w:val="auto"/>
                <w:kern w:val="0"/>
                <w:sz w:val="24"/>
                <w:szCs w:val="24"/>
                <w:highlight w:val="none"/>
                <w:lang w:val="en-US" w:eastAsia="zh-CN" w:bidi="ar-SA"/>
              </w:rPr>
              <w:t>及所投样品实际参数</w:t>
            </w:r>
            <w:r>
              <w:rPr>
                <w:rFonts w:hint="eastAsia" w:ascii="仿宋" w:hAnsi="仿宋" w:eastAsia="仿宋" w:cs="仿宋"/>
                <w:color w:val="auto"/>
                <w:kern w:val="0"/>
                <w:sz w:val="24"/>
                <w:szCs w:val="24"/>
                <w:highlight w:val="none"/>
                <w:lang w:val="en-US" w:eastAsia="zh-Hans" w:bidi="ar-SA"/>
              </w:rPr>
              <w:t>为准，如有虚假应标采购人有权终止合同，并将追究其法律责任。</w:t>
            </w:r>
          </w:p>
        </w:tc>
      </w:tr>
      <w:tr w14:paraId="35A9C6F4">
        <w:tblPrEx>
          <w:tblCellMar>
            <w:top w:w="0" w:type="dxa"/>
            <w:left w:w="108" w:type="dxa"/>
            <w:bottom w:w="0" w:type="dxa"/>
            <w:right w:w="108" w:type="dxa"/>
          </w:tblCellMar>
        </w:tblPrEx>
        <w:trPr>
          <w:trHeight w:val="2789" w:hRule="atLeast"/>
          <w:jc w:val="center"/>
        </w:trPr>
        <w:tc>
          <w:tcPr>
            <w:tcW w:w="1571" w:type="dxa"/>
            <w:vMerge w:val="continue"/>
            <w:tcBorders>
              <w:left w:val="single" w:color="000000" w:sz="4" w:space="0"/>
              <w:right w:val="single" w:color="000000" w:sz="4" w:space="0"/>
            </w:tcBorders>
            <w:vAlign w:val="center"/>
          </w:tcPr>
          <w:p w14:paraId="6A7682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45B91F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配送及质量保障方案</w:t>
            </w:r>
          </w:p>
          <w:p w14:paraId="2CBDC5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（5分）</w:t>
            </w:r>
          </w:p>
        </w:tc>
        <w:tc>
          <w:tcPr>
            <w:tcW w:w="6517" w:type="dxa"/>
            <w:tcBorders>
              <w:top w:val="single" w:color="000000" w:sz="4" w:space="0"/>
              <w:left w:val="single" w:color="000000" w:sz="4" w:space="0"/>
              <w:bottom w:val="single" w:color="auto" w:sz="4" w:space="0"/>
              <w:right w:val="single" w:color="000000" w:sz="4" w:space="0"/>
            </w:tcBorders>
            <w:vAlign w:val="center"/>
          </w:tcPr>
          <w:p w14:paraId="451FE79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供应商根据采购需求内容，提供配送及质量保障方案，应包含以下内容：</w:t>
            </w:r>
          </w:p>
          <w:p w14:paraId="14225C20">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交货期保证措施；</w:t>
            </w:r>
          </w:p>
          <w:p w14:paraId="49E0CB16">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质量保障及控制方案；</w:t>
            </w:r>
          </w:p>
          <w:p w14:paraId="78D87317">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质量问题退（换）承诺；</w:t>
            </w:r>
          </w:p>
          <w:p w14:paraId="3873819D">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应急供货方案；</w:t>
            </w:r>
          </w:p>
          <w:p w14:paraId="296F9325">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Hans" w:bidi="ar-SA"/>
              </w:rPr>
            </w:pPr>
            <w:r>
              <w:rPr>
                <w:rFonts w:hint="eastAsia" w:ascii="仿宋" w:hAnsi="仿宋" w:eastAsia="仿宋" w:cs="仿宋"/>
                <w:color w:val="auto"/>
                <w:kern w:val="0"/>
                <w:sz w:val="24"/>
                <w:szCs w:val="24"/>
                <w:highlight w:val="none"/>
                <w:lang w:val="en-US" w:eastAsia="zh-CN" w:bidi="ar-SA"/>
              </w:rPr>
              <w:t>验收方案上内容完整且完全满足项目要求得5分，每缺失一项内容扣1分，每项内容中每有一处内容缺陷扣0.5分，扣完为止。(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3CCE77F">
        <w:tblPrEx>
          <w:tblCellMar>
            <w:top w:w="0" w:type="dxa"/>
            <w:left w:w="108" w:type="dxa"/>
            <w:bottom w:w="0" w:type="dxa"/>
            <w:right w:w="108" w:type="dxa"/>
          </w:tblCellMar>
        </w:tblPrEx>
        <w:trPr>
          <w:trHeight w:val="2104" w:hRule="atLeast"/>
          <w:jc w:val="center"/>
        </w:trPr>
        <w:tc>
          <w:tcPr>
            <w:tcW w:w="1571" w:type="dxa"/>
            <w:vMerge w:val="continue"/>
            <w:tcBorders>
              <w:top w:val="single" w:color="000000" w:sz="4" w:space="0"/>
              <w:left w:val="single" w:color="000000" w:sz="4" w:space="0"/>
              <w:bottom w:val="single" w:color="000000" w:sz="4" w:space="0"/>
              <w:right w:val="single" w:color="000000" w:sz="4" w:space="0"/>
            </w:tcBorders>
            <w:vAlign w:val="center"/>
          </w:tcPr>
          <w:p w14:paraId="13A59D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6BA1F7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样品评审</w:t>
            </w:r>
          </w:p>
          <w:p w14:paraId="0933DB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（16分）</w:t>
            </w:r>
          </w:p>
        </w:tc>
        <w:tc>
          <w:tcPr>
            <w:tcW w:w="6517" w:type="dxa"/>
            <w:tcBorders>
              <w:top w:val="single" w:color="auto" w:sz="4" w:space="0"/>
              <w:left w:val="single" w:color="000000" w:sz="4" w:space="0"/>
              <w:bottom w:val="single" w:color="auto" w:sz="4" w:space="0"/>
              <w:right w:val="single" w:color="000000" w:sz="4" w:space="0"/>
            </w:tcBorders>
            <w:vAlign w:val="center"/>
          </w:tcPr>
          <w:p w14:paraId="257C8ED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样品评审要求：</w:t>
            </w:r>
          </w:p>
          <w:p w14:paraId="067BABCE">
            <w:pPr>
              <w:keepNext w:val="0"/>
              <w:keepLines w:val="0"/>
              <w:pageBreakBefore w:val="0"/>
              <w:widowControl/>
              <w:numPr>
                <w:ilvl w:val="0"/>
                <w:numId w:val="7"/>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外观（无破损、气泡、密封性），本项4分，不满足扣4分；</w:t>
            </w:r>
          </w:p>
          <w:p w14:paraId="18105038">
            <w:pPr>
              <w:keepNext w:val="0"/>
              <w:keepLines w:val="0"/>
              <w:pageBreakBefore w:val="0"/>
              <w:widowControl/>
              <w:numPr>
                <w:ilvl w:val="0"/>
                <w:numId w:val="7"/>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材料安全环保(无异味)</w:t>
            </w:r>
            <w:r>
              <w:rPr>
                <w:rFonts w:hint="eastAsia" w:ascii="仿宋" w:hAnsi="仿宋" w:eastAsia="仿宋" w:cs="仿宋"/>
                <w:color w:val="auto"/>
                <w:kern w:val="0"/>
                <w:sz w:val="24"/>
                <w:szCs w:val="24"/>
                <w:highlight w:val="none"/>
                <w:lang w:val="en-US" w:eastAsia="zh-CN" w:bidi="ar-SA"/>
              </w:rPr>
              <w:t>，本项4分，不满足扣4分；</w:t>
            </w:r>
          </w:p>
          <w:p w14:paraId="650E6959">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3、承重能力及薄厚程度，此项8分，不满足扣8分。</w:t>
            </w:r>
          </w:p>
        </w:tc>
      </w:tr>
      <w:tr w14:paraId="1D9E457E">
        <w:tblPrEx>
          <w:tblCellMar>
            <w:top w:w="0" w:type="dxa"/>
            <w:left w:w="108" w:type="dxa"/>
            <w:bottom w:w="0" w:type="dxa"/>
            <w:right w:w="108" w:type="dxa"/>
          </w:tblCellMar>
        </w:tblPrEx>
        <w:trPr>
          <w:trHeight w:val="814" w:hRule="atLeast"/>
          <w:jc w:val="center"/>
        </w:trPr>
        <w:tc>
          <w:tcPr>
            <w:tcW w:w="9758" w:type="dxa"/>
            <w:gridSpan w:val="3"/>
            <w:tcBorders>
              <w:top w:val="single" w:color="auto" w:sz="4" w:space="0"/>
              <w:left w:val="single" w:color="auto" w:sz="4" w:space="0"/>
              <w:bottom w:val="single" w:color="auto" w:sz="4" w:space="0"/>
              <w:right w:val="single" w:color="auto" w:sz="4" w:space="0"/>
            </w:tcBorders>
            <w:vAlign w:val="center"/>
          </w:tcPr>
          <w:p w14:paraId="58582480">
            <w:pPr>
              <w:keepNext w:val="0"/>
              <w:keepLines w:val="0"/>
              <w:pageBreakBefore w:val="0"/>
              <w:widowControl/>
              <w:numPr>
                <w:ilvl w:val="0"/>
                <w:numId w:val="8"/>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供应商提供的所有数据及材料，必须真实有效，如发现弄虚作假，取消中标资格，并上报上级财政主管部门。</w:t>
            </w:r>
          </w:p>
          <w:p w14:paraId="2A47AB0A">
            <w:pPr>
              <w:keepNext w:val="0"/>
              <w:keepLines w:val="0"/>
              <w:pageBreakBefore w:val="0"/>
              <w:widowControl/>
              <w:numPr>
                <w:ilvl w:val="0"/>
                <w:numId w:val="8"/>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val="en-US" w:eastAsia="zh-CN" w:bidi="ar"/>
              </w:rPr>
              <w:t>中标单位样品将由采购人保留，后期供货时作为核对质量的依据。</w:t>
            </w:r>
          </w:p>
        </w:tc>
      </w:tr>
    </w:tbl>
    <w:p w14:paraId="26101564">
      <w:pPr>
        <w:pStyle w:val="41"/>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p w14:paraId="0F4B1E40">
      <w:pPr>
        <w:pStyle w:val="41"/>
        <w:rPr>
          <w:rFonts w:hint="eastAsia" w:ascii="仿宋" w:hAnsi="仿宋" w:eastAsia="仿宋" w:cs="仿宋"/>
          <w:highlight w:val="none"/>
        </w:rPr>
      </w:pPr>
    </w:p>
    <w:p w14:paraId="11E2C8B6">
      <w:pPr>
        <w:pStyle w:val="41"/>
        <w:rPr>
          <w:rFonts w:hint="eastAsia" w:ascii="仿宋" w:hAnsi="仿宋" w:eastAsia="仿宋" w:cs="仿宋"/>
          <w:highlight w:val="none"/>
        </w:rPr>
      </w:pPr>
    </w:p>
    <w:p w14:paraId="5480E6E0">
      <w:pPr>
        <w:rPr>
          <w:rFonts w:hint="eastAsia" w:ascii="仿宋" w:hAnsi="仿宋" w:eastAsia="仿宋" w:cs="仿宋"/>
          <w:highlight w:val="none"/>
          <w:lang w:val="zh-CN"/>
        </w:rPr>
      </w:pPr>
      <w:bookmarkStart w:id="339" w:name="_Toc155185918"/>
      <w:bookmarkStart w:id="340" w:name="_Toc163492912"/>
      <w:r>
        <w:rPr>
          <w:rFonts w:hint="eastAsia" w:ascii="仿宋" w:hAnsi="仿宋" w:eastAsia="仿宋" w:cs="仿宋"/>
          <w:highlight w:val="none"/>
          <w:lang w:val="zh-CN"/>
        </w:rPr>
        <w:br w:type="page"/>
      </w:r>
    </w:p>
    <w:p w14:paraId="1B2759C8">
      <w:pPr>
        <w:pStyle w:val="2"/>
        <w:rPr>
          <w:rFonts w:hint="eastAsia" w:ascii="仿宋" w:hAnsi="仿宋" w:eastAsia="仿宋" w:cs="仿宋"/>
          <w:highlight w:val="none"/>
          <w:lang w:val="zh-CN"/>
        </w:rPr>
      </w:pPr>
      <w:bookmarkStart w:id="341" w:name="_Toc16332"/>
      <w:r>
        <w:rPr>
          <w:rFonts w:hint="eastAsia" w:ascii="仿宋" w:hAnsi="仿宋" w:eastAsia="仿宋" w:cs="仿宋"/>
          <w:highlight w:val="none"/>
          <w:lang w:val="zh-CN"/>
        </w:rPr>
        <w:t>第六章 合同</w:t>
      </w:r>
      <w:bookmarkEnd w:id="339"/>
      <w:r>
        <w:rPr>
          <w:rFonts w:hint="eastAsia" w:ascii="仿宋" w:hAnsi="仿宋" w:eastAsia="仿宋" w:cs="仿宋"/>
          <w:highlight w:val="none"/>
          <w:lang w:val="zh-CN"/>
        </w:rPr>
        <w:t>草案</w:t>
      </w:r>
      <w:bookmarkEnd w:id="340"/>
      <w:bookmarkEnd w:id="341"/>
    </w:p>
    <w:p w14:paraId="754FE5D3">
      <w:pPr>
        <w:rPr>
          <w:rFonts w:hint="eastAsia" w:ascii="仿宋" w:hAnsi="仿宋" w:eastAsia="仿宋" w:cs="仿宋"/>
          <w:bCs/>
          <w:highlight w:val="none"/>
        </w:rPr>
      </w:pPr>
      <w:r>
        <w:rPr>
          <w:rFonts w:hint="eastAsia" w:ascii="仿宋" w:hAnsi="仿宋" w:eastAsia="仿宋" w:cs="仿宋"/>
          <w:highlight w:val="none"/>
        </w:rPr>
        <w:t>【此合同为模板，具体签订合同依照采购文件及投标文件，甲乙双方协商为准】</w:t>
      </w:r>
    </w:p>
    <w:p w14:paraId="353DD121">
      <w:pPr>
        <w:pStyle w:val="85"/>
        <w:keepNext w:val="0"/>
        <w:keepLines w:val="0"/>
        <w:pageBreakBefore w:val="0"/>
        <w:kinsoku/>
        <w:wordWrap/>
        <w:overflowPunct/>
        <w:topLinePunct w:val="0"/>
        <w:bidi w:val="0"/>
        <w:snapToGrid/>
        <w:spacing w:line="440" w:lineRule="exact"/>
        <w:ind w:left="0" w:leftChars="0" w:right="0" w:firstLine="0" w:firstLineChars="0"/>
        <w:jc w:val="center"/>
        <w:textAlignment w:val="auto"/>
        <w:rPr>
          <w:rFonts w:hint="eastAsia" w:ascii="仿宋" w:hAnsi="仿宋" w:eastAsia="仿宋" w:cs="仿宋"/>
          <w:b/>
          <w:color w:val="auto"/>
          <w:sz w:val="32"/>
          <w:szCs w:val="32"/>
          <w:highlight w:val="none"/>
          <w:lang w:val="en-US" w:eastAsia="zh-CN"/>
        </w:rPr>
      </w:pPr>
      <w:bookmarkStart w:id="342" w:name="_Toc3995"/>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合同编号：</w:t>
      </w:r>
    </w:p>
    <w:p w14:paraId="045DE85A">
      <w:pPr>
        <w:pStyle w:val="85"/>
        <w:keepNext w:val="0"/>
        <w:keepLines w:val="0"/>
        <w:pageBreakBefore w:val="0"/>
        <w:kinsoku/>
        <w:wordWrap/>
        <w:overflowPunct/>
        <w:topLinePunct w:val="0"/>
        <w:bidi w:val="0"/>
        <w:snapToGrid/>
        <w:spacing w:line="440" w:lineRule="exact"/>
        <w:ind w:left="0" w:leftChars="0" w:right="0" w:firstLine="0" w:firstLineChars="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36897925">
      <w:pPr>
        <w:pStyle w:val="85"/>
        <w:keepNext w:val="0"/>
        <w:keepLines w:val="0"/>
        <w:pageBreakBefore w:val="0"/>
        <w:kinsoku/>
        <w:wordWrap/>
        <w:overflowPunct/>
        <w:topLinePunct w:val="0"/>
        <w:bidi w:val="0"/>
        <w:snapToGrid/>
        <w:spacing w:line="440" w:lineRule="exact"/>
        <w:ind w:left="0" w:leftChars="0" w:right="0" w:firstLine="0" w:firstLineChars="0"/>
        <w:jc w:val="both"/>
        <w:textAlignment w:val="auto"/>
        <w:rPr>
          <w:rFonts w:hint="eastAsia" w:ascii="仿宋" w:hAnsi="仿宋" w:eastAsia="仿宋" w:cs="仿宋"/>
          <w:b/>
          <w:color w:val="auto"/>
          <w:sz w:val="32"/>
          <w:szCs w:val="32"/>
          <w:highlight w:val="none"/>
        </w:rPr>
      </w:pPr>
    </w:p>
    <w:p w14:paraId="17EABF1B">
      <w:pPr>
        <w:spacing w:beforeLines="0" w:afterLines="0" w:line="560" w:lineRule="exact"/>
        <w:jc w:val="center"/>
        <w:rPr>
          <w:rFonts w:hint="eastAsia" w:ascii="仿宋" w:hAnsi="仿宋" w:eastAsia="仿宋" w:cs="仿宋"/>
          <w:b/>
          <w:color w:val="auto"/>
          <w:sz w:val="36"/>
          <w:szCs w:val="36"/>
          <w:highlight w:val="none"/>
        </w:rPr>
      </w:pPr>
    </w:p>
    <w:p w14:paraId="1E005514">
      <w:pPr>
        <w:spacing w:beforeLines="0" w:afterLines="0" w:line="72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新疆医科大学附属肿瘤医院</w:t>
      </w:r>
    </w:p>
    <w:p w14:paraId="33EA26B0">
      <w:pPr>
        <w:spacing w:beforeLines="0" w:afterLines="0" w:line="72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医用耗材采购合同书</w:t>
      </w:r>
    </w:p>
    <w:p w14:paraId="7E141A4C">
      <w:pPr>
        <w:spacing w:beforeLines="0" w:afterLines="0" w:line="560" w:lineRule="exact"/>
        <w:rPr>
          <w:rFonts w:hint="eastAsia" w:ascii="仿宋" w:hAnsi="仿宋" w:eastAsia="仿宋" w:cs="仿宋"/>
          <w:b/>
          <w:color w:val="auto"/>
          <w:sz w:val="44"/>
          <w:szCs w:val="44"/>
          <w:highlight w:val="none"/>
        </w:rPr>
      </w:pPr>
    </w:p>
    <w:p w14:paraId="0C9D1320">
      <w:pPr>
        <w:spacing w:beforeLines="0" w:afterLines="0" w:line="560" w:lineRule="exact"/>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19F9EABF">
      <w:pPr>
        <w:spacing w:beforeLines="0" w:afterLines="0" w:line="560" w:lineRule="exact"/>
        <w:rPr>
          <w:rFonts w:hint="eastAsia" w:ascii="仿宋" w:hAnsi="仿宋" w:eastAsia="仿宋" w:cs="仿宋"/>
          <w:b/>
          <w:color w:val="auto"/>
          <w:sz w:val="44"/>
          <w:szCs w:val="44"/>
          <w:highlight w:val="none"/>
        </w:rPr>
      </w:pPr>
    </w:p>
    <w:p w14:paraId="123B9B0D">
      <w:pPr>
        <w:spacing w:beforeLines="0" w:afterLines="0" w:line="560" w:lineRule="exact"/>
        <w:ind w:firstLine="601"/>
        <w:jc w:val="center"/>
        <w:rPr>
          <w:rFonts w:hint="eastAsia" w:ascii="仿宋" w:hAnsi="仿宋" w:eastAsia="仿宋" w:cs="仿宋"/>
          <w:b/>
          <w:color w:val="auto"/>
          <w:sz w:val="32"/>
          <w:szCs w:val="32"/>
          <w:highlight w:val="none"/>
        </w:rPr>
      </w:pPr>
    </w:p>
    <w:p w14:paraId="2A1B656C">
      <w:pPr>
        <w:spacing w:beforeLines="0" w:afterLines="0" w:line="560" w:lineRule="exact"/>
        <w:ind w:firstLine="1350" w:firstLineChars="45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买    方：新疆医科大学附属肿瘤医院</w:t>
      </w:r>
    </w:p>
    <w:p w14:paraId="24240756">
      <w:pPr>
        <w:spacing w:beforeLines="0" w:afterLines="0" w:line="560" w:lineRule="exact"/>
        <w:ind w:firstLine="1350" w:firstLineChars="450"/>
        <w:jc w:val="left"/>
        <w:rPr>
          <w:rFonts w:hint="eastAsia" w:ascii="仿宋" w:hAnsi="仿宋" w:eastAsia="仿宋" w:cs="仿宋"/>
          <w:color w:val="auto"/>
          <w:sz w:val="30"/>
          <w:szCs w:val="30"/>
          <w:highlight w:val="none"/>
        </w:rPr>
      </w:pPr>
    </w:p>
    <w:p w14:paraId="72260784">
      <w:pPr>
        <w:spacing w:beforeLines="0" w:afterLines="0" w:line="560" w:lineRule="exact"/>
        <w:ind w:firstLine="1350" w:firstLineChars="45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卖    方： </w:t>
      </w:r>
    </w:p>
    <w:p w14:paraId="3A0ED4C9">
      <w:pPr>
        <w:spacing w:beforeLines="0" w:afterLines="0" w:line="560" w:lineRule="exact"/>
        <w:ind w:firstLine="1350" w:firstLineChars="450"/>
        <w:jc w:val="left"/>
        <w:rPr>
          <w:rFonts w:hint="eastAsia" w:ascii="仿宋" w:hAnsi="仿宋" w:eastAsia="仿宋" w:cs="仿宋"/>
          <w:color w:val="auto"/>
          <w:sz w:val="30"/>
          <w:szCs w:val="30"/>
          <w:highlight w:val="none"/>
        </w:rPr>
      </w:pPr>
    </w:p>
    <w:p w14:paraId="6D32A034">
      <w:pPr>
        <w:spacing w:beforeLines="0" w:afterLines="0" w:line="560" w:lineRule="exact"/>
        <w:ind w:firstLine="1350" w:firstLineChars="45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0E070197">
      <w:pPr>
        <w:spacing w:beforeLines="0" w:afterLines="0" w:line="560" w:lineRule="exact"/>
        <w:ind w:firstLine="1350" w:firstLineChars="450"/>
        <w:jc w:val="left"/>
        <w:rPr>
          <w:rFonts w:hint="eastAsia" w:ascii="仿宋" w:hAnsi="仿宋" w:eastAsia="仿宋" w:cs="仿宋"/>
          <w:color w:val="auto"/>
          <w:sz w:val="30"/>
          <w:szCs w:val="30"/>
          <w:highlight w:val="none"/>
        </w:rPr>
      </w:pPr>
    </w:p>
    <w:p w14:paraId="576A2E4A">
      <w:pPr>
        <w:spacing w:beforeLines="0" w:afterLines="0" w:line="560" w:lineRule="exact"/>
        <w:ind w:firstLine="1350" w:firstLineChars="45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44C9B680">
      <w:pPr>
        <w:spacing w:beforeLines="0" w:afterLines="0" w:line="560" w:lineRule="exact"/>
        <w:ind w:firstLine="1350" w:firstLineChars="450"/>
        <w:jc w:val="left"/>
        <w:rPr>
          <w:rFonts w:hint="eastAsia" w:ascii="仿宋" w:hAnsi="仿宋" w:eastAsia="仿宋" w:cs="仿宋"/>
          <w:color w:val="auto"/>
          <w:sz w:val="30"/>
          <w:szCs w:val="30"/>
          <w:highlight w:val="none"/>
        </w:rPr>
      </w:pPr>
    </w:p>
    <w:p w14:paraId="73ED451D">
      <w:pPr>
        <w:spacing w:beforeLines="0" w:afterLines="0" w:line="560" w:lineRule="exact"/>
        <w:ind w:firstLine="1350" w:firstLineChars="450"/>
        <w:jc w:val="left"/>
        <w:rPr>
          <w:rFonts w:hint="eastAsia" w:ascii="仿宋" w:hAnsi="仿宋" w:eastAsia="仿宋" w:cs="仿宋"/>
          <w:color w:val="auto"/>
          <w:sz w:val="28"/>
          <w:szCs w:val="28"/>
          <w:highlight w:val="none"/>
        </w:rPr>
      </w:pPr>
      <w:r>
        <w:rPr>
          <w:rFonts w:hint="eastAsia" w:ascii="仿宋" w:hAnsi="仿宋" w:eastAsia="仿宋" w:cs="仿宋"/>
          <w:color w:val="auto"/>
          <w:sz w:val="30"/>
          <w:szCs w:val="30"/>
          <w:highlight w:val="none"/>
        </w:rPr>
        <w:t>合同编号：</w:t>
      </w:r>
    </w:p>
    <w:p w14:paraId="29A55A17">
      <w:pPr>
        <w:spacing w:beforeLines="0" w:afterLines="0"/>
        <w:rPr>
          <w:rFonts w:hint="eastAsia" w:ascii="仿宋" w:hAnsi="仿宋" w:eastAsia="仿宋" w:cs="仿宋"/>
          <w:color w:val="auto"/>
          <w:sz w:val="24"/>
          <w:szCs w:val="24"/>
          <w:highlight w:val="none"/>
        </w:rPr>
      </w:pPr>
    </w:p>
    <w:p w14:paraId="6FD2CF0B">
      <w:pPr>
        <w:spacing w:beforeLines="0" w:afterLines="0"/>
        <w:rPr>
          <w:rFonts w:hint="eastAsia" w:ascii="仿宋" w:hAnsi="仿宋" w:eastAsia="仿宋" w:cs="仿宋"/>
          <w:color w:val="auto"/>
          <w:sz w:val="24"/>
          <w:szCs w:val="24"/>
          <w:highlight w:val="none"/>
        </w:rPr>
      </w:pPr>
    </w:p>
    <w:p w14:paraId="02B6F2BB">
      <w:pPr>
        <w:spacing w:beforeLines="0" w:afterLines="0"/>
        <w:rPr>
          <w:rFonts w:hint="eastAsia" w:ascii="仿宋" w:hAnsi="仿宋" w:eastAsia="仿宋" w:cs="仿宋"/>
          <w:color w:val="auto"/>
          <w:sz w:val="24"/>
          <w:szCs w:val="24"/>
          <w:highlight w:val="none"/>
        </w:rPr>
      </w:pPr>
    </w:p>
    <w:p w14:paraId="42EFECCF">
      <w:pPr>
        <w:spacing w:beforeLines="0" w:afterLines="0" w:line="360" w:lineRule="auto"/>
        <w:ind w:firstLine="2880" w:firstLineChars="800"/>
        <w:rPr>
          <w:rFonts w:hint="eastAsia" w:ascii="仿宋" w:hAnsi="仿宋" w:eastAsia="仿宋" w:cs="仿宋"/>
          <w:color w:val="auto"/>
          <w:sz w:val="36"/>
          <w:szCs w:val="36"/>
          <w:highlight w:val="none"/>
        </w:rPr>
      </w:pPr>
    </w:p>
    <w:p w14:paraId="23928CD6">
      <w:pPr>
        <w:spacing w:beforeLines="0" w:afterLines="0" w:line="36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二零二六年</w:t>
      </w:r>
    </w:p>
    <w:p w14:paraId="78BA794C">
      <w:pPr>
        <w:spacing w:beforeLines="0" w:afterLines="0"/>
        <w:rPr>
          <w:rFonts w:hint="eastAsia" w:ascii="仿宋" w:hAnsi="仿宋" w:eastAsia="仿宋" w:cs="仿宋"/>
          <w:color w:val="auto"/>
          <w:sz w:val="24"/>
          <w:szCs w:val="24"/>
          <w:highlight w:val="none"/>
        </w:rPr>
      </w:pPr>
    </w:p>
    <w:p w14:paraId="77D0521D">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甲方（买方）：新疆医科大学附属肿瘤医院</w:t>
      </w:r>
    </w:p>
    <w:p w14:paraId="36295128">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地址：新市区苏州东街789号</w:t>
      </w:r>
    </w:p>
    <w:p w14:paraId="4A16E5E8">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电话：0991-7968132</w:t>
      </w:r>
    </w:p>
    <w:p w14:paraId="0CD330F4">
      <w:pPr>
        <w:spacing w:beforeLines="0" w:afterLines="0" w:line="440" w:lineRule="atLeast"/>
        <w:rPr>
          <w:rFonts w:hint="eastAsia" w:ascii="仿宋" w:hAnsi="仿宋" w:eastAsia="仿宋" w:cs="仿宋"/>
          <w:color w:val="auto"/>
          <w:sz w:val="24"/>
          <w:szCs w:val="24"/>
          <w:highlight w:val="none"/>
        </w:rPr>
      </w:pPr>
    </w:p>
    <w:p w14:paraId="7CEB7186">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乙方（卖方）： </w:t>
      </w:r>
    </w:p>
    <w:p w14:paraId="761F81AB">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pacing w:val="2"/>
          <w:sz w:val="24"/>
          <w:szCs w:val="24"/>
          <w:highlight w:val="none"/>
        </w:rPr>
        <w:t xml:space="preserve"> </w:t>
      </w:r>
    </w:p>
    <w:p w14:paraId="177A23B3">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0A5FB2E9">
      <w:pPr>
        <w:spacing w:beforeLines="0" w:afterLines="0"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新疆医科大学附属肿瘤医院（以下简称甲方）与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（以下简称乙方）就签订合同事宜，根据《中华人民共和国民法典》等规定，本着平等、自愿、互利、互惠的原则，经各方协商一致，订立本合同。  </w:t>
      </w:r>
    </w:p>
    <w:p w14:paraId="6FFA9AE2">
      <w:pPr>
        <w:spacing w:beforeLines="0" w:afterLines="0" w:line="440" w:lineRule="atLeas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一、合同标的</w:t>
      </w:r>
    </w:p>
    <w:p w14:paraId="44FAC5B6">
      <w:pPr>
        <w:spacing w:beforeLines="0" w:afterLines="0"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w:t>
      </w:r>
    </w:p>
    <w:p w14:paraId="4E31B9D2">
      <w:pPr>
        <w:spacing w:beforeLines="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37EB44AD">
      <w:pPr>
        <w:spacing w:beforeLines="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2、数量及价格：详细技术要求见合同尾部附件</w:t>
      </w:r>
    </w:p>
    <w:p w14:paraId="3984AEE2">
      <w:pPr>
        <w:spacing w:beforeLines="0" w:afterLines="0"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本合同为固定单价，包含增值税。合同价格已包括货物供给、货物包装、运输费、安装费、调试、装卸费和保险等的全部费用及相关税费。乙方应保证甲方除支付合同约定货款之外无需再另行支付其他任何费用和款项。 </w:t>
      </w:r>
    </w:p>
    <w:p w14:paraId="5016ED0E">
      <w:pPr>
        <w:spacing w:beforeLines="0" w:afterLines="0"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经甲方书面验收合格双方签字确认的数量为准。 </w:t>
      </w:r>
    </w:p>
    <w:p w14:paraId="7253AA49">
      <w:pPr>
        <w:spacing w:beforeLines="0" w:afterLines="0" w:line="440" w:lineRule="atLeas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货物的证件要求</w:t>
      </w:r>
    </w:p>
    <w:p w14:paraId="04925325">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照《医疗器械管理条例》、《医疗器械使用质量监督管理办法》等相关要求提供符合国家、省、市有关医疗器械管理规定的各种证件（如：营业执照、生产企业许可证、经营许可证、医疗器械注册证或备案凭证）等证明文件。</w:t>
      </w:r>
    </w:p>
    <w:p w14:paraId="519A25C6">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2、乙方提供的上述各种证件必须完整、真实、有效，协议期内，证件到期更换时乙方应及时向甲方提供更换后的有效证件。</w:t>
      </w:r>
    </w:p>
    <w:p w14:paraId="3DEBF775">
      <w:pPr>
        <w:spacing w:beforeLines="0" w:afterLines="0" w:line="440" w:lineRule="atLeast"/>
        <w:ind w:firstLine="361" w:firstLineChars="1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三、质量保证    </w:t>
      </w:r>
    </w:p>
    <w:p w14:paraId="6559A3F0">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4203FEB7">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2、乙方保证本合同货物是全新的、未使用过的，并符合国家技术规格和国家质量标准的出厂原装合格产品，产品型号、数量、规格及技术、质量标准、售后服务必须满足甲方采购要求。</w:t>
      </w:r>
    </w:p>
    <w:p w14:paraId="26D0EEE4">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3、乙方提供的耗材（试剂）进入甲方后，应接受国家、省、市有关行业主管部门的抽查或检查。由此发生的资质、标识或产品质量问题的罚没事项均由乙方自行承担</w:t>
      </w:r>
      <w:r>
        <w:rPr>
          <w:rFonts w:hint="eastAsia" w:ascii="仿宋" w:hAnsi="仿宋" w:eastAsia="仿宋" w:cs="仿宋"/>
          <w:b/>
          <w:color w:val="auto"/>
          <w:sz w:val="24"/>
          <w:szCs w:val="24"/>
          <w:highlight w:val="none"/>
        </w:rPr>
        <w:t>。</w:t>
      </w:r>
    </w:p>
    <w:p w14:paraId="5637577E">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4、货物在交货过程中，发生意外事故和故障损失，如撞、刮</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裂、损等均由乙方承担责任。</w:t>
      </w:r>
    </w:p>
    <w:p w14:paraId="56B6AB0A">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5、乙方保证向甲方提供的货品必须资质齐全、信誉好、质量高、性价比合理、售后有保障的产品。因产品资质或质量问题引发的医疗事故或纠纷，均由乙方承担全部损失。</w:t>
      </w:r>
    </w:p>
    <w:p w14:paraId="5DB926E5">
      <w:pPr>
        <w:spacing w:beforeLines="0" w:afterLines="0" w:line="440" w:lineRule="atLeas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四、质量保证期</w:t>
      </w:r>
    </w:p>
    <w:p w14:paraId="49D6DAAC">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1、具体质保期以相关产品生产厂家提供的质保期为准。不可以进近效期的医用耗材及试剂。</w:t>
      </w:r>
    </w:p>
    <w:p w14:paraId="7496A6A2">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2、在质量保证期内，因产品质量出现问题，乙方负责免费更换，并承担与更换有关的运费、安装、调试、保险等一切费用。</w:t>
      </w:r>
    </w:p>
    <w:p w14:paraId="083A9441">
      <w:pPr>
        <w:spacing w:beforeLines="0" w:afterLines="0" w:line="440" w:lineRule="atLeas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五、交货时间、地点</w:t>
      </w:r>
    </w:p>
    <w:p w14:paraId="0D4BC12A">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1CD8E32B">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2、乙方保证紧急情况下2小时送到，正常情况下12小时内送达，最长不超过48小时，送达至以下指定地点：</w:t>
      </w:r>
      <w:r>
        <w:rPr>
          <w:rFonts w:hint="eastAsia" w:ascii="仿宋" w:hAnsi="仿宋" w:eastAsia="仿宋" w:cs="仿宋"/>
          <w:color w:val="auto"/>
          <w:sz w:val="24"/>
          <w:szCs w:val="24"/>
          <w:highlight w:val="none"/>
          <w:u w:val="single"/>
        </w:rPr>
        <w:t xml:space="preserve">新疆医科大学附属肿瘤医院 </w:t>
      </w:r>
      <w:r>
        <w:rPr>
          <w:rFonts w:hint="eastAsia" w:ascii="仿宋" w:hAnsi="仿宋" w:eastAsia="仿宋" w:cs="仿宋"/>
          <w:color w:val="auto"/>
          <w:sz w:val="24"/>
          <w:szCs w:val="24"/>
          <w:highlight w:val="none"/>
        </w:rPr>
        <w:t>,节假日保证按时配送。如甲方有特殊配送需求的，乙方必须设法满足，如不能按时到货，导致甲方断货影响病人治疗，乙方将按第九条向甲方承担违约责任。</w:t>
      </w:r>
    </w:p>
    <w:p w14:paraId="0350504F">
      <w:pPr>
        <w:spacing w:beforeLines="0" w:afterLines="0" w:line="440" w:lineRule="atLeast"/>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3、到货地点和接货单位（或接货人）</w:t>
      </w:r>
      <w:r>
        <w:rPr>
          <w:rFonts w:hint="eastAsia" w:ascii="仿宋" w:hAnsi="仿宋" w:eastAsia="仿宋" w:cs="仿宋"/>
          <w:color w:val="auto"/>
          <w:sz w:val="24"/>
          <w:szCs w:val="24"/>
          <w:highlight w:val="none"/>
          <w:u w:val="single"/>
        </w:rPr>
        <w:t xml:space="preserve">  新疆医科大学附属肿瘤医院 </w:t>
      </w:r>
      <w:r>
        <w:rPr>
          <w:rFonts w:hint="eastAsia" w:ascii="仿宋" w:hAnsi="仿宋" w:eastAsia="仿宋" w:cs="仿宋"/>
          <w:color w:val="auto"/>
          <w:sz w:val="24"/>
          <w:szCs w:val="24"/>
          <w:highlight w:val="none"/>
        </w:rPr>
        <w:t>。甲方指定的接货人为：姓名：</w:t>
      </w:r>
      <w:r>
        <w:rPr>
          <w:rFonts w:hint="eastAsia" w:ascii="仿宋" w:hAnsi="仿宋" w:eastAsia="仿宋" w:cs="仿宋"/>
          <w:color w:val="auto"/>
          <w:sz w:val="24"/>
          <w:szCs w:val="24"/>
          <w:highlight w:val="none"/>
          <w:u w:val="single"/>
        </w:rPr>
        <w:t xml:space="preserve"> 沈敏 </w:t>
      </w: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13579964872 </w:t>
      </w:r>
      <w:r>
        <w:rPr>
          <w:rFonts w:hint="eastAsia" w:ascii="仿宋" w:hAnsi="仿宋" w:eastAsia="仿宋" w:cs="仿宋"/>
          <w:color w:val="auto"/>
          <w:sz w:val="24"/>
          <w:szCs w:val="24"/>
          <w:highlight w:val="none"/>
        </w:rPr>
        <w:t>；双方明确，除该指定接货人外，其他任何人员（包括甲方的其他任何工作人员）签署的接货单，甲方均</w:t>
      </w:r>
      <w:r>
        <w:rPr>
          <w:rFonts w:hint="eastAsia" w:ascii="仿宋" w:hAnsi="仿宋" w:eastAsia="仿宋" w:cs="仿宋"/>
          <w:b/>
          <w:color w:val="auto"/>
          <w:sz w:val="24"/>
          <w:szCs w:val="24"/>
          <w:highlight w:val="none"/>
        </w:rPr>
        <w:t>不予</w:t>
      </w:r>
      <w:r>
        <w:rPr>
          <w:rFonts w:hint="eastAsia" w:ascii="仿宋" w:hAnsi="仿宋" w:eastAsia="仿宋" w:cs="仿宋"/>
          <w:color w:val="auto"/>
          <w:sz w:val="24"/>
          <w:szCs w:val="24"/>
          <w:highlight w:val="none"/>
        </w:rPr>
        <w:t>认可。</w:t>
      </w:r>
    </w:p>
    <w:p w14:paraId="7F624ABA">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4、在交付时，乙方必须向甲方提供质量合格证书、技术资料（操作、维修、保养）、保修凭证等一切相关资料及配件，否则，甲方有权不予付款且不承担违约责任。</w:t>
      </w:r>
    </w:p>
    <w:p w14:paraId="1DC2F11B">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5、交货完成前（即货物交付完成且经甲方书面验收完毕前），本合同项下商品的损毁灭失风险由乙方承担。</w:t>
      </w:r>
    </w:p>
    <w:p w14:paraId="705330AA">
      <w:pPr>
        <w:spacing w:beforeLines="0" w:afterLines="0" w:line="440" w:lineRule="atLeas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六、产品包装及运输   </w:t>
      </w:r>
    </w:p>
    <w:p w14:paraId="02485810">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１、包装必须与运输方式相适应，包装方式的确定和包装费用均由乙方负责；由于不适当的包装而造成的货物有任何的损坏由乙方负责。 </w:t>
      </w:r>
    </w:p>
    <w:p w14:paraId="780A0C9B">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２、乙方提供的全部货物必须按照《医疗器械管理条例》、《医疗器械使用质量监督管理办法》等相关要求的标准进行包装。包装应适于远距离运输，并有良好的防潮、防震.、防锈和防野蛮装卸等保护措施，以确保货物安全运抵现场。乙方应承担因其包装或防护措施不妥而引起货物锈蚀、损坏和丢失的任何损失的责任或费用。</w:t>
      </w:r>
    </w:p>
    <w:p w14:paraId="56C1AF0A">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3、包装费、运输费、装卸费和保险费均已包含在合同单价内。</w:t>
      </w:r>
    </w:p>
    <w:p w14:paraId="21888AF6">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4、运输途中的货物安全问题均由乙方负责。</w:t>
      </w:r>
    </w:p>
    <w:p w14:paraId="2CA1004F">
      <w:pPr>
        <w:spacing w:beforeLines="0" w:afterLines="0" w:line="440" w:lineRule="atLeast"/>
        <w:ind w:firstLine="361" w:firstLineChars="1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七、验收</w:t>
      </w:r>
    </w:p>
    <w:p w14:paraId="0EBD1AE4">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019ECE82">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数量:乙方交货时，甲乙双方应各指定一名工作人员对货物数量进行统计，交货完成后，就甲方验收合格的货物数量，由双方各自指定的工作人员在随货通行单上签字确认，随货通行单一式肆份，作为今后双方结算的依据之一。  </w:t>
      </w:r>
    </w:p>
    <w:p w14:paraId="7E656A85">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0BE4D38F">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5F2945F5">
      <w:pPr>
        <w:spacing w:beforeLines="0" w:afterLines="0" w:line="440" w:lineRule="atLeas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八、货款的支付  </w:t>
      </w:r>
    </w:p>
    <w:p w14:paraId="7AB24E17">
      <w:pPr>
        <w:spacing w:beforeLines="0" w:afterLines="0"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1、合同签订后，按合同单价乘以甲方实际采购数量进行结算，于验收合格次月起至付款时间为12个月，以网银、承兑、供应链等方式支付。</w:t>
      </w:r>
    </w:p>
    <w:p w14:paraId="4FE13EDC">
      <w:pPr>
        <w:spacing w:beforeLines="0" w:afterLines="0"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2、甲方支付任何一笔款项前，乙方应提供符合甲方财务要求的真实合法合规增值税发票。否则，甲方有权拒付款项且不承担违约责任。    </w:t>
      </w:r>
    </w:p>
    <w:p w14:paraId="2A364E6E">
      <w:pPr>
        <w:spacing w:beforeLines="0" w:afterLines="0" w:line="440" w:lineRule="atLeas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九、违约责任    </w:t>
      </w:r>
    </w:p>
    <w:p w14:paraId="7AB82003">
      <w:pPr>
        <w:spacing w:beforeLines="0" w:afterLines="0" w:line="440" w:lineRule="atLeas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乙方应严格按照合同约定的时间交货，如乙方延迟交货，甲方有权追究延迟交货的违约责任。甲方要求紧急配送急诊或急救耗材，乙方必须保证能随时供货，每迟延交货一分钟，向甲方承担1000元违约金；正常配送情况下，如不能按时到货，乙方向甲方承担本次货款的20%的违约金。乙方出现三次不按时配送、延迟配送的情形，甲方有权终止合同并有权要求乙方承担合同总金额20%的违约金。</w:t>
      </w:r>
    </w:p>
    <w:p w14:paraId="0473B95B">
      <w:pPr>
        <w:spacing w:beforeLines="0" w:afterLines="0" w:line="440" w:lineRule="atLeas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color w:val="auto"/>
          <w:sz w:val="24"/>
          <w:szCs w:val="24"/>
          <w:highlight w:val="none"/>
        </w:rPr>
        <w:t>乙方必须确保供货的产品与投标的产品一致，如发现供货产品的生产厂家、质量等与招标时不符的情况，甲方有权立即要求乙方退货、终止合同，并要求乙方承担合同总金额20%的违约金。</w:t>
      </w:r>
    </w:p>
    <w:p w14:paraId="07C2B1F5">
      <w:pPr>
        <w:spacing w:beforeLines="0" w:afterLines="0" w:line="440" w:lineRule="atLeas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color w:val="auto"/>
          <w:sz w:val="24"/>
          <w:szCs w:val="24"/>
          <w:highlight w:val="none"/>
        </w:rPr>
        <w:t>如果乙方提供的医用耗材因质量问题或者设计瑕疵，导致甲方使用过程中发生医疗事故等不良后果的，全部责任均由乙方承担，并赔偿由此给甲方带来的全部损失，同时，剩余未付货款作为违约金全部归甲方所有，乙方支付上述违约金不足以赔偿甲方损失的，甲方有权另行向乙方索赔（包括但不限于第三方索赔、律师费、诉讼费、鉴定费、公证费、差旅费等甲方采取诉讼途径发生的一切费用）。</w:t>
      </w:r>
    </w:p>
    <w:p w14:paraId="0AC1084C">
      <w:pPr>
        <w:spacing w:beforeLines="0" w:afterLines="0" w:line="440" w:lineRule="atLeas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4、本合同签订后，乙方应如实履行本合同项下的权利义务，不得擅自要求解除或终止合同；如违反上述约定，向甲方承担合同总金额20%的违约金，上述违约金不足以弥补甲方损失的，以实际损失为准。</w:t>
      </w:r>
    </w:p>
    <w:p w14:paraId="1E4146D6">
      <w:pPr>
        <w:spacing w:beforeLines="0" w:afterLines="0" w:line="440" w:lineRule="atLeas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color w:val="auto"/>
          <w:sz w:val="24"/>
          <w:szCs w:val="24"/>
          <w:highlight w:val="none"/>
        </w:rPr>
        <w:t>乙方销售代表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在合同签订及履行过程中，不得实施商业贿赂。若有商业贿赂行为，按照国卫法制发（2013）50号文件《关于建立医药购销领域商业贿赂不良记录的规定》中有关规定执行。</w:t>
      </w:r>
    </w:p>
    <w:p w14:paraId="2F03132A">
      <w:pPr>
        <w:spacing w:beforeLines="0" w:afterLines="0" w:line="440" w:lineRule="atLeast"/>
        <w:ind w:firstLine="361"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十、不可抗力  </w:t>
      </w:r>
    </w:p>
    <w:p w14:paraId="546B3867">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E9AEFC8">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2A4CB5B5">
      <w:pPr>
        <w:tabs>
          <w:tab w:val="left" w:pos="435"/>
        </w:tabs>
        <w:spacing w:beforeLines="0" w:afterLines="0" w:line="440" w:lineRule="atLeast"/>
        <w:ind w:firstLine="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十一 争议的解决   </w:t>
      </w:r>
    </w:p>
    <w:p w14:paraId="193FC6C3">
      <w:pPr>
        <w:spacing w:beforeLines="0" w:afterLines="0"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本合同如发生纠纷，当事人双方应当及时协商解决；协商不成时，可提交甲方所在地法院诉讼解决。</w:t>
      </w:r>
    </w:p>
    <w:p w14:paraId="6376ABC7">
      <w:pPr>
        <w:spacing w:beforeLines="0" w:afterLines="0" w:line="440" w:lineRule="atLeas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  合同的生效与文本</w:t>
      </w:r>
    </w:p>
    <w:p w14:paraId="53CA7C67">
      <w:pPr>
        <w:spacing w:beforeLines="0" w:afterLines="0"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1、本合同经双方法定代表人签字或单位盖章或双方委托代理人签字成立生效。</w:t>
      </w:r>
    </w:p>
    <w:p w14:paraId="4E843BC4">
      <w:pPr>
        <w:spacing w:beforeLines="0" w:afterLines="0"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2、本合同一式伍份，甲方执肆份，乙方执壹份，具有同等的法律效力。</w:t>
      </w:r>
    </w:p>
    <w:p w14:paraId="226E0743">
      <w:pPr>
        <w:spacing w:beforeLines="0" w:afterLines="0" w:line="440" w:lineRule="atLeas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  其他</w:t>
      </w:r>
    </w:p>
    <w:p w14:paraId="4AF81D1E">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1、合同有效期自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529E68D">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2、如因市场、政策调整等原因引起价格变动，甲方有权在有效期内再次议价。如遇卫健委、医保局等上级主管部门进行集中带量或阳光采购的，甲方将按照上级单位要求执行采购，本合同将自动终止。</w:t>
      </w:r>
    </w:p>
    <w:p w14:paraId="426EED82">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2、和本合同相关的双方往来函件(包括传真件、电子邮件)与原件具有同等的法律效力，修改无效。</w:t>
      </w:r>
    </w:p>
    <w:p w14:paraId="324285DC">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20A2700C">
      <w:pPr>
        <w:spacing w:beforeLines="0" w:afterLines="0" w:line="440" w:lineRule="atLeas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4、与本合同有关的招投标文件、答疑附件、合同附件及医疗卫生机构医药产品廉洁购销合同等均是本合同不可分割的组成部分，与本合同具有同等法律效力，本合同未尽事宜从其规定。</w:t>
      </w:r>
    </w:p>
    <w:p w14:paraId="37480DC7">
      <w:pPr>
        <w:spacing w:beforeLines="0" w:afterLines="0" w:line="440" w:lineRule="atLeast"/>
        <w:ind w:firstLine="480" w:firstLineChars="200"/>
        <w:rPr>
          <w:rFonts w:hint="eastAsia" w:ascii="仿宋" w:hAnsi="仿宋" w:eastAsia="仿宋" w:cs="仿宋"/>
          <w:color w:val="auto"/>
          <w:sz w:val="24"/>
          <w:szCs w:val="24"/>
          <w:highlight w:val="none"/>
        </w:rPr>
      </w:pPr>
    </w:p>
    <w:p w14:paraId="66331DFF">
      <w:pPr>
        <w:spacing w:beforeLines="0" w:afterLines="0" w:line="4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（以下无正文，为本合同签署页）</w:t>
      </w:r>
    </w:p>
    <w:p w14:paraId="35CF0BA7">
      <w:pPr>
        <w:spacing w:beforeLines="0" w:afterLines="0" w:line="440" w:lineRule="atLeast"/>
        <w:rPr>
          <w:rFonts w:hint="eastAsia" w:ascii="仿宋" w:hAnsi="仿宋" w:eastAsia="仿宋" w:cs="仿宋"/>
          <w:color w:val="auto"/>
          <w:sz w:val="24"/>
          <w:szCs w:val="24"/>
          <w:highlight w:val="none"/>
        </w:rPr>
      </w:pPr>
    </w:p>
    <w:p w14:paraId="66DD05F7">
      <w:pPr>
        <w:spacing w:beforeLines="0" w:afterLines="0" w:line="440" w:lineRule="atLeast"/>
        <w:ind w:hanging="6000" w:hangingChars="2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甲方（盖章）：新疆医科大学附属         乙方（盖章）：</w:t>
      </w:r>
    </w:p>
    <w:p w14:paraId="1CC66989">
      <w:pPr>
        <w:spacing w:beforeLines="0" w:afterLines="0" w:line="440" w:lineRule="atLeast"/>
        <w:ind w:firstLine="1680" w:firstLineChars="7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肿瘤医院                                                           </w:t>
      </w:r>
    </w:p>
    <w:p w14:paraId="236D6E53">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                   法定代表人（签字）：</w:t>
      </w:r>
    </w:p>
    <w:p w14:paraId="5280748C">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授权代理人（签字）：</w:t>
      </w:r>
    </w:p>
    <w:p w14:paraId="148919E3">
      <w:pPr>
        <w:spacing w:beforeLines="0" w:afterLines="0" w:line="440" w:lineRule="atLeast"/>
        <w:ind w:hanging="5280" w:hangingChars="2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地址：乌鲁木齐苏州东街789号           地址： </w:t>
      </w:r>
    </w:p>
    <w:p w14:paraId="251CE4EC">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电话：0991-7968132                     电话：                          </w:t>
      </w:r>
    </w:p>
    <w:p w14:paraId="7D009407">
      <w:pPr>
        <w:spacing w:beforeLines="0" w:afterLines="0" w:line="4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年   月   日                 日期：   年   月   日    </w:t>
      </w:r>
    </w:p>
    <w:p w14:paraId="4F88BB0A">
      <w:pPr>
        <w:pStyle w:val="14"/>
        <w:rPr>
          <w:rFonts w:hint="eastAsia" w:ascii="仿宋" w:hAnsi="仿宋" w:eastAsia="仿宋" w:cs="仿宋"/>
          <w:highlight w:val="none"/>
        </w:rPr>
      </w:pPr>
    </w:p>
    <w:bookmarkEnd w:id="342"/>
    <w:p w14:paraId="0F119240">
      <w:pPr>
        <w:rPr>
          <w:rFonts w:hint="eastAsia" w:ascii="仿宋" w:hAnsi="仿宋" w:eastAsia="仿宋" w:cs="仿宋"/>
          <w:highlight w:val="none"/>
          <w:lang w:val="zh-CN"/>
        </w:rPr>
      </w:pPr>
    </w:p>
    <w:p w14:paraId="433DAE9A">
      <w:pPr>
        <w:rPr>
          <w:rFonts w:hint="eastAsia" w:ascii="仿宋" w:hAnsi="仿宋" w:eastAsia="仿宋" w:cs="仿宋"/>
          <w:highlight w:val="none"/>
          <w:lang w:val="zh-CN"/>
        </w:rPr>
      </w:pPr>
    </w:p>
    <w:p w14:paraId="0335AE78">
      <w:pPr>
        <w:rPr>
          <w:rFonts w:hint="eastAsia" w:ascii="仿宋" w:hAnsi="仿宋" w:eastAsia="仿宋" w:cs="仿宋"/>
          <w:highlight w:val="none"/>
        </w:rPr>
      </w:pPr>
    </w:p>
    <w:p w14:paraId="68B9CFB1">
      <w:pPr>
        <w:rPr>
          <w:rFonts w:hint="eastAsia" w:ascii="仿宋" w:hAnsi="仿宋" w:eastAsia="仿宋" w:cs="仿宋"/>
          <w:highlight w:val="none"/>
          <w:lang w:val="zh-CN"/>
        </w:rPr>
        <w:sectPr>
          <w:pgSz w:w="11906" w:h="16838"/>
          <w:pgMar w:top="1134" w:right="1134" w:bottom="1134" w:left="1134" w:header="567" w:footer="567" w:gutter="0"/>
          <w:pgNumType w:fmt="numberInDash"/>
          <w:cols w:space="425" w:num="1"/>
          <w:docGrid w:type="lines" w:linePitch="312" w:charSpace="0"/>
        </w:sectPr>
      </w:pPr>
    </w:p>
    <w:p w14:paraId="7588C7BF">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医疗卫生机构医药产品廉洁购销合同</w:t>
      </w:r>
    </w:p>
    <w:p w14:paraId="408F9A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：新疆医科大学附属肿瘤医院</w:t>
      </w:r>
    </w:p>
    <w:p w14:paraId="154C89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乙方：</w:t>
      </w:r>
      <w:r>
        <w:rPr>
          <w:rFonts w:hint="eastAsia" w:ascii="仿宋" w:hAnsi="仿宋" w:eastAsia="仿宋" w:cs="仿宋"/>
          <w:color w:val="auto"/>
          <w:sz w:val="24"/>
          <w:szCs w:val="24"/>
          <w:highlight w:val="none"/>
        </w:rPr>
        <w:t xml:space="preserve">  </w:t>
      </w:r>
    </w:p>
    <w:p w14:paraId="3EECC2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为进一步加强医疗卫生行风建设，规范医疗卫生机构医药购销行为，有效防范商业贿赂行为，营造公平交易、诚实守信的购销环境，经甲、乙双方协商，同意签订本合同，并共同遵守：</w:t>
      </w:r>
    </w:p>
    <w:p w14:paraId="3065EC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一、甲乙双方按照《中华人民共和国民法典》及医药产品购销合同约定购销药品、医用设备、医用耗材等医药产品。</w:t>
      </w:r>
    </w:p>
    <w:p w14:paraId="297400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二、甲方应当严格执行医药产品购销合同验收、入库制度，对采购医药产品及发票进行查验，不得违反有关规定合同外采购、违价采购或从非规定渠道采购。</w:t>
      </w:r>
    </w:p>
    <w:p w14:paraId="6959A8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1C7BA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四、严禁甲方工作人员利用任何途径和方式，为乙方统计医师个人及临床科室有关医药产品用量信息，或为乙方统计提供便利。</w:t>
      </w:r>
    </w:p>
    <w:p w14:paraId="3C647C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五、乙方不得以回扣、宴请等方式影响甲方工作人员采购或使用医药产品的选择权，不得在学术活动中提供旅游、超标准支付食宿费用。</w:t>
      </w:r>
    </w:p>
    <w:p w14:paraId="5AC7D8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六、乙方指定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作为销售代表洽谈业务。销售代表必须在工作时间到甲方指定地点联系商谈，不得到住院部、门诊部、</w:t>
      </w:r>
    </w:p>
    <w:p w14:paraId="76890F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医技科室等推销医药产品，不得借故到甲方相关领导、部门负责人及相关工作人员家中访谈并提供任何好处费。</w:t>
      </w:r>
    </w:p>
    <w:p w14:paraId="3EA9C0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B3D1F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八、本合同作为医药产品购销合同的重要组成部分，与购销合同一并执行，具有同等的法律效力。</w:t>
      </w:r>
    </w:p>
    <w:p w14:paraId="3CD719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九、本合同一式三份，甲、乙双方各执一份，甲方纪检监察部门（基层医疗卫生机构上报上级卫生计生行政部门）执一份，并从签订之日起生效。</w:t>
      </w:r>
    </w:p>
    <w:p w14:paraId="05C78B5B">
      <w:pPr>
        <w:keepNext w:val="0"/>
        <w:keepLines w:val="0"/>
        <w:pageBreakBefore w:val="0"/>
        <w:widowControl w:val="0"/>
        <w:kinsoku/>
        <w:wordWrap/>
        <w:overflowPunct/>
        <w:topLinePunct w:val="0"/>
        <w:autoSpaceDE/>
        <w:autoSpaceDN/>
        <w:bidi w:val="0"/>
        <w:adjustRightInd/>
        <w:snapToGrid/>
        <w:spacing w:line="400" w:lineRule="exact"/>
        <w:ind w:left="4583" w:hanging="4583" w:hangingChars="190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甲方（盖章）：                       乙方（盖章）： </w:t>
      </w:r>
    </w:p>
    <w:p w14:paraId="7529B0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法定代表人（负责人）：               法定代表人（负责人）： </w:t>
      </w:r>
    </w:p>
    <w:p w14:paraId="2EF3C3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经办人签名：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经办人签名：</w:t>
      </w:r>
    </w:p>
    <w:p w14:paraId="58B724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color w:val="FF0000"/>
          <w:sz w:val="24"/>
          <w:szCs w:val="24"/>
          <w:highlight w:val="none"/>
          <w:lang w:eastAsia="zh-CN"/>
        </w:rPr>
      </w:pPr>
      <w:r>
        <w:rPr>
          <w:rFonts w:hint="eastAsia" w:ascii="仿宋" w:hAnsi="仿宋" w:eastAsia="仿宋" w:cs="仿宋"/>
          <w:b/>
          <w:color w:val="auto"/>
          <w:sz w:val="24"/>
          <w:szCs w:val="24"/>
          <w:highlight w:val="none"/>
        </w:rPr>
        <w:t>年   月   日                         年   月  日</w:t>
      </w:r>
    </w:p>
    <w:p w14:paraId="415FB3AF">
      <w:pPr>
        <w:rPr>
          <w:rFonts w:hint="eastAsia" w:ascii="仿宋" w:hAnsi="仿宋" w:eastAsia="仿宋" w:cs="仿宋"/>
          <w:highlight w:val="none"/>
          <w:lang w:val="zh-CN"/>
        </w:rPr>
        <w:sectPr>
          <w:pgSz w:w="11906" w:h="16838"/>
          <w:pgMar w:top="1134" w:right="1134" w:bottom="1134" w:left="1134" w:header="567" w:footer="567" w:gutter="0"/>
          <w:pgNumType w:fmt="numberInDash"/>
          <w:cols w:space="425" w:num="1"/>
          <w:docGrid w:type="lines" w:linePitch="312" w:charSpace="0"/>
        </w:sectPr>
      </w:pPr>
    </w:p>
    <w:p w14:paraId="159709E1">
      <w:pPr>
        <w:pStyle w:val="2"/>
        <w:numPr>
          <w:ilvl w:val="0"/>
          <w:numId w:val="9"/>
        </w:numPr>
        <w:rPr>
          <w:rFonts w:hint="eastAsia" w:ascii="仿宋" w:hAnsi="仿宋" w:eastAsia="仿宋" w:cs="仿宋"/>
          <w:highlight w:val="none"/>
        </w:rPr>
      </w:pPr>
      <w:bookmarkStart w:id="343" w:name="_Toc4092"/>
      <w:r>
        <w:rPr>
          <w:rFonts w:hint="eastAsia" w:ascii="仿宋" w:hAnsi="仿宋" w:eastAsia="仿宋" w:cs="仿宋"/>
          <w:highlight w:val="none"/>
        </w:rPr>
        <w:t>投标文件格式</w:t>
      </w:r>
      <w:bookmarkEnd w:id="343"/>
    </w:p>
    <w:p w14:paraId="07EE7B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72"/>
          <w:highlight w:val="none"/>
        </w:rPr>
      </w:pPr>
      <w:r>
        <w:rPr>
          <w:rFonts w:hint="eastAsia" w:ascii="仿宋" w:hAnsi="仿宋" w:eastAsia="仿宋" w:cs="仿宋"/>
          <w:b/>
          <w:color w:val="auto"/>
          <w:sz w:val="72"/>
          <w:highlight w:val="none"/>
          <w:u w:val="single"/>
          <w:lang w:val="en-US" w:eastAsia="zh-CN"/>
        </w:rPr>
        <w:t xml:space="preserve">                  </w:t>
      </w:r>
      <w:r>
        <w:rPr>
          <w:rFonts w:hint="eastAsia" w:ascii="仿宋" w:hAnsi="仿宋" w:eastAsia="仿宋" w:cs="仿宋"/>
          <w:b/>
          <w:color w:val="auto"/>
          <w:sz w:val="72"/>
          <w:highlight w:val="none"/>
        </w:rPr>
        <w:t>项目</w:t>
      </w:r>
    </w:p>
    <w:p w14:paraId="5E5465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lang w:eastAsia="zh-CN"/>
        </w:rPr>
      </w:pPr>
      <w:r>
        <w:rPr>
          <w:rFonts w:hint="eastAsia" w:ascii="仿宋" w:hAnsi="仿宋" w:eastAsia="仿宋" w:cs="仿宋"/>
          <w:b/>
          <w:color w:val="auto"/>
          <w:sz w:val="72"/>
          <w:highlight w:val="none"/>
        </w:rPr>
        <w:t>投标</w:t>
      </w:r>
      <w:r>
        <w:rPr>
          <w:rFonts w:hint="eastAsia" w:ascii="仿宋" w:hAnsi="仿宋" w:eastAsia="仿宋" w:cs="仿宋"/>
          <w:b/>
          <w:color w:val="auto"/>
          <w:sz w:val="72"/>
          <w:highlight w:val="none"/>
          <w:lang w:val="en-US" w:eastAsia="zh-CN"/>
        </w:rPr>
        <w:t>文件</w:t>
      </w:r>
    </w:p>
    <w:p w14:paraId="075A9AFC">
      <w:pPr>
        <w:pageBreakBefore w:val="0"/>
        <w:kinsoku/>
        <w:overflowPunct/>
        <w:topLinePunct w:val="0"/>
        <w:bidi w:val="0"/>
        <w:spacing w:line="440" w:lineRule="exact"/>
        <w:rPr>
          <w:rFonts w:hint="eastAsia" w:ascii="仿宋" w:hAnsi="仿宋" w:eastAsia="仿宋" w:cs="仿宋"/>
          <w:color w:val="auto"/>
          <w:highlight w:val="none"/>
        </w:rPr>
      </w:pPr>
    </w:p>
    <w:p w14:paraId="5D5050B3">
      <w:pPr>
        <w:pageBreakBefore w:val="0"/>
        <w:kinsoku/>
        <w:overflowPunct/>
        <w:topLinePunct w:val="0"/>
        <w:bidi w:val="0"/>
        <w:spacing w:line="440" w:lineRule="exact"/>
        <w:ind w:firstLine="420"/>
        <w:rPr>
          <w:rFonts w:hint="eastAsia" w:ascii="仿宋" w:hAnsi="仿宋" w:eastAsia="仿宋" w:cs="仿宋"/>
          <w:color w:val="auto"/>
          <w:highlight w:val="none"/>
        </w:rPr>
      </w:pPr>
    </w:p>
    <w:p w14:paraId="4C169E9E">
      <w:pPr>
        <w:pageBreakBefore w:val="0"/>
        <w:kinsoku/>
        <w:overflowPunct/>
        <w:topLinePunct w:val="0"/>
        <w:bidi w:val="0"/>
        <w:spacing w:line="440" w:lineRule="exact"/>
        <w:ind w:firstLine="800" w:firstLineChars="200"/>
        <w:rPr>
          <w:rFonts w:hint="eastAsia" w:ascii="仿宋" w:hAnsi="仿宋" w:eastAsia="仿宋" w:cs="仿宋"/>
          <w:color w:val="auto"/>
          <w:sz w:val="40"/>
          <w:highlight w:val="none"/>
        </w:rPr>
      </w:pPr>
      <w:r>
        <w:rPr>
          <w:rFonts w:hint="eastAsia" w:ascii="仿宋" w:hAnsi="仿宋" w:eastAsia="仿宋" w:cs="仿宋"/>
          <w:color w:val="auto"/>
          <w:sz w:val="40"/>
          <w:highlight w:val="none"/>
        </w:rPr>
        <w:t>项目</w:t>
      </w:r>
      <w:r>
        <w:rPr>
          <w:rFonts w:hint="eastAsia" w:ascii="仿宋" w:hAnsi="仿宋" w:eastAsia="仿宋" w:cs="仿宋"/>
          <w:color w:val="auto"/>
          <w:sz w:val="40"/>
          <w:highlight w:val="none"/>
          <w:lang w:val="en-US" w:eastAsia="zh-CN"/>
        </w:rPr>
        <w:t>编号</w:t>
      </w:r>
      <w:r>
        <w:rPr>
          <w:rFonts w:hint="eastAsia" w:ascii="仿宋" w:hAnsi="仿宋" w:eastAsia="仿宋" w:cs="仿宋"/>
          <w:color w:val="auto"/>
          <w:sz w:val="40"/>
          <w:highlight w:val="none"/>
        </w:rPr>
        <w:t>：</w:t>
      </w:r>
    </w:p>
    <w:p w14:paraId="1C1EF42D">
      <w:pPr>
        <w:pageBreakBefore w:val="0"/>
        <w:kinsoku/>
        <w:overflowPunct/>
        <w:topLinePunct w:val="0"/>
        <w:bidi w:val="0"/>
        <w:spacing w:line="440" w:lineRule="exact"/>
        <w:ind w:firstLine="880"/>
        <w:rPr>
          <w:rFonts w:hint="eastAsia" w:ascii="仿宋" w:hAnsi="仿宋" w:eastAsia="仿宋" w:cs="仿宋"/>
          <w:color w:val="auto"/>
          <w:sz w:val="40"/>
          <w:highlight w:val="none"/>
        </w:rPr>
      </w:pPr>
    </w:p>
    <w:p w14:paraId="6421E089">
      <w:pPr>
        <w:pageBreakBefore w:val="0"/>
        <w:kinsoku/>
        <w:overflowPunct/>
        <w:topLinePunct w:val="0"/>
        <w:bidi w:val="0"/>
        <w:spacing w:line="440" w:lineRule="exact"/>
        <w:ind w:firstLine="880"/>
        <w:rPr>
          <w:rFonts w:hint="eastAsia" w:ascii="仿宋" w:hAnsi="仿宋" w:eastAsia="仿宋" w:cs="仿宋"/>
          <w:color w:val="auto"/>
          <w:sz w:val="40"/>
          <w:highlight w:val="none"/>
        </w:rPr>
      </w:pPr>
      <w:r>
        <w:rPr>
          <w:rFonts w:hint="eastAsia" w:ascii="仿宋" w:hAnsi="仿宋" w:eastAsia="仿宋" w:cs="仿宋"/>
          <w:color w:val="auto"/>
          <w:sz w:val="40"/>
          <w:highlight w:val="none"/>
        </w:rPr>
        <w:t>供应商名称：</w:t>
      </w:r>
    </w:p>
    <w:p w14:paraId="65EF919F">
      <w:pPr>
        <w:pageBreakBefore w:val="0"/>
        <w:kinsoku/>
        <w:overflowPunct/>
        <w:topLinePunct w:val="0"/>
        <w:bidi w:val="0"/>
        <w:spacing w:line="440" w:lineRule="exact"/>
        <w:ind w:firstLine="880"/>
        <w:rPr>
          <w:rFonts w:hint="eastAsia" w:ascii="仿宋" w:hAnsi="仿宋" w:eastAsia="仿宋" w:cs="仿宋"/>
          <w:color w:val="auto"/>
          <w:sz w:val="40"/>
          <w:highlight w:val="none"/>
        </w:rPr>
      </w:pPr>
    </w:p>
    <w:p w14:paraId="44A009E3">
      <w:pPr>
        <w:pageBreakBefore w:val="0"/>
        <w:kinsoku/>
        <w:overflowPunct/>
        <w:topLinePunct w:val="0"/>
        <w:bidi w:val="0"/>
        <w:spacing w:line="440" w:lineRule="exact"/>
        <w:ind w:firstLine="880"/>
        <w:rPr>
          <w:rFonts w:hint="eastAsia" w:ascii="仿宋" w:hAnsi="仿宋" w:eastAsia="仿宋" w:cs="仿宋"/>
          <w:color w:val="auto"/>
          <w:sz w:val="40"/>
          <w:highlight w:val="none"/>
        </w:rPr>
      </w:pPr>
      <w:r>
        <w:rPr>
          <w:rFonts w:hint="eastAsia" w:ascii="仿宋" w:hAnsi="仿宋" w:eastAsia="仿宋" w:cs="仿宋"/>
          <w:color w:val="auto"/>
          <w:sz w:val="40"/>
          <w:highlight w:val="none"/>
        </w:rPr>
        <w:t>地址：</w:t>
      </w:r>
    </w:p>
    <w:p w14:paraId="6AC714D5">
      <w:pPr>
        <w:pageBreakBefore w:val="0"/>
        <w:kinsoku/>
        <w:overflowPunct/>
        <w:topLinePunct w:val="0"/>
        <w:bidi w:val="0"/>
        <w:spacing w:line="440" w:lineRule="exact"/>
        <w:ind w:firstLine="880"/>
        <w:rPr>
          <w:rFonts w:hint="eastAsia" w:ascii="仿宋" w:hAnsi="仿宋" w:eastAsia="仿宋" w:cs="仿宋"/>
          <w:color w:val="auto"/>
          <w:sz w:val="40"/>
          <w:highlight w:val="none"/>
        </w:rPr>
      </w:pPr>
    </w:p>
    <w:p w14:paraId="49705B13">
      <w:pPr>
        <w:pageBreakBefore w:val="0"/>
        <w:kinsoku/>
        <w:overflowPunct/>
        <w:topLinePunct w:val="0"/>
        <w:bidi w:val="0"/>
        <w:spacing w:line="440" w:lineRule="exact"/>
        <w:ind w:firstLine="880"/>
        <w:rPr>
          <w:rFonts w:hint="eastAsia" w:ascii="仿宋" w:hAnsi="仿宋" w:eastAsia="仿宋" w:cs="仿宋"/>
          <w:color w:val="auto"/>
          <w:sz w:val="40"/>
          <w:highlight w:val="none"/>
        </w:rPr>
      </w:pPr>
      <w:r>
        <w:rPr>
          <w:rFonts w:hint="eastAsia" w:ascii="仿宋" w:hAnsi="仿宋" w:eastAsia="仿宋" w:cs="仿宋"/>
          <w:color w:val="auto"/>
          <w:sz w:val="40"/>
          <w:highlight w:val="none"/>
        </w:rPr>
        <w:t>供应商全权代表：</w:t>
      </w:r>
    </w:p>
    <w:p w14:paraId="357D391F">
      <w:pPr>
        <w:pageBreakBefore w:val="0"/>
        <w:kinsoku/>
        <w:overflowPunct/>
        <w:topLinePunct w:val="0"/>
        <w:bidi w:val="0"/>
        <w:spacing w:line="440" w:lineRule="exact"/>
        <w:ind w:firstLine="880"/>
        <w:rPr>
          <w:rFonts w:hint="eastAsia" w:ascii="仿宋" w:hAnsi="仿宋" w:eastAsia="仿宋" w:cs="仿宋"/>
          <w:color w:val="auto"/>
          <w:sz w:val="40"/>
          <w:highlight w:val="none"/>
        </w:rPr>
      </w:pPr>
    </w:p>
    <w:p w14:paraId="080CC0ED">
      <w:pPr>
        <w:pageBreakBefore w:val="0"/>
        <w:kinsoku/>
        <w:overflowPunct/>
        <w:topLinePunct w:val="0"/>
        <w:bidi w:val="0"/>
        <w:spacing w:line="440" w:lineRule="exact"/>
        <w:ind w:firstLine="880"/>
        <w:rPr>
          <w:rFonts w:hint="eastAsia" w:ascii="仿宋" w:hAnsi="仿宋" w:eastAsia="仿宋" w:cs="仿宋"/>
          <w:color w:val="auto"/>
          <w:sz w:val="40"/>
          <w:highlight w:val="none"/>
        </w:rPr>
      </w:pPr>
      <w:r>
        <w:rPr>
          <w:rFonts w:hint="eastAsia" w:ascii="仿宋" w:hAnsi="仿宋" w:eastAsia="仿宋" w:cs="仿宋"/>
          <w:color w:val="auto"/>
          <w:sz w:val="40"/>
          <w:highlight w:val="none"/>
        </w:rPr>
        <w:t>联系方式：</w:t>
      </w:r>
    </w:p>
    <w:p w14:paraId="4145E574">
      <w:pPr>
        <w:pageBreakBefore w:val="0"/>
        <w:kinsoku/>
        <w:overflowPunct/>
        <w:topLinePunct w:val="0"/>
        <w:bidi w:val="0"/>
        <w:spacing w:line="440" w:lineRule="exact"/>
        <w:ind w:firstLine="880"/>
        <w:rPr>
          <w:rFonts w:hint="eastAsia" w:ascii="仿宋" w:hAnsi="仿宋" w:eastAsia="仿宋" w:cs="仿宋"/>
          <w:color w:val="auto"/>
          <w:sz w:val="40"/>
          <w:highlight w:val="none"/>
        </w:rPr>
      </w:pPr>
    </w:p>
    <w:p w14:paraId="0DBC957B">
      <w:pPr>
        <w:pageBreakBefore w:val="0"/>
        <w:kinsoku/>
        <w:overflowPunct/>
        <w:topLinePunct w:val="0"/>
        <w:bidi w:val="0"/>
        <w:spacing w:line="440" w:lineRule="exac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6403F8AB">
      <w:pPr>
        <w:pageBreakBefore w:val="0"/>
        <w:kinsoku/>
        <w:overflowPunct/>
        <w:topLinePunct w:val="0"/>
        <w:bidi w:val="0"/>
        <w:spacing w:line="44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36"/>
          <w:highlight w:val="none"/>
        </w:rPr>
        <w:br w:type="page"/>
      </w:r>
    </w:p>
    <w:p w14:paraId="1C8E120C">
      <w:pPr>
        <w:pStyle w:val="2"/>
        <w:keepNext/>
        <w:keepLines/>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highlight w:val="none"/>
        </w:rPr>
      </w:pPr>
      <w:bookmarkStart w:id="344" w:name="_Toc22883"/>
    </w:p>
    <w:p w14:paraId="1FA4D7AD">
      <w:pPr>
        <w:pStyle w:val="2"/>
        <w:keepNext/>
        <w:keepLines/>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highlight w:val="none"/>
        </w:rPr>
      </w:pPr>
      <w:r>
        <w:rPr>
          <w:rFonts w:hint="eastAsia" w:ascii="黑体" w:hAnsi="黑体" w:eastAsia="黑体" w:cs="黑体"/>
          <w:highlight w:val="none"/>
        </w:rPr>
        <w:t>投 标 文 件</w:t>
      </w:r>
      <w:bookmarkEnd w:id="344"/>
    </w:p>
    <w:p w14:paraId="01EF5C8D">
      <w:pPr>
        <w:rPr>
          <w:rFonts w:hint="eastAsia"/>
          <w:highlight w:val="none"/>
        </w:rPr>
      </w:pPr>
    </w:p>
    <w:p w14:paraId="3EFF35AB">
      <w:pPr>
        <w:rPr>
          <w:rFonts w:hint="eastAsia"/>
          <w:highlight w:val="none"/>
        </w:rPr>
      </w:pPr>
    </w:p>
    <w:p w14:paraId="6680E392">
      <w:pPr>
        <w:pStyle w:val="2"/>
        <w:pageBreakBefore w:val="0"/>
        <w:kinsoku/>
        <w:overflowPunct/>
        <w:topLinePunct w:val="0"/>
        <w:bidi w:val="0"/>
        <w:snapToGrid/>
        <w:spacing w:line="400" w:lineRule="exact"/>
        <w:rPr>
          <w:rFonts w:hint="eastAsia" w:ascii="仿宋" w:hAnsi="仿宋" w:eastAsia="仿宋" w:cs="仿宋"/>
          <w:highlight w:val="none"/>
        </w:rPr>
      </w:pPr>
      <w:bookmarkStart w:id="345" w:name="_Toc6071"/>
      <w:r>
        <w:rPr>
          <w:rFonts w:hint="eastAsia" w:ascii="仿宋" w:hAnsi="仿宋" w:eastAsia="仿宋" w:cs="仿宋"/>
          <w:highlight w:val="none"/>
        </w:rPr>
        <w:t>资格证明文件</w:t>
      </w:r>
      <w:bookmarkEnd w:id="345"/>
    </w:p>
    <w:p w14:paraId="4F35180E">
      <w:pPr>
        <w:pageBreakBefore w:val="0"/>
        <w:kinsoku/>
        <w:overflowPunct/>
        <w:topLinePunct w:val="0"/>
        <w:bidi w:val="0"/>
        <w:snapToGrid/>
        <w:spacing w:line="400" w:lineRule="exact"/>
        <w:rPr>
          <w:rFonts w:hint="eastAsia" w:ascii="仿宋" w:hAnsi="仿宋" w:eastAsia="仿宋" w:cs="仿宋"/>
          <w:highlight w:val="none"/>
        </w:rPr>
      </w:pPr>
    </w:p>
    <w:p w14:paraId="41E191A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（第XX包）【如不分包，请删去本行】</w:t>
      </w:r>
    </w:p>
    <w:p w14:paraId="16263D76">
      <w:pPr>
        <w:pageBreakBefore w:val="0"/>
        <w:kinsoku/>
        <w:overflowPunct/>
        <w:topLinePunct w:val="0"/>
        <w:bidi w:val="0"/>
        <w:snapToGrid/>
        <w:spacing w:line="400" w:lineRule="exact"/>
        <w:rPr>
          <w:rFonts w:hint="eastAsia" w:ascii="仿宋" w:hAnsi="仿宋" w:eastAsia="仿宋" w:cs="仿宋"/>
          <w:highlight w:val="none"/>
        </w:rPr>
      </w:pPr>
    </w:p>
    <w:p w14:paraId="561DC122">
      <w:pPr>
        <w:pageBreakBefore w:val="0"/>
        <w:kinsoku/>
        <w:overflowPunct/>
        <w:topLinePunct w:val="0"/>
        <w:bidi w:val="0"/>
        <w:snapToGrid/>
        <w:spacing w:line="400" w:lineRule="exact"/>
        <w:rPr>
          <w:rFonts w:hint="eastAsia" w:ascii="仿宋" w:hAnsi="仿宋" w:eastAsia="仿宋" w:cs="仿宋"/>
          <w:highlight w:val="none"/>
        </w:rPr>
      </w:pPr>
    </w:p>
    <w:p w14:paraId="394C03BC">
      <w:pPr>
        <w:pageBreakBefore w:val="0"/>
        <w:kinsoku/>
        <w:overflowPunct/>
        <w:topLinePunct w:val="0"/>
        <w:bidi w:val="0"/>
        <w:snapToGrid/>
        <w:spacing w:line="400" w:lineRule="exact"/>
        <w:rPr>
          <w:rFonts w:hint="eastAsia" w:ascii="仿宋" w:hAnsi="仿宋" w:eastAsia="仿宋" w:cs="仿宋"/>
          <w:highlight w:val="none"/>
        </w:rPr>
      </w:pPr>
    </w:p>
    <w:p w14:paraId="3F4187F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项目编号/包号：                           </w:t>
      </w:r>
    </w:p>
    <w:p w14:paraId="785D6CE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项目名称：                                </w:t>
      </w:r>
    </w:p>
    <w:p w14:paraId="175B14F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投 标 人：                                </w:t>
      </w:r>
    </w:p>
    <w:p w14:paraId="218700F7">
      <w:pPr>
        <w:pageBreakBefore w:val="0"/>
        <w:kinsoku/>
        <w:overflowPunct/>
        <w:topLinePunct w:val="0"/>
        <w:bidi w:val="0"/>
        <w:snapToGrid/>
        <w:spacing w:line="400" w:lineRule="exact"/>
        <w:rPr>
          <w:rFonts w:hint="eastAsia" w:ascii="仿宋" w:hAnsi="仿宋" w:eastAsia="仿宋" w:cs="仿宋"/>
          <w:highlight w:val="none"/>
        </w:rPr>
      </w:pPr>
    </w:p>
    <w:p w14:paraId="1A8A13EE">
      <w:pPr>
        <w:pageBreakBefore w:val="0"/>
        <w:kinsoku/>
        <w:overflowPunct/>
        <w:topLinePunct w:val="0"/>
        <w:bidi w:val="0"/>
        <w:snapToGrid/>
        <w:spacing w:line="400" w:lineRule="exact"/>
        <w:rPr>
          <w:rFonts w:hint="eastAsia" w:ascii="仿宋" w:hAnsi="仿宋" w:eastAsia="仿宋" w:cs="仿宋"/>
          <w:highlight w:val="none"/>
        </w:rPr>
      </w:pPr>
    </w:p>
    <w:p w14:paraId="46E1B0DB">
      <w:pPr>
        <w:pageBreakBefore w:val="0"/>
        <w:kinsoku/>
        <w:overflowPunct/>
        <w:topLinePunct w:val="0"/>
        <w:bidi w:val="0"/>
        <w:snapToGrid/>
        <w:spacing w:line="400" w:lineRule="exact"/>
        <w:rPr>
          <w:rFonts w:hint="eastAsia" w:ascii="仿宋" w:hAnsi="仿宋" w:eastAsia="仿宋" w:cs="仿宋"/>
          <w:highlight w:val="none"/>
        </w:rPr>
      </w:pPr>
    </w:p>
    <w:p w14:paraId="2CB6936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年   月    日</w:t>
      </w:r>
    </w:p>
    <w:p w14:paraId="473E4542">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br w:type="page"/>
      </w:r>
    </w:p>
    <w:p w14:paraId="4074FEB0">
      <w:pPr>
        <w:pStyle w:val="3"/>
        <w:pageBreakBefore w:val="0"/>
        <w:kinsoku/>
        <w:overflowPunct/>
        <w:topLinePunct w:val="0"/>
        <w:bidi w:val="0"/>
        <w:snapToGrid/>
        <w:spacing w:line="400" w:lineRule="exact"/>
        <w:rPr>
          <w:rFonts w:hint="eastAsia" w:ascii="仿宋" w:hAnsi="仿宋" w:eastAsia="仿宋" w:cs="仿宋"/>
          <w:highlight w:val="none"/>
        </w:rPr>
      </w:pPr>
      <w:bookmarkStart w:id="346" w:name="_Toc29646"/>
      <w:bookmarkStart w:id="347" w:name="_Toc155185927"/>
      <w:bookmarkStart w:id="348" w:name="_Toc163492921"/>
      <w:r>
        <w:rPr>
          <w:rFonts w:hint="eastAsia" w:ascii="仿宋" w:hAnsi="仿宋" w:eastAsia="仿宋" w:cs="仿宋"/>
          <w:highlight w:val="none"/>
        </w:rPr>
        <w:t>一、满足《中华人民共和国政府采购法》第二十二条规定</w:t>
      </w:r>
      <w:bookmarkEnd w:id="346"/>
    </w:p>
    <w:bookmarkEnd w:id="347"/>
    <w:bookmarkEnd w:id="348"/>
    <w:p w14:paraId="54855985">
      <w:pPr>
        <w:pageBreakBefore w:val="0"/>
        <w:kinsoku/>
        <w:overflowPunct/>
        <w:topLinePunct w:val="0"/>
        <w:bidi w:val="0"/>
        <w:snapToGrid/>
        <w:spacing w:line="400" w:lineRule="exact"/>
        <w:rPr>
          <w:rFonts w:hint="eastAsia" w:ascii="仿宋" w:hAnsi="仿宋" w:eastAsia="仿宋" w:cs="仿宋"/>
          <w:b/>
          <w:bCs/>
          <w:snapToGrid w:val="0"/>
          <w:highlight w:val="none"/>
        </w:rPr>
      </w:pPr>
      <w:bookmarkStart w:id="349" w:name="_Toc163492923"/>
      <w:bookmarkStart w:id="350" w:name="_Toc155185930"/>
      <w:bookmarkStart w:id="351" w:name="_Toc109899498"/>
      <w:bookmarkStart w:id="352" w:name="_Toc109899917"/>
      <w:bookmarkStart w:id="353" w:name="_Toc109900336"/>
      <w:bookmarkStart w:id="354" w:name="_Toc140132840"/>
      <w:r>
        <w:rPr>
          <w:rFonts w:hint="eastAsia" w:ascii="仿宋" w:hAnsi="仿宋" w:eastAsia="仿宋" w:cs="仿宋"/>
          <w:b/>
          <w:bCs/>
          <w:snapToGrid w:val="0"/>
          <w:highlight w:val="none"/>
        </w:rPr>
        <w:t>1.1.法人、其他组织或者自然人的证明文件</w:t>
      </w:r>
    </w:p>
    <w:p w14:paraId="668003E6">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（1）投标人为企业（包括合伙企业）的，应提供有效的“营业执照”；</w:t>
      </w:r>
    </w:p>
    <w:p w14:paraId="4D01C1C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（2）投标人为事业单位的，应提供有效的“事业单位法人证书”；</w:t>
      </w:r>
    </w:p>
    <w:p w14:paraId="7CF8B9C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（3）投标人为非企业机构的，应提供有效的“执业许可证”、“登记证书”等证明文件；</w:t>
      </w:r>
    </w:p>
    <w:p w14:paraId="074F4E4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（4）投标人是个体工商户的，应提供有效的“个体工商户营业执照”；</w:t>
      </w:r>
    </w:p>
    <w:p w14:paraId="0E24570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（5）投标人是自然人的，应提供有效的自然人身份证明。</w:t>
      </w:r>
    </w:p>
    <w:p w14:paraId="26D61999">
      <w:pPr>
        <w:pageBreakBefore w:val="0"/>
        <w:kinsoku/>
        <w:overflowPunct/>
        <w:topLinePunct w:val="0"/>
        <w:bidi w:val="0"/>
        <w:snapToGrid/>
        <w:spacing w:line="400" w:lineRule="exact"/>
        <w:rPr>
          <w:rFonts w:hint="eastAsia" w:ascii="仿宋" w:hAnsi="仿宋" w:eastAsia="仿宋" w:cs="仿宋"/>
          <w:b/>
          <w:bCs/>
          <w:snapToGrid w:val="0"/>
          <w:highlight w:val="none"/>
        </w:rPr>
      </w:pPr>
    </w:p>
    <w:p w14:paraId="27D71CBE">
      <w:pPr>
        <w:pageBreakBefore w:val="0"/>
        <w:kinsoku/>
        <w:overflowPunct/>
        <w:topLinePunct w:val="0"/>
        <w:bidi w:val="0"/>
        <w:snapToGrid/>
        <w:spacing w:line="400" w:lineRule="exact"/>
        <w:rPr>
          <w:rFonts w:hint="eastAsia" w:ascii="仿宋" w:hAnsi="仿宋" w:eastAsia="仿宋" w:cs="仿宋"/>
          <w:b/>
          <w:bCs/>
          <w:snapToGrid w:val="0"/>
          <w:highlight w:val="none"/>
        </w:rPr>
      </w:pPr>
    </w:p>
    <w:p w14:paraId="0AE8DB43">
      <w:pPr>
        <w:pageBreakBefore w:val="0"/>
        <w:kinsoku/>
        <w:overflowPunct/>
        <w:topLinePunct w:val="0"/>
        <w:bidi w:val="0"/>
        <w:snapToGrid/>
        <w:spacing w:line="400" w:lineRule="exact"/>
        <w:rPr>
          <w:rFonts w:hint="eastAsia" w:ascii="仿宋" w:hAnsi="仿宋" w:eastAsia="仿宋" w:cs="仿宋"/>
          <w:b/>
          <w:bCs/>
          <w:snapToGrid w:val="0"/>
          <w:highlight w:val="none"/>
        </w:rPr>
      </w:pPr>
    </w:p>
    <w:p w14:paraId="7717C832">
      <w:pPr>
        <w:pageBreakBefore w:val="0"/>
        <w:kinsoku/>
        <w:overflowPunct/>
        <w:topLinePunct w:val="0"/>
        <w:bidi w:val="0"/>
        <w:snapToGrid/>
        <w:spacing w:line="400" w:lineRule="exact"/>
        <w:rPr>
          <w:rFonts w:hint="eastAsia" w:ascii="仿宋" w:hAnsi="仿宋" w:eastAsia="仿宋" w:cs="仿宋"/>
          <w:b/>
          <w:bCs/>
          <w:snapToGrid w:val="0"/>
          <w:highlight w:val="none"/>
        </w:rPr>
      </w:pPr>
      <w:r>
        <w:rPr>
          <w:rFonts w:hint="eastAsia" w:ascii="仿宋" w:hAnsi="仿宋" w:eastAsia="仿宋" w:cs="仿宋"/>
          <w:b/>
          <w:bCs/>
          <w:snapToGrid w:val="0"/>
          <w:highlight w:val="none"/>
        </w:rPr>
        <w:t>1.2.具有良好的商业信誉和健全的财务会计制度</w:t>
      </w:r>
    </w:p>
    <w:p w14:paraId="767F68B2">
      <w:pPr>
        <w:pageBreakBefore w:val="0"/>
        <w:kinsoku/>
        <w:overflowPunct/>
        <w:topLinePunct w:val="0"/>
        <w:bidi w:val="0"/>
        <w:snapToGrid/>
        <w:spacing w:line="400" w:lineRule="exact"/>
        <w:rPr>
          <w:rFonts w:hint="eastAsia" w:ascii="仿宋" w:hAnsi="仿宋" w:eastAsia="仿宋" w:cs="仿宋"/>
          <w:snapToGrid w:val="0"/>
          <w:highlight w:val="none"/>
        </w:rPr>
      </w:pPr>
      <w:r>
        <w:rPr>
          <w:rFonts w:hint="eastAsia" w:ascii="仿宋" w:hAnsi="仿宋" w:eastAsia="仿宋" w:cs="仿宋"/>
          <w:highlight w:val="none"/>
        </w:rPr>
        <w:t>提供2024年或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4FFA6FE1">
      <w:pPr>
        <w:pageBreakBefore w:val="0"/>
        <w:kinsoku/>
        <w:overflowPunct/>
        <w:topLinePunct w:val="0"/>
        <w:bidi w:val="0"/>
        <w:snapToGrid/>
        <w:spacing w:line="400" w:lineRule="exact"/>
        <w:rPr>
          <w:rFonts w:hint="eastAsia" w:ascii="仿宋" w:hAnsi="仿宋" w:eastAsia="仿宋" w:cs="仿宋"/>
          <w:snapToGrid w:val="0"/>
          <w:highlight w:val="none"/>
        </w:rPr>
      </w:pPr>
    </w:p>
    <w:p w14:paraId="0C8282C3">
      <w:pPr>
        <w:pageBreakBefore w:val="0"/>
        <w:kinsoku/>
        <w:overflowPunct/>
        <w:topLinePunct w:val="0"/>
        <w:bidi w:val="0"/>
        <w:snapToGrid/>
        <w:spacing w:line="400" w:lineRule="exact"/>
        <w:rPr>
          <w:rFonts w:hint="eastAsia" w:ascii="仿宋" w:hAnsi="仿宋" w:eastAsia="仿宋" w:cs="仿宋"/>
          <w:snapToGrid w:val="0"/>
          <w:highlight w:val="none"/>
        </w:rPr>
      </w:pPr>
    </w:p>
    <w:p w14:paraId="6E809FC7">
      <w:pPr>
        <w:pageBreakBefore w:val="0"/>
        <w:kinsoku/>
        <w:overflowPunct/>
        <w:topLinePunct w:val="0"/>
        <w:bidi w:val="0"/>
        <w:snapToGrid/>
        <w:spacing w:line="400" w:lineRule="exact"/>
        <w:rPr>
          <w:rFonts w:hint="eastAsia" w:ascii="仿宋" w:hAnsi="仿宋" w:eastAsia="仿宋" w:cs="仿宋"/>
          <w:snapToGrid w:val="0"/>
          <w:highlight w:val="none"/>
        </w:rPr>
      </w:pPr>
    </w:p>
    <w:p w14:paraId="47069187">
      <w:pPr>
        <w:pageBreakBefore w:val="0"/>
        <w:kinsoku/>
        <w:overflowPunct/>
        <w:topLinePunct w:val="0"/>
        <w:bidi w:val="0"/>
        <w:snapToGrid/>
        <w:spacing w:line="400" w:lineRule="exact"/>
        <w:rPr>
          <w:rFonts w:hint="eastAsia" w:ascii="仿宋" w:hAnsi="仿宋" w:eastAsia="仿宋" w:cs="仿宋"/>
          <w:b/>
          <w:bCs/>
          <w:snapToGrid w:val="0"/>
          <w:highlight w:val="none"/>
        </w:rPr>
      </w:pPr>
      <w:r>
        <w:rPr>
          <w:rFonts w:hint="eastAsia" w:ascii="仿宋" w:hAnsi="仿宋" w:eastAsia="仿宋" w:cs="仿宋"/>
          <w:b/>
          <w:bCs/>
          <w:snapToGrid w:val="0"/>
          <w:highlight w:val="none"/>
        </w:rPr>
        <w:t>1.3.有依法缴纳税收和社会保障资金的良好记录</w:t>
      </w:r>
    </w:p>
    <w:p w14:paraId="14460CA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（1）提供至本项目投标截止日前一年内任意1个月缴纳税收凭据证明材料复印件/扫描件；如依法免税的，应提供相应文件证明；</w:t>
      </w:r>
    </w:p>
    <w:p w14:paraId="756F161B">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（2）提供至本项目投标截止日前一年内任意1个月缴纳社会保险的凭据证明材料复印件/扫描件；如依法不需要缴纳社会保障资金的，应提供相应文件证明</w:t>
      </w:r>
    </w:p>
    <w:p w14:paraId="1C8DB6BC">
      <w:pPr>
        <w:pageBreakBefore w:val="0"/>
        <w:kinsoku/>
        <w:overflowPunct/>
        <w:topLinePunct w:val="0"/>
        <w:bidi w:val="0"/>
        <w:snapToGrid/>
        <w:spacing w:line="400" w:lineRule="exact"/>
        <w:rPr>
          <w:rFonts w:hint="eastAsia" w:ascii="仿宋" w:hAnsi="仿宋" w:eastAsia="仿宋" w:cs="仿宋"/>
          <w:snapToGrid w:val="0"/>
          <w:highlight w:val="none"/>
        </w:rPr>
      </w:pPr>
    </w:p>
    <w:p w14:paraId="103EA1A7">
      <w:pPr>
        <w:pageBreakBefore w:val="0"/>
        <w:kinsoku/>
        <w:overflowPunct/>
        <w:topLinePunct w:val="0"/>
        <w:bidi w:val="0"/>
        <w:snapToGrid/>
        <w:spacing w:line="400" w:lineRule="exact"/>
        <w:rPr>
          <w:rFonts w:hint="eastAsia" w:ascii="仿宋" w:hAnsi="仿宋" w:eastAsia="仿宋" w:cs="仿宋"/>
          <w:snapToGrid w:val="0"/>
          <w:highlight w:val="none"/>
        </w:rPr>
      </w:pPr>
      <w:r>
        <w:rPr>
          <w:rFonts w:hint="eastAsia" w:ascii="仿宋" w:hAnsi="仿宋" w:eastAsia="仿宋" w:cs="仿宋"/>
          <w:snapToGrid w:val="0"/>
          <w:highlight w:val="none"/>
        </w:rPr>
        <w:br w:type="page"/>
      </w:r>
    </w:p>
    <w:p w14:paraId="35276D1D">
      <w:pPr>
        <w:pageBreakBefore w:val="0"/>
        <w:kinsoku/>
        <w:overflowPunct/>
        <w:topLinePunct w:val="0"/>
        <w:bidi w:val="0"/>
        <w:snapToGrid/>
        <w:spacing w:line="400" w:lineRule="exact"/>
        <w:rPr>
          <w:rFonts w:hint="eastAsia" w:ascii="仿宋" w:hAnsi="仿宋" w:eastAsia="仿宋" w:cs="仿宋"/>
          <w:b/>
          <w:bCs/>
          <w:snapToGrid w:val="0"/>
          <w:highlight w:val="none"/>
        </w:rPr>
      </w:pPr>
      <w:r>
        <w:rPr>
          <w:rFonts w:hint="eastAsia" w:ascii="仿宋" w:hAnsi="仿宋" w:eastAsia="仿宋" w:cs="仿宋"/>
          <w:b/>
          <w:bCs/>
          <w:snapToGrid w:val="0"/>
          <w:highlight w:val="none"/>
        </w:rPr>
        <w:t>1.4.具有履行合同所必需的设备和专业技术能力</w:t>
      </w:r>
    </w:p>
    <w:p w14:paraId="02C6F87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具备履行合同所必需的设备和专业技术能力声明函</w:t>
      </w:r>
    </w:p>
    <w:p w14:paraId="3ECD6D10">
      <w:pPr>
        <w:pageBreakBefore w:val="0"/>
        <w:kinsoku/>
        <w:overflowPunct/>
        <w:topLinePunct w:val="0"/>
        <w:bidi w:val="0"/>
        <w:snapToGrid/>
        <w:spacing w:line="400" w:lineRule="exact"/>
        <w:rPr>
          <w:rFonts w:hint="eastAsia" w:ascii="仿宋" w:hAnsi="仿宋" w:eastAsia="仿宋" w:cs="仿宋"/>
          <w:highlight w:val="none"/>
        </w:rPr>
      </w:pPr>
    </w:p>
    <w:p w14:paraId="213F6F96">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(采购人名称)      ：</w:t>
      </w:r>
    </w:p>
    <w:p w14:paraId="388C8528">
      <w:pPr>
        <w:pageBreakBefore w:val="0"/>
        <w:kinsoku/>
        <w:overflowPunct/>
        <w:topLinePunct w:val="0"/>
        <w:bidi w:val="0"/>
        <w:snapToGrid/>
        <w:spacing w:line="400" w:lineRule="exact"/>
        <w:rPr>
          <w:rFonts w:hint="eastAsia" w:ascii="仿宋" w:hAnsi="仿宋" w:eastAsia="仿宋" w:cs="仿宋"/>
          <w:highlight w:val="none"/>
        </w:rPr>
      </w:pPr>
    </w:p>
    <w:p w14:paraId="1C9C17E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对于贵单位的</w:t>
      </w:r>
      <w:r>
        <w:rPr>
          <w:rFonts w:hint="eastAsia" w:ascii="仿宋" w:hAnsi="仿宋" w:eastAsia="仿宋" w:cs="仿宋"/>
          <w:highlight w:val="none"/>
          <w:u w:val="single"/>
        </w:rPr>
        <w:t xml:space="preserve">      （项目名称）      </w:t>
      </w:r>
      <w:r>
        <w:rPr>
          <w:rFonts w:hint="eastAsia" w:ascii="仿宋" w:hAnsi="仿宋" w:eastAsia="仿宋" w:cs="仿宋"/>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51237F2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特此声明！</w:t>
      </w:r>
    </w:p>
    <w:p w14:paraId="1A56D6CC">
      <w:pPr>
        <w:pageBreakBefore w:val="0"/>
        <w:kinsoku/>
        <w:overflowPunct/>
        <w:topLinePunct w:val="0"/>
        <w:bidi w:val="0"/>
        <w:snapToGrid/>
        <w:spacing w:line="400" w:lineRule="exact"/>
        <w:rPr>
          <w:rFonts w:hint="eastAsia" w:ascii="仿宋" w:hAnsi="仿宋" w:eastAsia="仿宋" w:cs="仿宋"/>
          <w:highlight w:val="none"/>
        </w:rPr>
      </w:pPr>
    </w:p>
    <w:p w14:paraId="7C5C5086">
      <w:pPr>
        <w:pageBreakBefore w:val="0"/>
        <w:kinsoku/>
        <w:overflowPunct/>
        <w:topLinePunct w:val="0"/>
        <w:bidi w:val="0"/>
        <w:snapToGrid/>
        <w:spacing w:line="400" w:lineRule="exact"/>
        <w:rPr>
          <w:rFonts w:hint="eastAsia" w:ascii="仿宋" w:hAnsi="仿宋" w:eastAsia="仿宋" w:cs="仿宋"/>
          <w:highlight w:val="none"/>
        </w:rPr>
      </w:pPr>
    </w:p>
    <w:p w14:paraId="31A96C9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供应商：（加盖公章）</w:t>
      </w:r>
    </w:p>
    <w:p w14:paraId="2A5E02F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  期：</w:t>
      </w:r>
    </w:p>
    <w:p w14:paraId="1C58A413">
      <w:pPr>
        <w:pageBreakBefore w:val="0"/>
        <w:kinsoku/>
        <w:overflowPunct/>
        <w:topLinePunct w:val="0"/>
        <w:bidi w:val="0"/>
        <w:snapToGrid/>
        <w:spacing w:line="400" w:lineRule="exact"/>
        <w:rPr>
          <w:rFonts w:hint="eastAsia" w:ascii="仿宋" w:hAnsi="仿宋" w:eastAsia="仿宋" w:cs="仿宋"/>
          <w:snapToGrid w:val="0"/>
          <w:spacing w:val="13"/>
          <w:sz w:val="21"/>
          <w:szCs w:val="21"/>
          <w:highlight w:val="none"/>
        </w:rPr>
      </w:pPr>
      <w:r>
        <w:rPr>
          <w:rFonts w:hint="eastAsia" w:ascii="仿宋" w:hAnsi="仿宋" w:eastAsia="仿宋" w:cs="仿宋"/>
          <w:highlight w:val="none"/>
        </w:rPr>
        <w:br w:type="page"/>
      </w:r>
    </w:p>
    <w:p w14:paraId="69551A83">
      <w:pPr>
        <w:pageBreakBefore w:val="0"/>
        <w:kinsoku/>
        <w:overflowPunct/>
        <w:topLinePunct w:val="0"/>
        <w:bidi w:val="0"/>
        <w:snapToGrid/>
        <w:spacing w:line="400" w:lineRule="exact"/>
        <w:rPr>
          <w:rFonts w:hint="eastAsia" w:ascii="仿宋" w:hAnsi="仿宋" w:eastAsia="仿宋" w:cs="仿宋"/>
          <w:b/>
          <w:bCs/>
          <w:snapToGrid w:val="0"/>
          <w:highlight w:val="none"/>
        </w:rPr>
      </w:pPr>
      <w:r>
        <w:rPr>
          <w:rFonts w:hint="eastAsia" w:ascii="仿宋" w:hAnsi="仿宋" w:eastAsia="仿宋" w:cs="仿宋"/>
          <w:b/>
          <w:bCs/>
          <w:snapToGrid w:val="0"/>
          <w:highlight w:val="none"/>
        </w:rPr>
        <w:t>1.5.参加政府采购活动前三年内，在经营活动中没有重大违法记录</w:t>
      </w:r>
    </w:p>
    <w:p w14:paraId="5CB18A8D">
      <w:pPr>
        <w:pageBreakBefore w:val="0"/>
        <w:kinsoku/>
        <w:overflowPunct/>
        <w:topLinePunct w:val="0"/>
        <w:bidi w:val="0"/>
        <w:snapToGrid/>
        <w:spacing w:line="400" w:lineRule="exact"/>
        <w:rPr>
          <w:rFonts w:hint="eastAsia" w:ascii="仿宋" w:hAnsi="仿宋" w:eastAsia="仿宋" w:cs="仿宋"/>
          <w:highlight w:val="none"/>
        </w:rPr>
      </w:pPr>
    </w:p>
    <w:p w14:paraId="0BFA4DF3">
      <w:pPr>
        <w:pageBreakBefore w:val="0"/>
        <w:kinsoku/>
        <w:overflowPunct/>
        <w:topLinePunct w:val="0"/>
        <w:bidi w:val="0"/>
        <w:snapToGrid/>
        <w:spacing w:line="400" w:lineRule="exact"/>
        <w:rPr>
          <w:rFonts w:hint="eastAsia" w:ascii="仿宋" w:hAnsi="仿宋" w:eastAsia="仿宋" w:cs="仿宋"/>
          <w:highlight w:val="none"/>
        </w:rPr>
      </w:pPr>
      <w:bookmarkStart w:id="355" w:name="_Toc12673"/>
      <w:r>
        <w:rPr>
          <w:rFonts w:hint="eastAsia" w:ascii="仿宋" w:hAnsi="仿宋" w:eastAsia="仿宋" w:cs="仿宋"/>
          <w:highlight w:val="none"/>
        </w:rPr>
        <w:t>近三年内在经营活动中没有重大违法记录的书面声明</w:t>
      </w:r>
      <w:bookmarkEnd w:id="355"/>
    </w:p>
    <w:p w14:paraId="365ED5D3">
      <w:pPr>
        <w:pStyle w:val="82"/>
        <w:pageBreakBefore w:val="0"/>
        <w:kinsoku/>
        <w:overflowPunct/>
        <w:topLinePunct w:val="0"/>
        <w:bidi w:val="0"/>
        <w:snapToGrid/>
        <w:spacing w:line="400" w:lineRule="exact"/>
        <w:jc w:val="center"/>
        <w:rPr>
          <w:rFonts w:hint="eastAsia" w:ascii="仿宋" w:hAnsi="仿宋" w:eastAsia="仿宋" w:cs="仿宋"/>
          <w:sz w:val="24"/>
          <w:szCs w:val="24"/>
          <w:highlight w:val="none"/>
        </w:rPr>
      </w:pPr>
    </w:p>
    <w:p w14:paraId="3D3AD2DB">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u w:val="single"/>
        </w:rPr>
        <w:t xml:space="preserve">  （采购人）     </w:t>
      </w:r>
      <w:r>
        <w:rPr>
          <w:rFonts w:hint="eastAsia" w:ascii="仿宋" w:hAnsi="仿宋" w:eastAsia="仿宋" w:cs="仿宋"/>
          <w:highlight w:val="none"/>
        </w:rPr>
        <w:t xml:space="preserve"> ：</w:t>
      </w:r>
    </w:p>
    <w:p w14:paraId="5385FD09">
      <w:pPr>
        <w:pageBreakBefore w:val="0"/>
        <w:kinsoku/>
        <w:overflowPunct/>
        <w:topLinePunct w:val="0"/>
        <w:bidi w:val="0"/>
        <w:snapToGrid/>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319B58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如发现我单位提供的声明函不实时，我公司愿意承担一切法律责任并认可采购人或采购代理机构作出的取消中标资格、罚没保证金等决定。</w:t>
      </w:r>
    </w:p>
    <w:p w14:paraId="5929DFA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特此声明！</w:t>
      </w:r>
    </w:p>
    <w:p w14:paraId="45DDEDB1">
      <w:pPr>
        <w:pageBreakBefore w:val="0"/>
        <w:kinsoku/>
        <w:overflowPunct/>
        <w:topLinePunct w:val="0"/>
        <w:bidi w:val="0"/>
        <w:snapToGrid/>
        <w:spacing w:line="400" w:lineRule="exact"/>
        <w:rPr>
          <w:rFonts w:hint="eastAsia" w:ascii="仿宋" w:hAnsi="仿宋" w:eastAsia="仿宋" w:cs="仿宋"/>
          <w:highlight w:val="none"/>
        </w:rPr>
      </w:pPr>
    </w:p>
    <w:p w14:paraId="0FCF89A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供应商：（加盖公章）</w:t>
      </w:r>
    </w:p>
    <w:p w14:paraId="2FA03C3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  期：</w:t>
      </w:r>
    </w:p>
    <w:p w14:paraId="6F0E4AB7">
      <w:pPr>
        <w:pageBreakBefore w:val="0"/>
        <w:kinsoku/>
        <w:overflowPunct/>
        <w:topLinePunct w:val="0"/>
        <w:bidi w:val="0"/>
        <w:snapToGrid/>
        <w:spacing w:line="400" w:lineRule="exact"/>
        <w:rPr>
          <w:rFonts w:hint="eastAsia" w:ascii="仿宋" w:hAnsi="仿宋" w:eastAsia="仿宋" w:cs="仿宋"/>
          <w:highlight w:val="none"/>
        </w:rPr>
      </w:pPr>
    </w:p>
    <w:p w14:paraId="1EF63CF5">
      <w:pPr>
        <w:pageBreakBefore w:val="0"/>
        <w:kinsoku/>
        <w:overflowPunct/>
        <w:topLinePunct w:val="0"/>
        <w:bidi w:val="0"/>
        <w:snapToGrid/>
        <w:spacing w:line="400" w:lineRule="exact"/>
        <w:rPr>
          <w:rFonts w:hint="eastAsia" w:ascii="仿宋" w:hAnsi="仿宋" w:eastAsia="仿宋" w:cs="仿宋"/>
          <w:highlight w:val="none"/>
        </w:rPr>
      </w:pPr>
    </w:p>
    <w:p w14:paraId="5091F144">
      <w:pPr>
        <w:pageBreakBefore w:val="0"/>
        <w:kinsoku/>
        <w:overflowPunct/>
        <w:topLinePunct w:val="0"/>
        <w:bidi w:val="0"/>
        <w:snapToGrid/>
        <w:spacing w:line="400" w:lineRule="exact"/>
        <w:rPr>
          <w:rFonts w:hint="eastAsia" w:ascii="仿宋" w:hAnsi="仿宋" w:eastAsia="仿宋" w:cs="仿宋"/>
          <w:highlight w:val="none"/>
        </w:rPr>
      </w:pPr>
    </w:p>
    <w:p w14:paraId="1C293DF4">
      <w:pPr>
        <w:pageBreakBefore w:val="0"/>
        <w:kinsoku/>
        <w:overflowPunct/>
        <w:topLinePunct w:val="0"/>
        <w:bidi w:val="0"/>
        <w:snapToGrid/>
        <w:spacing w:line="400" w:lineRule="exact"/>
        <w:rPr>
          <w:rFonts w:hint="eastAsia" w:ascii="仿宋" w:hAnsi="仿宋" w:eastAsia="仿宋" w:cs="仿宋"/>
          <w:highlight w:val="none"/>
        </w:rPr>
      </w:pPr>
    </w:p>
    <w:p w14:paraId="455BF158">
      <w:pPr>
        <w:pageBreakBefore w:val="0"/>
        <w:kinsoku/>
        <w:overflowPunct/>
        <w:topLinePunct w:val="0"/>
        <w:bidi w:val="0"/>
        <w:snapToGrid/>
        <w:spacing w:line="400" w:lineRule="exact"/>
        <w:rPr>
          <w:rFonts w:hint="eastAsia" w:ascii="仿宋" w:hAnsi="仿宋" w:eastAsia="仿宋" w:cs="仿宋"/>
          <w:highlight w:val="none"/>
        </w:rPr>
      </w:pPr>
    </w:p>
    <w:p w14:paraId="7F44BFD1">
      <w:pPr>
        <w:pageBreakBefore w:val="0"/>
        <w:kinsoku/>
        <w:overflowPunct/>
        <w:topLinePunct w:val="0"/>
        <w:bidi w:val="0"/>
        <w:snapToGrid/>
        <w:spacing w:line="400" w:lineRule="exact"/>
        <w:rPr>
          <w:rFonts w:hint="eastAsia" w:ascii="仿宋" w:hAnsi="仿宋" w:eastAsia="仿宋" w:cs="仿宋"/>
          <w:highlight w:val="none"/>
        </w:rPr>
      </w:pPr>
    </w:p>
    <w:p w14:paraId="5910DB12">
      <w:pPr>
        <w:pageBreakBefore w:val="0"/>
        <w:kinsoku/>
        <w:overflowPunct/>
        <w:topLinePunct w:val="0"/>
        <w:bidi w:val="0"/>
        <w:snapToGrid/>
        <w:spacing w:line="400" w:lineRule="exact"/>
        <w:rPr>
          <w:rFonts w:hint="eastAsia" w:ascii="仿宋" w:hAnsi="仿宋" w:eastAsia="仿宋" w:cs="仿宋"/>
          <w:highlight w:val="none"/>
        </w:rPr>
      </w:pPr>
    </w:p>
    <w:p w14:paraId="0ADCEB3E">
      <w:pPr>
        <w:pageBreakBefore w:val="0"/>
        <w:kinsoku/>
        <w:overflowPunct/>
        <w:topLinePunct w:val="0"/>
        <w:bidi w:val="0"/>
        <w:snapToGrid/>
        <w:spacing w:line="400" w:lineRule="exact"/>
        <w:rPr>
          <w:rFonts w:hint="eastAsia" w:ascii="仿宋" w:hAnsi="仿宋" w:eastAsia="仿宋" w:cs="仿宋"/>
          <w:highlight w:val="none"/>
        </w:rPr>
      </w:pPr>
    </w:p>
    <w:p w14:paraId="06867F22">
      <w:pPr>
        <w:pageBreakBefore w:val="0"/>
        <w:kinsoku/>
        <w:overflowPunct/>
        <w:topLinePunct w:val="0"/>
        <w:bidi w:val="0"/>
        <w:snapToGrid/>
        <w:spacing w:line="400" w:lineRule="exact"/>
        <w:rPr>
          <w:rFonts w:hint="eastAsia" w:ascii="仿宋" w:hAnsi="仿宋" w:eastAsia="仿宋" w:cs="仿宋"/>
          <w:highlight w:val="none"/>
        </w:rPr>
      </w:pPr>
    </w:p>
    <w:p w14:paraId="235D31B2">
      <w:pPr>
        <w:pageBreakBefore w:val="0"/>
        <w:kinsoku/>
        <w:overflowPunct/>
        <w:topLinePunct w:val="0"/>
        <w:bidi w:val="0"/>
        <w:snapToGrid/>
        <w:spacing w:line="400" w:lineRule="exact"/>
        <w:rPr>
          <w:rFonts w:hint="eastAsia" w:ascii="仿宋" w:hAnsi="仿宋" w:eastAsia="仿宋" w:cs="仿宋"/>
          <w:highlight w:val="none"/>
        </w:rPr>
      </w:pPr>
    </w:p>
    <w:p w14:paraId="11B075D2">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7D94F41F">
      <w:pPr>
        <w:pageBreakBefore w:val="0"/>
        <w:kinsoku/>
        <w:overflowPunct/>
        <w:topLinePunct w:val="0"/>
        <w:bidi w:val="0"/>
        <w:snapToGrid/>
        <w:spacing w:line="400" w:lineRule="exact"/>
        <w:rPr>
          <w:rFonts w:hint="eastAsia" w:ascii="仿宋" w:hAnsi="仿宋" w:eastAsia="仿宋" w:cs="仿宋"/>
          <w:b/>
          <w:bCs/>
          <w:snapToGrid w:val="0"/>
          <w:highlight w:val="none"/>
        </w:rPr>
      </w:pPr>
      <w:bookmarkStart w:id="356" w:name="_Toc31574"/>
      <w:bookmarkStart w:id="357" w:name="_Toc32053"/>
      <w:r>
        <w:rPr>
          <w:rFonts w:hint="eastAsia" w:ascii="仿宋" w:hAnsi="仿宋" w:eastAsia="仿宋" w:cs="仿宋"/>
          <w:b/>
          <w:bCs/>
          <w:snapToGrid w:val="0"/>
          <w:highlight w:val="none"/>
        </w:rPr>
        <w:t>1.6.投标人未列入失信被执行人、重大税收违法案件当事人名单、政府采购严重违法失信行为记录名单</w:t>
      </w:r>
      <w:bookmarkEnd w:id="356"/>
      <w:bookmarkEnd w:id="357"/>
    </w:p>
    <w:p w14:paraId="4557843A">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rPr>
        <w:t>“信用中国”网站查询信息：</w:t>
      </w:r>
    </w:p>
    <w:p w14:paraId="5E9C7CF3">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rPr>
        <w:t>①未被列入严重失信主体名单</w:t>
      </w:r>
    </w:p>
    <w:p w14:paraId="1942F6A8">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rPr>
        <w:t xml:space="preserve">②未被列入失信被执行人； </w:t>
      </w:r>
    </w:p>
    <w:p w14:paraId="0D1E5657">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rPr>
        <w:t xml:space="preserve">③未被列入重大税收违法失信主体名单； </w:t>
      </w:r>
    </w:p>
    <w:p w14:paraId="55B40450">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p>
    <w:p w14:paraId="4BBA2E58">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p>
    <w:p w14:paraId="42E22BDC">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p>
    <w:p w14:paraId="5A0F5B86">
      <w:pPr>
        <w:pStyle w:val="83"/>
        <w:pageBreakBefore w:val="0"/>
        <w:kinsoku/>
        <w:overflowPunct/>
        <w:topLinePunct w:val="0"/>
        <w:bidi w:val="0"/>
        <w:snapToGrid/>
        <w:spacing w:line="400" w:lineRule="exact"/>
        <w:ind w:firstLine="504" w:firstLineChars="200"/>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rPr>
        <w:t xml:space="preserve"> </w:t>
      </w:r>
    </w:p>
    <w:p w14:paraId="21B7C2D7">
      <w:pPr>
        <w:pStyle w:val="83"/>
        <w:pageBreakBefore w:val="0"/>
        <w:kinsoku/>
        <w:overflowPunct/>
        <w:topLinePunct w:val="0"/>
        <w:bidi w:val="0"/>
        <w:snapToGrid/>
        <w:spacing w:line="400" w:lineRule="exact"/>
        <w:ind w:firstLine="756" w:firstLineChars="300"/>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rPr>
        <w:t>“中国政府采购网”查询信息：</w:t>
      </w:r>
    </w:p>
    <w:p w14:paraId="2D2CB0DF">
      <w:pPr>
        <w:pStyle w:val="83"/>
        <w:pageBreakBefore w:val="0"/>
        <w:kinsoku/>
        <w:overflowPunct/>
        <w:topLinePunct w:val="0"/>
        <w:bidi w:val="0"/>
        <w:snapToGrid/>
        <w:spacing w:line="400" w:lineRule="exact"/>
        <w:ind w:firstLine="756" w:firstLineChars="300"/>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rPr>
        <w:t>①政府采购严重违法失信行为信息记录：</w:t>
      </w:r>
    </w:p>
    <w:p w14:paraId="72AE8BFA">
      <w:pPr>
        <w:pStyle w:val="83"/>
        <w:pageBreakBefore w:val="0"/>
        <w:kinsoku/>
        <w:overflowPunct/>
        <w:topLinePunct w:val="0"/>
        <w:bidi w:val="0"/>
        <w:snapToGrid/>
        <w:spacing w:line="400" w:lineRule="exact"/>
        <w:ind w:firstLine="756" w:firstLineChars="300"/>
        <w:jc w:val="left"/>
        <w:rPr>
          <w:rFonts w:hint="eastAsia" w:ascii="仿宋" w:hAnsi="仿宋" w:eastAsia="仿宋" w:cs="仿宋"/>
          <w:spacing w:val="6"/>
          <w:kern w:val="0"/>
          <w:sz w:val="24"/>
          <w:szCs w:val="24"/>
          <w:highlight w:val="none"/>
        </w:rPr>
      </w:pPr>
    </w:p>
    <w:p w14:paraId="5FA0C7BC">
      <w:pPr>
        <w:pStyle w:val="83"/>
        <w:pageBreakBefore w:val="0"/>
        <w:kinsoku/>
        <w:overflowPunct/>
        <w:topLinePunct w:val="0"/>
        <w:bidi w:val="0"/>
        <w:snapToGrid/>
        <w:spacing w:line="400" w:lineRule="exact"/>
        <w:ind w:firstLine="756" w:firstLineChars="300"/>
        <w:jc w:val="left"/>
        <w:rPr>
          <w:rFonts w:hint="eastAsia" w:ascii="仿宋" w:hAnsi="仿宋" w:eastAsia="仿宋" w:cs="仿宋"/>
          <w:spacing w:val="6"/>
          <w:kern w:val="0"/>
          <w:sz w:val="24"/>
          <w:szCs w:val="24"/>
          <w:highlight w:val="none"/>
        </w:rPr>
      </w:pPr>
    </w:p>
    <w:p w14:paraId="69BD8221">
      <w:pPr>
        <w:pStyle w:val="83"/>
        <w:pageBreakBefore w:val="0"/>
        <w:kinsoku/>
        <w:overflowPunct/>
        <w:topLinePunct w:val="0"/>
        <w:bidi w:val="0"/>
        <w:snapToGrid/>
        <w:spacing w:line="400" w:lineRule="exact"/>
        <w:ind w:firstLine="756" w:firstLineChars="300"/>
        <w:jc w:val="left"/>
        <w:rPr>
          <w:rFonts w:hint="eastAsia" w:ascii="仿宋" w:hAnsi="仿宋" w:eastAsia="仿宋" w:cs="仿宋"/>
          <w:spacing w:val="6"/>
          <w:kern w:val="0"/>
          <w:sz w:val="24"/>
          <w:szCs w:val="24"/>
          <w:highlight w:val="none"/>
        </w:rPr>
      </w:pPr>
    </w:p>
    <w:p w14:paraId="01DBB46D">
      <w:pPr>
        <w:pStyle w:val="83"/>
        <w:pageBreakBefore w:val="0"/>
        <w:kinsoku/>
        <w:overflowPunct/>
        <w:topLinePunct w:val="0"/>
        <w:bidi w:val="0"/>
        <w:snapToGrid/>
        <w:spacing w:line="400" w:lineRule="exact"/>
        <w:ind w:firstLine="756" w:firstLineChars="300"/>
        <w:jc w:val="left"/>
        <w:rPr>
          <w:rFonts w:hint="eastAsia" w:ascii="仿宋" w:hAnsi="仿宋" w:eastAsia="仿宋" w:cs="仿宋"/>
          <w:spacing w:val="6"/>
          <w:kern w:val="0"/>
          <w:sz w:val="24"/>
          <w:szCs w:val="24"/>
          <w:highlight w:val="none"/>
        </w:rPr>
      </w:pPr>
    </w:p>
    <w:p w14:paraId="67645556">
      <w:pPr>
        <w:pStyle w:val="83"/>
        <w:pageBreakBefore w:val="0"/>
        <w:kinsoku/>
        <w:overflowPunct/>
        <w:topLinePunct w:val="0"/>
        <w:bidi w:val="0"/>
        <w:snapToGrid/>
        <w:spacing w:line="400" w:lineRule="exact"/>
        <w:ind w:firstLine="756" w:firstLineChars="300"/>
        <w:jc w:val="left"/>
        <w:rPr>
          <w:rFonts w:hint="eastAsia" w:ascii="仿宋" w:hAnsi="仿宋" w:eastAsia="仿宋" w:cs="仿宋"/>
          <w:spacing w:val="6"/>
          <w:kern w:val="0"/>
          <w:sz w:val="24"/>
          <w:szCs w:val="24"/>
          <w:highlight w:val="none"/>
        </w:rPr>
      </w:pPr>
    </w:p>
    <w:p w14:paraId="14DD2F28">
      <w:pPr>
        <w:pageBreakBefore w:val="0"/>
        <w:widowControl w:val="0"/>
        <w:kinsoku/>
        <w:overflowPunct/>
        <w:topLinePunct w:val="0"/>
        <w:bidi w:val="0"/>
        <w:snapToGrid/>
        <w:spacing w:line="400" w:lineRule="exact"/>
        <w:ind w:firstLine="426" w:firstLineChars="177"/>
        <w:jc w:val="both"/>
        <w:rPr>
          <w:rFonts w:hint="eastAsia" w:ascii="仿宋" w:hAnsi="仿宋" w:eastAsia="仿宋" w:cs="仿宋"/>
          <w:b/>
          <w:bCs/>
          <w:kern w:val="0"/>
          <w:szCs w:val="24"/>
          <w:highlight w:val="none"/>
        </w:rPr>
      </w:pPr>
      <w:r>
        <w:rPr>
          <w:rFonts w:hint="eastAsia" w:ascii="仿宋" w:hAnsi="仿宋" w:eastAsia="仿宋" w:cs="仿宋"/>
          <w:b/>
          <w:bCs/>
          <w:kern w:val="0"/>
          <w:szCs w:val="24"/>
          <w:highlight w:val="none"/>
        </w:rPr>
        <w:t>注：（查询时间为：自招标公告发布之日起至投标文件递交截止时间止。）</w:t>
      </w:r>
    </w:p>
    <w:p w14:paraId="69FFCFAD">
      <w:pPr>
        <w:pageBreakBefore w:val="0"/>
        <w:widowControl w:val="0"/>
        <w:kinsoku/>
        <w:overflowPunct/>
        <w:topLinePunct w:val="0"/>
        <w:bidi w:val="0"/>
        <w:snapToGrid/>
        <w:spacing w:line="400" w:lineRule="exact"/>
        <w:jc w:val="both"/>
        <w:rPr>
          <w:rFonts w:hint="eastAsia" w:ascii="仿宋" w:hAnsi="仿宋" w:eastAsia="仿宋" w:cs="仿宋"/>
          <w:kern w:val="0"/>
          <w:szCs w:val="20"/>
          <w:highlight w:val="none"/>
        </w:rPr>
      </w:pPr>
    </w:p>
    <w:p w14:paraId="30EBD2D8">
      <w:pPr>
        <w:pStyle w:val="83"/>
        <w:pageBreakBefore w:val="0"/>
        <w:kinsoku/>
        <w:overflowPunct/>
        <w:topLinePunct w:val="0"/>
        <w:bidi w:val="0"/>
        <w:snapToGrid/>
        <w:spacing w:line="400" w:lineRule="exact"/>
        <w:ind w:firstLine="720" w:firstLineChars="300"/>
        <w:jc w:val="left"/>
        <w:rPr>
          <w:rFonts w:hint="eastAsia" w:ascii="仿宋" w:hAnsi="仿宋" w:eastAsia="仿宋" w:cs="仿宋"/>
          <w:spacing w:val="6"/>
          <w:kern w:val="0"/>
          <w:sz w:val="24"/>
          <w:szCs w:val="24"/>
          <w:highlight w:val="none"/>
        </w:rPr>
      </w:pPr>
      <w:r>
        <w:rPr>
          <w:rFonts w:hint="eastAsia" w:ascii="仿宋" w:hAnsi="仿宋" w:eastAsia="仿宋" w:cs="仿宋"/>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6118A96">
      <w:pPr>
        <w:pageBreakBefore w:val="0"/>
        <w:kinsoku/>
        <w:overflowPunct/>
        <w:topLinePunct w:val="0"/>
        <w:bidi w:val="0"/>
        <w:snapToGrid/>
        <w:spacing w:line="400" w:lineRule="exact"/>
        <w:rPr>
          <w:rFonts w:hint="eastAsia" w:ascii="仿宋" w:hAnsi="仿宋" w:eastAsia="仿宋" w:cs="仿宋"/>
          <w:snapToGrid w:val="0"/>
          <w:highlight w:val="none"/>
        </w:rPr>
      </w:pPr>
    </w:p>
    <w:p w14:paraId="1CFF5F7D">
      <w:pPr>
        <w:pageBreakBefore w:val="0"/>
        <w:kinsoku/>
        <w:overflowPunct/>
        <w:topLinePunct w:val="0"/>
        <w:bidi w:val="0"/>
        <w:snapToGrid/>
        <w:spacing w:line="400" w:lineRule="exact"/>
        <w:rPr>
          <w:rFonts w:hint="eastAsia" w:ascii="仿宋" w:hAnsi="仿宋" w:eastAsia="仿宋" w:cs="仿宋"/>
          <w:snapToGrid w:val="0"/>
          <w:highlight w:val="none"/>
        </w:rPr>
      </w:pPr>
    </w:p>
    <w:p w14:paraId="53B7019D">
      <w:pPr>
        <w:pageBreakBefore w:val="0"/>
        <w:kinsoku/>
        <w:overflowPunct/>
        <w:topLinePunct w:val="0"/>
        <w:bidi w:val="0"/>
        <w:snapToGrid/>
        <w:spacing w:line="400" w:lineRule="exact"/>
        <w:rPr>
          <w:rFonts w:hint="eastAsia" w:ascii="仿宋" w:hAnsi="仿宋" w:eastAsia="仿宋" w:cs="仿宋"/>
          <w:snapToGrid w:val="0"/>
          <w:highlight w:val="none"/>
        </w:rPr>
      </w:pPr>
    </w:p>
    <w:p w14:paraId="17614061">
      <w:pPr>
        <w:pageBreakBefore w:val="0"/>
        <w:kinsoku/>
        <w:overflowPunct/>
        <w:topLinePunct w:val="0"/>
        <w:bidi w:val="0"/>
        <w:snapToGrid/>
        <w:spacing w:line="400" w:lineRule="exact"/>
        <w:rPr>
          <w:rFonts w:hint="eastAsia" w:ascii="仿宋" w:hAnsi="仿宋" w:eastAsia="仿宋" w:cs="仿宋"/>
          <w:b/>
          <w:bCs/>
          <w:snapToGrid w:val="0"/>
          <w:highlight w:val="none"/>
        </w:rPr>
      </w:pPr>
      <w:r>
        <w:rPr>
          <w:rFonts w:hint="eastAsia" w:ascii="仿宋" w:hAnsi="仿宋" w:eastAsia="仿宋" w:cs="仿宋"/>
          <w:b/>
          <w:bCs/>
          <w:snapToGrid w:val="0"/>
          <w:highlight w:val="none"/>
        </w:rPr>
        <w:t>1.7.法律、行政法规规定的其他条件</w:t>
      </w:r>
    </w:p>
    <w:p w14:paraId="15D0985D">
      <w:pPr>
        <w:pageBreakBefore w:val="0"/>
        <w:kinsoku/>
        <w:overflowPunct/>
        <w:topLinePunct w:val="0"/>
        <w:bidi w:val="0"/>
        <w:snapToGrid/>
        <w:spacing w:line="400" w:lineRule="exact"/>
        <w:rPr>
          <w:rFonts w:hint="eastAsia" w:ascii="仿宋" w:hAnsi="仿宋" w:eastAsia="仿宋" w:cs="仿宋"/>
          <w:highlight w:val="none"/>
        </w:rPr>
      </w:pPr>
    </w:p>
    <w:p w14:paraId="6106FB9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供应商可自行做出承诺，格式自拟。</w:t>
      </w:r>
    </w:p>
    <w:p w14:paraId="23D3109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5FE8EB0C">
      <w:pPr>
        <w:pStyle w:val="3"/>
        <w:pageBreakBefore w:val="0"/>
        <w:kinsoku/>
        <w:overflowPunct/>
        <w:topLinePunct w:val="0"/>
        <w:bidi w:val="0"/>
        <w:snapToGrid/>
        <w:spacing w:line="400" w:lineRule="exact"/>
        <w:rPr>
          <w:rFonts w:hint="eastAsia" w:ascii="仿宋" w:hAnsi="仿宋" w:eastAsia="仿宋" w:cs="仿宋"/>
          <w:highlight w:val="none"/>
          <w:lang w:val="zh-CN"/>
        </w:rPr>
      </w:pPr>
      <w:bookmarkStart w:id="358" w:name="_Toc9795"/>
      <w:r>
        <w:rPr>
          <w:rFonts w:hint="eastAsia" w:ascii="仿宋" w:hAnsi="仿宋" w:eastAsia="仿宋" w:cs="仿宋"/>
          <w:highlight w:val="none"/>
        </w:rPr>
        <w:t>二、</w:t>
      </w:r>
      <w:bookmarkEnd w:id="349"/>
      <w:bookmarkEnd w:id="350"/>
      <w:bookmarkEnd w:id="351"/>
      <w:bookmarkEnd w:id="352"/>
      <w:bookmarkEnd w:id="353"/>
      <w:bookmarkEnd w:id="354"/>
      <w:bookmarkStart w:id="359" w:name="_Toc155185931"/>
      <w:bookmarkStart w:id="360" w:name="_Toc163492924"/>
      <w:r>
        <w:rPr>
          <w:rFonts w:hint="eastAsia" w:ascii="仿宋" w:hAnsi="仿宋" w:eastAsia="仿宋" w:cs="仿宋"/>
          <w:highlight w:val="none"/>
          <w:lang w:val="zh-CN"/>
        </w:rPr>
        <w:t>联合体协议书</w:t>
      </w:r>
      <w:bookmarkEnd w:id="359"/>
      <w:r>
        <w:rPr>
          <w:rFonts w:hint="eastAsia" w:ascii="仿宋" w:hAnsi="仿宋" w:eastAsia="仿宋" w:cs="仿宋"/>
          <w:highlight w:val="none"/>
          <w:lang w:val="zh-CN"/>
        </w:rPr>
        <w:t>【</w:t>
      </w:r>
      <w:r>
        <w:rPr>
          <w:rFonts w:hint="eastAsia" w:ascii="仿宋" w:hAnsi="仿宋" w:eastAsia="仿宋" w:cs="仿宋"/>
          <w:highlight w:val="none"/>
        </w:rPr>
        <w:t>不适用可不提供</w:t>
      </w:r>
      <w:r>
        <w:rPr>
          <w:rFonts w:hint="eastAsia" w:ascii="仿宋" w:hAnsi="仿宋" w:eastAsia="仿宋" w:cs="仿宋"/>
          <w:highlight w:val="none"/>
          <w:lang w:val="zh-CN"/>
        </w:rPr>
        <w:t>】</w:t>
      </w:r>
      <w:bookmarkEnd w:id="358"/>
      <w:bookmarkEnd w:id="360"/>
    </w:p>
    <w:p w14:paraId="79ED873E">
      <w:pPr>
        <w:pageBreakBefore w:val="0"/>
        <w:kinsoku/>
        <w:overflowPunct/>
        <w:topLinePunct w:val="0"/>
        <w:bidi w:val="0"/>
        <w:snapToGrid/>
        <w:spacing w:line="400" w:lineRule="exact"/>
        <w:rPr>
          <w:rFonts w:hint="eastAsia" w:ascii="仿宋" w:hAnsi="仿宋" w:eastAsia="仿宋" w:cs="仿宋"/>
          <w:highlight w:val="none"/>
        </w:rPr>
      </w:pPr>
      <w:bookmarkStart w:id="361" w:name="_Toc17246"/>
      <w:r>
        <w:rPr>
          <w:rFonts w:hint="eastAsia" w:ascii="仿宋" w:hAnsi="仿宋" w:eastAsia="仿宋" w:cs="仿宋"/>
          <w:highlight w:val="none"/>
        </w:rPr>
        <w:t>联合体协议书</w:t>
      </w:r>
      <w:bookmarkEnd w:id="361"/>
    </w:p>
    <w:p w14:paraId="6028B4F2">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（以联合体形式投标的，提供联合体协议书；本项目不接受联合体投标或者投标人不以联合体形式投标的，则不需要提供）</w:t>
      </w:r>
    </w:p>
    <w:p w14:paraId="2002A91D">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u w:val="single"/>
        </w:rPr>
        <w:t>（联合体所有成员名称）</w:t>
      </w:r>
      <w:r>
        <w:rPr>
          <w:rFonts w:hint="eastAsia" w:ascii="仿宋" w:hAnsi="仿宋" w:eastAsia="仿宋" w:cs="仿宋"/>
          <w:highlight w:val="none"/>
        </w:rPr>
        <w:t>自愿</w:t>
      </w:r>
      <w:r>
        <w:rPr>
          <w:rFonts w:hint="eastAsia" w:ascii="仿宋" w:hAnsi="仿宋" w:eastAsia="仿宋" w:cs="仿宋"/>
          <w:highlight w:val="none"/>
          <w:lang w:val="zh-CN"/>
        </w:rPr>
        <w:t>组成一个联合体，以一个投标人的身份</w:t>
      </w:r>
      <w:r>
        <w:rPr>
          <w:rFonts w:hint="eastAsia" w:ascii="仿宋" w:hAnsi="仿宋" w:eastAsia="仿宋" w:cs="仿宋"/>
          <w:highlight w:val="none"/>
        </w:rPr>
        <w:t>参加（项目名称）【项目编号/包号：    】</w:t>
      </w:r>
      <w:r>
        <w:rPr>
          <w:rFonts w:hint="eastAsia" w:ascii="仿宋" w:hAnsi="仿宋" w:eastAsia="仿宋" w:cs="仿宋"/>
          <w:highlight w:val="none"/>
          <w:lang w:val="zh-CN"/>
        </w:rPr>
        <w:t xml:space="preserve">投标。 </w:t>
      </w:r>
    </w:p>
    <w:p w14:paraId="4B425DD3">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kern w:val="0"/>
          <w:highlight w:val="none"/>
          <w:lang w:val="zh-CN"/>
        </w:rPr>
        <w:t>一、各方一致决定，</w:t>
      </w:r>
      <w:r>
        <w:rPr>
          <w:rFonts w:hint="eastAsia" w:ascii="仿宋" w:hAnsi="仿宋" w:eastAsia="仿宋" w:cs="仿宋"/>
          <w:kern w:val="0"/>
          <w:highlight w:val="none"/>
          <w:u w:val="single"/>
        </w:rPr>
        <w:t>（某联合体成员名称）</w:t>
      </w:r>
      <w:r>
        <w:rPr>
          <w:rFonts w:hint="eastAsia" w:ascii="仿宋" w:hAnsi="仿宋" w:eastAsia="仿宋" w:cs="仿宋"/>
          <w:kern w:val="0"/>
          <w:highlight w:val="none"/>
        </w:rPr>
        <w:t>为联合体</w:t>
      </w:r>
      <w:r>
        <w:rPr>
          <w:rFonts w:hint="eastAsia" w:ascii="仿宋" w:hAnsi="仿宋" w:eastAsia="仿宋" w:cs="仿宋"/>
          <w:kern w:val="0"/>
          <w:highlight w:val="none"/>
          <w:lang w:val="zh-CN"/>
        </w:rPr>
        <w:t>牵头人</w:t>
      </w:r>
      <w:r>
        <w:rPr>
          <w:rFonts w:hint="eastAsia" w:ascii="仿宋" w:hAnsi="仿宋" w:eastAsia="仿宋" w:cs="仿宋"/>
          <w:highlight w:val="none"/>
        </w:rPr>
        <w:t>，代表所有联合体成员负责投标和合同实施阶段的主办、协调工作</w:t>
      </w:r>
      <w:r>
        <w:rPr>
          <w:rFonts w:hint="eastAsia" w:ascii="仿宋" w:hAnsi="仿宋" w:eastAsia="仿宋" w:cs="仿宋"/>
          <w:kern w:val="0"/>
          <w:highlight w:val="none"/>
          <w:lang w:val="zh-CN"/>
        </w:rPr>
        <w:t>。</w:t>
      </w:r>
    </w:p>
    <w:p w14:paraId="79818659">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二、</w:t>
      </w:r>
      <w:r>
        <w:rPr>
          <w:rFonts w:hint="eastAsia" w:ascii="仿宋" w:hAnsi="仿宋" w:eastAsia="仿宋" w:cs="仿宋"/>
          <w:highlight w:val="none"/>
        </w:rPr>
        <w:t>所有联合体成员各方签署授权书，授权书载明的</w:t>
      </w:r>
      <w:r>
        <w:rPr>
          <w:rFonts w:hint="eastAsia" w:ascii="仿宋" w:hAnsi="仿宋" w:eastAsia="仿宋" w:cs="仿宋"/>
          <w:highlight w:val="none"/>
          <w:lang w:val="zh-CN"/>
        </w:rPr>
        <w:t>授权代表根据招标文件规定及投标内容而对采购人、采购代理机构所作的任何合法承诺，包括书面澄清及相应等均对联合投标各方产生约束力。</w:t>
      </w:r>
    </w:p>
    <w:p w14:paraId="6895FCF9">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三、本次联合投标中，分工如下：</w:t>
      </w:r>
    </w:p>
    <w:p w14:paraId="44A2F135">
      <w:pPr>
        <w:pageBreakBefore w:val="0"/>
        <w:kinsoku/>
        <w:overflowPunct/>
        <w:topLinePunct w:val="0"/>
        <w:bidi w:val="0"/>
        <w:snapToGrid/>
        <w:spacing w:line="400" w:lineRule="exact"/>
        <w:rPr>
          <w:rFonts w:hint="eastAsia" w:ascii="仿宋" w:hAnsi="仿宋" w:eastAsia="仿宋" w:cs="仿宋"/>
          <w:highlight w:val="none"/>
          <w:lang w:val="zh-CN"/>
        </w:rPr>
      </w:pPr>
      <w:bookmarkStart w:id="362" w:name="_Hlk101134295"/>
      <w:r>
        <w:rPr>
          <w:rFonts w:hint="eastAsia" w:ascii="仿宋" w:hAnsi="仿宋" w:eastAsia="仿宋" w:cs="仿宋"/>
          <w:highlight w:val="none"/>
        </w:rPr>
        <w:t xml:space="preserve">（联合体成员1）  </w:t>
      </w:r>
      <w:r>
        <w:rPr>
          <w:rFonts w:hint="eastAsia" w:ascii="仿宋" w:hAnsi="仿宋" w:eastAsia="仿宋" w:cs="仿宋"/>
          <w:highlight w:val="none"/>
          <w:lang w:val="zh-CN"/>
        </w:rPr>
        <w:t>承担</w:t>
      </w:r>
      <w:r>
        <w:rPr>
          <w:rFonts w:hint="eastAsia" w:ascii="仿宋" w:hAnsi="仿宋" w:eastAsia="仿宋" w:cs="仿宋"/>
          <w:highlight w:val="none"/>
        </w:rPr>
        <w:t>项目采购合同金额的      %，负责</w:t>
      </w:r>
      <w:r>
        <w:rPr>
          <w:rFonts w:hint="eastAsia" w:ascii="仿宋" w:hAnsi="仿宋" w:eastAsia="仿宋" w:cs="仿宋"/>
          <w:highlight w:val="none"/>
          <w:lang w:val="zh-CN"/>
        </w:rPr>
        <w:t>的工作和义务为：</w:t>
      </w:r>
      <w:r>
        <w:rPr>
          <w:rFonts w:hint="eastAsia" w:ascii="仿宋" w:hAnsi="仿宋" w:eastAsia="仿宋" w:cs="仿宋"/>
          <w:highlight w:val="none"/>
        </w:rPr>
        <w:t xml:space="preserve">             </w:t>
      </w:r>
      <w:r>
        <w:rPr>
          <w:rFonts w:hint="eastAsia" w:ascii="仿宋" w:hAnsi="仿宋" w:eastAsia="仿宋" w:cs="仿宋"/>
          <w:highlight w:val="none"/>
          <w:lang w:val="zh-CN"/>
        </w:rPr>
        <w:t>；</w:t>
      </w:r>
    </w:p>
    <w:p w14:paraId="000164C8">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rPr>
        <w:t xml:space="preserve">（联合体成员2）  </w:t>
      </w:r>
      <w:r>
        <w:rPr>
          <w:rFonts w:hint="eastAsia" w:ascii="仿宋" w:hAnsi="仿宋" w:eastAsia="仿宋" w:cs="仿宋"/>
          <w:highlight w:val="none"/>
          <w:lang w:val="zh-CN"/>
        </w:rPr>
        <w:t>承担</w:t>
      </w:r>
      <w:r>
        <w:rPr>
          <w:rFonts w:hint="eastAsia" w:ascii="仿宋" w:hAnsi="仿宋" w:eastAsia="仿宋" w:cs="仿宋"/>
          <w:highlight w:val="none"/>
        </w:rPr>
        <w:t>项目采购合同金额的      %，负责</w:t>
      </w:r>
      <w:r>
        <w:rPr>
          <w:rFonts w:hint="eastAsia" w:ascii="仿宋" w:hAnsi="仿宋" w:eastAsia="仿宋" w:cs="仿宋"/>
          <w:highlight w:val="none"/>
          <w:lang w:val="zh-CN"/>
        </w:rPr>
        <w:t>的工作和义务为：</w:t>
      </w:r>
      <w:r>
        <w:rPr>
          <w:rFonts w:hint="eastAsia" w:ascii="仿宋" w:hAnsi="仿宋" w:eastAsia="仿宋" w:cs="仿宋"/>
          <w:highlight w:val="none"/>
        </w:rPr>
        <w:t xml:space="preserve">             </w:t>
      </w:r>
      <w:r>
        <w:rPr>
          <w:rFonts w:hint="eastAsia" w:ascii="仿宋" w:hAnsi="仿宋" w:eastAsia="仿宋" w:cs="仿宋"/>
          <w:highlight w:val="none"/>
          <w:lang w:val="zh-CN"/>
        </w:rPr>
        <w:t>；</w:t>
      </w:r>
    </w:p>
    <w:p w14:paraId="5DF500AF">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w:t>
      </w:r>
    </w:p>
    <w:bookmarkEnd w:id="362"/>
    <w:p w14:paraId="1B67B739">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四、联合体成员中小企业合同份额。</w:t>
      </w:r>
    </w:p>
    <w:p w14:paraId="797382C7">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1.</w:t>
      </w:r>
      <w:r>
        <w:rPr>
          <w:rFonts w:hint="eastAsia" w:ascii="仿宋" w:hAnsi="仿宋" w:eastAsia="仿宋" w:cs="仿宋"/>
          <w:highlight w:val="none"/>
          <w:u w:val="single"/>
        </w:rPr>
        <w:t>（联合体成员X,……）</w:t>
      </w:r>
      <w:r>
        <w:rPr>
          <w:rFonts w:hint="eastAsia" w:ascii="仿宋" w:hAnsi="仿宋" w:eastAsia="仿宋" w:cs="仿宋"/>
          <w:highlight w:val="none"/>
        </w:rPr>
        <w:t>提供的全部货物由小微企业制造，其合同份额占到合同总金额</w:t>
      </w:r>
      <w:r>
        <w:rPr>
          <w:rFonts w:hint="eastAsia" w:ascii="仿宋" w:hAnsi="仿宋" w:eastAsia="仿宋" w:cs="仿宋"/>
          <w:highlight w:val="none"/>
          <w:u w:val="single"/>
        </w:rPr>
        <w:t xml:space="preserve">     </w:t>
      </w:r>
      <w:r>
        <w:rPr>
          <w:rFonts w:hint="eastAsia" w:ascii="仿宋" w:hAnsi="仿宋" w:eastAsia="仿宋" w:cs="仿宋"/>
          <w:highlight w:val="none"/>
        </w:rPr>
        <w:t>%以上；</w:t>
      </w:r>
      <w:r>
        <w:rPr>
          <w:rFonts w:hint="eastAsia" w:ascii="仿宋" w:hAnsi="仿宋" w:eastAsia="仿宋" w:cs="仿宋"/>
          <w:highlight w:val="none"/>
          <w:lang w:val="zh-CN"/>
        </w:rPr>
        <w:t>……。（未预留份额专门面向中小企业采购的采购项目，以及预留份额中的非预留部分采购包，接受联合体投标的，联合</w:t>
      </w:r>
      <w:r>
        <w:rPr>
          <w:rFonts w:hint="eastAsia" w:ascii="仿宋" w:hAnsi="仿宋" w:eastAsia="仿宋" w:cs="仿宋"/>
          <w:highlight w:val="none"/>
        </w:rPr>
        <w:t>体</w:t>
      </w:r>
      <w:r>
        <w:rPr>
          <w:rFonts w:hint="eastAsia" w:ascii="仿宋" w:hAnsi="仿宋" w:eastAsia="仿宋" w:cs="仿宋"/>
          <w:highlight w:val="none"/>
          <w:lang w:val="zh-CN"/>
        </w:rPr>
        <w:t>协议</w:t>
      </w:r>
      <w:r>
        <w:rPr>
          <w:rFonts w:hint="eastAsia" w:ascii="仿宋" w:hAnsi="仿宋" w:eastAsia="仿宋" w:cs="仿宋"/>
          <w:highlight w:val="none"/>
        </w:rPr>
        <w:t>书</w:t>
      </w:r>
      <w:r>
        <w:rPr>
          <w:rFonts w:hint="eastAsia" w:ascii="仿宋" w:hAnsi="仿宋" w:eastAsia="仿宋" w:cs="仿宋"/>
          <w:highlight w:val="none"/>
          <w:lang w:val="zh-CN"/>
        </w:rPr>
        <w:t>约定小微企业的合同份额占到合同总金额30%以上的，对联合体报价按评标标准确定的比例给予扣除。供应商</w:t>
      </w:r>
      <w:r>
        <w:rPr>
          <w:rFonts w:hint="eastAsia" w:ascii="仿宋" w:hAnsi="仿宋" w:eastAsia="仿宋" w:cs="仿宋"/>
          <w:highlight w:val="none"/>
        </w:rPr>
        <w:t>拟享受以上价格扣除政策的，填写有关内容。</w:t>
      </w:r>
      <w:r>
        <w:rPr>
          <w:rFonts w:hint="eastAsia" w:ascii="仿宋" w:hAnsi="仿宋" w:eastAsia="仿宋" w:cs="仿宋"/>
          <w:highlight w:val="none"/>
          <w:lang w:val="zh-CN"/>
        </w:rPr>
        <w:t>）</w:t>
      </w:r>
    </w:p>
    <w:p w14:paraId="5402D62B">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highlight w:val="none"/>
        </w:rPr>
        <w:t>2.中小企业合同金额达到</w:t>
      </w:r>
      <w:r>
        <w:rPr>
          <w:rFonts w:hint="eastAsia" w:ascii="仿宋" w:hAnsi="仿宋" w:eastAsia="仿宋" w:cs="仿宋"/>
          <w:highlight w:val="none"/>
          <w:u w:val="single"/>
        </w:rPr>
        <w:t xml:space="preserve">    </w:t>
      </w:r>
      <w:r>
        <w:rPr>
          <w:rFonts w:hint="eastAsia" w:ascii="仿宋" w:hAnsi="仿宋" w:eastAsia="仿宋" w:cs="仿宋"/>
          <w:highlight w:val="none"/>
        </w:rPr>
        <w:t>%，其中小微企业合同金额达到</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kern w:val="0"/>
          <w:highlight w:val="none"/>
          <w:lang w:val="zh-CN"/>
        </w:rPr>
        <w:t>。（</w:t>
      </w:r>
      <w:r>
        <w:rPr>
          <w:rFonts w:hint="eastAsia" w:ascii="仿宋" w:hAnsi="仿宋" w:eastAsia="仿宋" w:cs="仿宋"/>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ascii="仿宋" w:hAnsi="仿宋" w:eastAsia="仿宋" w:cs="仿宋"/>
          <w:kern w:val="0"/>
          <w:highlight w:val="none"/>
          <w:lang w:val="zh-CN"/>
        </w:rPr>
        <w:t>）</w:t>
      </w:r>
    </w:p>
    <w:p w14:paraId="5EBE0546">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kern w:val="0"/>
          <w:highlight w:val="none"/>
          <w:lang w:val="zh-CN"/>
        </w:rPr>
        <w:t>五、如果中标，</w:t>
      </w:r>
      <w:r>
        <w:rPr>
          <w:rFonts w:hint="eastAsia" w:ascii="仿宋" w:hAnsi="仿宋" w:eastAsia="仿宋" w:cs="仿宋"/>
          <w:highlight w:val="none"/>
        </w:rPr>
        <w:t>联合体各成员方共同与采购人签订采购合同，并就采购合同约定的事项对采购人承担连带责任。</w:t>
      </w:r>
    </w:p>
    <w:p w14:paraId="42335B5A">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六、有关本次联合投标的其他事宜：</w:t>
      </w:r>
    </w:p>
    <w:p w14:paraId="5C1AAEA3">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1.联合体各方不再单独参加或者与其他供应商另外组成联合体参加同一合同项下的政府采购活动。</w:t>
      </w:r>
    </w:p>
    <w:p w14:paraId="51A211E6">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2.联合体中有同类资质的各方按照联合体分工承担相同工作的，按照资质等级较低的供应商确定资质等级。</w:t>
      </w:r>
    </w:p>
    <w:p w14:paraId="2BB88BDD">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3.本协议提交采购人、采购代理机构后，联合体各方不得以任何形式对上述内容进行修改或撤销。</w:t>
      </w:r>
    </w:p>
    <w:p w14:paraId="0F020917">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rPr>
        <w:t>4.</w:t>
      </w:r>
      <w:r>
        <w:rPr>
          <w:rFonts w:hint="eastAsia" w:ascii="仿宋" w:hAnsi="仿宋" w:eastAsia="仿宋" w:cs="仿宋"/>
          <w:highlight w:val="none"/>
          <w:lang w:val="zh-CN"/>
        </w:rPr>
        <w:t>其他：……</w:t>
      </w:r>
    </w:p>
    <w:p w14:paraId="1FC3FE79">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rPr>
        <w:t>5.</w:t>
      </w:r>
      <w:r>
        <w:rPr>
          <w:rFonts w:hint="eastAsia" w:ascii="仿宋" w:hAnsi="仿宋" w:eastAsia="仿宋" w:cs="仿宋"/>
          <w:highlight w:val="none"/>
          <w:lang w:val="zh-CN"/>
        </w:rPr>
        <w:t>本协议书自签署之日起生效，若未中标，自本次投标有效期结束后自行失效；若中标，自合同书规定的期限之后自行失效。</w:t>
      </w:r>
    </w:p>
    <w:p w14:paraId="55F27BBC">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rPr>
        <w:t>6.</w:t>
      </w:r>
      <w:r>
        <w:rPr>
          <w:rFonts w:hint="eastAsia" w:ascii="仿宋" w:hAnsi="仿宋" w:eastAsia="仿宋" w:cs="仿宋"/>
          <w:highlight w:val="none"/>
          <w:lang w:val="zh-CN"/>
        </w:rPr>
        <w:t>本协议书正本一式</w:t>
      </w:r>
      <w:r>
        <w:rPr>
          <w:rFonts w:hint="eastAsia" w:ascii="仿宋" w:hAnsi="仿宋" w:eastAsia="仿宋" w:cs="仿宋"/>
          <w:highlight w:val="none"/>
          <w:u w:val="single"/>
          <w:lang w:val="zh-CN"/>
        </w:rPr>
        <w:t xml:space="preserve">    </w:t>
      </w:r>
      <w:r>
        <w:rPr>
          <w:rFonts w:hint="eastAsia" w:ascii="仿宋" w:hAnsi="仿宋" w:eastAsia="仿宋" w:cs="仿宋"/>
          <w:highlight w:val="none"/>
          <w:lang w:val="zh-CN"/>
        </w:rPr>
        <w:t>份，联合体成员各执</w:t>
      </w:r>
      <w:r>
        <w:rPr>
          <w:rFonts w:hint="eastAsia" w:ascii="仿宋" w:hAnsi="仿宋" w:eastAsia="仿宋" w:cs="仿宋"/>
          <w:highlight w:val="none"/>
          <w:u w:val="single"/>
          <w:lang w:val="zh-CN"/>
        </w:rPr>
        <w:t xml:space="preserve">    </w:t>
      </w:r>
      <w:r>
        <w:rPr>
          <w:rFonts w:hint="eastAsia" w:ascii="仿宋" w:hAnsi="仿宋" w:eastAsia="仿宋" w:cs="仿宋"/>
          <w:highlight w:val="none"/>
          <w:lang w:val="zh-CN"/>
        </w:rPr>
        <w:t>份；副本一式</w:t>
      </w:r>
      <w:r>
        <w:rPr>
          <w:rFonts w:hint="eastAsia" w:ascii="仿宋" w:hAnsi="仿宋" w:eastAsia="仿宋" w:cs="仿宋"/>
          <w:highlight w:val="none"/>
          <w:u w:val="single"/>
          <w:lang w:val="zh-CN"/>
        </w:rPr>
        <w:t xml:space="preserve">    </w:t>
      </w:r>
      <w:r>
        <w:rPr>
          <w:rFonts w:hint="eastAsia" w:ascii="仿宋" w:hAnsi="仿宋" w:eastAsia="仿宋" w:cs="仿宋"/>
          <w:highlight w:val="none"/>
          <w:lang w:val="zh-CN"/>
        </w:rPr>
        <w:t>份，联合体成员各执</w:t>
      </w:r>
      <w:r>
        <w:rPr>
          <w:rFonts w:hint="eastAsia" w:ascii="仿宋" w:hAnsi="仿宋" w:eastAsia="仿宋" w:cs="仿宋"/>
          <w:highlight w:val="none"/>
          <w:u w:val="single"/>
          <w:lang w:val="zh-CN"/>
        </w:rPr>
        <w:t xml:space="preserve">     </w:t>
      </w:r>
      <w:r>
        <w:rPr>
          <w:rFonts w:hint="eastAsia" w:ascii="仿宋" w:hAnsi="仿宋" w:eastAsia="仿宋" w:cs="仿宋"/>
          <w:highlight w:val="none"/>
          <w:lang w:val="zh-CN"/>
        </w:rPr>
        <w:t>份。</w:t>
      </w:r>
    </w:p>
    <w:p w14:paraId="48413953">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联合体成员</w:t>
      </w:r>
      <w:r>
        <w:rPr>
          <w:rFonts w:hint="eastAsia" w:ascii="仿宋" w:hAnsi="仿宋" w:eastAsia="仿宋" w:cs="仿宋"/>
          <w:highlight w:val="none"/>
        </w:rPr>
        <w:t>1</w:t>
      </w:r>
      <w:r>
        <w:rPr>
          <w:rFonts w:hint="eastAsia" w:ascii="仿宋" w:hAnsi="仿宋" w:eastAsia="仿宋" w:cs="仿宋"/>
          <w:highlight w:val="none"/>
          <w:lang w:val="zh-CN"/>
        </w:rPr>
        <w:t>名称</w:t>
      </w:r>
      <w:r>
        <w:rPr>
          <w:rFonts w:hint="eastAsia" w:ascii="仿宋" w:hAnsi="仿宋" w:eastAsia="仿宋" w:cs="仿宋"/>
          <w:szCs w:val="24"/>
          <w:highlight w:val="none"/>
        </w:rPr>
        <w:t>（公章）</w:t>
      </w:r>
      <w:r>
        <w:rPr>
          <w:rFonts w:hint="eastAsia" w:ascii="仿宋" w:hAnsi="仿宋" w:eastAsia="仿宋" w:cs="仿宋"/>
          <w:highlight w:val="none"/>
          <w:lang w:val="zh-CN"/>
        </w:rPr>
        <w:t>：</w:t>
      </w:r>
    </w:p>
    <w:p w14:paraId="41E4E234">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联合体成员</w:t>
      </w:r>
      <w:r>
        <w:rPr>
          <w:rFonts w:hint="eastAsia" w:ascii="仿宋" w:hAnsi="仿宋" w:eastAsia="仿宋" w:cs="仿宋"/>
          <w:highlight w:val="none"/>
        </w:rPr>
        <w:t>2</w:t>
      </w:r>
      <w:r>
        <w:rPr>
          <w:rFonts w:hint="eastAsia" w:ascii="仿宋" w:hAnsi="仿宋" w:eastAsia="仿宋" w:cs="仿宋"/>
          <w:highlight w:val="none"/>
          <w:lang w:val="zh-CN"/>
        </w:rPr>
        <w:t>名称</w:t>
      </w:r>
      <w:r>
        <w:rPr>
          <w:rFonts w:hint="eastAsia" w:ascii="仿宋" w:hAnsi="仿宋" w:eastAsia="仿宋" w:cs="仿宋"/>
          <w:szCs w:val="24"/>
          <w:highlight w:val="none"/>
        </w:rPr>
        <w:t>（公章）</w:t>
      </w:r>
      <w:r>
        <w:rPr>
          <w:rFonts w:hint="eastAsia" w:ascii="仿宋" w:hAnsi="仿宋" w:eastAsia="仿宋" w:cs="仿宋"/>
          <w:highlight w:val="none"/>
          <w:lang w:val="zh-CN"/>
        </w:rPr>
        <w:t>：</w:t>
      </w:r>
    </w:p>
    <w:p w14:paraId="025A4426">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 xml:space="preserve">                   ……</w:t>
      </w:r>
    </w:p>
    <w:p w14:paraId="45FB0635">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日期：  年  月   日</w:t>
      </w:r>
    </w:p>
    <w:p w14:paraId="2A8D788A">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注：按本格式和要求提供。</w:t>
      </w:r>
    </w:p>
    <w:p w14:paraId="01878D4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1667F285">
      <w:pPr>
        <w:pStyle w:val="3"/>
        <w:pageBreakBefore w:val="0"/>
        <w:kinsoku/>
        <w:overflowPunct/>
        <w:topLinePunct w:val="0"/>
        <w:bidi w:val="0"/>
        <w:snapToGrid/>
        <w:spacing w:line="400" w:lineRule="exact"/>
        <w:rPr>
          <w:rFonts w:hint="eastAsia" w:ascii="仿宋" w:hAnsi="仿宋" w:eastAsia="仿宋" w:cs="仿宋"/>
          <w:highlight w:val="none"/>
          <w:lang w:val="zh-CN"/>
        </w:rPr>
      </w:pPr>
      <w:bookmarkStart w:id="363" w:name="_Toc162299566"/>
      <w:bookmarkStart w:id="364" w:name="_Toc22249"/>
      <w:bookmarkStart w:id="365" w:name="_Toc156490356"/>
      <w:bookmarkStart w:id="366" w:name="_Toc163492925"/>
      <w:r>
        <w:rPr>
          <w:rFonts w:hint="eastAsia" w:ascii="仿宋" w:hAnsi="仿宋" w:eastAsia="仿宋" w:cs="仿宋"/>
          <w:highlight w:val="none"/>
        </w:rPr>
        <w:t>三、</w:t>
      </w:r>
      <w:r>
        <w:rPr>
          <w:rFonts w:hint="eastAsia" w:ascii="仿宋" w:hAnsi="仿宋" w:eastAsia="仿宋" w:cs="仿宋"/>
          <w:highlight w:val="none"/>
          <w:lang w:val="zh-CN"/>
        </w:rPr>
        <w:t>分包意向协议书【</w:t>
      </w:r>
      <w:r>
        <w:rPr>
          <w:rFonts w:hint="eastAsia" w:ascii="仿宋" w:hAnsi="仿宋" w:eastAsia="仿宋" w:cs="仿宋"/>
          <w:highlight w:val="none"/>
        </w:rPr>
        <w:t>不适用可不提供</w:t>
      </w:r>
      <w:r>
        <w:rPr>
          <w:rFonts w:hint="eastAsia" w:ascii="仿宋" w:hAnsi="仿宋" w:eastAsia="仿宋" w:cs="仿宋"/>
          <w:highlight w:val="none"/>
          <w:lang w:val="zh-CN"/>
        </w:rPr>
        <w:t>】</w:t>
      </w:r>
      <w:bookmarkEnd w:id="363"/>
      <w:bookmarkEnd w:id="364"/>
      <w:bookmarkEnd w:id="365"/>
      <w:bookmarkEnd w:id="366"/>
    </w:p>
    <w:p w14:paraId="50715EA0">
      <w:pPr>
        <w:pageBreakBefore w:val="0"/>
        <w:kinsoku/>
        <w:overflowPunct/>
        <w:topLinePunct w:val="0"/>
        <w:bidi w:val="0"/>
        <w:snapToGrid/>
        <w:spacing w:line="400" w:lineRule="exact"/>
        <w:rPr>
          <w:rFonts w:hint="eastAsia" w:ascii="仿宋" w:hAnsi="仿宋" w:eastAsia="仿宋" w:cs="仿宋"/>
          <w:highlight w:val="none"/>
        </w:rPr>
      </w:pPr>
      <w:bookmarkStart w:id="367" w:name="_Toc1771"/>
      <w:bookmarkStart w:id="368" w:name="_Hlk101169080"/>
      <w:r>
        <w:rPr>
          <w:rFonts w:hint="eastAsia" w:ascii="仿宋" w:hAnsi="仿宋" w:eastAsia="仿宋" w:cs="仿宋"/>
          <w:highlight w:val="none"/>
        </w:rPr>
        <w:t>分包意向协议书</w:t>
      </w:r>
      <w:bookmarkEnd w:id="367"/>
    </w:p>
    <w:p w14:paraId="0B5A7EE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【中标后以分包方式履行合同的，提供分包意向协议书；采购人不同意分包或者投标人中标后不以分包方式履行合同的，则不需要提供。】</w:t>
      </w:r>
    </w:p>
    <w:p w14:paraId="73534AA4">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u w:val="single"/>
        </w:rPr>
        <w:t>（投标人名称）</w:t>
      </w:r>
      <w:r>
        <w:rPr>
          <w:rFonts w:hint="eastAsia" w:ascii="仿宋" w:hAnsi="仿宋" w:eastAsia="仿宋" w:cs="仿宋"/>
          <w:highlight w:val="none"/>
          <w:lang w:val="zh-CN"/>
        </w:rPr>
        <w:t>若成为</w:t>
      </w:r>
      <w:r>
        <w:rPr>
          <w:rFonts w:hint="eastAsia" w:ascii="仿宋" w:hAnsi="仿宋" w:eastAsia="仿宋" w:cs="仿宋"/>
          <w:highlight w:val="none"/>
        </w:rPr>
        <w:t>（项目名称）【项目编号/包号：  】</w:t>
      </w:r>
      <w:r>
        <w:rPr>
          <w:rFonts w:hint="eastAsia" w:ascii="仿宋" w:hAnsi="仿宋" w:eastAsia="仿宋" w:cs="仿宋"/>
          <w:highlight w:val="none"/>
          <w:lang w:val="zh-CN"/>
        </w:rPr>
        <w:t>的中标供应商，将依法采取分包方式履行合同。</w:t>
      </w:r>
      <w:r>
        <w:rPr>
          <w:rFonts w:hint="eastAsia" w:ascii="仿宋" w:hAnsi="仿宋" w:eastAsia="仿宋" w:cs="仿宋"/>
          <w:highlight w:val="none"/>
          <w:u w:val="single"/>
        </w:rPr>
        <w:t>（投标人名称）</w:t>
      </w:r>
      <w:r>
        <w:rPr>
          <w:rFonts w:hint="eastAsia" w:ascii="仿宋" w:hAnsi="仿宋" w:eastAsia="仿宋" w:cs="仿宋"/>
          <w:highlight w:val="none"/>
        </w:rPr>
        <w:t>与</w:t>
      </w:r>
      <w:r>
        <w:rPr>
          <w:rFonts w:hint="eastAsia" w:ascii="仿宋" w:hAnsi="仿宋" w:eastAsia="仿宋" w:cs="仿宋"/>
          <w:highlight w:val="none"/>
          <w:u w:val="single"/>
        </w:rPr>
        <w:t>（所有分包供应商名称）</w:t>
      </w:r>
      <w:r>
        <w:rPr>
          <w:rFonts w:hint="eastAsia" w:ascii="仿宋" w:hAnsi="仿宋" w:eastAsia="仿宋" w:cs="仿宋"/>
          <w:highlight w:val="none"/>
        </w:rPr>
        <w:t>达成分包意向协议书</w:t>
      </w:r>
      <w:r>
        <w:rPr>
          <w:rFonts w:hint="eastAsia" w:ascii="仿宋" w:hAnsi="仿宋" w:eastAsia="仿宋" w:cs="仿宋"/>
          <w:highlight w:val="none"/>
          <w:lang w:val="zh-CN"/>
        </w:rPr>
        <w:t xml:space="preserve">。 </w:t>
      </w:r>
    </w:p>
    <w:p w14:paraId="0A45F8C1">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一、分包标的及数量</w:t>
      </w:r>
    </w:p>
    <w:p w14:paraId="3E70D7E4">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rPr>
        <w:t>（投标人名称）</w:t>
      </w:r>
      <w:r>
        <w:rPr>
          <w:rFonts w:hint="eastAsia" w:ascii="仿宋" w:hAnsi="仿宋" w:eastAsia="仿宋" w:cs="仿宋"/>
          <w:highlight w:val="none"/>
          <w:lang w:val="zh-CN"/>
        </w:rPr>
        <w:t>将</w:t>
      </w:r>
      <w:r>
        <w:rPr>
          <w:rFonts w:hint="eastAsia" w:ascii="仿宋" w:hAnsi="仿宋" w:eastAsia="仿宋" w:cs="仿宋"/>
          <w:highlight w:val="none"/>
        </w:rPr>
        <w:t xml:space="preserve">   XX工作内容   分包给（分包供应商1名称）</w:t>
      </w:r>
      <w:r>
        <w:rPr>
          <w:rFonts w:hint="eastAsia" w:ascii="仿宋" w:hAnsi="仿宋" w:eastAsia="仿宋" w:cs="仿宋"/>
          <w:highlight w:val="none"/>
          <w:lang w:val="zh-CN"/>
        </w:rPr>
        <w:t>，</w:t>
      </w:r>
      <w:r>
        <w:rPr>
          <w:rFonts w:hint="eastAsia" w:ascii="仿宋" w:hAnsi="仿宋" w:eastAsia="仿宋" w:cs="仿宋"/>
          <w:highlight w:val="none"/>
        </w:rPr>
        <w:t>（分包供应商1名称），</w:t>
      </w:r>
      <w:r>
        <w:rPr>
          <w:rFonts w:hint="eastAsia" w:ascii="仿宋" w:hAnsi="仿宋" w:eastAsia="仿宋" w:cs="仿宋"/>
          <w:highlight w:val="none"/>
          <w:lang w:val="zh-CN"/>
        </w:rPr>
        <w:t>具备承</w:t>
      </w:r>
      <w:r>
        <w:rPr>
          <w:rFonts w:hint="eastAsia" w:ascii="仿宋" w:hAnsi="仿宋" w:eastAsia="仿宋" w:cs="仿宋"/>
          <w:highlight w:val="none"/>
        </w:rPr>
        <w:t>担</w:t>
      </w:r>
      <w:r>
        <w:rPr>
          <w:rFonts w:hint="eastAsia" w:ascii="仿宋" w:hAnsi="仿宋" w:eastAsia="仿宋" w:cs="仿宋"/>
          <w:highlight w:val="none"/>
          <w:lang w:val="zh-CN"/>
        </w:rPr>
        <w:t>XX工作内容相应资质条件且不得再次分包；</w:t>
      </w:r>
    </w:p>
    <w:p w14:paraId="591FC5F5">
      <w:pPr>
        <w:pageBreakBefore w:val="0"/>
        <w:kinsoku/>
        <w:overflowPunct/>
        <w:topLinePunct w:val="0"/>
        <w:bidi w:val="0"/>
        <w:snapToGrid/>
        <w:spacing w:line="400" w:lineRule="exact"/>
        <w:rPr>
          <w:rFonts w:hint="eastAsia" w:ascii="仿宋" w:hAnsi="仿宋" w:eastAsia="仿宋" w:cs="仿宋"/>
          <w:highlight w:val="none"/>
          <w:lang w:val="zh-CN"/>
        </w:rPr>
      </w:pPr>
      <w:bookmarkStart w:id="369" w:name="_Toc29506"/>
      <w:bookmarkStart w:id="370" w:name="_Toc23351"/>
      <w:bookmarkStart w:id="371" w:name="_Toc8522"/>
      <w:bookmarkStart w:id="372" w:name="_Toc22084"/>
      <w:r>
        <w:rPr>
          <w:rFonts w:hint="eastAsia" w:ascii="仿宋" w:hAnsi="仿宋" w:eastAsia="仿宋" w:cs="仿宋"/>
          <w:highlight w:val="none"/>
          <w:lang w:val="zh-CN"/>
        </w:rPr>
        <w:t>……</w:t>
      </w:r>
      <w:bookmarkEnd w:id="369"/>
      <w:bookmarkEnd w:id="370"/>
      <w:bookmarkEnd w:id="371"/>
      <w:bookmarkEnd w:id="372"/>
    </w:p>
    <w:p w14:paraId="207ADDD7">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二、分包供应商中小企业合同份额</w:t>
      </w:r>
    </w:p>
    <w:p w14:paraId="1276AE80">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rPr>
        <w:t>1.</w:t>
      </w:r>
      <w:r>
        <w:rPr>
          <w:rFonts w:hint="eastAsia" w:ascii="仿宋" w:hAnsi="仿宋" w:eastAsia="仿宋" w:cs="仿宋"/>
          <w:highlight w:val="none"/>
          <w:u w:val="single"/>
        </w:rPr>
        <w:t>（分包供应商X,……）提供的货物全部由小微企业制造，</w:t>
      </w:r>
      <w:r>
        <w:rPr>
          <w:rFonts w:hint="eastAsia" w:ascii="仿宋" w:hAnsi="仿宋" w:eastAsia="仿宋" w:cs="仿宋"/>
          <w:highlight w:val="none"/>
        </w:rPr>
        <w:t>其合同份额占到合同总金额</w:t>
      </w:r>
      <w:r>
        <w:rPr>
          <w:rFonts w:hint="eastAsia" w:ascii="仿宋" w:hAnsi="仿宋" w:eastAsia="仿宋" w:cs="仿宋"/>
          <w:highlight w:val="none"/>
          <w:u w:val="single"/>
        </w:rPr>
        <w:t xml:space="preserve">     </w:t>
      </w:r>
      <w:r>
        <w:rPr>
          <w:rFonts w:hint="eastAsia" w:ascii="仿宋" w:hAnsi="仿宋" w:eastAsia="仿宋" w:cs="仿宋"/>
          <w:highlight w:val="none"/>
        </w:rPr>
        <w:t>%以上。</w:t>
      </w:r>
      <w:r>
        <w:rPr>
          <w:rFonts w:hint="eastAsia" w:ascii="仿宋" w:hAnsi="仿宋" w:eastAsia="仿宋" w:cs="仿宋"/>
          <w:highlight w:val="none"/>
          <w:lang w:val="zh-CN"/>
        </w:rPr>
        <w:t>（未预留份额专门面向中小企业采购的采购项目，以及预留份额中的非预留部分采购包，允许分包的，分包意向协议</w:t>
      </w:r>
      <w:r>
        <w:rPr>
          <w:rFonts w:hint="eastAsia" w:ascii="仿宋" w:hAnsi="仿宋" w:eastAsia="仿宋" w:cs="仿宋"/>
          <w:highlight w:val="none"/>
        </w:rPr>
        <w:t>书</w:t>
      </w:r>
      <w:r>
        <w:rPr>
          <w:rFonts w:hint="eastAsia" w:ascii="仿宋" w:hAnsi="仿宋" w:eastAsia="仿宋" w:cs="仿宋"/>
          <w:highlight w:val="none"/>
          <w:lang w:val="zh-CN"/>
        </w:rPr>
        <w:t>约定小微企业的合同份额占到合同总金额30%以上的，对大中型企业的报价按评标标准确定的比例给予扣除。供应商</w:t>
      </w:r>
      <w:r>
        <w:rPr>
          <w:rFonts w:hint="eastAsia" w:ascii="仿宋" w:hAnsi="仿宋" w:eastAsia="仿宋" w:cs="仿宋"/>
          <w:highlight w:val="none"/>
        </w:rPr>
        <w:t>拟享受以上价格扣除政策的，填写有关内容。</w:t>
      </w:r>
      <w:r>
        <w:rPr>
          <w:rFonts w:hint="eastAsia" w:ascii="仿宋" w:hAnsi="仿宋" w:eastAsia="仿宋" w:cs="仿宋"/>
          <w:highlight w:val="none"/>
          <w:lang w:val="zh-CN"/>
        </w:rPr>
        <w:t>）</w:t>
      </w:r>
    </w:p>
    <w:p w14:paraId="1DE751E6">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highlight w:val="none"/>
        </w:rPr>
        <w:t>2.</w:t>
      </w:r>
      <w:bookmarkStart w:id="373" w:name="_Hlk101133173"/>
      <w:r>
        <w:rPr>
          <w:rFonts w:hint="eastAsia" w:ascii="仿宋" w:hAnsi="仿宋" w:eastAsia="仿宋" w:cs="仿宋"/>
          <w:highlight w:val="none"/>
        </w:rPr>
        <w:t>中小企业合同金额达到</w:t>
      </w:r>
      <w:r>
        <w:rPr>
          <w:rFonts w:hint="eastAsia" w:ascii="仿宋" w:hAnsi="仿宋" w:eastAsia="仿宋" w:cs="仿宋"/>
          <w:highlight w:val="none"/>
          <w:u w:val="single"/>
        </w:rPr>
        <w:t xml:space="preserve">  </w:t>
      </w:r>
      <w:r>
        <w:rPr>
          <w:rFonts w:hint="eastAsia" w:ascii="仿宋" w:hAnsi="仿宋" w:eastAsia="仿宋" w:cs="仿宋"/>
          <w:highlight w:val="none"/>
        </w:rPr>
        <w:t>%，其中小微企业合同金额达到</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kern w:val="0"/>
          <w:highlight w:val="none"/>
          <w:lang w:val="zh-CN"/>
        </w:rPr>
        <w:t>。（</w:t>
      </w:r>
      <w:r>
        <w:rPr>
          <w:rFonts w:hint="eastAsia" w:ascii="仿宋" w:hAnsi="仿宋" w:eastAsia="仿宋" w:cs="仿宋"/>
          <w:highlight w:val="none"/>
        </w:rPr>
        <w:t>要求合同分包形式参加的项目或采购包，供应商按招标文件第一部分招标公告申请人的资格要求中规定的</w:t>
      </w:r>
      <w:r>
        <w:rPr>
          <w:rFonts w:hint="eastAsia" w:ascii="仿宋" w:hAnsi="仿宋" w:eastAsia="仿宋" w:cs="仿宋"/>
          <w:kern w:val="0"/>
          <w:highlight w:val="none"/>
          <w:lang w:val="zh-CN"/>
        </w:rPr>
        <w:t>分包意向协议</w:t>
      </w:r>
      <w:r>
        <w:rPr>
          <w:rFonts w:hint="eastAsia" w:ascii="仿宋" w:hAnsi="仿宋" w:eastAsia="仿宋" w:cs="仿宋"/>
          <w:kern w:val="0"/>
          <w:highlight w:val="none"/>
        </w:rPr>
        <w:t>书</w:t>
      </w:r>
      <w:r>
        <w:rPr>
          <w:rFonts w:hint="eastAsia" w:ascii="仿宋" w:hAnsi="仿宋" w:eastAsia="仿宋" w:cs="仿宋"/>
          <w:highlight w:val="none"/>
        </w:rPr>
        <w:t>中中小企业、小微企业合同金额应当达到的比例要求填写。</w:t>
      </w:r>
      <w:r>
        <w:rPr>
          <w:rFonts w:hint="eastAsia" w:ascii="仿宋" w:hAnsi="仿宋" w:eastAsia="仿宋" w:cs="仿宋"/>
          <w:kern w:val="0"/>
          <w:highlight w:val="none"/>
          <w:lang w:val="zh-CN"/>
        </w:rPr>
        <w:t>）</w:t>
      </w:r>
      <w:bookmarkEnd w:id="373"/>
    </w:p>
    <w:p w14:paraId="6F8CFA19">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三、分包工作履行期限、地点、方式</w:t>
      </w:r>
    </w:p>
    <w:p w14:paraId="03E0C47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                                                                                  </w:t>
      </w:r>
    </w:p>
    <w:p w14:paraId="682F1EF3">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四、质量</w:t>
      </w:r>
    </w:p>
    <w:p w14:paraId="1B34FE66">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highlight w:val="none"/>
        </w:rPr>
        <w:t xml:space="preserve">                                                                                       </w:t>
      </w:r>
    </w:p>
    <w:p w14:paraId="37351CF5">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五、价款或者报酬</w:t>
      </w:r>
    </w:p>
    <w:p w14:paraId="340457AE">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highlight w:val="none"/>
        </w:rPr>
        <w:t xml:space="preserve">                                                                                     </w:t>
      </w:r>
    </w:p>
    <w:p w14:paraId="4AE9C23D">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六、违约责任</w:t>
      </w:r>
    </w:p>
    <w:p w14:paraId="4830B75A">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highlight w:val="none"/>
        </w:rPr>
        <w:t xml:space="preserve">                                                                                     </w:t>
      </w:r>
    </w:p>
    <w:p w14:paraId="31326F3F">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七、争议解决的办法</w:t>
      </w:r>
    </w:p>
    <w:p w14:paraId="24399D1F">
      <w:pPr>
        <w:pageBreakBefore w:val="0"/>
        <w:kinsoku/>
        <w:overflowPunct/>
        <w:topLinePunct w:val="0"/>
        <w:bidi w:val="0"/>
        <w:snapToGrid/>
        <w:spacing w:line="400" w:lineRule="exact"/>
        <w:rPr>
          <w:rFonts w:hint="eastAsia" w:ascii="仿宋" w:hAnsi="仿宋" w:eastAsia="仿宋" w:cs="仿宋"/>
          <w:kern w:val="0"/>
          <w:highlight w:val="none"/>
          <w:lang w:val="zh-CN"/>
        </w:rPr>
      </w:pPr>
      <w:r>
        <w:rPr>
          <w:rFonts w:hint="eastAsia" w:ascii="仿宋" w:hAnsi="仿宋" w:eastAsia="仿宋" w:cs="仿宋"/>
          <w:highlight w:val="none"/>
        </w:rPr>
        <w:t xml:space="preserve">                                                                                  </w:t>
      </w:r>
    </w:p>
    <w:p w14:paraId="4CAB3CAF">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 xml:space="preserve">                                          投标人名称</w:t>
      </w:r>
      <w:r>
        <w:rPr>
          <w:rFonts w:hint="eastAsia" w:ascii="仿宋" w:hAnsi="仿宋" w:eastAsia="仿宋" w:cs="仿宋"/>
          <w:szCs w:val="24"/>
          <w:highlight w:val="none"/>
        </w:rPr>
        <w:t>（公章）</w:t>
      </w:r>
      <w:r>
        <w:rPr>
          <w:rFonts w:hint="eastAsia" w:ascii="仿宋" w:hAnsi="仿宋" w:eastAsia="仿宋" w:cs="仿宋"/>
          <w:highlight w:val="none"/>
          <w:lang w:val="zh-CN"/>
        </w:rPr>
        <w:t>：</w:t>
      </w:r>
    </w:p>
    <w:p w14:paraId="7E7D857A">
      <w:pPr>
        <w:pageBreakBefore w:val="0"/>
        <w:kinsoku/>
        <w:overflowPunct/>
        <w:topLinePunct w:val="0"/>
        <w:bidi w:val="0"/>
        <w:snapToGrid/>
        <w:spacing w:line="400" w:lineRule="exact"/>
        <w:ind w:firstLine="5040" w:firstLineChars="2100"/>
        <w:rPr>
          <w:rFonts w:hint="eastAsia" w:ascii="仿宋" w:hAnsi="仿宋" w:eastAsia="仿宋" w:cs="仿宋"/>
          <w:highlight w:val="none"/>
          <w:lang w:val="zh-CN"/>
        </w:rPr>
      </w:pPr>
      <w:r>
        <w:rPr>
          <w:rFonts w:hint="eastAsia" w:ascii="仿宋" w:hAnsi="仿宋" w:eastAsia="仿宋" w:cs="仿宋"/>
          <w:highlight w:val="none"/>
          <w:lang w:val="zh-CN"/>
        </w:rPr>
        <w:t>分包供应商名称</w:t>
      </w:r>
      <w:r>
        <w:rPr>
          <w:rFonts w:hint="eastAsia" w:ascii="仿宋" w:hAnsi="仿宋" w:eastAsia="仿宋" w:cs="仿宋"/>
          <w:szCs w:val="24"/>
          <w:highlight w:val="none"/>
        </w:rPr>
        <w:t>（公章）</w:t>
      </w:r>
      <w:r>
        <w:rPr>
          <w:rFonts w:hint="eastAsia" w:ascii="仿宋" w:hAnsi="仿宋" w:eastAsia="仿宋" w:cs="仿宋"/>
          <w:highlight w:val="none"/>
          <w:lang w:val="zh-CN"/>
        </w:rPr>
        <w:t>：</w:t>
      </w:r>
    </w:p>
    <w:p w14:paraId="55A5A040">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lang w:val="zh-CN"/>
        </w:rPr>
        <w:t xml:space="preserve"> 日期：  年  月   日</w:t>
      </w:r>
    </w:p>
    <w:p w14:paraId="71AE535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注：按本格式和要求提供。</w:t>
      </w:r>
    </w:p>
    <w:p w14:paraId="4023246A">
      <w:pPr>
        <w:pageBreakBefore w:val="0"/>
        <w:kinsoku/>
        <w:overflowPunct/>
        <w:topLinePunct w:val="0"/>
        <w:bidi w:val="0"/>
        <w:snapToGrid/>
        <w:spacing w:line="400" w:lineRule="exact"/>
        <w:rPr>
          <w:rFonts w:hint="eastAsia" w:ascii="仿宋" w:hAnsi="仿宋" w:eastAsia="仿宋" w:cs="仿宋"/>
          <w:highlight w:val="none"/>
        </w:rPr>
      </w:pPr>
    </w:p>
    <w:p w14:paraId="3A8A09F4">
      <w:pPr>
        <w:pageBreakBefore w:val="0"/>
        <w:kinsoku/>
        <w:overflowPunct/>
        <w:topLinePunct w:val="0"/>
        <w:bidi w:val="0"/>
        <w:snapToGrid/>
        <w:spacing w:line="400" w:lineRule="exact"/>
        <w:rPr>
          <w:rFonts w:hint="eastAsia" w:ascii="仿宋" w:hAnsi="仿宋" w:eastAsia="仿宋" w:cs="仿宋"/>
          <w:highlight w:val="none"/>
        </w:rPr>
      </w:pPr>
    </w:p>
    <w:bookmarkEnd w:id="368"/>
    <w:p w14:paraId="2EBBD0FF">
      <w:pPr>
        <w:pStyle w:val="3"/>
        <w:pageBreakBefore w:val="0"/>
        <w:kinsoku/>
        <w:overflowPunct/>
        <w:topLinePunct w:val="0"/>
        <w:bidi w:val="0"/>
        <w:snapToGrid/>
        <w:spacing w:line="400" w:lineRule="exact"/>
        <w:rPr>
          <w:rFonts w:hint="eastAsia" w:ascii="仿宋" w:hAnsi="仿宋" w:eastAsia="仿宋" w:cs="仿宋"/>
          <w:highlight w:val="none"/>
        </w:rPr>
      </w:pPr>
      <w:bookmarkStart w:id="374" w:name="_Toc163492926"/>
      <w:bookmarkStart w:id="375" w:name="_Toc155185932"/>
      <w:bookmarkStart w:id="376" w:name="_Toc22618"/>
      <w:r>
        <w:rPr>
          <w:rFonts w:hint="eastAsia" w:ascii="仿宋" w:hAnsi="仿宋" w:eastAsia="仿宋" w:cs="仿宋"/>
          <w:highlight w:val="none"/>
        </w:rPr>
        <w:t>四、</w:t>
      </w:r>
      <w:bookmarkEnd w:id="374"/>
      <w:bookmarkEnd w:id="375"/>
      <w:r>
        <w:rPr>
          <w:rFonts w:hint="eastAsia" w:ascii="仿宋" w:hAnsi="仿宋" w:eastAsia="仿宋" w:cs="仿宋"/>
          <w:highlight w:val="none"/>
        </w:rPr>
        <w:t>落实政府采购政策相关证明文件</w:t>
      </w:r>
      <w:bookmarkEnd w:id="376"/>
    </w:p>
    <w:p w14:paraId="1660CE5B">
      <w:pPr>
        <w:pStyle w:val="4"/>
        <w:pageBreakBefore w:val="0"/>
        <w:kinsoku/>
        <w:overflowPunct/>
        <w:topLinePunct w:val="0"/>
        <w:bidi w:val="0"/>
        <w:snapToGrid/>
        <w:spacing w:line="400" w:lineRule="exact"/>
        <w:rPr>
          <w:rFonts w:hint="eastAsia" w:ascii="仿宋" w:hAnsi="仿宋" w:eastAsia="仿宋" w:cs="仿宋"/>
          <w:highlight w:val="none"/>
        </w:rPr>
      </w:pPr>
      <w:bookmarkStart w:id="377" w:name="_Toc163492938"/>
      <w:r>
        <w:rPr>
          <w:rFonts w:hint="eastAsia" w:ascii="仿宋" w:hAnsi="仿宋" w:eastAsia="仿宋" w:cs="仿宋"/>
          <w:highlight w:val="none"/>
        </w:rPr>
        <w:t>（一）节能环保产品清单及证明材料【如适用】</w:t>
      </w:r>
      <w:bookmarkEnd w:id="377"/>
    </w:p>
    <w:p w14:paraId="30439B21">
      <w:pPr>
        <w:pageBreakBefore w:val="0"/>
        <w:kinsoku/>
        <w:overflowPunct/>
        <w:topLinePunct w:val="0"/>
        <w:bidi w:val="0"/>
        <w:snapToGrid/>
        <w:spacing w:line="400" w:lineRule="exact"/>
        <w:rPr>
          <w:rFonts w:hint="eastAsia" w:ascii="仿宋" w:hAnsi="仿宋" w:eastAsia="仿宋" w:cs="仿宋"/>
          <w:highlight w:val="none"/>
          <w:u w:val="single"/>
        </w:rPr>
      </w:pPr>
      <w:r>
        <w:rPr>
          <w:rFonts w:hint="eastAsia" w:ascii="仿宋" w:hAnsi="仿宋" w:eastAsia="仿宋" w:cs="仿宋"/>
          <w:highlight w:val="none"/>
        </w:rPr>
        <w:t>项目名称：             项目编号/包号：</w:t>
      </w:r>
    </w:p>
    <w:p w14:paraId="3C29AFF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1.节能产品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8CA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0B735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7B5B47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C73DA7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8377A7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708F77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238205D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0BC184B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单价</w:t>
            </w:r>
          </w:p>
          <w:p w14:paraId="43FBE1C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9309AC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p w14:paraId="208ECEF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CC414F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属强制采购或优先采购</w:t>
            </w:r>
          </w:p>
        </w:tc>
      </w:tr>
      <w:tr w14:paraId="6253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D8A5170">
            <w:pPr>
              <w:pStyle w:val="53"/>
              <w:pageBreakBefore w:val="0"/>
              <w:numPr>
                <w:ilvl w:val="0"/>
                <w:numId w:val="10"/>
              </w:numPr>
              <w:kinsoku/>
              <w:overflowPunct/>
              <w:topLinePunct w:val="0"/>
              <w:bidi w:val="0"/>
              <w:snapToGrid/>
              <w:spacing w:line="400" w:lineRule="exact"/>
              <w:jc w:val="center"/>
              <w:rPr>
                <w:rFonts w:hint="eastAsia" w:ascii="仿宋" w:hAnsi="仿宋" w:eastAsia="仿宋" w:cs="仿宋"/>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59AD35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65D905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0045FC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C19171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A1C35F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CCC6F1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86B3C6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2F4FD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3C83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1F654">
            <w:pPr>
              <w:pStyle w:val="53"/>
              <w:pageBreakBefore w:val="0"/>
              <w:numPr>
                <w:ilvl w:val="0"/>
                <w:numId w:val="10"/>
              </w:numPr>
              <w:kinsoku/>
              <w:overflowPunct/>
              <w:topLinePunct w:val="0"/>
              <w:bidi w:val="0"/>
              <w:snapToGrid/>
              <w:spacing w:line="400" w:lineRule="exact"/>
              <w:jc w:val="center"/>
              <w:rPr>
                <w:rFonts w:hint="eastAsia" w:ascii="仿宋" w:hAnsi="仿宋" w:eastAsia="仿宋" w:cs="仿宋"/>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1F75DA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CFA2BE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844D3E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91F5F8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67F94B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351B64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3AEDF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C02388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3829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AE02126">
            <w:pPr>
              <w:pStyle w:val="53"/>
              <w:pageBreakBefore w:val="0"/>
              <w:numPr>
                <w:ilvl w:val="0"/>
                <w:numId w:val="10"/>
              </w:numPr>
              <w:kinsoku/>
              <w:overflowPunct/>
              <w:topLinePunct w:val="0"/>
              <w:bidi w:val="0"/>
              <w:snapToGrid/>
              <w:spacing w:line="400" w:lineRule="exact"/>
              <w:jc w:val="center"/>
              <w:rPr>
                <w:rFonts w:hint="eastAsia" w:ascii="仿宋" w:hAnsi="仿宋" w:eastAsia="仿宋" w:cs="仿宋"/>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C420B5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008FE4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BDEA57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265A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69978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EEBE8C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8F774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5DFD33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bl>
    <w:p w14:paraId="1F764038">
      <w:pPr>
        <w:pageBreakBefore w:val="0"/>
        <w:kinsoku/>
        <w:overflowPunct/>
        <w:topLinePunct w:val="0"/>
        <w:bidi w:val="0"/>
        <w:snapToGrid/>
        <w:spacing w:line="400" w:lineRule="exact"/>
        <w:rPr>
          <w:rFonts w:hint="eastAsia" w:ascii="仿宋" w:hAnsi="仿宋" w:eastAsia="仿宋" w:cs="仿宋"/>
          <w:highlight w:val="none"/>
        </w:rPr>
      </w:pPr>
    </w:p>
    <w:p w14:paraId="3933D148">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2.环保产品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6867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14C55D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1B3EDBD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291B25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制造商</w:t>
            </w:r>
          </w:p>
          <w:p w14:paraId="4A8D6CE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5B8346A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526E203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7E7754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0EF39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单价</w:t>
            </w:r>
          </w:p>
          <w:p w14:paraId="3C2C83B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B20DC7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p w14:paraId="63E3F1C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（万元）</w:t>
            </w:r>
          </w:p>
        </w:tc>
      </w:tr>
      <w:tr w14:paraId="4D7D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39544B7">
            <w:pPr>
              <w:pStyle w:val="53"/>
              <w:pageBreakBefore w:val="0"/>
              <w:numPr>
                <w:ilvl w:val="0"/>
                <w:numId w:val="11"/>
              </w:numPr>
              <w:kinsoku/>
              <w:overflowPunct/>
              <w:topLinePunct w:val="0"/>
              <w:bidi w:val="0"/>
              <w:snapToGrid/>
              <w:spacing w:line="400" w:lineRule="exact"/>
              <w:jc w:val="center"/>
              <w:rPr>
                <w:rFonts w:hint="eastAsia" w:ascii="仿宋" w:hAnsi="仿宋" w:eastAsia="仿宋" w:cs="仿宋"/>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2B24D2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BE7DCE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47C315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BE4D77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FA1862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A30355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C0E29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0A5C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BCA9A7D">
            <w:pPr>
              <w:pStyle w:val="53"/>
              <w:pageBreakBefore w:val="0"/>
              <w:numPr>
                <w:ilvl w:val="0"/>
                <w:numId w:val="11"/>
              </w:numPr>
              <w:kinsoku/>
              <w:overflowPunct/>
              <w:topLinePunct w:val="0"/>
              <w:bidi w:val="0"/>
              <w:snapToGrid/>
              <w:spacing w:line="400" w:lineRule="exact"/>
              <w:jc w:val="center"/>
              <w:rPr>
                <w:rFonts w:hint="eastAsia" w:ascii="仿宋" w:hAnsi="仿宋" w:eastAsia="仿宋" w:cs="仿宋"/>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2FABF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54B265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238D18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84A436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8E6095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44A3B0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F47015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2D42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DDC90DE">
            <w:pPr>
              <w:pStyle w:val="53"/>
              <w:pageBreakBefore w:val="0"/>
              <w:numPr>
                <w:ilvl w:val="0"/>
                <w:numId w:val="11"/>
              </w:numPr>
              <w:kinsoku/>
              <w:overflowPunct/>
              <w:topLinePunct w:val="0"/>
              <w:bidi w:val="0"/>
              <w:snapToGrid/>
              <w:spacing w:line="400" w:lineRule="exact"/>
              <w:jc w:val="center"/>
              <w:rPr>
                <w:rFonts w:hint="eastAsia" w:ascii="仿宋" w:hAnsi="仿宋" w:eastAsia="仿宋" w:cs="仿宋"/>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24F86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595D922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6889DD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C62360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DE177A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1AE7A4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B54CC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bl>
    <w:p w14:paraId="1EB5C282">
      <w:pPr>
        <w:pageBreakBefore w:val="0"/>
        <w:kinsoku/>
        <w:overflowPunct/>
        <w:topLinePunct w:val="0"/>
        <w:bidi w:val="0"/>
        <w:snapToGrid/>
        <w:spacing w:line="400" w:lineRule="exact"/>
        <w:rPr>
          <w:rFonts w:hint="eastAsia" w:ascii="仿宋" w:hAnsi="仿宋" w:eastAsia="仿宋" w:cs="仿宋"/>
          <w:highlight w:val="none"/>
        </w:rPr>
      </w:pPr>
    </w:p>
    <w:p w14:paraId="23799CE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特别说明：投标人应将所投产品中节能、环保产品分别列入上表中，并按本招标文件“第二章投标人须知”提供相关证明材料，未填写本表或未提供有效认证证书的不给予评审优惠。</w:t>
      </w:r>
    </w:p>
    <w:p w14:paraId="7FDE3306">
      <w:pPr>
        <w:pageBreakBefore w:val="0"/>
        <w:kinsoku/>
        <w:overflowPunct/>
        <w:topLinePunct w:val="0"/>
        <w:bidi w:val="0"/>
        <w:snapToGrid/>
        <w:spacing w:line="400" w:lineRule="exact"/>
        <w:rPr>
          <w:rFonts w:hint="eastAsia" w:ascii="仿宋" w:hAnsi="仿宋" w:eastAsia="仿宋" w:cs="仿宋"/>
          <w:highlight w:val="none"/>
        </w:rPr>
      </w:pPr>
    </w:p>
    <w:p w14:paraId="6BDA5FA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szCs w:val="24"/>
          <w:highlight w:val="none"/>
        </w:rPr>
        <w:t>（</w:t>
      </w:r>
      <w:r>
        <w:rPr>
          <w:rFonts w:hint="eastAsia" w:ascii="仿宋" w:hAnsi="仿宋" w:eastAsia="仿宋" w:cs="仿宋"/>
          <w:kern w:val="0"/>
          <w:szCs w:val="24"/>
          <w:highlight w:val="none"/>
        </w:rPr>
        <w:t>公章</w:t>
      </w:r>
      <w:r>
        <w:rPr>
          <w:rFonts w:hint="eastAsia" w:ascii="仿宋" w:hAnsi="仿宋" w:eastAsia="仿宋" w:cs="仿宋"/>
          <w:kern w:val="0"/>
          <w:highlight w:val="none"/>
          <w:lang w:val="zh-CN"/>
        </w:rPr>
        <w:t>)</w:t>
      </w:r>
      <w:r>
        <w:rPr>
          <w:rFonts w:hint="eastAsia" w:ascii="仿宋" w:hAnsi="仿宋" w:eastAsia="仿宋" w:cs="仿宋"/>
          <w:highlight w:val="none"/>
        </w:rPr>
        <w:t>：</w:t>
      </w:r>
    </w:p>
    <w:p w14:paraId="1C940DB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日期：</w:t>
      </w:r>
    </w:p>
    <w:p w14:paraId="3AA2F93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4C18A87D">
      <w:pPr>
        <w:pStyle w:val="4"/>
        <w:pageBreakBefore w:val="0"/>
        <w:kinsoku/>
        <w:overflowPunct/>
        <w:topLinePunct w:val="0"/>
        <w:bidi w:val="0"/>
        <w:snapToGrid/>
        <w:spacing w:line="400" w:lineRule="exact"/>
        <w:rPr>
          <w:rFonts w:hint="eastAsia" w:ascii="仿宋" w:hAnsi="仿宋" w:eastAsia="仿宋" w:cs="仿宋"/>
          <w:highlight w:val="none"/>
        </w:rPr>
      </w:pPr>
      <w:bookmarkStart w:id="378" w:name="_Toc163492939"/>
      <w:r>
        <w:rPr>
          <w:rFonts w:hint="eastAsia" w:ascii="仿宋" w:hAnsi="仿宋" w:eastAsia="仿宋" w:cs="仿宋"/>
          <w:highlight w:val="none"/>
        </w:rPr>
        <w:t>（二）中小企业声明函【如专门面向中小企业采购的项目，此函可放于此处，否则，应后置于“其他资格证明文件”】</w:t>
      </w:r>
      <w:bookmarkEnd w:id="378"/>
    </w:p>
    <w:p w14:paraId="5D102A48">
      <w:pPr>
        <w:pageBreakBefore w:val="0"/>
        <w:kinsoku/>
        <w:overflowPunct/>
        <w:topLinePunct w:val="0"/>
        <w:bidi w:val="0"/>
        <w:snapToGrid/>
        <w:spacing w:line="400" w:lineRule="exact"/>
        <w:ind w:left="420" w:hanging="420"/>
        <w:jc w:val="center"/>
        <w:rPr>
          <w:rFonts w:hint="eastAsia" w:ascii="仿宋" w:hAnsi="仿宋" w:eastAsia="仿宋" w:cs="仿宋"/>
          <w:sz w:val="32"/>
          <w:highlight w:val="none"/>
        </w:rPr>
      </w:pPr>
      <w:r>
        <w:rPr>
          <w:rFonts w:hint="eastAsia" w:ascii="仿宋" w:hAnsi="仿宋" w:eastAsia="仿宋" w:cs="仿宋"/>
          <w:sz w:val="32"/>
          <w:highlight w:val="none"/>
        </w:rPr>
        <w:t>中小企业声明函</w:t>
      </w:r>
    </w:p>
    <w:p w14:paraId="1049A174">
      <w:pPr>
        <w:pageBreakBefore w:val="0"/>
        <w:kinsoku/>
        <w:overflowPunct/>
        <w:topLinePunct w:val="0"/>
        <w:bidi w:val="0"/>
        <w:snapToGrid/>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 号）的规定，本公司（联合体）参加</w:t>
      </w:r>
      <w:r>
        <w:rPr>
          <w:rFonts w:hint="eastAsia" w:ascii="仿宋" w:hAnsi="仿宋" w:eastAsia="仿宋" w:cs="仿宋"/>
          <w:highlight w:val="none"/>
          <w:u w:val="single"/>
        </w:rPr>
        <w:t xml:space="preserve"> （单位名称）</w:t>
      </w:r>
      <w:r>
        <w:rPr>
          <w:rFonts w:hint="eastAsia" w:ascii="仿宋" w:hAnsi="仿宋" w:eastAsia="仿宋" w:cs="仿宋"/>
          <w:highlight w:val="none"/>
        </w:rPr>
        <w:t xml:space="preserve"> 的</w:t>
      </w:r>
      <w:r>
        <w:rPr>
          <w:rFonts w:hint="eastAsia" w:ascii="仿宋" w:hAnsi="仿宋" w:eastAsia="仿宋" w:cs="仿宋"/>
          <w:highlight w:val="none"/>
          <w:u w:val="single"/>
        </w:rPr>
        <w:t xml:space="preserve"> （项目名称） </w:t>
      </w:r>
      <w:r>
        <w:rPr>
          <w:rFonts w:hint="eastAsia" w:ascii="仿宋" w:hAnsi="仿宋" w:eastAsia="仿宋" w:cs="仿宋"/>
          <w:highlight w:val="none"/>
        </w:rPr>
        <w:t>采购活动，提供的货物全部由符合政策要求的中小企业制造。相关企业（含联合体中的中小企业、签订分包意向协议的中小企业）的具体情况如下：</w:t>
      </w:r>
    </w:p>
    <w:p w14:paraId="1073DBC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1. </w:t>
      </w:r>
      <w:r>
        <w:rPr>
          <w:rFonts w:hint="eastAsia" w:ascii="仿宋" w:hAnsi="仿宋" w:eastAsia="仿宋" w:cs="仿宋"/>
          <w:highlight w:val="none"/>
          <w:u w:val="single"/>
        </w:rPr>
        <w:t xml:space="preserve">加厚型病理标本袋 </w:t>
      </w:r>
      <w:r>
        <w:rPr>
          <w:rFonts w:hint="eastAsia" w:ascii="仿宋" w:hAnsi="仿宋" w:eastAsia="仿宋" w:cs="仿宋"/>
          <w:highlight w:val="none"/>
        </w:rPr>
        <w:t xml:space="preserve">，属于 </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 xml:space="preserve">行业 ；制造商为 </w:t>
      </w:r>
      <w:r>
        <w:rPr>
          <w:rFonts w:hint="eastAsia" w:ascii="仿宋" w:hAnsi="仿宋" w:eastAsia="仿宋" w:cs="仿宋"/>
          <w:highlight w:val="none"/>
          <w:u w:val="single"/>
        </w:rPr>
        <w:t>（企业名称）</w:t>
      </w:r>
      <w:r>
        <w:rPr>
          <w:rFonts w:hint="eastAsia" w:ascii="仿宋" w:hAnsi="仿宋" w:eastAsia="仿宋" w:cs="仿宋"/>
          <w:highlight w:val="none"/>
        </w:rPr>
        <w:t xml:space="preserve"> ，从业人员 </w:t>
      </w:r>
      <w:r>
        <w:rPr>
          <w:rFonts w:hint="eastAsia" w:ascii="仿宋" w:hAnsi="仿宋" w:eastAsia="仿宋" w:cs="仿宋"/>
          <w:highlight w:val="none"/>
          <w:u w:val="single"/>
        </w:rPr>
        <w:t xml:space="preserve">    </w:t>
      </w:r>
      <w:r>
        <w:rPr>
          <w:rFonts w:hint="eastAsia" w:ascii="仿宋" w:hAnsi="仿宋" w:eastAsia="仿宋" w:cs="仿宋"/>
          <w:highlight w:val="none"/>
        </w:rPr>
        <w:t>人，营业收入为</w:t>
      </w:r>
      <w:r>
        <w:rPr>
          <w:rFonts w:hint="eastAsia" w:ascii="仿宋" w:hAnsi="仿宋" w:eastAsia="仿宋" w:cs="仿宋"/>
          <w:highlight w:val="none"/>
          <w:u w:val="single"/>
        </w:rPr>
        <w:t xml:space="preserve">      </w:t>
      </w:r>
      <w:r>
        <w:rPr>
          <w:rFonts w:hint="eastAsia" w:ascii="仿宋" w:hAnsi="仿宋" w:eastAsia="仿宋" w:cs="仿宋"/>
          <w:highlight w:val="none"/>
        </w:rPr>
        <w:t>万元，资产总额为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万元，属于 </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3B51725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2. </w:t>
      </w:r>
      <w:r>
        <w:rPr>
          <w:rFonts w:hint="eastAsia" w:ascii="仿宋" w:hAnsi="仿宋" w:eastAsia="仿宋" w:cs="仿宋"/>
          <w:highlight w:val="none"/>
          <w:u w:val="single"/>
        </w:rPr>
        <w:t xml:space="preserve">加厚型病理标本袋 </w:t>
      </w:r>
      <w:r>
        <w:rPr>
          <w:rFonts w:hint="eastAsia" w:ascii="仿宋" w:hAnsi="仿宋" w:eastAsia="仿宋" w:cs="仿宋"/>
          <w:highlight w:val="none"/>
        </w:rPr>
        <w:t xml:space="preserve">，属于 </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 xml:space="preserve">行业 ；制造商为 </w:t>
      </w:r>
      <w:r>
        <w:rPr>
          <w:rFonts w:hint="eastAsia" w:ascii="仿宋" w:hAnsi="仿宋" w:eastAsia="仿宋" w:cs="仿宋"/>
          <w:highlight w:val="none"/>
          <w:u w:val="single"/>
        </w:rPr>
        <w:t>（企业名称）</w:t>
      </w:r>
      <w:r>
        <w:rPr>
          <w:rFonts w:hint="eastAsia" w:ascii="仿宋" w:hAnsi="仿宋" w:eastAsia="仿宋" w:cs="仿宋"/>
          <w:highlight w:val="none"/>
        </w:rPr>
        <w:t xml:space="preserve"> ，从业人员 </w:t>
      </w:r>
      <w:r>
        <w:rPr>
          <w:rFonts w:hint="eastAsia" w:ascii="仿宋" w:hAnsi="仿宋" w:eastAsia="仿宋" w:cs="仿宋"/>
          <w:highlight w:val="none"/>
          <w:u w:val="single"/>
        </w:rPr>
        <w:t xml:space="preserve">    </w:t>
      </w:r>
      <w:r>
        <w:rPr>
          <w:rFonts w:hint="eastAsia" w:ascii="仿宋" w:hAnsi="仿宋" w:eastAsia="仿宋" w:cs="仿宋"/>
          <w:highlight w:val="none"/>
        </w:rPr>
        <w:t>人，营业收入为</w:t>
      </w:r>
      <w:r>
        <w:rPr>
          <w:rFonts w:hint="eastAsia" w:ascii="仿宋" w:hAnsi="仿宋" w:eastAsia="仿宋" w:cs="仿宋"/>
          <w:highlight w:val="none"/>
          <w:u w:val="single"/>
        </w:rPr>
        <w:t xml:space="preserve">      </w:t>
      </w:r>
      <w:r>
        <w:rPr>
          <w:rFonts w:hint="eastAsia" w:ascii="仿宋" w:hAnsi="仿宋" w:eastAsia="仿宋" w:cs="仿宋"/>
          <w:highlight w:val="none"/>
        </w:rPr>
        <w:t>万元，资产总额为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万元，属于 </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146435D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val="en-US" w:eastAsia="zh-CN"/>
        </w:rPr>
        <w:t xml:space="preserve">3. </w:t>
      </w:r>
      <w:r>
        <w:rPr>
          <w:rFonts w:hint="eastAsia" w:ascii="仿宋" w:hAnsi="仿宋" w:eastAsia="仿宋" w:cs="仿宋"/>
          <w:highlight w:val="none"/>
          <w:u w:val="single"/>
        </w:rPr>
        <w:t xml:space="preserve">加厚型病理标本袋 </w:t>
      </w:r>
      <w:r>
        <w:rPr>
          <w:rFonts w:hint="eastAsia" w:ascii="仿宋" w:hAnsi="仿宋" w:eastAsia="仿宋" w:cs="仿宋"/>
          <w:highlight w:val="none"/>
        </w:rPr>
        <w:t xml:space="preserve">，属于 </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 xml:space="preserve">行业 ；制造商为 </w:t>
      </w:r>
      <w:r>
        <w:rPr>
          <w:rFonts w:hint="eastAsia" w:ascii="仿宋" w:hAnsi="仿宋" w:eastAsia="仿宋" w:cs="仿宋"/>
          <w:highlight w:val="none"/>
          <w:u w:val="single"/>
        </w:rPr>
        <w:t>（企业名称）</w:t>
      </w:r>
      <w:r>
        <w:rPr>
          <w:rFonts w:hint="eastAsia" w:ascii="仿宋" w:hAnsi="仿宋" w:eastAsia="仿宋" w:cs="仿宋"/>
          <w:highlight w:val="none"/>
        </w:rPr>
        <w:t xml:space="preserve"> ，从业人员 </w:t>
      </w:r>
      <w:r>
        <w:rPr>
          <w:rFonts w:hint="eastAsia" w:ascii="仿宋" w:hAnsi="仿宋" w:eastAsia="仿宋" w:cs="仿宋"/>
          <w:highlight w:val="none"/>
          <w:u w:val="single"/>
        </w:rPr>
        <w:t xml:space="preserve">    </w:t>
      </w:r>
      <w:r>
        <w:rPr>
          <w:rFonts w:hint="eastAsia" w:ascii="仿宋" w:hAnsi="仿宋" w:eastAsia="仿宋" w:cs="仿宋"/>
          <w:highlight w:val="none"/>
        </w:rPr>
        <w:t>人，营业收入为</w:t>
      </w:r>
      <w:r>
        <w:rPr>
          <w:rFonts w:hint="eastAsia" w:ascii="仿宋" w:hAnsi="仿宋" w:eastAsia="仿宋" w:cs="仿宋"/>
          <w:highlight w:val="none"/>
          <w:u w:val="single"/>
        </w:rPr>
        <w:t xml:space="preserve">      </w:t>
      </w:r>
      <w:r>
        <w:rPr>
          <w:rFonts w:hint="eastAsia" w:ascii="仿宋" w:hAnsi="仿宋" w:eastAsia="仿宋" w:cs="仿宋"/>
          <w:highlight w:val="none"/>
        </w:rPr>
        <w:t>万元，资产总额为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万元，属于 </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16237C8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val="en-US" w:eastAsia="zh-CN"/>
        </w:rPr>
        <w:t xml:space="preserve">4. </w:t>
      </w:r>
      <w:r>
        <w:rPr>
          <w:rFonts w:hint="eastAsia" w:ascii="仿宋" w:hAnsi="仿宋" w:eastAsia="仿宋" w:cs="仿宋"/>
          <w:highlight w:val="none"/>
          <w:u w:val="single"/>
        </w:rPr>
        <w:t xml:space="preserve">加厚型病理标本袋 </w:t>
      </w:r>
      <w:r>
        <w:rPr>
          <w:rFonts w:hint="eastAsia" w:ascii="仿宋" w:hAnsi="仿宋" w:eastAsia="仿宋" w:cs="仿宋"/>
          <w:highlight w:val="none"/>
        </w:rPr>
        <w:t xml:space="preserve">，属于 </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 xml:space="preserve">行业 ；制造商为 </w:t>
      </w:r>
      <w:r>
        <w:rPr>
          <w:rFonts w:hint="eastAsia" w:ascii="仿宋" w:hAnsi="仿宋" w:eastAsia="仿宋" w:cs="仿宋"/>
          <w:highlight w:val="none"/>
          <w:u w:val="single"/>
        </w:rPr>
        <w:t>（企业名称）</w:t>
      </w:r>
      <w:r>
        <w:rPr>
          <w:rFonts w:hint="eastAsia" w:ascii="仿宋" w:hAnsi="仿宋" w:eastAsia="仿宋" w:cs="仿宋"/>
          <w:highlight w:val="none"/>
        </w:rPr>
        <w:t xml:space="preserve"> ，从业人员 </w:t>
      </w:r>
      <w:r>
        <w:rPr>
          <w:rFonts w:hint="eastAsia" w:ascii="仿宋" w:hAnsi="仿宋" w:eastAsia="仿宋" w:cs="仿宋"/>
          <w:highlight w:val="none"/>
          <w:u w:val="single"/>
        </w:rPr>
        <w:t xml:space="preserve">    </w:t>
      </w:r>
      <w:r>
        <w:rPr>
          <w:rFonts w:hint="eastAsia" w:ascii="仿宋" w:hAnsi="仿宋" w:eastAsia="仿宋" w:cs="仿宋"/>
          <w:highlight w:val="none"/>
        </w:rPr>
        <w:t>人，营业收入为</w:t>
      </w:r>
      <w:r>
        <w:rPr>
          <w:rFonts w:hint="eastAsia" w:ascii="仿宋" w:hAnsi="仿宋" w:eastAsia="仿宋" w:cs="仿宋"/>
          <w:highlight w:val="none"/>
          <w:u w:val="single"/>
        </w:rPr>
        <w:t xml:space="preserve">      </w:t>
      </w:r>
      <w:r>
        <w:rPr>
          <w:rFonts w:hint="eastAsia" w:ascii="仿宋" w:hAnsi="仿宋" w:eastAsia="仿宋" w:cs="仿宋"/>
          <w:highlight w:val="none"/>
        </w:rPr>
        <w:t>万元，资产总额为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万元，属于 </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6D9660BB">
      <w:pPr>
        <w:pageBreakBefore w:val="0"/>
        <w:kinsoku/>
        <w:overflowPunct/>
        <w:topLinePunct w:val="0"/>
        <w:bidi w:val="0"/>
        <w:snapToGrid/>
        <w:spacing w:line="400" w:lineRule="exact"/>
        <w:rPr>
          <w:rFonts w:hint="default" w:ascii="仿宋" w:hAnsi="仿宋" w:eastAsia="仿宋" w:cs="仿宋"/>
          <w:highlight w:val="none"/>
          <w:lang w:val="en-US" w:eastAsia="zh-CN"/>
        </w:rPr>
      </w:pPr>
      <w:r>
        <w:rPr>
          <w:rFonts w:hint="eastAsia" w:ascii="仿宋" w:hAnsi="仿宋" w:eastAsia="仿宋" w:cs="仿宋"/>
          <w:highlight w:val="none"/>
          <w:lang w:val="en-US" w:eastAsia="zh-CN"/>
        </w:rPr>
        <w:t xml:space="preserve">5. </w:t>
      </w:r>
      <w:r>
        <w:rPr>
          <w:rFonts w:hint="eastAsia" w:ascii="仿宋" w:hAnsi="仿宋" w:eastAsia="仿宋" w:cs="仿宋"/>
          <w:highlight w:val="none"/>
          <w:u w:val="single"/>
        </w:rPr>
        <w:t xml:space="preserve">加厚型病理标本袋 </w:t>
      </w:r>
      <w:r>
        <w:rPr>
          <w:rFonts w:hint="eastAsia" w:ascii="仿宋" w:hAnsi="仿宋" w:eastAsia="仿宋" w:cs="仿宋"/>
          <w:highlight w:val="none"/>
        </w:rPr>
        <w:t xml:space="preserve">，属于 </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 xml:space="preserve">行业 ；制造商为 </w:t>
      </w:r>
      <w:r>
        <w:rPr>
          <w:rFonts w:hint="eastAsia" w:ascii="仿宋" w:hAnsi="仿宋" w:eastAsia="仿宋" w:cs="仿宋"/>
          <w:highlight w:val="none"/>
          <w:u w:val="single"/>
        </w:rPr>
        <w:t>（企业名称）</w:t>
      </w:r>
      <w:r>
        <w:rPr>
          <w:rFonts w:hint="eastAsia" w:ascii="仿宋" w:hAnsi="仿宋" w:eastAsia="仿宋" w:cs="仿宋"/>
          <w:highlight w:val="none"/>
        </w:rPr>
        <w:t xml:space="preserve"> ，从业人员 </w:t>
      </w:r>
      <w:r>
        <w:rPr>
          <w:rFonts w:hint="eastAsia" w:ascii="仿宋" w:hAnsi="仿宋" w:eastAsia="仿宋" w:cs="仿宋"/>
          <w:highlight w:val="none"/>
          <w:u w:val="single"/>
        </w:rPr>
        <w:t xml:space="preserve">    </w:t>
      </w:r>
      <w:r>
        <w:rPr>
          <w:rFonts w:hint="eastAsia" w:ascii="仿宋" w:hAnsi="仿宋" w:eastAsia="仿宋" w:cs="仿宋"/>
          <w:highlight w:val="none"/>
        </w:rPr>
        <w:t>人，营业收入为</w:t>
      </w:r>
      <w:r>
        <w:rPr>
          <w:rFonts w:hint="eastAsia" w:ascii="仿宋" w:hAnsi="仿宋" w:eastAsia="仿宋" w:cs="仿宋"/>
          <w:highlight w:val="none"/>
          <w:u w:val="single"/>
        </w:rPr>
        <w:t xml:space="preserve">      </w:t>
      </w:r>
      <w:r>
        <w:rPr>
          <w:rFonts w:hint="eastAsia" w:ascii="仿宋" w:hAnsi="仿宋" w:eastAsia="仿宋" w:cs="仿宋"/>
          <w:highlight w:val="none"/>
        </w:rPr>
        <w:t>万元，资产总额为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万元，属于 </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61CC1A0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5DDA088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09749D00">
      <w:pPr>
        <w:pageBreakBefore w:val="0"/>
        <w:kinsoku/>
        <w:overflowPunct/>
        <w:topLinePunct w:val="0"/>
        <w:bidi w:val="0"/>
        <w:snapToGrid/>
        <w:spacing w:line="400" w:lineRule="exact"/>
        <w:rPr>
          <w:rFonts w:hint="eastAsia" w:ascii="仿宋" w:hAnsi="仿宋" w:eastAsia="仿宋" w:cs="仿宋"/>
          <w:highlight w:val="none"/>
        </w:rPr>
      </w:pPr>
    </w:p>
    <w:p w14:paraId="7297FBE8">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kern w:val="0"/>
          <w:highlight w:val="none"/>
        </w:rPr>
        <w:t>公章）</w:t>
      </w:r>
      <w:r>
        <w:rPr>
          <w:rFonts w:hint="eastAsia" w:ascii="仿宋" w:hAnsi="仿宋" w:eastAsia="仿宋" w:cs="仿宋"/>
          <w:highlight w:val="none"/>
        </w:rPr>
        <w:t>：</w:t>
      </w:r>
    </w:p>
    <w:p w14:paraId="2F8DBDD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日期：   年  月  日</w:t>
      </w:r>
    </w:p>
    <w:p w14:paraId="24F845B8">
      <w:pPr>
        <w:pageBreakBefore w:val="0"/>
        <w:kinsoku/>
        <w:overflowPunct/>
        <w:topLinePunct w:val="0"/>
        <w:bidi w:val="0"/>
        <w:snapToGrid/>
        <w:spacing w:line="400" w:lineRule="exact"/>
        <w:rPr>
          <w:rFonts w:hint="eastAsia" w:ascii="仿宋" w:hAnsi="仿宋" w:eastAsia="仿宋" w:cs="仿宋"/>
          <w:highlight w:val="none"/>
        </w:rPr>
      </w:pPr>
    </w:p>
    <w:p w14:paraId="3C9B991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说明：1.重要提示：供应商应仔细阅读本函附件1关于</w:t>
      </w:r>
      <w:r>
        <w:rPr>
          <w:rFonts w:hint="eastAsia" w:ascii="仿宋" w:hAnsi="仿宋" w:eastAsia="仿宋" w:cs="仿宋"/>
          <w:spacing w:val="-6"/>
          <w:kern w:val="0"/>
          <w:highlight w:val="none"/>
          <w:lang w:bidi="ar"/>
        </w:rPr>
        <w:t>“</w:t>
      </w:r>
      <w:r>
        <w:rPr>
          <w:rFonts w:hint="eastAsia" w:ascii="仿宋" w:hAnsi="仿宋" w:eastAsia="仿宋" w:cs="仿宋"/>
          <w:highlight w:val="none"/>
        </w:rPr>
        <w:t>中小企业声明函”的填写要求及提交要求，否则，因填写或提交等产生的一切不利后果，须自行承担。</w:t>
      </w:r>
    </w:p>
    <w:p w14:paraId="5888F34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b/>
          <w:bCs/>
          <w:highlight w:val="none"/>
        </w:rPr>
        <w:t>2.</w:t>
      </w:r>
      <w:r>
        <w:rPr>
          <w:rFonts w:hint="eastAsia" w:ascii="仿宋" w:hAnsi="仿宋" w:eastAsia="仿宋" w:cs="仿宋"/>
          <w:highlight w:val="none"/>
        </w:rPr>
        <w:t>从业人员、营业收入、资产总额填报上一年度数据，无上一年度数据的新成立企业可不填报。</w:t>
      </w:r>
    </w:p>
    <w:p w14:paraId="769BD340">
      <w:pPr>
        <w:pageBreakBefore w:val="0"/>
        <w:kinsoku/>
        <w:overflowPunct/>
        <w:topLinePunct w:val="0"/>
        <w:bidi w:val="0"/>
        <w:snapToGrid/>
        <w:spacing w:line="400" w:lineRule="exact"/>
        <w:rPr>
          <w:rFonts w:hint="eastAsia" w:ascii="仿宋" w:hAnsi="仿宋" w:eastAsia="仿宋" w:cs="仿宋"/>
          <w:highlight w:val="none"/>
        </w:rPr>
      </w:pPr>
    </w:p>
    <w:p w14:paraId="717EE29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26C6E268">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附件1 </w:t>
      </w:r>
    </w:p>
    <w:p w14:paraId="2A320F57">
      <w:pPr>
        <w:pageBreakBefore w:val="0"/>
        <w:kinsoku/>
        <w:overflowPunct/>
        <w:topLinePunct w:val="0"/>
        <w:bidi w:val="0"/>
        <w:snapToGrid/>
        <w:spacing w:line="400" w:lineRule="exact"/>
        <w:rPr>
          <w:rStyle w:val="36"/>
          <w:rFonts w:hint="eastAsia" w:ascii="仿宋" w:hAnsi="仿宋" w:eastAsia="仿宋" w:cs="仿宋"/>
          <w:kern w:val="0"/>
          <w:szCs w:val="24"/>
          <w:highlight w:val="none"/>
          <w:lang w:bidi="ar"/>
        </w:rPr>
      </w:pPr>
      <w:r>
        <w:rPr>
          <w:rStyle w:val="36"/>
          <w:rFonts w:hint="eastAsia" w:ascii="仿宋" w:hAnsi="仿宋" w:eastAsia="仿宋" w:cs="仿宋"/>
          <w:kern w:val="0"/>
          <w:szCs w:val="24"/>
          <w:highlight w:val="none"/>
          <w:lang w:bidi="ar"/>
        </w:rPr>
        <w:t>（一）关于“中小企业声明函”的填写要求</w:t>
      </w:r>
    </w:p>
    <w:p w14:paraId="368A74E0">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“中小企业声明函”具体填写要求如下：</w:t>
      </w:r>
    </w:p>
    <w:p w14:paraId="2049CEA2">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1.“单位名称”应填写采购人名称。</w:t>
      </w:r>
    </w:p>
    <w:p w14:paraId="28460BCD">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4EA6F82">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5087B13">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362E7D2B">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C8D661D">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6519125">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5.“企业名称”应填写投标（响应）的货物制造商/服务承接商/工程承建商（根据项目属性确定）。</w:t>
      </w:r>
    </w:p>
    <w:p w14:paraId="3BD518AE">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对于分包方式面向中小企业采购的项目，“企业名称”应填写分包部分采购标的对应的货物制造商/服务承接商/工程承建商（根据项目属性确定）。</w:t>
      </w:r>
    </w:p>
    <w:p w14:paraId="303E7211">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对于以联合体方式面向中小企业采购的项目，“企业名称”应填写联合体中中小企业承担采购标的对应的货物制造商/服务承接商/工程承建商（根据项目属性确定）。</w:t>
      </w:r>
    </w:p>
    <w:p w14:paraId="46C3EBB6">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6.从业人员、资产总额指标以上年度末数据为依据，营业收入指标以上年度累计数据为依据。无上年度数据的新成立企业可不填报。</w:t>
      </w:r>
    </w:p>
    <w:p w14:paraId="44A4D0CB">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7991E67">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84CC3AD">
      <w:pPr>
        <w:pageBreakBefore w:val="0"/>
        <w:kinsoku/>
        <w:overflowPunct/>
        <w:topLinePunct w:val="0"/>
        <w:bidi w:val="0"/>
        <w:snapToGrid/>
        <w:spacing w:line="400" w:lineRule="exact"/>
        <w:rPr>
          <w:rStyle w:val="36"/>
          <w:rFonts w:hint="eastAsia" w:ascii="仿宋" w:hAnsi="仿宋" w:eastAsia="仿宋" w:cs="仿宋"/>
          <w:kern w:val="0"/>
          <w:szCs w:val="24"/>
          <w:highlight w:val="none"/>
          <w:lang w:bidi="ar"/>
        </w:rPr>
      </w:pPr>
      <w:r>
        <w:rPr>
          <w:rStyle w:val="36"/>
          <w:rFonts w:hint="eastAsia" w:ascii="仿宋" w:hAnsi="仿宋" w:eastAsia="仿宋" w:cs="仿宋"/>
          <w:kern w:val="0"/>
          <w:szCs w:val="24"/>
          <w:highlight w:val="none"/>
          <w:lang w:bidi="ar"/>
        </w:rPr>
        <w:t>（二）关于“中小企业声明函”的提交要求</w:t>
      </w:r>
    </w:p>
    <w:p w14:paraId="7AAB1B13">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FF68C47">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2.鼓励供应商在投标（响应）时一并提供对货物制造商、服务承接商、工程承建商相关信息的核实核验情况以及其他佐证材料。</w:t>
      </w:r>
    </w:p>
    <w:p w14:paraId="2787203D">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B17466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43FF0C52">
      <w:pPr>
        <w:pageBreakBefore w:val="0"/>
        <w:kinsoku/>
        <w:overflowPunct/>
        <w:topLinePunct w:val="0"/>
        <w:bidi w:val="0"/>
        <w:snapToGrid/>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附件2：</w:t>
      </w:r>
    </w:p>
    <w:p w14:paraId="5D02C0E8">
      <w:pPr>
        <w:pStyle w:val="19"/>
        <w:pageBreakBefore w:val="0"/>
        <w:kinsoku/>
        <w:overflowPunct/>
        <w:topLinePunct w:val="0"/>
        <w:bidi w:val="0"/>
        <w:snapToGrid/>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关于印发中小企业划型标准规定的通知</w:t>
      </w:r>
    </w:p>
    <w:p w14:paraId="60C279AC">
      <w:pPr>
        <w:pageBreakBefore w:val="0"/>
        <w:kinsoku/>
        <w:overflowPunct/>
        <w:topLinePunct w:val="0"/>
        <w:bidi w:val="0"/>
        <w:snapToGrid/>
        <w:spacing w:line="400" w:lineRule="exact"/>
        <w:rPr>
          <w:rStyle w:val="36"/>
          <w:rFonts w:hint="eastAsia" w:ascii="仿宋" w:hAnsi="仿宋" w:eastAsia="仿宋" w:cs="仿宋"/>
          <w:b w:val="0"/>
          <w:sz w:val="24"/>
          <w:szCs w:val="24"/>
          <w:highlight w:val="none"/>
        </w:rPr>
      </w:pPr>
      <w:r>
        <w:rPr>
          <w:rStyle w:val="36"/>
          <w:rFonts w:hint="eastAsia" w:ascii="仿宋" w:hAnsi="仿宋" w:eastAsia="仿宋" w:cs="仿宋"/>
          <w:b w:val="0"/>
          <w:sz w:val="24"/>
          <w:szCs w:val="24"/>
          <w:highlight w:val="none"/>
        </w:rPr>
        <w:t>工信部联企业〔2011〕300号</w:t>
      </w:r>
    </w:p>
    <w:p w14:paraId="0009FD55">
      <w:pPr>
        <w:pageBreakBefore w:val="0"/>
        <w:kinsoku/>
        <w:overflowPunct/>
        <w:topLinePunct w:val="0"/>
        <w:bidi w:val="0"/>
        <w:snapToGrid/>
        <w:spacing w:line="400" w:lineRule="exact"/>
        <w:rPr>
          <w:rStyle w:val="36"/>
          <w:rFonts w:hint="eastAsia" w:ascii="仿宋" w:hAnsi="仿宋" w:eastAsia="仿宋" w:cs="仿宋"/>
          <w:b w:val="0"/>
          <w:sz w:val="24"/>
          <w:szCs w:val="24"/>
          <w:highlight w:val="none"/>
        </w:rPr>
      </w:pPr>
    </w:p>
    <w:p w14:paraId="31DA88BB">
      <w:pPr>
        <w:pageBreakBefore w:val="0"/>
        <w:kinsoku/>
        <w:overflowPunct/>
        <w:topLinePunct w:val="0"/>
        <w:bidi w:val="0"/>
        <w:snapToGrid/>
        <w:spacing w:line="400" w:lineRule="exact"/>
        <w:rPr>
          <w:rStyle w:val="36"/>
          <w:rFonts w:hint="eastAsia" w:ascii="仿宋" w:hAnsi="仿宋" w:eastAsia="仿宋" w:cs="仿宋"/>
          <w:b w:val="0"/>
          <w:sz w:val="24"/>
          <w:szCs w:val="24"/>
          <w:highlight w:val="none"/>
        </w:rPr>
      </w:pPr>
      <w:r>
        <w:rPr>
          <w:rStyle w:val="36"/>
          <w:rFonts w:hint="eastAsia" w:ascii="仿宋" w:hAnsi="仿宋" w:eastAsia="仿宋" w:cs="仿宋"/>
          <w:b w:val="0"/>
          <w:sz w:val="24"/>
          <w:szCs w:val="24"/>
          <w:highlight w:val="none"/>
        </w:rPr>
        <w:t>各省、自治区、直辖市人民政府，国务院各部委、各直属机构及有关单位：</w:t>
      </w:r>
    </w:p>
    <w:p w14:paraId="1D1786AD">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3CC5DE9">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工业和信息化部　国家统计局</w:t>
      </w:r>
    </w:p>
    <w:p w14:paraId="42AF94B1">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国家发展和改革委员会　财政部</w:t>
      </w:r>
    </w:p>
    <w:p w14:paraId="52B43287">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二○一一年六月十八日</w:t>
      </w:r>
    </w:p>
    <w:p w14:paraId="739AEEB9">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xml:space="preserve"> </w:t>
      </w:r>
    </w:p>
    <w:p w14:paraId="5D6AFD99">
      <w:pPr>
        <w:pageBreakBefore w:val="0"/>
        <w:kinsoku/>
        <w:overflowPunct/>
        <w:topLinePunct w:val="0"/>
        <w:bidi w:val="0"/>
        <w:snapToGrid/>
        <w:spacing w:line="400" w:lineRule="exact"/>
        <w:rPr>
          <w:rStyle w:val="36"/>
          <w:rFonts w:hint="eastAsia" w:ascii="仿宋" w:hAnsi="仿宋" w:eastAsia="仿宋" w:cs="仿宋"/>
          <w:bCs w:val="0"/>
          <w:sz w:val="24"/>
          <w:szCs w:val="24"/>
          <w:highlight w:val="none"/>
        </w:rPr>
      </w:pPr>
      <w:r>
        <w:rPr>
          <w:rStyle w:val="36"/>
          <w:rFonts w:hint="eastAsia" w:ascii="仿宋" w:hAnsi="仿宋" w:eastAsia="仿宋" w:cs="仿宋"/>
          <w:bCs w:val="0"/>
          <w:sz w:val="24"/>
          <w:szCs w:val="24"/>
          <w:highlight w:val="none"/>
        </w:rPr>
        <w:t>中小企业划型标准规定</w:t>
      </w:r>
    </w:p>
    <w:p w14:paraId="66D5F40B">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一、根据《中华人民共和国中小企业促进法》和《国务院关于进一步促进中小企业发展的若干意见》(国发〔2009〕36号)，制定本规定。</w:t>
      </w:r>
    </w:p>
    <w:p w14:paraId="48FC22E9">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二、中小企业划分为中型、小型、微型三种类型，具体标准根据企业从业人员、营业收入、资产总额等指标，结合行业特点制定。</w:t>
      </w:r>
    </w:p>
    <w:p w14:paraId="5FBED977">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8836F2E">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四、各行业划型标准为：</w:t>
      </w:r>
    </w:p>
    <w:p w14:paraId="5B324407">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23BC023D">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3460829">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B3600B">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934B16E">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54D18BF">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EA3F6E2">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58F6EE">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AB0FBA">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40FB0B">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2B1212">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35CCF2">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33E08E">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F7ADCF0">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DFC6691">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0F6E9D">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42511BD7">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五、企业类型的划分以统计部门的统计数据为依据。</w:t>
      </w:r>
    </w:p>
    <w:p w14:paraId="4C9F4DB0">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六、本规定适用于在中华人民共和国境内依法设立的各类所有制和各种组织形式的企业。个体工商户和本规定以外的行业，参照本规定进行划型。</w:t>
      </w:r>
    </w:p>
    <w:p w14:paraId="10FB27D4">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5AF7296">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八、本规定由工业和信息化部、国家统计局会同有关部门根据《国民经济行业分类》修订情况和企业发展变化情况适时修订。</w:t>
      </w:r>
    </w:p>
    <w:p w14:paraId="740B19F5">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九、本规定由工业和信息化部、国家统计局会同有关部门负责解释。</w:t>
      </w:r>
    </w:p>
    <w:p w14:paraId="58A0C1E9">
      <w:pPr>
        <w:pageBreakBefore w:val="0"/>
        <w:kinsoku/>
        <w:overflowPunct/>
        <w:topLinePunct w:val="0"/>
        <w:bidi w:val="0"/>
        <w:snapToGrid/>
        <w:spacing w:line="400" w:lineRule="exact"/>
        <w:rPr>
          <w:rFonts w:hint="eastAsia" w:ascii="仿宋" w:hAnsi="仿宋" w:eastAsia="仿宋" w:cs="仿宋"/>
          <w:spacing w:val="6"/>
          <w:sz w:val="24"/>
          <w:szCs w:val="24"/>
          <w:highlight w:val="none"/>
        </w:rPr>
      </w:pPr>
      <w:r>
        <w:rPr>
          <w:rStyle w:val="36"/>
          <w:rFonts w:hint="eastAsia" w:ascii="仿宋" w:hAnsi="仿宋" w:eastAsia="仿宋" w:cs="仿宋"/>
          <w:b w:val="0"/>
          <w:bCs w:val="0"/>
          <w:sz w:val="24"/>
          <w:szCs w:val="24"/>
          <w:highlight w:val="none"/>
        </w:rPr>
        <w:t>十、本规定自发布之日起执行，原国家经贸委、原国家计委、财政部和国家统计局2003年颁布的《中小企业标准暂行规定》同时废止。</w:t>
      </w:r>
    </w:p>
    <w:p w14:paraId="0C6970EE">
      <w:pPr>
        <w:pageBreakBefore w:val="0"/>
        <w:kinsoku/>
        <w:overflowPunct/>
        <w:topLinePunct w:val="0"/>
        <w:bidi w:val="0"/>
        <w:snapToGrid/>
        <w:spacing w:line="400" w:lineRule="exact"/>
        <w:rPr>
          <w:rFonts w:hint="eastAsia" w:ascii="仿宋" w:hAnsi="仿宋" w:eastAsia="仿宋" w:cs="仿宋"/>
          <w:sz w:val="24"/>
          <w:szCs w:val="24"/>
          <w:highlight w:val="none"/>
        </w:rPr>
      </w:pPr>
    </w:p>
    <w:p w14:paraId="66BC41CA">
      <w:pPr>
        <w:pageBreakBefore w:val="0"/>
        <w:kinsoku/>
        <w:overflowPunct/>
        <w:topLinePunct w:val="0"/>
        <w:bidi w:val="0"/>
        <w:snapToGrid/>
        <w:spacing w:line="400" w:lineRule="exact"/>
        <w:rPr>
          <w:rFonts w:hint="eastAsia" w:ascii="仿宋" w:hAnsi="仿宋" w:eastAsia="仿宋" w:cs="仿宋"/>
          <w:sz w:val="24"/>
          <w:szCs w:val="24"/>
          <w:highlight w:val="none"/>
        </w:rPr>
      </w:pPr>
    </w:p>
    <w:p w14:paraId="1AA62911">
      <w:pPr>
        <w:pageBreakBefore w:val="0"/>
        <w:kinsoku/>
        <w:overflowPunct/>
        <w:topLinePunct w:val="0"/>
        <w:bidi w:val="0"/>
        <w:snapToGrid/>
        <w:spacing w:line="400" w:lineRule="exact"/>
        <w:rPr>
          <w:rFonts w:hint="eastAsia" w:ascii="仿宋" w:hAnsi="仿宋" w:eastAsia="仿宋" w:cs="仿宋"/>
          <w:sz w:val="24"/>
          <w:szCs w:val="24"/>
          <w:highlight w:val="none"/>
        </w:rPr>
      </w:pPr>
    </w:p>
    <w:p w14:paraId="3ED455F4">
      <w:pPr>
        <w:pageBreakBefore w:val="0"/>
        <w:kinsoku/>
        <w:overflowPunct/>
        <w:topLinePunct w:val="0"/>
        <w:bidi w:val="0"/>
        <w:snapToGrid/>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附件3：</w:t>
      </w:r>
    </w:p>
    <w:p w14:paraId="753E3760">
      <w:pPr>
        <w:pageBreakBefore w:val="0"/>
        <w:kinsoku/>
        <w:overflowPunct/>
        <w:topLinePunct w:val="0"/>
        <w:bidi w:val="0"/>
        <w:snapToGrid/>
        <w:spacing w:line="400" w:lineRule="exact"/>
        <w:rPr>
          <w:rFonts w:hint="eastAsia" w:ascii="仿宋" w:hAnsi="仿宋" w:eastAsia="仿宋" w:cs="仿宋"/>
          <w:sz w:val="24"/>
          <w:szCs w:val="24"/>
          <w:highlight w:val="none"/>
        </w:rPr>
      </w:pPr>
    </w:p>
    <w:p w14:paraId="261680BD">
      <w:pPr>
        <w:pStyle w:val="19"/>
        <w:pageBreakBefore w:val="0"/>
        <w:kinsoku/>
        <w:overflowPunct/>
        <w:topLinePunct w:val="0"/>
        <w:bidi w:val="0"/>
        <w:snapToGrid/>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关于印发《金融业企业划型标准规定》的通知</w:t>
      </w:r>
    </w:p>
    <w:p w14:paraId="765D540F">
      <w:pPr>
        <w:pageBreakBefore w:val="0"/>
        <w:kinsoku/>
        <w:overflowPunct/>
        <w:topLinePunct w:val="0"/>
        <w:bidi w:val="0"/>
        <w:snapToGrid/>
        <w:spacing w:line="400" w:lineRule="exact"/>
        <w:rPr>
          <w:rStyle w:val="36"/>
          <w:rFonts w:hint="eastAsia" w:ascii="仿宋" w:hAnsi="仿宋" w:eastAsia="仿宋" w:cs="仿宋"/>
          <w:b w:val="0"/>
          <w:sz w:val="24"/>
          <w:szCs w:val="24"/>
          <w:highlight w:val="none"/>
        </w:rPr>
      </w:pPr>
      <w:r>
        <w:rPr>
          <w:rStyle w:val="36"/>
          <w:rFonts w:hint="eastAsia" w:ascii="仿宋" w:hAnsi="仿宋" w:eastAsia="仿宋" w:cs="仿宋"/>
          <w:b w:val="0"/>
          <w:sz w:val="24"/>
          <w:szCs w:val="24"/>
          <w:highlight w:val="none"/>
        </w:rPr>
        <w:t>银发〔2015〕309号</w:t>
      </w:r>
    </w:p>
    <w:p w14:paraId="0D9AC69C">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6B05F348">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713058B">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p>
    <w:p w14:paraId="43DA6915">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附件：金融业企业划型标准规定</w:t>
      </w:r>
    </w:p>
    <w:p w14:paraId="0AD42168">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Fonts w:hint="eastAsia" w:ascii="仿宋" w:hAnsi="仿宋" w:eastAsia="仿宋" w:cs="仿宋"/>
          <w:spacing w:val="6"/>
          <w:sz w:val="24"/>
          <w:szCs w:val="24"/>
          <w:highlight w:val="none"/>
        </w:rPr>
        <w:t>                                      </w:t>
      </w:r>
      <w:r>
        <w:rPr>
          <w:rStyle w:val="36"/>
          <w:rFonts w:hint="eastAsia" w:ascii="仿宋" w:hAnsi="仿宋" w:eastAsia="仿宋" w:cs="仿宋"/>
          <w:b w:val="0"/>
          <w:bCs w:val="0"/>
          <w:sz w:val="24"/>
          <w:szCs w:val="24"/>
          <w:highlight w:val="none"/>
        </w:rPr>
        <w:t>                                   中国人民银行</w:t>
      </w:r>
    </w:p>
    <w:p w14:paraId="0407B66F">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中国银行业监督管理委员会</w:t>
      </w:r>
    </w:p>
    <w:p w14:paraId="2B3DCCEA">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中国证券监督管理委员会</w:t>
      </w:r>
    </w:p>
    <w:p w14:paraId="62D10DBE">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中国保险监督管理委员会</w:t>
      </w:r>
    </w:p>
    <w:p w14:paraId="5AF2DEB9">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中华人民共和国国家统计局</w:t>
      </w:r>
    </w:p>
    <w:p w14:paraId="245AE3E1">
      <w:pPr>
        <w:pageBreakBefore w:val="0"/>
        <w:kinsoku/>
        <w:overflowPunct/>
        <w:topLinePunct w:val="0"/>
        <w:bidi w:val="0"/>
        <w:snapToGrid/>
        <w:spacing w:line="400" w:lineRule="exact"/>
        <w:rPr>
          <w:rStyle w:val="36"/>
          <w:rFonts w:hint="eastAsia" w:ascii="仿宋" w:hAnsi="仿宋" w:eastAsia="仿宋" w:cs="仿宋"/>
          <w:b w:val="0"/>
          <w:bCs w:val="0"/>
          <w:sz w:val="24"/>
          <w:szCs w:val="24"/>
          <w:highlight w:val="none"/>
        </w:rPr>
      </w:pPr>
      <w:r>
        <w:rPr>
          <w:rStyle w:val="36"/>
          <w:rFonts w:hint="eastAsia" w:ascii="仿宋" w:hAnsi="仿宋" w:eastAsia="仿宋" w:cs="仿宋"/>
          <w:b w:val="0"/>
          <w:bCs w:val="0"/>
          <w:sz w:val="24"/>
          <w:szCs w:val="24"/>
          <w:highlight w:val="none"/>
        </w:rPr>
        <w:t>                                                           2015年9月28日</w:t>
      </w:r>
    </w:p>
    <w:p w14:paraId="2D937149">
      <w:pPr>
        <w:pageBreakBefore w:val="0"/>
        <w:kinsoku/>
        <w:overflowPunct/>
        <w:topLinePunct w:val="0"/>
        <w:bidi w:val="0"/>
        <w:snapToGrid/>
        <w:spacing w:line="400" w:lineRule="exact"/>
        <w:rPr>
          <w:rFonts w:hint="eastAsia" w:ascii="仿宋" w:hAnsi="仿宋" w:eastAsia="仿宋" w:cs="仿宋"/>
          <w:highlight w:val="none"/>
        </w:rPr>
      </w:pPr>
    </w:p>
    <w:p w14:paraId="1EA3FB25">
      <w:pPr>
        <w:pageBreakBefore w:val="0"/>
        <w:kinsoku/>
        <w:overflowPunct/>
        <w:topLinePunct w:val="0"/>
        <w:bidi w:val="0"/>
        <w:snapToGrid/>
        <w:spacing w:line="400" w:lineRule="exact"/>
        <w:rPr>
          <w:rFonts w:hint="eastAsia" w:ascii="仿宋" w:hAnsi="仿宋" w:eastAsia="仿宋" w:cs="仿宋"/>
          <w:highlight w:val="none"/>
        </w:rPr>
      </w:pPr>
    </w:p>
    <w:p w14:paraId="164560BA">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74C432E5">
      <w:pPr>
        <w:pStyle w:val="4"/>
        <w:pageBreakBefore w:val="0"/>
        <w:kinsoku/>
        <w:overflowPunct/>
        <w:topLinePunct w:val="0"/>
        <w:bidi w:val="0"/>
        <w:snapToGrid/>
        <w:spacing w:line="400" w:lineRule="exact"/>
        <w:rPr>
          <w:rFonts w:hint="eastAsia" w:ascii="仿宋" w:hAnsi="仿宋" w:eastAsia="仿宋" w:cs="仿宋"/>
          <w:sz w:val="24"/>
          <w:szCs w:val="24"/>
          <w:highlight w:val="none"/>
        </w:rPr>
      </w:pPr>
      <w:bookmarkStart w:id="379" w:name="_Toc163492940"/>
      <w:r>
        <w:rPr>
          <w:rFonts w:hint="eastAsia" w:ascii="仿宋" w:hAnsi="仿宋" w:eastAsia="仿宋" w:cs="仿宋"/>
          <w:highlight w:val="none"/>
        </w:rPr>
        <w:t>（三）监狱企业证明文件</w:t>
      </w:r>
      <w:r>
        <w:rPr>
          <w:rFonts w:hint="eastAsia" w:ascii="仿宋" w:hAnsi="仿宋" w:eastAsia="仿宋" w:cs="仿宋"/>
          <w:sz w:val="24"/>
          <w:szCs w:val="24"/>
          <w:highlight w:val="none"/>
        </w:rPr>
        <w:t>【如适用】</w:t>
      </w:r>
      <w:bookmarkEnd w:id="379"/>
    </w:p>
    <w:p w14:paraId="686F3729">
      <w:pPr>
        <w:pageBreakBefore w:val="0"/>
        <w:kinsoku/>
        <w:overflowPunct/>
        <w:topLinePunct w:val="0"/>
        <w:bidi w:val="0"/>
        <w:snapToGrid/>
        <w:spacing w:line="400" w:lineRule="exact"/>
        <w:rPr>
          <w:rFonts w:hint="eastAsia" w:ascii="仿宋" w:hAnsi="仿宋" w:eastAsia="仿宋" w:cs="仿宋"/>
          <w:highlight w:val="none"/>
        </w:rPr>
      </w:pPr>
    </w:p>
    <w:p w14:paraId="6EEB923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【监狱企业应当提供由省级及以上监狱管理局、戒毒管理局（含新疆生产建设兵团）出具的监狱企业的证明文件，格式如下】。</w:t>
      </w:r>
    </w:p>
    <w:p w14:paraId="29502C43">
      <w:pPr>
        <w:pStyle w:val="19"/>
        <w:pageBreakBefore w:val="0"/>
        <w:kinsoku/>
        <w:overflowPunct/>
        <w:topLinePunct w:val="0"/>
        <w:bidi w:val="0"/>
        <w:snapToGrid/>
        <w:spacing w:line="400" w:lineRule="exact"/>
        <w:rPr>
          <w:rFonts w:hint="eastAsia" w:ascii="仿宋" w:hAnsi="仿宋" w:eastAsia="仿宋" w:cs="仿宋"/>
          <w:highlight w:val="none"/>
        </w:rPr>
      </w:pPr>
    </w:p>
    <w:p w14:paraId="6DBFC145">
      <w:pPr>
        <w:pStyle w:val="19"/>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监狱企业证明函</w:t>
      </w:r>
    </w:p>
    <w:p w14:paraId="33387647">
      <w:pPr>
        <w:pageBreakBefore w:val="0"/>
        <w:kinsoku/>
        <w:overflowPunct/>
        <w:topLinePunct w:val="0"/>
        <w:bidi w:val="0"/>
        <w:snapToGrid/>
        <w:spacing w:line="400" w:lineRule="exact"/>
        <w:rPr>
          <w:rFonts w:hint="eastAsia" w:ascii="仿宋" w:hAnsi="仿宋" w:eastAsia="仿宋" w:cs="仿宋"/>
          <w:highlight w:val="none"/>
        </w:rPr>
      </w:pPr>
    </w:p>
    <w:p w14:paraId="46D3692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本公司郑重声明，根据财政部、司法部《关于政府采购支持监狱企业发展有关问题的通知》（财库〔2014〕68号）的规定，本公司为监狱企业。</w:t>
      </w:r>
    </w:p>
    <w:p w14:paraId="26FE5A97">
      <w:pPr>
        <w:pageBreakBefore w:val="0"/>
        <w:kinsoku/>
        <w:overflowPunct/>
        <w:topLinePunct w:val="0"/>
        <w:bidi w:val="0"/>
        <w:snapToGrid/>
        <w:spacing w:line="400" w:lineRule="exact"/>
        <w:rPr>
          <w:rFonts w:hint="eastAsia" w:ascii="仿宋" w:hAnsi="仿宋" w:eastAsia="仿宋" w:cs="仿宋"/>
          <w:highlight w:val="none"/>
        </w:rPr>
      </w:pPr>
    </w:p>
    <w:p w14:paraId="070C780A">
      <w:pPr>
        <w:pageBreakBefore w:val="0"/>
        <w:kinsoku/>
        <w:overflowPunct/>
        <w:topLinePunct w:val="0"/>
        <w:bidi w:val="0"/>
        <w:snapToGrid/>
        <w:spacing w:line="400" w:lineRule="exact"/>
        <w:rPr>
          <w:rFonts w:hint="eastAsia" w:ascii="仿宋" w:hAnsi="仿宋" w:eastAsia="仿宋" w:cs="仿宋"/>
          <w:highlight w:val="none"/>
        </w:rPr>
      </w:pPr>
    </w:p>
    <w:p w14:paraId="6EA3EB9B">
      <w:pPr>
        <w:pageBreakBefore w:val="0"/>
        <w:kinsoku/>
        <w:overflowPunct/>
        <w:topLinePunct w:val="0"/>
        <w:bidi w:val="0"/>
        <w:snapToGrid/>
        <w:spacing w:line="400" w:lineRule="exact"/>
        <w:rPr>
          <w:rFonts w:hint="eastAsia" w:ascii="仿宋" w:hAnsi="仿宋" w:eastAsia="仿宋" w:cs="仿宋"/>
          <w:highlight w:val="none"/>
        </w:rPr>
      </w:pPr>
    </w:p>
    <w:p w14:paraId="3D968AA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kern w:val="0"/>
          <w:highlight w:val="none"/>
        </w:rPr>
        <w:t>公章）</w:t>
      </w:r>
      <w:r>
        <w:rPr>
          <w:rFonts w:hint="eastAsia" w:ascii="仿宋" w:hAnsi="仿宋" w:eastAsia="仿宋" w:cs="仿宋"/>
          <w:highlight w:val="none"/>
        </w:rPr>
        <w:t>：</w:t>
      </w:r>
    </w:p>
    <w:p w14:paraId="57615936">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日期：   年  月  日</w:t>
      </w:r>
    </w:p>
    <w:p w14:paraId="6700D932">
      <w:pPr>
        <w:pageBreakBefore w:val="0"/>
        <w:kinsoku/>
        <w:overflowPunct/>
        <w:topLinePunct w:val="0"/>
        <w:bidi w:val="0"/>
        <w:snapToGrid/>
        <w:spacing w:line="400" w:lineRule="exact"/>
        <w:rPr>
          <w:rFonts w:hint="eastAsia" w:ascii="仿宋" w:hAnsi="仿宋" w:eastAsia="仿宋" w:cs="仿宋"/>
          <w:highlight w:val="none"/>
        </w:rPr>
      </w:pPr>
    </w:p>
    <w:p w14:paraId="27D9C2E3">
      <w:pPr>
        <w:pageBreakBefore w:val="0"/>
        <w:kinsoku/>
        <w:overflowPunct/>
        <w:topLinePunct w:val="0"/>
        <w:bidi w:val="0"/>
        <w:snapToGrid/>
        <w:spacing w:line="400" w:lineRule="exact"/>
        <w:rPr>
          <w:rFonts w:hint="eastAsia" w:ascii="仿宋" w:hAnsi="仿宋" w:eastAsia="仿宋" w:cs="仿宋"/>
          <w:highlight w:val="none"/>
        </w:rPr>
      </w:pPr>
    </w:p>
    <w:p w14:paraId="2E8340E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省级以上监狱管理局、戒毒管理局</w:t>
      </w:r>
    </w:p>
    <w:p w14:paraId="37EC725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（含新疆生产建设兵团）（</w:t>
      </w:r>
      <w:r>
        <w:rPr>
          <w:rFonts w:hint="eastAsia" w:ascii="仿宋" w:hAnsi="仿宋" w:eastAsia="仿宋" w:cs="仿宋"/>
          <w:kern w:val="0"/>
          <w:highlight w:val="none"/>
        </w:rPr>
        <w:t>盖章）</w:t>
      </w:r>
      <w:r>
        <w:rPr>
          <w:rFonts w:hint="eastAsia" w:ascii="仿宋" w:hAnsi="仿宋" w:eastAsia="仿宋" w:cs="仿宋"/>
          <w:highlight w:val="none"/>
        </w:rPr>
        <w:t xml:space="preserve">：  </w:t>
      </w:r>
    </w:p>
    <w:p w14:paraId="08C69FB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日期：   年  月  日</w:t>
      </w:r>
    </w:p>
    <w:p w14:paraId="766C741C">
      <w:pPr>
        <w:pageBreakBefore w:val="0"/>
        <w:kinsoku/>
        <w:overflowPunct/>
        <w:topLinePunct w:val="0"/>
        <w:bidi w:val="0"/>
        <w:snapToGrid/>
        <w:spacing w:line="400" w:lineRule="exact"/>
        <w:rPr>
          <w:rFonts w:hint="eastAsia" w:ascii="仿宋" w:hAnsi="仿宋" w:eastAsia="仿宋" w:cs="仿宋"/>
          <w:highlight w:val="none"/>
        </w:rPr>
      </w:pPr>
    </w:p>
    <w:p w14:paraId="5C613AFD">
      <w:pPr>
        <w:pageBreakBefore w:val="0"/>
        <w:kinsoku/>
        <w:overflowPunct/>
        <w:topLinePunct w:val="0"/>
        <w:bidi w:val="0"/>
        <w:snapToGrid/>
        <w:spacing w:line="400" w:lineRule="exact"/>
        <w:rPr>
          <w:rFonts w:hint="eastAsia" w:ascii="仿宋" w:hAnsi="仿宋" w:eastAsia="仿宋" w:cs="仿宋"/>
          <w:highlight w:val="none"/>
        </w:rPr>
      </w:pPr>
    </w:p>
    <w:p w14:paraId="200949A1">
      <w:pPr>
        <w:pageBreakBefore w:val="0"/>
        <w:kinsoku/>
        <w:overflowPunct/>
        <w:topLinePunct w:val="0"/>
        <w:bidi w:val="0"/>
        <w:snapToGrid/>
        <w:spacing w:line="400" w:lineRule="exact"/>
        <w:rPr>
          <w:rFonts w:hint="eastAsia" w:ascii="仿宋" w:hAnsi="仿宋" w:eastAsia="仿宋" w:cs="仿宋"/>
          <w:highlight w:val="none"/>
        </w:rPr>
      </w:pPr>
    </w:p>
    <w:p w14:paraId="6564EF6B">
      <w:pPr>
        <w:pageBreakBefore w:val="0"/>
        <w:kinsoku/>
        <w:overflowPunct/>
        <w:topLinePunct w:val="0"/>
        <w:bidi w:val="0"/>
        <w:snapToGrid/>
        <w:spacing w:line="400" w:lineRule="exact"/>
        <w:rPr>
          <w:rFonts w:hint="eastAsia" w:ascii="仿宋" w:hAnsi="仿宋" w:eastAsia="仿宋" w:cs="仿宋"/>
          <w:highlight w:val="none"/>
        </w:rPr>
      </w:pPr>
    </w:p>
    <w:p w14:paraId="00D0424D">
      <w:pPr>
        <w:pageBreakBefore w:val="0"/>
        <w:kinsoku/>
        <w:overflowPunct/>
        <w:topLinePunct w:val="0"/>
        <w:bidi w:val="0"/>
        <w:snapToGrid/>
        <w:spacing w:line="400" w:lineRule="exact"/>
        <w:rPr>
          <w:rFonts w:hint="eastAsia" w:ascii="仿宋" w:hAnsi="仿宋" w:eastAsia="仿宋" w:cs="仿宋"/>
          <w:highlight w:val="none"/>
        </w:rPr>
      </w:pPr>
    </w:p>
    <w:p w14:paraId="0AC55656">
      <w:pPr>
        <w:pageBreakBefore w:val="0"/>
        <w:kinsoku/>
        <w:overflowPunct/>
        <w:topLinePunct w:val="0"/>
        <w:bidi w:val="0"/>
        <w:snapToGrid/>
        <w:spacing w:line="400" w:lineRule="exact"/>
        <w:rPr>
          <w:rFonts w:hint="eastAsia" w:ascii="仿宋" w:hAnsi="仿宋" w:eastAsia="仿宋" w:cs="仿宋"/>
          <w:highlight w:val="none"/>
        </w:rPr>
      </w:pPr>
      <w:bookmarkStart w:id="380" w:name="_Toc163492941"/>
      <w:r>
        <w:rPr>
          <w:rFonts w:hint="eastAsia" w:ascii="仿宋" w:hAnsi="仿宋" w:eastAsia="仿宋" w:cs="仿宋"/>
          <w:highlight w:val="none"/>
        </w:rPr>
        <w:br w:type="page"/>
      </w:r>
    </w:p>
    <w:p w14:paraId="40198DFF">
      <w:pPr>
        <w:pStyle w:val="4"/>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（四）残疾人福利性单位声明函【如适用】</w:t>
      </w:r>
      <w:bookmarkEnd w:id="380"/>
    </w:p>
    <w:p w14:paraId="2E86F92C">
      <w:pPr>
        <w:pStyle w:val="43"/>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残疾人福利性单位声明函</w:t>
      </w:r>
    </w:p>
    <w:p w14:paraId="6C6299C3">
      <w:pPr>
        <w:pageBreakBefore w:val="0"/>
        <w:kinsoku/>
        <w:overflowPunct/>
        <w:topLinePunct w:val="0"/>
        <w:bidi w:val="0"/>
        <w:snapToGrid/>
        <w:spacing w:line="400" w:lineRule="exact"/>
        <w:rPr>
          <w:rFonts w:hint="eastAsia" w:ascii="仿宋" w:hAnsi="仿宋" w:eastAsia="仿宋" w:cs="仿宋"/>
          <w:highlight w:val="none"/>
        </w:rPr>
      </w:pPr>
    </w:p>
    <w:p w14:paraId="39472E1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highlight w:val="none"/>
          <w:u w:val="single"/>
        </w:rPr>
        <w:t xml:space="preserve"> （单位名称） </w:t>
      </w:r>
      <w:r>
        <w:rPr>
          <w:rFonts w:hint="eastAsia" w:ascii="仿宋" w:hAnsi="仿宋" w:eastAsia="仿宋" w:cs="仿宋"/>
          <w:highlight w:val="none"/>
        </w:rPr>
        <w:t>的</w:t>
      </w:r>
      <w:r>
        <w:rPr>
          <w:rFonts w:hint="eastAsia" w:ascii="仿宋" w:hAnsi="仿宋" w:eastAsia="仿宋" w:cs="仿宋"/>
          <w:highlight w:val="none"/>
          <w:u w:val="single"/>
        </w:rPr>
        <w:t xml:space="preserve"> （项目名称） </w:t>
      </w:r>
      <w:r>
        <w:rPr>
          <w:rFonts w:hint="eastAsia" w:ascii="仿宋" w:hAnsi="仿宋" w:eastAsia="仿宋" w:cs="仿宋"/>
          <w:highlight w:val="none"/>
        </w:rPr>
        <w:t>采购活动，提供的货物</w:t>
      </w:r>
      <w:r>
        <w:rPr>
          <w:rFonts w:hint="eastAsia" w:ascii="仿宋" w:hAnsi="仿宋" w:eastAsia="仿宋" w:cs="仿宋"/>
          <w:b/>
          <w:highlight w:val="none"/>
        </w:rPr>
        <w:t>全部由</w:t>
      </w:r>
      <w:r>
        <w:rPr>
          <w:rFonts w:hint="eastAsia" w:ascii="仿宋" w:hAnsi="仿宋" w:eastAsia="仿宋" w:cs="仿宋"/>
          <w:highlight w:val="none"/>
        </w:rPr>
        <w:t>符合政策要求的</w:t>
      </w:r>
      <w:r>
        <w:rPr>
          <w:rFonts w:hint="eastAsia" w:ascii="仿宋" w:hAnsi="仿宋" w:eastAsia="仿宋" w:cs="仿宋"/>
          <w:b/>
          <w:highlight w:val="none"/>
        </w:rPr>
        <w:t>残疾人福利性单位制造</w:t>
      </w:r>
      <w:r>
        <w:rPr>
          <w:rFonts w:hint="eastAsia" w:ascii="仿宋" w:hAnsi="仿宋" w:eastAsia="仿宋" w:cs="仿宋"/>
          <w:highlight w:val="none"/>
        </w:rPr>
        <w:t>。相关企业（含联合体中的残疾人福利性单位、签订分包意向协议书的残疾人福利性单位）的具体情况如下：</w:t>
      </w:r>
    </w:p>
    <w:p w14:paraId="5C21595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 xml:space="preserve"> （标的名称） </w:t>
      </w:r>
      <w:r>
        <w:rPr>
          <w:rFonts w:hint="eastAsia" w:ascii="仿宋" w:hAnsi="仿宋" w:eastAsia="仿宋" w:cs="仿宋"/>
          <w:highlight w:val="none"/>
        </w:rPr>
        <w:t xml:space="preserve">，制造商为 </w:t>
      </w:r>
      <w:r>
        <w:rPr>
          <w:rFonts w:hint="eastAsia" w:ascii="仿宋" w:hAnsi="仿宋" w:eastAsia="仿宋" w:cs="仿宋"/>
          <w:highlight w:val="none"/>
          <w:u w:val="single"/>
        </w:rPr>
        <w:t xml:space="preserve">  （企业名称） </w:t>
      </w:r>
      <w:r>
        <w:rPr>
          <w:rFonts w:hint="eastAsia" w:ascii="仿宋" w:hAnsi="仿宋" w:eastAsia="仿宋" w:cs="仿宋"/>
          <w:highlight w:val="none"/>
        </w:rPr>
        <w:t>，属于残疾人福利性单位；</w:t>
      </w:r>
    </w:p>
    <w:p w14:paraId="1EC00B58">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2. </w:t>
      </w:r>
      <w:r>
        <w:rPr>
          <w:rFonts w:hint="eastAsia" w:ascii="仿宋" w:hAnsi="仿宋" w:eastAsia="仿宋" w:cs="仿宋"/>
          <w:highlight w:val="none"/>
          <w:u w:val="single"/>
        </w:rPr>
        <w:t xml:space="preserve">（标的名称） </w:t>
      </w:r>
      <w:r>
        <w:rPr>
          <w:rFonts w:hint="eastAsia" w:ascii="仿宋" w:hAnsi="仿宋" w:eastAsia="仿宋" w:cs="仿宋"/>
          <w:highlight w:val="none"/>
        </w:rPr>
        <w:t xml:space="preserve">，制造商为 </w:t>
      </w:r>
      <w:r>
        <w:rPr>
          <w:rFonts w:hint="eastAsia" w:ascii="仿宋" w:hAnsi="仿宋" w:eastAsia="仿宋" w:cs="仿宋"/>
          <w:highlight w:val="none"/>
          <w:u w:val="single"/>
        </w:rPr>
        <w:t xml:space="preserve">  （企业名称） </w:t>
      </w:r>
      <w:r>
        <w:rPr>
          <w:rFonts w:hint="eastAsia" w:ascii="仿宋" w:hAnsi="仿宋" w:eastAsia="仿宋" w:cs="仿宋"/>
          <w:highlight w:val="none"/>
        </w:rPr>
        <w:t>，属于残疾人福利性单位；</w:t>
      </w:r>
    </w:p>
    <w:p w14:paraId="657B955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w:t>
      </w:r>
    </w:p>
    <w:p w14:paraId="140E687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5592A92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48CDBDA8">
      <w:pPr>
        <w:pageBreakBefore w:val="0"/>
        <w:kinsoku/>
        <w:overflowPunct/>
        <w:topLinePunct w:val="0"/>
        <w:bidi w:val="0"/>
        <w:snapToGrid/>
        <w:spacing w:line="400" w:lineRule="exact"/>
        <w:rPr>
          <w:rFonts w:hint="eastAsia" w:ascii="仿宋" w:hAnsi="仿宋" w:eastAsia="仿宋" w:cs="仿宋"/>
          <w:highlight w:val="none"/>
        </w:rPr>
      </w:pPr>
    </w:p>
    <w:p w14:paraId="0137D09C">
      <w:pPr>
        <w:pageBreakBefore w:val="0"/>
        <w:kinsoku/>
        <w:overflowPunct/>
        <w:topLinePunct w:val="0"/>
        <w:bidi w:val="0"/>
        <w:snapToGrid/>
        <w:spacing w:line="400" w:lineRule="exact"/>
        <w:rPr>
          <w:rFonts w:hint="eastAsia" w:ascii="仿宋" w:hAnsi="仿宋" w:eastAsia="仿宋" w:cs="仿宋"/>
          <w:szCs w:val="24"/>
          <w:highlight w:val="none"/>
        </w:rPr>
      </w:pPr>
      <w:r>
        <w:rPr>
          <w:rFonts w:hint="eastAsia" w:ascii="仿宋" w:hAnsi="仿宋" w:eastAsia="仿宋" w:cs="仿宋"/>
          <w:b/>
          <w:szCs w:val="24"/>
          <w:highlight w:val="none"/>
        </w:rPr>
        <w:t>说明：</w:t>
      </w:r>
      <w:r>
        <w:rPr>
          <w:rFonts w:hint="eastAsia" w:ascii="仿宋" w:hAnsi="仿宋" w:eastAsia="仿宋" w:cs="仿宋"/>
          <w:szCs w:val="24"/>
          <w:highlight w:val="none"/>
        </w:rPr>
        <w:t>1、</w:t>
      </w:r>
      <w:r>
        <w:rPr>
          <w:rFonts w:hint="eastAsia" w:ascii="仿宋" w:hAnsi="仿宋" w:eastAsia="仿宋" w:cs="仿宋"/>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B51E11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bCs/>
          <w:highlight w:val="none"/>
          <w:lang w:val="zh-CN"/>
        </w:rPr>
        <w:t xml:space="preserve">      2、</w:t>
      </w:r>
      <w:r>
        <w:rPr>
          <w:rFonts w:hint="eastAsia" w:ascii="仿宋" w:hAnsi="仿宋" w:eastAsia="仿宋" w:cs="仿宋"/>
          <w:highlight w:val="none"/>
        </w:rPr>
        <w:t>以联合体形式参加的，应</w:t>
      </w:r>
      <w:r>
        <w:rPr>
          <w:rFonts w:hint="eastAsia" w:ascii="仿宋" w:hAnsi="仿宋" w:eastAsia="仿宋" w:cs="仿宋"/>
          <w:bCs/>
          <w:highlight w:val="none"/>
          <w:lang w:val="zh-CN"/>
        </w:rPr>
        <w:t>当</w:t>
      </w:r>
      <w:r>
        <w:rPr>
          <w:rFonts w:hint="eastAsia" w:ascii="仿宋" w:hAnsi="仿宋" w:eastAsia="仿宋" w:cs="仿宋"/>
          <w:highlight w:val="none"/>
        </w:rPr>
        <w:t>由联合体各方盖章。</w:t>
      </w:r>
    </w:p>
    <w:p w14:paraId="57E75115">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投标人</w:t>
      </w:r>
      <w:r>
        <w:rPr>
          <w:rFonts w:hint="eastAsia" w:ascii="仿宋" w:hAnsi="仿宋" w:eastAsia="仿宋" w:cs="仿宋"/>
          <w:highlight w:val="none"/>
        </w:rPr>
        <w:t>名称</w:t>
      </w:r>
      <w:r>
        <w:rPr>
          <w:rFonts w:hint="eastAsia" w:ascii="仿宋" w:hAnsi="仿宋" w:eastAsia="仿宋" w:cs="仿宋"/>
          <w:szCs w:val="24"/>
          <w:highlight w:val="none"/>
        </w:rPr>
        <w:t>（</w:t>
      </w:r>
      <w:r>
        <w:rPr>
          <w:rFonts w:hint="eastAsia" w:ascii="仿宋" w:hAnsi="仿宋" w:eastAsia="仿宋" w:cs="仿宋"/>
          <w:kern w:val="0"/>
          <w:szCs w:val="24"/>
          <w:highlight w:val="none"/>
        </w:rPr>
        <w:t>公章</w:t>
      </w:r>
      <w:r>
        <w:rPr>
          <w:rFonts w:hint="eastAsia" w:ascii="仿宋" w:hAnsi="仿宋" w:eastAsia="仿宋" w:cs="仿宋"/>
          <w:kern w:val="0"/>
          <w:highlight w:val="none"/>
          <w:lang w:val="zh-CN"/>
        </w:rPr>
        <w:t>)</w:t>
      </w:r>
      <w:r>
        <w:rPr>
          <w:rFonts w:hint="eastAsia" w:ascii="仿宋" w:hAnsi="仿宋" w:eastAsia="仿宋" w:cs="仿宋"/>
          <w:highlight w:val="none"/>
          <w:lang w:val="zh-CN"/>
        </w:rPr>
        <w:t xml:space="preserve">：              </w:t>
      </w:r>
    </w:p>
    <w:p w14:paraId="221CB07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日  期：                         </w:t>
      </w:r>
    </w:p>
    <w:p w14:paraId="1EA0B532">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36F90408">
      <w:pPr>
        <w:pStyle w:val="3"/>
        <w:pageBreakBefore w:val="0"/>
        <w:kinsoku/>
        <w:overflowPunct/>
        <w:topLinePunct w:val="0"/>
        <w:bidi w:val="0"/>
        <w:snapToGrid/>
        <w:spacing w:line="400" w:lineRule="exact"/>
        <w:rPr>
          <w:rFonts w:hint="eastAsia" w:ascii="仿宋" w:hAnsi="仿宋" w:eastAsia="仿宋" w:cs="仿宋"/>
          <w:highlight w:val="none"/>
        </w:rPr>
      </w:pPr>
      <w:bookmarkStart w:id="381" w:name="_Toc6028"/>
      <w:bookmarkStart w:id="382" w:name="_Toc163492942"/>
      <w:r>
        <w:rPr>
          <w:rFonts w:hint="eastAsia" w:ascii="仿宋" w:hAnsi="仿宋" w:eastAsia="仿宋" w:cs="仿宋"/>
          <w:highlight w:val="none"/>
        </w:rPr>
        <w:t>五、不参与围标串标承诺书</w:t>
      </w:r>
      <w:bookmarkEnd w:id="381"/>
    </w:p>
    <w:p w14:paraId="107355C9">
      <w:pPr>
        <w:pStyle w:val="4"/>
        <w:pageBreakBefore w:val="0"/>
        <w:kinsoku/>
        <w:overflowPunct/>
        <w:topLinePunct w:val="0"/>
        <w:bidi w:val="0"/>
        <w:snapToGrid/>
        <w:spacing w:line="400" w:lineRule="exact"/>
        <w:jc w:val="center"/>
        <w:rPr>
          <w:rFonts w:hint="eastAsia" w:ascii="仿宋" w:hAnsi="仿宋" w:eastAsia="仿宋" w:cs="仿宋"/>
          <w:b/>
          <w:bCs w:val="0"/>
          <w:kern w:val="2"/>
          <w:sz w:val="24"/>
          <w:szCs w:val="20"/>
          <w:highlight w:val="none"/>
          <w:lang w:val="zh-CN" w:eastAsia="zh-CN" w:bidi="ar-SA"/>
        </w:rPr>
      </w:pPr>
      <w:r>
        <w:rPr>
          <w:rFonts w:hint="eastAsia" w:ascii="仿宋" w:hAnsi="仿宋" w:eastAsia="仿宋" w:cs="仿宋"/>
          <w:b/>
          <w:bCs w:val="0"/>
          <w:kern w:val="2"/>
          <w:sz w:val="24"/>
          <w:szCs w:val="20"/>
          <w:highlight w:val="none"/>
          <w:lang w:val="zh-CN" w:eastAsia="zh-CN" w:bidi="ar-SA"/>
        </w:rPr>
        <w:t>不参与围标串标承诺书</w:t>
      </w:r>
    </w:p>
    <w:p w14:paraId="5FB14D17">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为诚实、客观、有序地参与</w:t>
      </w:r>
      <w:r>
        <w:rPr>
          <w:rFonts w:hint="eastAsia" w:ascii="仿宋" w:hAnsi="仿宋" w:eastAsia="仿宋" w:cs="仿宋"/>
          <w:kern w:val="0"/>
          <w:szCs w:val="24"/>
          <w:highlight w:val="none"/>
          <w:u w:val="single"/>
          <w:lang w:val="zh-CN"/>
        </w:rPr>
        <w:t xml:space="preserve">                     </w:t>
      </w:r>
      <w:r>
        <w:rPr>
          <w:rFonts w:hint="eastAsia" w:ascii="仿宋" w:hAnsi="仿宋" w:eastAsia="仿宋" w:cs="仿宋"/>
          <w:kern w:val="0"/>
          <w:szCs w:val="24"/>
          <w:highlight w:val="none"/>
          <w:lang w:val="zh-CN"/>
        </w:rPr>
        <w:t>项目采购活动，愿就以下内容作出承诺：</w:t>
      </w:r>
    </w:p>
    <w:p w14:paraId="79D82B93">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一、严格遵守国家法律法规和行业规范，诚实守信，公平竞争，不参与任何形式的围标、串标行为，不与其他投标供应商存在控股、管理及其他关联关系。</w:t>
      </w:r>
    </w:p>
    <w:p w14:paraId="71DDFC51">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761B5CB6">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三、若在招标投标过程中发现其他投标人或相关方有围标、串标等违法行为，及时告知采购人或代理机构，积极配合调查。</w:t>
      </w:r>
    </w:p>
    <w:p w14:paraId="6C5AE041">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0B00336D">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p>
    <w:p w14:paraId="4853FFAB">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供应商：                             （公章）</w:t>
      </w:r>
    </w:p>
    <w:p w14:paraId="6C0BE44C">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法定代表人或委托代理人：             （签字）</w:t>
      </w:r>
    </w:p>
    <w:p w14:paraId="67F57D02">
      <w:pPr>
        <w:pageBreakBefore w:val="0"/>
        <w:widowControl w:val="0"/>
        <w:kinsoku/>
        <w:overflowPunct/>
        <w:topLinePunct w:val="0"/>
        <w:autoSpaceDE w:val="0"/>
        <w:autoSpaceDN w:val="0"/>
        <w:bidi w:val="0"/>
        <w:adjustRightInd w:val="0"/>
        <w:snapToGrid/>
        <w:spacing w:line="400" w:lineRule="exact"/>
        <w:ind w:firstLine="482"/>
        <w:jc w:val="both"/>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t xml:space="preserve">                                    年   月   日</w:t>
      </w:r>
    </w:p>
    <w:p w14:paraId="5C44CD85">
      <w:pPr>
        <w:rPr>
          <w:rFonts w:hint="eastAsia" w:ascii="仿宋" w:hAnsi="仿宋" w:eastAsia="仿宋" w:cs="仿宋"/>
          <w:kern w:val="0"/>
          <w:szCs w:val="24"/>
          <w:highlight w:val="none"/>
          <w:lang w:val="zh-CN"/>
        </w:rPr>
      </w:pPr>
      <w:r>
        <w:rPr>
          <w:rFonts w:hint="eastAsia" w:ascii="仿宋" w:hAnsi="仿宋" w:eastAsia="仿宋" w:cs="仿宋"/>
          <w:kern w:val="0"/>
          <w:szCs w:val="24"/>
          <w:highlight w:val="none"/>
          <w:lang w:val="zh-CN"/>
        </w:rPr>
        <w:br w:type="page"/>
      </w:r>
    </w:p>
    <w:p w14:paraId="5B6476AC">
      <w:pPr>
        <w:pStyle w:val="3"/>
        <w:pageBreakBefore w:val="0"/>
        <w:numPr>
          <w:ilvl w:val="0"/>
          <w:numId w:val="12"/>
        </w:numPr>
        <w:kinsoku/>
        <w:overflowPunct/>
        <w:topLinePunct w:val="0"/>
        <w:bidi w:val="0"/>
        <w:snapToGrid/>
        <w:spacing w:line="400" w:lineRule="exact"/>
        <w:rPr>
          <w:rFonts w:hint="eastAsia" w:ascii="仿宋" w:hAnsi="仿宋" w:eastAsia="仿宋" w:cs="仿宋"/>
          <w:b/>
          <w:bCs/>
          <w:kern w:val="2"/>
          <w:sz w:val="32"/>
          <w:szCs w:val="32"/>
          <w:highlight w:val="none"/>
          <w:lang w:val="zh-CN" w:eastAsia="zh-CN" w:bidi="ar-SA"/>
        </w:rPr>
      </w:pPr>
      <w:r>
        <w:rPr>
          <w:rFonts w:hint="eastAsia" w:ascii="仿宋" w:hAnsi="仿宋" w:eastAsia="仿宋" w:cs="仿宋"/>
          <w:b/>
          <w:bCs/>
          <w:kern w:val="2"/>
          <w:sz w:val="32"/>
          <w:szCs w:val="32"/>
          <w:highlight w:val="none"/>
          <w:lang w:val="zh-CN" w:eastAsia="zh-CN" w:bidi="ar-SA"/>
        </w:rPr>
        <w:t>供应商诚信承诺书</w:t>
      </w:r>
    </w:p>
    <w:p w14:paraId="02EA18F9">
      <w:pPr>
        <w:pageBreakBefore w:val="0"/>
        <w:kinsoku/>
        <w:overflowPunct/>
        <w:topLinePunct w:val="0"/>
        <w:autoSpaceDE w:val="0"/>
        <w:autoSpaceDN w:val="0"/>
        <w:bidi w:val="0"/>
        <w:adjustRightInd w:val="0"/>
        <w:snapToGrid/>
        <w:spacing w:line="400" w:lineRule="exact"/>
        <w:ind w:firstLine="480"/>
        <w:jc w:val="center"/>
        <w:rPr>
          <w:rFonts w:hint="eastAsia" w:ascii="仿宋" w:hAnsi="仿宋" w:eastAsia="仿宋" w:cs="仿宋"/>
          <w:b/>
          <w:bCs/>
          <w:kern w:val="0"/>
          <w:sz w:val="28"/>
          <w:szCs w:val="24"/>
          <w:highlight w:val="none"/>
          <w:lang w:val="zh-CN" w:eastAsia="zh-CN"/>
        </w:rPr>
      </w:pPr>
      <w:r>
        <w:rPr>
          <w:rFonts w:hint="eastAsia" w:ascii="仿宋" w:hAnsi="仿宋" w:eastAsia="仿宋" w:cs="仿宋"/>
          <w:b/>
          <w:bCs/>
          <w:kern w:val="0"/>
          <w:sz w:val="28"/>
          <w:szCs w:val="24"/>
          <w:highlight w:val="none"/>
          <w:lang w:val="zh-CN" w:eastAsia="zh-CN"/>
        </w:rPr>
        <w:t>供应商诚信承诺书</w:t>
      </w:r>
    </w:p>
    <w:p w14:paraId="473BF1F2">
      <w:pPr>
        <w:pageBreakBefore w:val="0"/>
        <w:kinsoku/>
        <w:overflowPunct/>
        <w:topLinePunct w:val="0"/>
        <w:autoSpaceDE w:val="0"/>
        <w:autoSpaceDN w:val="0"/>
        <w:bidi w:val="0"/>
        <w:adjustRightInd w:val="0"/>
        <w:snapToGrid/>
        <w:spacing w:line="400" w:lineRule="exact"/>
        <w:jc w:val="center"/>
        <w:rPr>
          <w:rFonts w:hint="eastAsia" w:ascii="仿宋" w:hAnsi="仿宋" w:eastAsia="仿宋" w:cs="仿宋"/>
          <w:color w:val="000000"/>
          <w:sz w:val="36"/>
          <w:szCs w:val="36"/>
          <w:highlight w:val="none"/>
        </w:rPr>
      </w:pPr>
    </w:p>
    <w:p w14:paraId="05D6BDAD">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bookmarkStart w:id="383" w:name="_Hlk182910040"/>
      <w:r>
        <w:rPr>
          <w:rFonts w:hint="eastAsia" w:ascii="仿宋" w:hAnsi="仿宋" w:eastAsia="仿宋" w:cs="仿宋"/>
          <w:kern w:val="0"/>
          <w:sz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highlight w:val="none"/>
          <w:lang w:val="zh-CN"/>
        </w:rPr>
        <w:t>采购活动，愿就以下内容作出承诺：</w:t>
      </w:r>
    </w:p>
    <w:bookmarkEnd w:id="383"/>
    <w:p w14:paraId="35AA0C84">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一、自觉遵守各项法律、法规、规章、制度以及社会公德，维护廉洁环境，与同场竞争的供应商平等参加招采购活动。</w:t>
      </w:r>
    </w:p>
    <w:p w14:paraId="3979F5B8">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二、参加采购代理机构组织的采购活动时，严格按照</w:t>
      </w:r>
      <w:r>
        <w:rPr>
          <w:rFonts w:hint="eastAsia" w:ascii="仿宋" w:hAnsi="仿宋" w:eastAsia="仿宋" w:cs="仿宋"/>
          <w:kern w:val="0"/>
          <w:sz w:val="24"/>
          <w:highlight w:val="none"/>
        </w:rPr>
        <w:t>招标</w:t>
      </w:r>
      <w:r>
        <w:rPr>
          <w:rFonts w:hint="eastAsia" w:ascii="仿宋" w:hAnsi="仿宋" w:eastAsia="仿宋" w:cs="仿宋"/>
          <w:kern w:val="0"/>
          <w:sz w:val="24"/>
          <w:highlight w:val="none"/>
          <w:lang w:val="zh-CN"/>
        </w:rPr>
        <w:t>文件的规定和要求提供所需的相关材料，并对所提供的各类资料的真实性负责，不虚假应标，不虚列业绩；不以他人名义投标或者以其他方式弄虚作假，骗取中标。</w:t>
      </w:r>
    </w:p>
    <w:p w14:paraId="2693A578">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三、尊重参与采购活动各相关方的合法行为，接受采购活动依法形成的意见、结果。</w:t>
      </w:r>
    </w:p>
    <w:p w14:paraId="1442C1DA">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bookmarkStart w:id="384" w:name="_Hlk182909516"/>
      <w:r>
        <w:rPr>
          <w:rFonts w:hint="eastAsia" w:ascii="仿宋" w:hAnsi="仿宋" w:eastAsia="仿宋" w:cs="仿宋"/>
          <w:kern w:val="0"/>
          <w:sz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4"/>
    <w:p w14:paraId="3DC00DA1">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6E5DE46">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027ED2B5">
      <w:pPr>
        <w:pageBreakBefore w:val="0"/>
        <w:kinsoku/>
        <w:overflowPunct/>
        <w:topLinePunct w:val="0"/>
        <w:autoSpaceDE w:val="0"/>
        <w:autoSpaceDN w:val="0"/>
        <w:bidi w:val="0"/>
        <w:adjustRightInd w:val="0"/>
        <w:snapToGrid/>
        <w:spacing w:line="400" w:lineRule="exact"/>
        <w:ind w:firstLine="48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七、认真履行成交人应承担的责任和义务，全面执行采购合同规定的各项内容，保质保量地按时提供采购物品。</w:t>
      </w:r>
    </w:p>
    <w:p w14:paraId="72432FFE">
      <w:pPr>
        <w:pageBreakBefore w:val="0"/>
        <w:kinsoku/>
        <w:overflowPunct/>
        <w:topLinePunct w:val="0"/>
        <w:autoSpaceDE w:val="0"/>
        <w:autoSpaceDN w:val="0"/>
        <w:bidi w:val="0"/>
        <w:adjustRightInd w:val="0"/>
        <w:snapToGrid/>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若本企业（单位）发生有悖于上述承诺的行为或形成恶意投诉，我们自愿接受《政府采购法》等有关法律法规中对供应商的相关处理：</w:t>
      </w:r>
      <w:bookmarkStart w:id="385" w:name="_Hlk182910718"/>
      <w:r>
        <w:rPr>
          <w:rFonts w:hint="eastAsia" w:ascii="仿宋" w:hAnsi="仿宋" w:eastAsia="仿宋" w:cs="仿宋"/>
          <w:kern w:val="0"/>
          <w:sz w:val="24"/>
          <w:highlight w:val="none"/>
          <w:lang w:val="zh-CN"/>
        </w:rPr>
        <w:t>自愿放弃中标资格、限制以后投标、记入不良信用档案、没收本次投标保证金，并愿意承担由此引起的其他法律责任。</w:t>
      </w:r>
      <w:bookmarkEnd w:id="385"/>
    </w:p>
    <w:p w14:paraId="509B1C32">
      <w:pPr>
        <w:pageBreakBefore w:val="0"/>
        <w:kinsoku/>
        <w:overflowPunct/>
        <w:topLinePunct w:val="0"/>
        <w:autoSpaceDE w:val="0"/>
        <w:autoSpaceDN w:val="0"/>
        <w:bidi w:val="0"/>
        <w:adjustRightInd w:val="0"/>
        <w:snapToGrid/>
        <w:spacing w:line="400" w:lineRule="exact"/>
        <w:ind w:firstLine="4435" w:firstLineChars="1848"/>
        <w:rPr>
          <w:rFonts w:hint="eastAsia" w:ascii="仿宋" w:hAnsi="仿宋" w:eastAsia="仿宋" w:cs="仿宋"/>
          <w:bCs/>
          <w:kern w:val="0"/>
          <w:sz w:val="24"/>
          <w:highlight w:val="none"/>
          <w:lang w:val="zh-CN"/>
        </w:rPr>
      </w:pPr>
      <w:bookmarkStart w:id="386" w:name="_Hlk182910783"/>
      <w:r>
        <w:rPr>
          <w:rFonts w:hint="eastAsia" w:ascii="仿宋" w:hAnsi="仿宋" w:eastAsia="仿宋" w:cs="仿宋"/>
          <w:bCs/>
          <w:kern w:val="0"/>
          <w:sz w:val="24"/>
          <w:highlight w:val="none"/>
          <w:lang w:val="zh-CN"/>
        </w:rPr>
        <w:t>供应商：             （公章）</w:t>
      </w:r>
    </w:p>
    <w:p w14:paraId="783CE504">
      <w:pPr>
        <w:pageBreakBefore w:val="0"/>
        <w:kinsoku/>
        <w:overflowPunct/>
        <w:topLinePunct w:val="0"/>
        <w:autoSpaceDE w:val="0"/>
        <w:autoSpaceDN w:val="0"/>
        <w:bidi w:val="0"/>
        <w:adjustRightInd w:val="0"/>
        <w:snapToGrid/>
        <w:spacing w:line="400" w:lineRule="exact"/>
        <w:rPr>
          <w:rFonts w:hint="eastAsia" w:ascii="仿宋" w:hAnsi="仿宋" w:eastAsia="仿宋" w:cs="仿宋"/>
          <w:bCs/>
          <w:kern w:val="0"/>
          <w:sz w:val="24"/>
          <w:highlight w:val="none"/>
          <w:lang w:val="zh-CN"/>
        </w:rPr>
      </w:pPr>
      <w:r>
        <w:rPr>
          <w:rFonts w:hint="eastAsia" w:ascii="仿宋" w:hAnsi="仿宋" w:eastAsia="仿宋" w:cs="仿宋"/>
          <w:bCs/>
          <w:kern w:val="0"/>
          <w:sz w:val="24"/>
          <w:highlight w:val="none"/>
          <w:lang w:val="zh-CN"/>
        </w:rPr>
        <w:t xml:space="preserve">                     法定代表人或委托代理人：             （签字）</w:t>
      </w:r>
    </w:p>
    <w:p w14:paraId="00476BC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bCs/>
          <w:kern w:val="0"/>
          <w:sz w:val="24"/>
          <w:highlight w:val="none"/>
          <w:lang w:val="zh-CN"/>
        </w:rPr>
        <w:t xml:space="preserve">                                         年   月   日</w:t>
      </w:r>
      <w:bookmarkEnd w:id="386"/>
    </w:p>
    <w:p w14:paraId="5ABD98AB">
      <w:pPr>
        <w:pStyle w:val="14"/>
        <w:pageBreakBefore w:val="0"/>
        <w:kinsoku/>
        <w:overflowPunct/>
        <w:topLinePunct w:val="0"/>
        <w:bidi w:val="0"/>
        <w:snapToGrid/>
        <w:spacing w:line="400" w:lineRule="exact"/>
        <w:rPr>
          <w:rFonts w:hint="eastAsia" w:ascii="仿宋" w:hAnsi="仿宋" w:eastAsia="仿宋" w:cs="仿宋"/>
          <w:highlight w:val="none"/>
        </w:rPr>
      </w:pPr>
    </w:p>
    <w:p w14:paraId="6009195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6F6F831A">
      <w:pPr>
        <w:pStyle w:val="3"/>
        <w:pageBreakBefore w:val="0"/>
        <w:kinsoku/>
        <w:overflowPunct/>
        <w:topLinePunct w:val="0"/>
        <w:bidi w:val="0"/>
        <w:snapToGrid/>
        <w:spacing w:line="400" w:lineRule="exact"/>
        <w:rPr>
          <w:rFonts w:hint="eastAsia" w:ascii="仿宋" w:hAnsi="仿宋" w:eastAsia="仿宋" w:cs="仿宋"/>
          <w:highlight w:val="none"/>
          <w:lang w:val="zh-CN"/>
        </w:rPr>
      </w:pPr>
      <w:bookmarkStart w:id="387" w:name="_Toc22101"/>
      <w:r>
        <w:rPr>
          <w:rFonts w:hint="eastAsia" w:ascii="仿宋" w:hAnsi="仿宋" w:eastAsia="仿宋" w:cs="仿宋"/>
          <w:highlight w:val="none"/>
          <w:lang w:val="en-US" w:eastAsia="zh-CN"/>
        </w:rPr>
        <w:t>七</w:t>
      </w:r>
      <w:r>
        <w:rPr>
          <w:rFonts w:hint="eastAsia" w:ascii="仿宋" w:hAnsi="仿宋" w:eastAsia="仿宋" w:cs="仿宋"/>
          <w:highlight w:val="none"/>
        </w:rPr>
        <w:t>、</w:t>
      </w:r>
      <w:bookmarkEnd w:id="382"/>
      <w:r>
        <w:rPr>
          <w:rFonts w:hint="eastAsia" w:ascii="仿宋" w:hAnsi="仿宋" w:eastAsia="仿宋" w:cs="仿宋"/>
          <w:highlight w:val="none"/>
          <w:lang w:val="zh-CN"/>
        </w:rPr>
        <w:t>其他资格证明文件</w:t>
      </w:r>
      <w:bookmarkEnd w:id="387"/>
    </w:p>
    <w:p w14:paraId="25420446">
      <w:pPr>
        <w:pStyle w:val="4"/>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（一）控股、管理关系声明函</w:t>
      </w:r>
    </w:p>
    <w:p w14:paraId="290AAB20">
      <w:pPr>
        <w:pStyle w:val="41"/>
        <w:pageBreakBefore w:val="0"/>
        <w:kinsoku/>
        <w:overflowPunct/>
        <w:topLinePunct w:val="0"/>
        <w:bidi w:val="0"/>
        <w:snapToGrid/>
        <w:spacing w:line="400" w:lineRule="exact"/>
        <w:ind w:firstLine="0"/>
        <w:jc w:val="center"/>
        <w:rPr>
          <w:rFonts w:hint="eastAsia" w:ascii="仿宋" w:hAnsi="仿宋" w:eastAsia="仿宋" w:cs="仿宋"/>
          <w:b/>
          <w:highlight w:val="none"/>
        </w:rPr>
      </w:pPr>
      <w:r>
        <w:rPr>
          <w:rFonts w:hint="eastAsia" w:ascii="仿宋" w:hAnsi="仿宋" w:eastAsia="仿宋" w:cs="仿宋"/>
          <w:b/>
          <w:highlight w:val="none"/>
        </w:rPr>
        <w:t>控股、管理关系声明函</w:t>
      </w:r>
    </w:p>
    <w:p w14:paraId="1B2D58F4">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0"/>
          <w:highlight w:val="none"/>
        </w:rPr>
      </w:pPr>
      <w:r>
        <w:rPr>
          <w:rFonts w:hint="eastAsia" w:ascii="仿宋" w:hAnsi="仿宋" w:eastAsia="仿宋" w:cs="仿宋"/>
          <w:kern w:val="0"/>
          <w:szCs w:val="24"/>
          <w:highlight w:val="none"/>
        </w:rPr>
        <w:t>本公司</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（公司名称）参加</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（项目名称）的</w:t>
      </w:r>
      <w:r>
        <w:rPr>
          <w:rFonts w:hint="eastAsia" w:ascii="仿宋" w:hAnsi="仿宋" w:eastAsia="仿宋" w:cs="仿宋"/>
          <w:kern w:val="0"/>
          <w:szCs w:val="28"/>
          <w:highlight w:val="none"/>
        </w:rPr>
        <w:t>采购</w:t>
      </w:r>
      <w:r>
        <w:rPr>
          <w:rFonts w:hint="eastAsia" w:ascii="仿宋" w:hAnsi="仿宋" w:eastAsia="仿宋" w:cs="仿宋"/>
          <w:kern w:val="0"/>
          <w:szCs w:val="24"/>
          <w:highlight w:val="none"/>
        </w:rPr>
        <w:t>活动，现将我公司</w:t>
      </w:r>
      <w:r>
        <w:rPr>
          <w:rFonts w:hint="eastAsia" w:ascii="仿宋" w:hAnsi="仿宋" w:eastAsia="仿宋" w:cs="仿宋"/>
          <w:highlight w:val="none"/>
        </w:rPr>
        <w:t>控股、管理关系声明如下：</w:t>
      </w:r>
    </w:p>
    <w:p w14:paraId="73BBD1A4">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（1）与我方单位负责人为同一人的其他单位名称：</w:t>
      </w:r>
    </w:p>
    <w:p w14:paraId="1E5848DC">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□无；□有，具体单位名称为：</w:t>
      </w:r>
      <w:r>
        <w:rPr>
          <w:rFonts w:hint="eastAsia" w:ascii="仿宋" w:hAnsi="仿宋" w:eastAsia="仿宋" w:cs="仿宋"/>
          <w:kern w:val="0"/>
          <w:szCs w:val="24"/>
          <w:highlight w:val="none"/>
          <w:u w:val="single"/>
        </w:rPr>
        <w:t>（由投标人如实填写）</w:t>
      </w:r>
      <w:r>
        <w:rPr>
          <w:rFonts w:hint="eastAsia" w:ascii="仿宋" w:hAnsi="仿宋" w:eastAsia="仿宋" w:cs="仿宋"/>
          <w:kern w:val="0"/>
          <w:szCs w:val="24"/>
          <w:highlight w:val="none"/>
        </w:rPr>
        <w:t>。</w:t>
      </w:r>
    </w:p>
    <w:p w14:paraId="4FC5627F">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（2）与我方存在控股、管理关系的其他单位的名称：</w:t>
      </w:r>
    </w:p>
    <w:p w14:paraId="55CC37E2">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□无；□有，具体单位名称为：</w:t>
      </w:r>
      <w:r>
        <w:rPr>
          <w:rFonts w:hint="eastAsia" w:ascii="仿宋" w:hAnsi="仿宋" w:eastAsia="仿宋" w:cs="仿宋"/>
          <w:kern w:val="0"/>
          <w:szCs w:val="24"/>
          <w:highlight w:val="none"/>
          <w:u w:val="single"/>
        </w:rPr>
        <w:t xml:space="preserve"> （由投标人如实填写）</w:t>
      </w:r>
      <w:r>
        <w:rPr>
          <w:rFonts w:hint="eastAsia" w:ascii="仿宋" w:hAnsi="仿宋" w:eastAsia="仿宋" w:cs="仿宋"/>
          <w:kern w:val="0"/>
          <w:szCs w:val="24"/>
          <w:highlight w:val="none"/>
        </w:rPr>
        <w:t>。</w:t>
      </w:r>
    </w:p>
    <w:p w14:paraId="4C95C769">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备注：以上2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01D0CB4D">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同时本公司承诺参加本次采购活动不存在：</w:t>
      </w:r>
    </w:p>
    <w:p w14:paraId="550B51BD">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（1）与招标人存在利害关系可能影响招标公正性的法定代表人、其他组织或者个人参加投标的情形；</w:t>
      </w:r>
    </w:p>
    <w:p w14:paraId="4DDA58BE">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（2）单位负责人为同一人或者存在直接控股、管理关系的不同单位，参加同一合同项下的同一招标项目投标的情形；</w:t>
      </w:r>
    </w:p>
    <w:p w14:paraId="27AB17B9">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本公司对上述承诺内容事项真实性负责。如经查实上述承诺的内容事项存在虚假，我公司愿意接受以提供虚假材料谋取中标追究法律责任。</w:t>
      </w:r>
    </w:p>
    <w:p w14:paraId="4A36900F">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0"/>
          <w:highlight w:val="none"/>
        </w:rPr>
      </w:pPr>
    </w:p>
    <w:p w14:paraId="5FFC3032">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0"/>
          <w:highlight w:val="none"/>
        </w:rPr>
      </w:pPr>
    </w:p>
    <w:p w14:paraId="13BF8005">
      <w:pPr>
        <w:pageBreakBefore w:val="0"/>
        <w:widowControl w:val="0"/>
        <w:kinsoku/>
        <w:overflowPunct/>
        <w:topLinePunct w:val="0"/>
        <w:bidi w:val="0"/>
        <w:snapToGrid/>
        <w:spacing w:line="400" w:lineRule="exact"/>
        <w:ind w:firstLine="480" w:firstLineChars="200"/>
        <w:jc w:val="right"/>
        <w:rPr>
          <w:rFonts w:hint="eastAsia" w:ascii="仿宋" w:hAnsi="仿宋" w:eastAsia="仿宋" w:cs="仿宋"/>
          <w:kern w:val="0"/>
          <w:szCs w:val="20"/>
          <w:highlight w:val="none"/>
        </w:rPr>
      </w:pPr>
      <w:r>
        <w:rPr>
          <w:rFonts w:hint="eastAsia" w:ascii="仿宋" w:hAnsi="仿宋" w:eastAsia="仿宋" w:cs="仿宋"/>
          <w:kern w:val="0"/>
          <w:szCs w:val="20"/>
          <w:highlight w:val="none"/>
        </w:rPr>
        <w:t>投标人名称：XXXX（单位公章）</w:t>
      </w:r>
    </w:p>
    <w:p w14:paraId="083EA1E9">
      <w:pPr>
        <w:pageBreakBefore w:val="0"/>
        <w:widowControl w:val="0"/>
        <w:kinsoku/>
        <w:overflowPunct/>
        <w:topLinePunct w:val="0"/>
        <w:bidi w:val="0"/>
        <w:snapToGrid/>
        <w:spacing w:line="400" w:lineRule="exact"/>
        <w:ind w:firstLine="480" w:firstLineChars="200"/>
        <w:jc w:val="right"/>
        <w:rPr>
          <w:rFonts w:hint="eastAsia" w:ascii="仿宋" w:hAnsi="仿宋" w:eastAsia="仿宋" w:cs="仿宋"/>
          <w:kern w:val="0"/>
          <w:szCs w:val="20"/>
          <w:highlight w:val="none"/>
        </w:rPr>
      </w:pPr>
      <w:r>
        <w:rPr>
          <w:rFonts w:hint="eastAsia" w:ascii="仿宋" w:hAnsi="仿宋" w:eastAsia="仿宋" w:cs="仿宋"/>
          <w:kern w:val="0"/>
          <w:szCs w:val="20"/>
          <w:highlight w:val="none"/>
        </w:rPr>
        <w:t>法定代表人/单位负责人或授权代表（签字或加盖个人名章）：XXXX</w:t>
      </w:r>
    </w:p>
    <w:p w14:paraId="41886843">
      <w:pPr>
        <w:pStyle w:val="41"/>
        <w:pageBreakBefore w:val="0"/>
        <w:kinsoku/>
        <w:overflowPunct/>
        <w:topLinePunct w:val="0"/>
        <w:bidi w:val="0"/>
        <w:snapToGrid/>
        <w:spacing w:line="400" w:lineRule="exact"/>
        <w:ind w:firstLine="0"/>
        <w:jc w:val="right"/>
        <w:rPr>
          <w:rFonts w:hint="eastAsia" w:ascii="仿宋" w:hAnsi="仿宋" w:eastAsia="仿宋" w:cs="仿宋"/>
          <w:highlight w:val="none"/>
        </w:rPr>
      </w:pPr>
      <w:r>
        <w:rPr>
          <w:rFonts w:hint="eastAsia" w:ascii="仿宋" w:hAnsi="仿宋" w:eastAsia="仿宋" w:cs="仿宋"/>
          <w:iCs w:val="0"/>
          <w:kern w:val="0"/>
          <w:szCs w:val="20"/>
          <w:highlight w:val="none"/>
          <w:shd w:val="clear" w:color="auto" w:fill="auto"/>
          <w:lang w:val="en-US"/>
        </w:rPr>
        <w:t>投标日期：XXXX</w:t>
      </w:r>
    </w:p>
    <w:p w14:paraId="6707056E">
      <w:pPr>
        <w:pageBreakBefore w:val="0"/>
        <w:kinsoku/>
        <w:overflowPunct/>
        <w:topLinePunct w:val="0"/>
        <w:bidi w:val="0"/>
        <w:snapToGrid/>
        <w:spacing w:line="400" w:lineRule="exact"/>
        <w:rPr>
          <w:rFonts w:hint="eastAsia" w:ascii="仿宋" w:hAnsi="仿宋" w:eastAsia="仿宋" w:cs="仿宋"/>
          <w:b/>
          <w:bCs/>
          <w:sz w:val="30"/>
          <w:szCs w:val="32"/>
          <w:highlight w:val="none"/>
        </w:rPr>
      </w:pPr>
      <w:r>
        <w:rPr>
          <w:rFonts w:hint="eastAsia" w:ascii="仿宋" w:hAnsi="仿宋" w:eastAsia="仿宋" w:cs="仿宋"/>
          <w:highlight w:val="none"/>
        </w:rPr>
        <w:br w:type="page"/>
      </w:r>
    </w:p>
    <w:p w14:paraId="73349D81">
      <w:pPr>
        <w:pStyle w:val="4"/>
        <w:pageBreakBefore w:val="0"/>
        <w:kinsoku/>
        <w:overflowPunct/>
        <w:topLinePunct w:val="0"/>
        <w:bidi w:val="0"/>
        <w:snapToGrid/>
        <w:spacing w:line="400" w:lineRule="exact"/>
        <w:rPr>
          <w:rFonts w:hint="eastAsia" w:ascii="仿宋" w:hAnsi="仿宋" w:eastAsia="仿宋" w:cs="仿宋"/>
          <w:b/>
          <w:bCs/>
          <w:iCs w:val="0"/>
          <w:kern w:val="2"/>
          <w:sz w:val="30"/>
          <w:szCs w:val="32"/>
          <w:highlight w:val="none"/>
          <w:shd w:val="clear" w:color="auto" w:fill="FFFFFF" w:themeFill="background1"/>
          <w:lang w:val="en-US" w:eastAsia="zh-CN" w:bidi="ar-SA"/>
        </w:rPr>
      </w:pPr>
      <w:r>
        <w:rPr>
          <w:rFonts w:hint="eastAsia" w:ascii="仿宋" w:hAnsi="仿宋" w:eastAsia="仿宋" w:cs="仿宋"/>
          <w:b/>
          <w:bCs/>
          <w:iCs w:val="0"/>
          <w:kern w:val="2"/>
          <w:sz w:val="30"/>
          <w:szCs w:val="32"/>
          <w:highlight w:val="none"/>
          <w:shd w:val="clear" w:color="auto" w:fill="FFFFFF" w:themeFill="background1"/>
          <w:lang w:val="en-US" w:eastAsia="zh-CN" w:bidi="ar-SA"/>
        </w:rPr>
        <w:t>（二）其他利害关系声明函</w:t>
      </w:r>
    </w:p>
    <w:p w14:paraId="042E3187">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0"/>
          <w:highlight w:val="none"/>
        </w:rPr>
      </w:pPr>
      <w:r>
        <w:rPr>
          <w:rFonts w:hint="eastAsia" w:ascii="仿宋" w:hAnsi="仿宋" w:eastAsia="仿宋" w:cs="仿宋"/>
          <w:kern w:val="0"/>
          <w:szCs w:val="24"/>
          <w:highlight w:val="none"/>
        </w:rPr>
        <w:t>本公司</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（公司名称）参加</w:t>
      </w:r>
      <w:r>
        <w:rPr>
          <w:rFonts w:hint="eastAsia" w:ascii="仿宋" w:hAnsi="仿宋" w:eastAsia="仿宋" w:cs="仿宋"/>
          <w:kern w:val="0"/>
          <w:szCs w:val="24"/>
          <w:highlight w:val="none"/>
          <w:u w:val="single"/>
        </w:rPr>
        <w:t xml:space="preserve">               </w:t>
      </w:r>
      <w:r>
        <w:rPr>
          <w:rFonts w:hint="eastAsia" w:ascii="仿宋" w:hAnsi="仿宋" w:eastAsia="仿宋" w:cs="仿宋"/>
          <w:kern w:val="0"/>
          <w:szCs w:val="24"/>
          <w:highlight w:val="none"/>
        </w:rPr>
        <w:t>（项目名称）的</w:t>
      </w:r>
      <w:r>
        <w:rPr>
          <w:rFonts w:hint="eastAsia" w:ascii="仿宋" w:hAnsi="仿宋" w:eastAsia="仿宋" w:cs="仿宋"/>
          <w:kern w:val="0"/>
          <w:szCs w:val="28"/>
          <w:highlight w:val="none"/>
        </w:rPr>
        <w:t>采购</w:t>
      </w:r>
      <w:r>
        <w:rPr>
          <w:rFonts w:hint="eastAsia" w:ascii="仿宋" w:hAnsi="仿宋" w:eastAsia="仿宋" w:cs="仿宋"/>
          <w:kern w:val="0"/>
          <w:szCs w:val="24"/>
          <w:highlight w:val="none"/>
        </w:rPr>
        <w:t>活动，我公司</w:t>
      </w:r>
      <w:r>
        <w:rPr>
          <w:rFonts w:hint="eastAsia" w:ascii="仿宋" w:hAnsi="仿宋" w:eastAsia="仿宋" w:cs="仿宋"/>
          <w:highlight w:val="none"/>
        </w:rPr>
        <w:t>其他利害关系声明如下：</w:t>
      </w:r>
    </w:p>
    <w:p w14:paraId="371ECA3A">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 xml:space="preserve">（1）参与本项目采购活动前，是否为本项目前期准备提供过整体设计、规范编制或者项目管理、监理、检测等服务： </w:t>
      </w:r>
    </w:p>
    <w:p w14:paraId="05B4AEE9">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□无；□有，已提供的具体服务内容为：</w:t>
      </w:r>
      <w:r>
        <w:rPr>
          <w:rFonts w:hint="eastAsia" w:ascii="仿宋" w:hAnsi="仿宋" w:eastAsia="仿宋" w:cs="仿宋"/>
          <w:kern w:val="0"/>
          <w:szCs w:val="24"/>
          <w:highlight w:val="none"/>
          <w:u w:val="single"/>
        </w:rPr>
        <w:t xml:space="preserve"> （由投标人如实填写）</w:t>
      </w:r>
      <w:r>
        <w:rPr>
          <w:rFonts w:hint="eastAsia" w:ascii="仿宋" w:hAnsi="仿宋" w:eastAsia="仿宋" w:cs="仿宋"/>
          <w:kern w:val="0"/>
          <w:szCs w:val="24"/>
          <w:highlight w:val="none"/>
        </w:rPr>
        <w:t>。</w:t>
      </w:r>
    </w:p>
    <w:p w14:paraId="4CBA6947">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（备注：以上声明，必须如实选择，选中项用☑表示，未选中项用□表示。供应商如未如实填报，视为提供虚假材料谋取中标，应承担相应法律责任。）</w:t>
      </w:r>
    </w:p>
    <w:p w14:paraId="7249E112">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同时本公司承诺参加本次采购活动不存在：参与本项目采购活动前，为本项目前期准备提供过整体设计、规范编制或者项目管理、监理、检测等服务：</w:t>
      </w:r>
    </w:p>
    <w:p w14:paraId="38A608B4">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4"/>
          <w:highlight w:val="none"/>
        </w:rPr>
      </w:pPr>
      <w:r>
        <w:rPr>
          <w:rFonts w:hint="eastAsia" w:ascii="仿宋" w:hAnsi="仿宋" w:eastAsia="仿宋" w:cs="仿宋"/>
          <w:kern w:val="0"/>
          <w:szCs w:val="24"/>
          <w:highlight w:val="none"/>
        </w:rPr>
        <w:t>本公司对上述承诺内容事项真实性负责。如经查实上述承诺的内容事项存在虚假，我公司愿意接受以提供虚假材料谋取中标追究法律责任。</w:t>
      </w:r>
    </w:p>
    <w:p w14:paraId="22D56138">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0"/>
          <w:highlight w:val="none"/>
        </w:rPr>
      </w:pPr>
    </w:p>
    <w:p w14:paraId="12755407">
      <w:pPr>
        <w:pageBreakBefore w:val="0"/>
        <w:widowControl w:val="0"/>
        <w:kinsoku/>
        <w:overflowPunct/>
        <w:topLinePunct w:val="0"/>
        <w:bidi w:val="0"/>
        <w:snapToGrid/>
        <w:spacing w:line="400" w:lineRule="exact"/>
        <w:ind w:firstLine="480" w:firstLineChars="200"/>
        <w:jc w:val="both"/>
        <w:rPr>
          <w:rFonts w:hint="eastAsia" w:ascii="仿宋" w:hAnsi="仿宋" w:eastAsia="仿宋" w:cs="仿宋"/>
          <w:kern w:val="0"/>
          <w:szCs w:val="20"/>
          <w:highlight w:val="none"/>
        </w:rPr>
      </w:pPr>
    </w:p>
    <w:p w14:paraId="75141A3F">
      <w:pPr>
        <w:pageBreakBefore w:val="0"/>
        <w:widowControl w:val="0"/>
        <w:kinsoku/>
        <w:overflowPunct/>
        <w:topLinePunct w:val="0"/>
        <w:bidi w:val="0"/>
        <w:snapToGrid/>
        <w:spacing w:line="400" w:lineRule="exact"/>
        <w:ind w:firstLine="480" w:firstLineChars="200"/>
        <w:jc w:val="right"/>
        <w:rPr>
          <w:rFonts w:hint="eastAsia" w:ascii="仿宋" w:hAnsi="仿宋" w:eastAsia="仿宋" w:cs="仿宋"/>
          <w:kern w:val="0"/>
          <w:szCs w:val="20"/>
          <w:highlight w:val="none"/>
        </w:rPr>
      </w:pPr>
      <w:r>
        <w:rPr>
          <w:rFonts w:hint="eastAsia" w:ascii="仿宋" w:hAnsi="仿宋" w:eastAsia="仿宋" w:cs="仿宋"/>
          <w:kern w:val="0"/>
          <w:szCs w:val="20"/>
          <w:highlight w:val="none"/>
        </w:rPr>
        <w:t>投标人名称：XXXX（单位公章）</w:t>
      </w:r>
    </w:p>
    <w:p w14:paraId="72156D53">
      <w:pPr>
        <w:pageBreakBefore w:val="0"/>
        <w:widowControl w:val="0"/>
        <w:kinsoku/>
        <w:overflowPunct/>
        <w:topLinePunct w:val="0"/>
        <w:bidi w:val="0"/>
        <w:snapToGrid/>
        <w:spacing w:line="400" w:lineRule="exact"/>
        <w:ind w:firstLine="480" w:firstLineChars="200"/>
        <w:jc w:val="right"/>
        <w:rPr>
          <w:rFonts w:hint="eastAsia" w:ascii="仿宋" w:hAnsi="仿宋" w:eastAsia="仿宋" w:cs="仿宋"/>
          <w:kern w:val="0"/>
          <w:szCs w:val="20"/>
          <w:highlight w:val="none"/>
        </w:rPr>
      </w:pPr>
      <w:r>
        <w:rPr>
          <w:rFonts w:hint="eastAsia" w:ascii="仿宋" w:hAnsi="仿宋" w:eastAsia="仿宋" w:cs="仿宋"/>
          <w:kern w:val="0"/>
          <w:szCs w:val="20"/>
          <w:highlight w:val="none"/>
        </w:rPr>
        <w:t>法定代表人/单位负责人或授权代表（签字或加盖个人名章）：XXXX</w:t>
      </w:r>
    </w:p>
    <w:p w14:paraId="56F50DA6">
      <w:pPr>
        <w:pStyle w:val="41"/>
        <w:pageBreakBefore w:val="0"/>
        <w:kinsoku/>
        <w:overflowPunct/>
        <w:topLinePunct w:val="0"/>
        <w:bidi w:val="0"/>
        <w:snapToGrid/>
        <w:spacing w:line="400" w:lineRule="exact"/>
        <w:rPr>
          <w:rFonts w:hint="eastAsia" w:ascii="仿宋" w:hAnsi="仿宋" w:eastAsia="仿宋" w:cs="仿宋"/>
          <w:szCs w:val="24"/>
          <w:highlight w:val="none"/>
        </w:rPr>
      </w:pPr>
      <w:r>
        <w:rPr>
          <w:rFonts w:hint="eastAsia" w:ascii="仿宋" w:hAnsi="仿宋" w:eastAsia="仿宋" w:cs="仿宋"/>
          <w:iCs w:val="0"/>
          <w:kern w:val="0"/>
          <w:szCs w:val="20"/>
          <w:highlight w:val="none"/>
          <w:shd w:val="clear" w:color="auto" w:fill="auto"/>
          <w:lang w:val="en-US"/>
        </w:rPr>
        <w:t>投标日期：XXXX</w:t>
      </w:r>
    </w:p>
    <w:p w14:paraId="67E813AF">
      <w:pPr>
        <w:pStyle w:val="41"/>
        <w:pageBreakBefore w:val="0"/>
        <w:kinsoku/>
        <w:overflowPunct/>
        <w:topLinePunct w:val="0"/>
        <w:bidi w:val="0"/>
        <w:snapToGrid/>
        <w:spacing w:line="400" w:lineRule="exact"/>
        <w:rPr>
          <w:rFonts w:hint="eastAsia" w:ascii="仿宋" w:hAnsi="仿宋" w:eastAsia="仿宋" w:cs="仿宋"/>
          <w:szCs w:val="24"/>
          <w:highlight w:val="none"/>
        </w:rPr>
      </w:pPr>
    </w:p>
    <w:p w14:paraId="37C3FD6B">
      <w:pPr>
        <w:pStyle w:val="41"/>
        <w:pageBreakBefore w:val="0"/>
        <w:kinsoku/>
        <w:overflowPunct/>
        <w:topLinePunct w:val="0"/>
        <w:bidi w:val="0"/>
        <w:snapToGrid/>
        <w:spacing w:line="400" w:lineRule="exact"/>
        <w:rPr>
          <w:rFonts w:hint="eastAsia" w:ascii="仿宋" w:hAnsi="仿宋" w:eastAsia="仿宋" w:cs="仿宋"/>
          <w:highlight w:val="none"/>
        </w:rPr>
      </w:pPr>
    </w:p>
    <w:p w14:paraId="6EA460EB">
      <w:pPr>
        <w:pageBreakBefore w:val="0"/>
        <w:kinsoku/>
        <w:overflowPunct/>
        <w:topLinePunct w:val="0"/>
        <w:bidi w:val="0"/>
        <w:snapToGrid/>
        <w:spacing w:line="400" w:lineRule="exact"/>
        <w:rPr>
          <w:rFonts w:hint="eastAsia" w:ascii="仿宋" w:hAnsi="仿宋" w:eastAsia="仿宋" w:cs="仿宋"/>
          <w:b/>
          <w:bCs/>
          <w:sz w:val="30"/>
          <w:szCs w:val="32"/>
          <w:highlight w:val="none"/>
        </w:rPr>
      </w:pPr>
      <w:r>
        <w:rPr>
          <w:rFonts w:hint="eastAsia" w:ascii="仿宋" w:hAnsi="仿宋" w:eastAsia="仿宋" w:cs="仿宋"/>
          <w:highlight w:val="none"/>
        </w:rPr>
        <w:br w:type="page"/>
      </w:r>
    </w:p>
    <w:p w14:paraId="0FA8DDF7">
      <w:pPr>
        <w:pStyle w:val="4"/>
        <w:pageBreakBefore w:val="0"/>
        <w:kinsoku/>
        <w:overflowPunct/>
        <w:topLinePunct w:val="0"/>
        <w:bidi w:val="0"/>
        <w:snapToGrid/>
        <w:spacing w:line="4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（三）投标人认为需提供的其它相关资格证明材料</w:t>
      </w:r>
    </w:p>
    <w:p w14:paraId="4F571274">
      <w:pPr>
        <w:pStyle w:val="41"/>
        <w:pageBreakBefore w:val="0"/>
        <w:kinsoku/>
        <w:overflowPunct/>
        <w:topLinePunct w:val="0"/>
        <w:bidi w:val="0"/>
        <w:snapToGrid/>
        <w:spacing w:line="400" w:lineRule="exact"/>
        <w:rPr>
          <w:rFonts w:hint="eastAsia" w:ascii="仿宋" w:hAnsi="仿宋" w:eastAsia="仿宋" w:cs="仿宋"/>
          <w:highlight w:val="none"/>
          <w:lang w:val="en-US" w:eastAsia="zh-CN"/>
        </w:rPr>
      </w:pPr>
      <w:r>
        <w:rPr>
          <w:rFonts w:hint="eastAsia" w:ascii="仿宋" w:hAnsi="仿宋" w:eastAsia="仿宋" w:cs="仿宋"/>
          <w:highlight w:val="none"/>
          <w:lang w:val="en-US" w:eastAsia="zh-CN"/>
        </w:rPr>
        <w:t>格式自拟。</w:t>
      </w:r>
    </w:p>
    <w:p w14:paraId="669E25A0">
      <w:pPr>
        <w:pStyle w:val="41"/>
        <w:pageBreakBefore w:val="0"/>
        <w:kinsoku/>
        <w:overflowPunct/>
        <w:topLinePunct w:val="0"/>
        <w:bidi w:val="0"/>
        <w:snapToGrid/>
        <w:spacing w:line="400" w:lineRule="exact"/>
        <w:rPr>
          <w:rFonts w:hint="eastAsia" w:ascii="仿宋" w:hAnsi="仿宋" w:eastAsia="仿宋" w:cs="仿宋"/>
          <w:highlight w:val="none"/>
        </w:rPr>
      </w:pPr>
    </w:p>
    <w:p w14:paraId="54258D2C">
      <w:pPr>
        <w:pStyle w:val="41"/>
        <w:pageBreakBefore w:val="0"/>
        <w:kinsoku/>
        <w:overflowPunct/>
        <w:topLinePunct w:val="0"/>
        <w:bidi w:val="0"/>
        <w:snapToGrid/>
        <w:spacing w:line="400" w:lineRule="exact"/>
        <w:rPr>
          <w:rFonts w:hint="eastAsia" w:ascii="仿宋" w:hAnsi="仿宋" w:eastAsia="仿宋" w:cs="仿宋"/>
          <w:highlight w:val="none"/>
        </w:rPr>
      </w:pPr>
    </w:p>
    <w:p w14:paraId="2473F4FC">
      <w:pPr>
        <w:pStyle w:val="41"/>
        <w:pageBreakBefore w:val="0"/>
        <w:kinsoku/>
        <w:overflowPunct/>
        <w:topLinePunct w:val="0"/>
        <w:bidi w:val="0"/>
        <w:snapToGrid/>
        <w:spacing w:line="400" w:lineRule="exact"/>
        <w:rPr>
          <w:rFonts w:hint="eastAsia" w:ascii="仿宋" w:hAnsi="仿宋" w:eastAsia="仿宋" w:cs="仿宋"/>
          <w:highlight w:val="none"/>
        </w:rPr>
      </w:pPr>
    </w:p>
    <w:p w14:paraId="074CB40E">
      <w:pPr>
        <w:pStyle w:val="41"/>
        <w:pageBreakBefore w:val="0"/>
        <w:kinsoku/>
        <w:overflowPunct/>
        <w:topLinePunct w:val="0"/>
        <w:bidi w:val="0"/>
        <w:snapToGrid/>
        <w:spacing w:line="400" w:lineRule="exact"/>
        <w:rPr>
          <w:rFonts w:hint="eastAsia" w:ascii="仿宋" w:hAnsi="仿宋" w:eastAsia="仿宋" w:cs="仿宋"/>
          <w:highlight w:val="none"/>
        </w:rPr>
      </w:pPr>
    </w:p>
    <w:p w14:paraId="147FA53C">
      <w:pPr>
        <w:pStyle w:val="41"/>
        <w:pageBreakBefore w:val="0"/>
        <w:kinsoku/>
        <w:overflowPunct/>
        <w:topLinePunct w:val="0"/>
        <w:bidi w:val="0"/>
        <w:snapToGrid/>
        <w:spacing w:line="400" w:lineRule="exact"/>
        <w:rPr>
          <w:rFonts w:hint="eastAsia" w:ascii="仿宋" w:hAnsi="仿宋" w:eastAsia="仿宋" w:cs="仿宋"/>
          <w:highlight w:val="none"/>
        </w:rPr>
      </w:pPr>
    </w:p>
    <w:p w14:paraId="2AC02A7F">
      <w:pPr>
        <w:pStyle w:val="41"/>
        <w:pageBreakBefore w:val="0"/>
        <w:kinsoku/>
        <w:overflowPunct/>
        <w:topLinePunct w:val="0"/>
        <w:bidi w:val="0"/>
        <w:snapToGrid/>
        <w:spacing w:line="400" w:lineRule="exact"/>
        <w:rPr>
          <w:rFonts w:hint="eastAsia" w:ascii="仿宋" w:hAnsi="仿宋" w:eastAsia="仿宋" w:cs="仿宋"/>
          <w:highlight w:val="none"/>
        </w:rPr>
      </w:pPr>
    </w:p>
    <w:p w14:paraId="7144E01E">
      <w:pPr>
        <w:pStyle w:val="41"/>
        <w:pageBreakBefore w:val="0"/>
        <w:kinsoku/>
        <w:overflowPunct/>
        <w:topLinePunct w:val="0"/>
        <w:bidi w:val="0"/>
        <w:snapToGrid/>
        <w:spacing w:line="400" w:lineRule="exact"/>
        <w:rPr>
          <w:rFonts w:hint="eastAsia" w:ascii="仿宋" w:hAnsi="仿宋" w:eastAsia="仿宋" w:cs="仿宋"/>
          <w:highlight w:val="none"/>
        </w:rPr>
      </w:pPr>
    </w:p>
    <w:p w14:paraId="346C08EF">
      <w:pPr>
        <w:pStyle w:val="41"/>
        <w:pageBreakBefore w:val="0"/>
        <w:kinsoku/>
        <w:overflowPunct/>
        <w:topLinePunct w:val="0"/>
        <w:bidi w:val="0"/>
        <w:snapToGrid/>
        <w:spacing w:line="400" w:lineRule="exact"/>
        <w:rPr>
          <w:rFonts w:hint="eastAsia" w:ascii="仿宋" w:hAnsi="仿宋" w:eastAsia="仿宋" w:cs="仿宋"/>
          <w:highlight w:val="none"/>
        </w:rPr>
      </w:pPr>
    </w:p>
    <w:p w14:paraId="4BFEF7E0">
      <w:pPr>
        <w:pStyle w:val="41"/>
        <w:pageBreakBefore w:val="0"/>
        <w:kinsoku/>
        <w:overflowPunct/>
        <w:topLinePunct w:val="0"/>
        <w:bidi w:val="0"/>
        <w:snapToGrid/>
        <w:spacing w:line="400" w:lineRule="exact"/>
        <w:rPr>
          <w:rFonts w:hint="eastAsia" w:ascii="仿宋" w:hAnsi="仿宋" w:eastAsia="仿宋" w:cs="仿宋"/>
          <w:highlight w:val="none"/>
        </w:rPr>
      </w:pPr>
    </w:p>
    <w:p w14:paraId="309A473F">
      <w:pPr>
        <w:pStyle w:val="41"/>
        <w:pageBreakBefore w:val="0"/>
        <w:kinsoku/>
        <w:overflowPunct/>
        <w:topLinePunct w:val="0"/>
        <w:bidi w:val="0"/>
        <w:snapToGrid/>
        <w:spacing w:line="400" w:lineRule="exact"/>
        <w:rPr>
          <w:rFonts w:hint="eastAsia" w:ascii="仿宋" w:hAnsi="仿宋" w:eastAsia="仿宋" w:cs="仿宋"/>
          <w:highlight w:val="none"/>
        </w:rPr>
      </w:pPr>
    </w:p>
    <w:p w14:paraId="130F9B0F">
      <w:pPr>
        <w:pStyle w:val="41"/>
        <w:pageBreakBefore w:val="0"/>
        <w:kinsoku/>
        <w:overflowPunct/>
        <w:topLinePunct w:val="0"/>
        <w:bidi w:val="0"/>
        <w:snapToGrid/>
        <w:spacing w:line="400" w:lineRule="exact"/>
        <w:rPr>
          <w:rFonts w:hint="eastAsia" w:ascii="仿宋" w:hAnsi="仿宋" w:eastAsia="仿宋" w:cs="仿宋"/>
          <w:highlight w:val="none"/>
        </w:rPr>
      </w:pPr>
    </w:p>
    <w:p w14:paraId="4FDFC62C">
      <w:pPr>
        <w:pStyle w:val="41"/>
        <w:pageBreakBefore w:val="0"/>
        <w:kinsoku/>
        <w:overflowPunct/>
        <w:topLinePunct w:val="0"/>
        <w:bidi w:val="0"/>
        <w:snapToGrid/>
        <w:spacing w:line="400" w:lineRule="exact"/>
        <w:rPr>
          <w:rFonts w:hint="eastAsia" w:ascii="仿宋" w:hAnsi="仿宋" w:eastAsia="仿宋" w:cs="仿宋"/>
          <w:highlight w:val="none"/>
        </w:rPr>
      </w:pPr>
    </w:p>
    <w:p w14:paraId="7677C420">
      <w:pPr>
        <w:pStyle w:val="41"/>
        <w:pageBreakBefore w:val="0"/>
        <w:kinsoku/>
        <w:overflowPunct/>
        <w:topLinePunct w:val="0"/>
        <w:bidi w:val="0"/>
        <w:snapToGrid/>
        <w:spacing w:line="400" w:lineRule="exact"/>
        <w:rPr>
          <w:rFonts w:hint="eastAsia" w:ascii="仿宋" w:hAnsi="仿宋" w:eastAsia="仿宋" w:cs="仿宋"/>
          <w:highlight w:val="none"/>
        </w:rPr>
      </w:pPr>
    </w:p>
    <w:p w14:paraId="567EE8FD">
      <w:pPr>
        <w:pStyle w:val="41"/>
        <w:pageBreakBefore w:val="0"/>
        <w:kinsoku/>
        <w:overflowPunct/>
        <w:topLinePunct w:val="0"/>
        <w:bidi w:val="0"/>
        <w:snapToGrid/>
        <w:spacing w:line="400" w:lineRule="exact"/>
        <w:rPr>
          <w:rFonts w:hint="eastAsia" w:ascii="仿宋" w:hAnsi="仿宋" w:eastAsia="仿宋" w:cs="仿宋"/>
          <w:highlight w:val="none"/>
        </w:rPr>
      </w:pPr>
    </w:p>
    <w:p w14:paraId="1B6FFF9D">
      <w:pPr>
        <w:pStyle w:val="41"/>
        <w:pageBreakBefore w:val="0"/>
        <w:kinsoku/>
        <w:overflowPunct/>
        <w:topLinePunct w:val="0"/>
        <w:bidi w:val="0"/>
        <w:snapToGrid/>
        <w:spacing w:line="400" w:lineRule="exact"/>
        <w:rPr>
          <w:rFonts w:hint="eastAsia" w:ascii="仿宋" w:hAnsi="仿宋" w:eastAsia="仿宋" w:cs="仿宋"/>
          <w:highlight w:val="none"/>
        </w:rPr>
      </w:pPr>
    </w:p>
    <w:p w14:paraId="5ECB232A">
      <w:pPr>
        <w:pStyle w:val="41"/>
        <w:pageBreakBefore w:val="0"/>
        <w:kinsoku/>
        <w:overflowPunct/>
        <w:topLinePunct w:val="0"/>
        <w:bidi w:val="0"/>
        <w:snapToGrid/>
        <w:spacing w:line="400" w:lineRule="exact"/>
        <w:rPr>
          <w:rFonts w:hint="eastAsia" w:ascii="仿宋" w:hAnsi="仿宋" w:eastAsia="仿宋" w:cs="仿宋"/>
          <w:highlight w:val="none"/>
        </w:rPr>
      </w:pPr>
    </w:p>
    <w:p w14:paraId="74124454">
      <w:pPr>
        <w:pStyle w:val="41"/>
        <w:pageBreakBefore w:val="0"/>
        <w:kinsoku/>
        <w:overflowPunct/>
        <w:topLinePunct w:val="0"/>
        <w:bidi w:val="0"/>
        <w:snapToGrid/>
        <w:spacing w:line="400" w:lineRule="exact"/>
        <w:rPr>
          <w:rFonts w:hint="eastAsia" w:ascii="仿宋" w:hAnsi="仿宋" w:eastAsia="仿宋" w:cs="仿宋"/>
          <w:highlight w:val="none"/>
        </w:rPr>
      </w:pPr>
    </w:p>
    <w:p w14:paraId="722DE5D9">
      <w:pPr>
        <w:pStyle w:val="41"/>
        <w:pageBreakBefore w:val="0"/>
        <w:kinsoku/>
        <w:overflowPunct/>
        <w:topLinePunct w:val="0"/>
        <w:bidi w:val="0"/>
        <w:snapToGrid/>
        <w:spacing w:line="400" w:lineRule="exact"/>
        <w:rPr>
          <w:rFonts w:hint="eastAsia" w:ascii="仿宋" w:hAnsi="仿宋" w:eastAsia="仿宋" w:cs="仿宋"/>
          <w:highlight w:val="none"/>
        </w:rPr>
      </w:pPr>
    </w:p>
    <w:p w14:paraId="5DC02E85">
      <w:pPr>
        <w:pStyle w:val="41"/>
        <w:pageBreakBefore w:val="0"/>
        <w:kinsoku/>
        <w:overflowPunct/>
        <w:topLinePunct w:val="0"/>
        <w:bidi w:val="0"/>
        <w:snapToGrid/>
        <w:spacing w:line="400" w:lineRule="exact"/>
        <w:rPr>
          <w:rFonts w:hint="eastAsia" w:ascii="仿宋" w:hAnsi="仿宋" w:eastAsia="仿宋" w:cs="仿宋"/>
          <w:highlight w:val="none"/>
        </w:rPr>
      </w:pPr>
    </w:p>
    <w:p w14:paraId="48F565E1">
      <w:pPr>
        <w:pStyle w:val="41"/>
        <w:pageBreakBefore w:val="0"/>
        <w:kinsoku/>
        <w:overflowPunct/>
        <w:topLinePunct w:val="0"/>
        <w:bidi w:val="0"/>
        <w:snapToGrid/>
        <w:spacing w:line="400" w:lineRule="exact"/>
        <w:rPr>
          <w:rFonts w:hint="eastAsia" w:ascii="仿宋" w:hAnsi="仿宋" w:eastAsia="仿宋" w:cs="仿宋"/>
          <w:highlight w:val="none"/>
        </w:rPr>
      </w:pPr>
    </w:p>
    <w:p w14:paraId="68DA8C6F">
      <w:pPr>
        <w:pStyle w:val="41"/>
        <w:pageBreakBefore w:val="0"/>
        <w:kinsoku/>
        <w:overflowPunct/>
        <w:topLinePunct w:val="0"/>
        <w:bidi w:val="0"/>
        <w:snapToGrid/>
        <w:spacing w:line="400" w:lineRule="exact"/>
        <w:rPr>
          <w:rFonts w:hint="eastAsia" w:ascii="仿宋" w:hAnsi="仿宋" w:eastAsia="仿宋" w:cs="仿宋"/>
          <w:highlight w:val="none"/>
        </w:rPr>
      </w:pPr>
    </w:p>
    <w:p w14:paraId="59947520">
      <w:pPr>
        <w:pStyle w:val="41"/>
        <w:pageBreakBefore w:val="0"/>
        <w:kinsoku/>
        <w:overflowPunct/>
        <w:topLinePunct w:val="0"/>
        <w:bidi w:val="0"/>
        <w:snapToGrid/>
        <w:spacing w:line="400" w:lineRule="exact"/>
        <w:rPr>
          <w:rFonts w:hint="eastAsia" w:ascii="仿宋" w:hAnsi="仿宋" w:eastAsia="仿宋" w:cs="仿宋"/>
          <w:highlight w:val="none"/>
        </w:rPr>
      </w:pPr>
    </w:p>
    <w:p w14:paraId="5FB90F6E">
      <w:pPr>
        <w:pStyle w:val="41"/>
        <w:pageBreakBefore w:val="0"/>
        <w:kinsoku/>
        <w:overflowPunct/>
        <w:topLinePunct w:val="0"/>
        <w:bidi w:val="0"/>
        <w:snapToGrid/>
        <w:spacing w:line="400" w:lineRule="exact"/>
        <w:rPr>
          <w:rFonts w:hint="eastAsia" w:ascii="仿宋" w:hAnsi="仿宋" w:eastAsia="仿宋" w:cs="仿宋"/>
          <w:highlight w:val="none"/>
        </w:rPr>
      </w:pPr>
    </w:p>
    <w:p w14:paraId="5368E51F">
      <w:pPr>
        <w:pStyle w:val="41"/>
        <w:pageBreakBefore w:val="0"/>
        <w:kinsoku/>
        <w:overflowPunct/>
        <w:topLinePunct w:val="0"/>
        <w:bidi w:val="0"/>
        <w:snapToGrid/>
        <w:spacing w:line="400" w:lineRule="exact"/>
        <w:rPr>
          <w:rFonts w:hint="eastAsia" w:ascii="仿宋" w:hAnsi="仿宋" w:eastAsia="仿宋" w:cs="仿宋"/>
          <w:highlight w:val="none"/>
        </w:rPr>
      </w:pPr>
    </w:p>
    <w:p w14:paraId="6B3B70E0">
      <w:pPr>
        <w:pStyle w:val="41"/>
        <w:pageBreakBefore w:val="0"/>
        <w:kinsoku/>
        <w:overflowPunct/>
        <w:topLinePunct w:val="0"/>
        <w:bidi w:val="0"/>
        <w:snapToGrid/>
        <w:spacing w:line="400" w:lineRule="exact"/>
        <w:rPr>
          <w:rFonts w:hint="eastAsia" w:ascii="仿宋" w:hAnsi="仿宋" w:eastAsia="仿宋" w:cs="仿宋"/>
          <w:highlight w:val="none"/>
        </w:rPr>
      </w:pPr>
    </w:p>
    <w:p w14:paraId="7EEA3378">
      <w:pPr>
        <w:pStyle w:val="64"/>
        <w:pageBreakBefore w:val="0"/>
        <w:kinsoku/>
        <w:overflowPunct/>
        <w:topLinePunct w:val="0"/>
        <w:bidi w:val="0"/>
        <w:snapToGrid/>
        <w:spacing w:line="400" w:lineRule="exact"/>
        <w:rPr>
          <w:rFonts w:hint="eastAsia" w:ascii="仿宋" w:hAnsi="仿宋" w:eastAsia="仿宋" w:cs="仿宋"/>
          <w:b/>
          <w:bCs/>
          <w:highlight w:val="none"/>
        </w:rPr>
      </w:pPr>
    </w:p>
    <w:p w14:paraId="3595C6D5">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br w:type="page"/>
      </w:r>
    </w:p>
    <w:p w14:paraId="72402C24">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封面：</w:t>
      </w:r>
    </w:p>
    <w:p w14:paraId="18A33498">
      <w:pPr>
        <w:pageBreakBefore w:val="0"/>
        <w:kinsoku/>
        <w:overflowPunct/>
        <w:topLinePunct w:val="0"/>
        <w:bidi w:val="0"/>
        <w:snapToGrid/>
        <w:spacing w:line="400" w:lineRule="exact"/>
        <w:rPr>
          <w:rFonts w:hint="eastAsia" w:ascii="仿宋" w:hAnsi="仿宋" w:eastAsia="仿宋" w:cs="仿宋"/>
          <w:highlight w:val="none"/>
        </w:rPr>
      </w:pPr>
    </w:p>
    <w:p w14:paraId="122C080E">
      <w:pPr>
        <w:pageBreakBefore w:val="0"/>
        <w:kinsoku/>
        <w:overflowPunct/>
        <w:topLinePunct w:val="0"/>
        <w:bidi w:val="0"/>
        <w:snapToGrid/>
        <w:spacing w:line="400" w:lineRule="exact"/>
        <w:rPr>
          <w:rFonts w:hint="eastAsia" w:ascii="仿宋" w:hAnsi="仿宋" w:eastAsia="仿宋" w:cs="仿宋"/>
          <w:highlight w:val="none"/>
        </w:rPr>
      </w:pPr>
    </w:p>
    <w:p w14:paraId="71F06778">
      <w:pPr>
        <w:pageBreakBefore w:val="0"/>
        <w:kinsoku/>
        <w:overflowPunct/>
        <w:topLinePunct w:val="0"/>
        <w:bidi w:val="0"/>
        <w:snapToGrid/>
        <w:spacing w:line="400" w:lineRule="exact"/>
        <w:rPr>
          <w:rFonts w:hint="eastAsia" w:ascii="仿宋" w:hAnsi="仿宋" w:eastAsia="仿宋" w:cs="仿宋"/>
          <w:highlight w:val="none"/>
        </w:rPr>
      </w:pPr>
    </w:p>
    <w:p w14:paraId="7AAE122E">
      <w:pPr>
        <w:pStyle w:val="2"/>
        <w:keepNext/>
        <w:keepLines/>
        <w:pageBreakBefore w:val="0"/>
        <w:widowControl/>
        <w:kinsoku/>
        <w:wordWrap/>
        <w:overflowPunct/>
        <w:topLinePunct w:val="0"/>
        <w:autoSpaceDE/>
        <w:autoSpaceDN/>
        <w:bidi w:val="0"/>
        <w:adjustRightInd/>
        <w:snapToGrid/>
        <w:spacing w:line="360" w:lineRule="auto"/>
        <w:textAlignment w:val="auto"/>
        <w:rPr>
          <w:rFonts w:hint="eastAsia" w:ascii="黑体" w:hAnsi="黑体" w:eastAsia="黑体" w:cs="黑体"/>
          <w:sz w:val="44"/>
          <w:szCs w:val="44"/>
          <w:highlight w:val="none"/>
        </w:rPr>
      </w:pPr>
      <w:bookmarkStart w:id="388" w:name="_Toc4103"/>
      <w:r>
        <w:rPr>
          <w:rFonts w:hint="eastAsia" w:ascii="黑体" w:hAnsi="黑体" w:eastAsia="黑体" w:cs="黑体"/>
          <w:sz w:val="44"/>
          <w:szCs w:val="44"/>
          <w:highlight w:val="none"/>
        </w:rPr>
        <w:t>投 标 文 件</w:t>
      </w:r>
      <w:bookmarkEnd w:id="388"/>
    </w:p>
    <w:p w14:paraId="72A2731C">
      <w:pPr>
        <w:pStyle w:val="3"/>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40"/>
          <w:szCs w:val="40"/>
          <w:highlight w:val="none"/>
        </w:rPr>
      </w:pPr>
      <w:bookmarkStart w:id="389" w:name="_Toc32571"/>
      <w:r>
        <w:rPr>
          <w:rFonts w:hint="eastAsia" w:ascii="仿宋" w:hAnsi="仿宋" w:eastAsia="仿宋" w:cs="仿宋"/>
          <w:sz w:val="40"/>
          <w:szCs w:val="40"/>
          <w:highlight w:val="none"/>
        </w:rPr>
        <w:t>报价文件</w:t>
      </w:r>
      <w:bookmarkEnd w:id="389"/>
    </w:p>
    <w:p w14:paraId="275DE069">
      <w:pPr>
        <w:rPr>
          <w:rFonts w:hint="eastAsia" w:ascii="仿宋" w:hAnsi="仿宋" w:eastAsia="仿宋" w:cs="仿宋"/>
          <w:sz w:val="40"/>
          <w:szCs w:val="40"/>
          <w:highlight w:val="none"/>
        </w:rPr>
      </w:pPr>
    </w:p>
    <w:p w14:paraId="45A9B869">
      <w:pPr>
        <w:rPr>
          <w:rFonts w:hint="eastAsia" w:ascii="仿宋" w:hAnsi="仿宋" w:eastAsia="仿宋" w:cs="仿宋"/>
          <w:sz w:val="40"/>
          <w:szCs w:val="40"/>
          <w:highlight w:val="none"/>
        </w:rPr>
      </w:pPr>
    </w:p>
    <w:p w14:paraId="3643368C">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（第XX包）【如不分包，请删去本行】</w:t>
      </w:r>
    </w:p>
    <w:p w14:paraId="44CF9DDB">
      <w:pPr>
        <w:pageBreakBefore w:val="0"/>
        <w:kinsoku/>
        <w:overflowPunct/>
        <w:topLinePunct w:val="0"/>
        <w:bidi w:val="0"/>
        <w:snapToGrid/>
        <w:spacing w:line="400" w:lineRule="exact"/>
        <w:rPr>
          <w:rFonts w:hint="eastAsia" w:ascii="仿宋" w:hAnsi="仿宋" w:eastAsia="仿宋" w:cs="仿宋"/>
          <w:highlight w:val="none"/>
        </w:rPr>
      </w:pPr>
    </w:p>
    <w:p w14:paraId="5AEEE9A7">
      <w:pPr>
        <w:pageBreakBefore w:val="0"/>
        <w:kinsoku/>
        <w:overflowPunct/>
        <w:topLinePunct w:val="0"/>
        <w:bidi w:val="0"/>
        <w:snapToGrid/>
        <w:spacing w:line="400" w:lineRule="exact"/>
        <w:rPr>
          <w:rFonts w:hint="eastAsia" w:ascii="仿宋" w:hAnsi="仿宋" w:eastAsia="仿宋" w:cs="仿宋"/>
          <w:highlight w:val="none"/>
        </w:rPr>
      </w:pPr>
    </w:p>
    <w:p w14:paraId="181A0943">
      <w:pPr>
        <w:pageBreakBefore w:val="0"/>
        <w:kinsoku/>
        <w:overflowPunct/>
        <w:topLinePunct w:val="0"/>
        <w:bidi w:val="0"/>
        <w:snapToGrid/>
        <w:spacing w:line="400" w:lineRule="exact"/>
        <w:rPr>
          <w:rFonts w:hint="eastAsia" w:ascii="仿宋" w:hAnsi="仿宋" w:eastAsia="仿宋" w:cs="仿宋"/>
          <w:highlight w:val="none"/>
        </w:rPr>
      </w:pPr>
    </w:p>
    <w:p w14:paraId="119F079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项目编号/包号：                            </w:t>
      </w:r>
    </w:p>
    <w:p w14:paraId="1665F55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项目名称：                                 </w:t>
      </w:r>
    </w:p>
    <w:p w14:paraId="0E92B01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投 标 人：                                 </w:t>
      </w:r>
    </w:p>
    <w:p w14:paraId="0017D201">
      <w:pPr>
        <w:pageBreakBefore w:val="0"/>
        <w:kinsoku/>
        <w:overflowPunct/>
        <w:topLinePunct w:val="0"/>
        <w:bidi w:val="0"/>
        <w:snapToGrid/>
        <w:spacing w:line="400" w:lineRule="exact"/>
        <w:rPr>
          <w:rFonts w:hint="eastAsia" w:ascii="仿宋" w:hAnsi="仿宋" w:eastAsia="仿宋" w:cs="仿宋"/>
          <w:highlight w:val="none"/>
        </w:rPr>
      </w:pPr>
    </w:p>
    <w:p w14:paraId="43F3C099">
      <w:pPr>
        <w:pageBreakBefore w:val="0"/>
        <w:kinsoku/>
        <w:overflowPunct/>
        <w:topLinePunct w:val="0"/>
        <w:bidi w:val="0"/>
        <w:snapToGrid/>
        <w:spacing w:line="400" w:lineRule="exact"/>
        <w:rPr>
          <w:rFonts w:hint="eastAsia" w:ascii="仿宋" w:hAnsi="仿宋" w:eastAsia="仿宋" w:cs="仿宋"/>
          <w:highlight w:val="none"/>
        </w:rPr>
      </w:pPr>
    </w:p>
    <w:p w14:paraId="6823BB86">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年   月    日</w:t>
      </w:r>
    </w:p>
    <w:p w14:paraId="0667B523">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br w:type="page"/>
      </w:r>
    </w:p>
    <w:p w14:paraId="15A92FF1">
      <w:pPr>
        <w:pStyle w:val="4"/>
        <w:pageBreakBefore w:val="0"/>
        <w:kinsoku/>
        <w:overflowPunct/>
        <w:topLinePunct w:val="0"/>
        <w:bidi w:val="0"/>
        <w:snapToGrid/>
        <w:spacing w:line="400" w:lineRule="exact"/>
        <w:rPr>
          <w:rFonts w:hint="eastAsia" w:ascii="仿宋" w:hAnsi="仿宋" w:eastAsia="仿宋" w:cs="仿宋"/>
          <w:highlight w:val="none"/>
        </w:rPr>
      </w:pPr>
      <w:bookmarkStart w:id="390" w:name="_Toc8563"/>
      <w:r>
        <w:rPr>
          <w:rFonts w:hint="eastAsia" w:ascii="仿宋" w:hAnsi="仿宋" w:eastAsia="仿宋" w:cs="仿宋"/>
          <w:highlight w:val="none"/>
        </w:rPr>
        <w:t>一、开标一览表</w:t>
      </w:r>
      <w:bookmarkEnd w:id="390"/>
    </w:p>
    <w:p w14:paraId="2E51B263">
      <w:pPr>
        <w:pageBreakBefore w:val="0"/>
        <w:kinsoku/>
        <w:overflowPunct/>
        <w:topLinePunct w:val="0"/>
        <w:bidi w:val="0"/>
        <w:snapToGrid/>
        <w:spacing w:line="400" w:lineRule="exact"/>
        <w:rPr>
          <w:rFonts w:hint="eastAsia" w:ascii="仿宋" w:hAnsi="仿宋" w:eastAsia="仿宋" w:cs="仿宋"/>
          <w:highlight w:val="none"/>
        </w:rPr>
      </w:pPr>
    </w:p>
    <w:p w14:paraId="0AE3125E">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 xml:space="preserve">项目名称：                     </w:t>
      </w:r>
    </w:p>
    <w:p w14:paraId="5D6CEA9F">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项目编号</w:t>
      </w:r>
      <w:r>
        <w:rPr>
          <w:rFonts w:hint="eastAsia" w:ascii="仿宋" w:hAnsi="仿宋" w:eastAsia="仿宋" w:cs="仿宋"/>
          <w:highlight w:val="none"/>
        </w:rPr>
        <w:t>/</w:t>
      </w:r>
      <w:r>
        <w:rPr>
          <w:rFonts w:hint="eastAsia" w:ascii="仿宋" w:hAnsi="仿宋" w:eastAsia="仿宋" w:cs="仿宋"/>
          <w:highlight w:val="none"/>
          <w:lang w:val="zh-CN"/>
        </w:rPr>
        <w:t xml:space="preserve">包号：                </w:t>
      </w:r>
    </w:p>
    <w:tbl>
      <w:tblPr>
        <w:tblStyle w:val="33"/>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717"/>
        <w:gridCol w:w="3283"/>
      </w:tblGrid>
      <w:tr w14:paraId="1142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58" w:type="dxa"/>
            <w:vAlign w:val="center"/>
          </w:tcPr>
          <w:p w14:paraId="53804D15">
            <w:pPr>
              <w:pageBreakBefore w:val="0"/>
              <w:kinsoku/>
              <w:overflowPunct/>
              <w:topLinePunct w:val="0"/>
              <w:bidi w:val="0"/>
              <w:snapToGrid/>
              <w:spacing w:line="400" w:lineRule="exact"/>
              <w:jc w:val="center"/>
              <w:rPr>
                <w:rFonts w:hint="eastAsia" w:ascii="仿宋" w:hAnsi="仿宋" w:eastAsia="仿宋" w:cs="仿宋"/>
                <w:b/>
                <w:bCs/>
                <w:highlight w:val="none"/>
                <w:lang w:val="en-US" w:eastAsia="zh-CN"/>
              </w:rPr>
            </w:pPr>
            <w:r>
              <w:rPr>
                <w:rFonts w:hint="eastAsia" w:ascii="仿宋" w:hAnsi="仿宋" w:eastAsia="仿宋" w:cs="仿宋"/>
                <w:b/>
                <w:bCs/>
                <w:highlight w:val="none"/>
              </w:rPr>
              <w:t>投标报价</w:t>
            </w:r>
            <w:r>
              <w:rPr>
                <w:rFonts w:hint="eastAsia" w:ascii="仿宋" w:hAnsi="仿宋" w:eastAsia="仿宋" w:cs="仿宋"/>
                <w:b/>
                <w:bCs/>
                <w:highlight w:val="none"/>
                <w:lang w:eastAsia="zh-CN"/>
              </w:rPr>
              <w:t>（</w:t>
            </w:r>
            <w:r>
              <w:rPr>
                <w:rFonts w:hint="eastAsia" w:ascii="仿宋" w:hAnsi="仿宋" w:eastAsia="仿宋" w:cs="仿宋"/>
                <w:b/>
                <w:bCs/>
                <w:highlight w:val="none"/>
                <w:lang w:val="en-US" w:eastAsia="zh-CN"/>
              </w:rPr>
              <w:t>单总价</w:t>
            </w:r>
            <w:r>
              <w:rPr>
                <w:rFonts w:hint="eastAsia" w:ascii="仿宋" w:hAnsi="仿宋" w:eastAsia="仿宋" w:cs="仿宋"/>
                <w:b/>
                <w:bCs/>
                <w:highlight w:val="none"/>
                <w:lang w:eastAsia="zh-CN"/>
              </w:rPr>
              <w:t>）</w:t>
            </w:r>
          </w:p>
        </w:tc>
        <w:tc>
          <w:tcPr>
            <w:tcW w:w="2717" w:type="dxa"/>
            <w:vAlign w:val="center"/>
          </w:tcPr>
          <w:p w14:paraId="28E59AC8">
            <w:pPr>
              <w:pageBreakBefore w:val="0"/>
              <w:kinsoku/>
              <w:overflowPunct/>
              <w:topLinePunct w:val="0"/>
              <w:bidi w:val="0"/>
              <w:snapToGrid/>
              <w:spacing w:line="400" w:lineRule="exact"/>
              <w:jc w:val="center"/>
              <w:rPr>
                <w:rFonts w:hint="eastAsia" w:ascii="仿宋" w:hAnsi="仿宋" w:eastAsia="仿宋" w:cs="仿宋"/>
                <w:b/>
                <w:bCs/>
                <w:highlight w:val="none"/>
              </w:rPr>
            </w:pPr>
            <w:r>
              <w:rPr>
                <w:rFonts w:hint="eastAsia" w:ascii="仿宋" w:hAnsi="仿宋" w:eastAsia="仿宋" w:cs="仿宋"/>
                <w:b/>
                <w:bCs/>
                <w:highlight w:val="none"/>
              </w:rPr>
              <w:t>交货期限</w:t>
            </w:r>
          </w:p>
        </w:tc>
        <w:tc>
          <w:tcPr>
            <w:tcW w:w="3283" w:type="dxa"/>
            <w:vAlign w:val="center"/>
          </w:tcPr>
          <w:p w14:paraId="66B09A64">
            <w:pPr>
              <w:pageBreakBefore w:val="0"/>
              <w:kinsoku/>
              <w:overflowPunct/>
              <w:topLinePunct w:val="0"/>
              <w:bidi w:val="0"/>
              <w:snapToGrid/>
              <w:spacing w:line="400" w:lineRule="exact"/>
              <w:jc w:val="center"/>
              <w:rPr>
                <w:rFonts w:hint="eastAsia" w:ascii="仿宋" w:hAnsi="仿宋" w:eastAsia="仿宋" w:cs="仿宋"/>
                <w:b/>
                <w:bCs/>
                <w:highlight w:val="none"/>
              </w:rPr>
            </w:pPr>
            <w:r>
              <w:rPr>
                <w:rFonts w:hint="eastAsia" w:ascii="仿宋" w:hAnsi="仿宋" w:eastAsia="仿宋" w:cs="仿宋"/>
                <w:b/>
                <w:bCs/>
                <w:highlight w:val="none"/>
              </w:rPr>
              <w:t>备注（如有）</w:t>
            </w:r>
          </w:p>
        </w:tc>
      </w:tr>
      <w:tr w14:paraId="6621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958" w:type="dxa"/>
            <w:vAlign w:val="center"/>
          </w:tcPr>
          <w:p w14:paraId="2E769DE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小写：</w:t>
            </w:r>
          </w:p>
          <w:p w14:paraId="56D8300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大写：</w:t>
            </w:r>
          </w:p>
        </w:tc>
        <w:tc>
          <w:tcPr>
            <w:tcW w:w="2717" w:type="dxa"/>
            <w:vAlign w:val="center"/>
          </w:tcPr>
          <w:p w14:paraId="78EB2ACC">
            <w:pPr>
              <w:pageBreakBefore w:val="0"/>
              <w:kinsoku/>
              <w:overflowPunct/>
              <w:topLinePunct w:val="0"/>
              <w:bidi w:val="0"/>
              <w:snapToGrid/>
              <w:spacing w:line="400" w:lineRule="exact"/>
              <w:rPr>
                <w:rFonts w:hint="eastAsia" w:ascii="仿宋" w:hAnsi="仿宋" w:eastAsia="仿宋" w:cs="仿宋"/>
                <w:highlight w:val="none"/>
              </w:rPr>
            </w:pPr>
          </w:p>
        </w:tc>
        <w:tc>
          <w:tcPr>
            <w:tcW w:w="3283" w:type="dxa"/>
            <w:vAlign w:val="center"/>
          </w:tcPr>
          <w:p w14:paraId="2AF88B53">
            <w:pPr>
              <w:pageBreakBefore w:val="0"/>
              <w:kinsoku/>
              <w:overflowPunct/>
              <w:topLinePunct w:val="0"/>
              <w:bidi w:val="0"/>
              <w:snapToGrid/>
              <w:spacing w:line="400" w:lineRule="exact"/>
              <w:rPr>
                <w:rFonts w:hint="eastAsia" w:ascii="仿宋" w:hAnsi="仿宋" w:eastAsia="仿宋" w:cs="仿宋"/>
                <w:highlight w:val="none"/>
              </w:rPr>
            </w:pPr>
          </w:p>
        </w:tc>
      </w:tr>
    </w:tbl>
    <w:p w14:paraId="0EE186D4">
      <w:pPr>
        <w:pageBreakBefore w:val="0"/>
        <w:kinsoku/>
        <w:overflowPunct/>
        <w:topLinePunct w:val="0"/>
        <w:bidi w:val="0"/>
        <w:snapToGrid/>
        <w:spacing w:line="400" w:lineRule="exact"/>
        <w:rPr>
          <w:rFonts w:hint="eastAsia" w:ascii="仿宋" w:hAnsi="仿宋" w:eastAsia="仿宋" w:cs="仿宋"/>
          <w:highlight w:val="none"/>
        </w:rPr>
      </w:pPr>
    </w:p>
    <w:p w14:paraId="2062196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szCs w:val="24"/>
          <w:highlight w:val="none"/>
        </w:rPr>
        <w:t>（</w:t>
      </w:r>
      <w:r>
        <w:rPr>
          <w:rFonts w:hint="eastAsia" w:ascii="仿宋" w:hAnsi="仿宋" w:eastAsia="仿宋" w:cs="仿宋"/>
          <w:kern w:val="0"/>
          <w:szCs w:val="24"/>
          <w:highlight w:val="none"/>
        </w:rPr>
        <w:t>公章</w:t>
      </w:r>
      <w:r>
        <w:rPr>
          <w:rFonts w:hint="eastAsia" w:ascii="仿宋" w:hAnsi="仿宋" w:eastAsia="仿宋" w:cs="仿宋"/>
          <w:kern w:val="0"/>
          <w:highlight w:val="none"/>
          <w:lang w:val="zh-CN"/>
        </w:rPr>
        <w:t>)</w:t>
      </w:r>
      <w:r>
        <w:rPr>
          <w:rFonts w:hint="eastAsia" w:ascii="仿宋" w:hAnsi="仿宋" w:eastAsia="仿宋" w:cs="仿宋"/>
          <w:highlight w:val="none"/>
        </w:rPr>
        <w:t>：</w:t>
      </w:r>
    </w:p>
    <w:p w14:paraId="22DEE66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法定代表人或授权代表（签字或印章）：</w:t>
      </w:r>
    </w:p>
    <w:p w14:paraId="179089FD">
      <w:pPr>
        <w:pageBreakBefore w:val="0"/>
        <w:kinsoku/>
        <w:overflowPunct/>
        <w:topLinePunct w:val="0"/>
        <w:bidi w:val="0"/>
        <w:snapToGrid/>
        <w:spacing w:line="400" w:lineRule="exact"/>
        <w:rPr>
          <w:rFonts w:hint="eastAsia" w:ascii="仿宋" w:hAnsi="仿宋" w:eastAsia="仿宋" w:cs="仿宋"/>
          <w:highlight w:val="none"/>
          <w:u w:val="single"/>
        </w:rPr>
      </w:pPr>
      <w:r>
        <w:rPr>
          <w:rFonts w:hint="eastAsia" w:ascii="仿宋" w:hAnsi="仿宋" w:eastAsia="仿宋" w:cs="仿宋"/>
          <w:highlight w:val="none"/>
        </w:rPr>
        <w:t>日期：</w:t>
      </w:r>
    </w:p>
    <w:p w14:paraId="61775D57">
      <w:pPr>
        <w:pageBreakBefore w:val="0"/>
        <w:kinsoku/>
        <w:overflowPunct/>
        <w:topLinePunct w:val="0"/>
        <w:bidi w:val="0"/>
        <w:snapToGrid/>
        <w:spacing w:line="400" w:lineRule="exact"/>
        <w:rPr>
          <w:rFonts w:hint="eastAsia" w:ascii="仿宋" w:hAnsi="仿宋" w:eastAsia="仿宋" w:cs="仿宋"/>
          <w:highlight w:val="none"/>
        </w:rPr>
      </w:pPr>
    </w:p>
    <w:p w14:paraId="565C4561">
      <w:pPr>
        <w:pStyle w:val="14"/>
        <w:pageBreakBefore w:val="0"/>
        <w:kinsoku/>
        <w:overflowPunct/>
        <w:topLinePunct w:val="0"/>
        <w:bidi w:val="0"/>
        <w:snapToGrid/>
        <w:spacing w:line="400" w:lineRule="exact"/>
        <w:rPr>
          <w:rFonts w:hint="eastAsia" w:ascii="仿宋" w:hAnsi="仿宋" w:eastAsia="仿宋" w:cs="仿宋"/>
          <w:highlight w:val="none"/>
        </w:rPr>
      </w:pPr>
    </w:p>
    <w:p w14:paraId="307D1F8D">
      <w:pPr>
        <w:pStyle w:val="14"/>
        <w:pageBreakBefore w:val="0"/>
        <w:kinsoku/>
        <w:overflowPunct/>
        <w:topLinePunct w:val="0"/>
        <w:bidi w:val="0"/>
        <w:snapToGrid/>
        <w:spacing w:line="400" w:lineRule="exact"/>
        <w:rPr>
          <w:rFonts w:hint="eastAsia" w:ascii="仿宋" w:hAnsi="仿宋" w:eastAsia="仿宋" w:cs="仿宋"/>
          <w:highlight w:val="none"/>
        </w:rPr>
      </w:pPr>
    </w:p>
    <w:p w14:paraId="036BA637">
      <w:pPr>
        <w:pStyle w:val="14"/>
        <w:pageBreakBefore w:val="0"/>
        <w:kinsoku/>
        <w:overflowPunct/>
        <w:topLinePunct w:val="0"/>
        <w:bidi w:val="0"/>
        <w:snapToGrid/>
        <w:spacing w:line="400" w:lineRule="exact"/>
        <w:rPr>
          <w:rFonts w:hint="eastAsia" w:ascii="仿宋" w:hAnsi="仿宋" w:eastAsia="仿宋" w:cs="仿宋"/>
          <w:highlight w:val="none"/>
        </w:rPr>
      </w:pPr>
    </w:p>
    <w:p w14:paraId="0931AA93">
      <w:pPr>
        <w:pStyle w:val="14"/>
        <w:pageBreakBefore w:val="0"/>
        <w:kinsoku/>
        <w:overflowPunct/>
        <w:topLinePunct w:val="0"/>
        <w:bidi w:val="0"/>
        <w:snapToGrid/>
        <w:spacing w:line="400" w:lineRule="exact"/>
        <w:rPr>
          <w:rFonts w:hint="eastAsia" w:ascii="仿宋" w:hAnsi="仿宋" w:eastAsia="仿宋" w:cs="仿宋"/>
          <w:highlight w:val="none"/>
        </w:rPr>
      </w:pPr>
    </w:p>
    <w:p w14:paraId="04653B0A">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注：</w:t>
      </w:r>
    </w:p>
    <w:p w14:paraId="3269AF4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1.此表用于开标唱标之用。</w:t>
      </w:r>
    </w:p>
    <w:p w14:paraId="187B9DB2">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2.表中投标报价即为优惠后报价，并作为评审及定标依据。任何有选择或有条件的投标报价，或者表中某一包填写多个报价，均为无效报价。</w:t>
      </w:r>
    </w:p>
    <w:p w14:paraId="6627EE15">
      <w:pPr>
        <w:pStyle w:val="14"/>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3.表中大写与小写不一致的，以大写为准。</w:t>
      </w:r>
    </w:p>
    <w:p w14:paraId="5D75D615">
      <w:pPr>
        <w:pStyle w:val="14"/>
        <w:pageBreakBefore w:val="0"/>
        <w:kinsoku/>
        <w:overflowPunct/>
        <w:topLinePunct w:val="0"/>
        <w:bidi w:val="0"/>
        <w:snapToGrid/>
        <w:spacing w:line="400" w:lineRule="exact"/>
        <w:rPr>
          <w:rFonts w:hint="eastAsia" w:ascii="仿宋" w:hAnsi="仿宋" w:eastAsia="仿宋" w:cs="仿宋"/>
          <w:highlight w:val="none"/>
        </w:rPr>
      </w:pPr>
    </w:p>
    <w:p w14:paraId="3E885967">
      <w:pPr>
        <w:pStyle w:val="14"/>
        <w:pageBreakBefore w:val="0"/>
        <w:kinsoku/>
        <w:overflowPunct/>
        <w:topLinePunct w:val="0"/>
        <w:bidi w:val="0"/>
        <w:snapToGrid/>
        <w:spacing w:line="400" w:lineRule="exact"/>
        <w:rPr>
          <w:rFonts w:hint="eastAsia" w:ascii="仿宋" w:hAnsi="仿宋" w:eastAsia="仿宋" w:cs="仿宋"/>
          <w:highlight w:val="none"/>
        </w:rPr>
      </w:pPr>
    </w:p>
    <w:p w14:paraId="431C230C">
      <w:pPr>
        <w:pStyle w:val="14"/>
        <w:pageBreakBefore w:val="0"/>
        <w:kinsoku/>
        <w:overflowPunct/>
        <w:topLinePunct w:val="0"/>
        <w:bidi w:val="0"/>
        <w:snapToGrid/>
        <w:spacing w:line="400" w:lineRule="exact"/>
        <w:rPr>
          <w:rFonts w:hint="eastAsia" w:ascii="仿宋" w:hAnsi="仿宋" w:eastAsia="仿宋" w:cs="仿宋"/>
          <w:highlight w:val="none"/>
        </w:rPr>
      </w:pPr>
    </w:p>
    <w:p w14:paraId="7FADEEA6">
      <w:pPr>
        <w:pStyle w:val="4"/>
        <w:pageBreakBefore w:val="0"/>
        <w:kinsoku/>
        <w:overflowPunct/>
        <w:topLinePunct w:val="0"/>
        <w:bidi w:val="0"/>
        <w:snapToGrid/>
        <w:spacing w:line="400" w:lineRule="exact"/>
        <w:rPr>
          <w:rFonts w:hint="eastAsia" w:ascii="仿宋" w:hAnsi="仿宋" w:eastAsia="仿宋" w:cs="仿宋"/>
          <w:highlight w:val="none"/>
        </w:rPr>
        <w:sectPr>
          <w:pgSz w:w="11906" w:h="16838"/>
          <w:pgMar w:top="1134" w:right="1134" w:bottom="1134" w:left="1134" w:header="567" w:footer="567" w:gutter="0"/>
          <w:pgNumType w:fmt="numberInDash"/>
          <w:cols w:space="425" w:num="1"/>
          <w:docGrid w:type="lines" w:linePitch="312" w:charSpace="0"/>
        </w:sectPr>
      </w:pPr>
    </w:p>
    <w:p w14:paraId="6E097E0E">
      <w:pPr>
        <w:pStyle w:val="4"/>
        <w:pageBreakBefore w:val="0"/>
        <w:kinsoku/>
        <w:overflowPunct/>
        <w:topLinePunct w:val="0"/>
        <w:bidi w:val="0"/>
        <w:snapToGrid/>
        <w:spacing w:line="400" w:lineRule="exact"/>
        <w:rPr>
          <w:rFonts w:hint="eastAsia" w:ascii="仿宋" w:hAnsi="仿宋" w:eastAsia="仿宋" w:cs="仿宋"/>
          <w:highlight w:val="none"/>
        </w:rPr>
      </w:pPr>
      <w:bookmarkStart w:id="391" w:name="_Toc23873"/>
      <w:r>
        <w:rPr>
          <w:rFonts w:hint="eastAsia" w:ascii="仿宋" w:hAnsi="仿宋" w:eastAsia="仿宋" w:cs="仿宋"/>
          <w:highlight w:val="none"/>
        </w:rPr>
        <w:t>二、分项报价表</w:t>
      </w:r>
      <w:bookmarkEnd w:id="391"/>
    </w:p>
    <w:p w14:paraId="22510ECA">
      <w:pPr>
        <w:pageBreakBefore w:val="0"/>
        <w:kinsoku/>
        <w:overflowPunct/>
        <w:topLinePunct w:val="0"/>
        <w:bidi w:val="0"/>
        <w:snapToGrid/>
        <w:spacing w:line="400" w:lineRule="exact"/>
        <w:jc w:val="center"/>
        <w:rPr>
          <w:rFonts w:hint="eastAsia" w:ascii="仿宋" w:hAnsi="仿宋" w:eastAsia="仿宋" w:cs="仿宋"/>
          <w:highlight w:val="none"/>
          <w:lang w:val="zh-CN"/>
        </w:rPr>
      </w:pPr>
      <w:r>
        <w:rPr>
          <w:rFonts w:hint="eastAsia" w:ascii="仿宋" w:hAnsi="仿宋" w:eastAsia="仿宋" w:cs="仿宋"/>
          <w:sz w:val="28"/>
          <w:highlight w:val="none"/>
        </w:rPr>
        <w:t>投标明细报价表</w:t>
      </w:r>
    </w:p>
    <w:p w14:paraId="09402928">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 xml:space="preserve">项目名称：                  </w:t>
      </w:r>
      <w:r>
        <w:rPr>
          <w:rFonts w:hint="eastAsia" w:ascii="仿宋" w:hAnsi="仿宋" w:eastAsia="仿宋" w:cs="仿宋"/>
          <w:highlight w:val="none"/>
        </w:rPr>
        <w:t xml:space="preserve">     </w:t>
      </w:r>
      <w:r>
        <w:rPr>
          <w:rFonts w:hint="eastAsia" w:ascii="仿宋" w:hAnsi="仿宋" w:eastAsia="仿宋" w:cs="仿宋"/>
          <w:highlight w:val="none"/>
          <w:lang w:val="zh-CN"/>
        </w:rPr>
        <w:t xml:space="preserve">   </w:t>
      </w:r>
    </w:p>
    <w:p w14:paraId="606BEE99">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项目编号</w:t>
      </w:r>
      <w:r>
        <w:rPr>
          <w:rFonts w:hint="eastAsia" w:ascii="仿宋" w:hAnsi="仿宋" w:eastAsia="仿宋" w:cs="仿宋"/>
          <w:highlight w:val="none"/>
        </w:rPr>
        <w:t>/</w:t>
      </w:r>
      <w:r>
        <w:rPr>
          <w:rFonts w:hint="eastAsia" w:ascii="仿宋" w:hAnsi="仿宋" w:eastAsia="仿宋" w:cs="仿宋"/>
          <w:highlight w:val="none"/>
          <w:lang w:val="zh-CN"/>
        </w:rPr>
        <w:t xml:space="preserve">包号：                           </w:t>
      </w:r>
    </w:p>
    <w:tbl>
      <w:tblPr>
        <w:tblStyle w:val="33"/>
        <w:tblW w:w="14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55"/>
        <w:gridCol w:w="1609"/>
        <w:gridCol w:w="1181"/>
        <w:gridCol w:w="1782"/>
        <w:gridCol w:w="2081"/>
        <w:gridCol w:w="519"/>
        <w:gridCol w:w="578"/>
        <w:gridCol w:w="1096"/>
        <w:gridCol w:w="1096"/>
        <w:gridCol w:w="1094"/>
        <w:gridCol w:w="822"/>
      </w:tblGrid>
      <w:tr w14:paraId="07BC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42" w:type="dxa"/>
            <w:vAlign w:val="center"/>
          </w:tcPr>
          <w:p w14:paraId="3FF0A04E">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序号</w:t>
            </w:r>
          </w:p>
        </w:tc>
        <w:tc>
          <w:tcPr>
            <w:tcW w:w="1555" w:type="dxa"/>
            <w:vAlign w:val="center"/>
          </w:tcPr>
          <w:p w14:paraId="102A1D36">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lang w:val="en-US" w:eastAsia="zh-CN"/>
              </w:rPr>
              <w:t>产品</w:t>
            </w:r>
            <w:r>
              <w:rPr>
                <w:rFonts w:hint="eastAsia" w:ascii="仿宋" w:hAnsi="仿宋" w:eastAsia="仿宋" w:cs="仿宋"/>
                <w:kern w:val="0"/>
                <w:szCs w:val="24"/>
                <w:highlight w:val="none"/>
              </w:rPr>
              <w:t>名称</w:t>
            </w:r>
          </w:p>
        </w:tc>
        <w:tc>
          <w:tcPr>
            <w:tcW w:w="1609" w:type="dxa"/>
            <w:vAlign w:val="center"/>
          </w:tcPr>
          <w:p w14:paraId="683B8171">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品牌</w:t>
            </w:r>
          </w:p>
        </w:tc>
        <w:tc>
          <w:tcPr>
            <w:tcW w:w="1181" w:type="dxa"/>
            <w:vAlign w:val="center"/>
          </w:tcPr>
          <w:p w14:paraId="04D76618">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规格型号</w:t>
            </w:r>
          </w:p>
        </w:tc>
        <w:tc>
          <w:tcPr>
            <w:tcW w:w="1782" w:type="dxa"/>
            <w:vAlign w:val="center"/>
          </w:tcPr>
          <w:p w14:paraId="316E5CC0">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lang w:val="en-US" w:eastAsia="zh-CN"/>
              </w:rPr>
            </w:pPr>
            <w:r>
              <w:rPr>
                <w:rFonts w:hint="eastAsia" w:ascii="仿宋" w:hAnsi="仿宋" w:eastAsia="仿宋" w:cs="仿宋"/>
                <w:kern w:val="0"/>
                <w:szCs w:val="24"/>
                <w:highlight w:val="none"/>
              </w:rPr>
              <w:t>产品注册证名称/备案证名称</w:t>
            </w:r>
            <w:r>
              <w:rPr>
                <w:rFonts w:hint="eastAsia" w:ascii="仿宋" w:hAnsi="仿宋" w:eastAsia="仿宋" w:cs="仿宋"/>
                <w:kern w:val="0"/>
                <w:szCs w:val="24"/>
                <w:highlight w:val="none"/>
                <w:lang w:eastAsia="zh-CN"/>
              </w:rPr>
              <w:t>（</w:t>
            </w:r>
            <w:r>
              <w:rPr>
                <w:rFonts w:hint="eastAsia" w:ascii="仿宋" w:hAnsi="仿宋" w:eastAsia="仿宋" w:cs="仿宋"/>
                <w:kern w:val="0"/>
                <w:szCs w:val="24"/>
                <w:highlight w:val="none"/>
                <w:lang w:val="en-US" w:eastAsia="zh-CN"/>
              </w:rPr>
              <w:t>若有</w:t>
            </w:r>
            <w:r>
              <w:rPr>
                <w:rFonts w:hint="eastAsia" w:ascii="仿宋" w:hAnsi="仿宋" w:eastAsia="仿宋" w:cs="仿宋"/>
                <w:kern w:val="0"/>
                <w:szCs w:val="24"/>
                <w:highlight w:val="none"/>
                <w:lang w:eastAsia="zh-CN"/>
              </w:rPr>
              <w:t>）</w:t>
            </w:r>
          </w:p>
        </w:tc>
        <w:tc>
          <w:tcPr>
            <w:tcW w:w="2081" w:type="dxa"/>
            <w:vAlign w:val="center"/>
          </w:tcPr>
          <w:p w14:paraId="78A3D571">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szCs w:val="24"/>
                <w:highlight w:val="none"/>
              </w:rPr>
              <w:t>产品注册证号</w:t>
            </w:r>
            <w:r>
              <w:rPr>
                <w:rFonts w:hint="eastAsia" w:ascii="仿宋" w:hAnsi="仿宋" w:eastAsia="仿宋" w:cs="仿宋"/>
                <w:kern w:val="0"/>
                <w:szCs w:val="24"/>
                <w:highlight w:val="none"/>
              </w:rPr>
              <w:t>/备案证号</w:t>
            </w:r>
            <w:r>
              <w:rPr>
                <w:rFonts w:hint="eastAsia" w:ascii="仿宋" w:hAnsi="仿宋" w:eastAsia="仿宋" w:cs="仿宋"/>
                <w:kern w:val="0"/>
                <w:szCs w:val="24"/>
                <w:highlight w:val="none"/>
                <w:lang w:eastAsia="zh-CN"/>
              </w:rPr>
              <w:t>（</w:t>
            </w:r>
            <w:r>
              <w:rPr>
                <w:rFonts w:hint="eastAsia" w:ascii="仿宋" w:hAnsi="仿宋" w:eastAsia="仿宋" w:cs="仿宋"/>
                <w:kern w:val="0"/>
                <w:szCs w:val="24"/>
                <w:highlight w:val="none"/>
                <w:lang w:val="en-US" w:eastAsia="zh-CN"/>
              </w:rPr>
              <w:t>若有</w:t>
            </w:r>
            <w:r>
              <w:rPr>
                <w:rFonts w:hint="eastAsia" w:ascii="仿宋" w:hAnsi="仿宋" w:eastAsia="仿宋" w:cs="仿宋"/>
                <w:kern w:val="0"/>
                <w:szCs w:val="24"/>
                <w:highlight w:val="none"/>
                <w:lang w:eastAsia="zh-CN"/>
              </w:rPr>
              <w:t>）</w:t>
            </w:r>
          </w:p>
        </w:tc>
        <w:tc>
          <w:tcPr>
            <w:tcW w:w="519" w:type="dxa"/>
            <w:vAlign w:val="center"/>
          </w:tcPr>
          <w:p w14:paraId="07494D90">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单位</w:t>
            </w:r>
          </w:p>
        </w:tc>
        <w:tc>
          <w:tcPr>
            <w:tcW w:w="578" w:type="dxa"/>
            <w:vAlign w:val="center"/>
          </w:tcPr>
          <w:p w14:paraId="6CD81D79">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数量</w:t>
            </w:r>
          </w:p>
        </w:tc>
        <w:tc>
          <w:tcPr>
            <w:tcW w:w="1096" w:type="dxa"/>
            <w:vAlign w:val="center"/>
          </w:tcPr>
          <w:p w14:paraId="22ED63D4">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含税单价（元）</w:t>
            </w:r>
          </w:p>
        </w:tc>
        <w:tc>
          <w:tcPr>
            <w:tcW w:w="1096" w:type="dxa"/>
            <w:vAlign w:val="center"/>
          </w:tcPr>
          <w:p w14:paraId="7CDBCFF1">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szCs w:val="24"/>
                <w:highlight w:val="none"/>
              </w:rPr>
              <w:t>含税</w:t>
            </w:r>
            <w:r>
              <w:rPr>
                <w:rFonts w:hint="eastAsia" w:ascii="仿宋" w:hAnsi="仿宋" w:eastAsia="仿宋" w:cs="仿宋"/>
                <w:szCs w:val="24"/>
                <w:highlight w:val="none"/>
                <w:lang w:val="en-US" w:eastAsia="zh-CN"/>
              </w:rPr>
              <w:t>总价</w:t>
            </w:r>
            <w:r>
              <w:rPr>
                <w:rFonts w:hint="eastAsia" w:ascii="仿宋" w:hAnsi="仿宋" w:eastAsia="仿宋" w:cs="仿宋"/>
                <w:szCs w:val="24"/>
                <w:highlight w:val="none"/>
              </w:rPr>
              <w:t>（元）</w:t>
            </w:r>
          </w:p>
        </w:tc>
        <w:tc>
          <w:tcPr>
            <w:tcW w:w="1094" w:type="dxa"/>
            <w:vAlign w:val="center"/>
          </w:tcPr>
          <w:p w14:paraId="7EE0BB5F">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sz w:val="24"/>
                <w:szCs w:val="24"/>
                <w:highlight w:val="none"/>
              </w:rPr>
              <w:t>包装价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lang w:eastAsia="zh-CN"/>
              </w:rPr>
              <w:t>）</w:t>
            </w:r>
          </w:p>
        </w:tc>
        <w:tc>
          <w:tcPr>
            <w:tcW w:w="822" w:type="dxa"/>
            <w:vAlign w:val="center"/>
          </w:tcPr>
          <w:p w14:paraId="5E0A5105">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备注</w:t>
            </w:r>
          </w:p>
        </w:tc>
      </w:tr>
      <w:tr w14:paraId="3248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2" w:type="dxa"/>
            <w:vAlign w:val="center"/>
          </w:tcPr>
          <w:p w14:paraId="37D1E396">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1</w:t>
            </w:r>
          </w:p>
        </w:tc>
        <w:tc>
          <w:tcPr>
            <w:tcW w:w="1555" w:type="dxa"/>
            <w:vAlign w:val="center"/>
          </w:tcPr>
          <w:p w14:paraId="1776D8D4">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609" w:type="dxa"/>
            <w:vAlign w:val="center"/>
          </w:tcPr>
          <w:p w14:paraId="6482E83A">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181" w:type="dxa"/>
            <w:vAlign w:val="center"/>
          </w:tcPr>
          <w:p w14:paraId="7B338D1E">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1782" w:type="dxa"/>
            <w:vAlign w:val="center"/>
          </w:tcPr>
          <w:p w14:paraId="360638C8">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2081" w:type="dxa"/>
          </w:tcPr>
          <w:p w14:paraId="65F0C7CF">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19" w:type="dxa"/>
            <w:vAlign w:val="center"/>
          </w:tcPr>
          <w:p w14:paraId="3E2E08FE">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78" w:type="dxa"/>
            <w:vAlign w:val="center"/>
          </w:tcPr>
          <w:p w14:paraId="7F5AD2E7">
            <w:pPr>
              <w:pageBreakBefore w:val="0"/>
              <w:kinsoku/>
              <w:overflowPunct/>
              <w:topLinePunct w:val="0"/>
              <w:bidi w:val="0"/>
              <w:adjustRightInd w:val="0"/>
              <w:snapToGrid/>
              <w:spacing w:line="400" w:lineRule="exact"/>
              <w:jc w:val="center"/>
              <w:textAlignment w:val="center"/>
              <w:rPr>
                <w:rFonts w:hint="eastAsia" w:ascii="仿宋" w:hAnsi="仿宋" w:eastAsia="仿宋" w:cs="仿宋"/>
                <w:szCs w:val="24"/>
                <w:highlight w:val="none"/>
              </w:rPr>
            </w:pPr>
          </w:p>
        </w:tc>
        <w:tc>
          <w:tcPr>
            <w:tcW w:w="1096" w:type="dxa"/>
            <w:vAlign w:val="center"/>
          </w:tcPr>
          <w:p w14:paraId="7C38C6F7">
            <w:pPr>
              <w:pageBreakBefore w:val="0"/>
              <w:kinsoku/>
              <w:overflowPunct/>
              <w:topLinePunct w:val="0"/>
              <w:bidi w:val="0"/>
              <w:adjustRightInd w:val="0"/>
              <w:snapToGrid/>
              <w:spacing w:line="400" w:lineRule="exact"/>
              <w:jc w:val="center"/>
              <w:textAlignment w:val="center"/>
              <w:rPr>
                <w:rFonts w:hint="eastAsia" w:ascii="仿宋" w:hAnsi="仿宋" w:eastAsia="仿宋" w:cs="仿宋"/>
                <w:szCs w:val="24"/>
                <w:highlight w:val="none"/>
              </w:rPr>
            </w:pPr>
          </w:p>
        </w:tc>
        <w:tc>
          <w:tcPr>
            <w:tcW w:w="1096" w:type="dxa"/>
            <w:vAlign w:val="center"/>
          </w:tcPr>
          <w:p w14:paraId="5BD1CD39">
            <w:pPr>
              <w:pageBreakBefore w:val="0"/>
              <w:widowControl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4" w:type="dxa"/>
            <w:vAlign w:val="center"/>
          </w:tcPr>
          <w:p w14:paraId="013C0152">
            <w:pPr>
              <w:pageBreakBefore w:val="0"/>
              <w:widowControl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822" w:type="dxa"/>
            <w:vAlign w:val="center"/>
          </w:tcPr>
          <w:p w14:paraId="1D018FD8">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r>
      <w:tr w14:paraId="4E25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2" w:type="dxa"/>
            <w:vAlign w:val="center"/>
          </w:tcPr>
          <w:p w14:paraId="3435F809">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2</w:t>
            </w:r>
          </w:p>
        </w:tc>
        <w:tc>
          <w:tcPr>
            <w:tcW w:w="1555" w:type="dxa"/>
            <w:vAlign w:val="center"/>
          </w:tcPr>
          <w:p w14:paraId="18CD2CF9">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609" w:type="dxa"/>
            <w:vAlign w:val="center"/>
          </w:tcPr>
          <w:p w14:paraId="527746F0">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181" w:type="dxa"/>
            <w:vAlign w:val="center"/>
          </w:tcPr>
          <w:p w14:paraId="3A50380D">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1782" w:type="dxa"/>
            <w:vAlign w:val="center"/>
          </w:tcPr>
          <w:p w14:paraId="611A1FCA">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2081" w:type="dxa"/>
          </w:tcPr>
          <w:p w14:paraId="562030D5">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19" w:type="dxa"/>
            <w:vAlign w:val="center"/>
          </w:tcPr>
          <w:p w14:paraId="6B7129A2">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78" w:type="dxa"/>
            <w:vAlign w:val="center"/>
          </w:tcPr>
          <w:p w14:paraId="46F860C0">
            <w:pPr>
              <w:pageBreakBefore w:val="0"/>
              <w:kinsoku/>
              <w:overflowPunct/>
              <w:topLinePunct w:val="0"/>
              <w:bidi w:val="0"/>
              <w:adjustRightInd w:val="0"/>
              <w:snapToGrid/>
              <w:spacing w:line="400" w:lineRule="exact"/>
              <w:jc w:val="center"/>
              <w:textAlignment w:val="center"/>
              <w:rPr>
                <w:rFonts w:hint="eastAsia" w:ascii="仿宋" w:hAnsi="仿宋" w:eastAsia="仿宋" w:cs="仿宋"/>
                <w:szCs w:val="24"/>
                <w:highlight w:val="none"/>
              </w:rPr>
            </w:pPr>
          </w:p>
        </w:tc>
        <w:tc>
          <w:tcPr>
            <w:tcW w:w="1096" w:type="dxa"/>
            <w:vAlign w:val="center"/>
          </w:tcPr>
          <w:p w14:paraId="6BA1E4EE">
            <w:pPr>
              <w:pageBreakBefore w:val="0"/>
              <w:kinsoku/>
              <w:overflowPunct/>
              <w:topLinePunct w:val="0"/>
              <w:bidi w:val="0"/>
              <w:adjustRightInd w:val="0"/>
              <w:snapToGrid/>
              <w:spacing w:line="400" w:lineRule="exact"/>
              <w:jc w:val="center"/>
              <w:textAlignment w:val="center"/>
              <w:rPr>
                <w:rFonts w:hint="eastAsia" w:ascii="仿宋" w:hAnsi="仿宋" w:eastAsia="仿宋" w:cs="仿宋"/>
                <w:szCs w:val="24"/>
                <w:highlight w:val="none"/>
              </w:rPr>
            </w:pPr>
          </w:p>
        </w:tc>
        <w:tc>
          <w:tcPr>
            <w:tcW w:w="1096" w:type="dxa"/>
            <w:vAlign w:val="center"/>
          </w:tcPr>
          <w:p w14:paraId="5F95B39C">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4" w:type="dxa"/>
            <w:vAlign w:val="center"/>
          </w:tcPr>
          <w:p w14:paraId="179A79F4">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822" w:type="dxa"/>
            <w:vAlign w:val="center"/>
          </w:tcPr>
          <w:p w14:paraId="717A9010">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r>
      <w:tr w14:paraId="0257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2" w:type="dxa"/>
            <w:vAlign w:val="center"/>
          </w:tcPr>
          <w:p w14:paraId="3CE4C560">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r>
              <w:rPr>
                <w:rFonts w:hint="eastAsia" w:ascii="仿宋" w:hAnsi="仿宋" w:eastAsia="仿宋" w:cs="仿宋"/>
                <w:kern w:val="0"/>
                <w:szCs w:val="24"/>
                <w:highlight w:val="none"/>
              </w:rPr>
              <w:t>3</w:t>
            </w:r>
          </w:p>
        </w:tc>
        <w:tc>
          <w:tcPr>
            <w:tcW w:w="1555" w:type="dxa"/>
            <w:vAlign w:val="center"/>
          </w:tcPr>
          <w:p w14:paraId="193D2433">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609" w:type="dxa"/>
            <w:vAlign w:val="center"/>
          </w:tcPr>
          <w:p w14:paraId="3515775E">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181" w:type="dxa"/>
            <w:vAlign w:val="center"/>
          </w:tcPr>
          <w:p w14:paraId="17C7C6B1">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1782" w:type="dxa"/>
            <w:vAlign w:val="center"/>
          </w:tcPr>
          <w:p w14:paraId="43E00F98">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2081" w:type="dxa"/>
          </w:tcPr>
          <w:p w14:paraId="7762726D">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19" w:type="dxa"/>
            <w:vAlign w:val="center"/>
          </w:tcPr>
          <w:p w14:paraId="78CE51BC">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78" w:type="dxa"/>
            <w:vAlign w:val="center"/>
          </w:tcPr>
          <w:p w14:paraId="65BE7030">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6" w:type="dxa"/>
            <w:vAlign w:val="center"/>
          </w:tcPr>
          <w:p w14:paraId="6D205C56">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6" w:type="dxa"/>
            <w:vAlign w:val="center"/>
          </w:tcPr>
          <w:p w14:paraId="534E8C95">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4" w:type="dxa"/>
            <w:vAlign w:val="center"/>
          </w:tcPr>
          <w:p w14:paraId="7C6E594B">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822" w:type="dxa"/>
            <w:vAlign w:val="center"/>
          </w:tcPr>
          <w:p w14:paraId="147799C5">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r>
      <w:tr w14:paraId="0803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2" w:type="dxa"/>
            <w:vAlign w:val="center"/>
          </w:tcPr>
          <w:p w14:paraId="415F712C">
            <w:pPr>
              <w:pageBreakBefore w:val="0"/>
              <w:widowControl w:val="0"/>
              <w:kinsoku/>
              <w:overflowPunct/>
              <w:topLinePunct w:val="0"/>
              <w:bidi w:val="0"/>
              <w:adjustRightInd w:val="0"/>
              <w:snapToGrid/>
              <w:spacing w:line="400" w:lineRule="exact"/>
              <w:jc w:val="center"/>
              <w:textAlignment w:val="baseline"/>
              <w:rPr>
                <w:rFonts w:hint="default" w:ascii="仿宋" w:hAnsi="仿宋" w:eastAsia="仿宋" w:cs="仿宋"/>
                <w:kern w:val="0"/>
                <w:szCs w:val="24"/>
                <w:highlight w:val="none"/>
                <w:lang w:val="en-US" w:eastAsia="zh-CN"/>
              </w:rPr>
            </w:pPr>
            <w:r>
              <w:rPr>
                <w:rFonts w:hint="eastAsia" w:ascii="仿宋" w:hAnsi="仿宋" w:eastAsia="仿宋" w:cs="仿宋"/>
                <w:kern w:val="0"/>
                <w:szCs w:val="24"/>
                <w:highlight w:val="none"/>
                <w:lang w:val="en-US" w:eastAsia="zh-CN"/>
              </w:rPr>
              <w:t>...</w:t>
            </w:r>
          </w:p>
        </w:tc>
        <w:tc>
          <w:tcPr>
            <w:tcW w:w="1555" w:type="dxa"/>
            <w:vAlign w:val="center"/>
          </w:tcPr>
          <w:p w14:paraId="6B023685">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609" w:type="dxa"/>
            <w:vAlign w:val="center"/>
          </w:tcPr>
          <w:p w14:paraId="4F8D8E1C">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18"/>
                <w:highlight w:val="none"/>
                <w:lang w:bidi="ar"/>
              </w:rPr>
            </w:pPr>
          </w:p>
        </w:tc>
        <w:tc>
          <w:tcPr>
            <w:tcW w:w="1181" w:type="dxa"/>
            <w:vAlign w:val="center"/>
          </w:tcPr>
          <w:p w14:paraId="2B733F87">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1782" w:type="dxa"/>
            <w:vAlign w:val="center"/>
          </w:tcPr>
          <w:p w14:paraId="2E521AB0">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2081" w:type="dxa"/>
          </w:tcPr>
          <w:p w14:paraId="33FB5A58">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19" w:type="dxa"/>
            <w:vAlign w:val="center"/>
          </w:tcPr>
          <w:p w14:paraId="05B5383C">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c>
          <w:tcPr>
            <w:tcW w:w="578" w:type="dxa"/>
            <w:vAlign w:val="center"/>
          </w:tcPr>
          <w:p w14:paraId="3A2E3A71">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6" w:type="dxa"/>
            <w:vAlign w:val="center"/>
          </w:tcPr>
          <w:p w14:paraId="489D58BF">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6" w:type="dxa"/>
            <w:vAlign w:val="center"/>
          </w:tcPr>
          <w:p w14:paraId="7956C2A1">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1094" w:type="dxa"/>
            <w:vAlign w:val="center"/>
          </w:tcPr>
          <w:p w14:paraId="7BBEB4E4">
            <w:pPr>
              <w:pageBreakBefore w:val="0"/>
              <w:kinsoku/>
              <w:overflowPunct/>
              <w:topLinePunct w:val="0"/>
              <w:bidi w:val="0"/>
              <w:adjustRightInd w:val="0"/>
              <w:snapToGrid/>
              <w:spacing w:line="400" w:lineRule="exact"/>
              <w:jc w:val="center"/>
              <w:textAlignment w:val="center"/>
              <w:rPr>
                <w:rFonts w:hint="eastAsia" w:ascii="仿宋" w:hAnsi="仿宋" w:eastAsia="仿宋" w:cs="仿宋"/>
                <w:color w:val="000000"/>
                <w:kern w:val="0"/>
                <w:szCs w:val="24"/>
                <w:highlight w:val="none"/>
                <w:lang w:bidi="ar"/>
              </w:rPr>
            </w:pPr>
          </w:p>
        </w:tc>
        <w:tc>
          <w:tcPr>
            <w:tcW w:w="822" w:type="dxa"/>
            <w:vAlign w:val="center"/>
          </w:tcPr>
          <w:p w14:paraId="73BE9554">
            <w:pPr>
              <w:pageBreakBefore w:val="0"/>
              <w:widowControl w:val="0"/>
              <w:kinsoku/>
              <w:overflowPunct/>
              <w:topLinePunct w:val="0"/>
              <w:bidi w:val="0"/>
              <w:adjustRightInd w:val="0"/>
              <w:snapToGrid/>
              <w:spacing w:line="400" w:lineRule="exact"/>
              <w:jc w:val="center"/>
              <w:textAlignment w:val="baseline"/>
              <w:rPr>
                <w:rFonts w:hint="eastAsia" w:ascii="仿宋" w:hAnsi="仿宋" w:eastAsia="仿宋" w:cs="仿宋"/>
                <w:kern w:val="0"/>
                <w:szCs w:val="24"/>
                <w:highlight w:val="none"/>
              </w:rPr>
            </w:pPr>
          </w:p>
        </w:tc>
      </w:tr>
      <w:tr w14:paraId="428E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4255" w:type="dxa"/>
            <w:gridSpan w:val="12"/>
            <w:vAlign w:val="center"/>
          </w:tcPr>
          <w:p w14:paraId="2A2B3621">
            <w:pPr>
              <w:pageBreakBefore w:val="0"/>
              <w:widowControl w:val="0"/>
              <w:kinsoku/>
              <w:overflowPunct/>
              <w:topLinePunct w:val="0"/>
              <w:bidi w:val="0"/>
              <w:adjustRightInd w:val="0"/>
              <w:snapToGrid/>
              <w:spacing w:line="400" w:lineRule="exact"/>
              <w:jc w:val="left"/>
              <w:textAlignment w:val="baseline"/>
              <w:rPr>
                <w:rFonts w:hint="eastAsia" w:ascii="仿宋" w:hAnsi="仿宋" w:eastAsia="仿宋" w:cs="仿宋"/>
                <w:b/>
                <w:bCs/>
                <w:kern w:val="0"/>
                <w:szCs w:val="24"/>
                <w:highlight w:val="none"/>
                <w:lang w:val="en-US" w:eastAsia="zh-CN"/>
              </w:rPr>
            </w:pPr>
            <w:r>
              <w:rPr>
                <w:rFonts w:hint="eastAsia" w:ascii="仿宋" w:hAnsi="仿宋" w:eastAsia="仿宋" w:cs="仿宋"/>
                <w:b/>
                <w:bCs/>
                <w:kern w:val="0"/>
                <w:szCs w:val="24"/>
                <w:highlight w:val="none"/>
                <w:lang w:val="en-US" w:eastAsia="zh-CN"/>
              </w:rPr>
              <w:t>总计（元）：</w:t>
            </w:r>
          </w:p>
          <w:p w14:paraId="19B6B646">
            <w:pPr>
              <w:pageBreakBefore w:val="0"/>
              <w:widowControl w:val="0"/>
              <w:kinsoku/>
              <w:overflowPunct/>
              <w:topLinePunct w:val="0"/>
              <w:bidi w:val="0"/>
              <w:adjustRightInd w:val="0"/>
              <w:snapToGrid/>
              <w:spacing w:line="400" w:lineRule="exact"/>
              <w:jc w:val="left"/>
              <w:textAlignment w:val="baseline"/>
              <w:rPr>
                <w:rFonts w:hint="eastAsia" w:ascii="仿宋" w:hAnsi="仿宋" w:eastAsia="仿宋" w:cs="仿宋"/>
                <w:b/>
                <w:bCs/>
                <w:kern w:val="0"/>
                <w:szCs w:val="24"/>
                <w:highlight w:val="none"/>
                <w:lang w:val="en-US" w:eastAsia="zh-CN"/>
              </w:rPr>
            </w:pPr>
            <w:r>
              <w:rPr>
                <w:rFonts w:hint="eastAsia" w:ascii="仿宋" w:hAnsi="仿宋" w:eastAsia="仿宋" w:cs="仿宋"/>
                <w:b/>
                <w:bCs/>
                <w:kern w:val="0"/>
                <w:szCs w:val="24"/>
                <w:highlight w:val="none"/>
                <w:lang w:val="en-US" w:eastAsia="zh-CN"/>
              </w:rPr>
              <w:t>大写：</w:t>
            </w:r>
          </w:p>
          <w:p w14:paraId="0988F7D6">
            <w:pPr>
              <w:pageBreakBefore w:val="0"/>
              <w:widowControl w:val="0"/>
              <w:kinsoku/>
              <w:overflowPunct/>
              <w:topLinePunct w:val="0"/>
              <w:bidi w:val="0"/>
              <w:adjustRightInd w:val="0"/>
              <w:snapToGrid/>
              <w:spacing w:line="400" w:lineRule="exact"/>
              <w:jc w:val="left"/>
              <w:textAlignment w:val="baseline"/>
              <w:rPr>
                <w:rFonts w:hint="default" w:ascii="仿宋" w:hAnsi="仿宋" w:eastAsia="仿宋" w:cs="仿宋"/>
                <w:b/>
                <w:bCs/>
                <w:kern w:val="0"/>
                <w:szCs w:val="24"/>
                <w:highlight w:val="none"/>
                <w:lang w:val="en-US" w:eastAsia="zh-CN"/>
              </w:rPr>
            </w:pPr>
            <w:r>
              <w:rPr>
                <w:rFonts w:hint="eastAsia" w:ascii="仿宋" w:hAnsi="仿宋" w:eastAsia="仿宋" w:cs="仿宋"/>
                <w:b/>
                <w:bCs/>
                <w:kern w:val="0"/>
                <w:szCs w:val="24"/>
                <w:highlight w:val="none"/>
                <w:lang w:val="en-US" w:eastAsia="zh-CN"/>
              </w:rPr>
              <w:t>小写：</w:t>
            </w:r>
          </w:p>
        </w:tc>
      </w:tr>
    </w:tbl>
    <w:p w14:paraId="148316A2">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szCs w:val="24"/>
          <w:highlight w:val="none"/>
        </w:rPr>
        <w:t>（</w:t>
      </w:r>
      <w:r>
        <w:rPr>
          <w:rFonts w:hint="eastAsia" w:ascii="仿宋" w:hAnsi="仿宋" w:eastAsia="仿宋" w:cs="仿宋"/>
          <w:kern w:val="0"/>
          <w:szCs w:val="24"/>
          <w:highlight w:val="none"/>
        </w:rPr>
        <w:t>公章</w:t>
      </w:r>
      <w:r>
        <w:rPr>
          <w:rFonts w:hint="eastAsia" w:ascii="仿宋" w:hAnsi="仿宋" w:eastAsia="仿宋" w:cs="仿宋"/>
          <w:kern w:val="0"/>
          <w:highlight w:val="none"/>
          <w:lang w:val="zh-CN"/>
        </w:rPr>
        <w:t>)</w:t>
      </w:r>
      <w:r>
        <w:rPr>
          <w:rFonts w:hint="eastAsia" w:ascii="仿宋" w:hAnsi="仿宋" w:eastAsia="仿宋" w:cs="仿宋"/>
          <w:highlight w:val="none"/>
        </w:rPr>
        <w:t>：</w:t>
      </w:r>
    </w:p>
    <w:p w14:paraId="1CCE4E0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法定代表人或授权代表（签字或印章）：</w:t>
      </w:r>
    </w:p>
    <w:p w14:paraId="228A4E8A">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日期：</w:t>
      </w:r>
    </w:p>
    <w:p w14:paraId="64AA514A">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b/>
          <w:highlight w:val="none"/>
        </w:rPr>
        <w:t>注：</w:t>
      </w:r>
      <w:r>
        <w:rPr>
          <w:rFonts w:hint="eastAsia" w:ascii="仿宋" w:hAnsi="仿宋" w:eastAsia="仿宋" w:cs="仿宋"/>
          <w:highlight w:val="none"/>
        </w:rPr>
        <w:t>1.按照本表填写的总价填写到“开标一览表”中对应的“投标报价”栏中。</w:t>
      </w:r>
    </w:p>
    <w:p w14:paraId="1106B3E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47EDA6B">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3.表中须明确列出所投产品的货物名称、生产厂家、</w:t>
      </w:r>
      <w:r>
        <w:rPr>
          <w:rFonts w:hint="eastAsia" w:ascii="仿宋" w:hAnsi="仿宋" w:eastAsia="仿宋" w:cs="仿宋"/>
          <w:bCs/>
          <w:highlight w:val="none"/>
        </w:rPr>
        <w:t>产地/国别、</w:t>
      </w:r>
      <w:r>
        <w:rPr>
          <w:rFonts w:hint="eastAsia" w:ascii="仿宋" w:hAnsi="仿宋" w:eastAsia="仿宋" w:cs="仿宋"/>
          <w:highlight w:val="none"/>
        </w:rPr>
        <w:t>品牌、规格型号、单价、数量、合价等，否则可能导致</w:t>
      </w:r>
      <w:r>
        <w:rPr>
          <w:rFonts w:hint="eastAsia" w:ascii="仿宋" w:hAnsi="仿宋" w:eastAsia="仿宋" w:cs="仿宋"/>
          <w:b/>
          <w:bCs/>
          <w:highlight w:val="none"/>
        </w:rPr>
        <w:t>响应无效</w:t>
      </w:r>
      <w:r>
        <w:rPr>
          <w:rFonts w:hint="eastAsia" w:ascii="仿宋" w:hAnsi="仿宋" w:eastAsia="仿宋" w:cs="仿宋"/>
          <w:highlight w:val="none"/>
        </w:rPr>
        <w:t>。</w:t>
      </w:r>
    </w:p>
    <w:p w14:paraId="149929D8">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br w:type="page"/>
      </w:r>
    </w:p>
    <w:p w14:paraId="50051348">
      <w:pPr>
        <w:pStyle w:val="4"/>
        <w:pageBreakBefore w:val="0"/>
        <w:kinsoku/>
        <w:overflowPunct/>
        <w:topLinePunct w:val="0"/>
        <w:bidi w:val="0"/>
        <w:snapToGrid/>
        <w:spacing w:line="400" w:lineRule="exact"/>
        <w:rPr>
          <w:rFonts w:hint="eastAsia" w:ascii="仿宋" w:hAnsi="仿宋" w:eastAsia="仿宋" w:cs="仿宋"/>
          <w:highlight w:val="none"/>
        </w:rPr>
        <w:sectPr>
          <w:headerReference r:id="rId5" w:type="default"/>
          <w:footerReference r:id="rId6" w:type="default"/>
          <w:pgSz w:w="16838" w:h="11906" w:orient="landscape"/>
          <w:pgMar w:top="1134" w:right="1134" w:bottom="1134" w:left="1134" w:header="567" w:footer="567" w:gutter="0"/>
          <w:pgNumType w:fmt="numberInDash"/>
          <w:cols w:space="0" w:num="1"/>
          <w:docGrid w:type="lines" w:linePitch="332" w:charSpace="0"/>
        </w:sectPr>
      </w:pPr>
      <w:bookmarkStart w:id="392" w:name="_Toc11433"/>
    </w:p>
    <w:p w14:paraId="47F5184F">
      <w:pPr>
        <w:pStyle w:val="4"/>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三、关于符合本国产品标准的声明函或财政部规定的其他证明文件</w:t>
      </w:r>
      <w:bookmarkEnd w:id="392"/>
    </w:p>
    <w:p w14:paraId="220AACC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附件1</w:t>
      </w:r>
    </w:p>
    <w:p w14:paraId="0981A522">
      <w:pPr>
        <w:pageBreakBefore w:val="0"/>
        <w:kinsoku/>
        <w:overflowPunct/>
        <w:topLinePunct w:val="0"/>
        <w:bidi w:val="0"/>
        <w:snapToGrid/>
        <w:spacing w:line="400" w:lineRule="exac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（一）关于符合本国产品标准的声明函</w:t>
      </w:r>
    </w:p>
    <w:p w14:paraId="61A30E1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6CF4449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1859BEE9">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2.</w:t>
      </w:r>
      <w:r>
        <w:rPr>
          <w:rFonts w:hint="eastAsia" w:ascii="仿宋" w:hAnsi="仿宋" w:eastAsia="仿宋" w:cs="仿宋"/>
          <w:highlight w:val="none"/>
          <w:u w:val="single"/>
          <w:lang w:bidi="ar"/>
        </w:rPr>
        <w:t>（产品名称2）</w:t>
      </w:r>
      <w:r>
        <w:rPr>
          <w:rFonts w:hint="eastAsia" w:ascii="仿宋" w:hAnsi="仿宋" w:eastAsia="仿宋" w:cs="仿宋"/>
          <w:highlight w:val="none"/>
          <w:lang w:bidi="ar"/>
        </w:rPr>
        <w:t>，生产厂为</w:t>
      </w:r>
      <w:r>
        <w:rPr>
          <w:rFonts w:hint="eastAsia" w:ascii="仿宋" w:hAnsi="仿宋" w:eastAsia="仿宋" w:cs="仿宋"/>
          <w:highlight w:val="none"/>
          <w:u w:val="single"/>
          <w:lang w:bidi="ar"/>
        </w:rPr>
        <w:t>（厂名）</w:t>
      </w:r>
      <w:r>
        <w:rPr>
          <w:rFonts w:hint="eastAsia" w:ascii="仿宋" w:hAnsi="仿宋" w:eastAsia="仿宋" w:cs="仿宋"/>
          <w:highlight w:val="none"/>
          <w:lang w:bidi="ar"/>
        </w:rPr>
        <w:t>，厂址为</w:t>
      </w:r>
      <w:r>
        <w:rPr>
          <w:rFonts w:hint="eastAsia" w:ascii="仿宋" w:hAnsi="仿宋" w:eastAsia="仿宋" w:cs="仿宋"/>
          <w:highlight w:val="none"/>
          <w:u w:val="single"/>
          <w:lang w:bidi="ar"/>
        </w:rPr>
        <w:t>（生产厂址）</w:t>
      </w:r>
      <w:r>
        <w:rPr>
          <w:rFonts w:hint="eastAsia" w:ascii="仿宋" w:hAnsi="仿宋" w:eastAsia="仿宋" w:cs="仿宋"/>
          <w:highlight w:val="none"/>
          <w:lang w:bidi="ar"/>
        </w:rPr>
        <w:t>。</w:t>
      </w:r>
      <w:r>
        <w:rPr>
          <w:rFonts w:hint="eastAsia" w:ascii="仿宋" w:hAnsi="仿宋" w:eastAsia="仿宋" w:cs="仿宋"/>
          <w:highlight w:val="none"/>
          <w:u w:val="single"/>
          <w:lang w:bidi="ar"/>
        </w:rPr>
        <w:t>（产品名称2）</w:t>
      </w:r>
      <w:r>
        <w:rPr>
          <w:rFonts w:hint="eastAsia" w:ascii="仿宋" w:hAnsi="仿宋" w:eastAsia="仿宋" w:cs="仿宋"/>
          <w:highlight w:val="none"/>
          <w:lang w:bidi="ar"/>
        </w:rPr>
        <w:t>的中国境内生产的组件成本占比≥</w:t>
      </w:r>
      <w:r>
        <w:rPr>
          <w:rFonts w:hint="eastAsia" w:ascii="仿宋" w:hAnsi="仿宋" w:eastAsia="仿宋" w:cs="仿宋"/>
          <w:highlight w:val="none"/>
          <w:u w:val="single"/>
          <w:lang w:bidi="ar"/>
        </w:rPr>
        <w:t>（规定比例）</w:t>
      </w:r>
      <w:r>
        <w:rPr>
          <w:rFonts w:hint="eastAsia" w:ascii="仿宋" w:hAnsi="仿宋" w:eastAsia="仿宋" w:cs="仿宋"/>
          <w:highlight w:val="none"/>
          <w:lang w:bidi="ar"/>
        </w:rPr>
        <w:t>。</w:t>
      </w:r>
      <w:r>
        <w:rPr>
          <w:rFonts w:hint="eastAsia" w:ascii="仿宋" w:hAnsi="仿宋" w:eastAsia="仿宋" w:cs="仿宋"/>
          <w:highlight w:val="none"/>
          <w:u w:val="single"/>
          <w:lang w:bidi="ar"/>
        </w:rPr>
        <w:t>（产品名称2）</w:t>
      </w:r>
      <w:r>
        <w:rPr>
          <w:rFonts w:hint="eastAsia" w:ascii="仿宋" w:hAnsi="仿宋" w:eastAsia="仿宋" w:cs="仿宋"/>
          <w:highlight w:val="none"/>
          <w:lang w:bidi="ar"/>
        </w:rPr>
        <w:t>的</w:t>
      </w:r>
      <w:r>
        <w:rPr>
          <w:rFonts w:hint="eastAsia" w:ascii="仿宋" w:hAnsi="仿宋" w:eastAsia="仿宋" w:cs="仿宋"/>
          <w:highlight w:val="none"/>
          <w:u w:val="single"/>
          <w:lang w:bidi="ar"/>
        </w:rPr>
        <w:t>（关键组件）</w:t>
      </w:r>
      <w:r>
        <w:rPr>
          <w:rFonts w:hint="eastAsia" w:ascii="仿宋" w:hAnsi="仿宋" w:eastAsia="仿宋" w:cs="仿宋"/>
          <w:highlight w:val="none"/>
          <w:lang w:bidi="ar"/>
        </w:rPr>
        <w:t>在中国境内生产。</w:t>
      </w:r>
      <w:r>
        <w:rPr>
          <w:rFonts w:hint="eastAsia" w:ascii="仿宋" w:hAnsi="仿宋" w:eastAsia="仿宋" w:cs="仿宋"/>
          <w:highlight w:val="none"/>
          <w:u w:val="single"/>
          <w:lang w:bidi="ar"/>
        </w:rPr>
        <w:t>（产品名称2）</w:t>
      </w:r>
      <w:r>
        <w:rPr>
          <w:rFonts w:hint="eastAsia" w:ascii="仿宋" w:hAnsi="仿宋" w:eastAsia="仿宋" w:cs="仿宋"/>
          <w:highlight w:val="none"/>
          <w:lang w:bidi="ar"/>
        </w:rPr>
        <w:t>的（关键工序）在中国境内完成。</w:t>
      </w:r>
    </w:p>
    <w:p w14:paraId="5F9EEC2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w:t>
      </w:r>
    </w:p>
    <w:p w14:paraId="783BCB89">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本公司（单位）对上述声明内容的真实性负责。如有虚假，愿承担相应法律责任。</w:t>
      </w:r>
    </w:p>
    <w:p w14:paraId="56F806DF">
      <w:pPr>
        <w:pageBreakBefore w:val="0"/>
        <w:kinsoku/>
        <w:overflowPunct/>
        <w:topLinePunct w:val="0"/>
        <w:bidi w:val="0"/>
        <w:snapToGrid/>
        <w:spacing w:line="400" w:lineRule="exact"/>
        <w:rPr>
          <w:rFonts w:hint="eastAsia" w:ascii="仿宋" w:hAnsi="仿宋" w:eastAsia="仿宋" w:cs="仿宋"/>
          <w:highlight w:val="none"/>
          <w:lang w:bidi="ar"/>
        </w:rPr>
      </w:pPr>
    </w:p>
    <w:p w14:paraId="113C5A8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公司（单位）名称（盖章）：　        </w:t>
      </w:r>
    </w:p>
    <w:p w14:paraId="556AC2BD">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日期：　     年　  月　  日         </w:t>
      </w:r>
    </w:p>
    <w:p w14:paraId="7D445DFA">
      <w:pPr>
        <w:pageBreakBefore w:val="0"/>
        <w:kinsoku/>
        <w:overflowPunct/>
        <w:topLinePunct w:val="0"/>
        <w:bidi w:val="0"/>
        <w:snapToGrid/>
        <w:spacing w:line="400" w:lineRule="exact"/>
        <w:rPr>
          <w:rFonts w:hint="eastAsia" w:ascii="仿宋" w:hAnsi="仿宋" w:eastAsia="仿宋" w:cs="仿宋"/>
          <w:highlight w:val="none"/>
          <w:lang w:bidi="ar"/>
        </w:rPr>
      </w:pPr>
    </w:p>
    <w:p w14:paraId="742FAD7C">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b/>
          <w:bCs/>
          <w:highlight w:val="none"/>
          <w:lang w:bidi="ar"/>
        </w:rPr>
        <w:t>注：</w:t>
      </w:r>
      <w:r>
        <w:rPr>
          <w:rFonts w:hint="eastAsia" w:ascii="仿宋" w:hAnsi="仿宋" w:eastAsia="仿宋" w:cs="仿宋"/>
          <w:highlight w:val="none"/>
          <w:lang w:bidi="ar"/>
        </w:rPr>
        <w:t>1.产品如有型号，请在“产品名称”栏一并填写。</w:t>
      </w:r>
    </w:p>
    <w:p w14:paraId="0F6F2B23">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2.生产厂名与厂址应与生产厂营业执照载明的相关信息保持一致。</w:t>
      </w:r>
    </w:p>
    <w:p w14:paraId="6D5AC7D3">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3.该产品的中国境内生产的组件成本占比相关要求实施前，“规定比例”栏可不填，下同。</w:t>
      </w:r>
    </w:p>
    <w:p w14:paraId="2021CD36">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4.该产品的关键组件要求实施前，“关键组件”栏可不填，下同。</w:t>
      </w:r>
    </w:p>
    <w:p w14:paraId="6106B5F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5.该产品的关键工序要求实施前，“关键工序”栏可不填，下同。</w:t>
      </w:r>
    </w:p>
    <w:p w14:paraId="49B3262F">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br w:type="page"/>
      </w:r>
    </w:p>
    <w:p w14:paraId="6601C4C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附件2</w:t>
      </w:r>
    </w:p>
    <w:p w14:paraId="41274E05">
      <w:pPr>
        <w:pageBreakBefore w:val="0"/>
        <w:kinsoku/>
        <w:overflowPunct/>
        <w:topLinePunct w:val="0"/>
        <w:bidi w:val="0"/>
        <w:snapToGrid/>
        <w:spacing w:line="400" w:lineRule="exac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（二）本国产品成本占比承诺函</w:t>
      </w:r>
    </w:p>
    <w:p w14:paraId="7C3098FE">
      <w:pPr>
        <w:pageBreakBefore w:val="0"/>
        <w:kinsoku/>
        <w:overflowPunct/>
        <w:topLinePunct w:val="0"/>
        <w:bidi w:val="0"/>
        <w:snapToGrid/>
        <w:spacing w:line="400" w:lineRule="exact"/>
        <w:rPr>
          <w:rFonts w:hint="eastAsia" w:ascii="仿宋" w:hAnsi="仿宋" w:eastAsia="仿宋" w:cs="仿宋"/>
          <w:highlight w:val="none"/>
        </w:rPr>
      </w:pPr>
    </w:p>
    <w:p w14:paraId="67D94331">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致:[采购人/采购代理机构名称]</w:t>
      </w:r>
    </w:p>
    <w:p w14:paraId="79918BD2">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本单位就参与[项目名称      、编号      ]政府采购项目，郑重承诺如下:</w:t>
      </w:r>
    </w:p>
    <w:p w14:paraId="724A26C2">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本单位为该项目(或采购包)提供的符合本国产品标准的产品成本之和，占所提供全部产品成本之和的比例为</w:t>
      </w:r>
      <w:r>
        <w:rPr>
          <w:rFonts w:hint="eastAsia" w:ascii="仿宋" w:hAnsi="仿宋" w:eastAsia="仿宋" w:cs="仿宋"/>
          <w:highlight w:val="none"/>
          <w:u w:val="single"/>
          <w:lang w:bidi="ar"/>
        </w:rPr>
        <w:t xml:space="preserve">     </w:t>
      </w:r>
      <w:r>
        <w:rPr>
          <w:rFonts w:hint="eastAsia" w:ascii="仿宋" w:hAnsi="仿宋" w:eastAsia="仿宋" w:cs="仿宋"/>
          <w:highlight w:val="none"/>
          <w:lang w:bidi="ar"/>
        </w:rPr>
        <w:t>%。本承诺内容真实有效，若存在虚假承诺，愿意承担相应法律责任，放弃中标(成交)资格，并接受政府采购监管部门处罚。</w:t>
      </w:r>
    </w:p>
    <w:p w14:paraId="52D917D4">
      <w:pPr>
        <w:pageBreakBefore w:val="0"/>
        <w:kinsoku/>
        <w:overflowPunct/>
        <w:topLinePunct w:val="0"/>
        <w:bidi w:val="0"/>
        <w:snapToGrid/>
        <w:spacing w:line="400" w:lineRule="exact"/>
        <w:rPr>
          <w:rFonts w:hint="eastAsia" w:ascii="仿宋" w:hAnsi="仿宋" w:eastAsia="仿宋" w:cs="仿宋"/>
          <w:highlight w:val="none"/>
          <w:lang w:bidi="ar"/>
        </w:rPr>
      </w:pPr>
    </w:p>
    <w:p w14:paraId="3EF285CD">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承诺人(供应商公章):</w:t>
      </w:r>
    </w:p>
    <w:p w14:paraId="25D97B03">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法定代表人或授权代表签字:</w:t>
      </w:r>
    </w:p>
    <w:p w14:paraId="028138C7">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日期:  年  月  日</w:t>
      </w:r>
    </w:p>
    <w:p w14:paraId="5FF07BD3">
      <w:pPr>
        <w:pageBreakBefore w:val="0"/>
        <w:kinsoku/>
        <w:overflowPunct/>
        <w:topLinePunct w:val="0"/>
        <w:bidi w:val="0"/>
        <w:snapToGrid/>
        <w:spacing w:line="400" w:lineRule="exact"/>
        <w:rPr>
          <w:rFonts w:hint="eastAsia" w:ascii="仿宋" w:hAnsi="仿宋" w:eastAsia="仿宋" w:cs="仿宋"/>
          <w:highlight w:val="none"/>
          <w:lang w:bidi="ar"/>
        </w:rPr>
      </w:pPr>
    </w:p>
    <w:p w14:paraId="68F646D7">
      <w:pPr>
        <w:pageBreakBefore w:val="0"/>
        <w:kinsoku/>
        <w:overflowPunct/>
        <w:topLinePunct w:val="0"/>
        <w:bidi w:val="0"/>
        <w:snapToGrid/>
        <w:spacing w:line="400" w:lineRule="exact"/>
        <w:rPr>
          <w:rFonts w:hint="eastAsia" w:ascii="仿宋" w:hAnsi="仿宋" w:eastAsia="仿宋" w:cs="仿宋"/>
          <w:highlight w:val="none"/>
          <w:lang w:bidi="ar"/>
        </w:rPr>
      </w:pPr>
    </w:p>
    <w:p w14:paraId="14F9B5EA">
      <w:pPr>
        <w:pageBreakBefore w:val="0"/>
        <w:kinsoku/>
        <w:overflowPunct/>
        <w:topLinePunct w:val="0"/>
        <w:bidi w:val="0"/>
        <w:snapToGrid/>
        <w:spacing w:line="400" w:lineRule="exact"/>
        <w:rPr>
          <w:rFonts w:hint="eastAsia" w:ascii="仿宋" w:hAnsi="仿宋" w:eastAsia="仿宋" w:cs="仿宋"/>
          <w:highlight w:val="none"/>
          <w:lang w:bidi="ar"/>
        </w:rPr>
      </w:pPr>
    </w:p>
    <w:p w14:paraId="4BF51E23">
      <w:pPr>
        <w:pageBreakBefore w:val="0"/>
        <w:kinsoku/>
        <w:overflowPunct/>
        <w:topLinePunct w:val="0"/>
        <w:bidi w:val="0"/>
        <w:snapToGrid/>
        <w:spacing w:line="400" w:lineRule="exact"/>
        <w:rPr>
          <w:rFonts w:hint="eastAsia" w:ascii="仿宋" w:hAnsi="仿宋" w:eastAsia="仿宋" w:cs="仿宋"/>
          <w:highlight w:val="none"/>
          <w:lang w:bidi="ar"/>
        </w:rPr>
      </w:pPr>
    </w:p>
    <w:p w14:paraId="6E358D4C">
      <w:pPr>
        <w:pageBreakBefore w:val="0"/>
        <w:kinsoku/>
        <w:overflowPunct/>
        <w:topLinePunct w:val="0"/>
        <w:bidi w:val="0"/>
        <w:snapToGrid/>
        <w:spacing w:line="400" w:lineRule="exact"/>
        <w:rPr>
          <w:rFonts w:hint="eastAsia" w:ascii="仿宋" w:hAnsi="仿宋" w:eastAsia="仿宋" w:cs="仿宋"/>
          <w:highlight w:val="none"/>
          <w:lang w:bidi="ar"/>
        </w:rPr>
      </w:pPr>
    </w:p>
    <w:p w14:paraId="6C8E66C3">
      <w:pPr>
        <w:pageBreakBefore w:val="0"/>
        <w:kinsoku/>
        <w:overflowPunct/>
        <w:topLinePunct w:val="0"/>
        <w:bidi w:val="0"/>
        <w:snapToGrid/>
        <w:spacing w:line="400" w:lineRule="exact"/>
        <w:rPr>
          <w:rFonts w:hint="eastAsia" w:ascii="仿宋" w:hAnsi="仿宋" w:eastAsia="仿宋" w:cs="仿宋"/>
          <w:highlight w:val="none"/>
          <w:lang w:bidi="ar"/>
        </w:rPr>
      </w:pPr>
    </w:p>
    <w:p w14:paraId="724590CC">
      <w:pPr>
        <w:pageBreakBefore w:val="0"/>
        <w:kinsoku/>
        <w:overflowPunct/>
        <w:topLinePunct w:val="0"/>
        <w:bidi w:val="0"/>
        <w:snapToGrid/>
        <w:spacing w:line="400" w:lineRule="exact"/>
        <w:rPr>
          <w:rFonts w:hint="eastAsia" w:ascii="仿宋" w:hAnsi="仿宋" w:eastAsia="仿宋" w:cs="仿宋"/>
          <w:highlight w:val="none"/>
          <w:lang w:bidi="ar"/>
        </w:rPr>
      </w:pPr>
    </w:p>
    <w:p w14:paraId="23C9D17C">
      <w:pPr>
        <w:pageBreakBefore w:val="0"/>
        <w:kinsoku/>
        <w:overflowPunct/>
        <w:topLinePunct w:val="0"/>
        <w:bidi w:val="0"/>
        <w:snapToGrid/>
        <w:spacing w:line="400" w:lineRule="exact"/>
        <w:rPr>
          <w:rFonts w:hint="eastAsia" w:ascii="仿宋" w:hAnsi="仿宋" w:eastAsia="仿宋" w:cs="仿宋"/>
          <w:highlight w:val="none"/>
          <w:lang w:bidi="ar"/>
        </w:rPr>
      </w:pPr>
    </w:p>
    <w:p w14:paraId="7CEAC356">
      <w:pPr>
        <w:pageBreakBefore w:val="0"/>
        <w:kinsoku/>
        <w:overflowPunct/>
        <w:topLinePunct w:val="0"/>
        <w:bidi w:val="0"/>
        <w:snapToGrid/>
        <w:spacing w:line="400" w:lineRule="exact"/>
        <w:rPr>
          <w:rFonts w:hint="eastAsia" w:ascii="仿宋" w:hAnsi="仿宋" w:eastAsia="仿宋" w:cs="仿宋"/>
          <w:highlight w:val="none"/>
          <w:lang w:bidi="ar"/>
        </w:rPr>
      </w:pPr>
    </w:p>
    <w:p w14:paraId="71F20CAD">
      <w:pPr>
        <w:pageBreakBefore w:val="0"/>
        <w:kinsoku/>
        <w:overflowPunct/>
        <w:topLinePunct w:val="0"/>
        <w:bidi w:val="0"/>
        <w:snapToGrid/>
        <w:spacing w:line="400" w:lineRule="exact"/>
        <w:rPr>
          <w:rFonts w:hint="eastAsia" w:ascii="仿宋" w:hAnsi="仿宋" w:eastAsia="仿宋" w:cs="仿宋"/>
          <w:highlight w:val="none"/>
          <w:lang w:bidi="ar"/>
        </w:rPr>
      </w:pPr>
    </w:p>
    <w:p w14:paraId="15C68C9E">
      <w:pPr>
        <w:pageBreakBefore w:val="0"/>
        <w:kinsoku/>
        <w:overflowPunct/>
        <w:topLinePunct w:val="0"/>
        <w:bidi w:val="0"/>
        <w:snapToGrid/>
        <w:spacing w:line="400" w:lineRule="exact"/>
        <w:rPr>
          <w:rFonts w:hint="eastAsia" w:ascii="仿宋" w:hAnsi="仿宋" w:eastAsia="仿宋" w:cs="仿宋"/>
          <w:highlight w:val="none"/>
          <w:lang w:bidi="ar"/>
        </w:rPr>
        <w:sectPr>
          <w:headerReference r:id="rId7" w:type="default"/>
          <w:footerReference r:id="rId8" w:type="default"/>
          <w:pgSz w:w="11906" w:h="16838"/>
          <w:pgMar w:top="1134" w:right="1134" w:bottom="1134" w:left="1134" w:header="567" w:footer="567" w:gutter="0"/>
          <w:pgNumType w:fmt="numberInDash"/>
          <w:cols w:space="0" w:num="1"/>
          <w:docGrid w:type="lines" w:linePitch="332" w:charSpace="0"/>
        </w:sectPr>
      </w:pPr>
      <w:r>
        <w:rPr>
          <w:rFonts w:hint="eastAsia" w:ascii="仿宋" w:hAnsi="仿宋" w:eastAsia="仿宋" w:cs="仿宋"/>
          <w:b/>
          <w:bCs/>
          <w:highlight w:val="none"/>
          <w:lang w:bidi="ar"/>
        </w:rPr>
        <w:t>注：</w:t>
      </w:r>
      <w:r>
        <w:rPr>
          <w:rFonts w:hint="eastAsia" w:ascii="仿宋" w:hAnsi="仿宋" w:eastAsia="仿宋" w:cs="仿宋"/>
          <w:highlight w:val="none"/>
          <w:lang w:bidi="ar"/>
        </w:rPr>
        <w:t>若供应商所投产品均符合本国产品标准，且已提供《声明函》，可不填写《承诺函》。</w:t>
      </w:r>
    </w:p>
    <w:p w14:paraId="4CA732EC">
      <w:pPr>
        <w:pStyle w:val="64"/>
        <w:pageBreakBefore w:val="0"/>
        <w:kinsoku/>
        <w:overflowPunct/>
        <w:topLinePunct w:val="0"/>
        <w:bidi w:val="0"/>
        <w:snapToGrid/>
        <w:spacing w:line="400" w:lineRule="exact"/>
        <w:rPr>
          <w:rFonts w:hint="eastAsia" w:ascii="仿宋" w:hAnsi="仿宋" w:eastAsia="仿宋" w:cs="仿宋"/>
          <w:b/>
          <w:bCs/>
          <w:highlight w:val="none"/>
        </w:rPr>
      </w:pPr>
    </w:p>
    <w:p w14:paraId="3837F64B">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封面：</w:t>
      </w:r>
    </w:p>
    <w:p w14:paraId="6984782A">
      <w:pPr>
        <w:pageBreakBefore w:val="0"/>
        <w:kinsoku/>
        <w:overflowPunct/>
        <w:topLinePunct w:val="0"/>
        <w:bidi w:val="0"/>
        <w:snapToGrid/>
        <w:spacing w:line="400" w:lineRule="exact"/>
        <w:rPr>
          <w:rFonts w:hint="eastAsia" w:ascii="仿宋" w:hAnsi="仿宋" w:eastAsia="仿宋" w:cs="仿宋"/>
          <w:highlight w:val="none"/>
        </w:rPr>
      </w:pPr>
    </w:p>
    <w:p w14:paraId="4CF3E244">
      <w:pPr>
        <w:pageBreakBefore w:val="0"/>
        <w:kinsoku/>
        <w:overflowPunct/>
        <w:topLinePunct w:val="0"/>
        <w:bidi w:val="0"/>
        <w:snapToGrid/>
        <w:spacing w:line="400" w:lineRule="exact"/>
        <w:rPr>
          <w:rFonts w:hint="eastAsia" w:ascii="仿宋" w:hAnsi="仿宋" w:eastAsia="仿宋" w:cs="仿宋"/>
          <w:highlight w:val="none"/>
        </w:rPr>
      </w:pPr>
    </w:p>
    <w:p w14:paraId="2FBACE5F">
      <w:pPr>
        <w:pageBreakBefore w:val="0"/>
        <w:kinsoku/>
        <w:overflowPunct/>
        <w:topLinePunct w:val="0"/>
        <w:bidi w:val="0"/>
        <w:snapToGrid/>
        <w:spacing w:line="400" w:lineRule="exact"/>
        <w:rPr>
          <w:rFonts w:hint="eastAsia" w:ascii="仿宋" w:hAnsi="仿宋" w:eastAsia="仿宋" w:cs="仿宋"/>
          <w:highlight w:val="none"/>
        </w:rPr>
      </w:pPr>
    </w:p>
    <w:p w14:paraId="49869E52">
      <w:pPr>
        <w:pStyle w:val="3"/>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highlight w:val="none"/>
        </w:rPr>
      </w:pPr>
      <w:bookmarkStart w:id="393" w:name="_Toc14188"/>
      <w:r>
        <w:rPr>
          <w:rFonts w:hint="eastAsia" w:ascii="黑体" w:hAnsi="黑体" w:eastAsia="黑体" w:cs="黑体"/>
          <w:sz w:val="44"/>
          <w:szCs w:val="44"/>
          <w:highlight w:val="none"/>
        </w:rPr>
        <w:t>投 标 文 件</w:t>
      </w:r>
      <w:bookmarkEnd w:id="393"/>
    </w:p>
    <w:p w14:paraId="6F286024">
      <w:pPr>
        <w:rPr>
          <w:rFonts w:hint="eastAsia"/>
          <w:highlight w:val="none"/>
        </w:rPr>
      </w:pPr>
    </w:p>
    <w:p w14:paraId="173681B4">
      <w:pPr>
        <w:pStyle w:val="3"/>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44"/>
          <w:szCs w:val="44"/>
          <w:highlight w:val="none"/>
        </w:rPr>
      </w:pPr>
      <w:bookmarkStart w:id="394" w:name="_Toc26592"/>
      <w:r>
        <w:rPr>
          <w:rFonts w:hint="eastAsia" w:ascii="仿宋" w:hAnsi="仿宋" w:eastAsia="仿宋" w:cs="仿宋"/>
          <w:sz w:val="44"/>
          <w:szCs w:val="44"/>
          <w:highlight w:val="none"/>
        </w:rPr>
        <w:t>商务技术文件</w:t>
      </w:r>
      <w:bookmarkEnd w:id="394"/>
    </w:p>
    <w:p w14:paraId="118DE1D5">
      <w:pPr>
        <w:rPr>
          <w:rFonts w:hint="eastAsia" w:ascii="仿宋" w:hAnsi="仿宋" w:eastAsia="仿宋" w:cs="仿宋"/>
          <w:sz w:val="44"/>
          <w:szCs w:val="44"/>
          <w:highlight w:val="none"/>
        </w:rPr>
      </w:pPr>
    </w:p>
    <w:p w14:paraId="5CE6D45A">
      <w:pPr>
        <w:rPr>
          <w:rFonts w:hint="eastAsia" w:ascii="仿宋" w:hAnsi="仿宋" w:eastAsia="仿宋" w:cs="仿宋"/>
          <w:sz w:val="44"/>
          <w:szCs w:val="44"/>
          <w:highlight w:val="none"/>
        </w:rPr>
      </w:pPr>
    </w:p>
    <w:p w14:paraId="659ADD04">
      <w:pPr>
        <w:rPr>
          <w:rFonts w:hint="eastAsia" w:ascii="仿宋" w:hAnsi="仿宋" w:eastAsia="仿宋" w:cs="仿宋"/>
          <w:sz w:val="44"/>
          <w:szCs w:val="44"/>
          <w:highlight w:val="none"/>
        </w:rPr>
      </w:pPr>
    </w:p>
    <w:p w14:paraId="0D0CB5DB">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（第XX包）【如不分包，请删去本行】</w:t>
      </w:r>
    </w:p>
    <w:p w14:paraId="4BAC040A">
      <w:pPr>
        <w:pageBreakBefore w:val="0"/>
        <w:kinsoku/>
        <w:overflowPunct/>
        <w:topLinePunct w:val="0"/>
        <w:bidi w:val="0"/>
        <w:snapToGrid/>
        <w:spacing w:line="400" w:lineRule="exact"/>
        <w:rPr>
          <w:rFonts w:hint="eastAsia" w:ascii="仿宋" w:hAnsi="仿宋" w:eastAsia="仿宋" w:cs="仿宋"/>
          <w:highlight w:val="none"/>
        </w:rPr>
      </w:pPr>
    </w:p>
    <w:p w14:paraId="58A608D8">
      <w:pPr>
        <w:pageBreakBefore w:val="0"/>
        <w:kinsoku/>
        <w:overflowPunct/>
        <w:topLinePunct w:val="0"/>
        <w:bidi w:val="0"/>
        <w:snapToGrid/>
        <w:spacing w:line="400" w:lineRule="exact"/>
        <w:rPr>
          <w:rFonts w:hint="eastAsia" w:ascii="仿宋" w:hAnsi="仿宋" w:eastAsia="仿宋" w:cs="仿宋"/>
          <w:highlight w:val="none"/>
        </w:rPr>
      </w:pPr>
    </w:p>
    <w:p w14:paraId="2D213A35">
      <w:pPr>
        <w:pageBreakBefore w:val="0"/>
        <w:kinsoku/>
        <w:overflowPunct/>
        <w:topLinePunct w:val="0"/>
        <w:bidi w:val="0"/>
        <w:snapToGrid/>
        <w:spacing w:line="400" w:lineRule="exact"/>
        <w:rPr>
          <w:rFonts w:hint="eastAsia" w:ascii="仿宋" w:hAnsi="仿宋" w:eastAsia="仿宋" w:cs="仿宋"/>
          <w:highlight w:val="none"/>
        </w:rPr>
      </w:pPr>
    </w:p>
    <w:p w14:paraId="6C7D8EC3">
      <w:pPr>
        <w:pageBreakBefore w:val="0"/>
        <w:kinsoku/>
        <w:overflowPunct/>
        <w:topLinePunct w:val="0"/>
        <w:bidi w:val="0"/>
        <w:snapToGrid/>
        <w:spacing w:line="400" w:lineRule="exact"/>
        <w:rPr>
          <w:rFonts w:hint="eastAsia" w:ascii="仿宋" w:hAnsi="仿宋" w:eastAsia="仿宋" w:cs="仿宋"/>
          <w:highlight w:val="none"/>
        </w:rPr>
      </w:pPr>
    </w:p>
    <w:p w14:paraId="54FFE3EC">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项目编号/包号：                           </w:t>
      </w:r>
    </w:p>
    <w:p w14:paraId="4BF9147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项目名称：                                </w:t>
      </w:r>
    </w:p>
    <w:p w14:paraId="1341699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投 标 人：                                </w:t>
      </w:r>
    </w:p>
    <w:p w14:paraId="7D1E0DD1">
      <w:pPr>
        <w:pageBreakBefore w:val="0"/>
        <w:kinsoku/>
        <w:overflowPunct/>
        <w:topLinePunct w:val="0"/>
        <w:bidi w:val="0"/>
        <w:snapToGrid/>
        <w:spacing w:line="400" w:lineRule="exact"/>
        <w:rPr>
          <w:rFonts w:hint="eastAsia" w:ascii="仿宋" w:hAnsi="仿宋" w:eastAsia="仿宋" w:cs="仿宋"/>
          <w:highlight w:val="none"/>
        </w:rPr>
      </w:pPr>
    </w:p>
    <w:p w14:paraId="62F7537E">
      <w:pPr>
        <w:pageBreakBefore w:val="0"/>
        <w:kinsoku/>
        <w:overflowPunct/>
        <w:topLinePunct w:val="0"/>
        <w:bidi w:val="0"/>
        <w:snapToGrid/>
        <w:spacing w:line="400" w:lineRule="exact"/>
        <w:rPr>
          <w:rFonts w:hint="eastAsia" w:ascii="仿宋" w:hAnsi="仿宋" w:eastAsia="仿宋" w:cs="仿宋"/>
          <w:highlight w:val="none"/>
        </w:rPr>
      </w:pPr>
    </w:p>
    <w:p w14:paraId="7C5661D4">
      <w:pPr>
        <w:pageBreakBefore w:val="0"/>
        <w:kinsoku/>
        <w:overflowPunct/>
        <w:topLinePunct w:val="0"/>
        <w:bidi w:val="0"/>
        <w:snapToGrid/>
        <w:spacing w:line="400" w:lineRule="exact"/>
        <w:rPr>
          <w:rFonts w:hint="eastAsia" w:ascii="仿宋" w:hAnsi="仿宋" w:eastAsia="仿宋" w:cs="仿宋"/>
          <w:highlight w:val="none"/>
        </w:rPr>
      </w:pPr>
    </w:p>
    <w:p w14:paraId="1522E27B">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年   月    日</w:t>
      </w:r>
    </w:p>
    <w:p w14:paraId="50FCC627">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br w:type="page"/>
      </w:r>
    </w:p>
    <w:p w14:paraId="263D6ED3">
      <w:pPr>
        <w:pStyle w:val="4"/>
        <w:pageBreakBefore w:val="0"/>
        <w:kinsoku/>
        <w:overflowPunct/>
        <w:topLinePunct w:val="0"/>
        <w:bidi w:val="0"/>
        <w:snapToGrid/>
        <w:spacing w:line="400" w:lineRule="exact"/>
        <w:rPr>
          <w:rFonts w:hint="eastAsia" w:ascii="仿宋" w:hAnsi="仿宋" w:eastAsia="仿宋" w:cs="仿宋"/>
          <w:highlight w:val="none"/>
        </w:rPr>
      </w:pPr>
      <w:bookmarkStart w:id="395" w:name="_Toc3577"/>
      <w:bookmarkStart w:id="396" w:name="_Toc28987"/>
      <w:bookmarkStart w:id="397" w:name="_Toc109899908"/>
      <w:bookmarkStart w:id="398" w:name="_Toc155185921"/>
      <w:bookmarkStart w:id="399" w:name="_Toc109900327"/>
      <w:bookmarkStart w:id="400" w:name="_Toc109899489"/>
      <w:bookmarkStart w:id="401" w:name="_Toc140132831"/>
      <w:bookmarkStart w:id="402" w:name="_Toc163492915"/>
      <w:bookmarkStart w:id="403" w:name="_Toc25402"/>
      <w:r>
        <w:rPr>
          <w:rFonts w:hint="eastAsia" w:ascii="仿宋" w:hAnsi="仿宋" w:eastAsia="仿宋" w:cs="仿宋"/>
          <w:highlight w:val="none"/>
        </w:rPr>
        <w:t>一、投标函</w:t>
      </w:r>
      <w:bookmarkEnd w:id="395"/>
      <w:bookmarkEnd w:id="396"/>
      <w:bookmarkEnd w:id="397"/>
      <w:bookmarkEnd w:id="398"/>
      <w:bookmarkEnd w:id="399"/>
      <w:bookmarkEnd w:id="400"/>
      <w:bookmarkEnd w:id="401"/>
      <w:bookmarkEnd w:id="402"/>
      <w:bookmarkEnd w:id="403"/>
    </w:p>
    <w:p w14:paraId="300E807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致：（采购人）</w:t>
      </w:r>
    </w:p>
    <w:p w14:paraId="7093B35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highlight w:val="none"/>
        </w:rPr>
      </w:pPr>
      <w:r>
        <w:rPr>
          <w:rFonts w:hint="eastAsia" w:ascii="仿宋" w:hAnsi="仿宋" w:eastAsia="仿宋" w:cs="仿宋"/>
          <w:highlight w:val="none"/>
        </w:rPr>
        <w:t>根据贵方</w:t>
      </w:r>
      <w:r>
        <w:rPr>
          <w:rFonts w:hint="eastAsia" w:ascii="仿宋" w:hAnsi="仿宋" w:eastAsia="仿宋" w:cs="仿宋"/>
          <w:highlight w:val="none"/>
          <w:u w:val="single"/>
        </w:rPr>
        <w:t>（项目名称）（项目编号/包号）</w:t>
      </w:r>
      <w:r>
        <w:rPr>
          <w:rFonts w:hint="eastAsia" w:ascii="仿宋" w:hAnsi="仿宋" w:eastAsia="仿宋" w:cs="仿宋"/>
          <w:highlight w:val="none"/>
        </w:rPr>
        <w:t>项目的招标公告，签字代表</w:t>
      </w:r>
      <w:r>
        <w:rPr>
          <w:rFonts w:hint="eastAsia" w:ascii="仿宋" w:hAnsi="仿宋" w:eastAsia="仿宋" w:cs="仿宋"/>
          <w:highlight w:val="none"/>
          <w:u w:val="single"/>
        </w:rPr>
        <w:t>（姓名、职务）</w:t>
      </w:r>
      <w:r>
        <w:rPr>
          <w:rFonts w:hint="eastAsia" w:ascii="仿宋" w:hAnsi="仿宋" w:eastAsia="仿宋" w:cs="仿宋"/>
          <w:highlight w:val="none"/>
        </w:rPr>
        <w:t>经正式授权并代表投标人</w:t>
      </w:r>
      <w:r>
        <w:rPr>
          <w:rFonts w:hint="eastAsia" w:ascii="仿宋" w:hAnsi="仿宋" w:eastAsia="仿宋" w:cs="仿宋"/>
          <w:highlight w:val="none"/>
          <w:u w:val="single"/>
        </w:rPr>
        <w:t>（投标人名称、地址）</w:t>
      </w:r>
      <w:r>
        <w:rPr>
          <w:rFonts w:hint="eastAsia" w:ascii="仿宋" w:hAnsi="仿宋" w:eastAsia="仿宋" w:cs="仿宋"/>
          <w:highlight w:val="none"/>
        </w:rPr>
        <w:t>提交下述文件</w:t>
      </w:r>
      <w:r>
        <w:rPr>
          <w:rFonts w:hint="eastAsia" w:ascii="仿宋" w:hAnsi="仿宋" w:eastAsia="仿宋" w:cs="仿宋"/>
          <w:b/>
          <w:bCs/>
          <w:highlight w:val="none"/>
        </w:rPr>
        <w:t>：</w:t>
      </w:r>
    </w:p>
    <w:p w14:paraId="34132DC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1.资格证明文件；</w:t>
      </w:r>
    </w:p>
    <w:p w14:paraId="3076664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2.投标报价文件；</w:t>
      </w:r>
    </w:p>
    <w:p w14:paraId="03DC678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3.商务技术文件。</w:t>
      </w:r>
    </w:p>
    <w:p w14:paraId="56F4A6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根据此函，签字代表宣布同意如下：</w:t>
      </w:r>
    </w:p>
    <w:p w14:paraId="2B825EE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 xml:space="preserve">1.所附投标价格表中规定的应提交和交付的货物和相关服务（如有）的投标报价为 </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5AFC1E1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2.我方将按招标文件的规定履行合同责任和义务。</w:t>
      </w:r>
    </w:p>
    <w:p w14:paraId="520D60D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3.我方已详细审查全部招标文件，包括第</w:t>
      </w:r>
      <w:r>
        <w:rPr>
          <w:rFonts w:hint="eastAsia" w:ascii="仿宋" w:hAnsi="仿宋" w:eastAsia="仿宋" w:cs="仿宋"/>
          <w:iCs/>
          <w:highlight w:val="none"/>
          <w:u w:val="single"/>
        </w:rPr>
        <w:t>（编号、补遗书）（如果有的话）</w:t>
      </w:r>
      <w:r>
        <w:rPr>
          <w:rFonts w:hint="eastAsia" w:ascii="仿宋" w:hAnsi="仿宋" w:eastAsia="仿宋" w:cs="仿宋"/>
          <w:highlight w:val="none"/>
        </w:rPr>
        <w:t>。我方完全理解并同意放弃对这方面有不明及误解的权力。</w:t>
      </w:r>
    </w:p>
    <w:p w14:paraId="7D49D68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4.投标有效期为自提交投标文件的截止之日起</w:t>
      </w:r>
      <w:r>
        <w:rPr>
          <w:rFonts w:hint="eastAsia" w:ascii="仿宋" w:hAnsi="仿宋" w:eastAsia="仿宋" w:cs="仿宋"/>
          <w:i/>
          <w:highlight w:val="none"/>
          <w:u w:val="single"/>
        </w:rPr>
        <w:t xml:space="preserve"> </w:t>
      </w:r>
      <w:r>
        <w:rPr>
          <w:rFonts w:hint="eastAsia" w:ascii="仿宋" w:hAnsi="仿宋" w:eastAsia="仿宋" w:cs="仿宋"/>
          <w:iCs/>
          <w:highlight w:val="none"/>
          <w:u w:val="single"/>
        </w:rPr>
        <w:t>（由投标人填写）</w:t>
      </w:r>
      <w:r>
        <w:rPr>
          <w:rFonts w:hint="eastAsia" w:ascii="仿宋" w:hAnsi="仿宋" w:eastAsia="仿宋" w:cs="仿宋"/>
          <w:highlight w:val="none"/>
        </w:rPr>
        <w:t>个日历天。</w:t>
      </w:r>
    </w:p>
    <w:p w14:paraId="68F3057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5.我方同意提供按照贵方招标文件要求的与投标有关的一切数据或资料，采用综合评分法时，我方完全理解贵方不一定接受最低价的投标。</w:t>
      </w:r>
    </w:p>
    <w:p w14:paraId="03419A8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6.本项目如由中标人支付采购代理服务费，我方同意按投标人须知前附表中规定向采购代理机构支付采购代理服务费。</w:t>
      </w:r>
    </w:p>
    <w:p w14:paraId="16727E7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7.重要声明：</w:t>
      </w:r>
    </w:p>
    <w:p w14:paraId="64DD2CE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1）与我方单位负责人为同一人的其他单位名称：</w:t>
      </w:r>
    </w:p>
    <w:p w14:paraId="6F13B93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iCs/>
          <w:highlight w:val="none"/>
        </w:rPr>
      </w:pPr>
      <w:r>
        <w:rPr>
          <w:rFonts w:hint="eastAsia" w:ascii="仿宋" w:hAnsi="仿宋" w:eastAsia="仿宋" w:cs="仿宋"/>
          <w:highlight w:val="none"/>
        </w:rPr>
        <w:t>□无；□有，具体单位名称为：</w:t>
      </w:r>
      <w:r>
        <w:rPr>
          <w:rFonts w:hint="eastAsia" w:ascii="仿宋" w:hAnsi="仿宋" w:eastAsia="仿宋" w:cs="仿宋"/>
          <w:iCs/>
          <w:highlight w:val="none"/>
          <w:u w:val="single"/>
        </w:rPr>
        <w:t>（由投标人如实填写）</w:t>
      </w:r>
      <w:r>
        <w:rPr>
          <w:rFonts w:hint="eastAsia" w:ascii="仿宋" w:hAnsi="仿宋" w:eastAsia="仿宋" w:cs="仿宋"/>
          <w:iCs/>
          <w:highlight w:val="none"/>
        </w:rPr>
        <w:t>。</w:t>
      </w:r>
    </w:p>
    <w:p w14:paraId="19295DA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2）与我方存在控股、管理关系的其他单位的名称：</w:t>
      </w:r>
    </w:p>
    <w:p w14:paraId="4B1478D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 xml:space="preserve">□无；□有，具体单位名称为： </w:t>
      </w:r>
      <w:r>
        <w:rPr>
          <w:rFonts w:hint="eastAsia" w:ascii="仿宋" w:hAnsi="仿宋" w:eastAsia="仿宋" w:cs="仿宋"/>
          <w:highlight w:val="none"/>
          <w:u w:val="single"/>
        </w:rPr>
        <w:t>（由投标人如实填写）</w:t>
      </w:r>
      <w:r>
        <w:rPr>
          <w:rFonts w:hint="eastAsia" w:ascii="仿宋" w:hAnsi="仿宋" w:eastAsia="仿宋" w:cs="仿宋"/>
          <w:highlight w:val="none"/>
        </w:rPr>
        <w:t>。</w:t>
      </w:r>
    </w:p>
    <w:p w14:paraId="56AC6D5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3）参与本项目采购活动前，是否为本项目前期准备提供过整体设计、规范编制或者项目管理、监理、检测等服务：</w:t>
      </w:r>
    </w:p>
    <w:p w14:paraId="3AC7DA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highlight w:val="none"/>
        </w:rPr>
      </w:pPr>
      <w:r>
        <w:rPr>
          <w:rFonts w:hint="eastAsia" w:ascii="仿宋" w:hAnsi="仿宋" w:eastAsia="仿宋" w:cs="仿宋"/>
          <w:highlight w:val="none"/>
        </w:rPr>
        <w:t xml:space="preserve">□无；□有，已提供的具体服务内容为： </w:t>
      </w:r>
      <w:r>
        <w:rPr>
          <w:rFonts w:hint="eastAsia" w:ascii="仿宋" w:hAnsi="仿宋" w:eastAsia="仿宋" w:cs="仿宋"/>
          <w:highlight w:val="none"/>
          <w:u w:val="single"/>
        </w:rPr>
        <w:t>（由投标人如实填写）</w:t>
      </w:r>
      <w:r>
        <w:rPr>
          <w:rFonts w:hint="eastAsia" w:ascii="仿宋" w:hAnsi="仿宋" w:eastAsia="仿宋" w:cs="仿宋"/>
          <w:highlight w:val="none"/>
        </w:rPr>
        <w:t>。</w:t>
      </w:r>
    </w:p>
    <w:p w14:paraId="0E1D9DE6">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rPr>
      </w:pPr>
      <w:r>
        <w:rPr>
          <w:rFonts w:hint="eastAsia" w:ascii="仿宋" w:hAnsi="仿宋" w:eastAsia="仿宋" w:cs="仿宋"/>
          <w:highlight w:val="none"/>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0746B2A4">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rPr>
      </w:pPr>
      <w:r>
        <w:rPr>
          <w:rFonts w:hint="eastAsia" w:ascii="仿宋" w:hAnsi="仿宋" w:eastAsia="仿宋" w:cs="仿宋"/>
          <w:highlight w:val="none"/>
        </w:rPr>
        <w:t>4）我方在本投标文件中所提供的全部资料均真实有效，我方承诺对其真实性负责并承担相应后果。</w:t>
      </w:r>
    </w:p>
    <w:p w14:paraId="5CD0EC72">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rPr>
      </w:pPr>
      <w:r>
        <w:rPr>
          <w:rFonts w:hint="eastAsia" w:ascii="仿宋" w:hAnsi="仿宋" w:eastAsia="仿宋" w:cs="仿宋"/>
          <w:highlight w:val="none"/>
        </w:rPr>
        <w:t>5）</w:t>
      </w:r>
      <w:bookmarkStart w:id="404" w:name="_Hlk161604053"/>
      <w:r>
        <w:rPr>
          <w:rFonts w:hint="eastAsia" w:ascii="仿宋" w:hAnsi="仿宋" w:eastAsia="仿宋" w:cs="仿宋"/>
          <w:highlight w:val="none"/>
        </w:rPr>
        <w:t>我方承诺本《投标函》的签章对本投标文件全部内容具有约束力并承担法律责任。</w:t>
      </w:r>
      <w:bookmarkEnd w:id="404"/>
    </w:p>
    <w:p w14:paraId="403CF4BB">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lang w:val="zh-CN"/>
        </w:rPr>
      </w:pPr>
      <w:r>
        <w:rPr>
          <w:rFonts w:hint="eastAsia" w:ascii="仿宋" w:hAnsi="仿宋" w:eastAsia="仿宋" w:cs="仿宋"/>
          <w:highlight w:val="none"/>
          <w:lang w:bidi="ar"/>
        </w:rPr>
        <w:t>投标人名称</w:t>
      </w:r>
      <w:r>
        <w:rPr>
          <w:rFonts w:hint="eastAsia" w:ascii="仿宋" w:hAnsi="仿宋" w:eastAsia="仿宋" w:cs="仿宋"/>
          <w:highlight w:val="none"/>
        </w:rPr>
        <w:t>（公章）</w:t>
      </w:r>
      <w:r>
        <w:rPr>
          <w:rFonts w:hint="eastAsia" w:ascii="仿宋" w:hAnsi="仿宋" w:eastAsia="仿宋" w:cs="仿宋"/>
          <w:highlight w:val="none"/>
          <w:lang w:val="zh-CN"/>
        </w:rPr>
        <w:t>：</w:t>
      </w:r>
    </w:p>
    <w:p w14:paraId="64C3A7D3">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lang w:bidi="ar"/>
        </w:rPr>
      </w:pPr>
      <w:r>
        <w:rPr>
          <w:rFonts w:hint="eastAsia" w:ascii="仿宋" w:hAnsi="仿宋" w:eastAsia="仿宋" w:cs="仿宋"/>
          <w:highlight w:val="none"/>
          <w:lang w:bidi="ar"/>
        </w:rPr>
        <w:t>法定代表人或授权代表（签字或印章）：</w:t>
      </w:r>
    </w:p>
    <w:p w14:paraId="3F842B6C">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rPr>
      </w:pPr>
      <w:r>
        <w:rPr>
          <w:rFonts w:hint="eastAsia" w:ascii="仿宋" w:hAnsi="仿宋" w:eastAsia="仿宋" w:cs="仿宋"/>
          <w:highlight w:val="none"/>
        </w:rPr>
        <w:t>通  讯  地  址：</w:t>
      </w:r>
    </w:p>
    <w:p w14:paraId="2147CE66">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rPr>
      </w:pPr>
      <w:r>
        <w:rPr>
          <w:rFonts w:hint="eastAsia" w:ascii="仿宋" w:hAnsi="仿宋" w:eastAsia="仿宋" w:cs="仿宋"/>
          <w:highlight w:val="none"/>
        </w:rPr>
        <w:t>传          真：</w:t>
      </w:r>
    </w:p>
    <w:p w14:paraId="226E86CD">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rPr>
      </w:pPr>
      <w:r>
        <w:rPr>
          <w:rFonts w:hint="eastAsia" w:ascii="仿宋" w:hAnsi="仿宋" w:eastAsia="仿宋" w:cs="仿宋"/>
          <w:highlight w:val="none"/>
        </w:rPr>
        <w:t>电          话：</w:t>
      </w:r>
    </w:p>
    <w:p w14:paraId="75143EFF">
      <w:pPr>
        <w:keepNext w:val="0"/>
        <w:keepLines w:val="0"/>
        <w:pageBreakBefore w:val="0"/>
        <w:widowControl/>
        <w:kinsoku/>
        <w:wordWrap/>
        <w:overflowPunct/>
        <w:topLinePunct w:val="0"/>
        <w:autoSpaceDE/>
        <w:autoSpaceDN/>
        <w:bidi w:val="0"/>
        <w:adjustRightInd/>
        <w:snapToGrid/>
        <w:spacing w:line="360" w:lineRule="atLeast"/>
        <w:textAlignment w:val="auto"/>
        <w:rPr>
          <w:rFonts w:hint="eastAsia" w:ascii="仿宋" w:hAnsi="仿宋" w:eastAsia="仿宋" w:cs="仿宋"/>
          <w:highlight w:val="none"/>
        </w:rPr>
      </w:pPr>
      <w:r>
        <w:rPr>
          <w:rFonts w:hint="eastAsia" w:ascii="仿宋" w:hAnsi="仿宋" w:eastAsia="仿宋" w:cs="仿宋"/>
          <w:highlight w:val="none"/>
        </w:rPr>
        <w:t>日          期：</w:t>
      </w:r>
    </w:p>
    <w:p w14:paraId="738677A4">
      <w:pPr>
        <w:pStyle w:val="4"/>
        <w:pageBreakBefore w:val="0"/>
        <w:kinsoku/>
        <w:overflowPunct/>
        <w:topLinePunct w:val="0"/>
        <w:bidi w:val="0"/>
        <w:snapToGrid/>
        <w:spacing w:line="400" w:lineRule="exact"/>
        <w:rPr>
          <w:rFonts w:hint="eastAsia" w:ascii="仿宋" w:hAnsi="仿宋" w:eastAsia="仿宋" w:cs="仿宋"/>
          <w:highlight w:val="none"/>
          <w:lang w:val="en-US" w:eastAsia="zh-CN"/>
        </w:rPr>
      </w:pPr>
      <w:bookmarkStart w:id="405" w:name="_Toc7740"/>
      <w:bookmarkStart w:id="406" w:name="_Toc163492918"/>
      <w:bookmarkStart w:id="407" w:name="_Toc155185924"/>
      <w:r>
        <w:rPr>
          <w:rFonts w:hint="eastAsia" w:ascii="仿宋" w:hAnsi="仿宋" w:eastAsia="仿宋" w:cs="仿宋"/>
          <w:highlight w:val="none"/>
        </w:rPr>
        <w:t>二、法定代表人（单位负责人）身份证明</w:t>
      </w:r>
      <w:bookmarkEnd w:id="405"/>
      <w:bookmarkEnd w:id="406"/>
      <w:bookmarkEnd w:id="407"/>
      <w:r>
        <w:rPr>
          <w:rFonts w:hint="eastAsia" w:ascii="仿宋" w:hAnsi="仿宋" w:eastAsia="仿宋" w:cs="仿宋"/>
          <w:highlight w:val="none"/>
          <w:lang w:val="en-US" w:eastAsia="zh-CN"/>
        </w:rPr>
        <w:t>书</w:t>
      </w:r>
    </w:p>
    <w:p w14:paraId="44DD525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致：（采购人或采购代理机构） </w:t>
      </w:r>
    </w:p>
    <w:p w14:paraId="7B8BCF0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兹证明， </w:t>
      </w:r>
    </w:p>
    <w:p w14:paraId="22A7D28A">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姓名：____性别：____年龄：____职务：____ </w:t>
      </w:r>
    </w:p>
    <w:p w14:paraId="176EA14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系 </w:t>
      </w:r>
      <w:r>
        <w:rPr>
          <w:rFonts w:hint="eastAsia" w:ascii="仿宋" w:hAnsi="仿宋" w:eastAsia="仿宋" w:cs="仿宋"/>
          <w:highlight w:val="none"/>
          <w:u w:val="single"/>
        </w:rPr>
        <w:t xml:space="preserve">            </w:t>
      </w:r>
      <w:r>
        <w:rPr>
          <w:rFonts w:hint="eastAsia" w:ascii="仿宋" w:hAnsi="仿宋" w:eastAsia="仿宋" w:cs="仿宋"/>
          <w:highlight w:val="none"/>
        </w:rPr>
        <w:t xml:space="preserve">（投标人名称）的法定代表人（单位负责人）。 </w:t>
      </w:r>
    </w:p>
    <w:p w14:paraId="1952733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附：法定代表人（单位负责人）身份证、护照等身份证明文件电子件： </w:t>
      </w:r>
    </w:p>
    <w:p w14:paraId="0B7AA043">
      <w:pPr>
        <w:pageBreakBefore w:val="0"/>
        <w:kinsoku/>
        <w:overflowPunct/>
        <w:topLinePunct w:val="0"/>
        <w:bidi w:val="0"/>
        <w:snapToGrid/>
        <w:spacing w:line="400" w:lineRule="exact"/>
        <w:rPr>
          <w:rFonts w:hint="eastAsia" w:ascii="仿宋" w:hAnsi="仿宋" w:eastAsia="仿宋" w:cs="仿宋"/>
          <w:highlight w:val="none"/>
        </w:rPr>
      </w:pPr>
    </w:p>
    <w:p w14:paraId="2BD2A442">
      <w:pPr>
        <w:pageBreakBefore w:val="0"/>
        <w:kinsoku/>
        <w:overflowPunct/>
        <w:topLinePunct w:val="0"/>
        <w:bidi w:val="0"/>
        <w:snapToGrid/>
        <w:spacing w:line="400" w:lineRule="exact"/>
        <w:rPr>
          <w:rFonts w:hint="eastAsia" w:ascii="仿宋" w:hAnsi="仿宋" w:eastAsia="仿宋" w:cs="仿宋"/>
          <w:highlight w:val="none"/>
        </w:rPr>
      </w:pP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387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24046C9">
            <w:pPr>
              <w:pageBreakBefore w:val="0"/>
              <w:kinsoku/>
              <w:overflowPunct/>
              <w:topLinePunct w:val="0"/>
              <w:bidi w:val="0"/>
              <w:snapToGrid/>
              <w:spacing w:line="400" w:lineRule="exact"/>
              <w:rPr>
                <w:rFonts w:hint="eastAsia" w:ascii="仿宋" w:hAnsi="仿宋" w:eastAsia="仿宋" w:cs="仿宋"/>
                <w:highlight w:val="none"/>
              </w:rPr>
            </w:pPr>
          </w:p>
        </w:tc>
      </w:tr>
    </w:tbl>
    <w:p w14:paraId="6B92C466">
      <w:pPr>
        <w:pageBreakBefore w:val="0"/>
        <w:kinsoku/>
        <w:overflowPunct/>
        <w:topLinePunct w:val="0"/>
        <w:bidi w:val="0"/>
        <w:snapToGrid/>
        <w:spacing w:line="400" w:lineRule="exact"/>
        <w:rPr>
          <w:rFonts w:hint="eastAsia" w:ascii="仿宋" w:hAnsi="仿宋" w:eastAsia="仿宋" w:cs="仿宋"/>
          <w:highlight w:val="none"/>
        </w:rPr>
      </w:pPr>
    </w:p>
    <w:p w14:paraId="4ED9061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投标人名称</w:t>
      </w:r>
      <w:r>
        <w:rPr>
          <w:rFonts w:hint="eastAsia" w:ascii="仿宋" w:hAnsi="仿宋" w:eastAsia="仿宋" w:cs="仿宋"/>
          <w:highlight w:val="none"/>
        </w:rPr>
        <w:t>（公章）</w:t>
      </w:r>
      <w:r>
        <w:rPr>
          <w:rFonts w:hint="eastAsia" w:ascii="仿宋" w:hAnsi="仿宋" w:eastAsia="仿宋" w:cs="仿宋"/>
          <w:highlight w:val="none"/>
          <w:lang w:bidi="ar"/>
        </w:rPr>
        <w:t xml:space="preserve">：________________ </w:t>
      </w:r>
    </w:p>
    <w:p w14:paraId="070E6A6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法定代表人（单位负责人）（签字或</w:t>
      </w:r>
      <w:r>
        <w:rPr>
          <w:rFonts w:hint="eastAsia" w:ascii="仿宋" w:hAnsi="仿宋" w:eastAsia="仿宋" w:cs="仿宋"/>
          <w:highlight w:val="none"/>
        </w:rPr>
        <w:t>盖章</w:t>
      </w:r>
      <w:r>
        <w:rPr>
          <w:rFonts w:hint="eastAsia" w:ascii="仿宋" w:hAnsi="仿宋" w:eastAsia="仿宋" w:cs="仿宋"/>
          <w:highlight w:val="none"/>
          <w:lang w:bidi="ar"/>
        </w:rPr>
        <w:t xml:space="preserve">）：_______ </w:t>
      </w:r>
    </w:p>
    <w:p w14:paraId="79E87249">
      <w:pPr>
        <w:pageBreakBefore w:val="0"/>
        <w:kinsoku/>
        <w:overflowPunct/>
        <w:topLinePunct w:val="0"/>
        <w:bidi w:val="0"/>
        <w:snapToGrid/>
        <w:spacing w:line="400" w:lineRule="exact"/>
        <w:rPr>
          <w:rFonts w:hint="eastAsia" w:ascii="仿宋" w:hAnsi="仿宋" w:eastAsia="仿宋" w:cs="仿宋"/>
          <w:highlight w:val="none"/>
          <w:lang w:bidi="ar"/>
        </w:rPr>
      </w:pPr>
    </w:p>
    <w:p w14:paraId="6AFD13F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日期：_____年______月______日</w:t>
      </w:r>
    </w:p>
    <w:p w14:paraId="650360CD">
      <w:pPr>
        <w:pageBreakBefore w:val="0"/>
        <w:kinsoku/>
        <w:overflowPunct/>
        <w:topLinePunct w:val="0"/>
        <w:bidi w:val="0"/>
        <w:snapToGrid/>
        <w:spacing w:line="400" w:lineRule="exact"/>
        <w:rPr>
          <w:rFonts w:hint="eastAsia" w:ascii="仿宋" w:hAnsi="仿宋" w:eastAsia="仿宋" w:cs="仿宋"/>
          <w:highlight w:val="none"/>
        </w:rPr>
      </w:pPr>
    </w:p>
    <w:p w14:paraId="73512AE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2A55F4D6">
      <w:pPr>
        <w:pStyle w:val="4"/>
        <w:pageBreakBefore w:val="0"/>
        <w:kinsoku/>
        <w:overflowPunct/>
        <w:topLinePunct w:val="0"/>
        <w:bidi w:val="0"/>
        <w:snapToGrid/>
        <w:spacing w:line="400" w:lineRule="exact"/>
        <w:rPr>
          <w:rFonts w:hint="eastAsia" w:ascii="仿宋" w:hAnsi="仿宋" w:eastAsia="仿宋" w:cs="仿宋"/>
          <w:highlight w:val="none"/>
        </w:rPr>
      </w:pPr>
      <w:bookmarkStart w:id="408" w:name="_Toc12401"/>
      <w:bookmarkStart w:id="409" w:name="_Toc155185925"/>
      <w:bookmarkStart w:id="410" w:name="_Toc163492919"/>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bookmarkEnd w:id="408"/>
      <w:bookmarkEnd w:id="409"/>
      <w:bookmarkEnd w:id="410"/>
    </w:p>
    <w:p w14:paraId="107F3CC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本人</w:t>
      </w:r>
      <w:r>
        <w:rPr>
          <w:rFonts w:hint="eastAsia" w:ascii="仿宋" w:hAnsi="仿宋" w:eastAsia="仿宋" w:cs="仿宋"/>
          <w:highlight w:val="none"/>
          <w:u w:val="single"/>
        </w:rPr>
        <w:t xml:space="preserve">     </w:t>
      </w:r>
      <w:r>
        <w:rPr>
          <w:rFonts w:hint="eastAsia" w:ascii="仿宋" w:hAnsi="仿宋" w:eastAsia="仿宋" w:cs="仿宋"/>
          <w:highlight w:val="none"/>
        </w:rPr>
        <w:t>（姓名）系</w:t>
      </w:r>
      <w:r>
        <w:rPr>
          <w:rFonts w:hint="eastAsia" w:ascii="仿宋" w:hAnsi="仿宋" w:eastAsia="仿宋" w:cs="仿宋"/>
          <w:highlight w:val="none"/>
          <w:u w:val="single"/>
        </w:rPr>
        <w:t xml:space="preserve">          </w:t>
      </w:r>
      <w:r>
        <w:rPr>
          <w:rFonts w:hint="eastAsia" w:ascii="仿宋" w:hAnsi="仿宋" w:eastAsia="仿宋" w:cs="仿宋"/>
          <w:highlight w:val="none"/>
        </w:rPr>
        <w:t>（投标人名称）的法定代表人（单位负责人），现委托</w:t>
      </w:r>
      <w:r>
        <w:rPr>
          <w:rFonts w:hint="eastAsia" w:ascii="仿宋" w:hAnsi="仿宋" w:eastAsia="仿宋" w:cs="仿宋"/>
          <w:highlight w:val="none"/>
          <w:u w:val="single"/>
        </w:rPr>
        <w:t xml:space="preserve">     </w:t>
      </w:r>
      <w:r>
        <w:rPr>
          <w:rFonts w:hint="eastAsia" w:ascii="仿宋" w:hAnsi="仿宋" w:eastAsia="仿宋" w:cs="仿宋"/>
          <w:highlight w:val="none"/>
        </w:rPr>
        <w:t>（姓名）为我方代理人。代理人根据授权，以我方名义签署、澄清确认、说明、补正、递交、撤回、修改</w:t>
      </w:r>
      <w:r>
        <w:rPr>
          <w:rFonts w:hint="eastAsia" w:ascii="仿宋" w:hAnsi="仿宋" w:eastAsia="仿宋" w:cs="仿宋"/>
          <w:highlight w:val="none"/>
          <w:u w:val="single"/>
        </w:rPr>
        <w:t xml:space="preserve">           </w:t>
      </w:r>
      <w:r>
        <w:rPr>
          <w:rFonts w:hint="eastAsia" w:ascii="仿宋" w:hAnsi="仿宋" w:eastAsia="仿宋" w:cs="仿宋"/>
          <w:highlight w:val="none"/>
        </w:rPr>
        <w:t>（项目名称）投标文件、签订合同和处理有关事宜，其法律后果由我方承担。</w:t>
      </w:r>
    </w:p>
    <w:p w14:paraId="38EDB61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委托期限：自本授权委托书签署之日起至投标有效期届满之日止。</w:t>
      </w:r>
    </w:p>
    <w:p w14:paraId="0CD3828B">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代理人无转委托权。</w:t>
      </w:r>
    </w:p>
    <w:p w14:paraId="5E837F4B">
      <w:pPr>
        <w:pageBreakBefore w:val="0"/>
        <w:kinsoku/>
        <w:overflowPunct/>
        <w:topLinePunct w:val="0"/>
        <w:bidi w:val="0"/>
        <w:snapToGrid/>
        <w:spacing w:line="400" w:lineRule="exact"/>
        <w:rPr>
          <w:rFonts w:hint="eastAsia" w:ascii="仿宋" w:hAnsi="仿宋" w:eastAsia="仿宋" w:cs="仿宋"/>
          <w:highlight w:val="none"/>
        </w:rPr>
      </w:pPr>
    </w:p>
    <w:p w14:paraId="1240F3F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投标人名称</w:t>
      </w:r>
      <w:r>
        <w:rPr>
          <w:rFonts w:hint="eastAsia" w:ascii="仿宋" w:hAnsi="仿宋" w:eastAsia="仿宋" w:cs="仿宋"/>
          <w:highlight w:val="none"/>
        </w:rPr>
        <w:t>（公章）</w:t>
      </w:r>
      <w:r>
        <w:rPr>
          <w:rFonts w:hint="eastAsia" w:ascii="仿宋" w:hAnsi="仿宋" w:eastAsia="仿宋" w:cs="仿宋"/>
          <w:highlight w:val="none"/>
          <w:lang w:bidi="ar"/>
        </w:rPr>
        <w:t xml:space="preserve">：________________ </w:t>
      </w:r>
    </w:p>
    <w:p w14:paraId="161B29AC">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法定代表人（单位负责人）（签字或</w:t>
      </w:r>
      <w:r>
        <w:rPr>
          <w:rFonts w:hint="eastAsia" w:ascii="仿宋" w:hAnsi="仿宋" w:eastAsia="仿宋" w:cs="仿宋"/>
          <w:highlight w:val="none"/>
        </w:rPr>
        <w:t>盖章）</w:t>
      </w:r>
      <w:r>
        <w:rPr>
          <w:rFonts w:hint="eastAsia" w:ascii="仿宋" w:hAnsi="仿宋" w:eastAsia="仿宋" w:cs="仿宋"/>
          <w:highlight w:val="none"/>
          <w:lang w:bidi="ar"/>
        </w:rPr>
        <w:t xml:space="preserve">：________________ </w:t>
      </w:r>
    </w:p>
    <w:p w14:paraId="5ABF199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委托代理人（签字或</w:t>
      </w:r>
      <w:r>
        <w:rPr>
          <w:rFonts w:hint="eastAsia" w:ascii="仿宋" w:hAnsi="仿宋" w:eastAsia="仿宋" w:cs="仿宋"/>
          <w:highlight w:val="none"/>
        </w:rPr>
        <w:t>盖章）</w:t>
      </w:r>
      <w:r>
        <w:rPr>
          <w:rFonts w:hint="eastAsia" w:ascii="仿宋" w:hAnsi="仿宋" w:eastAsia="仿宋" w:cs="仿宋"/>
          <w:highlight w:val="none"/>
          <w:lang w:bidi="ar"/>
        </w:rPr>
        <w:t>：________________    联系电话：________</w:t>
      </w:r>
    </w:p>
    <w:p w14:paraId="635B43F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 xml:space="preserve">日期：_____年______月______日 </w:t>
      </w:r>
    </w:p>
    <w:p w14:paraId="38392816">
      <w:pPr>
        <w:pageBreakBefore w:val="0"/>
        <w:kinsoku/>
        <w:overflowPunct/>
        <w:topLinePunct w:val="0"/>
        <w:bidi w:val="0"/>
        <w:snapToGrid/>
        <w:spacing w:line="400" w:lineRule="exact"/>
        <w:rPr>
          <w:rFonts w:hint="eastAsia" w:ascii="仿宋" w:hAnsi="仿宋" w:eastAsia="仿宋" w:cs="仿宋"/>
          <w:highlight w:val="none"/>
        </w:rPr>
      </w:pPr>
    </w:p>
    <w:p w14:paraId="3F48122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 xml:space="preserve">附：法定代表人及委托代理人身份证明文件电子件：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BD6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5DF87368">
            <w:pPr>
              <w:pageBreakBefore w:val="0"/>
              <w:kinsoku/>
              <w:overflowPunct/>
              <w:topLinePunct w:val="0"/>
              <w:bidi w:val="0"/>
              <w:snapToGrid/>
              <w:spacing w:line="400" w:lineRule="exact"/>
              <w:rPr>
                <w:rFonts w:hint="eastAsia" w:ascii="仿宋" w:hAnsi="仿宋" w:eastAsia="仿宋" w:cs="仿宋"/>
                <w:highlight w:val="none"/>
              </w:rPr>
            </w:pPr>
          </w:p>
        </w:tc>
      </w:tr>
    </w:tbl>
    <w:p w14:paraId="208061EC">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说明： </w:t>
      </w:r>
    </w:p>
    <w:p w14:paraId="28A547A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1.若投标人为事业单位或其他组织或分支机构，则法定代表人（单位负责人）处的签署人可为单位负责人。 </w:t>
      </w:r>
    </w:p>
    <w:p w14:paraId="7706DC8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2.若投标文件中签字之处均为法定代表人（单位负责人）本人签署，则可不提供本《授权委托书》，但须提供《法定代表人（单位负责人）身份证明》。 </w:t>
      </w:r>
    </w:p>
    <w:p w14:paraId="244D1EC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3.投标人为自然人的情形，可不提供本《授权委托书》。 </w:t>
      </w:r>
    </w:p>
    <w:p w14:paraId="29DC663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highlight w:val="none"/>
        </w:rPr>
        <w:t>双面</w:t>
      </w:r>
      <w:r>
        <w:rPr>
          <w:rFonts w:hint="eastAsia" w:ascii="仿宋" w:hAnsi="仿宋" w:eastAsia="仿宋" w:cs="仿宋"/>
          <w:highlight w:val="none"/>
        </w:rPr>
        <w:t>电子件。</w:t>
      </w:r>
    </w:p>
    <w:p w14:paraId="5D9EBEDC">
      <w:pPr>
        <w:pageBreakBefore w:val="0"/>
        <w:kinsoku/>
        <w:overflowPunct/>
        <w:topLinePunct w:val="0"/>
        <w:bidi w:val="0"/>
        <w:snapToGrid/>
        <w:spacing w:line="400" w:lineRule="exact"/>
        <w:rPr>
          <w:rFonts w:hint="eastAsia" w:ascii="仿宋" w:hAnsi="仿宋" w:eastAsia="仿宋" w:cs="仿宋"/>
          <w:b/>
          <w:bCs/>
          <w:sz w:val="32"/>
          <w:szCs w:val="32"/>
          <w:highlight w:val="none"/>
        </w:rPr>
      </w:pPr>
      <w:bookmarkStart w:id="411" w:name="_Toc155185934"/>
      <w:bookmarkStart w:id="412" w:name="_Toc163492928"/>
      <w:r>
        <w:rPr>
          <w:rFonts w:hint="eastAsia" w:ascii="仿宋" w:hAnsi="仿宋" w:eastAsia="仿宋" w:cs="仿宋"/>
          <w:highlight w:val="none"/>
        </w:rPr>
        <w:br w:type="page"/>
      </w:r>
    </w:p>
    <w:p w14:paraId="36CE9021">
      <w:pPr>
        <w:pStyle w:val="4"/>
        <w:pageBreakBefore w:val="0"/>
        <w:kinsoku/>
        <w:overflowPunct/>
        <w:topLinePunct w:val="0"/>
        <w:bidi w:val="0"/>
        <w:snapToGrid/>
        <w:spacing w:line="400" w:lineRule="exact"/>
        <w:rPr>
          <w:rFonts w:hint="eastAsia" w:ascii="仿宋" w:hAnsi="仿宋" w:eastAsia="仿宋" w:cs="仿宋"/>
          <w:highlight w:val="none"/>
        </w:rPr>
      </w:pPr>
      <w:bookmarkStart w:id="413" w:name="_Toc4311"/>
      <w:r>
        <w:rPr>
          <w:rFonts w:hint="eastAsia" w:ascii="仿宋" w:hAnsi="仿宋" w:eastAsia="仿宋" w:cs="仿宋"/>
          <w:highlight w:val="none"/>
        </w:rPr>
        <w:t>四、</w:t>
      </w:r>
      <w:bookmarkEnd w:id="411"/>
      <w:bookmarkEnd w:id="412"/>
      <w:bookmarkStart w:id="414" w:name="_Toc163492929"/>
      <w:r>
        <w:rPr>
          <w:rFonts w:hint="eastAsia" w:ascii="仿宋" w:hAnsi="仿宋" w:eastAsia="仿宋" w:cs="仿宋"/>
          <w:highlight w:val="none"/>
          <w:lang w:val="zh-CN"/>
        </w:rPr>
        <w:t>政府采购</w:t>
      </w:r>
      <w:r>
        <w:rPr>
          <w:rFonts w:hint="eastAsia" w:ascii="仿宋" w:hAnsi="仿宋" w:eastAsia="仿宋" w:cs="仿宋"/>
          <w:highlight w:val="none"/>
        </w:rPr>
        <w:t>投标人</w:t>
      </w:r>
      <w:r>
        <w:rPr>
          <w:rFonts w:hint="eastAsia" w:ascii="仿宋" w:hAnsi="仿宋" w:eastAsia="仿宋" w:cs="仿宋"/>
          <w:highlight w:val="none"/>
          <w:lang w:val="zh-CN"/>
        </w:rPr>
        <w:t>廉洁自律承诺书</w:t>
      </w:r>
      <w:bookmarkEnd w:id="413"/>
    </w:p>
    <w:p w14:paraId="7C2B48AD">
      <w:pPr>
        <w:pStyle w:val="14"/>
        <w:pageBreakBefore w:val="0"/>
        <w:kinsoku/>
        <w:overflowPunct/>
        <w:topLinePunct w:val="0"/>
        <w:bidi w:val="0"/>
        <w:snapToGrid/>
        <w:spacing w:line="400" w:lineRule="exact"/>
        <w:rPr>
          <w:rFonts w:hint="eastAsia" w:ascii="仿宋" w:hAnsi="仿宋" w:eastAsia="仿宋" w:cs="仿宋"/>
          <w:highlight w:val="none"/>
          <w:u w:val="single"/>
        </w:rPr>
      </w:pPr>
    </w:p>
    <w:p w14:paraId="74B3480A">
      <w:pPr>
        <w:pageBreakBefore w:val="0"/>
        <w:kinsoku/>
        <w:overflowPunct/>
        <w:topLinePunct w:val="0"/>
        <w:bidi w:val="0"/>
        <w:snapToGrid/>
        <w:spacing w:line="400" w:lineRule="exact"/>
        <w:rPr>
          <w:rFonts w:hint="eastAsia" w:ascii="仿宋" w:hAnsi="仿宋" w:eastAsia="仿宋" w:cs="仿宋"/>
          <w:kern w:val="0"/>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（采购人）、（采购代理机构）</w:t>
      </w:r>
      <w:r>
        <w:rPr>
          <w:rFonts w:hint="eastAsia" w:ascii="仿宋" w:hAnsi="仿宋" w:eastAsia="仿宋" w:cs="仿宋"/>
          <w:kern w:val="0"/>
          <w:highlight w:val="none"/>
          <w:lang w:val="zh-CN"/>
        </w:rPr>
        <w:t>：</w:t>
      </w:r>
    </w:p>
    <w:p w14:paraId="2B6E03E4">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我单位响应你</w:t>
      </w:r>
      <w:r>
        <w:rPr>
          <w:rFonts w:hint="eastAsia" w:ascii="仿宋" w:hAnsi="仿宋" w:eastAsia="仿宋" w:cs="仿宋"/>
          <w:highlight w:val="none"/>
        </w:rPr>
        <w:t>单位</w:t>
      </w:r>
      <w:r>
        <w:rPr>
          <w:rFonts w:hint="eastAsia" w:ascii="仿宋" w:hAnsi="仿宋" w:eastAsia="仿宋" w:cs="仿宋"/>
          <w:highlight w:val="none"/>
          <w:lang w:val="zh-CN"/>
        </w:rPr>
        <w:t>项目招标</w:t>
      </w:r>
      <w:r>
        <w:rPr>
          <w:rFonts w:hint="eastAsia" w:ascii="仿宋" w:hAnsi="仿宋" w:eastAsia="仿宋" w:cs="仿宋"/>
          <w:highlight w:val="none"/>
        </w:rPr>
        <w:t>文件</w:t>
      </w:r>
      <w:r>
        <w:rPr>
          <w:rFonts w:hint="eastAsia" w:ascii="仿宋" w:hAnsi="仿宋" w:eastAsia="仿宋" w:cs="仿宋"/>
          <w:highlight w:val="none"/>
          <w:lang w:val="zh-CN"/>
        </w:rPr>
        <w:t>要求参加投标。在这次投标过程中和中标后，我们将严格遵守国家法律法规要求，并郑重承诺：</w:t>
      </w:r>
    </w:p>
    <w:p w14:paraId="6B6E4FBA">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 xml:space="preserve">一、不向项目有关人员及部门赠送礼金礼物、有价证券、回扣以及中介费、介绍费、咨询费等好处费； </w:t>
      </w:r>
    </w:p>
    <w:p w14:paraId="63A77482">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 xml:space="preserve">二、不为项目有关人员及部门报销应由你方单位或个人支付的费用； </w:t>
      </w:r>
    </w:p>
    <w:p w14:paraId="05D2BC53">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三、不向项目有关人员及部门提供有可能影响公正的宴请和健身娱乐等活动；</w:t>
      </w:r>
    </w:p>
    <w:p w14:paraId="6E5F959F">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四、不为项目有关人员及部门出国（境）、旅游等提供方便；</w:t>
      </w:r>
    </w:p>
    <w:p w14:paraId="4E3C3450">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五、不为项目有关人员个人装修住房、婚丧嫁娶、配偶子女工作安排等提供好处；</w:t>
      </w:r>
    </w:p>
    <w:p w14:paraId="66E26E63">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六、严格遵守《中华人民共和国政府采购法》《中华人民共和国政府采购法</w:t>
      </w:r>
      <w:r>
        <w:rPr>
          <w:rFonts w:hint="eastAsia" w:ascii="仿宋" w:hAnsi="仿宋" w:eastAsia="仿宋" w:cs="仿宋"/>
          <w:highlight w:val="none"/>
        </w:rPr>
        <w:t>实施条例</w:t>
      </w:r>
      <w:r>
        <w:rPr>
          <w:rFonts w:hint="eastAsia" w:ascii="仿宋" w:hAnsi="仿宋" w:eastAsia="仿宋" w:cs="仿宋"/>
          <w:highlight w:val="none"/>
          <w:lang w:val="zh-CN"/>
        </w:rPr>
        <w:t xml:space="preserve">》《中华人民共和国民法典》等法律法规，诚实守信，合法经营，坚决抵制各种违法违纪行为。 </w:t>
      </w:r>
    </w:p>
    <w:p w14:paraId="5CE222E2">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highlight w:val="none"/>
        </w:rPr>
        <w:t>兵团</w:t>
      </w:r>
      <w:r>
        <w:rPr>
          <w:rFonts w:hint="eastAsia" w:ascii="仿宋" w:hAnsi="仿宋" w:eastAsia="仿宋" w:cs="仿宋"/>
          <w:highlight w:val="none"/>
          <w:lang w:val="zh-CN"/>
        </w:rPr>
        <w:t>财政局。由此引起的相应损失均由我单位承担。</w:t>
      </w:r>
    </w:p>
    <w:p w14:paraId="7917FD52">
      <w:pPr>
        <w:pageBreakBefore w:val="0"/>
        <w:kinsoku/>
        <w:overflowPunct/>
        <w:topLinePunct w:val="0"/>
        <w:bidi w:val="0"/>
        <w:snapToGrid/>
        <w:spacing w:line="400" w:lineRule="exact"/>
        <w:rPr>
          <w:rFonts w:hint="eastAsia" w:ascii="仿宋" w:hAnsi="仿宋" w:eastAsia="仿宋" w:cs="仿宋"/>
          <w:highlight w:val="none"/>
          <w:lang w:val="zh-CN"/>
        </w:rPr>
      </w:pPr>
    </w:p>
    <w:p w14:paraId="7914E23A">
      <w:pPr>
        <w:pageBreakBefore w:val="0"/>
        <w:kinsoku/>
        <w:overflowPunct/>
        <w:topLinePunct w:val="0"/>
        <w:bidi w:val="0"/>
        <w:snapToGrid/>
        <w:spacing w:line="400" w:lineRule="exact"/>
        <w:rPr>
          <w:rFonts w:hint="eastAsia" w:ascii="仿宋" w:hAnsi="仿宋" w:eastAsia="仿宋" w:cs="仿宋"/>
          <w:highlight w:val="none"/>
          <w:lang w:val="zh-CN"/>
        </w:rPr>
      </w:pPr>
    </w:p>
    <w:p w14:paraId="27371B30">
      <w:pPr>
        <w:pageBreakBefore w:val="0"/>
        <w:kinsoku/>
        <w:overflowPunct/>
        <w:topLinePunct w:val="0"/>
        <w:bidi w:val="0"/>
        <w:snapToGrid/>
        <w:spacing w:line="400" w:lineRule="exact"/>
        <w:rPr>
          <w:rFonts w:hint="eastAsia" w:ascii="仿宋" w:hAnsi="仿宋" w:eastAsia="仿宋" w:cs="仿宋"/>
          <w:highlight w:val="none"/>
          <w:lang w:val="zh-CN"/>
        </w:rPr>
      </w:pPr>
    </w:p>
    <w:p w14:paraId="0965A496">
      <w:pPr>
        <w:pageBreakBefore w:val="0"/>
        <w:kinsoku/>
        <w:overflowPunct/>
        <w:topLinePunct w:val="0"/>
        <w:bidi w:val="0"/>
        <w:snapToGrid/>
        <w:spacing w:line="400" w:lineRule="exact"/>
        <w:rPr>
          <w:rFonts w:hint="eastAsia" w:ascii="仿宋" w:hAnsi="仿宋" w:eastAsia="仿宋" w:cs="仿宋"/>
          <w:highlight w:val="none"/>
          <w:lang w:val="zh-CN"/>
        </w:rPr>
      </w:pPr>
      <w:r>
        <w:rPr>
          <w:rFonts w:hint="eastAsia" w:ascii="仿宋" w:hAnsi="仿宋" w:eastAsia="仿宋" w:cs="仿宋"/>
          <w:highlight w:val="none"/>
          <w:lang w:val="zh-CN"/>
        </w:rPr>
        <w:t>投标人名称</w:t>
      </w:r>
      <w:r>
        <w:rPr>
          <w:rFonts w:hint="eastAsia" w:ascii="仿宋" w:hAnsi="仿宋" w:eastAsia="仿宋" w:cs="仿宋"/>
          <w:highlight w:val="none"/>
        </w:rPr>
        <w:t>（公章）</w:t>
      </w:r>
      <w:r>
        <w:rPr>
          <w:rFonts w:hint="eastAsia" w:ascii="仿宋" w:hAnsi="仿宋" w:eastAsia="仿宋" w:cs="仿宋"/>
          <w:highlight w:val="none"/>
          <w:lang w:val="zh-CN"/>
        </w:rPr>
        <w:t xml:space="preserve">：                                                                                                                                                                                                               </w:t>
      </w:r>
    </w:p>
    <w:p w14:paraId="215CE9ED">
      <w:pPr>
        <w:pageBreakBefore w:val="0"/>
        <w:kinsoku/>
        <w:overflowPunct/>
        <w:topLinePunct w:val="0"/>
        <w:bidi w:val="0"/>
        <w:snapToGrid/>
        <w:spacing w:line="400" w:lineRule="exact"/>
        <w:rPr>
          <w:rFonts w:hint="eastAsia" w:ascii="仿宋" w:hAnsi="仿宋" w:eastAsia="仿宋" w:cs="仿宋"/>
          <w:b/>
          <w:bCs/>
          <w:highlight w:val="none"/>
        </w:rPr>
      </w:pPr>
      <w:r>
        <w:rPr>
          <w:rFonts w:hint="eastAsia" w:ascii="仿宋" w:hAnsi="仿宋" w:eastAsia="仿宋" w:cs="仿宋"/>
          <w:highlight w:val="none"/>
          <w:lang w:val="zh-CN"/>
        </w:rPr>
        <w:t>日期</w:t>
      </w:r>
      <w:r>
        <w:rPr>
          <w:rFonts w:hint="eastAsia" w:ascii="仿宋" w:hAnsi="仿宋" w:eastAsia="仿宋" w:cs="仿宋"/>
          <w:highlight w:val="none"/>
        </w:rPr>
        <w:t>：</w:t>
      </w:r>
      <w:r>
        <w:rPr>
          <w:rFonts w:hint="eastAsia" w:ascii="仿宋" w:hAnsi="仿宋" w:eastAsia="仿宋" w:cs="仿宋"/>
          <w:highlight w:val="none"/>
          <w:lang w:val="zh-CN"/>
        </w:rPr>
        <w:t xml:space="preserve">   年   月   日</w:t>
      </w:r>
    </w:p>
    <w:p w14:paraId="612C9334">
      <w:pPr>
        <w:pageBreakBefore w:val="0"/>
        <w:kinsoku/>
        <w:overflowPunct/>
        <w:topLinePunct w:val="0"/>
        <w:bidi w:val="0"/>
        <w:snapToGrid/>
        <w:spacing w:line="400" w:lineRule="exact"/>
        <w:rPr>
          <w:rFonts w:hint="eastAsia" w:ascii="仿宋" w:hAnsi="仿宋" w:eastAsia="仿宋" w:cs="仿宋"/>
          <w:highlight w:val="none"/>
        </w:rPr>
      </w:pPr>
    </w:p>
    <w:p w14:paraId="694B7A20">
      <w:pPr>
        <w:pStyle w:val="14"/>
        <w:pageBreakBefore w:val="0"/>
        <w:kinsoku/>
        <w:overflowPunct/>
        <w:topLinePunct w:val="0"/>
        <w:bidi w:val="0"/>
        <w:snapToGrid/>
        <w:spacing w:line="400" w:lineRule="exact"/>
        <w:rPr>
          <w:rFonts w:hint="eastAsia" w:ascii="仿宋" w:hAnsi="仿宋" w:eastAsia="仿宋" w:cs="仿宋"/>
          <w:highlight w:val="none"/>
        </w:rPr>
      </w:pPr>
    </w:p>
    <w:p w14:paraId="36C654D7">
      <w:pPr>
        <w:pStyle w:val="14"/>
        <w:pageBreakBefore w:val="0"/>
        <w:kinsoku/>
        <w:overflowPunct/>
        <w:topLinePunct w:val="0"/>
        <w:bidi w:val="0"/>
        <w:snapToGrid/>
        <w:spacing w:line="400" w:lineRule="exact"/>
        <w:rPr>
          <w:rFonts w:hint="eastAsia" w:ascii="仿宋" w:hAnsi="仿宋" w:eastAsia="仿宋" w:cs="仿宋"/>
          <w:highlight w:val="none"/>
        </w:rPr>
      </w:pPr>
    </w:p>
    <w:p w14:paraId="57459A81">
      <w:pPr>
        <w:pageBreakBefore w:val="0"/>
        <w:kinsoku/>
        <w:overflowPunct/>
        <w:topLinePunct w:val="0"/>
        <w:bidi w:val="0"/>
        <w:snapToGrid/>
        <w:spacing w:line="400" w:lineRule="exact"/>
        <w:rPr>
          <w:rFonts w:hint="eastAsia" w:ascii="仿宋" w:hAnsi="仿宋" w:eastAsia="仿宋" w:cs="仿宋"/>
          <w:b/>
          <w:bCs/>
          <w:sz w:val="32"/>
          <w:szCs w:val="32"/>
          <w:highlight w:val="none"/>
        </w:rPr>
      </w:pPr>
      <w:r>
        <w:rPr>
          <w:rFonts w:hint="eastAsia" w:ascii="仿宋" w:hAnsi="仿宋" w:eastAsia="仿宋" w:cs="仿宋"/>
          <w:highlight w:val="none"/>
        </w:rPr>
        <w:br w:type="page"/>
      </w:r>
    </w:p>
    <w:p w14:paraId="1D1F1DB3">
      <w:pPr>
        <w:pStyle w:val="4"/>
        <w:pageBreakBefore w:val="0"/>
        <w:kinsoku/>
        <w:overflowPunct/>
        <w:topLinePunct w:val="0"/>
        <w:bidi w:val="0"/>
        <w:snapToGrid/>
        <w:spacing w:line="400" w:lineRule="exact"/>
        <w:rPr>
          <w:rFonts w:hint="eastAsia" w:ascii="仿宋" w:hAnsi="仿宋" w:eastAsia="仿宋" w:cs="仿宋"/>
          <w:highlight w:val="none"/>
        </w:rPr>
      </w:pPr>
      <w:bookmarkStart w:id="415" w:name="_Toc17030"/>
      <w:r>
        <w:rPr>
          <w:rFonts w:hint="eastAsia" w:ascii="仿宋" w:hAnsi="仿宋" w:eastAsia="仿宋" w:cs="仿宋"/>
          <w:highlight w:val="none"/>
        </w:rPr>
        <w:t>五、</w:t>
      </w:r>
      <w:r>
        <w:rPr>
          <w:rFonts w:hint="eastAsia" w:ascii="仿宋" w:hAnsi="仿宋" w:eastAsia="仿宋" w:cs="仿宋"/>
          <w:highlight w:val="none"/>
          <w:lang w:val="zh-CN"/>
        </w:rPr>
        <w:t>实质性响应一览表【</w:t>
      </w:r>
      <w:r>
        <w:rPr>
          <w:rFonts w:hint="eastAsia" w:ascii="仿宋" w:hAnsi="仿宋" w:eastAsia="仿宋" w:cs="仿宋"/>
          <w:highlight w:val="none"/>
        </w:rPr>
        <w:t>本表须与第五章的一致】</w:t>
      </w:r>
      <w:bookmarkEnd w:id="415"/>
    </w:p>
    <w:p w14:paraId="781EEDAC">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（投标人须对本附表所有内容逐条响应且无负偏离，否则其</w:t>
      </w:r>
      <w:r>
        <w:rPr>
          <w:rFonts w:hint="eastAsia" w:ascii="仿宋" w:hAnsi="仿宋" w:eastAsia="仿宋" w:cs="仿宋"/>
          <w:b/>
          <w:highlight w:val="none"/>
        </w:rPr>
        <w:t>投标无效</w:t>
      </w:r>
      <w:r>
        <w:rPr>
          <w:rFonts w:hint="eastAsia" w:ascii="仿宋" w:hAnsi="仿宋" w:eastAsia="仿宋" w:cs="仿宋"/>
          <w:highlight w:val="none"/>
        </w:rPr>
        <w:t>）</w:t>
      </w:r>
    </w:p>
    <w:p w14:paraId="12C26CEB">
      <w:pPr>
        <w:pStyle w:val="26"/>
        <w:pageBreakBefore w:val="0"/>
        <w:kinsoku/>
        <w:overflowPunct/>
        <w:topLinePunct w:val="0"/>
        <w:bidi w:val="0"/>
        <w:snapToGrid/>
        <w:spacing w:line="400" w:lineRule="exact"/>
        <w:rPr>
          <w:rFonts w:hint="eastAsia" w:ascii="仿宋" w:hAnsi="仿宋" w:eastAsia="仿宋" w:cs="仿宋"/>
          <w:highlight w:val="none"/>
        </w:rPr>
      </w:pPr>
    </w:p>
    <w:tbl>
      <w:tblPr>
        <w:tblStyle w:val="33"/>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97"/>
        <w:gridCol w:w="4037"/>
        <w:gridCol w:w="3002"/>
        <w:gridCol w:w="776"/>
      </w:tblGrid>
      <w:tr w14:paraId="2FE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58" w:type="pct"/>
            <w:vMerge w:val="restart"/>
            <w:vAlign w:val="center"/>
          </w:tcPr>
          <w:p w14:paraId="27FC7F65">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序号</w:t>
            </w:r>
          </w:p>
        </w:tc>
        <w:tc>
          <w:tcPr>
            <w:tcW w:w="2778" w:type="pct"/>
            <w:gridSpan w:val="2"/>
            <w:vAlign w:val="center"/>
          </w:tcPr>
          <w:p w14:paraId="05728323">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招标文件要求的实质性响应内容</w:t>
            </w:r>
          </w:p>
        </w:tc>
        <w:tc>
          <w:tcPr>
            <w:tcW w:w="1480" w:type="pct"/>
            <w:vMerge w:val="restart"/>
            <w:vAlign w:val="center"/>
          </w:tcPr>
          <w:p w14:paraId="22FB15FA">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投标文件响应的具体内容</w:t>
            </w:r>
          </w:p>
        </w:tc>
        <w:tc>
          <w:tcPr>
            <w:tcW w:w="382" w:type="pct"/>
            <w:vMerge w:val="restart"/>
            <w:vAlign w:val="center"/>
          </w:tcPr>
          <w:p w14:paraId="437E384A">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备注</w:t>
            </w:r>
          </w:p>
        </w:tc>
      </w:tr>
      <w:tr w14:paraId="3FB4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58" w:type="pct"/>
            <w:vMerge w:val="continue"/>
            <w:vAlign w:val="center"/>
          </w:tcPr>
          <w:p w14:paraId="3B39E67E">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p>
        </w:tc>
        <w:tc>
          <w:tcPr>
            <w:tcW w:w="787" w:type="pct"/>
            <w:shd w:val="clear" w:color="auto" w:fill="auto"/>
            <w:vAlign w:val="center"/>
          </w:tcPr>
          <w:p w14:paraId="213129CE">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实质性要求</w:t>
            </w:r>
          </w:p>
        </w:tc>
        <w:tc>
          <w:tcPr>
            <w:tcW w:w="1990" w:type="pct"/>
            <w:shd w:val="clear" w:color="auto" w:fill="auto"/>
            <w:vAlign w:val="center"/>
          </w:tcPr>
          <w:p w14:paraId="075A13DB">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招标文件中的规定</w:t>
            </w:r>
          </w:p>
        </w:tc>
        <w:tc>
          <w:tcPr>
            <w:tcW w:w="1480" w:type="pct"/>
            <w:vMerge w:val="continue"/>
            <w:vAlign w:val="center"/>
          </w:tcPr>
          <w:p w14:paraId="36E57E5C">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Merge w:val="continue"/>
            <w:vAlign w:val="center"/>
          </w:tcPr>
          <w:p w14:paraId="7B91706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422C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358" w:type="pct"/>
            <w:vAlign w:val="center"/>
          </w:tcPr>
          <w:p w14:paraId="4A382935">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1</w:t>
            </w:r>
          </w:p>
        </w:tc>
        <w:tc>
          <w:tcPr>
            <w:tcW w:w="787" w:type="pct"/>
            <w:shd w:val="clear" w:color="auto" w:fill="auto"/>
            <w:vAlign w:val="center"/>
          </w:tcPr>
          <w:p w14:paraId="4C1A1868">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投标内容</w:t>
            </w:r>
          </w:p>
        </w:tc>
        <w:tc>
          <w:tcPr>
            <w:tcW w:w="1990" w:type="pct"/>
            <w:shd w:val="clear" w:color="auto" w:fill="auto"/>
            <w:vAlign w:val="center"/>
          </w:tcPr>
          <w:p w14:paraId="04F48B96">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对采购标的全部报价，无缺项漏项或改变清单数量</w:t>
            </w:r>
          </w:p>
        </w:tc>
        <w:tc>
          <w:tcPr>
            <w:tcW w:w="1480" w:type="pct"/>
            <w:vAlign w:val="center"/>
          </w:tcPr>
          <w:p w14:paraId="39EE0BAB">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【投标人在此处填写投标文件的相关内容】</w:t>
            </w:r>
          </w:p>
        </w:tc>
        <w:tc>
          <w:tcPr>
            <w:tcW w:w="382" w:type="pct"/>
            <w:vAlign w:val="center"/>
          </w:tcPr>
          <w:p w14:paraId="3A045236">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5EAB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58" w:type="pct"/>
            <w:vAlign w:val="center"/>
          </w:tcPr>
          <w:p w14:paraId="30096071">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2</w:t>
            </w:r>
          </w:p>
        </w:tc>
        <w:tc>
          <w:tcPr>
            <w:tcW w:w="787" w:type="pct"/>
            <w:shd w:val="clear" w:color="auto" w:fill="auto"/>
            <w:vAlign w:val="center"/>
          </w:tcPr>
          <w:p w14:paraId="0CD59342">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投标有效期</w:t>
            </w:r>
          </w:p>
        </w:tc>
        <w:tc>
          <w:tcPr>
            <w:tcW w:w="1990" w:type="pct"/>
            <w:shd w:val="clear" w:color="auto" w:fill="auto"/>
            <w:vAlign w:val="center"/>
          </w:tcPr>
          <w:p w14:paraId="4799D158">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招标文件“第二章 投标须知”关于投标有效期的规定</w:t>
            </w:r>
          </w:p>
        </w:tc>
        <w:tc>
          <w:tcPr>
            <w:tcW w:w="1480" w:type="pct"/>
            <w:shd w:val="clear" w:color="auto" w:fill="auto"/>
            <w:vAlign w:val="center"/>
          </w:tcPr>
          <w:p w14:paraId="796C4FEF">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Align w:val="center"/>
          </w:tcPr>
          <w:p w14:paraId="603F9C64">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453A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8" w:type="pct"/>
            <w:vAlign w:val="center"/>
          </w:tcPr>
          <w:p w14:paraId="4D5DDC65">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rPr>
            </w:pPr>
            <w:r>
              <w:rPr>
                <w:rFonts w:hint="eastAsia" w:ascii="仿宋" w:hAnsi="仿宋" w:eastAsia="仿宋" w:cs="仿宋"/>
                <w:highlight w:val="none"/>
              </w:rPr>
              <w:t>3</w:t>
            </w:r>
          </w:p>
        </w:tc>
        <w:tc>
          <w:tcPr>
            <w:tcW w:w="787" w:type="pct"/>
            <w:shd w:val="clear" w:color="auto" w:fill="auto"/>
            <w:vAlign w:val="center"/>
          </w:tcPr>
          <w:p w14:paraId="6BB54CAD">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交货期</w:t>
            </w:r>
          </w:p>
        </w:tc>
        <w:tc>
          <w:tcPr>
            <w:tcW w:w="1990" w:type="pct"/>
            <w:shd w:val="clear" w:color="auto" w:fill="auto"/>
            <w:vAlign w:val="center"/>
          </w:tcPr>
          <w:p w14:paraId="6CDD678C">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采购需求”-商务要求关于交货期的规定</w:t>
            </w:r>
          </w:p>
        </w:tc>
        <w:tc>
          <w:tcPr>
            <w:tcW w:w="1480" w:type="pct"/>
            <w:shd w:val="clear" w:color="auto" w:fill="auto"/>
            <w:vAlign w:val="center"/>
          </w:tcPr>
          <w:p w14:paraId="5671759F">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Align w:val="center"/>
          </w:tcPr>
          <w:p w14:paraId="35053465">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4113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8" w:type="pct"/>
            <w:shd w:val="clear" w:color="auto" w:fill="auto"/>
            <w:vAlign w:val="center"/>
          </w:tcPr>
          <w:p w14:paraId="7F55E885">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4</w:t>
            </w:r>
          </w:p>
        </w:tc>
        <w:tc>
          <w:tcPr>
            <w:tcW w:w="787" w:type="pct"/>
            <w:shd w:val="clear" w:color="auto" w:fill="auto"/>
            <w:vAlign w:val="center"/>
          </w:tcPr>
          <w:p w14:paraId="40821C93">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质保期</w:t>
            </w:r>
          </w:p>
        </w:tc>
        <w:tc>
          <w:tcPr>
            <w:tcW w:w="1990" w:type="pct"/>
            <w:shd w:val="clear" w:color="auto" w:fill="auto"/>
            <w:vAlign w:val="center"/>
          </w:tcPr>
          <w:p w14:paraId="312FC5CF">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w:t>
            </w:r>
            <w:r>
              <w:rPr>
                <w:rFonts w:hint="eastAsia" w:ascii="仿宋" w:hAnsi="仿宋" w:eastAsia="仿宋" w:cs="仿宋"/>
                <w:highlight w:val="none"/>
                <w:lang w:val="en-US" w:eastAsia="zh-CN"/>
              </w:rPr>
              <w:t>质保期</w:t>
            </w:r>
            <w:r>
              <w:rPr>
                <w:rFonts w:hint="eastAsia" w:ascii="仿宋" w:hAnsi="仿宋" w:eastAsia="仿宋" w:cs="仿宋"/>
                <w:highlight w:val="none"/>
              </w:rPr>
              <w:t>的规定</w:t>
            </w:r>
          </w:p>
        </w:tc>
        <w:tc>
          <w:tcPr>
            <w:tcW w:w="1480" w:type="pct"/>
            <w:shd w:val="clear" w:color="auto" w:fill="auto"/>
            <w:vAlign w:val="center"/>
          </w:tcPr>
          <w:p w14:paraId="236291D9">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Align w:val="center"/>
          </w:tcPr>
          <w:p w14:paraId="6D8CD7A9">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667F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58" w:type="pct"/>
            <w:shd w:val="clear" w:color="auto" w:fill="auto"/>
            <w:vAlign w:val="center"/>
          </w:tcPr>
          <w:p w14:paraId="5E24D837">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5</w:t>
            </w:r>
          </w:p>
        </w:tc>
        <w:tc>
          <w:tcPr>
            <w:tcW w:w="787" w:type="pct"/>
            <w:shd w:val="clear" w:color="auto" w:fill="auto"/>
            <w:vAlign w:val="center"/>
          </w:tcPr>
          <w:p w14:paraId="0B03D4FC">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交货地点</w:t>
            </w:r>
          </w:p>
        </w:tc>
        <w:tc>
          <w:tcPr>
            <w:tcW w:w="1990" w:type="pct"/>
            <w:shd w:val="clear" w:color="auto" w:fill="auto"/>
            <w:vAlign w:val="center"/>
          </w:tcPr>
          <w:p w14:paraId="00CB3E00">
            <w:pPr>
              <w:pStyle w:val="53"/>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采购需求”-商务要求关于交货地点的规定</w:t>
            </w:r>
          </w:p>
        </w:tc>
        <w:tc>
          <w:tcPr>
            <w:tcW w:w="1480" w:type="pct"/>
            <w:shd w:val="clear" w:color="auto" w:fill="auto"/>
            <w:vAlign w:val="center"/>
          </w:tcPr>
          <w:p w14:paraId="57EB7474">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Align w:val="center"/>
          </w:tcPr>
          <w:p w14:paraId="494BAAFB">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45DC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58" w:type="pct"/>
            <w:shd w:val="clear" w:color="auto" w:fill="auto"/>
            <w:vAlign w:val="center"/>
          </w:tcPr>
          <w:p w14:paraId="1BD4A723">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6</w:t>
            </w:r>
          </w:p>
        </w:tc>
        <w:tc>
          <w:tcPr>
            <w:tcW w:w="787" w:type="pct"/>
            <w:shd w:val="clear" w:color="auto" w:fill="auto"/>
            <w:vAlign w:val="center"/>
          </w:tcPr>
          <w:p w14:paraId="40C7C956">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付款方式</w:t>
            </w:r>
          </w:p>
        </w:tc>
        <w:tc>
          <w:tcPr>
            <w:tcW w:w="1990" w:type="pct"/>
            <w:shd w:val="clear" w:color="auto" w:fill="auto"/>
            <w:vAlign w:val="center"/>
          </w:tcPr>
          <w:p w14:paraId="73CF3C62">
            <w:pPr>
              <w:pStyle w:val="53"/>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采购需求”-商务要求关于付款方式的规定</w:t>
            </w:r>
          </w:p>
        </w:tc>
        <w:tc>
          <w:tcPr>
            <w:tcW w:w="1480" w:type="pct"/>
            <w:shd w:val="clear" w:color="auto" w:fill="auto"/>
            <w:vAlign w:val="center"/>
          </w:tcPr>
          <w:p w14:paraId="2204BE83">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Align w:val="center"/>
          </w:tcPr>
          <w:p w14:paraId="2E5D65C9">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5E0B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58" w:type="pct"/>
            <w:shd w:val="clear" w:color="auto" w:fill="auto"/>
            <w:vAlign w:val="center"/>
          </w:tcPr>
          <w:p w14:paraId="0C4CFCEF">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highlight w:val="none"/>
              </w:rPr>
              <w:t>7</w:t>
            </w:r>
          </w:p>
        </w:tc>
        <w:tc>
          <w:tcPr>
            <w:tcW w:w="787" w:type="pct"/>
            <w:shd w:val="clear" w:color="auto" w:fill="auto"/>
            <w:vAlign w:val="center"/>
          </w:tcPr>
          <w:p w14:paraId="50D66198">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履约保证金</w:t>
            </w:r>
          </w:p>
        </w:tc>
        <w:tc>
          <w:tcPr>
            <w:tcW w:w="1990" w:type="pct"/>
            <w:shd w:val="clear" w:color="auto" w:fill="auto"/>
            <w:vAlign w:val="center"/>
          </w:tcPr>
          <w:p w14:paraId="134DF1E3">
            <w:pPr>
              <w:pStyle w:val="53"/>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招标文件“第三章 采购需求”-商务要求关于履约保证金的规定</w:t>
            </w:r>
          </w:p>
        </w:tc>
        <w:tc>
          <w:tcPr>
            <w:tcW w:w="1480" w:type="pct"/>
            <w:shd w:val="clear" w:color="auto" w:fill="auto"/>
            <w:vAlign w:val="center"/>
          </w:tcPr>
          <w:p w14:paraId="768D3B2F">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Align w:val="center"/>
          </w:tcPr>
          <w:p w14:paraId="0908386B">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r w14:paraId="33B2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58" w:type="pct"/>
            <w:vAlign w:val="center"/>
          </w:tcPr>
          <w:p w14:paraId="0BB66F55">
            <w:pPr>
              <w:keepNext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8</w:t>
            </w:r>
          </w:p>
        </w:tc>
        <w:tc>
          <w:tcPr>
            <w:tcW w:w="787" w:type="pct"/>
            <w:shd w:val="clear" w:color="auto" w:fill="auto"/>
            <w:vAlign w:val="center"/>
          </w:tcPr>
          <w:p w14:paraId="487ACB86">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lang w:val="zh-CN"/>
              </w:rPr>
            </w:pPr>
            <w:r>
              <w:rPr>
                <w:rFonts w:hint="eastAsia" w:ascii="仿宋" w:hAnsi="仿宋" w:eastAsia="仿宋" w:cs="仿宋"/>
                <w:highlight w:val="none"/>
                <w:lang w:val="zh-CN"/>
              </w:rPr>
              <w:t>其他实质性要求</w:t>
            </w:r>
          </w:p>
        </w:tc>
        <w:tc>
          <w:tcPr>
            <w:tcW w:w="1990" w:type="pct"/>
            <w:vAlign w:val="center"/>
          </w:tcPr>
          <w:p w14:paraId="2A878520">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r>
              <w:rPr>
                <w:rFonts w:hint="eastAsia" w:ascii="仿宋" w:hAnsi="仿宋" w:eastAsia="仿宋" w:cs="仿宋"/>
                <w:highlight w:val="none"/>
              </w:rPr>
              <w:t>详见招标文件中明确投标无效的条款规定</w:t>
            </w:r>
          </w:p>
        </w:tc>
        <w:tc>
          <w:tcPr>
            <w:tcW w:w="1480" w:type="pct"/>
            <w:vAlign w:val="center"/>
          </w:tcPr>
          <w:p w14:paraId="732DE217">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c>
          <w:tcPr>
            <w:tcW w:w="382" w:type="pct"/>
            <w:vAlign w:val="center"/>
          </w:tcPr>
          <w:p w14:paraId="38EED2CE">
            <w:pPr>
              <w:keepNext w:val="0"/>
              <w:pageBreakBefore w:val="0"/>
              <w:kinsoku/>
              <w:overflowPunct/>
              <w:topLinePunct w:val="0"/>
              <w:autoSpaceDE/>
              <w:autoSpaceDN/>
              <w:bidi w:val="0"/>
              <w:adjustRightInd/>
              <w:snapToGrid/>
              <w:spacing w:line="400" w:lineRule="exact"/>
              <w:textAlignment w:val="auto"/>
              <w:rPr>
                <w:rFonts w:hint="eastAsia" w:ascii="仿宋" w:hAnsi="仿宋" w:eastAsia="仿宋" w:cs="仿宋"/>
                <w:highlight w:val="none"/>
              </w:rPr>
            </w:pPr>
          </w:p>
        </w:tc>
      </w:tr>
    </w:tbl>
    <w:p w14:paraId="0C4B1935">
      <w:pPr>
        <w:pageBreakBefore w:val="0"/>
        <w:kinsoku/>
        <w:overflowPunct/>
        <w:topLinePunct w:val="0"/>
        <w:bidi w:val="0"/>
        <w:snapToGrid/>
        <w:spacing w:line="400" w:lineRule="exact"/>
        <w:rPr>
          <w:rFonts w:hint="eastAsia" w:ascii="仿宋" w:hAnsi="仿宋" w:eastAsia="仿宋" w:cs="仿宋"/>
          <w:highlight w:val="none"/>
        </w:rPr>
      </w:pPr>
    </w:p>
    <w:p w14:paraId="5629A89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73BA9502">
      <w:pPr>
        <w:pStyle w:val="4"/>
        <w:pageBreakBefore w:val="0"/>
        <w:kinsoku/>
        <w:overflowPunct/>
        <w:topLinePunct w:val="0"/>
        <w:bidi w:val="0"/>
        <w:snapToGrid/>
        <w:spacing w:line="400" w:lineRule="exact"/>
        <w:rPr>
          <w:rFonts w:hint="eastAsia" w:ascii="仿宋" w:hAnsi="仿宋" w:eastAsia="仿宋" w:cs="仿宋"/>
          <w:highlight w:val="none"/>
        </w:rPr>
      </w:pPr>
      <w:bookmarkStart w:id="416" w:name="_Toc11528"/>
      <w:r>
        <w:rPr>
          <w:rFonts w:hint="eastAsia" w:ascii="仿宋" w:hAnsi="仿宋" w:eastAsia="仿宋" w:cs="仿宋"/>
          <w:highlight w:val="none"/>
        </w:rPr>
        <w:t>六、商务响应偏离表</w:t>
      </w:r>
      <w:bookmarkEnd w:id="414"/>
      <w:bookmarkEnd w:id="416"/>
    </w:p>
    <w:p w14:paraId="71EF1B9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项目名称：                                         </w:t>
      </w:r>
    </w:p>
    <w:p w14:paraId="6F64E42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bCs/>
          <w:szCs w:val="21"/>
          <w:highlight w:val="none"/>
        </w:rPr>
        <w:t>/</w:t>
      </w:r>
      <w:r>
        <w:rPr>
          <w:rFonts w:hint="eastAsia" w:ascii="仿宋" w:hAnsi="仿宋" w:eastAsia="仿宋" w:cs="仿宋"/>
          <w:bCs/>
          <w:szCs w:val="21"/>
          <w:highlight w:val="none"/>
          <w:lang w:val="zh-CN"/>
        </w:rPr>
        <w:t>包号</w:t>
      </w:r>
      <w:r>
        <w:rPr>
          <w:rFonts w:hint="eastAsia" w:ascii="仿宋" w:hAnsi="仿宋" w:eastAsia="仿宋" w:cs="仿宋"/>
          <w:highlight w:val="none"/>
        </w:rPr>
        <w:t xml:space="preserve">：        </w:t>
      </w:r>
    </w:p>
    <w:tbl>
      <w:tblPr>
        <w:tblStyle w:val="3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705"/>
        <w:gridCol w:w="1943"/>
        <w:gridCol w:w="2114"/>
        <w:gridCol w:w="2114"/>
      </w:tblGrid>
      <w:tr w14:paraId="392B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99885E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395" w:type="pct"/>
            <w:vAlign w:val="center"/>
          </w:tcPr>
          <w:p w14:paraId="7598806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招标文件的商务条款</w:t>
            </w:r>
          </w:p>
        </w:tc>
        <w:tc>
          <w:tcPr>
            <w:tcW w:w="1002" w:type="pct"/>
            <w:vAlign w:val="center"/>
          </w:tcPr>
          <w:p w14:paraId="7DF87F6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投标文件的响应内容</w:t>
            </w:r>
          </w:p>
        </w:tc>
        <w:tc>
          <w:tcPr>
            <w:tcW w:w="1090" w:type="pct"/>
            <w:vAlign w:val="center"/>
          </w:tcPr>
          <w:p w14:paraId="6DF8B63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1090" w:type="pct"/>
            <w:vAlign w:val="center"/>
          </w:tcPr>
          <w:p w14:paraId="5CA1892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说明及索引</w:t>
            </w:r>
          </w:p>
        </w:tc>
      </w:tr>
      <w:tr w14:paraId="6284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BD7BCD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395" w:type="pct"/>
            <w:vAlign w:val="center"/>
          </w:tcPr>
          <w:p w14:paraId="1457D70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02" w:type="pct"/>
            <w:vAlign w:val="center"/>
          </w:tcPr>
          <w:p w14:paraId="183B1F5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90" w:type="pct"/>
            <w:vAlign w:val="center"/>
          </w:tcPr>
          <w:p w14:paraId="416D6BF3">
            <w:pPr>
              <w:pStyle w:val="53"/>
              <w:pageBreakBefore w:val="0"/>
              <w:kinsoku/>
              <w:overflowPunct/>
              <w:topLinePunct w:val="0"/>
              <w:bidi w:val="0"/>
              <w:snapToGrid/>
              <w:spacing w:line="400" w:lineRule="exact"/>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en-US" w:eastAsia="zh-CN"/>
              </w:rPr>
              <w:t>正</w:t>
            </w:r>
            <w:r>
              <w:rPr>
                <w:rFonts w:hint="eastAsia" w:ascii="仿宋" w:hAnsi="仿宋" w:eastAsia="仿宋" w:cs="仿宋"/>
                <w:sz w:val="21"/>
                <w:szCs w:val="21"/>
                <w:highlight w:val="none"/>
              </w:rPr>
              <w:t>偏离</w:t>
            </w:r>
            <w:r>
              <w:rPr>
                <w:rFonts w:hint="eastAsia" w:ascii="仿宋" w:hAnsi="仿宋" w:eastAsia="仿宋" w:cs="仿宋"/>
                <w:sz w:val="21"/>
                <w:szCs w:val="21"/>
                <w:highlight w:val="none"/>
                <w:lang w:val="en-US" w:eastAsia="zh-CN"/>
              </w:rPr>
              <w:t>/负偏离</w:t>
            </w:r>
          </w:p>
        </w:tc>
        <w:tc>
          <w:tcPr>
            <w:tcW w:w="1090" w:type="pct"/>
            <w:vAlign w:val="center"/>
          </w:tcPr>
          <w:p w14:paraId="2F70C51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6F51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6B9D9E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395" w:type="pct"/>
            <w:vAlign w:val="center"/>
          </w:tcPr>
          <w:p w14:paraId="50F3A36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02" w:type="pct"/>
            <w:vAlign w:val="center"/>
          </w:tcPr>
          <w:p w14:paraId="548FEE9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90" w:type="pct"/>
            <w:vAlign w:val="center"/>
          </w:tcPr>
          <w:p w14:paraId="04A329A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1B812D5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16BD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CFBDD8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395" w:type="pct"/>
            <w:vAlign w:val="center"/>
          </w:tcPr>
          <w:p w14:paraId="250B279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02" w:type="pct"/>
            <w:vAlign w:val="center"/>
          </w:tcPr>
          <w:p w14:paraId="6C12A1D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90" w:type="pct"/>
            <w:vAlign w:val="center"/>
          </w:tcPr>
          <w:p w14:paraId="52F32D3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344E26E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1B1F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CD9726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95" w:type="pct"/>
            <w:vAlign w:val="center"/>
          </w:tcPr>
          <w:p w14:paraId="1EB5282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02" w:type="pct"/>
            <w:vAlign w:val="center"/>
          </w:tcPr>
          <w:p w14:paraId="54F1C18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64FE1A3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4143ECC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4CAB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3E7A3D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95" w:type="pct"/>
            <w:vAlign w:val="center"/>
          </w:tcPr>
          <w:p w14:paraId="4CF32B3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02" w:type="pct"/>
            <w:vAlign w:val="center"/>
          </w:tcPr>
          <w:p w14:paraId="0A080CB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1FB2238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7C7DF83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436D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259F97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95" w:type="pct"/>
            <w:vAlign w:val="center"/>
          </w:tcPr>
          <w:p w14:paraId="4F2A5B5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02" w:type="pct"/>
            <w:vAlign w:val="center"/>
          </w:tcPr>
          <w:p w14:paraId="386694C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62714C9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20B8DFF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50AF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0370F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95" w:type="pct"/>
            <w:vAlign w:val="center"/>
          </w:tcPr>
          <w:p w14:paraId="5AEA993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02" w:type="pct"/>
            <w:vAlign w:val="center"/>
          </w:tcPr>
          <w:p w14:paraId="425BFA5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16EC1A7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546645E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2D0E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7B577F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95" w:type="pct"/>
            <w:vAlign w:val="center"/>
          </w:tcPr>
          <w:p w14:paraId="1BA8744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02" w:type="pct"/>
            <w:vAlign w:val="center"/>
          </w:tcPr>
          <w:p w14:paraId="4D9440F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26ED9EC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100339C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47F7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FAFFF3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395" w:type="pct"/>
            <w:vAlign w:val="center"/>
          </w:tcPr>
          <w:p w14:paraId="3C4D1C8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02" w:type="pct"/>
            <w:vAlign w:val="center"/>
          </w:tcPr>
          <w:p w14:paraId="0DF7FE0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1A7A062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90" w:type="pct"/>
            <w:vAlign w:val="center"/>
          </w:tcPr>
          <w:p w14:paraId="51DC6F2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31F7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42CEBA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395" w:type="pct"/>
            <w:vAlign w:val="center"/>
          </w:tcPr>
          <w:p w14:paraId="434FA36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02" w:type="pct"/>
            <w:vAlign w:val="center"/>
          </w:tcPr>
          <w:p w14:paraId="3D168AF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90" w:type="pct"/>
            <w:vAlign w:val="center"/>
          </w:tcPr>
          <w:p w14:paraId="5C3A9A5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90" w:type="pct"/>
            <w:vAlign w:val="center"/>
          </w:tcPr>
          <w:p w14:paraId="0928AA5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bl>
    <w:p w14:paraId="74F1BD11">
      <w:pPr>
        <w:pageBreakBefore w:val="0"/>
        <w:kinsoku/>
        <w:overflowPunct/>
        <w:topLinePunct w:val="0"/>
        <w:bidi w:val="0"/>
        <w:snapToGrid/>
        <w:spacing w:line="400" w:lineRule="exact"/>
        <w:rPr>
          <w:rFonts w:hint="eastAsia" w:ascii="仿宋" w:hAnsi="仿宋" w:eastAsia="仿宋" w:cs="仿宋"/>
          <w:highlight w:val="none"/>
        </w:rPr>
      </w:pPr>
    </w:p>
    <w:p w14:paraId="7A6C3AFA">
      <w:pPr>
        <w:pageBreakBefore w:val="0"/>
        <w:kinsoku/>
        <w:overflowPunct/>
        <w:topLinePunct w:val="0"/>
        <w:bidi w:val="0"/>
        <w:snapToGrid/>
        <w:spacing w:line="400" w:lineRule="exact"/>
        <w:rPr>
          <w:rFonts w:hint="eastAsia" w:ascii="仿宋" w:hAnsi="仿宋" w:eastAsia="仿宋" w:cs="仿宋"/>
          <w:highlight w:val="none"/>
        </w:rPr>
      </w:pPr>
    </w:p>
    <w:p w14:paraId="1FB265F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kern w:val="0"/>
          <w:highlight w:val="none"/>
        </w:rPr>
        <w:t>公章）</w:t>
      </w:r>
      <w:r>
        <w:rPr>
          <w:rFonts w:hint="eastAsia" w:ascii="仿宋" w:hAnsi="仿宋" w:eastAsia="仿宋" w:cs="仿宋"/>
          <w:highlight w:val="none"/>
        </w:rPr>
        <w:t xml:space="preserve">： </w:t>
      </w:r>
    </w:p>
    <w:p w14:paraId="3BC2C28B">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      期：</w:t>
      </w:r>
    </w:p>
    <w:p w14:paraId="6764569C">
      <w:pPr>
        <w:pageBreakBefore w:val="0"/>
        <w:kinsoku/>
        <w:overflowPunct/>
        <w:topLinePunct w:val="0"/>
        <w:bidi w:val="0"/>
        <w:snapToGrid/>
        <w:spacing w:line="400" w:lineRule="exact"/>
        <w:rPr>
          <w:rFonts w:hint="eastAsia" w:ascii="仿宋" w:hAnsi="仿宋" w:eastAsia="仿宋" w:cs="仿宋"/>
          <w:highlight w:val="none"/>
        </w:rPr>
      </w:pPr>
    </w:p>
    <w:p w14:paraId="388DF01C">
      <w:pPr>
        <w:pageBreakBefore w:val="0"/>
        <w:kinsoku/>
        <w:overflowPunct/>
        <w:topLinePunct w:val="0"/>
        <w:bidi w:val="0"/>
        <w:snapToGrid/>
        <w:spacing w:line="400" w:lineRule="exact"/>
        <w:rPr>
          <w:rFonts w:hint="eastAsia" w:ascii="仿宋" w:hAnsi="仿宋" w:eastAsia="仿宋" w:cs="仿宋"/>
          <w:szCs w:val="24"/>
          <w:highlight w:val="none"/>
        </w:rPr>
      </w:pPr>
      <w:r>
        <w:rPr>
          <w:rFonts w:hint="eastAsia" w:ascii="仿宋" w:hAnsi="仿宋" w:eastAsia="仿宋" w:cs="仿宋"/>
          <w:highlight w:val="none"/>
        </w:rPr>
        <w:t>注：投标人应按照招标文件“第三章 采购需求”中的商务要求填写：</w:t>
      </w:r>
    </w:p>
    <w:p w14:paraId="72042B0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1.“招标文件的商务条款”栏应详细列明招标文件中的商务要求。 </w:t>
      </w:r>
    </w:p>
    <w:p w14:paraId="2672DEF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仿宋" w:hAnsi="仿宋" w:eastAsia="仿宋" w:cs="仿宋"/>
          <w:b/>
          <w:bCs/>
          <w:highlight w:val="none"/>
        </w:rPr>
        <w:t>投标无效</w:t>
      </w:r>
      <w:r>
        <w:rPr>
          <w:rFonts w:hint="eastAsia" w:ascii="仿宋" w:hAnsi="仿宋" w:eastAsia="仿宋" w:cs="仿宋"/>
          <w:highlight w:val="none"/>
        </w:rPr>
        <w:t xml:space="preserve">。 </w:t>
      </w:r>
    </w:p>
    <w:p w14:paraId="751564B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3.“响应情况”栏应据实填写“响应”、“正偏离”或“负偏离”。 </w:t>
      </w:r>
    </w:p>
    <w:p w14:paraId="3AD63D7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4.“说明及索引”栏可填写偏离情况的具体说明及索引。</w:t>
      </w:r>
    </w:p>
    <w:p w14:paraId="45F4020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5.对招标文件中的所有商务要求，除本表所列明的所有偏离外，均视作供应商已对之理解和响应。此表中若无任何文字说明，内容为空白的，</w:t>
      </w:r>
      <w:r>
        <w:rPr>
          <w:rFonts w:hint="eastAsia" w:ascii="仿宋" w:hAnsi="仿宋" w:eastAsia="仿宋" w:cs="仿宋"/>
          <w:b/>
          <w:bCs/>
          <w:highlight w:val="none"/>
        </w:rPr>
        <w:t>投标无效</w:t>
      </w:r>
      <w:r>
        <w:rPr>
          <w:rFonts w:hint="eastAsia" w:ascii="仿宋" w:hAnsi="仿宋" w:eastAsia="仿宋" w:cs="仿宋"/>
          <w:highlight w:val="none"/>
        </w:rPr>
        <w:t>。</w:t>
      </w:r>
    </w:p>
    <w:p w14:paraId="56087192">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231F3AA6">
      <w:pPr>
        <w:pStyle w:val="4"/>
        <w:pageBreakBefore w:val="0"/>
        <w:kinsoku/>
        <w:overflowPunct/>
        <w:topLinePunct w:val="0"/>
        <w:bidi w:val="0"/>
        <w:snapToGrid/>
        <w:spacing w:line="400" w:lineRule="exact"/>
        <w:rPr>
          <w:rFonts w:hint="eastAsia" w:ascii="仿宋" w:hAnsi="仿宋" w:eastAsia="仿宋" w:cs="仿宋"/>
          <w:highlight w:val="none"/>
        </w:rPr>
      </w:pPr>
      <w:bookmarkStart w:id="417" w:name="_Toc17988"/>
      <w:bookmarkStart w:id="418" w:name="_Toc163492930"/>
      <w:r>
        <w:rPr>
          <w:rFonts w:hint="eastAsia" w:ascii="仿宋" w:hAnsi="仿宋" w:eastAsia="仿宋" w:cs="仿宋"/>
          <w:highlight w:val="none"/>
        </w:rPr>
        <w:t>七、业绩证明文件</w:t>
      </w:r>
      <w:bookmarkEnd w:id="417"/>
      <w:bookmarkEnd w:id="418"/>
    </w:p>
    <w:p w14:paraId="099A8119">
      <w:pPr>
        <w:pageBreakBefore w:val="0"/>
        <w:kinsoku/>
        <w:overflowPunct/>
        <w:topLinePunct w:val="0"/>
        <w:bidi w:val="0"/>
        <w:snapToGrid/>
        <w:spacing w:line="400" w:lineRule="exact"/>
        <w:rPr>
          <w:rFonts w:hint="eastAsia" w:ascii="仿宋" w:hAnsi="仿宋" w:eastAsia="仿宋" w:cs="仿宋"/>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LINK Word.Document.8 "D:\\音乐厅\\4通用设备\\招标文件\\音乐厅空调设备招标文件v1.0.doc" "OLE_LINK8" \r  \* MERGEFORMAT </w:instrText>
      </w:r>
      <w:r>
        <w:rPr>
          <w:rFonts w:hint="eastAsia" w:ascii="仿宋" w:hAnsi="仿宋" w:eastAsia="仿宋" w:cs="仿宋"/>
          <w:highlight w:val="none"/>
        </w:rPr>
        <w:fldChar w:fldCharType="separate"/>
      </w:r>
      <w:r>
        <w:rPr>
          <w:rFonts w:hint="eastAsia" w:ascii="仿宋" w:hAnsi="仿宋" w:eastAsia="仿宋" w:cs="仿宋"/>
          <w:szCs w:val="24"/>
          <w:highlight w:val="none"/>
        </w:rPr>
        <w:t xml:space="preserve">项目名称：                                         </w:t>
      </w:r>
    </w:p>
    <w:p w14:paraId="4C9D3EEE">
      <w:pPr>
        <w:pageBreakBefore w:val="0"/>
        <w:kinsoku/>
        <w:overflowPunct/>
        <w:topLinePunct w:val="0"/>
        <w:bidi w:val="0"/>
        <w:snapToGrid/>
        <w:spacing w:line="400" w:lineRule="exact"/>
        <w:rPr>
          <w:rFonts w:hint="eastAsia" w:ascii="仿宋" w:hAnsi="仿宋" w:eastAsia="仿宋" w:cs="仿宋"/>
          <w:bCs/>
          <w:szCs w:val="21"/>
          <w:highlight w:val="none"/>
        </w:rPr>
      </w:pPr>
      <w:r>
        <w:rPr>
          <w:rFonts w:hint="eastAsia" w:ascii="仿宋" w:hAnsi="仿宋" w:eastAsia="仿宋" w:cs="仿宋"/>
          <w:highlight w:val="none"/>
        </w:rPr>
        <w:t>项目编号</w:t>
      </w:r>
      <w:r>
        <w:rPr>
          <w:rFonts w:hint="eastAsia" w:ascii="仿宋" w:hAnsi="仿宋" w:eastAsia="仿宋" w:cs="仿宋"/>
          <w:bCs/>
          <w:szCs w:val="21"/>
          <w:highlight w:val="none"/>
        </w:rPr>
        <w:t>/</w:t>
      </w:r>
      <w:r>
        <w:rPr>
          <w:rFonts w:hint="eastAsia" w:ascii="仿宋" w:hAnsi="仿宋" w:eastAsia="仿宋" w:cs="仿宋"/>
          <w:bCs/>
          <w:szCs w:val="21"/>
          <w:highlight w:val="none"/>
          <w:lang w:val="zh-CN"/>
        </w:rPr>
        <w:t>包号</w:t>
      </w:r>
      <w:r>
        <w:rPr>
          <w:rFonts w:hint="eastAsia" w:ascii="仿宋" w:hAnsi="仿宋" w:eastAsia="仿宋" w:cs="仿宋"/>
          <w:highlight w:val="none"/>
        </w:rPr>
        <w:t xml:space="preserve">：      </w:t>
      </w:r>
      <w:r>
        <w:rPr>
          <w:rFonts w:hint="eastAsia" w:ascii="仿宋" w:hAnsi="仿宋" w:eastAsia="仿宋" w:cs="仿宋"/>
          <w:bCs/>
          <w:szCs w:val="21"/>
          <w:highlight w:val="none"/>
        </w:rPr>
        <w:fldChar w:fldCharType="end"/>
      </w:r>
    </w:p>
    <w:tbl>
      <w:tblPr>
        <w:tblStyle w:val="33"/>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33"/>
        <w:gridCol w:w="1387"/>
        <w:gridCol w:w="1733"/>
        <w:gridCol w:w="1493"/>
        <w:gridCol w:w="1694"/>
        <w:gridCol w:w="1211"/>
      </w:tblGrid>
      <w:tr w14:paraId="1913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26" w:type="dxa"/>
            <w:vAlign w:val="center"/>
          </w:tcPr>
          <w:p w14:paraId="05E5B1FD">
            <w:pPr>
              <w:pageBreakBefore w:val="0"/>
              <w:kinsoku/>
              <w:overflowPunct/>
              <w:topLinePunct w:val="0"/>
              <w:bidi w:val="0"/>
              <w:snapToGrid/>
              <w:spacing w:line="400" w:lineRule="exact"/>
              <w:jc w:val="center"/>
              <w:rPr>
                <w:rFonts w:hint="eastAsia" w:ascii="仿宋" w:hAnsi="仿宋" w:eastAsia="仿宋" w:cs="仿宋"/>
                <w:highlight w:val="none"/>
              </w:rPr>
            </w:pPr>
            <w:bookmarkStart w:id="419" w:name="_Hlk46779239"/>
            <w:r>
              <w:rPr>
                <w:rFonts w:hint="eastAsia" w:ascii="仿宋" w:hAnsi="仿宋" w:eastAsia="仿宋" w:cs="仿宋"/>
                <w:highlight w:val="none"/>
              </w:rPr>
              <w:t>序号</w:t>
            </w:r>
          </w:p>
        </w:tc>
        <w:tc>
          <w:tcPr>
            <w:tcW w:w="1733" w:type="dxa"/>
            <w:shd w:val="clear" w:color="auto" w:fill="auto"/>
            <w:vAlign w:val="center"/>
          </w:tcPr>
          <w:p w14:paraId="4E37DB73">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项目名称</w:t>
            </w:r>
          </w:p>
        </w:tc>
        <w:tc>
          <w:tcPr>
            <w:tcW w:w="1387" w:type="dxa"/>
            <w:shd w:val="clear" w:color="auto" w:fill="auto"/>
            <w:vAlign w:val="center"/>
          </w:tcPr>
          <w:p w14:paraId="51825175">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标的内容</w:t>
            </w:r>
          </w:p>
        </w:tc>
        <w:tc>
          <w:tcPr>
            <w:tcW w:w="1733" w:type="dxa"/>
            <w:shd w:val="clear" w:color="auto" w:fill="auto"/>
            <w:vAlign w:val="center"/>
          </w:tcPr>
          <w:p w14:paraId="6A7656CA">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采购人名称</w:t>
            </w:r>
          </w:p>
        </w:tc>
        <w:tc>
          <w:tcPr>
            <w:tcW w:w="1493" w:type="dxa"/>
            <w:shd w:val="clear" w:color="auto" w:fill="auto"/>
            <w:vAlign w:val="center"/>
          </w:tcPr>
          <w:p w14:paraId="4FB0259B">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中标（成交）金额</w:t>
            </w:r>
          </w:p>
        </w:tc>
        <w:tc>
          <w:tcPr>
            <w:tcW w:w="1694" w:type="dxa"/>
            <w:shd w:val="clear" w:color="auto" w:fill="auto"/>
            <w:vAlign w:val="center"/>
          </w:tcPr>
          <w:p w14:paraId="57B5E856">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采购合同签订时间</w:t>
            </w:r>
          </w:p>
        </w:tc>
        <w:tc>
          <w:tcPr>
            <w:tcW w:w="1211" w:type="dxa"/>
            <w:vAlign w:val="center"/>
          </w:tcPr>
          <w:p w14:paraId="2E1DBA6F">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备注</w:t>
            </w:r>
          </w:p>
        </w:tc>
      </w:tr>
      <w:tr w14:paraId="7568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26" w:type="dxa"/>
            <w:vAlign w:val="center"/>
          </w:tcPr>
          <w:p w14:paraId="43314DEA">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1</w:t>
            </w:r>
          </w:p>
        </w:tc>
        <w:tc>
          <w:tcPr>
            <w:tcW w:w="1733" w:type="dxa"/>
            <w:vAlign w:val="center"/>
          </w:tcPr>
          <w:p w14:paraId="30CCD143">
            <w:pPr>
              <w:pageBreakBefore w:val="0"/>
              <w:kinsoku/>
              <w:overflowPunct/>
              <w:topLinePunct w:val="0"/>
              <w:bidi w:val="0"/>
              <w:snapToGrid/>
              <w:spacing w:line="400" w:lineRule="exact"/>
              <w:rPr>
                <w:rFonts w:hint="eastAsia" w:ascii="仿宋" w:hAnsi="仿宋" w:eastAsia="仿宋" w:cs="仿宋"/>
                <w:highlight w:val="none"/>
              </w:rPr>
            </w:pPr>
          </w:p>
        </w:tc>
        <w:tc>
          <w:tcPr>
            <w:tcW w:w="1387" w:type="dxa"/>
            <w:vAlign w:val="center"/>
          </w:tcPr>
          <w:p w14:paraId="243863EE">
            <w:pPr>
              <w:pageBreakBefore w:val="0"/>
              <w:kinsoku/>
              <w:overflowPunct/>
              <w:topLinePunct w:val="0"/>
              <w:bidi w:val="0"/>
              <w:snapToGrid/>
              <w:spacing w:line="400" w:lineRule="exact"/>
              <w:rPr>
                <w:rFonts w:hint="eastAsia" w:ascii="仿宋" w:hAnsi="仿宋" w:eastAsia="仿宋" w:cs="仿宋"/>
                <w:highlight w:val="none"/>
              </w:rPr>
            </w:pPr>
          </w:p>
        </w:tc>
        <w:tc>
          <w:tcPr>
            <w:tcW w:w="1733" w:type="dxa"/>
            <w:vAlign w:val="center"/>
          </w:tcPr>
          <w:p w14:paraId="2132775E">
            <w:pPr>
              <w:pageBreakBefore w:val="0"/>
              <w:kinsoku/>
              <w:overflowPunct/>
              <w:topLinePunct w:val="0"/>
              <w:bidi w:val="0"/>
              <w:snapToGrid/>
              <w:spacing w:line="400" w:lineRule="exact"/>
              <w:rPr>
                <w:rFonts w:hint="eastAsia" w:ascii="仿宋" w:hAnsi="仿宋" w:eastAsia="仿宋" w:cs="仿宋"/>
                <w:highlight w:val="none"/>
              </w:rPr>
            </w:pPr>
          </w:p>
        </w:tc>
        <w:tc>
          <w:tcPr>
            <w:tcW w:w="1493" w:type="dxa"/>
            <w:vAlign w:val="center"/>
          </w:tcPr>
          <w:p w14:paraId="755D930C">
            <w:pPr>
              <w:pageBreakBefore w:val="0"/>
              <w:kinsoku/>
              <w:overflowPunct/>
              <w:topLinePunct w:val="0"/>
              <w:bidi w:val="0"/>
              <w:snapToGrid/>
              <w:spacing w:line="400" w:lineRule="exact"/>
              <w:rPr>
                <w:rFonts w:hint="eastAsia" w:ascii="仿宋" w:hAnsi="仿宋" w:eastAsia="仿宋" w:cs="仿宋"/>
                <w:highlight w:val="none"/>
              </w:rPr>
            </w:pPr>
          </w:p>
        </w:tc>
        <w:tc>
          <w:tcPr>
            <w:tcW w:w="1694" w:type="dxa"/>
            <w:vAlign w:val="center"/>
          </w:tcPr>
          <w:p w14:paraId="134C6931">
            <w:pPr>
              <w:pageBreakBefore w:val="0"/>
              <w:kinsoku/>
              <w:overflowPunct/>
              <w:topLinePunct w:val="0"/>
              <w:bidi w:val="0"/>
              <w:snapToGrid/>
              <w:spacing w:line="400" w:lineRule="exact"/>
              <w:rPr>
                <w:rFonts w:hint="eastAsia" w:ascii="仿宋" w:hAnsi="仿宋" w:eastAsia="仿宋" w:cs="仿宋"/>
                <w:highlight w:val="none"/>
              </w:rPr>
            </w:pPr>
          </w:p>
        </w:tc>
        <w:tc>
          <w:tcPr>
            <w:tcW w:w="1211" w:type="dxa"/>
            <w:vAlign w:val="center"/>
          </w:tcPr>
          <w:p w14:paraId="386685D0">
            <w:pPr>
              <w:pageBreakBefore w:val="0"/>
              <w:kinsoku/>
              <w:overflowPunct/>
              <w:topLinePunct w:val="0"/>
              <w:bidi w:val="0"/>
              <w:snapToGrid/>
              <w:spacing w:line="400" w:lineRule="exact"/>
              <w:rPr>
                <w:rFonts w:hint="eastAsia" w:ascii="仿宋" w:hAnsi="仿宋" w:eastAsia="仿宋" w:cs="仿宋"/>
                <w:highlight w:val="none"/>
              </w:rPr>
            </w:pPr>
          </w:p>
        </w:tc>
      </w:tr>
      <w:tr w14:paraId="0C5F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26" w:type="dxa"/>
            <w:vAlign w:val="center"/>
          </w:tcPr>
          <w:p w14:paraId="55D6A80C">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2</w:t>
            </w:r>
          </w:p>
        </w:tc>
        <w:tc>
          <w:tcPr>
            <w:tcW w:w="1733" w:type="dxa"/>
            <w:vAlign w:val="center"/>
          </w:tcPr>
          <w:p w14:paraId="71D95C57">
            <w:pPr>
              <w:pageBreakBefore w:val="0"/>
              <w:kinsoku/>
              <w:overflowPunct/>
              <w:topLinePunct w:val="0"/>
              <w:bidi w:val="0"/>
              <w:snapToGrid/>
              <w:spacing w:line="400" w:lineRule="exact"/>
              <w:rPr>
                <w:rFonts w:hint="eastAsia" w:ascii="仿宋" w:hAnsi="仿宋" w:eastAsia="仿宋" w:cs="仿宋"/>
                <w:highlight w:val="none"/>
              </w:rPr>
            </w:pPr>
          </w:p>
        </w:tc>
        <w:tc>
          <w:tcPr>
            <w:tcW w:w="1387" w:type="dxa"/>
            <w:vAlign w:val="center"/>
          </w:tcPr>
          <w:p w14:paraId="1AE0CB2B">
            <w:pPr>
              <w:pageBreakBefore w:val="0"/>
              <w:kinsoku/>
              <w:overflowPunct/>
              <w:topLinePunct w:val="0"/>
              <w:bidi w:val="0"/>
              <w:snapToGrid/>
              <w:spacing w:line="400" w:lineRule="exact"/>
              <w:rPr>
                <w:rFonts w:hint="eastAsia" w:ascii="仿宋" w:hAnsi="仿宋" w:eastAsia="仿宋" w:cs="仿宋"/>
                <w:highlight w:val="none"/>
              </w:rPr>
            </w:pPr>
          </w:p>
        </w:tc>
        <w:tc>
          <w:tcPr>
            <w:tcW w:w="1733" w:type="dxa"/>
            <w:vAlign w:val="center"/>
          </w:tcPr>
          <w:p w14:paraId="52EC3929">
            <w:pPr>
              <w:pageBreakBefore w:val="0"/>
              <w:kinsoku/>
              <w:overflowPunct/>
              <w:topLinePunct w:val="0"/>
              <w:bidi w:val="0"/>
              <w:snapToGrid/>
              <w:spacing w:line="400" w:lineRule="exact"/>
              <w:rPr>
                <w:rFonts w:hint="eastAsia" w:ascii="仿宋" w:hAnsi="仿宋" w:eastAsia="仿宋" w:cs="仿宋"/>
                <w:highlight w:val="none"/>
              </w:rPr>
            </w:pPr>
          </w:p>
        </w:tc>
        <w:tc>
          <w:tcPr>
            <w:tcW w:w="1493" w:type="dxa"/>
            <w:vAlign w:val="center"/>
          </w:tcPr>
          <w:p w14:paraId="52D98D00">
            <w:pPr>
              <w:pageBreakBefore w:val="0"/>
              <w:kinsoku/>
              <w:overflowPunct/>
              <w:topLinePunct w:val="0"/>
              <w:bidi w:val="0"/>
              <w:snapToGrid/>
              <w:spacing w:line="400" w:lineRule="exact"/>
              <w:rPr>
                <w:rFonts w:hint="eastAsia" w:ascii="仿宋" w:hAnsi="仿宋" w:eastAsia="仿宋" w:cs="仿宋"/>
                <w:highlight w:val="none"/>
              </w:rPr>
            </w:pPr>
          </w:p>
        </w:tc>
        <w:tc>
          <w:tcPr>
            <w:tcW w:w="1694" w:type="dxa"/>
            <w:vAlign w:val="center"/>
          </w:tcPr>
          <w:p w14:paraId="32A4A85E">
            <w:pPr>
              <w:pageBreakBefore w:val="0"/>
              <w:kinsoku/>
              <w:overflowPunct/>
              <w:topLinePunct w:val="0"/>
              <w:bidi w:val="0"/>
              <w:snapToGrid/>
              <w:spacing w:line="400" w:lineRule="exact"/>
              <w:rPr>
                <w:rFonts w:hint="eastAsia" w:ascii="仿宋" w:hAnsi="仿宋" w:eastAsia="仿宋" w:cs="仿宋"/>
                <w:highlight w:val="none"/>
              </w:rPr>
            </w:pPr>
          </w:p>
        </w:tc>
        <w:tc>
          <w:tcPr>
            <w:tcW w:w="1211" w:type="dxa"/>
            <w:vAlign w:val="center"/>
          </w:tcPr>
          <w:p w14:paraId="76CAC337">
            <w:pPr>
              <w:pageBreakBefore w:val="0"/>
              <w:kinsoku/>
              <w:overflowPunct/>
              <w:topLinePunct w:val="0"/>
              <w:bidi w:val="0"/>
              <w:snapToGrid/>
              <w:spacing w:line="400" w:lineRule="exact"/>
              <w:rPr>
                <w:rFonts w:hint="eastAsia" w:ascii="仿宋" w:hAnsi="仿宋" w:eastAsia="仿宋" w:cs="仿宋"/>
                <w:highlight w:val="none"/>
              </w:rPr>
            </w:pPr>
          </w:p>
        </w:tc>
      </w:tr>
      <w:tr w14:paraId="30CC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26" w:type="dxa"/>
            <w:vAlign w:val="center"/>
          </w:tcPr>
          <w:p w14:paraId="603A4660">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3</w:t>
            </w:r>
          </w:p>
        </w:tc>
        <w:tc>
          <w:tcPr>
            <w:tcW w:w="1733" w:type="dxa"/>
            <w:vAlign w:val="center"/>
          </w:tcPr>
          <w:p w14:paraId="27480297">
            <w:pPr>
              <w:pageBreakBefore w:val="0"/>
              <w:kinsoku/>
              <w:overflowPunct/>
              <w:topLinePunct w:val="0"/>
              <w:bidi w:val="0"/>
              <w:snapToGrid/>
              <w:spacing w:line="400" w:lineRule="exact"/>
              <w:rPr>
                <w:rFonts w:hint="eastAsia" w:ascii="仿宋" w:hAnsi="仿宋" w:eastAsia="仿宋" w:cs="仿宋"/>
                <w:highlight w:val="none"/>
              </w:rPr>
            </w:pPr>
          </w:p>
        </w:tc>
        <w:tc>
          <w:tcPr>
            <w:tcW w:w="1387" w:type="dxa"/>
            <w:vAlign w:val="center"/>
          </w:tcPr>
          <w:p w14:paraId="683FD6D9">
            <w:pPr>
              <w:pageBreakBefore w:val="0"/>
              <w:kinsoku/>
              <w:overflowPunct/>
              <w:topLinePunct w:val="0"/>
              <w:bidi w:val="0"/>
              <w:snapToGrid/>
              <w:spacing w:line="400" w:lineRule="exact"/>
              <w:rPr>
                <w:rFonts w:hint="eastAsia" w:ascii="仿宋" w:hAnsi="仿宋" w:eastAsia="仿宋" w:cs="仿宋"/>
                <w:highlight w:val="none"/>
              </w:rPr>
            </w:pPr>
          </w:p>
        </w:tc>
        <w:tc>
          <w:tcPr>
            <w:tcW w:w="1733" w:type="dxa"/>
            <w:vAlign w:val="center"/>
          </w:tcPr>
          <w:p w14:paraId="4BEB2524">
            <w:pPr>
              <w:pageBreakBefore w:val="0"/>
              <w:kinsoku/>
              <w:overflowPunct/>
              <w:topLinePunct w:val="0"/>
              <w:bidi w:val="0"/>
              <w:snapToGrid/>
              <w:spacing w:line="400" w:lineRule="exact"/>
              <w:rPr>
                <w:rFonts w:hint="eastAsia" w:ascii="仿宋" w:hAnsi="仿宋" w:eastAsia="仿宋" w:cs="仿宋"/>
                <w:highlight w:val="none"/>
              </w:rPr>
            </w:pPr>
          </w:p>
        </w:tc>
        <w:tc>
          <w:tcPr>
            <w:tcW w:w="1493" w:type="dxa"/>
            <w:vAlign w:val="center"/>
          </w:tcPr>
          <w:p w14:paraId="1764FD4E">
            <w:pPr>
              <w:pageBreakBefore w:val="0"/>
              <w:kinsoku/>
              <w:overflowPunct/>
              <w:topLinePunct w:val="0"/>
              <w:bidi w:val="0"/>
              <w:snapToGrid/>
              <w:spacing w:line="400" w:lineRule="exact"/>
              <w:rPr>
                <w:rFonts w:hint="eastAsia" w:ascii="仿宋" w:hAnsi="仿宋" w:eastAsia="仿宋" w:cs="仿宋"/>
                <w:highlight w:val="none"/>
              </w:rPr>
            </w:pPr>
          </w:p>
        </w:tc>
        <w:tc>
          <w:tcPr>
            <w:tcW w:w="1694" w:type="dxa"/>
            <w:vAlign w:val="center"/>
          </w:tcPr>
          <w:p w14:paraId="4A8F4478">
            <w:pPr>
              <w:pageBreakBefore w:val="0"/>
              <w:kinsoku/>
              <w:overflowPunct/>
              <w:topLinePunct w:val="0"/>
              <w:bidi w:val="0"/>
              <w:snapToGrid/>
              <w:spacing w:line="400" w:lineRule="exact"/>
              <w:rPr>
                <w:rFonts w:hint="eastAsia" w:ascii="仿宋" w:hAnsi="仿宋" w:eastAsia="仿宋" w:cs="仿宋"/>
                <w:highlight w:val="none"/>
              </w:rPr>
            </w:pPr>
          </w:p>
        </w:tc>
        <w:tc>
          <w:tcPr>
            <w:tcW w:w="1211" w:type="dxa"/>
            <w:vAlign w:val="center"/>
          </w:tcPr>
          <w:p w14:paraId="2CC4599D">
            <w:pPr>
              <w:pageBreakBefore w:val="0"/>
              <w:kinsoku/>
              <w:overflowPunct/>
              <w:topLinePunct w:val="0"/>
              <w:bidi w:val="0"/>
              <w:snapToGrid/>
              <w:spacing w:line="400" w:lineRule="exact"/>
              <w:rPr>
                <w:rFonts w:hint="eastAsia" w:ascii="仿宋" w:hAnsi="仿宋" w:eastAsia="仿宋" w:cs="仿宋"/>
                <w:highlight w:val="none"/>
              </w:rPr>
            </w:pPr>
          </w:p>
        </w:tc>
      </w:tr>
      <w:tr w14:paraId="4CB4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26" w:type="dxa"/>
            <w:vAlign w:val="center"/>
          </w:tcPr>
          <w:p w14:paraId="0192DC09">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4</w:t>
            </w:r>
          </w:p>
        </w:tc>
        <w:tc>
          <w:tcPr>
            <w:tcW w:w="1733" w:type="dxa"/>
            <w:vAlign w:val="center"/>
          </w:tcPr>
          <w:p w14:paraId="2185ACE8">
            <w:pPr>
              <w:pageBreakBefore w:val="0"/>
              <w:kinsoku/>
              <w:overflowPunct/>
              <w:topLinePunct w:val="0"/>
              <w:bidi w:val="0"/>
              <w:snapToGrid/>
              <w:spacing w:line="400" w:lineRule="exact"/>
              <w:rPr>
                <w:rFonts w:hint="eastAsia" w:ascii="仿宋" w:hAnsi="仿宋" w:eastAsia="仿宋" w:cs="仿宋"/>
                <w:highlight w:val="none"/>
              </w:rPr>
            </w:pPr>
          </w:p>
        </w:tc>
        <w:tc>
          <w:tcPr>
            <w:tcW w:w="1387" w:type="dxa"/>
            <w:vAlign w:val="center"/>
          </w:tcPr>
          <w:p w14:paraId="677EAAC8">
            <w:pPr>
              <w:pageBreakBefore w:val="0"/>
              <w:kinsoku/>
              <w:overflowPunct/>
              <w:topLinePunct w:val="0"/>
              <w:bidi w:val="0"/>
              <w:snapToGrid/>
              <w:spacing w:line="400" w:lineRule="exact"/>
              <w:rPr>
                <w:rFonts w:hint="eastAsia" w:ascii="仿宋" w:hAnsi="仿宋" w:eastAsia="仿宋" w:cs="仿宋"/>
                <w:highlight w:val="none"/>
              </w:rPr>
            </w:pPr>
          </w:p>
        </w:tc>
        <w:tc>
          <w:tcPr>
            <w:tcW w:w="1733" w:type="dxa"/>
            <w:vAlign w:val="center"/>
          </w:tcPr>
          <w:p w14:paraId="0A080538">
            <w:pPr>
              <w:pageBreakBefore w:val="0"/>
              <w:kinsoku/>
              <w:overflowPunct/>
              <w:topLinePunct w:val="0"/>
              <w:bidi w:val="0"/>
              <w:snapToGrid/>
              <w:spacing w:line="400" w:lineRule="exact"/>
              <w:rPr>
                <w:rFonts w:hint="eastAsia" w:ascii="仿宋" w:hAnsi="仿宋" w:eastAsia="仿宋" w:cs="仿宋"/>
                <w:highlight w:val="none"/>
              </w:rPr>
            </w:pPr>
          </w:p>
        </w:tc>
        <w:tc>
          <w:tcPr>
            <w:tcW w:w="1493" w:type="dxa"/>
            <w:vAlign w:val="center"/>
          </w:tcPr>
          <w:p w14:paraId="45C9DFA5">
            <w:pPr>
              <w:pageBreakBefore w:val="0"/>
              <w:kinsoku/>
              <w:overflowPunct/>
              <w:topLinePunct w:val="0"/>
              <w:bidi w:val="0"/>
              <w:snapToGrid/>
              <w:spacing w:line="400" w:lineRule="exact"/>
              <w:rPr>
                <w:rFonts w:hint="eastAsia" w:ascii="仿宋" w:hAnsi="仿宋" w:eastAsia="仿宋" w:cs="仿宋"/>
                <w:highlight w:val="none"/>
              </w:rPr>
            </w:pPr>
          </w:p>
        </w:tc>
        <w:tc>
          <w:tcPr>
            <w:tcW w:w="1694" w:type="dxa"/>
            <w:vAlign w:val="center"/>
          </w:tcPr>
          <w:p w14:paraId="0B7C3CB0">
            <w:pPr>
              <w:pageBreakBefore w:val="0"/>
              <w:kinsoku/>
              <w:overflowPunct/>
              <w:topLinePunct w:val="0"/>
              <w:bidi w:val="0"/>
              <w:snapToGrid/>
              <w:spacing w:line="400" w:lineRule="exact"/>
              <w:rPr>
                <w:rFonts w:hint="eastAsia" w:ascii="仿宋" w:hAnsi="仿宋" w:eastAsia="仿宋" w:cs="仿宋"/>
                <w:highlight w:val="none"/>
              </w:rPr>
            </w:pPr>
          </w:p>
        </w:tc>
        <w:tc>
          <w:tcPr>
            <w:tcW w:w="1211" w:type="dxa"/>
            <w:vAlign w:val="center"/>
          </w:tcPr>
          <w:p w14:paraId="6A9DED95">
            <w:pPr>
              <w:pageBreakBefore w:val="0"/>
              <w:kinsoku/>
              <w:overflowPunct/>
              <w:topLinePunct w:val="0"/>
              <w:bidi w:val="0"/>
              <w:snapToGrid/>
              <w:spacing w:line="400" w:lineRule="exact"/>
              <w:rPr>
                <w:rFonts w:hint="eastAsia" w:ascii="仿宋" w:hAnsi="仿宋" w:eastAsia="仿宋" w:cs="仿宋"/>
                <w:highlight w:val="none"/>
              </w:rPr>
            </w:pPr>
          </w:p>
        </w:tc>
      </w:tr>
      <w:tr w14:paraId="51C8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26" w:type="dxa"/>
            <w:vAlign w:val="center"/>
          </w:tcPr>
          <w:p w14:paraId="11A3CF09">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5</w:t>
            </w:r>
          </w:p>
        </w:tc>
        <w:tc>
          <w:tcPr>
            <w:tcW w:w="1733" w:type="dxa"/>
            <w:vAlign w:val="center"/>
          </w:tcPr>
          <w:p w14:paraId="6F392EFC">
            <w:pPr>
              <w:pageBreakBefore w:val="0"/>
              <w:kinsoku/>
              <w:overflowPunct/>
              <w:topLinePunct w:val="0"/>
              <w:bidi w:val="0"/>
              <w:snapToGrid/>
              <w:spacing w:line="400" w:lineRule="exact"/>
              <w:rPr>
                <w:rFonts w:hint="eastAsia" w:ascii="仿宋" w:hAnsi="仿宋" w:eastAsia="仿宋" w:cs="仿宋"/>
                <w:highlight w:val="none"/>
              </w:rPr>
            </w:pPr>
          </w:p>
        </w:tc>
        <w:tc>
          <w:tcPr>
            <w:tcW w:w="1387" w:type="dxa"/>
            <w:vAlign w:val="center"/>
          </w:tcPr>
          <w:p w14:paraId="26431C63">
            <w:pPr>
              <w:pageBreakBefore w:val="0"/>
              <w:kinsoku/>
              <w:overflowPunct/>
              <w:topLinePunct w:val="0"/>
              <w:bidi w:val="0"/>
              <w:snapToGrid/>
              <w:spacing w:line="400" w:lineRule="exact"/>
              <w:rPr>
                <w:rFonts w:hint="eastAsia" w:ascii="仿宋" w:hAnsi="仿宋" w:eastAsia="仿宋" w:cs="仿宋"/>
                <w:highlight w:val="none"/>
              </w:rPr>
            </w:pPr>
          </w:p>
        </w:tc>
        <w:tc>
          <w:tcPr>
            <w:tcW w:w="1733" w:type="dxa"/>
            <w:vAlign w:val="center"/>
          </w:tcPr>
          <w:p w14:paraId="2F3D9DC3">
            <w:pPr>
              <w:pageBreakBefore w:val="0"/>
              <w:kinsoku/>
              <w:overflowPunct/>
              <w:topLinePunct w:val="0"/>
              <w:bidi w:val="0"/>
              <w:snapToGrid/>
              <w:spacing w:line="400" w:lineRule="exact"/>
              <w:rPr>
                <w:rFonts w:hint="eastAsia" w:ascii="仿宋" w:hAnsi="仿宋" w:eastAsia="仿宋" w:cs="仿宋"/>
                <w:highlight w:val="none"/>
              </w:rPr>
            </w:pPr>
          </w:p>
        </w:tc>
        <w:tc>
          <w:tcPr>
            <w:tcW w:w="1493" w:type="dxa"/>
            <w:vAlign w:val="center"/>
          </w:tcPr>
          <w:p w14:paraId="2C198958">
            <w:pPr>
              <w:pageBreakBefore w:val="0"/>
              <w:kinsoku/>
              <w:overflowPunct/>
              <w:topLinePunct w:val="0"/>
              <w:bidi w:val="0"/>
              <w:snapToGrid/>
              <w:spacing w:line="400" w:lineRule="exact"/>
              <w:rPr>
                <w:rFonts w:hint="eastAsia" w:ascii="仿宋" w:hAnsi="仿宋" w:eastAsia="仿宋" w:cs="仿宋"/>
                <w:highlight w:val="none"/>
              </w:rPr>
            </w:pPr>
          </w:p>
        </w:tc>
        <w:tc>
          <w:tcPr>
            <w:tcW w:w="1694" w:type="dxa"/>
            <w:vAlign w:val="center"/>
          </w:tcPr>
          <w:p w14:paraId="0F86E05A">
            <w:pPr>
              <w:pageBreakBefore w:val="0"/>
              <w:kinsoku/>
              <w:overflowPunct/>
              <w:topLinePunct w:val="0"/>
              <w:bidi w:val="0"/>
              <w:snapToGrid/>
              <w:spacing w:line="400" w:lineRule="exact"/>
              <w:rPr>
                <w:rFonts w:hint="eastAsia" w:ascii="仿宋" w:hAnsi="仿宋" w:eastAsia="仿宋" w:cs="仿宋"/>
                <w:highlight w:val="none"/>
              </w:rPr>
            </w:pPr>
          </w:p>
        </w:tc>
        <w:tc>
          <w:tcPr>
            <w:tcW w:w="1211" w:type="dxa"/>
            <w:vAlign w:val="center"/>
          </w:tcPr>
          <w:p w14:paraId="27206807">
            <w:pPr>
              <w:pageBreakBefore w:val="0"/>
              <w:kinsoku/>
              <w:overflowPunct/>
              <w:topLinePunct w:val="0"/>
              <w:bidi w:val="0"/>
              <w:snapToGrid/>
              <w:spacing w:line="400" w:lineRule="exact"/>
              <w:rPr>
                <w:rFonts w:hint="eastAsia" w:ascii="仿宋" w:hAnsi="仿宋" w:eastAsia="仿宋" w:cs="仿宋"/>
                <w:highlight w:val="none"/>
              </w:rPr>
            </w:pPr>
          </w:p>
        </w:tc>
      </w:tr>
      <w:tr w14:paraId="3759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26" w:type="dxa"/>
            <w:vAlign w:val="center"/>
          </w:tcPr>
          <w:p w14:paraId="1293838B">
            <w:pPr>
              <w:pageBreakBefore w:val="0"/>
              <w:kinsoku/>
              <w:overflowPunct/>
              <w:topLinePunct w:val="0"/>
              <w:bidi w:val="0"/>
              <w:snapToGrid/>
              <w:spacing w:line="400" w:lineRule="exact"/>
              <w:jc w:val="center"/>
              <w:rPr>
                <w:rFonts w:hint="eastAsia" w:ascii="仿宋" w:hAnsi="仿宋" w:eastAsia="仿宋" w:cs="仿宋"/>
                <w:highlight w:val="none"/>
              </w:rPr>
            </w:pPr>
            <w:r>
              <w:rPr>
                <w:rFonts w:hint="eastAsia" w:ascii="仿宋" w:hAnsi="仿宋" w:eastAsia="仿宋" w:cs="仿宋"/>
                <w:highlight w:val="none"/>
              </w:rPr>
              <w:t>…</w:t>
            </w:r>
          </w:p>
        </w:tc>
        <w:tc>
          <w:tcPr>
            <w:tcW w:w="1733" w:type="dxa"/>
            <w:vAlign w:val="center"/>
          </w:tcPr>
          <w:p w14:paraId="669647BC">
            <w:pPr>
              <w:pageBreakBefore w:val="0"/>
              <w:kinsoku/>
              <w:overflowPunct/>
              <w:topLinePunct w:val="0"/>
              <w:bidi w:val="0"/>
              <w:snapToGrid/>
              <w:spacing w:line="400" w:lineRule="exact"/>
              <w:rPr>
                <w:rFonts w:hint="eastAsia" w:ascii="仿宋" w:hAnsi="仿宋" w:eastAsia="仿宋" w:cs="仿宋"/>
                <w:highlight w:val="none"/>
              </w:rPr>
            </w:pPr>
          </w:p>
        </w:tc>
        <w:tc>
          <w:tcPr>
            <w:tcW w:w="1387" w:type="dxa"/>
            <w:vAlign w:val="center"/>
          </w:tcPr>
          <w:p w14:paraId="0577A37E">
            <w:pPr>
              <w:pageBreakBefore w:val="0"/>
              <w:kinsoku/>
              <w:overflowPunct/>
              <w:topLinePunct w:val="0"/>
              <w:bidi w:val="0"/>
              <w:snapToGrid/>
              <w:spacing w:line="400" w:lineRule="exact"/>
              <w:rPr>
                <w:rFonts w:hint="eastAsia" w:ascii="仿宋" w:hAnsi="仿宋" w:eastAsia="仿宋" w:cs="仿宋"/>
                <w:highlight w:val="none"/>
              </w:rPr>
            </w:pPr>
          </w:p>
        </w:tc>
        <w:tc>
          <w:tcPr>
            <w:tcW w:w="1733" w:type="dxa"/>
            <w:vAlign w:val="center"/>
          </w:tcPr>
          <w:p w14:paraId="59A10E90">
            <w:pPr>
              <w:pageBreakBefore w:val="0"/>
              <w:kinsoku/>
              <w:overflowPunct/>
              <w:topLinePunct w:val="0"/>
              <w:bidi w:val="0"/>
              <w:snapToGrid/>
              <w:spacing w:line="400" w:lineRule="exact"/>
              <w:rPr>
                <w:rFonts w:hint="eastAsia" w:ascii="仿宋" w:hAnsi="仿宋" w:eastAsia="仿宋" w:cs="仿宋"/>
                <w:highlight w:val="none"/>
              </w:rPr>
            </w:pPr>
          </w:p>
        </w:tc>
        <w:tc>
          <w:tcPr>
            <w:tcW w:w="1493" w:type="dxa"/>
            <w:vAlign w:val="center"/>
          </w:tcPr>
          <w:p w14:paraId="42FD88EB">
            <w:pPr>
              <w:pageBreakBefore w:val="0"/>
              <w:kinsoku/>
              <w:overflowPunct/>
              <w:topLinePunct w:val="0"/>
              <w:bidi w:val="0"/>
              <w:snapToGrid/>
              <w:spacing w:line="400" w:lineRule="exact"/>
              <w:rPr>
                <w:rFonts w:hint="eastAsia" w:ascii="仿宋" w:hAnsi="仿宋" w:eastAsia="仿宋" w:cs="仿宋"/>
                <w:highlight w:val="none"/>
              </w:rPr>
            </w:pPr>
          </w:p>
        </w:tc>
        <w:tc>
          <w:tcPr>
            <w:tcW w:w="1694" w:type="dxa"/>
            <w:vAlign w:val="center"/>
          </w:tcPr>
          <w:p w14:paraId="2D2A69DD">
            <w:pPr>
              <w:pageBreakBefore w:val="0"/>
              <w:kinsoku/>
              <w:overflowPunct/>
              <w:topLinePunct w:val="0"/>
              <w:bidi w:val="0"/>
              <w:snapToGrid/>
              <w:spacing w:line="400" w:lineRule="exact"/>
              <w:rPr>
                <w:rFonts w:hint="eastAsia" w:ascii="仿宋" w:hAnsi="仿宋" w:eastAsia="仿宋" w:cs="仿宋"/>
                <w:highlight w:val="none"/>
              </w:rPr>
            </w:pPr>
          </w:p>
        </w:tc>
        <w:tc>
          <w:tcPr>
            <w:tcW w:w="1211" w:type="dxa"/>
            <w:vAlign w:val="center"/>
          </w:tcPr>
          <w:p w14:paraId="4568688A">
            <w:pPr>
              <w:pageBreakBefore w:val="0"/>
              <w:kinsoku/>
              <w:overflowPunct/>
              <w:topLinePunct w:val="0"/>
              <w:bidi w:val="0"/>
              <w:snapToGrid/>
              <w:spacing w:line="400" w:lineRule="exact"/>
              <w:rPr>
                <w:rFonts w:hint="eastAsia" w:ascii="仿宋" w:hAnsi="仿宋" w:eastAsia="仿宋" w:cs="仿宋"/>
                <w:highlight w:val="none"/>
              </w:rPr>
            </w:pPr>
          </w:p>
        </w:tc>
      </w:tr>
      <w:bookmarkEnd w:id="419"/>
    </w:tbl>
    <w:p w14:paraId="4480CD2A">
      <w:pPr>
        <w:pageBreakBefore w:val="0"/>
        <w:kinsoku/>
        <w:overflowPunct/>
        <w:topLinePunct w:val="0"/>
        <w:bidi w:val="0"/>
        <w:snapToGrid/>
        <w:spacing w:line="400" w:lineRule="exact"/>
        <w:rPr>
          <w:rFonts w:hint="eastAsia" w:ascii="仿宋" w:hAnsi="仿宋" w:eastAsia="仿宋" w:cs="仿宋"/>
          <w:highlight w:val="none"/>
        </w:rPr>
      </w:pPr>
    </w:p>
    <w:p w14:paraId="0FC9637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注：投标人须按相关要求提供相应的采购合同、至少一张与采购合同对应的发票等业绩证明资料。</w:t>
      </w:r>
    </w:p>
    <w:p w14:paraId="20404B1F">
      <w:pPr>
        <w:pageBreakBefore w:val="0"/>
        <w:kinsoku/>
        <w:overflowPunct/>
        <w:topLinePunct w:val="0"/>
        <w:bidi w:val="0"/>
        <w:snapToGrid/>
        <w:spacing w:line="400" w:lineRule="exact"/>
        <w:rPr>
          <w:rFonts w:hint="eastAsia" w:ascii="仿宋" w:hAnsi="仿宋" w:eastAsia="仿宋" w:cs="仿宋"/>
          <w:highlight w:val="none"/>
        </w:rPr>
      </w:pPr>
    </w:p>
    <w:p w14:paraId="52A1F203">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kern w:val="0"/>
          <w:highlight w:val="none"/>
        </w:rPr>
        <w:t>公章）</w:t>
      </w:r>
      <w:r>
        <w:rPr>
          <w:rFonts w:hint="eastAsia" w:ascii="仿宋" w:hAnsi="仿宋" w:eastAsia="仿宋" w:cs="仿宋"/>
          <w:highlight w:val="none"/>
        </w:rPr>
        <w:t xml:space="preserve">： </w:t>
      </w:r>
    </w:p>
    <w:p w14:paraId="0C7B7D2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      期：</w:t>
      </w:r>
    </w:p>
    <w:p w14:paraId="7712DB8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25979736">
      <w:pPr>
        <w:pStyle w:val="4"/>
        <w:pageBreakBefore w:val="0"/>
        <w:kinsoku/>
        <w:overflowPunct/>
        <w:topLinePunct w:val="0"/>
        <w:bidi w:val="0"/>
        <w:snapToGrid/>
        <w:spacing w:line="400" w:lineRule="exact"/>
        <w:rPr>
          <w:rFonts w:hint="eastAsia" w:ascii="仿宋" w:hAnsi="仿宋" w:eastAsia="仿宋" w:cs="仿宋"/>
          <w:highlight w:val="none"/>
        </w:rPr>
      </w:pPr>
      <w:bookmarkStart w:id="420" w:name="_Toc163492931"/>
      <w:bookmarkStart w:id="421" w:name="_Toc10743"/>
      <w:r>
        <w:rPr>
          <w:rFonts w:hint="eastAsia" w:ascii="仿宋" w:hAnsi="仿宋" w:eastAsia="仿宋" w:cs="仿宋"/>
          <w:highlight w:val="none"/>
        </w:rPr>
        <w:t>八、拟派项目团队</w:t>
      </w:r>
      <w:bookmarkEnd w:id="420"/>
      <w:bookmarkEnd w:id="421"/>
    </w:p>
    <w:tbl>
      <w:tblPr>
        <w:tblStyle w:val="33"/>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56C18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790062A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508" w:type="dxa"/>
            <w:vAlign w:val="center"/>
          </w:tcPr>
          <w:p w14:paraId="68AFEF4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团队成员</w:t>
            </w:r>
          </w:p>
          <w:p w14:paraId="26A0E6F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286" w:type="dxa"/>
            <w:tcBorders>
              <w:left w:val="single" w:color="auto" w:sz="4" w:space="0"/>
            </w:tcBorders>
            <w:vAlign w:val="center"/>
          </w:tcPr>
          <w:p w14:paraId="6613C1B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身份证号</w:t>
            </w:r>
          </w:p>
        </w:tc>
        <w:tc>
          <w:tcPr>
            <w:tcW w:w="957" w:type="dxa"/>
            <w:tcBorders>
              <w:left w:val="single" w:color="auto" w:sz="4" w:space="0"/>
            </w:tcBorders>
            <w:vAlign w:val="center"/>
          </w:tcPr>
          <w:p w14:paraId="190FDF1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职称</w:t>
            </w:r>
          </w:p>
        </w:tc>
        <w:tc>
          <w:tcPr>
            <w:tcW w:w="2214" w:type="dxa"/>
            <w:vAlign w:val="center"/>
          </w:tcPr>
          <w:p w14:paraId="4A2E91C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注册证书（岗位证书）名称及编号</w:t>
            </w:r>
          </w:p>
        </w:tc>
        <w:tc>
          <w:tcPr>
            <w:tcW w:w="1614" w:type="dxa"/>
            <w:vAlign w:val="center"/>
          </w:tcPr>
          <w:p w14:paraId="70AC26E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在团队中职务（岗位）</w:t>
            </w:r>
          </w:p>
        </w:tc>
        <w:tc>
          <w:tcPr>
            <w:tcW w:w="971" w:type="dxa"/>
            <w:vAlign w:val="center"/>
          </w:tcPr>
          <w:p w14:paraId="71507FF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14:paraId="280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B30DD4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22" w:name="_Toc99533292"/>
            <w:bookmarkStart w:id="423" w:name="_Toc100090784"/>
            <w:r>
              <w:rPr>
                <w:rFonts w:hint="eastAsia" w:ascii="仿宋" w:hAnsi="仿宋" w:eastAsia="仿宋" w:cs="仿宋"/>
                <w:sz w:val="21"/>
                <w:szCs w:val="21"/>
                <w:highlight w:val="none"/>
              </w:rPr>
              <w:t>1</w:t>
            </w:r>
            <w:bookmarkEnd w:id="422"/>
            <w:bookmarkEnd w:id="423"/>
          </w:p>
        </w:tc>
        <w:tc>
          <w:tcPr>
            <w:tcW w:w="1508" w:type="dxa"/>
            <w:vAlign w:val="center"/>
          </w:tcPr>
          <w:p w14:paraId="6E9C9AA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75A3180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78D1F92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4819F83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7078CFB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14B003C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70BA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9E0A4E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24" w:name="_Toc99533293"/>
            <w:bookmarkStart w:id="425" w:name="_Toc100090785"/>
            <w:r>
              <w:rPr>
                <w:rFonts w:hint="eastAsia" w:ascii="仿宋" w:hAnsi="仿宋" w:eastAsia="仿宋" w:cs="仿宋"/>
                <w:sz w:val="21"/>
                <w:szCs w:val="21"/>
                <w:highlight w:val="none"/>
              </w:rPr>
              <w:t>2</w:t>
            </w:r>
            <w:bookmarkEnd w:id="424"/>
            <w:bookmarkEnd w:id="425"/>
          </w:p>
        </w:tc>
        <w:tc>
          <w:tcPr>
            <w:tcW w:w="1508" w:type="dxa"/>
            <w:vAlign w:val="center"/>
          </w:tcPr>
          <w:p w14:paraId="50CF9CC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567D452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05AF00D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1B44343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108323B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6C24771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6688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54F02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26" w:name="_Toc99533294"/>
            <w:bookmarkStart w:id="427" w:name="_Toc100090786"/>
            <w:r>
              <w:rPr>
                <w:rFonts w:hint="eastAsia" w:ascii="仿宋" w:hAnsi="仿宋" w:eastAsia="仿宋" w:cs="仿宋"/>
                <w:sz w:val="21"/>
                <w:szCs w:val="21"/>
                <w:highlight w:val="none"/>
              </w:rPr>
              <w:t>3</w:t>
            </w:r>
            <w:bookmarkEnd w:id="426"/>
            <w:bookmarkEnd w:id="427"/>
          </w:p>
        </w:tc>
        <w:tc>
          <w:tcPr>
            <w:tcW w:w="1508" w:type="dxa"/>
            <w:vAlign w:val="center"/>
          </w:tcPr>
          <w:p w14:paraId="56051C5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2849568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77592AD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0DAA97A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6C6D0D4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4EC316D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5763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DAF7B6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28" w:name="_Toc99533295"/>
            <w:bookmarkStart w:id="429" w:name="_Toc100090787"/>
            <w:r>
              <w:rPr>
                <w:rFonts w:hint="eastAsia" w:ascii="仿宋" w:hAnsi="仿宋" w:eastAsia="仿宋" w:cs="仿宋"/>
                <w:sz w:val="21"/>
                <w:szCs w:val="21"/>
                <w:highlight w:val="none"/>
              </w:rPr>
              <w:t>4</w:t>
            </w:r>
            <w:bookmarkEnd w:id="428"/>
            <w:bookmarkEnd w:id="429"/>
          </w:p>
        </w:tc>
        <w:tc>
          <w:tcPr>
            <w:tcW w:w="1508" w:type="dxa"/>
            <w:vAlign w:val="center"/>
          </w:tcPr>
          <w:p w14:paraId="60B54B0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0F87B3C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4A97A7A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667BAFA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52269F2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5916164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5D4F8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5AD7C5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30" w:name="_Toc100090788"/>
            <w:bookmarkStart w:id="431" w:name="_Toc99533296"/>
            <w:r>
              <w:rPr>
                <w:rFonts w:hint="eastAsia" w:ascii="仿宋" w:hAnsi="仿宋" w:eastAsia="仿宋" w:cs="仿宋"/>
                <w:sz w:val="21"/>
                <w:szCs w:val="21"/>
                <w:highlight w:val="none"/>
              </w:rPr>
              <w:t>5</w:t>
            </w:r>
            <w:bookmarkEnd w:id="430"/>
            <w:bookmarkEnd w:id="431"/>
          </w:p>
        </w:tc>
        <w:tc>
          <w:tcPr>
            <w:tcW w:w="1508" w:type="dxa"/>
            <w:vAlign w:val="center"/>
          </w:tcPr>
          <w:p w14:paraId="562302F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3390DB9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18C5E4E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45EBA95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7CDCE6F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79A7C88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21BF7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BAD84B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32" w:name="_Toc100090789"/>
            <w:bookmarkStart w:id="433" w:name="_Toc99533297"/>
            <w:r>
              <w:rPr>
                <w:rFonts w:hint="eastAsia" w:ascii="仿宋" w:hAnsi="仿宋" w:eastAsia="仿宋" w:cs="仿宋"/>
                <w:sz w:val="21"/>
                <w:szCs w:val="21"/>
                <w:highlight w:val="none"/>
              </w:rPr>
              <w:t>6</w:t>
            </w:r>
            <w:bookmarkEnd w:id="432"/>
            <w:bookmarkEnd w:id="433"/>
          </w:p>
        </w:tc>
        <w:tc>
          <w:tcPr>
            <w:tcW w:w="1508" w:type="dxa"/>
            <w:vAlign w:val="center"/>
          </w:tcPr>
          <w:p w14:paraId="0FBFDDC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6B2BA94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3BFFD2E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6BC1ED7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15B4D30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2B3A02B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0478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8BC93A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34" w:name="_Toc100090790"/>
            <w:bookmarkStart w:id="435" w:name="_Toc99533298"/>
            <w:r>
              <w:rPr>
                <w:rFonts w:hint="eastAsia" w:ascii="仿宋" w:hAnsi="仿宋" w:eastAsia="仿宋" w:cs="仿宋"/>
                <w:sz w:val="21"/>
                <w:szCs w:val="21"/>
                <w:highlight w:val="none"/>
              </w:rPr>
              <w:t>7</w:t>
            </w:r>
            <w:bookmarkEnd w:id="434"/>
            <w:bookmarkEnd w:id="435"/>
          </w:p>
        </w:tc>
        <w:tc>
          <w:tcPr>
            <w:tcW w:w="1508" w:type="dxa"/>
            <w:vAlign w:val="center"/>
          </w:tcPr>
          <w:p w14:paraId="19BA128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1664570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444C401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4CA80EA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653EDCA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2F5F329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11E1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81C4E3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36" w:name="_Toc99533299"/>
            <w:bookmarkStart w:id="437" w:name="_Toc100090791"/>
            <w:r>
              <w:rPr>
                <w:rFonts w:hint="eastAsia" w:ascii="仿宋" w:hAnsi="仿宋" w:eastAsia="仿宋" w:cs="仿宋"/>
                <w:sz w:val="21"/>
                <w:szCs w:val="21"/>
                <w:highlight w:val="none"/>
              </w:rPr>
              <w:t>8</w:t>
            </w:r>
            <w:bookmarkEnd w:id="436"/>
            <w:bookmarkEnd w:id="437"/>
          </w:p>
        </w:tc>
        <w:tc>
          <w:tcPr>
            <w:tcW w:w="1508" w:type="dxa"/>
            <w:vAlign w:val="center"/>
          </w:tcPr>
          <w:p w14:paraId="50B2338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232696B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193116B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60B2A24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6C3201A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3B8A659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68FA9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EF2FDC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38" w:name="_Toc99533300"/>
            <w:bookmarkStart w:id="439" w:name="_Toc100090792"/>
            <w:r>
              <w:rPr>
                <w:rFonts w:hint="eastAsia" w:ascii="仿宋" w:hAnsi="仿宋" w:eastAsia="仿宋" w:cs="仿宋"/>
                <w:sz w:val="21"/>
                <w:szCs w:val="21"/>
                <w:highlight w:val="none"/>
              </w:rPr>
              <w:t>9</w:t>
            </w:r>
            <w:bookmarkEnd w:id="438"/>
            <w:bookmarkEnd w:id="439"/>
          </w:p>
        </w:tc>
        <w:tc>
          <w:tcPr>
            <w:tcW w:w="1508" w:type="dxa"/>
            <w:vAlign w:val="center"/>
          </w:tcPr>
          <w:p w14:paraId="5DF6139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06FC46A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45A654E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7FEA7CA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7331FC9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13C0410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17D0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65C94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bookmarkStart w:id="440" w:name="_Toc99533301"/>
            <w:bookmarkStart w:id="441" w:name="_Toc100090793"/>
            <w:r>
              <w:rPr>
                <w:rFonts w:hint="eastAsia" w:ascii="仿宋" w:hAnsi="仿宋" w:eastAsia="仿宋" w:cs="仿宋"/>
                <w:sz w:val="21"/>
                <w:szCs w:val="21"/>
                <w:highlight w:val="none"/>
              </w:rPr>
              <w:t>10</w:t>
            </w:r>
            <w:bookmarkEnd w:id="440"/>
            <w:bookmarkEnd w:id="441"/>
          </w:p>
        </w:tc>
        <w:tc>
          <w:tcPr>
            <w:tcW w:w="1508" w:type="dxa"/>
            <w:vAlign w:val="center"/>
          </w:tcPr>
          <w:p w14:paraId="25F259C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86" w:type="dxa"/>
            <w:tcBorders>
              <w:left w:val="single" w:color="auto" w:sz="4" w:space="0"/>
            </w:tcBorders>
            <w:vAlign w:val="center"/>
          </w:tcPr>
          <w:p w14:paraId="255F7F4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57" w:type="dxa"/>
            <w:tcBorders>
              <w:left w:val="single" w:color="auto" w:sz="4" w:space="0"/>
            </w:tcBorders>
            <w:vAlign w:val="center"/>
          </w:tcPr>
          <w:p w14:paraId="7211924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2214" w:type="dxa"/>
            <w:vAlign w:val="center"/>
          </w:tcPr>
          <w:p w14:paraId="2A4F612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614" w:type="dxa"/>
            <w:vAlign w:val="center"/>
          </w:tcPr>
          <w:p w14:paraId="21D6F05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971" w:type="dxa"/>
            <w:vAlign w:val="center"/>
          </w:tcPr>
          <w:p w14:paraId="778C20C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bl>
    <w:p w14:paraId="192FA3AB">
      <w:pPr>
        <w:pageBreakBefore w:val="0"/>
        <w:kinsoku/>
        <w:overflowPunct/>
        <w:topLinePunct w:val="0"/>
        <w:bidi w:val="0"/>
        <w:snapToGrid/>
        <w:spacing w:line="400" w:lineRule="exact"/>
        <w:rPr>
          <w:rFonts w:hint="eastAsia" w:ascii="仿宋" w:hAnsi="仿宋" w:eastAsia="仿宋" w:cs="仿宋"/>
          <w:highlight w:val="none"/>
        </w:rPr>
      </w:pPr>
    </w:p>
    <w:p w14:paraId="09D8CA87">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kern w:val="0"/>
          <w:highlight w:val="none"/>
        </w:rPr>
        <w:t>公章）</w:t>
      </w:r>
      <w:r>
        <w:rPr>
          <w:rFonts w:hint="eastAsia" w:ascii="仿宋" w:hAnsi="仿宋" w:eastAsia="仿宋" w:cs="仿宋"/>
          <w:highlight w:val="none"/>
        </w:rPr>
        <w:t xml:space="preserve">： </w:t>
      </w:r>
    </w:p>
    <w:p w14:paraId="024D545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      期：</w:t>
      </w:r>
    </w:p>
    <w:p w14:paraId="7CF1F572">
      <w:pPr>
        <w:pageBreakBefore w:val="0"/>
        <w:kinsoku/>
        <w:overflowPunct/>
        <w:topLinePunct w:val="0"/>
        <w:bidi w:val="0"/>
        <w:snapToGrid/>
        <w:spacing w:line="400" w:lineRule="exact"/>
        <w:rPr>
          <w:rFonts w:hint="eastAsia" w:ascii="仿宋" w:hAnsi="仿宋" w:eastAsia="仿宋" w:cs="仿宋"/>
          <w:highlight w:val="none"/>
        </w:rPr>
      </w:pPr>
    </w:p>
    <w:p w14:paraId="7E8F647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注：按招标文件要求在本表后附相关人员证书。</w:t>
      </w:r>
    </w:p>
    <w:p w14:paraId="1704F754">
      <w:pPr>
        <w:pageBreakBefore w:val="0"/>
        <w:kinsoku/>
        <w:overflowPunct/>
        <w:topLinePunct w:val="0"/>
        <w:bidi w:val="0"/>
        <w:snapToGrid/>
        <w:spacing w:line="400" w:lineRule="exact"/>
        <w:rPr>
          <w:rFonts w:hint="eastAsia" w:ascii="仿宋" w:hAnsi="仿宋" w:eastAsia="仿宋" w:cs="仿宋"/>
          <w:highlight w:val="none"/>
        </w:rPr>
      </w:pPr>
    </w:p>
    <w:p w14:paraId="6FCC5E75">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说明： </w:t>
      </w:r>
    </w:p>
    <w:p w14:paraId="37637B0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1.“在团队中职务（岗位）”栏应包括但不限于：项目负责人、项目联系人、项目服务人员或技术人员或售后服务人员等。 </w:t>
      </w:r>
    </w:p>
    <w:p w14:paraId="080768A6">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2.如投标人中标，须按本表项目组成人员操作，不得随意更换。</w:t>
      </w:r>
    </w:p>
    <w:p w14:paraId="611D5B1F">
      <w:pPr>
        <w:pageBreakBefore w:val="0"/>
        <w:kinsoku/>
        <w:overflowPunct/>
        <w:topLinePunct w:val="0"/>
        <w:bidi w:val="0"/>
        <w:snapToGrid/>
        <w:spacing w:line="400" w:lineRule="exact"/>
        <w:rPr>
          <w:rFonts w:hint="eastAsia" w:ascii="仿宋" w:hAnsi="仿宋" w:eastAsia="仿宋" w:cs="仿宋"/>
          <w:highlight w:val="none"/>
        </w:rPr>
      </w:pPr>
    </w:p>
    <w:p w14:paraId="390CDC7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7D26A1BC">
      <w:pPr>
        <w:pStyle w:val="4"/>
        <w:pageBreakBefore w:val="0"/>
        <w:kinsoku/>
        <w:overflowPunct/>
        <w:topLinePunct w:val="0"/>
        <w:bidi w:val="0"/>
        <w:snapToGrid/>
        <w:spacing w:line="400" w:lineRule="exact"/>
        <w:rPr>
          <w:rFonts w:hint="eastAsia" w:ascii="仿宋" w:hAnsi="仿宋" w:eastAsia="仿宋" w:cs="仿宋"/>
          <w:highlight w:val="none"/>
        </w:rPr>
      </w:pPr>
      <w:bookmarkStart w:id="442" w:name="_Toc163492934"/>
      <w:bookmarkStart w:id="443" w:name="_Toc919"/>
      <w:r>
        <w:rPr>
          <w:rFonts w:hint="eastAsia" w:ascii="仿宋" w:hAnsi="仿宋" w:eastAsia="仿宋" w:cs="仿宋"/>
          <w:highlight w:val="none"/>
        </w:rPr>
        <w:t>九、技术响应偏离表</w:t>
      </w:r>
      <w:bookmarkEnd w:id="442"/>
      <w:bookmarkEnd w:id="443"/>
    </w:p>
    <w:p w14:paraId="7A695F72">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项目名称：                                         </w:t>
      </w:r>
    </w:p>
    <w:p w14:paraId="210F7F11">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项目编号</w:t>
      </w:r>
      <w:r>
        <w:rPr>
          <w:rFonts w:hint="eastAsia" w:ascii="仿宋" w:hAnsi="仿宋" w:eastAsia="仿宋" w:cs="仿宋"/>
          <w:bCs/>
          <w:szCs w:val="21"/>
          <w:highlight w:val="none"/>
        </w:rPr>
        <w:t>/</w:t>
      </w:r>
      <w:r>
        <w:rPr>
          <w:rFonts w:hint="eastAsia" w:ascii="仿宋" w:hAnsi="仿宋" w:eastAsia="仿宋" w:cs="仿宋"/>
          <w:bCs/>
          <w:szCs w:val="21"/>
          <w:highlight w:val="none"/>
          <w:lang w:val="zh-CN"/>
        </w:rPr>
        <w:t>包号</w:t>
      </w:r>
      <w:r>
        <w:rPr>
          <w:rFonts w:hint="eastAsia" w:ascii="仿宋" w:hAnsi="仿宋" w:eastAsia="仿宋" w:cs="仿宋"/>
          <w:highlight w:val="none"/>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233"/>
        <w:gridCol w:w="1986"/>
        <w:gridCol w:w="2437"/>
        <w:gridCol w:w="2188"/>
      </w:tblGrid>
      <w:tr w14:paraId="4526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FE6A0A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159" w:type="pct"/>
            <w:vAlign w:val="center"/>
          </w:tcPr>
          <w:p w14:paraId="734C7F0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招标文件技术</w:t>
            </w:r>
          </w:p>
          <w:p w14:paraId="554C844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要求条款</w:t>
            </w:r>
          </w:p>
        </w:tc>
        <w:tc>
          <w:tcPr>
            <w:tcW w:w="1031" w:type="pct"/>
            <w:vAlign w:val="center"/>
          </w:tcPr>
          <w:p w14:paraId="5DCBF6F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投标文件内容</w:t>
            </w:r>
          </w:p>
          <w:p w14:paraId="7C571D5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对应简述</w:t>
            </w:r>
          </w:p>
        </w:tc>
        <w:tc>
          <w:tcPr>
            <w:tcW w:w="1265" w:type="pct"/>
            <w:vAlign w:val="center"/>
          </w:tcPr>
          <w:p w14:paraId="690A35F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1136" w:type="pct"/>
            <w:vAlign w:val="center"/>
          </w:tcPr>
          <w:p w14:paraId="57366ABE">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证明资料及索引</w:t>
            </w:r>
          </w:p>
        </w:tc>
      </w:tr>
      <w:tr w14:paraId="5086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85C003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159" w:type="pct"/>
            <w:vAlign w:val="center"/>
          </w:tcPr>
          <w:p w14:paraId="5C2E508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31" w:type="pct"/>
            <w:vAlign w:val="center"/>
          </w:tcPr>
          <w:p w14:paraId="1E9BF2C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265" w:type="pct"/>
            <w:vAlign w:val="center"/>
          </w:tcPr>
          <w:p w14:paraId="37C83A5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响应/正偏离/负偏离</w:t>
            </w:r>
          </w:p>
        </w:tc>
        <w:tc>
          <w:tcPr>
            <w:tcW w:w="1136" w:type="pct"/>
            <w:vAlign w:val="center"/>
          </w:tcPr>
          <w:p w14:paraId="1CAECD0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30CD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D1D255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159" w:type="pct"/>
            <w:vAlign w:val="center"/>
          </w:tcPr>
          <w:p w14:paraId="0873C8B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31" w:type="pct"/>
            <w:vAlign w:val="center"/>
          </w:tcPr>
          <w:p w14:paraId="16AE1E5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265" w:type="pct"/>
            <w:vAlign w:val="center"/>
          </w:tcPr>
          <w:p w14:paraId="0D56D24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响应/正偏离/负偏离</w:t>
            </w:r>
          </w:p>
        </w:tc>
        <w:tc>
          <w:tcPr>
            <w:tcW w:w="1136" w:type="pct"/>
            <w:vAlign w:val="center"/>
          </w:tcPr>
          <w:p w14:paraId="33FBBF5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5269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198D72D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159" w:type="pct"/>
            <w:shd w:val="clear" w:color="auto" w:fill="auto"/>
            <w:vAlign w:val="center"/>
          </w:tcPr>
          <w:p w14:paraId="65B11F59">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31" w:type="pct"/>
            <w:shd w:val="clear" w:color="auto" w:fill="auto"/>
            <w:vAlign w:val="center"/>
          </w:tcPr>
          <w:p w14:paraId="0435A71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265" w:type="pct"/>
            <w:shd w:val="clear" w:color="auto" w:fill="auto"/>
            <w:vAlign w:val="center"/>
          </w:tcPr>
          <w:p w14:paraId="69227EF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响应/正偏离/负偏离</w:t>
            </w:r>
          </w:p>
        </w:tc>
        <w:tc>
          <w:tcPr>
            <w:tcW w:w="1136" w:type="pct"/>
            <w:vAlign w:val="center"/>
          </w:tcPr>
          <w:p w14:paraId="2488F1F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6F3A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5" w:type="pct"/>
            <w:vAlign w:val="center"/>
          </w:tcPr>
          <w:p w14:paraId="50308D4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59" w:type="pct"/>
            <w:vAlign w:val="center"/>
          </w:tcPr>
          <w:p w14:paraId="4AE28CF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31" w:type="pct"/>
            <w:vAlign w:val="center"/>
          </w:tcPr>
          <w:p w14:paraId="0345FA1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65" w:type="pct"/>
            <w:vAlign w:val="center"/>
          </w:tcPr>
          <w:p w14:paraId="0998D08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36" w:type="pct"/>
            <w:vAlign w:val="center"/>
          </w:tcPr>
          <w:p w14:paraId="633E4D4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0B87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2EAA3D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59" w:type="pct"/>
            <w:vAlign w:val="center"/>
          </w:tcPr>
          <w:p w14:paraId="4FB4C64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31" w:type="pct"/>
            <w:vAlign w:val="center"/>
          </w:tcPr>
          <w:p w14:paraId="4E2A194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65" w:type="pct"/>
            <w:vAlign w:val="center"/>
          </w:tcPr>
          <w:p w14:paraId="4994B668">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36" w:type="pct"/>
            <w:vAlign w:val="center"/>
          </w:tcPr>
          <w:p w14:paraId="2D3AD83A">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43AE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CFA0A2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59" w:type="pct"/>
            <w:vAlign w:val="center"/>
          </w:tcPr>
          <w:p w14:paraId="41E9CAF5">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31" w:type="pct"/>
            <w:vAlign w:val="center"/>
          </w:tcPr>
          <w:p w14:paraId="691C4C9F">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65" w:type="pct"/>
            <w:vAlign w:val="center"/>
          </w:tcPr>
          <w:p w14:paraId="5B76FCA2">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36" w:type="pct"/>
            <w:vAlign w:val="center"/>
          </w:tcPr>
          <w:p w14:paraId="7BDE60F6">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0A25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111D00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59" w:type="pct"/>
            <w:vAlign w:val="center"/>
          </w:tcPr>
          <w:p w14:paraId="65C1085D">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031" w:type="pct"/>
            <w:vAlign w:val="center"/>
          </w:tcPr>
          <w:p w14:paraId="0331BD3B">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265" w:type="pct"/>
            <w:vAlign w:val="center"/>
          </w:tcPr>
          <w:p w14:paraId="70D2B04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c>
          <w:tcPr>
            <w:tcW w:w="1136" w:type="pct"/>
            <w:vAlign w:val="center"/>
          </w:tcPr>
          <w:p w14:paraId="18A7804C">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r w14:paraId="39F5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11AE1643">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159" w:type="pct"/>
            <w:vAlign w:val="center"/>
          </w:tcPr>
          <w:p w14:paraId="493D5A71">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031" w:type="pct"/>
            <w:vAlign w:val="center"/>
          </w:tcPr>
          <w:p w14:paraId="62CF9274">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265" w:type="pct"/>
            <w:vAlign w:val="center"/>
          </w:tcPr>
          <w:p w14:paraId="380ADD37">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136" w:type="pct"/>
            <w:vAlign w:val="center"/>
          </w:tcPr>
          <w:p w14:paraId="0D4DB3E0">
            <w:pPr>
              <w:pStyle w:val="53"/>
              <w:pageBreakBefore w:val="0"/>
              <w:kinsoku/>
              <w:overflowPunct/>
              <w:topLinePunct w:val="0"/>
              <w:bidi w:val="0"/>
              <w:snapToGrid/>
              <w:spacing w:line="400" w:lineRule="exact"/>
              <w:jc w:val="center"/>
              <w:rPr>
                <w:rFonts w:hint="eastAsia" w:ascii="仿宋" w:hAnsi="仿宋" w:eastAsia="仿宋" w:cs="仿宋"/>
                <w:sz w:val="21"/>
                <w:szCs w:val="21"/>
                <w:highlight w:val="none"/>
              </w:rPr>
            </w:pPr>
          </w:p>
        </w:tc>
      </w:tr>
    </w:tbl>
    <w:p w14:paraId="0724BEB9">
      <w:pPr>
        <w:pageBreakBefore w:val="0"/>
        <w:kinsoku/>
        <w:overflowPunct/>
        <w:topLinePunct w:val="0"/>
        <w:bidi w:val="0"/>
        <w:snapToGrid/>
        <w:spacing w:line="400" w:lineRule="exact"/>
        <w:rPr>
          <w:rFonts w:hint="eastAsia" w:ascii="仿宋" w:hAnsi="仿宋" w:eastAsia="仿宋" w:cs="仿宋"/>
          <w:highlight w:val="none"/>
        </w:rPr>
      </w:pPr>
    </w:p>
    <w:p w14:paraId="586A7F1F">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kern w:val="0"/>
          <w:highlight w:val="none"/>
        </w:rPr>
        <w:t>公章）</w:t>
      </w:r>
      <w:r>
        <w:rPr>
          <w:rFonts w:hint="eastAsia" w:ascii="仿宋" w:hAnsi="仿宋" w:eastAsia="仿宋" w:cs="仿宋"/>
          <w:highlight w:val="none"/>
        </w:rPr>
        <w:t>：</w:t>
      </w:r>
    </w:p>
    <w:p w14:paraId="0B27CB9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日      期：</w:t>
      </w:r>
    </w:p>
    <w:p w14:paraId="71E41423">
      <w:pPr>
        <w:pageBreakBefore w:val="0"/>
        <w:kinsoku/>
        <w:overflowPunct/>
        <w:topLinePunct w:val="0"/>
        <w:bidi w:val="0"/>
        <w:snapToGrid/>
        <w:spacing w:line="400" w:lineRule="exact"/>
        <w:rPr>
          <w:rFonts w:hint="eastAsia" w:ascii="仿宋" w:hAnsi="仿宋" w:eastAsia="仿宋" w:cs="仿宋"/>
          <w:highlight w:val="none"/>
        </w:rPr>
      </w:pPr>
    </w:p>
    <w:p w14:paraId="3475AE70">
      <w:pPr>
        <w:pageBreakBefore w:val="0"/>
        <w:kinsoku/>
        <w:overflowPunct/>
        <w:topLinePunct w:val="0"/>
        <w:bidi w:val="0"/>
        <w:snapToGrid/>
        <w:spacing w:line="400" w:lineRule="exact"/>
        <w:rPr>
          <w:rFonts w:hint="eastAsia" w:ascii="仿宋" w:hAnsi="仿宋" w:eastAsia="仿宋" w:cs="仿宋"/>
          <w:szCs w:val="24"/>
          <w:highlight w:val="none"/>
        </w:rPr>
      </w:pPr>
      <w:r>
        <w:rPr>
          <w:rFonts w:hint="eastAsia" w:ascii="仿宋" w:hAnsi="仿宋" w:eastAsia="仿宋" w:cs="仿宋"/>
          <w:highlight w:val="none"/>
        </w:rPr>
        <w:t>注：投标人应按照招标文件“第三章 采购需求”中的技术要求填写：</w:t>
      </w:r>
    </w:p>
    <w:p w14:paraId="366DAAD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1.“招标文件技术要求条款”栏应详细列明招标文件中的要求。 </w:t>
      </w:r>
    </w:p>
    <w:p w14:paraId="6EFEAD98">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仿宋" w:hAnsi="仿宋" w:eastAsia="仿宋" w:cs="仿宋"/>
          <w:b/>
          <w:bCs/>
          <w:highlight w:val="none"/>
        </w:rPr>
        <w:t>投标无效</w:t>
      </w:r>
      <w:r>
        <w:rPr>
          <w:rFonts w:hint="eastAsia" w:ascii="仿宋" w:hAnsi="仿宋" w:eastAsia="仿宋" w:cs="仿宋"/>
          <w:highlight w:val="none"/>
        </w:rPr>
        <w:t xml:space="preserve">。 </w:t>
      </w:r>
    </w:p>
    <w:p w14:paraId="15233910">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 xml:space="preserve">3.“响应情况”栏应据实填写“响应”、“正偏离”或“负偏离”。 </w:t>
      </w:r>
    </w:p>
    <w:p w14:paraId="7100902E">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4.“证明资料及索引”栏可填写证明资料的具体内容及索引。</w:t>
      </w:r>
    </w:p>
    <w:p w14:paraId="1E6A86D6">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5.对招标文件中的所有技术要求，除本表所列明的所有偏离外，均视作供应商已对之理解和响应。此表中若无任何文字说明，内容为空白的，</w:t>
      </w:r>
      <w:r>
        <w:rPr>
          <w:rFonts w:hint="eastAsia" w:ascii="仿宋" w:hAnsi="仿宋" w:eastAsia="仿宋" w:cs="仿宋"/>
          <w:b/>
          <w:bCs/>
          <w:highlight w:val="none"/>
        </w:rPr>
        <w:t>投标无效</w:t>
      </w:r>
      <w:r>
        <w:rPr>
          <w:rFonts w:hint="eastAsia" w:ascii="仿宋" w:hAnsi="仿宋" w:eastAsia="仿宋" w:cs="仿宋"/>
          <w:highlight w:val="none"/>
        </w:rPr>
        <w:t>。</w:t>
      </w:r>
    </w:p>
    <w:p w14:paraId="2072DC79">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6.技术要求中明确提供相关材料的，必须按要求提供，否则视为负偏离。证明材料在本表后附。</w:t>
      </w:r>
    </w:p>
    <w:p w14:paraId="4D2F97F2">
      <w:pPr>
        <w:pageBreakBefore w:val="0"/>
        <w:kinsoku/>
        <w:overflowPunct/>
        <w:topLinePunct w:val="0"/>
        <w:bidi w:val="0"/>
        <w:snapToGrid/>
        <w:spacing w:line="400" w:lineRule="exact"/>
        <w:rPr>
          <w:rFonts w:hint="eastAsia" w:ascii="仿宋" w:hAnsi="仿宋" w:eastAsia="仿宋" w:cs="仿宋"/>
          <w:highlight w:val="none"/>
        </w:rPr>
      </w:pPr>
    </w:p>
    <w:p w14:paraId="721BB28B">
      <w:pPr>
        <w:pageBreakBefore w:val="0"/>
        <w:kinsoku/>
        <w:overflowPunct/>
        <w:topLinePunct w:val="0"/>
        <w:bidi w:val="0"/>
        <w:snapToGrid/>
        <w:spacing w:line="400" w:lineRule="exact"/>
        <w:rPr>
          <w:rFonts w:hint="eastAsia" w:ascii="仿宋" w:hAnsi="仿宋" w:eastAsia="仿宋" w:cs="仿宋"/>
          <w:highlight w:val="none"/>
        </w:rPr>
      </w:pPr>
    </w:p>
    <w:p w14:paraId="792ABB51">
      <w:pPr>
        <w:pageBreakBefore w:val="0"/>
        <w:kinsoku/>
        <w:overflowPunct/>
        <w:topLinePunct w:val="0"/>
        <w:bidi w:val="0"/>
        <w:snapToGrid/>
        <w:spacing w:line="400" w:lineRule="exact"/>
        <w:rPr>
          <w:rFonts w:hint="eastAsia" w:ascii="仿宋" w:hAnsi="仿宋" w:eastAsia="仿宋" w:cs="仿宋"/>
          <w:b/>
          <w:bCs/>
          <w:sz w:val="32"/>
          <w:szCs w:val="32"/>
          <w:highlight w:val="none"/>
        </w:rPr>
      </w:pPr>
      <w:bookmarkStart w:id="444" w:name="_Toc163492935"/>
      <w:r>
        <w:rPr>
          <w:rFonts w:hint="eastAsia" w:ascii="仿宋" w:hAnsi="仿宋" w:eastAsia="仿宋" w:cs="仿宋"/>
          <w:highlight w:val="none"/>
        </w:rPr>
        <w:br w:type="page"/>
      </w:r>
    </w:p>
    <w:p w14:paraId="7FEDCFAF">
      <w:pPr>
        <w:pStyle w:val="4"/>
        <w:pageBreakBefore w:val="0"/>
        <w:kinsoku/>
        <w:overflowPunct/>
        <w:topLinePunct w:val="0"/>
        <w:bidi w:val="0"/>
        <w:snapToGrid/>
        <w:spacing w:line="400" w:lineRule="exact"/>
        <w:rPr>
          <w:rFonts w:hint="default" w:ascii="仿宋" w:hAnsi="仿宋" w:eastAsia="仿宋" w:cs="仿宋"/>
          <w:highlight w:val="none"/>
          <w:lang w:val="en-US" w:eastAsia="zh-CN"/>
        </w:rPr>
      </w:pPr>
      <w:bookmarkStart w:id="445" w:name="_Toc28608"/>
      <w:r>
        <w:rPr>
          <w:rFonts w:hint="eastAsia" w:ascii="仿宋" w:hAnsi="仿宋" w:eastAsia="仿宋" w:cs="仿宋"/>
          <w:highlight w:val="none"/>
        </w:rPr>
        <w:t>十、</w:t>
      </w:r>
      <w:bookmarkEnd w:id="444"/>
      <w:bookmarkEnd w:id="445"/>
      <w:r>
        <w:rPr>
          <w:rFonts w:hint="eastAsia" w:ascii="仿宋" w:hAnsi="仿宋" w:eastAsia="仿宋" w:cs="仿宋"/>
          <w:highlight w:val="none"/>
          <w:lang w:val="en-US" w:eastAsia="zh-CN"/>
        </w:rPr>
        <w:t>售后服务方案、陪送及质量保障方案</w:t>
      </w:r>
    </w:p>
    <w:p w14:paraId="01A47682">
      <w:pPr>
        <w:pStyle w:val="41"/>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投标人应按照招标文件的评审要求，提供详细的</w:t>
      </w:r>
      <w:r>
        <w:rPr>
          <w:rFonts w:hint="eastAsia" w:ascii="仿宋" w:hAnsi="仿宋" w:eastAsia="仿宋" w:cs="仿宋"/>
          <w:highlight w:val="none"/>
          <w:lang w:val="en-US"/>
        </w:rPr>
        <w:t>供货及相关</w:t>
      </w:r>
      <w:r>
        <w:rPr>
          <w:rFonts w:hint="eastAsia" w:ascii="仿宋" w:hAnsi="仿宋" w:eastAsia="仿宋" w:cs="仿宋"/>
          <w:highlight w:val="none"/>
        </w:rPr>
        <w:t>服务方案，包括文字描述或图表显示，具体内容详见商务技术评审标准。格式自拟。</w:t>
      </w:r>
    </w:p>
    <w:p w14:paraId="4C83E32F">
      <w:pPr>
        <w:pStyle w:val="41"/>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br w:type="page"/>
      </w:r>
    </w:p>
    <w:p w14:paraId="5A4C34A6">
      <w:pPr>
        <w:pStyle w:val="4"/>
        <w:pageBreakBefore w:val="0"/>
        <w:kinsoku/>
        <w:overflowPunct/>
        <w:topLinePunct w:val="0"/>
        <w:bidi w:val="0"/>
        <w:snapToGrid/>
        <w:spacing w:line="400" w:lineRule="exact"/>
        <w:rPr>
          <w:rFonts w:hint="eastAsia" w:ascii="仿宋" w:hAnsi="仿宋" w:eastAsia="仿宋" w:cs="仿宋"/>
          <w:highlight w:val="none"/>
        </w:rPr>
      </w:pPr>
      <w:bookmarkStart w:id="446" w:name="_Toc27293"/>
      <w:bookmarkStart w:id="447" w:name="_Toc163492936"/>
      <w:r>
        <w:rPr>
          <w:rFonts w:hint="eastAsia" w:ascii="仿宋" w:hAnsi="仿宋" w:eastAsia="仿宋" w:cs="仿宋"/>
          <w:highlight w:val="none"/>
        </w:rPr>
        <w:t>十一、其他文件</w:t>
      </w:r>
      <w:bookmarkEnd w:id="446"/>
      <w:bookmarkEnd w:id="447"/>
    </w:p>
    <w:p w14:paraId="19F06C40">
      <w:pPr>
        <w:pStyle w:val="41"/>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rPr>
        <w:t>一）</w:t>
      </w:r>
      <w:r>
        <w:rPr>
          <w:rFonts w:hint="eastAsia" w:ascii="仿宋" w:hAnsi="仿宋" w:eastAsia="仿宋" w:cs="仿宋"/>
          <w:highlight w:val="none"/>
        </w:rPr>
        <w:t>招标文件要求提供的其它商务、技术资料和证明材料；</w:t>
      </w:r>
    </w:p>
    <w:p w14:paraId="7FDEEA69">
      <w:pPr>
        <w:pStyle w:val="41"/>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1.1供应商信息采集表</w:t>
      </w:r>
    </w:p>
    <w:tbl>
      <w:tblPr>
        <w:tblStyle w:val="3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3"/>
        <w:gridCol w:w="3193"/>
        <w:gridCol w:w="3083"/>
      </w:tblGrid>
      <w:tr w14:paraId="0744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043" w:type="dxa"/>
            <w:vAlign w:val="center"/>
          </w:tcPr>
          <w:p w14:paraId="23758EE4">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供应商名称</w:t>
            </w:r>
          </w:p>
        </w:tc>
        <w:tc>
          <w:tcPr>
            <w:tcW w:w="3193" w:type="dxa"/>
            <w:vAlign w:val="center"/>
          </w:tcPr>
          <w:p w14:paraId="41C258A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供应商实际控制人性别</w:t>
            </w:r>
          </w:p>
        </w:tc>
        <w:tc>
          <w:tcPr>
            <w:tcW w:w="3083" w:type="dxa"/>
            <w:vAlign w:val="center"/>
          </w:tcPr>
          <w:p w14:paraId="12BCF9BD">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外商投资类型</w:t>
            </w:r>
          </w:p>
        </w:tc>
      </w:tr>
      <w:tr w14:paraId="1966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043" w:type="dxa"/>
          </w:tcPr>
          <w:p w14:paraId="4944D23C">
            <w:pPr>
              <w:pStyle w:val="41"/>
              <w:pageBreakBefore w:val="0"/>
              <w:kinsoku/>
              <w:overflowPunct/>
              <w:topLinePunct w:val="0"/>
              <w:bidi w:val="0"/>
              <w:snapToGrid/>
              <w:spacing w:line="400" w:lineRule="exact"/>
              <w:rPr>
                <w:rFonts w:hint="eastAsia" w:ascii="仿宋" w:hAnsi="仿宋" w:eastAsia="仿宋" w:cs="仿宋"/>
                <w:highlight w:val="none"/>
              </w:rPr>
            </w:pPr>
          </w:p>
        </w:tc>
        <w:tc>
          <w:tcPr>
            <w:tcW w:w="3193" w:type="dxa"/>
          </w:tcPr>
          <w:p w14:paraId="05BF5517">
            <w:pPr>
              <w:pStyle w:val="41"/>
              <w:pageBreakBefore w:val="0"/>
              <w:kinsoku/>
              <w:overflowPunct/>
              <w:topLinePunct w:val="0"/>
              <w:bidi w:val="0"/>
              <w:snapToGrid/>
              <w:spacing w:line="400" w:lineRule="exact"/>
              <w:rPr>
                <w:rFonts w:hint="eastAsia" w:ascii="仿宋" w:hAnsi="仿宋" w:eastAsia="仿宋" w:cs="仿宋"/>
                <w:highlight w:val="none"/>
              </w:rPr>
            </w:pPr>
          </w:p>
        </w:tc>
        <w:tc>
          <w:tcPr>
            <w:tcW w:w="3083" w:type="dxa"/>
          </w:tcPr>
          <w:p w14:paraId="0BDE4E4E">
            <w:pPr>
              <w:pStyle w:val="41"/>
              <w:pageBreakBefore w:val="0"/>
              <w:kinsoku/>
              <w:overflowPunct/>
              <w:topLinePunct w:val="0"/>
              <w:bidi w:val="0"/>
              <w:snapToGrid/>
              <w:spacing w:line="400" w:lineRule="exact"/>
              <w:rPr>
                <w:rFonts w:hint="eastAsia" w:ascii="仿宋" w:hAnsi="仿宋" w:eastAsia="仿宋" w:cs="仿宋"/>
                <w:highlight w:val="none"/>
              </w:rPr>
            </w:pPr>
          </w:p>
        </w:tc>
      </w:tr>
      <w:tr w14:paraId="107C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043" w:type="dxa"/>
          </w:tcPr>
          <w:p w14:paraId="64624C07">
            <w:pPr>
              <w:pStyle w:val="41"/>
              <w:pageBreakBefore w:val="0"/>
              <w:kinsoku/>
              <w:overflowPunct/>
              <w:topLinePunct w:val="0"/>
              <w:bidi w:val="0"/>
              <w:snapToGrid/>
              <w:spacing w:line="400" w:lineRule="exact"/>
              <w:rPr>
                <w:rFonts w:hint="eastAsia" w:ascii="仿宋" w:hAnsi="仿宋" w:eastAsia="仿宋" w:cs="仿宋"/>
                <w:highlight w:val="none"/>
              </w:rPr>
            </w:pPr>
          </w:p>
        </w:tc>
        <w:tc>
          <w:tcPr>
            <w:tcW w:w="3193" w:type="dxa"/>
          </w:tcPr>
          <w:p w14:paraId="3978E932">
            <w:pPr>
              <w:pStyle w:val="41"/>
              <w:pageBreakBefore w:val="0"/>
              <w:kinsoku/>
              <w:overflowPunct/>
              <w:topLinePunct w:val="0"/>
              <w:bidi w:val="0"/>
              <w:snapToGrid/>
              <w:spacing w:line="400" w:lineRule="exact"/>
              <w:rPr>
                <w:rFonts w:hint="eastAsia" w:ascii="仿宋" w:hAnsi="仿宋" w:eastAsia="仿宋" w:cs="仿宋"/>
                <w:highlight w:val="none"/>
              </w:rPr>
            </w:pPr>
          </w:p>
        </w:tc>
        <w:tc>
          <w:tcPr>
            <w:tcW w:w="3083" w:type="dxa"/>
          </w:tcPr>
          <w:p w14:paraId="45A7DEB2">
            <w:pPr>
              <w:pStyle w:val="41"/>
              <w:pageBreakBefore w:val="0"/>
              <w:kinsoku/>
              <w:overflowPunct/>
              <w:topLinePunct w:val="0"/>
              <w:bidi w:val="0"/>
              <w:snapToGrid/>
              <w:spacing w:line="400" w:lineRule="exact"/>
              <w:rPr>
                <w:rFonts w:hint="eastAsia" w:ascii="仿宋" w:hAnsi="仿宋" w:eastAsia="仿宋" w:cs="仿宋"/>
                <w:highlight w:val="none"/>
              </w:rPr>
            </w:pPr>
          </w:p>
        </w:tc>
      </w:tr>
      <w:tr w14:paraId="7339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043" w:type="dxa"/>
          </w:tcPr>
          <w:p w14:paraId="55B5A4FD">
            <w:pPr>
              <w:pStyle w:val="41"/>
              <w:pageBreakBefore w:val="0"/>
              <w:kinsoku/>
              <w:overflowPunct/>
              <w:topLinePunct w:val="0"/>
              <w:bidi w:val="0"/>
              <w:snapToGrid/>
              <w:spacing w:line="400" w:lineRule="exact"/>
              <w:rPr>
                <w:rFonts w:hint="eastAsia" w:ascii="仿宋" w:hAnsi="仿宋" w:eastAsia="仿宋" w:cs="仿宋"/>
                <w:highlight w:val="none"/>
              </w:rPr>
            </w:pPr>
          </w:p>
        </w:tc>
        <w:tc>
          <w:tcPr>
            <w:tcW w:w="3193" w:type="dxa"/>
          </w:tcPr>
          <w:p w14:paraId="23FE2F8A">
            <w:pPr>
              <w:pStyle w:val="41"/>
              <w:pageBreakBefore w:val="0"/>
              <w:kinsoku/>
              <w:overflowPunct/>
              <w:topLinePunct w:val="0"/>
              <w:bidi w:val="0"/>
              <w:snapToGrid/>
              <w:spacing w:line="400" w:lineRule="exact"/>
              <w:rPr>
                <w:rFonts w:hint="eastAsia" w:ascii="仿宋" w:hAnsi="仿宋" w:eastAsia="仿宋" w:cs="仿宋"/>
                <w:highlight w:val="none"/>
              </w:rPr>
            </w:pPr>
          </w:p>
        </w:tc>
        <w:tc>
          <w:tcPr>
            <w:tcW w:w="3083" w:type="dxa"/>
          </w:tcPr>
          <w:p w14:paraId="5B699EF3">
            <w:pPr>
              <w:pStyle w:val="41"/>
              <w:pageBreakBefore w:val="0"/>
              <w:kinsoku/>
              <w:overflowPunct/>
              <w:topLinePunct w:val="0"/>
              <w:bidi w:val="0"/>
              <w:snapToGrid/>
              <w:spacing w:line="400" w:lineRule="exact"/>
              <w:rPr>
                <w:rFonts w:hint="eastAsia" w:ascii="仿宋" w:hAnsi="仿宋" w:eastAsia="仿宋" w:cs="仿宋"/>
                <w:highlight w:val="none"/>
              </w:rPr>
            </w:pPr>
          </w:p>
        </w:tc>
      </w:tr>
      <w:tr w14:paraId="4064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043" w:type="dxa"/>
          </w:tcPr>
          <w:p w14:paraId="5289278D">
            <w:pPr>
              <w:pStyle w:val="41"/>
              <w:pageBreakBefore w:val="0"/>
              <w:kinsoku/>
              <w:overflowPunct/>
              <w:topLinePunct w:val="0"/>
              <w:bidi w:val="0"/>
              <w:snapToGrid/>
              <w:spacing w:line="400" w:lineRule="exact"/>
              <w:rPr>
                <w:rFonts w:hint="eastAsia" w:ascii="仿宋" w:hAnsi="仿宋" w:eastAsia="仿宋" w:cs="仿宋"/>
                <w:highlight w:val="none"/>
              </w:rPr>
            </w:pPr>
          </w:p>
        </w:tc>
        <w:tc>
          <w:tcPr>
            <w:tcW w:w="3193" w:type="dxa"/>
          </w:tcPr>
          <w:p w14:paraId="4AE90F9A">
            <w:pPr>
              <w:pStyle w:val="41"/>
              <w:pageBreakBefore w:val="0"/>
              <w:kinsoku/>
              <w:overflowPunct/>
              <w:topLinePunct w:val="0"/>
              <w:bidi w:val="0"/>
              <w:snapToGrid/>
              <w:spacing w:line="400" w:lineRule="exact"/>
              <w:rPr>
                <w:rFonts w:hint="eastAsia" w:ascii="仿宋" w:hAnsi="仿宋" w:eastAsia="仿宋" w:cs="仿宋"/>
                <w:highlight w:val="none"/>
              </w:rPr>
            </w:pPr>
          </w:p>
        </w:tc>
        <w:tc>
          <w:tcPr>
            <w:tcW w:w="3083" w:type="dxa"/>
          </w:tcPr>
          <w:p w14:paraId="62B6AB4D">
            <w:pPr>
              <w:pStyle w:val="41"/>
              <w:pageBreakBefore w:val="0"/>
              <w:kinsoku/>
              <w:overflowPunct/>
              <w:topLinePunct w:val="0"/>
              <w:bidi w:val="0"/>
              <w:snapToGrid/>
              <w:spacing w:line="400" w:lineRule="exact"/>
              <w:rPr>
                <w:rFonts w:hint="eastAsia" w:ascii="仿宋" w:hAnsi="仿宋" w:eastAsia="仿宋" w:cs="仿宋"/>
                <w:highlight w:val="none"/>
              </w:rPr>
            </w:pPr>
          </w:p>
        </w:tc>
      </w:tr>
    </w:tbl>
    <w:p w14:paraId="3625255C">
      <w:pPr>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 xml:space="preserve">注：1.供应商如为联合体，则应填写联合体各成员信息。 </w:t>
      </w:r>
    </w:p>
    <w:p w14:paraId="791BB686">
      <w:pPr>
        <w:pageBreakBefore w:val="0"/>
        <w:kinsoku/>
        <w:overflowPunct/>
        <w:topLinePunct w:val="0"/>
        <w:bidi w:val="0"/>
        <w:snapToGrid/>
        <w:spacing w:line="400" w:lineRule="exact"/>
        <w:rPr>
          <w:rFonts w:hint="eastAsia" w:ascii="仿宋" w:hAnsi="仿宋" w:eastAsia="仿宋" w:cs="仿宋"/>
          <w:highlight w:val="none"/>
          <w:lang w:bidi="ar"/>
        </w:rPr>
      </w:pPr>
      <w:r>
        <w:rPr>
          <w:rFonts w:hint="eastAsia" w:ascii="仿宋" w:hAnsi="仿宋" w:eastAsia="仿宋" w:cs="仿宋"/>
          <w:highlight w:val="none"/>
          <w:lang w:bidi="ar"/>
        </w:rPr>
        <w:t>2.“供应商实际控制人性别”按供应商实际控制人性别划分请填写“男”或“女”，指拥有供应商 51%以上绝对所有权的性别；绝对所有权拥有者可以是一个人，也可以是多人合计计算。</w:t>
      </w:r>
    </w:p>
    <w:p w14:paraId="5E442140">
      <w:pPr>
        <w:pStyle w:val="41"/>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lang w:bidi="ar"/>
        </w:rPr>
        <w:t>3.“外商投资类型”请填写“外商单独投资”、“外商部分投资”或“内资”。</w:t>
      </w:r>
    </w:p>
    <w:p w14:paraId="5DFF2D03">
      <w:pPr>
        <w:pStyle w:val="41"/>
        <w:pageBreakBefore w:val="0"/>
        <w:kinsoku/>
        <w:overflowPunct/>
        <w:topLinePunct w:val="0"/>
        <w:bidi w:val="0"/>
        <w:snapToGrid/>
        <w:spacing w:line="400" w:lineRule="exact"/>
        <w:rPr>
          <w:rFonts w:hint="eastAsia" w:ascii="仿宋" w:hAnsi="仿宋" w:eastAsia="仿宋" w:cs="仿宋"/>
          <w:highlight w:val="none"/>
        </w:rPr>
      </w:pPr>
    </w:p>
    <w:p w14:paraId="01D572F5">
      <w:pPr>
        <w:pStyle w:val="41"/>
        <w:pageBreakBefore w:val="0"/>
        <w:kinsoku/>
        <w:overflowPunct/>
        <w:topLinePunct w:val="0"/>
        <w:bidi w:val="0"/>
        <w:snapToGrid/>
        <w:spacing w:line="400" w:lineRule="exact"/>
        <w:rPr>
          <w:rFonts w:hint="eastAsia" w:ascii="仿宋" w:hAnsi="仿宋" w:eastAsia="仿宋" w:cs="仿宋"/>
          <w:highlight w:val="none"/>
        </w:rPr>
      </w:pPr>
      <w:r>
        <w:rPr>
          <w:rFonts w:hint="eastAsia" w:ascii="仿宋" w:hAnsi="仿宋" w:eastAsia="仿宋" w:cs="仿宋"/>
          <w:highlight w:val="none"/>
        </w:rPr>
        <w:t>1.2其它商务、技术资料和证明材料</w:t>
      </w:r>
    </w:p>
    <w:p w14:paraId="32086876">
      <w:pPr>
        <w:pStyle w:val="41"/>
        <w:rPr>
          <w:highlight w:val="none"/>
        </w:rPr>
      </w:pPr>
    </w:p>
    <w:p w14:paraId="59B748A6">
      <w:pPr>
        <w:pStyle w:val="41"/>
        <w:rPr>
          <w:rFonts w:hint="eastAsia" w:ascii="仿宋" w:hAnsi="仿宋" w:eastAsia="仿宋" w:cs="仿宋"/>
          <w:highlight w:val="none"/>
        </w:rPr>
      </w:pPr>
    </w:p>
    <w:p w14:paraId="11F1350A">
      <w:pPr>
        <w:pStyle w:val="41"/>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rPr>
        <w:t>二）</w:t>
      </w:r>
      <w:r>
        <w:rPr>
          <w:rFonts w:hint="eastAsia" w:ascii="仿宋" w:hAnsi="仿宋" w:eastAsia="仿宋" w:cs="仿宋"/>
          <w:highlight w:val="none"/>
        </w:rPr>
        <w:t>投标人认为需要提供的其它商务、技术资料和说明。</w:t>
      </w:r>
    </w:p>
    <w:p w14:paraId="137924CA">
      <w:pPr>
        <w:rPr>
          <w:rFonts w:hint="eastAsia" w:ascii="仿宋" w:hAnsi="仿宋" w:eastAsia="仿宋" w:cs="仿宋"/>
          <w:highlight w:val="none"/>
        </w:rPr>
      </w:pPr>
    </w:p>
    <w:p w14:paraId="04DB8FC6">
      <w:pPr>
        <w:rPr>
          <w:rFonts w:hint="eastAsia" w:ascii="仿宋" w:hAnsi="仿宋" w:eastAsia="仿宋" w:cs="仿宋"/>
          <w:highlight w:val="none"/>
        </w:rPr>
      </w:pPr>
    </w:p>
    <w:sectPr>
      <w:pgSz w:w="11906" w:h="16838"/>
      <w:pgMar w:top="1134" w:right="1134" w:bottom="1134" w:left="1134" w:header="567"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2"/>
    </w:pPr>
    <w:r>
      <w:rPr>
        <w:rFonts w:hint="eastAsia" w:ascii="仿宋" w:hAnsi="仿宋" w:eastAsia="仿宋" w:cs="仿宋"/>
        <w:b/>
        <w:bCs/>
        <w:i/>
        <w:iCs/>
        <w:sz w:val="18"/>
        <w:szCs w:val="18"/>
        <w:lang w:val="en-US" w:eastAsia="zh-CN"/>
      </w:rPr>
      <w:t>电话：0991-3750455                                                              瑞信国际项目管理有限公司</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2"/>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9AC4">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268"/>
                          </w:sdtPr>
                          <w:sdtContent>
                            <w:p w14:paraId="469366FD">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0277A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58268"/>
                    </w:sdtPr>
                    <w:sdtContent>
                      <w:p w14:paraId="469366FD">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40277AF1"/>
                </w:txbxContent>
              </v:textbox>
            </v:shape>
          </w:pict>
        </mc:Fallback>
      </mc:AlternateContent>
    </w:r>
  </w:p>
  <w:p w14:paraId="79BFBDE3">
    <w:pPr>
      <w:pStyle w:val="22"/>
      <w:ind w:firstLine="181" w:firstLineChars="100"/>
    </w:pPr>
    <w:r>
      <w:rPr>
        <w:rFonts w:hint="eastAsia" w:ascii="仿宋" w:hAnsi="仿宋" w:eastAsia="仿宋" w:cs="仿宋"/>
        <w:b/>
        <w:bCs/>
        <w:i/>
        <w:iCs/>
        <w:sz w:val="18"/>
        <w:szCs w:val="18"/>
        <w:lang w:val="en-US" w:eastAsia="zh-CN"/>
      </w:rPr>
      <w:t>电话：0991-3750455                                                                                                                   瑞信国际项目管理有限公司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DA9F">
    <w:pPr>
      <w:pStyle w:val="22"/>
    </w:pPr>
    <w:r>
      <w:rPr>
        <w:rFonts w:hint="eastAsia" w:ascii="仿宋" w:hAnsi="仿宋" w:eastAsia="仿宋" w:cs="仿宋"/>
        <w:b/>
        <w:bCs/>
        <w:i/>
        <w:iCs/>
        <w:sz w:val="18"/>
        <w:szCs w:val="18"/>
        <w:lang w:val="en-US" w:eastAsia="zh-CN"/>
      </w:rPr>
      <w:t>电话：0991-3750455                                                              瑞信国际项目管理有限公司</w: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963"/>
                          </w:sdtPr>
                          <w:sdtContent>
                            <w:p w14:paraId="323EBFAC">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663D922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7458963"/>
                    </w:sdtPr>
                    <w:sdtContent>
                      <w:p w14:paraId="323EBFAC">
                        <w:pPr>
                          <w:pStyle w:val="22"/>
                        </w:pPr>
                        <w:r>
                          <w:fldChar w:fldCharType="begin"/>
                        </w:r>
                        <w:r>
                          <w:instrText xml:space="preserve">PAGE   \* MERGEFORMAT</w:instrText>
                        </w:r>
                        <w:r>
                          <w:fldChar w:fldCharType="separate"/>
                        </w:r>
                        <w:r>
                          <w:rPr>
                            <w:lang w:val="zh-CN"/>
                          </w:rPr>
                          <w:t>-</w:t>
                        </w:r>
                        <w:r>
                          <w:t xml:space="preserve"> 113 -</w:t>
                        </w:r>
                        <w:r>
                          <w:fldChar w:fldCharType="end"/>
                        </w:r>
                      </w:p>
                    </w:sdtContent>
                  </w:sdt>
                  <w:p w14:paraId="663D922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E4B9">
    <w:pPr>
      <w:keepNext w:val="0"/>
      <w:keepLines w:val="0"/>
      <w:pageBreakBefore w:val="0"/>
      <w:widowControl/>
      <w:pBdr>
        <w:bottom w:val="single" w:color="auto" w:sz="4" w:space="0"/>
      </w:pBdr>
      <w:kinsoku/>
      <w:wordWrap/>
      <w:overflowPunct/>
      <w:topLinePunct w:val="0"/>
      <w:bidi w:val="0"/>
      <w:adjustRightInd/>
      <w:snapToGrid/>
      <w:spacing w:line="240" w:lineRule="auto"/>
      <w:ind w:right="-24" w:rightChars="-10"/>
      <w:jc w:val="center"/>
      <w:textAlignment w:val="auto"/>
      <w:rPr>
        <w:sz w:val="18"/>
        <w:szCs w:val="18"/>
      </w:rPr>
    </w:pPr>
    <w:r>
      <w:rPr>
        <w:rFonts w:hint="eastAsia" w:ascii="黑体" w:eastAsia="黑体"/>
        <w:b w:val="0"/>
        <w:bCs/>
        <w:i/>
        <w:iCs/>
        <w:color w:val="000000"/>
        <w:spacing w:val="20"/>
        <w:sz w:val="18"/>
        <w:szCs w:val="18"/>
      </w:rPr>
      <w:drawing>
        <wp:anchor distT="0" distB="0" distL="114300" distR="114300" simplePos="0" relativeHeight="251662336" behindDoc="0" locked="0" layoutInCell="1" allowOverlap="1">
          <wp:simplePos x="0" y="0"/>
          <wp:positionH relativeFrom="page">
            <wp:posOffset>6370955</wp:posOffset>
          </wp:positionH>
          <wp:positionV relativeFrom="page">
            <wp:posOffset>73025</wp:posOffset>
          </wp:positionV>
          <wp:extent cx="419100" cy="403860"/>
          <wp:effectExtent l="0" t="0" r="0" b="15240"/>
          <wp:wrapNone/>
          <wp:docPr id="10" name="图片 1" descr="L2SY81WAKC@~0%G}A`S29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2SY81WAKC@~0%G}A`S29U8"/>
                  <pic:cNvPicPr>
                    <a:picLocks noChangeAspect="1"/>
                  </pic:cNvPicPr>
                </pic:nvPicPr>
                <pic:blipFill>
                  <a:blip r:embed="rId1"/>
                  <a:stretch>
                    <a:fillRect/>
                  </a:stretch>
                </pic:blipFill>
                <pic:spPr>
                  <a:xfrm>
                    <a:off x="0" y="0"/>
                    <a:ext cx="419100" cy="403860"/>
                  </a:xfrm>
                  <a:prstGeom prst="rect">
                    <a:avLst/>
                  </a:prstGeom>
                  <a:noFill/>
                  <a:ln>
                    <a:noFill/>
                  </a:ln>
                </pic:spPr>
              </pic:pic>
            </a:graphicData>
          </a:graphic>
        </wp:anchor>
      </w:drawing>
    </w:r>
    <w:r>
      <w:rPr>
        <w:rFonts w:hint="eastAsia" w:ascii="黑体" w:hAnsi="黑体" w:eastAsia="黑体" w:cs="黑体"/>
        <w:b w:val="0"/>
        <w:bCs w:val="0"/>
        <w:i/>
        <w:iCs/>
        <w:color w:val="000000"/>
        <w:sz w:val="18"/>
        <w:szCs w:val="18"/>
        <w:u w:val="none"/>
        <w:lang w:eastAsia="zh-CN"/>
      </w:rPr>
      <w:t>新疆医科大学附属肿瘤医院第五批卫生类耗材采购项目（四次）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4D63E">
    <w:pPr>
      <w:keepNext w:val="0"/>
      <w:keepLines w:val="0"/>
      <w:pageBreakBefore w:val="0"/>
      <w:widowControl/>
      <w:pBdr>
        <w:bottom w:val="single" w:color="auto" w:sz="4" w:space="0"/>
      </w:pBdr>
      <w:kinsoku/>
      <w:wordWrap/>
      <w:overflowPunct/>
      <w:topLinePunct w:val="0"/>
      <w:bidi w:val="0"/>
      <w:adjustRightInd/>
      <w:snapToGrid/>
      <w:spacing w:line="240" w:lineRule="auto"/>
      <w:ind w:right="-24" w:rightChars="-10"/>
      <w:jc w:val="center"/>
      <w:textAlignment w:val="auto"/>
    </w:pPr>
    <w:r>
      <w:rPr>
        <w:rFonts w:hint="eastAsia" w:ascii="黑体" w:eastAsia="黑体"/>
        <w:b w:val="0"/>
        <w:bCs/>
        <w:i/>
        <w:iCs/>
        <w:color w:val="000000"/>
        <w:spacing w:val="20"/>
        <w:sz w:val="18"/>
        <w:szCs w:val="18"/>
      </w:rPr>
      <w:drawing>
        <wp:anchor distT="0" distB="0" distL="114300" distR="114300" simplePos="0" relativeHeight="251663360" behindDoc="0" locked="0" layoutInCell="1" allowOverlap="1">
          <wp:simplePos x="0" y="0"/>
          <wp:positionH relativeFrom="page">
            <wp:posOffset>9476740</wp:posOffset>
          </wp:positionH>
          <wp:positionV relativeFrom="page">
            <wp:posOffset>113665</wp:posOffset>
          </wp:positionV>
          <wp:extent cx="419100" cy="403860"/>
          <wp:effectExtent l="0" t="0" r="0" b="15240"/>
          <wp:wrapNone/>
          <wp:docPr id="3" name="图片 1" descr="L2SY81WAKC@~0%G}A`S29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2SY81WAKC@~0%G}A`S29U8"/>
                  <pic:cNvPicPr>
                    <a:picLocks noChangeAspect="1"/>
                  </pic:cNvPicPr>
                </pic:nvPicPr>
                <pic:blipFill>
                  <a:blip r:embed="rId1"/>
                  <a:stretch>
                    <a:fillRect/>
                  </a:stretch>
                </pic:blipFill>
                <pic:spPr>
                  <a:xfrm>
                    <a:off x="0" y="0"/>
                    <a:ext cx="419100" cy="403860"/>
                  </a:xfrm>
                  <a:prstGeom prst="rect">
                    <a:avLst/>
                  </a:prstGeom>
                  <a:noFill/>
                  <a:ln>
                    <a:noFill/>
                  </a:ln>
                </pic:spPr>
              </pic:pic>
            </a:graphicData>
          </a:graphic>
        </wp:anchor>
      </w:drawing>
    </w:r>
    <w:r>
      <w:rPr>
        <w:rFonts w:hint="eastAsia" w:ascii="黑体" w:hAnsi="黑体" w:eastAsia="黑体" w:cs="黑体"/>
        <w:b w:val="0"/>
        <w:bCs w:val="0"/>
        <w:i/>
        <w:iCs/>
        <w:color w:val="000000"/>
        <w:sz w:val="21"/>
        <w:szCs w:val="21"/>
        <w:u w:val="none"/>
        <w:lang w:eastAsia="zh-CN"/>
      </w:rPr>
      <w:t>新疆医科大学附属肿瘤医院第五批卫生类耗材采购项目（四次）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35B1F">
    <w:pPr>
      <w:keepNext w:val="0"/>
      <w:keepLines w:val="0"/>
      <w:pageBreakBefore w:val="0"/>
      <w:widowControl/>
      <w:pBdr>
        <w:bottom w:val="single" w:color="auto" w:sz="4" w:space="0"/>
      </w:pBdr>
      <w:kinsoku/>
      <w:wordWrap/>
      <w:overflowPunct/>
      <w:topLinePunct w:val="0"/>
      <w:bidi w:val="0"/>
      <w:adjustRightInd/>
      <w:snapToGrid/>
      <w:spacing w:line="240" w:lineRule="auto"/>
      <w:ind w:right="-24" w:rightChars="-10"/>
      <w:jc w:val="center"/>
      <w:textAlignment w:val="auto"/>
    </w:pPr>
    <w:r>
      <w:rPr>
        <w:rFonts w:hint="eastAsia" w:ascii="黑体" w:eastAsia="黑体"/>
        <w:b w:val="0"/>
        <w:bCs/>
        <w:i/>
        <w:iCs/>
        <w:color w:val="000000"/>
        <w:spacing w:val="20"/>
        <w:sz w:val="18"/>
        <w:szCs w:val="18"/>
      </w:rPr>
      <w:drawing>
        <wp:anchor distT="0" distB="0" distL="114300" distR="114300" simplePos="0" relativeHeight="251665408" behindDoc="0" locked="0" layoutInCell="1" allowOverlap="1">
          <wp:simplePos x="0" y="0"/>
          <wp:positionH relativeFrom="page">
            <wp:posOffset>6354445</wp:posOffset>
          </wp:positionH>
          <wp:positionV relativeFrom="page">
            <wp:posOffset>113665</wp:posOffset>
          </wp:positionV>
          <wp:extent cx="419100" cy="403860"/>
          <wp:effectExtent l="0" t="0" r="0" b="15240"/>
          <wp:wrapNone/>
          <wp:docPr id="11" name="图片 1" descr="L2SY81WAKC@~0%G}A`S29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L2SY81WAKC@~0%G}A`S29U8"/>
                  <pic:cNvPicPr>
                    <a:picLocks noChangeAspect="1"/>
                  </pic:cNvPicPr>
                </pic:nvPicPr>
                <pic:blipFill>
                  <a:blip r:embed="rId1"/>
                  <a:stretch>
                    <a:fillRect/>
                  </a:stretch>
                </pic:blipFill>
                <pic:spPr>
                  <a:xfrm>
                    <a:off x="0" y="0"/>
                    <a:ext cx="419100" cy="403860"/>
                  </a:xfrm>
                  <a:prstGeom prst="rect">
                    <a:avLst/>
                  </a:prstGeom>
                  <a:noFill/>
                  <a:ln>
                    <a:noFill/>
                  </a:ln>
                </pic:spPr>
              </pic:pic>
            </a:graphicData>
          </a:graphic>
        </wp:anchor>
      </w:drawing>
    </w:r>
    <w:r>
      <w:rPr>
        <w:rFonts w:hint="eastAsia" w:ascii="黑体" w:hAnsi="黑体" w:eastAsia="黑体" w:cs="黑体"/>
        <w:b w:val="0"/>
        <w:bCs w:val="0"/>
        <w:i/>
        <w:iCs/>
        <w:color w:val="000000"/>
        <w:sz w:val="21"/>
        <w:szCs w:val="21"/>
        <w:u w:val="none"/>
        <w:lang w:eastAsia="zh-CN"/>
      </w:rPr>
      <w:t>新疆医科大学附属肿瘤医院第五批卫生类耗材采购项目（四次）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0B1B3"/>
    <w:multiLevelType w:val="singleLevel"/>
    <w:tmpl w:val="8D30B1B3"/>
    <w:lvl w:ilvl="0" w:tentative="0">
      <w:start w:val="1"/>
      <w:numFmt w:val="decimal"/>
      <w:suff w:val="nothing"/>
      <w:lvlText w:val="%1、"/>
      <w:lvlJc w:val="left"/>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CDC845E"/>
    <w:multiLevelType w:val="singleLevel"/>
    <w:tmpl w:val="BCDC845E"/>
    <w:lvl w:ilvl="0" w:tentative="0">
      <w:start w:val="1"/>
      <w:numFmt w:val="decimal"/>
      <w:lvlText w:val="%1."/>
      <w:lvlJc w:val="left"/>
      <w:pPr>
        <w:tabs>
          <w:tab w:val="left" w:pos="312"/>
        </w:tabs>
      </w:pPr>
    </w:lvl>
  </w:abstractNum>
  <w:abstractNum w:abstractNumId="3">
    <w:nsid w:val="CF05713D"/>
    <w:multiLevelType w:val="singleLevel"/>
    <w:tmpl w:val="CF05713D"/>
    <w:lvl w:ilvl="0" w:tentative="0">
      <w:start w:val="1"/>
      <w:numFmt w:val="decimal"/>
      <w:suff w:val="nothing"/>
      <w:lvlText w:val="%1、"/>
      <w:lvlJc w:val="left"/>
    </w:lvl>
  </w:abstractNum>
  <w:abstractNum w:abstractNumId="4">
    <w:nsid w:val="D3713966"/>
    <w:multiLevelType w:val="singleLevel"/>
    <w:tmpl w:val="D3713966"/>
    <w:lvl w:ilvl="0" w:tentative="0">
      <w:start w:val="1"/>
      <w:numFmt w:val="decimal"/>
      <w:suff w:val="space"/>
      <w:lvlText w:val="%1."/>
      <w:lvlJc w:val="left"/>
    </w:lvl>
  </w:abstractNum>
  <w:abstractNum w:abstractNumId="5">
    <w:nsid w:val="DF5179C5"/>
    <w:multiLevelType w:val="singleLevel"/>
    <w:tmpl w:val="DF5179C5"/>
    <w:lvl w:ilvl="0" w:tentative="0">
      <w:start w:val="3"/>
      <w:numFmt w:val="decimal"/>
      <w:suff w:val="space"/>
      <w:lvlText w:val="%1."/>
      <w:lvlJc w:val="left"/>
    </w:lvl>
  </w:abstractNum>
  <w:abstractNum w:abstractNumId="6">
    <w:nsid w:val="FD33108B"/>
    <w:multiLevelType w:val="singleLevel"/>
    <w:tmpl w:val="FD33108B"/>
    <w:lvl w:ilvl="0" w:tentative="0">
      <w:start w:val="7"/>
      <w:numFmt w:val="chineseCounting"/>
      <w:suff w:val="space"/>
      <w:lvlText w:val="第%1章"/>
      <w:lvlJc w:val="left"/>
      <w:rPr>
        <w:rFonts w:hint="eastAsia"/>
      </w:rPr>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080186"/>
    <w:multiLevelType w:val="singleLevel"/>
    <w:tmpl w:val="2A080186"/>
    <w:lvl w:ilvl="0" w:tentative="0">
      <w:start w:val="1"/>
      <w:numFmt w:val="decimal"/>
      <w:suff w:val="nothing"/>
      <w:lvlText w:val="%1、"/>
      <w:lvlJc w:val="left"/>
    </w:lvl>
  </w:abstractNum>
  <w:abstractNum w:abstractNumId="9">
    <w:nsid w:val="447B6378"/>
    <w:multiLevelType w:val="multilevel"/>
    <w:tmpl w:val="447B6378"/>
    <w:lvl w:ilvl="0" w:tentative="0">
      <w:start w:val="1"/>
      <w:numFmt w:val="decimal"/>
      <w:pStyle w:val="4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DAA628F"/>
    <w:multiLevelType w:val="singleLevel"/>
    <w:tmpl w:val="4DAA628F"/>
    <w:lvl w:ilvl="0" w:tentative="0">
      <w:start w:val="6"/>
      <w:numFmt w:val="chineseCounting"/>
      <w:suff w:val="nothing"/>
      <w:lvlText w:val="%1、"/>
      <w:lvlJc w:val="left"/>
      <w:rPr>
        <w:rFonts w:hint="eastAsia"/>
      </w:r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9"/>
  </w:num>
  <w:num w:numId="3">
    <w:abstractNumId w:val="4"/>
  </w:num>
  <w:num w:numId="4">
    <w:abstractNumId w:val="5"/>
  </w:num>
  <w:num w:numId="5">
    <w:abstractNumId w:val="0"/>
  </w:num>
  <w:num w:numId="6">
    <w:abstractNumId w:val="8"/>
  </w:num>
  <w:num w:numId="7">
    <w:abstractNumId w:val="3"/>
  </w:num>
  <w:num w:numId="8">
    <w:abstractNumId w:val="2"/>
  </w:num>
  <w:num w:numId="9">
    <w:abstractNumId w:val="6"/>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E6323"/>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684744"/>
    <w:rsid w:val="09704318"/>
    <w:rsid w:val="09A876F1"/>
    <w:rsid w:val="09AC1C5B"/>
    <w:rsid w:val="09B039F5"/>
    <w:rsid w:val="09B06BE6"/>
    <w:rsid w:val="09BD105E"/>
    <w:rsid w:val="09CE174C"/>
    <w:rsid w:val="09EA6F07"/>
    <w:rsid w:val="09EA700B"/>
    <w:rsid w:val="09EB2C7F"/>
    <w:rsid w:val="09FE29B2"/>
    <w:rsid w:val="0A0B3C7B"/>
    <w:rsid w:val="0A140428"/>
    <w:rsid w:val="0A1C108A"/>
    <w:rsid w:val="0A2148F3"/>
    <w:rsid w:val="0A2C5771"/>
    <w:rsid w:val="0A326B00"/>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DD55BE"/>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12D28"/>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4731A8"/>
    <w:rsid w:val="14717C9A"/>
    <w:rsid w:val="147F2942"/>
    <w:rsid w:val="14991C55"/>
    <w:rsid w:val="14AF7789"/>
    <w:rsid w:val="14D50D33"/>
    <w:rsid w:val="14DA401C"/>
    <w:rsid w:val="14EA0703"/>
    <w:rsid w:val="14EF1875"/>
    <w:rsid w:val="150D085D"/>
    <w:rsid w:val="151E65FF"/>
    <w:rsid w:val="1537321C"/>
    <w:rsid w:val="154020D1"/>
    <w:rsid w:val="157B7F4A"/>
    <w:rsid w:val="1585042C"/>
    <w:rsid w:val="15A840F3"/>
    <w:rsid w:val="15AE1730"/>
    <w:rsid w:val="15B11221"/>
    <w:rsid w:val="15BC64BF"/>
    <w:rsid w:val="15E37F2A"/>
    <w:rsid w:val="15FB249C"/>
    <w:rsid w:val="15FF3D3A"/>
    <w:rsid w:val="161A0B74"/>
    <w:rsid w:val="16383AE2"/>
    <w:rsid w:val="16565924"/>
    <w:rsid w:val="16571DC8"/>
    <w:rsid w:val="16646293"/>
    <w:rsid w:val="16685D83"/>
    <w:rsid w:val="167C182F"/>
    <w:rsid w:val="167C538B"/>
    <w:rsid w:val="167D1103"/>
    <w:rsid w:val="167D2FDD"/>
    <w:rsid w:val="16A13FC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BD41C4"/>
    <w:rsid w:val="1AC13434"/>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64B9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1558D"/>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1A1AA7"/>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6F10BF"/>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C505D"/>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61229"/>
    <w:rsid w:val="2DE735DA"/>
    <w:rsid w:val="2DEF7457"/>
    <w:rsid w:val="2DF55893"/>
    <w:rsid w:val="2DFD104F"/>
    <w:rsid w:val="2E093AD9"/>
    <w:rsid w:val="2E0A0E72"/>
    <w:rsid w:val="2E112405"/>
    <w:rsid w:val="2E426A62"/>
    <w:rsid w:val="2E4637EF"/>
    <w:rsid w:val="2E4E18AB"/>
    <w:rsid w:val="2E6B420B"/>
    <w:rsid w:val="2E6C48D9"/>
    <w:rsid w:val="2E7035CF"/>
    <w:rsid w:val="2E713096"/>
    <w:rsid w:val="2E7D3F3E"/>
    <w:rsid w:val="2E864BA1"/>
    <w:rsid w:val="2E89643F"/>
    <w:rsid w:val="2E8F4F19"/>
    <w:rsid w:val="2E9279E9"/>
    <w:rsid w:val="2EA63495"/>
    <w:rsid w:val="2EB57234"/>
    <w:rsid w:val="2EC8340B"/>
    <w:rsid w:val="2ED303B5"/>
    <w:rsid w:val="2EE51537"/>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A4F64"/>
    <w:rsid w:val="2FBE036A"/>
    <w:rsid w:val="2FFA41B9"/>
    <w:rsid w:val="301D6DE7"/>
    <w:rsid w:val="302428C3"/>
    <w:rsid w:val="30297EDA"/>
    <w:rsid w:val="303074BA"/>
    <w:rsid w:val="304E08DD"/>
    <w:rsid w:val="305C6116"/>
    <w:rsid w:val="30601421"/>
    <w:rsid w:val="3062519A"/>
    <w:rsid w:val="306929CC"/>
    <w:rsid w:val="30696528"/>
    <w:rsid w:val="306B405E"/>
    <w:rsid w:val="307C5B1F"/>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715CB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033FEC"/>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877466"/>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0420E0"/>
    <w:rsid w:val="43193DDE"/>
    <w:rsid w:val="431C38CE"/>
    <w:rsid w:val="43372938"/>
    <w:rsid w:val="43484F88"/>
    <w:rsid w:val="434A1275"/>
    <w:rsid w:val="435C1F1C"/>
    <w:rsid w:val="43772785"/>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817D43"/>
    <w:rsid w:val="44AE6D29"/>
    <w:rsid w:val="44B95F17"/>
    <w:rsid w:val="44C11AA6"/>
    <w:rsid w:val="44C75831"/>
    <w:rsid w:val="44CD7477"/>
    <w:rsid w:val="44D04970"/>
    <w:rsid w:val="44D426B2"/>
    <w:rsid w:val="44DF4BB3"/>
    <w:rsid w:val="44E346A3"/>
    <w:rsid w:val="44F3240C"/>
    <w:rsid w:val="450048CC"/>
    <w:rsid w:val="451A208F"/>
    <w:rsid w:val="452151CC"/>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9C2078"/>
    <w:rsid w:val="45A4674D"/>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A6CEA"/>
    <w:rsid w:val="478E2D76"/>
    <w:rsid w:val="47916CB1"/>
    <w:rsid w:val="47A65E5C"/>
    <w:rsid w:val="47A94804"/>
    <w:rsid w:val="47CA1B4A"/>
    <w:rsid w:val="47E67FE2"/>
    <w:rsid w:val="47F0014A"/>
    <w:rsid w:val="47F60B91"/>
    <w:rsid w:val="481903DC"/>
    <w:rsid w:val="486F26F2"/>
    <w:rsid w:val="48740AF8"/>
    <w:rsid w:val="487B247F"/>
    <w:rsid w:val="48864907"/>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D658F"/>
    <w:rsid w:val="494E0559"/>
    <w:rsid w:val="494F5CD6"/>
    <w:rsid w:val="495F207A"/>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CE4421"/>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BE10F00"/>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25066"/>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B628CF"/>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9D4BEB"/>
    <w:rsid w:val="58BA1767"/>
    <w:rsid w:val="58DC49CD"/>
    <w:rsid w:val="58DD31FA"/>
    <w:rsid w:val="58F24A5D"/>
    <w:rsid w:val="59030A18"/>
    <w:rsid w:val="591A469F"/>
    <w:rsid w:val="591D7642"/>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14951"/>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1356FF"/>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71148"/>
    <w:rsid w:val="659858FD"/>
    <w:rsid w:val="6598698C"/>
    <w:rsid w:val="65A13CC9"/>
    <w:rsid w:val="65AA25C1"/>
    <w:rsid w:val="65C0250E"/>
    <w:rsid w:val="65E120E1"/>
    <w:rsid w:val="65E24F34"/>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2A3FD1"/>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720586"/>
    <w:rsid w:val="70875F7B"/>
    <w:rsid w:val="70897150"/>
    <w:rsid w:val="70A64653"/>
    <w:rsid w:val="70C8281B"/>
    <w:rsid w:val="70FE4044"/>
    <w:rsid w:val="71094BE2"/>
    <w:rsid w:val="71401537"/>
    <w:rsid w:val="7159658E"/>
    <w:rsid w:val="71656047"/>
    <w:rsid w:val="718F158B"/>
    <w:rsid w:val="71A242CB"/>
    <w:rsid w:val="71AC3EEB"/>
    <w:rsid w:val="71BC2D79"/>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744A68"/>
    <w:rsid w:val="748D1686"/>
    <w:rsid w:val="74933140"/>
    <w:rsid w:val="74AE3AD6"/>
    <w:rsid w:val="74B80A8E"/>
    <w:rsid w:val="74C334BC"/>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9FB015A"/>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2"/>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0"/>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kern w:val="0"/>
    </w:rPr>
  </w:style>
  <w:style w:type="paragraph" w:styleId="13">
    <w:name w:val="annotation text"/>
    <w:basedOn w:val="1"/>
    <w:link w:val="47"/>
    <w:autoRedefine/>
    <w:qFormat/>
    <w:uiPriority w:val="0"/>
    <w:rPr>
      <w:rFonts w:eastAsiaTheme="minorEastAsia"/>
      <w:sz w:val="21"/>
      <w:szCs w:val="24"/>
    </w:rPr>
  </w:style>
  <w:style w:type="paragraph" w:styleId="14">
    <w:name w:val="Body Text"/>
    <w:basedOn w:val="1"/>
    <w:next w:val="15"/>
    <w:link w:val="51"/>
    <w:autoRedefine/>
    <w:qFormat/>
    <w:uiPriority w:val="99"/>
    <w:pPr>
      <w:spacing w:after="120"/>
      <w:jc w:val="both"/>
    </w:pPr>
    <w:rPr>
      <w:rFonts w:eastAsiaTheme="minorEastAsia"/>
      <w:sz w:val="21"/>
      <w:szCs w:val="24"/>
    </w:rPr>
  </w:style>
  <w:style w:type="paragraph" w:styleId="15">
    <w:name w:val="Body Text First Indent"/>
    <w:basedOn w:val="14"/>
    <w:next w:val="1"/>
    <w:qFormat/>
    <w:uiPriority w:val="99"/>
    <w:pPr>
      <w:spacing w:after="120"/>
      <w:ind w:firstLine="420" w:firstLineChars="100"/>
    </w:pPr>
  </w:style>
  <w:style w:type="paragraph" w:styleId="16">
    <w:name w:val="Body Text Indent"/>
    <w:basedOn w:val="1"/>
    <w:autoRedefine/>
    <w:unhideWhenUsed/>
    <w:qFormat/>
    <w:uiPriority w:val="0"/>
    <w:pPr>
      <w:ind w:firstLine="630"/>
    </w:pPr>
    <w:rPr>
      <w:rFonts w:eastAsia="仿宋_GB2312"/>
      <w:kern w:val="0"/>
      <w:sz w:val="32"/>
      <w:szCs w:val="20"/>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Balloon Text"/>
    <w:basedOn w:val="1"/>
    <w:link w:val="84"/>
    <w:semiHidden/>
    <w:unhideWhenUsed/>
    <w:qFormat/>
    <w:uiPriority w:val="99"/>
    <w:rPr>
      <w:sz w:val="18"/>
      <w:szCs w:val="18"/>
    </w:rPr>
  </w:style>
  <w:style w:type="paragraph" w:styleId="22">
    <w:name w:val="footer"/>
    <w:basedOn w:val="1"/>
    <w:link w:val="45"/>
    <w:autoRedefine/>
    <w:unhideWhenUsed/>
    <w:qFormat/>
    <w:uiPriority w:val="99"/>
    <w:pPr>
      <w:tabs>
        <w:tab w:val="center" w:pos="4153"/>
        <w:tab w:val="right" w:pos="8306"/>
      </w:tabs>
      <w:snapToGrid w:val="0"/>
    </w:pPr>
    <w:rPr>
      <w:sz w:val="18"/>
      <w:szCs w:val="18"/>
    </w:rPr>
  </w:style>
  <w:style w:type="paragraph" w:styleId="23">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5">
    <w:name w:val="toc 4"/>
    <w:basedOn w:val="1"/>
    <w:next w:val="1"/>
    <w:autoRedefine/>
    <w:unhideWhenUsed/>
    <w:qFormat/>
    <w:uiPriority w:val="39"/>
    <w:pPr>
      <w:ind w:left="720"/>
    </w:pPr>
    <w:rPr>
      <w:rFonts w:asciiTheme="minorHAnsi" w:eastAsiaTheme="minorHAnsi"/>
      <w:sz w:val="18"/>
      <w:szCs w:val="18"/>
    </w:rPr>
  </w:style>
  <w:style w:type="paragraph" w:styleId="26">
    <w:name w:val="footnote text"/>
    <w:basedOn w:val="1"/>
    <w:qFormat/>
    <w:uiPriority w:val="0"/>
    <w:rPr>
      <w:kern w:val="0"/>
      <w:sz w:val="20"/>
      <w:szCs w:val="20"/>
      <w:lang w:val="de-DE"/>
    </w:rPr>
  </w:style>
  <w:style w:type="paragraph" w:styleId="27">
    <w:name w:val="toc 6"/>
    <w:basedOn w:val="1"/>
    <w:next w:val="1"/>
    <w:autoRedefine/>
    <w:unhideWhenUsed/>
    <w:qFormat/>
    <w:uiPriority w:val="39"/>
    <w:pPr>
      <w:ind w:left="1200"/>
    </w:pPr>
    <w:rPr>
      <w:rFonts w:asciiTheme="minorHAnsi" w:eastAsiaTheme="minorHAnsi"/>
      <w:sz w:val="18"/>
      <w:szCs w:val="18"/>
    </w:rPr>
  </w:style>
  <w:style w:type="paragraph" w:styleId="28">
    <w:name w:val="toc 2"/>
    <w:basedOn w:val="1"/>
    <w:next w:val="1"/>
    <w:autoRedefine/>
    <w:unhideWhenUsed/>
    <w:qFormat/>
    <w:uiPriority w:val="39"/>
    <w:pPr>
      <w:ind w:left="240"/>
    </w:pPr>
    <w:rPr>
      <w:rFonts w:asciiTheme="minorHAnsi" w:eastAsiaTheme="minorHAnsi"/>
      <w:smallCaps/>
      <w:sz w:val="20"/>
      <w:szCs w:val="20"/>
    </w:rPr>
  </w:style>
  <w:style w:type="paragraph" w:styleId="29">
    <w:name w:val="toc 9"/>
    <w:basedOn w:val="1"/>
    <w:next w:val="1"/>
    <w:autoRedefine/>
    <w:unhideWhenUsed/>
    <w:qFormat/>
    <w:uiPriority w:val="39"/>
    <w:pPr>
      <w:ind w:left="1920"/>
    </w:pPr>
    <w:rPr>
      <w:rFonts w:asciiTheme="minorHAnsi" w:eastAsiaTheme="minorHAnsi"/>
      <w:sz w:val="18"/>
      <w:szCs w:val="18"/>
    </w:rPr>
  </w:style>
  <w:style w:type="paragraph" w:styleId="30">
    <w:name w:val="HTML Preformatted"/>
    <w:basedOn w:val="1"/>
    <w:qFormat/>
    <w:uiPriority w:val="0"/>
    <w:rPr>
      <w:rFonts w:ascii="Courier New" w:hAnsi="Courier New" w:eastAsia="宋体" w:cs="Courier New"/>
      <w:sz w:val="20"/>
      <w:szCs w:val="20"/>
    </w:rPr>
  </w:style>
  <w:style w:type="paragraph" w:styleId="31">
    <w:name w:val="annotation subject"/>
    <w:basedOn w:val="13"/>
    <w:next w:val="13"/>
    <w:link w:val="55"/>
    <w:autoRedefine/>
    <w:semiHidden/>
    <w:unhideWhenUsed/>
    <w:qFormat/>
    <w:uiPriority w:val="99"/>
    <w:pPr>
      <w:spacing w:line="360" w:lineRule="auto"/>
    </w:pPr>
    <w:rPr>
      <w:rFonts w:eastAsia="宋体"/>
      <w:b/>
      <w:bCs/>
      <w:sz w:val="24"/>
      <w:szCs w:val="22"/>
    </w:rPr>
  </w:style>
  <w:style w:type="paragraph" w:styleId="32">
    <w:name w:val="Body Text First Indent 2"/>
    <w:basedOn w:val="16"/>
    <w:next w:val="1"/>
    <w:autoRedefine/>
    <w:qFormat/>
    <w:uiPriority w:val="0"/>
    <w:pPr>
      <w:spacing w:after="120"/>
      <w:ind w:left="420" w:leftChars="200" w:firstLine="420" w:firstLineChars="200"/>
    </w:pPr>
    <w:rPr>
      <w:rFonts w:ascii="Times New Roman" w:eastAsia="宋体"/>
      <w:sz w:val="21"/>
      <w:szCs w:val="24"/>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rPr>
  </w:style>
  <w:style w:type="character" w:styleId="37">
    <w:name w:val="Emphasis"/>
    <w:basedOn w:val="35"/>
    <w:qFormat/>
    <w:uiPriority w:val="20"/>
    <w:rPr>
      <w:i/>
    </w:rPr>
  </w:style>
  <w:style w:type="character" w:styleId="38">
    <w:name w:val="Hyperlink"/>
    <w:basedOn w:val="35"/>
    <w:autoRedefine/>
    <w:unhideWhenUsed/>
    <w:qFormat/>
    <w:uiPriority w:val="99"/>
    <w:rPr>
      <w:color w:val="0563C1" w:themeColor="hyperlink"/>
      <w:u w:val="single"/>
      <w14:textFill>
        <w14:solidFill>
          <w14:schemeClr w14:val="hlink"/>
        </w14:solidFill>
      </w14:textFill>
    </w:rPr>
  </w:style>
  <w:style w:type="character" w:styleId="39">
    <w:name w:val="annotation reference"/>
    <w:basedOn w:val="35"/>
    <w:autoRedefine/>
    <w:qFormat/>
    <w:uiPriority w:val="0"/>
    <w:rPr>
      <w:sz w:val="21"/>
      <w:szCs w:val="21"/>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正文缩进2"/>
    <w:basedOn w:val="1"/>
    <w:autoRedefine/>
    <w:qFormat/>
    <w:uiPriority w:val="0"/>
    <w:pPr>
      <w:wordWrap w:val="0"/>
      <w:ind w:firstLine="480"/>
    </w:pPr>
    <w:rPr>
      <w:iCs/>
      <w:shd w:val="clear" w:color="auto" w:fill="FFFFFF" w:themeFill="background1"/>
      <w:lang w:val="zh-CN"/>
    </w:rPr>
  </w:style>
  <w:style w:type="character" w:customStyle="1" w:styleId="42">
    <w:name w:val="标题 1 Char"/>
    <w:basedOn w:val="35"/>
    <w:link w:val="2"/>
    <w:autoRedefine/>
    <w:qFormat/>
    <w:uiPriority w:val="9"/>
    <w:rPr>
      <w:rFonts w:eastAsia="黑体"/>
      <w:b/>
      <w:bCs/>
      <w:kern w:val="44"/>
      <w:sz w:val="44"/>
      <w:szCs w:val="44"/>
    </w:rPr>
  </w:style>
  <w:style w:type="paragraph" w:styleId="43">
    <w:name w:val="List Paragraph"/>
    <w:basedOn w:val="1"/>
    <w:qFormat/>
    <w:uiPriority w:val="34"/>
    <w:pPr>
      <w:numPr>
        <w:ilvl w:val="0"/>
        <w:numId w:val="2"/>
      </w:numPr>
    </w:pPr>
  </w:style>
  <w:style w:type="character" w:customStyle="1" w:styleId="44">
    <w:name w:val="页眉 Char"/>
    <w:basedOn w:val="35"/>
    <w:link w:val="23"/>
    <w:autoRedefine/>
    <w:qFormat/>
    <w:uiPriority w:val="99"/>
    <w:rPr>
      <w:rFonts w:eastAsia="宋体"/>
      <w:sz w:val="18"/>
      <w:szCs w:val="18"/>
    </w:rPr>
  </w:style>
  <w:style w:type="character" w:customStyle="1" w:styleId="45">
    <w:name w:val="页脚 Char"/>
    <w:basedOn w:val="35"/>
    <w:link w:val="22"/>
    <w:autoRedefine/>
    <w:qFormat/>
    <w:uiPriority w:val="99"/>
    <w:rPr>
      <w:rFonts w:eastAsia="宋体"/>
      <w:sz w:val="18"/>
      <w:szCs w:val="18"/>
    </w:rPr>
  </w:style>
  <w:style w:type="character" w:customStyle="1" w:styleId="46">
    <w:name w:val="标题 2 Char"/>
    <w:basedOn w:val="35"/>
    <w:link w:val="3"/>
    <w:autoRedefine/>
    <w:qFormat/>
    <w:uiPriority w:val="0"/>
    <w:rPr>
      <w:rFonts w:eastAsia="宋体" w:asciiTheme="majorHAnsi" w:hAnsiTheme="majorHAnsi" w:cstheme="majorBidi"/>
      <w:b/>
      <w:bCs/>
      <w:sz w:val="32"/>
      <w:szCs w:val="32"/>
    </w:rPr>
  </w:style>
  <w:style w:type="character" w:customStyle="1" w:styleId="47">
    <w:name w:val="批注文字 Char"/>
    <w:basedOn w:val="35"/>
    <w:link w:val="13"/>
    <w:autoRedefine/>
    <w:qFormat/>
    <w:uiPriority w:val="0"/>
    <w:rPr>
      <w:szCs w:val="24"/>
    </w:rPr>
  </w:style>
  <w:style w:type="paragraph" w:customStyle="1" w:styleId="48">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9">
    <w:name w:val="标题 3 Char"/>
    <w:basedOn w:val="35"/>
    <w:link w:val="4"/>
    <w:autoRedefine/>
    <w:qFormat/>
    <w:uiPriority w:val="9"/>
    <w:rPr>
      <w:rFonts w:eastAsia="宋体"/>
      <w:b/>
      <w:bCs/>
      <w:sz w:val="30"/>
      <w:szCs w:val="32"/>
    </w:rPr>
  </w:style>
  <w:style w:type="character" w:customStyle="1" w:styleId="50">
    <w:name w:val="标题 4 Char"/>
    <w:basedOn w:val="35"/>
    <w:link w:val="5"/>
    <w:autoRedefine/>
    <w:qFormat/>
    <w:uiPriority w:val="9"/>
    <w:rPr>
      <w:rFonts w:eastAsia="宋体" w:asciiTheme="majorHAnsi" w:hAnsiTheme="majorHAnsi" w:cstheme="majorBidi"/>
      <w:b/>
      <w:bCs/>
      <w:sz w:val="28"/>
      <w:szCs w:val="28"/>
    </w:rPr>
  </w:style>
  <w:style w:type="character" w:customStyle="1" w:styleId="51">
    <w:name w:val="正文文本 Char"/>
    <w:basedOn w:val="35"/>
    <w:link w:val="14"/>
    <w:autoRedefine/>
    <w:qFormat/>
    <w:uiPriority w:val="99"/>
    <w:rPr>
      <w:szCs w:val="24"/>
    </w:rPr>
  </w:style>
  <w:style w:type="paragraph" w:customStyle="1" w:styleId="52">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3">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4">
    <w:name w:val="未处理的提及1"/>
    <w:basedOn w:val="35"/>
    <w:autoRedefine/>
    <w:semiHidden/>
    <w:unhideWhenUsed/>
    <w:qFormat/>
    <w:uiPriority w:val="99"/>
    <w:rPr>
      <w:color w:val="605E5C"/>
      <w:shd w:val="clear" w:color="auto" w:fill="E1DFDD"/>
    </w:rPr>
  </w:style>
  <w:style w:type="character" w:customStyle="1" w:styleId="55">
    <w:name w:val="批注主题 Char"/>
    <w:basedOn w:val="47"/>
    <w:link w:val="31"/>
    <w:autoRedefine/>
    <w:semiHidden/>
    <w:qFormat/>
    <w:uiPriority w:val="99"/>
    <w:rPr>
      <w:rFonts w:ascii="宋体" w:hAnsi="宋体" w:cstheme="minorBidi"/>
      <w:b/>
      <w:bCs/>
      <w:kern w:val="2"/>
      <w:sz w:val="24"/>
      <w:szCs w:val="22"/>
    </w:rPr>
  </w:style>
  <w:style w:type="character" w:customStyle="1" w:styleId="56">
    <w:name w:val="未处理的提及2"/>
    <w:basedOn w:val="35"/>
    <w:autoRedefine/>
    <w:semiHidden/>
    <w:unhideWhenUsed/>
    <w:qFormat/>
    <w:uiPriority w:val="99"/>
    <w:rPr>
      <w:color w:val="605E5C"/>
      <w:shd w:val="clear" w:color="auto" w:fill="E1DFDD"/>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1">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2">
    <w:name w:val="Normal Indent1"/>
    <w:basedOn w:val="1"/>
    <w:autoRedefine/>
    <w:qFormat/>
    <w:uiPriority w:val="0"/>
    <w:pPr>
      <w:ind w:firstLine="420" w:firstLineChars="200"/>
    </w:pPr>
  </w:style>
  <w:style w:type="paragraph" w:customStyle="1" w:styleId="63">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4">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正文_0_0_0 Char"/>
    <w:link w:val="67"/>
    <w:autoRedefine/>
    <w:qFormat/>
    <w:locked/>
    <w:uiPriority w:val="0"/>
    <w:rPr>
      <w:rFonts w:ascii="Calibri" w:hAnsi="Calibri" w:cs="Calibri"/>
      <w:kern w:val="2"/>
      <w:sz w:val="28"/>
      <w:szCs w:val="22"/>
      <w:lang w:val="en-US" w:eastAsia="zh-CN" w:bidi="ar-SA"/>
    </w:rPr>
  </w:style>
  <w:style w:type="paragraph" w:customStyle="1" w:styleId="67">
    <w:name w:val="正文_0_0_0_0_0"/>
    <w:link w:val="6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8">
    <w:name w:val="正文文本_0_1"/>
    <w:basedOn w:val="69"/>
    <w:autoRedefine/>
    <w:qFormat/>
    <w:uiPriority w:val="99"/>
    <w:pPr>
      <w:spacing w:after="120"/>
    </w:pPr>
    <w:rPr>
      <w:kern w:val="0"/>
      <w:sz w:val="24"/>
      <w:szCs w:val="20"/>
    </w:rPr>
  </w:style>
  <w:style w:type="paragraph" w:customStyle="1" w:styleId="6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Table Paragraph_1"/>
    <w:basedOn w:val="69"/>
    <w:autoRedefine/>
    <w:qFormat/>
    <w:uiPriority w:val="0"/>
    <w:pPr>
      <w:jc w:val="left"/>
    </w:pPr>
    <w:rPr>
      <w:kern w:val="0"/>
      <w:sz w:val="22"/>
      <w:lang w:eastAsia="en-US"/>
    </w:rPr>
  </w:style>
  <w:style w:type="paragraph" w:customStyle="1" w:styleId="7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11"/>
    <w:autoRedefine/>
    <w:qFormat/>
    <w:uiPriority w:val="0"/>
    <w:pPr>
      <w:widowControl w:val="0"/>
      <w:jc w:val="both"/>
    </w:pPr>
    <w:rPr>
      <w:rFonts w:ascii="Calibri" w:hAnsi="Calibri" w:eastAsia="宋体" w:cs="Times New Roman"/>
      <w:lang w:val="en-US" w:eastAsia="zh-CN" w:bidi="ar-SA"/>
    </w:rPr>
  </w:style>
  <w:style w:type="paragraph" w:customStyle="1" w:styleId="73">
    <w:name w:val="列出段落1"/>
    <w:basedOn w:val="1"/>
    <w:autoRedefine/>
    <w:qFormat/>
    <w:uiPriority w:val="0"/>
    <w:pPr>
      <w:ind w:firstLine="420" w:firstLineChars="200"/>
    </w:pPr>
    <w:rPr>
      <w:szCs w:val="21"/>
    </w:rPr>
  </w:style>
  <w:style w:type="paragraph" w:customStyle="1" w:styleId="74">
    <w:name w:val="xl31"/>
    <w:basedOn w:val="1"/>
    <w:autoRedefine/>
    <w:qFormat/>
    <w:uiPriority w:val="0"/>
    <w:pPr>
      <w:spacing w:before="100" w:beforeAutospacing="1" w:after="100" w:afterAutospacing="1"/>
      <w:jc w:val="center"/>
    </w:pPr>
    <w:rPr>
      <w:b/>
      <w:bCs/>
      <w:kern w:val="0"/>
      <w:sz w:val="28"/>
      <w:szCs w:val="28"/>
    </w:rPr>
  </w:style>
  <w:style w:type="paragraph" w:customStyle="1" w:styleId="75">
    <w:name w:val="正文2"/>
    <w:basedOn w:val="1"/>
    <w:qFormat/>
    <w:uiPriority w:val="0"/>
    <w:pPr>
      <w:spacing w:before="156" w:line="360" w:lineRule="auto"/>
      <w:ind w:firstLine="510" w:firstLineChars="200"/>
    </w:pPr>
    <w:rPr>
      <w:szCs w:val="20"/>
    </w:rPr>
  </w:style>
  <w:style w:type="paragraph" w:customStyle="1" w:styleId="76">
    <w:name w:val="Char Char Char Char Char Char Char1 Char"/>
    <w:basedOn w:val="1"/>
    <w:autoRedefine/>
    <w:qFormat/>
    <w:uiPriority w:val="0"/>
    <w:rPr>
      <w:rFonts w:ascii="Arial" w:hAnsi="Arial" w:cs="Arial"/>
    </w:rPr>
  </w:style>
  <w:style w:type="paragraph" w:customStyle="1" w:styleId="77">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8">
    <w:name w:val="Default Text"/>
    <w:basedOn w:val="1"/>
    <w:qFormat/>
    <w:uiPriority w:val="0"/>
    <w:pPr>
      <w:autoSpaceDE w:val="0"/>
      <w:autoSpaceDN w:val="0"/>
      <w:adjustRightInd w:val="0"/>
    </w:pPr>
    <w:rPr>
      <w:rFonts w:ascii="Helvetica" w:hAnsi="Helvetica"/>
      <w:kern w:val="0"/>
      <w:sz w:val="22"/>
    </w:rPr>
  </w:style>
  <w:style w:type="character" w:customStyle="1" w:styleId="79">
    <w:name w:val="font41"/>
    <w:qFormat/>
    <w:uiPriority w:val="0"/>
    <w:rPr>
      <w:rFonts w:ascii="宋体" w:hAnsi="宋体" w:eastAsia="宋体" w:cs="宋体"/>
      <w:color w:val="000000"/>
      <w:sz w:val="24"/>
      <w:szCs w:val="24"/>
      <w:u w:val="none"/>
    </w:rPr>
  </w:style>
  <w:style w:type="paragraph" w:customStyle="1" w:styleId="80">
    <w:name w:val="正文缩进1"/>
    <w:basedOn w:val="1"/>
    <w:qFormat/>
    <w:uiPriority w:val="0"/>
    <w:pPr>
      <w:ind w:firstLine="420"/>
    </w:pPr>
    <w:rPr>
      <w:rFonts w:ascii="Times New Roman" w:hAnsi="Times New Roman"/>
      <w:szCs w:val="20"/>
    </w:rPr>
  </w:style>
  <w:style w:type="paragraph" w:customStyle="1" w:styleId="81">
    <w:name w:val="表格文字"/>
    <w:basedOn w:val="1"/>
    <w:qFormat/>
    <w:uiPriority w:val="0"/>
    <w:pPr>
      <w:spacing w:before="25" w:after="25"/>
    </w:pPr>
    <w:rPr>
      <w:rFonts w:cs="宋体"/>
      <w:bCs/>
      <w:color w:val="EE0000"/>
      <w:spacing w:val="10"/>
      <w:szCs w:val="21"/>
      <w:shd w:val="clear" w:color="auto" w:fill="FFFFFF"/>
    </w:rPr>
  </w:style>
  <w:style w:type="paragraph" w:customStyle="1" w:styleId="8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4">
    <w:name w:val="批注框文本 Char"/>
    <w:basedOn w:val="35"/>
    <w:link w:val="21"/>
    <w:semiHidden/>
    <w:qFormat/>
    <w:uiPriority w:val="99"/>
    <w:rPr>
      <w:rFonts w:ascii="宋体" w:hAnsi="宋体" w:cstheme="minorBidi"/>
      <w:kern w:val="2"/>
      <w:sz w:val="18"/>
      <w:szCs w:val="18"/>
    </w:rPr>
  </w:style>
  <w:style w:type="paragraph" w:customStyle="1" w:styleId="8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6">
    <w:name w:val="NormalCharacter"/>
    <w:qFormat/>
    <w:uiPriority w:val="0"/>
    <w:rPr>
      <w:rFonts w:ascii="Times New Roman" w:hAnsi="Times New Roman" w:eastAsia="Times New Roman" w:cs="Times New Roman"/>
      <w:sz w:val="24"/>
      <w:szCs w:val="24"/>
      <w:lang w:val="en-US" w:eastAsia="zh-CN" w:bidi="ar-SA"/>
    </w:rPr>
  </w:style>
  <w:style w:type="paragraph" w:customStyle="1" w:styleId="87">
    <w:name w:val="Table Text"/>
    <w:basedOn w:val="1"/>
    <w:semiHidden/>
    <w:qFormat/>
    <w:uiPriority w:val="0"/>
    <w:rPr>
      <w:rFonts w:ascii="仿宋" w:hAnsi="仿宋" w:eastAsia="仿宋" w:cs="仿宋"/>
      <w:sz w:val="24"/>
      <w:szCs w:val="24"/>
      <w:lang w:val="en-US" w:eastAsia="en-US" w:bidi="ar-SA"/>
    </w:rPr>
  </w:style>
  <w:style w:type="paragraph" w:customStyle="1" w:styleId="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89">
    <w:name w:val="Header1"/>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22802</Words>
  <Characters>24585</Characters>
  <Lines>562</Lines>
  <Paragraphs>158</Paragraphs>
  <TotalTime>3</TotalTime>
  <ScaleCrop>false</ScaleCrop>
  <LinksUpToDate>false</LinksUpToDate>
  <CharactersWithSpaces>25061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Cmm</cp:lastModifiedBy>
  <cp:lastPrinted>2024-12-28T09:33:00Z</cp:lastPrinted>
  <dcterms:modified xsi:type="dcterms:W3CDTF">2026-05-25T11:05:50Z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32C5A39794EF40B28D5A0471264DDDA9_13</vt:lpwstr>
  </property>
  <property fmtid="{D5CDD505-2E9C-101B-9397-08002B2CF9AE}" pid="4" name="KSOTemplateDocerSaveRecord">
    <vt:lpwstr>eyJoZGlkIjoiMzEwNTM5NzYwMDRjMzkwZTVkZjY2ODkwMGIxNGU0OTUiLCJ1c2VySWQiOiIzNjg2NDgzMjkifQ==</vt:lpwstr>
  </property>
</Properties>
</file>