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55CF6">
      <w:pPr>
        <w:jc w:val="center"/>
        <w:rPr>
          <w:rFonts w:ascii="宋体" w:cs="宋体"/>
          <w:b/>
          <w:sz w:val="56"/>
          <w:szCs w:val="56"/>
        </w:rPr>
      </w:pPr>
      <w:bookmarkStart w:id="0" w:name="_Toc25875"/>
    </w:p>
    <w:p w14:paraId="7B682E93">
      <w:pPr>
        <w:jc w:val="center"/>
        <w:rPr>
          <w:sz w:val="20"/>
          <w:szCs w:val="21"/>
        </w:rPr>
      </w:pPr>
      <w:r>
        <w:rPr>
          <w:rFonts w:hint="eastAsia" w:ascii="宋体" w:cs="宋体"/>
          <w:b/>
          <w:sz w:val="60"/>
          <w:szCs w:val="60"/>
          <w:lang w:eastAsia="zh-CN"/>
        </w:rPr>
        <w:t>昆明经济技术开发区2025年度生态建设绩效追踪项目</w:t>
      </w:r>
    </w:p>
    <w:p w14:paraId="03D2B8A2">
      <w:pPr>
        <w:rPr>
          <w:szCs w:val="22"/>
        </w:rPr>
      </w:pPr>
    </w:p>
    <w:p w14:paraId="42291B6A">
      <w:pPr>
        <w:rPr>
          <w:szCs w:val="22"/>
        </w:rPr>
      </w:pPr>
    </w:p>
    <w:p w14:paraId="06ED86C2">
      <w:pPr>
        <w:rPr>
          <w:szCs w:val="22"/>
        </w:rPr>
      </w:pPr>
    </w:p>
    <w:p w14:paraId="26606676">
      <w:pPr>
        <w:rPr>
          <w:szCs w:val="22"/>
        </w:rPr>
      </w:pPr>
    </w:p>
    <w:p w14:paraId="02B65AA7">
      <w:pPr>
        <w:spacing w:line="360" w:lineRule="auto"/>
        <w:jc w:val="center"/>
        <w:rPr>
          <w:rFonts w:ascii="宋体" w:cs="宋体"/>
          <w:b/>
          <w:color w:val="000000"/>
          <w:sz w:val="52"/>
          <w:szCs w:val="52"/>
        </w:rPr>
      </w:pPr>
    </w:p>
    <w:p w14:paraId="0168093D">
      <w:pPr>
        <w:spacing w:line="360" w:lineRule="auto"/>
        <w:jc w:val="center"/>
        <w:rPr>
          <w:rFonts w:ascii="宋体" w:cs="宋体"/>
          <w:b/>
          <w:color w:val="000000"/>
          <w:sz w:val="96"/>
          <w:szCs w:val="96"/>
        </w:rPr>
      </w:pPr>
      <w:r>
        <w:rPr>
          <w:rFonts w:hint="eastAsia" w:ascii="宋体" w:cs="宋体"/>
          <w:b/>
          <w:color w:val="000000"/>
          <w:sz w:val="96"/>
          <w:szCs w:val="96"/>
        </w:rPr>
        <w:t>竞争性磋商文件</w:t>
      </w:r>
    </w:p>
    <w:p w14:paraId="6FD14A2B">
      <w:pPr>
        <w:spacing w:line="760" w:lineRule="exact"/>
        <w:jc w:val="center"/>
        <w:rPr>
          <w:rFonts w:hint="eastAsia" w:eastAsia="宋体"/>
          <w:highlight w:val="none"/>
          <w:lang w:eastAsia="zh-CN"/>
        </w:rPr>
      </w:pPr>
      <w:r>
        <w:rPr>
          <w:rFonts w:hint="eastAsia" w:ascii="宋体" w:cs="宋体"/>
          <w:b/>
          <w:color w:val="000000"/>
          <w:sz w:val="32"/>
          <w:szCs w:val="32"/>
          <w:highlight w:val="none"/>
        </w:rPr>
        <w:t>项目编号：</w:t>
      </w:r>
      <w:r>
        <w:rPr>
          <w:rFonts w:hint="eastAsia" w:ascii="宋体" w:cs="宋体"/>
          <w:b/>
          <w:color w:val="000000"/>
          <w:sz w:val="32"/>
          <w:szCs w:val="32"/>
          <w:highlight w:val="none"/>
          <w:lang w:eastAsia="zh-CN"/>
        </w:rPr>
        <w:t>KMZC2026-C3-00793-YNGR-0167</w:t>
      </w:r>
    </w:p>
    <w:p w14:paraId="256FDD7D">
      <w:pPr>
        <w:rPr>
          <w:szCs w:val="22"/>
        </w:rPr>
      </w:pPr>
    </w:p>
    <w:p w14:paraId="6AD4A679">
      <w:pPr>
        <w:rPr>
          <w:szCs w:val="22"/>
        </w:rPr>
      </w:pPr>
      <w:bookmarkStart w:id="1" w:name="_Toc26171"/>
    </w:p>
    <w:p w14:paraId="57B17549">
      <w:pPr>
        <w:rPr>
          <w:szCs w:val="22"/>
        </w:rPr>
      </w:pPr>
    </w:p>
    <w:p w14:paraId="177A2798">
      <w:pPr>
        <w:rPr>
          <w:szCs w:val="22"/>
        </w:rPr>
      </w:pPr>
    </w:p>
    <w:p w14:paraId="725006CE">
      <w:pPr>
        <w:rPr>
          <w:szCs w:val="22"/>
        </w:rPr>
      </w:pPr>
    </w:p>
    <w:p w14:paraId="7078BA2B">
      <w:pPr>
        <w:rPr>
          <w:szCs w:val="22"/>
        </w:rPr>
      </w:pPr>
    </w:p>
    <w:p w14:paraId="5DA98F62">
      <w:pPr>
        <w:rPr>
          <w:szCs w:val="22"/>
        </w:rPr>
      </w:pPr>
    </w:p>
    <w:p w14:paraId="15AE11F9">
      <w:pPr>
        <w:rPr>
          <w:szCs w:val="22"/>
        </w:rPr>
      </w:pPr>
    </w:p>
    <w:p w14:paraId="363F1C3A">
      <w:pPr>
        <w:spacing w:line="600" w:lineRule="exact"/>
        <w:jc w:val="center"/>
        <w:rPr>
          <w:rFonts w:hint="eastAsia" w:ascii="宋体" w:eastAsia="宋体" w:cs="宋体"/>
          <w:b/>
          <w:color w:val="000000"/>
          <w:sz w:val="32"/>
          <w:szCs w:val="32"/>
          <w:lang w:eastAsia="zh-CN"/>
        </w:rPr>
      </w:pPr>
      <w:r>
        <w:rPr>
          <w:rFonts w:hint="eastAsia" w:ascii="宋体" w:cs="宋体"/>
          <w:b/>
          <w:color w:val="000000"/>
          <w:sz w:val="32"/>
          <w:szCs w:val="32"/>
        </w:rPr>
        <w:t>采购人：</w:t>
      </w:r>
      <w:bookmarkEnd w:id="1"/>
      <w:r>
        <w:rPr>
          <w:rFonts w:hint="eastAsia" w:ascii="宋体" w:cs="宋体"/>
          <w:b/>
          <w:color w:val="000000"/>
          <w:sz w:val="32"/>
          <w:szCs w:val="32"/>
          <w:lang w:eastAsia="zh-CN"/>
        </w:rPr>
        <w:t>昆明市生态环境局经开分局</w:t>
      </w:r>
    </w:p>
    <w:p w14:paraId="4725DE23">
      <w:pPr>
        <w:spacing w:line="600" w:lineRule="exact"/>
        <w:jc w:val="center"/>
        <w:rPr>
          <w:rFonts w:ascii="宋体" w:cs="宋体"/>
          <w:b/>
          <w:color w:val="000000"/>
          <w:sz w:val="32"/>
          <w:szCs w:val="32"/>
        </w:rPr>
      </w:pPr>
      <w:r>
        <w:rPr>
          <w:rFonts w:hint="eastAsia" w:ascii="宋体" w:cs="宋体"/>
          <w:b/>
          <w:color w:val="000000"/>
          <w:sz w:val="32"/>
          <w:szCs w:val="32"/>
        </w:rPr>
        <w:t>采购代理机构：云南冠睿咨询有限公司</w:t>
      </w:r>
    </w:p>
    <w:p w14:paraId="4BF538E6">
      <w:pPr>
        <w:spacing w:line="600" w:lineRule="exact"/>
        <w:jc w:val="center"/>
        <w:rPr>
          <w:rFonts w:hint="eastAsia" w:ascii="宋体" w:cs="宋体"/>
          <w:b/>
          <w:color w:val="000000"/>
          <w:sz w:val="32"/>
          <w:szCs w:val="32"/>
        </w:rPr>
      </w:pPr>
      <w:r>
        <w:rPr>
          <w:rFonts w:hint="eastAsia" w:ascii="宋体" w:cs="宋体"/>
          <w:b/>
          <w:color w:val="000000"/>
          <w:sz w:val="32"/>
          <w:szCs w:val="32"/>
          <w:lang w:eastAsia="zh-CN"/>
        </w:rPr>
        <w:t>2026</w:t>
      </w:r>
      <w:r>
        <w:rPr>
          <w:rFonts w:hint="eastAsia" w:ascii="宋体" w:cs="宋体"/>
          <w:b/>
          <w:color w:val="000000"/>
          <w:sz w:val="32"/>
          <w:szCs w:val="32"/>
        </w:rPr>
        <w:t>年</w:t>
      </w:r>
      <w:r>
        <w:rPr>
          <w:rFonts w:hint="eastAsia" w:ascii="宋体" w:cs="宋体"/>
          <w:b/>
          <w:color w:val="000000"/>
          <w:sz w:val="32"/>
          <w:szCs w:val="32"/>
          <w:lang w:val="en-US" w:eastAsia="zh-CN"/>
        </w:rPr>
        <w:t>5</w:t>
      </w:r>
      <w:r>
        <w:rPr>
          <w:rFonts w:hint="eastAsia" w:ascii="宋体" w:cs="宋体"/>
          <w:b/>
          <w:color w:val="000000"/>
          <w:sz w:val="32"/>
          <w:szCs w:val="32"/>
        </w:rPr>
        <w:t>月</w:t>
      </w:r>
    </w:p>
    <w:p w14:paraId="4EE0CC59">
      <w:pPr>
        <w:rPr>
          <w:rFonts w:hint="eastAsia" w:ascii="宋体" w:cs="宋体"/>
          <w:b/>
          <w:color w:val="000000"/>
          <w:sz w:val="32"/>
          <w:szCs w:val="32"/>
        </w:rPr>
      </w:pPr>
      <w:r>
        <w:rPr>
          <w:rFonts w:hint="eastAsia" w:ascii="宋体" w:cs="宋体"/>
          <w:b/>
          <w:color w:val="000000"/>
          <w:sz w:val="32"/>
          <w:szCs w:val="32"/>
        </w:rPr>
        <w:br w:type="page"/>
      </w:r>
    </w:p>
    <w:p w14:paraId="736F69F5">
      <w:pPr>
        <w:spacing w:before="840" w:beforeLines="350"/>
        <w:jc w:val="center"/>
        <w:rPr>
          <w:rFonts w:hint="eastAsia"/>
          <w:b/>
          <w:bCs/>
          <w:sz w:val="40"/>
          <w:szCs w:val="36"/>
          <w:lang w:val="zh-CN"/>
        </w:rPr>
      </w:pPr>
      <w:r>
        <w:rPr>
          <w:rFonts w:hint="eastAsia"/>
          <w:b/>
          <w:bCs/>
          <w:sz w:val="40"/>
          <w:szCs w:val="36"/>
          <w:lang w:val="zh-CN"/>
        </w:rPr>
        <w:t>目</w:t>
      </w:r>
      <w:r>
        <w:rPr>
          <w:b/>
          <w:bCs/>
          <w:sz w:val="40"/>
          <w:szCs w:val="36"/>
        </w:rPr>
        <w:t xml:space="preserve">  </w:t>
      </w:r>
      <w:r>
        <w:rPr>
          <w:rFonts w:hint="eastAsia"/>
          <w:b/>
          <w:bCs/>
          <w:sz w:val="40"/>
          <w:szCs w:val="36"/>
          <w:lang w:val="zh-CN"/>
        </w:rPr>
        <w:t>录</w:t>
      </w:r>
    </w:p>
    <w:p w14:paraId="20C0B48E">
      <w:pPr>
        <w:pStyle w:val="2"/>
      </w:pPr>
    </w:p>
    <w:p w14:paraId="011A9C30">
      <w:pPr>
        <w:pStyle w:val="28"/>
        <w:tabs>
          <w:tab w:val="right" w:leader="dot" w:pos="8640"/>
          <w:tab w:val="clear" w:pos="9663"/>
        </w:tabs>
        <w:spacing w:line="480" w:lineRule="auto"/>
        <w:rPr>
          <w:rFonts w:ascii="宋体" w:cs="宋体"/>
        </w:rPr>
      </w:pPr>
      <w:r>
        <w:rPr>
          <w:rFonts w:hint="eastAsia" w:ascii="宋体" w:cs="宋体"/>
          <w:b w:val="0"/>
          <w:bCs w:val="0"/>
        </w:rPr>
        <w:fldChar w:fldCharType="begin"/>
      </w:r>
      <w:r>
        <w:rPr>
          <w:rFonts w:hint="eastAsia" w:ascii="宋体" w:cs="宋体"/>
          <w:b w:val="0"/>
          <w:bCs w:val="0"/>
        </w:rPr>
        <w:instrText xml:space="preserve"> TOC \o "1-3" \h \z \u </w:instrText>
      </w:r>
      <w:r>
        <w:rPr>
          <w:rFonts w:hint="eastAsia" w:ascii="宋体" w:cs="宋体"/>
          <w:b w:val="0"/>
          <w:bCs w:val="0"/>
        </w:rPr>
        <w:fldChar w:fldCharType="separate"/>
      </w:r>
      <w:r>
        <w:fldChar w:fldCharType="begin"/>
      </w:r>
      <w:r>
        <w:instrText xml:space="preserve"> HYPERLINK \l "_Toc6862" </w:instrText>
      </w:r>
      <w:r>
        <w:fldChar w:fldCharType="separate"/>
      </w:r>
      <w:r>
        <w:rPr>
          <w:rFonts w:hint="eastAsia" w:ascii="宋体" w:cs="宋体"/>
        </w:rPr>
        <w:t>第一章  竞争性磋商公告</w:t>
      </w:r>
      <w:r>
        <w:rPr>
          <w:rFonts w:hint="eastAsia" w:ascii="宋体" w:cs="宋体"/>
        </w:rPr>
        <w:tab/>
      </w:r>
      <w:r>
        <w:rPr>
          <w:rFonts w:hint="eastAsia" w:ascii="宋体" w:cs="宋体"/>
        </w:rPr>
        <w:fldChar w:fldCharType="begin"/>
      </w:r>
      <w:r>
        <w:rPr>
          <w:rFonts w:hint="eastAsia" w:ascii="宋体" w:cs="宋体"/>
        </w:rPr>
        <w:instrText xml:space="preserve"> PAGEREF _Toc6862 \h </w:instrText>
      </w:r>
      <w:r>
        <w:rPr>
          <w:rFonts w:hint="eastAsia" w:ascii="宋体" w:cs="宋体"/>
        </w:rPr>
        <w:fldChar w:fldCharType="separate"/>
      </w:r>
      <w:r>
        <w:rPr>
          <w:rFonts w:hint="eastAsia" w:ascii="宋体" w:cs="宋体"/>
        </w:rPr>
        <w:t>1</w:t>
      </w:r>
      <w:r>
        <w:rPr>
          <w:rFonts w:hint="eastAsia" w:ascii="宋体" w:cs="宋体"/>
        </w:rPr>
        <w:fldChar w:fldCharType="end"/>
      </w:r>
      <w:r>
        <w:rPr>
          <w:rFonts w:hint="eastAsia" w:ascii="宋体" w:cs="宋体"/>
        </w:rPr>
        <w:fldChar w:fldCharType="end"/>
      </w:r>
    </w:p>
    <w:p w14:paraId="07E92647">
      <w:pPr>
        <w:pStyle w:val="28"/>
        <w:tabs>
          <w:tab w:val="right" w:leader="dot" w:pos="8640"/>
          <w:tab w:val="clear" w:pos="9663"/>
        </w:tabs>
        <w:spacing w:line="480" w:lineRule="auto"/>
        <w:rPr>
          <w:rFonts w:ascii="宋体" w:cs="宋体"/>
        </w:rPr>
      </w:pPr>
      <w:r>
        <w:fldChar w:fldCharType="begin"/>
      </w:r>
      <w:r>
        <w:instrText xml:space="preserve"> HYPERLINK \l "_Toc5500" </w:instrText>
      </w:r>
      <w:r>
        <w:fldChar w:fldCharType="separate"/>
      </w:r>
      <w:r>
        <w:rPr>
          <w:rFonts w:hint="eastAsia" w:ascii="宋体" w:cs="宋体"/>
        </w:rPr>
        <w:t>第二章 供应商须知</w:t>
      </w:r>
      <w:r>
        <w:rPr>
          <w:rFonts w:hint="eastAsia" w:ascii="宋体" w:cs="宋体"/>
        </w:rPr>
        <w:tab/>
      </w:r>
      <w:r>
        <w:rPr>
          <w:rFonts w:hint="eastAsia" w:ascii="宋体" w:cs="宋体"/>
        </w:rPr>
        <w:fldChar w:fldCharType="begin"/>
      </w:r>
      <w:r>
        <w:rPr>
          <w:rFonts w:hint="eastAsia" w:ascii="宋体" w:cs="宋体"/>
        </w:rPr>
        <w:instrText xml:space="preserve"> PAGEREF _Toc5500 \h </w:instrText>
      </w:r>
      <w:r>
        <w:rPr>
          <w:rFonts w:hint="eastAsia" w:ascii="宋体" w:cs="宋体"/>
        </w:rPr>
        <w:fldChar w:fldCharType="separate"/>
      </w:r>
      <w:r>
        <w:rPr>
          <w:rFonts w:hint="eastAsia" w:ascii="宋体" w:cs="宋体"/>
        </w:rPr>
        <w:t>6</w:t>
      </w:r>
      <w:r>
        <w:rPr>
          <w:rFonts w:hint="eastAsia" w:ascii="宋体" w:cs="宋体"/>
        </w:rPr>
        <w:fldChar w:fldCharType="end"/>
      </w:r>
      <w:r>
        <w:rPr>
          <w:rFonts w:hint="eastAsia" w:ascii="宋体" w:cs="宋体"/>
        </w:rPr>
        <w:fldChar w:fldCharType="end"/>
      </w:r>
    </w:p>
    <w:p w14:paraId="35D7192F">
      <w:pPr>
        <w:pStyle w:val="34"/>
        <w:tabs>
          <w:tab w:val="right" w:leader="dot" w:pos="8640"/>
        </w:tabs>
        <w:spacing w:line="480" w:lineRule="auto"/>
        <w:rPr>
          <w:rFonts w:ascii="宋体" w:cs="宋体"/>
          <w:sz w:val="28"/>
          <w:szCs w:val="28"/>
        </w:rPr>
      </w:pPr>
      <w:r>
        <w:fldChar w:fldCharType="begin"/>
      </w:r>
      <w:r>
        <w:instrText xml:space="preserve"> HYPERLINK \l "_Toc7842" </w:instrText>
      </w:r>
      <w:r>
        <w:fldChar w:fldCharType="separate"/>
      </w:r>
      <w:r>
        <w:rPr>
          <w:rFonts w:hint="eastAsia" w:ascii="宋体" w:cs="宋体"/>
          <w:kern w:val="0"/>
          <w:sz w:val="28"/>
          <w:szCs w:val="28"/>
        </w:rPr>
        <w:t>供应商须知前附表</w:t>
      </w:r>
      <w:r>
        <w:rPr>
          <w:rFonts w:hint="eastAsia" w:ascii="宋体" w:cs="宋体"/>
          <w:sz w:val="28"/>
          <w:szCs w:val="28"/>
        </w:rPr>
        <w:tab/>
      </w:r>
      <w:r>
        <w:rPr>
          <w:rFonts w:hint="eastAsia" w:ascii="宋体" w:cs="宋体"/>
          <w:sz w:val="28"/>
          <w:szCs w:val="28"/>
        </w:rPr>
        <w:fldChar w:fldCharType="begin"/>
      </w:r>
      <w:r>
        <w:rPr>
          <w:rFonts w:hint="eastAsia" w:ascii="宋体" w:cs="宋体"/>
          <w:sz w:val="28"/>
          <w:szCs w:val="28"/>
        </w:rPr>
        <w:instrText xml:space="preserve"> PAGEREF _Toc7842 \h </w:instrText>
      </w:r>
      <w:r>
        <w:rPr>
          <w:rFonts w:hint="eastAsia" w:ascii="宋体" w:cs="宋体"/>
          <w:sz w:val="28"/>
          <w:szCs w:val="28"/>
        </w:rPr>
        <w:fldChar w:fldCharType="separate"/>
      </w:r>
      <w:r>
        <w:rPr>
          <w:rFonts w:hint="eastAsia" w:ascii="宋体" w:cs="宋体"/>
          <w:sz w:val="28"/>
          <w:szCs w:val="28"/>
        </w:rPr>
        <w:t>6</w:t>
      </w:r>
      <w:r>
        <w:rPr>
          <w:rFonts w:hint="eastAsia" w:ascii="宋体" w:cs="宋体"/>
          <w:sz w:val="28"/>
          <w:szCs w:val="28"/>
        </w:rPr>
        <w:fldChar w:fldCharType="end"/>
      </w:r>
      <w:r>
        <w:rPr>
          <w:rFonts w:hint="eastAsia" w:ascii="宋体" w:cs="宋体"/>
          <w:sz w:val="28"/>
          <w:szCs w:val="28"/>
        </w:rPr>
        <w:fldChar w:fldCharType="end"/>
      </w:r>
    </w:p>
    <w:p w14:paraId="6AC003F0">
      <w:pPr>
        <w:pStyle w:val="28"/>
        <w:tabs>
          <w:tab w:val="right" w:leader="dot" w:pos="8640"/>
          <w:tab w:val="clear" w:pos="9663"/>
        </w:tabs>
        <w:spacing w:line="480" w:lineRule="auto"/>
        <w:rPr>
          <w:rFonts w:ascii="宋体" w:cs="宋体"/>
        </w:rPr>
      </w:pPr>
      <w:r>
        <w:fldChar w:fldCharType="begin"/>
      </w:r>
      <w:r>
        <w:instrText xml:space="preserve"> HYPERLINK \l "_Toc14634" </w:instrText>
      </w:r>
      <w:r>
        <w:fldChar w:fldCharType="separate"/>
      </w:r>
      <w:r>
        <w:rPr>
          <w:rFonts w:hint="eastAsia" w:ascii="宋体" w:cs="宋体"/>
        </w:rPr>
        <w:t>第三章 合同书样式及主要条款</w:t>
      </w:r>
      <w:r>
        <w:rPr>
          <w:rFonts w:hint="eastAsia" w:ascii="宋体" w:cs="宋体"/>
        </w:rPr>
        <w:tab/>
      </w:r>
      <w:r>
        <w:rPr>
          <w:rFonts w:hint="eastAsia" w:ascii="宋体" w:cs="宋体"/>
        </w:rPr>
        <w:fldChar w:fldCharType="begin"/>
      </w:r>
      <w:r>
        <w:rPr>
          <w:rFonts w:hint="eastAsia" w:ascii="宋体" w:cs="宋体"/>
        </w:rPr>
        <w:instrText xml:space="preserve"> PAGEREF _Toc14634 \h </w:instrText>
      </w:r>
      <w:r>
        <w:rPr>
          <w:rFonts w:hint="eastAsia" w:ascii="宋体" w:cs="宋体"/>
        </w:rPr>
        <w:fldChar w:fldCharType="separate"/>
      </w:r>
      <w:r>
        <w:rPr>
          <w:rFonts w:hint="eastAsia" w:ascii="宋体" w:cs="宋体"/>
        </w:rPr>
        <w:t>27</w:t>
      </w:r>
      <w:r>
        <w:rPr>
          <w:rFonts w:hint="eastAsia" w:ascii="宋体" w:cs="宋体"/>
        </w:rPr>
        <w:fldChar w:fldCharType="end"/>
      </w:r>
      <w:r>
        <w:rPr>
          <w:rFonts w:hint="eastAsia" w:ascii="宋体" w:cs="宋体"/>
        </w:rPr>
        <w:fldChar w:fldCharType="end"/>
      </w:r>
    </w:p>
    <w:p w14:paraId="69018632">
      <w:pPr>
        <w:pStyle w:val="28"/>
        <w:tabs>
          <w:tab w:val="right" w:leader="dot" w:pos="8640"/>
          <w:tab w:val="clear" w:pos="9663"/>
        </w:tabs>
        <w:spacing w:line="480" w:lineRule="auto"/>
        <w:rPr>
          <w:rFonts w:ascii="宋体" w:cs="宋体"/>
        </w:rPr>
      </w:pPr>
      <w:r>
        <w:fldChar w:fldCharType="begin"/>
      </w:r>
      <w:r>
        <w:instrText xml:space="preserve"> HYPERLINK \l "_Toc30120" </w:instrText>
      </w:r>
      <w:r>
        <w:fldChar w:fldCharType="separate"/>
      </w:r>
      <w:r>
        <w:rPr>
          <w:rFonts w:hint="eastAsia" w:ascii="宋体" w:cs="宋体"/>
        </w:rPr>
        <w:t>第四章  响应文件格式</w:t>
      </w:r>
      <w:r>
        <w:rPr>
          <w:rFonts w:hint="eastAsia" w:ascii="宋体" w:cs="宋体"/>
        </w:rPr>
        <w:tab/>
      </w:r>
      <w:r>
        <w:rPr>
          <w:rFonts w:hint="eastAsia" w:ascii="宋体" w:cs="宋体"/>
        </w:rPr>
        <w:fldChar w:fldCharType="begin"/>
      </w:r>
      <w:r>
        <w:rPr>
          <w:rFonts w:hint="eastAsia" w:ascii="宋体" w:cs="宋体"/>
        </w:rPr>
        <w:instrText xml:space="preserve"> PAGEREF _Toc30120 \h </w:instrText>
      </w:r>
      <w:r>
        <w:rPr>
          <w:rFonts w:hint="eastAsia" w:ascii="宋体" w:cs="宋体"/>
        </w:rPr>
        <w:fldChar w:fldCharType="separate"/>
      </w:r>
      <w:r>
        <w:rPr>
          <w:rFonts w:hint="eastAsia" w:ascii="宋体" w:cs="宋体"/>
        </w:rPr>
        <w:t>33</w:t>
      </w:r>
      <w:r>
        <w:rPr>
          <w:rFonts w:hint="eastAsia" w:ascii="宋体" w:cs="宋体"/>
        </w:rPr>
        <w:fldChar w:fldCharType="end"/>
      </w:r>
      <w:r>
        <w:rPr>
          <w:rFonts w:hint="eastAsia" w:ascii="宋体" w:cs="宋体"/>
        </w:rPr>
        <w:fldChar w:fldCharType="end"/>
      </w:r>
    </w:p>
    <w:p w14:paraId="3DE3BCEE">
      <w:pPr>
        <w:pStyle w:val="28"/>
        <w:tabs>
          <w:tab w:val="right" w:leader="dot" w:pos="8640"/>
          <w:tab w:val="clear" w:pos="9663"/>
        </w:tabs>
        <w:spacing w:line="480" w:lineRule="auto"/>
        <w:rPr>
          <w:rFonts w:ascii="宋体" w:cs="宋体"/>
        </w:rPr>
      </w:pPr>
      <w:r>
        <w:fldChar w:fldCharType="begin"/>
      </w:r>
      <w:r>
        <w:instrText xml:space="preserve"> HYPERLINK \l "_Toc3309" </w:instrText>
      </w:r>
      <w:r>
        <w:fldChar w:fldCharType="separate"/>
      </w:r>
      <w:r>
        <w:rPr>
          <w:rFonts w:hint="eastAsia" w:ascii="宋体" w:cs="宋体"/>
        </w:rPr>
        <w:t>第五章  采购需求</w:t>
      </w:r>
      <w:r>
        <w:rPr>
          <w:rFonts w:hint="eastAsia" w:ascii="宋体" w:cs="宋体"/>
        </w:rPr>
        <w:tab/>
      </w:r>
      <w:r>
        <w:rPr>
          <w:rFonts w:hint="eastAsia" w:ascii="宋体" w:cs="宋体"/>
        </w:rPr>
        <w:fldChar w:fldCharType="begin"/>
      </w:r>
      <w:r>
        <w:rPr>
          <w:rFonts w:hint="eastAsia" w:ascii="宋体" w:cs="宋体"/>
        </w:rPr>
        <w:instrText xml:space="preserve"> PAGEREF _Toc3309 \h </w:instrText>
      </w:r>
      <w:r>
        <w:rPr>
          <w:rFonts w:hint="eastAsia" w:ascii="宋体" w:cs="宋体"/>
        </w:rPr>
        <w:fldChar w:fldCharType="separate"/>
      </w:r>
      <w:r>
        <w:rPr>
          <w:rFonts w:hint="eastAsia" w:ascii="宋体" w:cs="宋体"/>
        </w:rPr>
        <w:t>50</w:t>
      </w:r>
      <w:r>
        <w:rPr>
          <w:rFonts w:hint="eastAsia" w:ascii="宋体" w:cs="宋体"/>
        </w:rPr>
        <w:fldChar w:fldCharType="end"/>
      </w:r>
      <w:r>
        <w:rPr>
          <w:rFonts w:hint="eastAsia" w:ascii="宋体" w:cs="宋体"/>
        </w:rPr>
        <w:fldChar w:fldCharType="end"/>
      </w:r>
    </w:p>
    <w:p w14:paraId="26A31B20">
      <w:pPr>
        <w:pStyle w:val="28"/>
        <w:tabs>
          <w:tab w:val="right" w:leader="dot" w:pos="8640"/>
          <w:tab w:val="clear" w:pos="9663"/>
        </w:tabs>
        <w:spacing w:line="480" w:lineRule="auto"/>
        <w:rPr>
          <w:rFonts w:ascii="宋体" w:cs="宋体"/>
        </w:rPr>
      </w:pPr>
      <w:r>
        <w:fldChar w:fldCharType="begin"/>
      </w:r>
      <w:r>
        <w:instrText xml:space="preserve"> HYPERLINK \l "_Toc23482" </w:instrText>
      </w:r>
      <w:r>
        <w:fldChar w:fldCharType="separate"/>
      </w:r>
      <w:r>
        <w:rPr>
          <w:rFonts w:hint="eastAsia" w:ascii="宋体" w:cs="宋体"/>
          <w:spacing w:val="40"/>
        </w:rPr>
        <w:t>第六章 评审方法</w:t>
      </w:r>
      <w:r>
        <w:rPr>
          <w:rFonts w:hint="eastAsia" w:ascii="宋体" w:cs="宋体"/>
        </w:rPr>
        <w:tab/>
      </w:r>
      <w:r>
        <w:rPr>
          <w:rFonts w:hint="eastAsia" w:ascii="宋体" w:cs="宋体"/>
        </w:rPr>
        <w:fldChar w:fldCharType="begin"/>
      </w:r>
      <w:r>
        <w:rPr>
          <w:rFonts w:hint="eastAsia" w:ascii="宋体" w:cs="宋体"/>
        </w:rPr>
        <w:instrText xml:space="preserve"> PAGEREF _Toc23482 \h </w:instrText>
      </w:r>
      <w:r>
        <w:rPr>
          <w:rFonts w:hint="eastAsia" w:ascii="宋体" w:cs="宋体"/>
        </w:rPr>
        <w:fldChar w:fldCharType="separate"/>
      </w:r>
      <w:r>
        <w:rPr>
          <w:rFonts w:hint="eastAsia" w:ascii="宋体" w:cs="宋体"/>
        </w:rPr>
        <w:t>53</w:t>
      </w:r>
      <w:r>
        <w:rPr>
          <w:rFonts w:hint="eastAsia" w:ascii="宋体" w:cs="宋体"/>
        </w:rPr>
        <w:fldChar w:fldCharType="end"/>
      </w:r>
      <w:r>
        <w:rPr>
          <w:rFonts w:hint="eastAsia" w:ascii="宋体" w:cs="宋体"/>
        </w:rPr>
        <w:fldChar w:fldCharType="end"/>
      </w:r>
    </w:p>
    <w:p w14:paraId="7A768352">
      <w:pPr>
        <w:pStyle w:val="34"/>
        <w:tabs>
          <w:tab w:val="right" w:leader="dot" w:pos="8640"/>
        </w:tabs>
        <w:spacing w:line="480" w:lineRule="auto"/>
        <w:rPr>
          <w:rFonts w:ascii="宋体" w:cs="宋体"/>
          <w:sz w:val="28"/>
          <w:szCs w:val="28"/>
        </w:rPr>
      </w:pPr>
      <w:r>
        <w:fldChar w:fldCharType="begin"/>
      </w:r>
      <w:r>
        <w:instrText xml:space="preserve"> HYPERLINK \l "_Toc27780" </w:instrText>
      </w:r>
      <w:r>
        <w:fldChar w:fldCharType="separate"/>
      </w:r>
      <w:r>
        <w:rPr>
          <w:rFonts w:hint="eastAsia" w:ascii="宋体" w:cs="宋体"/>
          <w:spacing w:val="40"/>
          <w:sz w:val="28"/>
          <w:szCs w:val="28"/>
        </w:rPr>
        <w:t>评审方法</w:t>
      </w:r>
      <w:r>
        <w:rPr>
          <w:rFonts w:hint="eastAsia" w:ascii="宋体" w:cs="宋体"/>
          <w:sz w:val="28"/>
          <w:szCs w:val="28"/>
        </w:rPr>
        <w:t>前附表</w:t>
      </w:r>
      <w:r>
        <w:rPr>
          <w:rFonts w:hint="eastAsia" w:ascii="宋体" w:cs="宋体"/>
          <w:sz w:val="28"/>
          <w:szCs w:val="28"/>
        </w:rPr>
        <w:tab/>
      </w:r>
      <w:r>
        <w:rPr>
          <w:rFonts w:hint="eastAsia" w:ascii="宋体" w:cs="宋体"/>
          <w:sz w:val="28"/>
          <w:szCs w:val="28"/>
        </w:rPr>
        <w:fldChar w:fldCharType="begin"/>
      </w:r>
      <w:r>
        <w:rPr>
          <w:rFonts w:hint="eastAsia" w:ascii="宋体" w:cs="宋体"/>
          <w:sz w:val="28"/>
          <w:szCs w:val="28"/>
        </w:rPr>
        <w:instrText xml:space="preserve"> PAGEREF _Toc27780 \h </w:instrText>
      </w:r>
      <w:r>
        <w:rPr>
          <w:rFonts w:hint="eastAsia" w:ascii="宋体" w:cs="宋体"/>
          <w:sz w:val="28"/>
          <w:szCs w:val="28"/>
        </w:rPr>
        <w:fldChar w:fldCharType="separate"/>
      </w:r>
      <w:r>
        <w:rPr>
          <w:rFonts w:hint="eastAsia" w:ascii="宋体" w:cs="宋体"/>
          <w:sz w:val="28"/>
          <w:szCs w:val="28"/>
        </w:rPr>
        <w:t>53</w:t>
      </w:r>
      <w:r>
        <w:rPr>
          <w:rFonts w:hint="eastAsia" w:ascii="宋体" w:cs="宋体"/>
          <w:sz w:val="28"/>
          <w:szCs w:val="28"/>
        </w:rPr>
        <w:fldChar w:fldCharType="end"/>
      </w:r>
      <w:r>
        <w:rPr>
          <w:rFonts w:hint="eastAsia" w:ascii="宋体" w:cs="宋体"/>
          <w:sz w:val="28"/>
          <w:szCs w:val="28"/>
        </w:rPr>
        <w:fldChar w:fldCharType="end"/>
      </w:r>
    </w:p>
    <w:p w14:paraId="562C3890">
      <w:pPr>
        <w:spacing w:line="360" w:lineRule="auto"/>
      </w:pPr>
      <w:r>
        <w:rPr>
          <w:rFonts w:hint="eastAsia" w:ascii="宋体" w:cs="宋体"/>
          <w:sz w:val="28"/>
          <w:szCs w:val="28"/>
        </w:rPr>
        <w:fldChar w:fldCharType="end"/>
      </w:r>
    </w:p>
    <w:bookmarkEnd w:id="0"/>
    <w:p w14:paraId="27C39A5F">
      <w:pPr>
        <w:pStyle w:val="3"/>
        <w:keepNext/>
        <w:keepLines/>
        <w:pageBreakBefore w:val="0"/>
        <w:widowControl w:val="0"/>
        <w:kinsoku/>
        <w:overflowPunct/>
        <w:topLinePunct w:val="0"/>
        <w:autoSpaceDE/>
        <w:autoSpaceDN/>
        <w:bidi w:val="0"/>
        <w:adjustRightInd/>
        <w:snapToGrid/>
        <w:spacing w:line="430" w:lineRule="exact"/>
        <w:rPr>
          <w:rFonts w:hint="eastAsia" w:cs="宋体"/>
        </w:rPr>
        <w:sectPr>
          <w:headerReference r:id="rId3" w:type="default"/>
          <w:footerReference r:id="rId4" w:type="default"/>
          <w:pgSz w:w="12240" w:h="15840"/>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bookmarkStart w:id="2" w:name="_Toc6862"/>
      <w:bookmarkStart w:id="3" w:name="_Toc378239348"/>
      <w:bookmarkStart w:id="4" w:name="_Toc480817641"/>
      <w:bookmarkStart w:id="5" w:name="_Toc26061"/>
      <w:bookmarkStart w:id="6" w:name="_Toc489145701"/>
      <w:bookmarkStart w:id="7" w:name="_Toc213908411"/>
      <w:bookmarkStart w:id="8" w:name="_Toc29379732"/>
    </w:p>
    <w:p w14:paraId="2703B16F">
      <w:pPr>
        <w:pStyle w:val="3"/>
        <w:keepNext/>
        <w:keepLines/>
        <w:pageBreakBefore w:val="0"/>
        <w:widowControl w:val="0"/>
        <w:kinsoku/>
        <w:overflowPunct/>
        <w:topLinePunct w:val="0"/>
        <w:autoSpaceDE/>
        <w:autoSpaceDN/>
        <w:bidi w:val="0"/>
        <w:adjustRightInd/>
        <w:snapToGrid/>
        <w:spacing w:line="430" w:lineRule="exact"/>
        <w:rPr>
          <w:color w:val="auto"/>
          <w:highlight w:val="none"/>
        </w:rPr>
      </w:pPr>
      <w:r>
        <w:rPr>
          <w:rFonts w:hint="eastAsia" w:cs="宋体"/>
          <w:highlight w:val="none"/>
        </w:rPr>
        <w:t xml:space="preserve">第一章  </w:t>
      </w:r>
      <w:bookmarkEnd w:id="2"/>
      <w:bookmarkStart w:id="9" w:name="_Toc498512113"/>
      <w:bookmarkStart w:id="10" w:name="_Toc482610877"/>
      <w:r>
        <w:rPr>
          <w:rFonts w:hint="eastAsia" w:ascii="宋体" w:cs="黑体"/>
          <w:color w:val="auto"/>
          <w:szCs w:val="32"/>
          <w:highlight w:val="none"/>
        </w:rPr>
        <w:t>竞争性磋商公告</w:t>
      </w:r>
    </w:p>
    <w:p w14:paraId="05863D8B">
      <w:pPr>
        <w:pageBreakBefore w:val="0"/>
        <w:widowControl w:val="0"/>
        <w:pBdr>
          <w:top w:val="single" w:color="auto" w:sz="4" w:space="1"/>
          <w:left w:val="single" w:color="auto" w:sz="4" w:space="4"/>
          <w:bottom w:val="single" w:color="auto" w:sz="4" w:space="6"/>
          <w:right w:val="single" w:color="auto" w:sz="4" w:space="4"/>
        </w:pBdr>
        <w:kinsoku/>
        <w:overflowPunct/>
        <w:topLinePunct w:val="0"/>
        <w:autoSpaceDE/>
        <w:autoSpaceDN/>
        <w:bidi w:val="0"/>
        <w:adjustRightInd/>
        <w:snapToGrid/>
        <w:spacing w:line="430" w:lineRule="exact"/>
        <w:contextualSpacing/>
        <w:jc w:val="center"/>
        <w:rPr>
          <w:rFonts w:ascii="宋体"/>
          <w:b/>
          <w:bCs/>
          <w:color w:val="auto"/>
          <w:szCs w:val="21"/>
          <w:highlight w:val="none"/>
        </w:rPr>
      </w:pPr>
      <w:r>
        <w:rPr>
          <w:rFonts w:hint="eastAsia" w:ascii="宋体"/>
          <w:b/>
          <w:bCs/>
          <w:color w:val="auto"/>
          <w:szCs w:val="21"/>
          <w:highlight w:val="none"/>
        </w:rPr>
        <w:t>项目概况</w:t>
      </w:r>
    </w:p>
    <w:p w14:paraId="1EC88AF6">
      <w:pPr>
        <w:pageBreakBefore w:val="0"/>
        <w:widowControl w:val="0"/>
        <w:pBdr>
          <w:top w:val="single" w:color="auto" w:sz="4" w:space="1"/>
          <w:left w:val="single" w:color="auto" w:sz="4" w:space="4"/>
          <w:bottom w:val="single" w:color="auto" w:sz="4" w:space="6"/>
          <w:right w:val="single" w:color="auto" w:sz="4" w:space="4"/>
        </w:pBdr>
        <w:kinsoku/>
        <w:overflowPunct/>
        <w:topLinePunct w:val="0"/>
        <w:autoSpaceDE/>
        <w:autoSpaceDN/>
        <w:bidi w:val="0"/>
        <w:adjustRightInd/>
        <w:snapToGrid/>
        <w:spacing w:line="430" w:lineRule="exact"/>
        <w:ind w:firstLine="420" w:firstLineChars="200"/>
        <w:contextualSpacing/>
        <w:rPr>
          <w:rFonts w:cs="宋体"/>
          <w:b/>
          <w:color w:val="auto"/>
          <w:szCs w:val="24"/>
          <w:highlight w:val="none"/>
        </w:rPr>
      </w:pPr>
      <w:r>
        <w:rPr>
          <w:rFonts w:hint="eastAsia" w:ascii="宋体"/>
          <w:color w:val="auto"/>
          <w:szCs w:val="21"/>
          <w:highlight w:val="none"/>
          <w:lang w:eastAsia="zh-CN"/>
        </w:rPr>
        <w:t>昆明经济技术开发区2025年度生态建设绩效追踪项目</w:t>
      </w:r>
      <w:r>
        <w:rPr>
          <w:rFonts w:hint="eastAsia" w:ascii="宋体"/>
          <w:color w:val="auto"/>
          <w:szCs w:val="21"/>
          <w:highlight w:val="none"/>
        </w:rPr>
        <w:t>的潜在供应商应在</w:t>
      </w:r>
      <w:r>
        <w:rPr>
          <w:rFonts w:hint="eastAsia" w:ascii="宋体"/>
          <w:color w:val="auto"/>
          <w:szCs w:val="21"/>
          <w:highlight w:val="none"/>
          <w:lang w:eastAsia="zh-CN"/>
        </w:rPr>
        <w:t>云南省政府采购电子交易平台（政采云：www.zcygov.cn）</w:t>
      </w:r>
      <w:r>
        <w:rPr>
          <w:rFonts w:hint="eastAsia" w:ascii="宋体"/>
          <w:color w:val="auto"/>
          <w:szCs w:val="21"/>
          <w:highlight w:val="none"/>
        </w:rPr>
        <w:t>线上获取采购文件</w:t>
      </w:r>
      <w:r>
        <w:rPr>
          <w:rFonts w:hint="eastAsia" w:ascii="宋体" w:cs="宋体"/>
          <w:color w:val="auto"/>
          <w:kern w:val="0"/>
          <w:szCs w:val="21"/>
          <w:highlight w:val="none"/>
        </w:rPr>
        <w:t>，并于</w:t>
      </w:r>
      <w:r>
        <w:rPr>
          <w:rFonts w:hint="eastAsia" w:ascii="宋体" w:cs="宋体"/>
          <w:color w:val="auto"/>
          <w:kern w:val="0"/>
          <w:szCs w:val="21"/>
          <w:highlight w:val="none"/>
          <w:u w:val="none"/>
        </w:rPr>
        <w:t>202</w:t>
      </w:r>
      <w:r>
        <w:rPr>
          <w:rFonts w:hint="eastAsia" w:ascii="宋体" w:cs="宋体"/>
          <w:color w:val="auto"/>
          <w:kern w:val="0"/>
          <w:szCs w:val="21"/>
          <w:highlight w:val="none"/>
          <w:u w:val="none"/>
          <w:lang w:val="en-US" w:eastAsia="zh-CN"/>
        </w:rPr>
        <w:t>6</w:t>
      </w:r>
      <w:r>
        <w:rPr>
          <w:rFonts w:hint="eastAsia" w:ascii="宋体" w:cs="宋体"/>
          <w:color w:val="auto"/>
          <w:kern w:val="0"/>
          <w:szCs w:val="21"/>
          <w:highlight w:val="none"/>
        </w:rPr>
        <w:t>年</w:t>
      </w:r>
      <w:r>
        <w:rPr>
          <w:rFonts w:hint="eastAsia" w:ascii="宋体" w:cs="宋体"/>
          <w:color w:val="auto"/>
          <w:kern w:val="0"/>
          <w:szCs w:val="21"/>
          <w:highlight w:val="none"/>
          <w:lang w:val="en-US" w:eastAsia="zh-CN"/>
        </w:rPr>
        <w:t>5</w:t>
      </w:r>
      <w:r>
        <w:rPr>
          <w:rFonts w:hint="eastAsia" w:ascii="宋体" w:cs="宋体"/>
          <w:color w:val="auto"/>
          <w:kern w:val="0"/>
          <w:szCs w:val="21"/>
          <w:highlight w:val="none"/>
        </w:rPr>
        <w:t>月</w:t>
      </w:r>
      <w:r>
        <w:rPr>
          <w:rFonts w:hint="eastAsia" w:ascii="宋体" w:cs="宋体"/>
          <w:color w:val="auto"/>
          <w:kern w:val="0"/>
          <w:szCs w:val="21"/>
          <w:highlight w:val="none"/>
          <w:lang w:val="en-US" w:eastAsia="zh-CN"/>
        </w:rPr>
        <w:t>25</w:t>
      </w:r>
      <w:r>
        <w:rPr>
          <w:rFonts w:hint="eastAsia" w:ascii="宋体" w:cs="宋体"/>
          <w:color w:val="auto"/>
          <w:kern w:val="0"/>
          <w:szCs w:val="21"/>
          <w:highlight w:val="none"/>
        </w:rPr>
        <w:t>日</w:t>
      </w:r>
      <w:r>
        <w:rPr>
          <w:rFonts w:hint="eastAsia" w:ascii="宋体" w:cs="宋体"/>
          <w:color w:val="auto"/>
          <w:kern w:val="0"/>
          <w:szCs w:val="21"/>
          <w:highlight w:val="none"/>
          <w:lang w:val="en-US" w:eastAsia="zh-CN"/>
        </w:rPr>
        <w:t>14</w:t>
      </w:r>
      <w:r>
        <w:rPr>
          <w:rFonts w:hint="eastAsia" w:ascii="宋体" w:cs="宋体"/>
          <w:color w:val="auto"/>
          <w:kern w:val="0"/>
          <w:szCs w:val="21"/>
          <w:highlight w:val="none"/>
        </w:rPr>
        <w:t>点</w:t>
      </w:r>
      <w:r>
        <w:rPr>
          <w:rFonts w:hint="eastAsia" w:ascii="宋体" w:cs="宋体"/>
          <w:color w:val="auto"/>
          <w:kern w:val="0"/>
          <w:szCs w:val="21"/>
          <w:highlight w:val="none"/>
          <w:lang w:val="en-US" w:eastAsia="zh-CN"/>
        </w:rPr>
        <w:t>30</w:t>
      </w:r>
      <w:r>
        <w:rPr>
          <w:rFonts w:hint="eastAsia" w:ascii="宋体" w:cs="宋体"/>
          <w:color w:val="auto"/>
          <w:kern w:val="0"/>
          <w:szCs w:val="21"/>
          <w:highlight w:val="none"/>
        </w:rPr>
        <w:t>分（北京时间）前递交响应文件</w:t>
      </w:r>
      <w:r>
        <w:rPr>
          <w:rFonts w:hint="eastAsia" w:ascii="宋体" w:cs="宋体"/>
          <w:color w:val="auto"/>
          <w:szCs w:val="21"/>
          <w:highlight w:val="none"/>
        </w:rPr>
        <w:t>。</w:t>
      </w:r>
      <w:bookmarkStart w:id="11" w:name="_Toc28359002"/>
      <w:bookmarkStart w:id="12" w:name="_Toc28359079"/>
      <w:bookmarkStart w:id="13" w:name="_Toc35393790"/>
      <w:bookmarkStart w:id="14" w:name="_Toc35393621"/>
    </w:p>
    <w:p w14:paraId="3B364383">
      <w:pPr>
        <w:pStyle w:val="5"/>
        <w:keepNext/>
        <w:keepLines/>
        <w:pageBreakBefore w:val="0"/>
        <w:widowControl w:val="0"/>
        <w:kinsoku/>
        <w:overflowPunct/>
        <w:topLinePunct w:val="0"/>
        <w:autoSpaceDE/>
        <w:autoSpaceDN/>
        <w:bidi w:val="0"/>
        <w:adjustRightInd/>
        <w:snapToGrid/>
        <w:spacing w:before="0" w:after="0" w:line="360" w:lineRule="auto"/>
        <w:rPr>
          <w:rFonts w:cs="宋体"/>
          <w:color w:val="auto"/>
          <w:szCs w:val="24"/>
          <w:highlight w:val="none"/>
        </w:rPr>
      </w:pPr>
      <w:bookmarkStart w:id="15" w:name="_Toc20683"/>
      <w:bookmarkStart w:id="16" w:name="_Toc27026"/>
      <w:bookmarkStart w:id="17" w:name="_Toc13553"/>
      <w:r>
        <w:rPr>
          <w:rFonts w:hint="eastAsia" w:cs="宋体"/>
          <w:color w:val="auto"/>
          <w:szCs w:val="24"/>
          <w:highlight w:val="none"/>
        </w:rPr>
        <w:t>一、项目基本情况</w:t>
      </w:r>
      <w:bookmarkEnd w:id="11"/>
      <w:bookmarkEnd w:id="12"/>
      <w:bookmarkEnd w:id="13"/>
      <w:bookmarkEnd w:id="14"/>
      <w:bookmarkEnd w:id="15"/>
      <w:bookmarkEnd w:id="16"/>
      <w:bookmarkEnd w:id="17"/>
    </w:p>
    <w:p w14:paraId="23F2B849">
      <w:pPr>
        <w:pageBreakBefore w:val="0"/>
        <w:widowControl/>
        <w:kinsoku/>
        <w:overflowPunct/>
        <w:topLinePunct w:val="0"/>
        <w:autoSpaceDE/>
        <w:autoSpaceDN/>
        <w:bidi w:val="0"/>
        <w:adjustRightInd/>
        <w:snapToGrid/>
        <w:spacing w:line="360" w:lineRule="auto"/>
        <w:ind w:firstLine="420" w:firstLineChars="200"/>
        <w:jc w:val="left"/>
        <w:rPr>
          <w:rFonts w:hint="eastAsia" w:ascii="宋体" w:eastAsia="宋体" w:cs="宋体"/>
          <w:color w:val="auto"/>
          <w:szCs w:val="21"/>
          <w:highlight w:val="none"/>
          <w:lang w:eastAsia="zh-CN"/>
        </w:rPr>
      </w:pPr>
      <w:r>
        <w:rPr>
          <w:rFonts w:hint="eastAsia" w:ascii="宋体" w:cs="宋体"/>
          <w:color w:val="auto"/>
          <w:szCs w:val="21"/>
          <w:highlight w:val="none"/>
        </w:rPr>
        <w:t>1.项目编号：</w:t>
      </w:r>
      <w:r>
        <w:rPr>
          <w:rFonts w:hint="eastAsia" w:ascii="宋体" w:cs="宋体"/>
          <w:color w:val="auto"/>
          <w:szCs w:val="21"/>
          <w:highlight w:val="none"/>
          <w:lang w:eastAsia="zh-CN"/>
        </w:rPr>
        <w:t>KMZC2026-C3-00793-YNGR-0167</w:t>
      </w:r>
    </w:p>
    <w:p w14:paraId="0603CC69">
      <w:pPr>
        <w:pageBreakBefore w:val="0"/>
        <w:widowControl/>
        <w:kinsoku/>
        <w:overflowPunct/>
        <w:topLinePunct w:val="0"/>
        <w:autoSpaceDE/>
        <w:autoSpaceDN/>
        <w:bidi w:val="0"/>
        <w:adjustRightInd/>
        <w:snapToGrid/>
        <w:spacing w:line="360" w:lineRule="auto"/>
        <w:ind w:firstLine="420" w:firstLineChars="200"/>
        <w:jc w:val="left"/>
        <w:rPr>
          <w:rFonts w:hint="eastAsia" w:ascii="宋体" w:eastAsia="宋体" w:cs="宋体"/>
          <w:color w:val="auto"/>
          <w:szCs w:val="21"/>
          <w:highlight w:val="none"/>
          <w:lang w:eastAsia="zh-CN"/>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项</w:t>
      </w:r>
      <w:r>
        <w:rPr>
          <w:rFonts w:hint="eastAsia" w:ascii="宋体" w:eastAsia="宋体" w:cs="宋体"/>
          <w:color w:val="auto"/>
          <w:szCs w:val="21"/>
          <w:highlight w:val="none"/>
        </w:rPr>
        <w:t>目名称：</w:t>
      </w:r>
      <w:r>
        <w:rPr>
          <w:rFonts w:hint="eastAsia" w:ascii="宋体" w:cs="宋体"/>
          <w:color w:val="auto"/>
          <w:szCs w:val="21"/>
          <w:highlight w:val="none"/>
          <w:lang w:eastAsia="zh-CN"/>
        </w:rPr>
        <w:t>昆明经济技术开发区2025年度生态建设绩效追踪项目</w:t>
      </w:r>
      <w:r>
        <w:rPr>
          <w:rFonts w:hint="eastAsia" w:ascii="宋体" w:eastAsia="宋体" w:cs="宋体"/>
          <w:color w:val="auto"/>
          <w:szCs w:val="21"/>
          <w:highlight w:val="none"/>
          <w:lang w:eastAsia="zh-CN"/>
        </w:rPr>
        <w:t>；</w:t>
      </w:r>
    </w:p>
    <w:p w14:paraId="6A589BC5">
      <w:pPr>
        <w:pageBreakBefore w:val="0"/>
        <w:widowControl/>
        <w:kinsoku/>
        <w:overflowPunct/>
        <w:topLinePunct w:val="0"/>
        <w:autoSpaceDE/>
        <w:autoSpaceDN/>
        <w:bidi w:val="0"/>
        <w:adjustRightInd/>
        <w:snapToGrid/>
        <w:spacing w:line="360" w:lineRule="auto"/>
        <w:ind w:firstLine="420" w:firstLineChars="200"/>
        <w:jc w:val="left"/>
        <w:rPr>
          <w:rFonts w:hint="eastAsia" w:ascii="宋体" w:eastAsia="宋体" w:cs="宋体"/>
          <w:color w:val="auto"/>
          <w:szCs w:val="21"/>
          <w:highlight w:val="none"/>
          <w:lang w:eastAsia="zh-CN"/>
        </w:rPr>
      </w:pPr>
      <w:r>
        <w:rPr>
          <w:rFonts w:hint="eastAsia" w:ascii="宋体" w:eastAsia="宋体" w:cs="宋体"/>
          <w:color w:val="auto"/>
          <w:szCs w:val="21"/>
          <w:highlight w:val="none"/>
        </w:rPr>
        <w:t>3</w:t>
      </w:r>
      <w:r>
        <w:rPr>
          <w:rFonts w:hint="eastAsia" w:ascii="宋体" w:eastAsia="宋体" w:cs="宋体"/>
          <w:color w:val="auto"/>
          <w:szCs w:val="21"/>
          <w:highlight w:val="none"/>
          <w:lang w:val="en-US" w:eastAsia="zh-CN"/>
        </w:rPr>
        <w:t>.</w:t>
      </w:r>
      <w:r>
        <w:rPr>
          <w:rFonts w:hint="eastAsia" w:ascii="宋体" w:eastAsia="宋体" w:cs="宋体"/>
          <w:color w:val="auto"/>
          <w:szCs w:val="21"/>
          <w:highlight w:val="none"/>
        </w:rPr>
        <w:t>采购方式：竞争性磋商</w:t>
      </w:r>
      <w:r>
        <w:rPr>
          <w:rFonts w:hint="eastAsia" w:ascii="宋体" w:eastAsia="宋体" w:cs="宋体"/>
          <w:color w:val="auto"/>
          <w:szCs w:val="21"/>
          <w:highlight w:val="none"/>
          <w:lang w:eastAsia="zh-CN"/>
        </w:rPr>
        <w:t>；</w:t>
      </w:r>
    </w:p>
    <w:p w14:paraId="5CCEAE8C">
      <w:pPr>
        <w:pageBreakBefore w:val="0"/>
        <w:widowControl/>
        <w:kinsoku/>
        <w:overflowPunct/>
        <w:topLinePunct w:val="0"/>
        <w:autoSpaceDE/>
        <w:autoSpaceDN/>
        <w:bidi w:val="0"/>
        <w:adjustRightInd/>
        <w:snapToGrid/>
        <w:spacing w:line="360" w:lineRule="auto"/>
        <w:ind w:firstLine="420" w:firstLineChars="200"/>
        <w:jc w:val="left"/>
        <w:rPr>
          <w:rFonts w:hint="default" w:ascii="宋体" w:eastAsia="宋体" w:cs="宋体"/>
          <w:color w:val="auto"/>
          <w:szCs w:val="21"/>
          <w:highlight w:val="none"/>
          <w:lang w:val="en-US" w:eastAsia="zh-CN"/>
        </w:rPr>
      </w:pPr>
      <w:r>
        <w:rPr>
          <w:rFonts w:hint="eastAsia" w:ascii="宋体" w:eastAsia="宋体" w:cs="宋体"/>
          <w:color w:val="auto"/>
          <w:szCs w:val="21"/>
          <w:highlight w:val="none"/>
        </w:rPr>
        <w:t>4</w:t>
      </w:r>
      <w:r>
        <w:rPr>
          <w:rFonts w:hint="eastAsia" w:ascii="宋体" w:eastAsia="宋体" w:cs="宋体"/>
          <w:color w:val="auto"/>
          <w:szCs w:val="21"/>
          <w:highlight w:val="none"/>
          <w:lang w:val="en-US" w:eastAsia="zh-CN"/>
        </w:rPr>
        <w:t>.</w:t>
      </w:r>
      <w:r>
        <w:rPr>
          <w:rFonts w:hint="eastAsia" w:ascii="宋体" w:eastAsia="宋体" w:cs="宋体"/>
          <w:color w:val="auto"/>
          <w:szCs w:val="21"/>
          <w:highlight w:val="none"/>
        </w:rPr>
        <w:t>预算金额：</w:t>
      </w:r>
      <w:r>
        <w:rPr>
          <w:rFonts w:hint="eastAsia" w:ascii="宋体" w:cs="宋体"/>
          <w:color w:val="auto"/>
          <w:szCs w:val="21"/>
          <w:highlight w:val="none"/>
          <w:lang w:val="en-US" w:eastAsia="zh-CN"/>
        </w:rPr>
        <w:t>300000.00</w:t>
      </w:r>
      <w:r>
        <w:rPr>
          <w:rFonts w:hint="eastAsia" w:ascii="宋体" w:eastAsia="宋体" w:cs="宋体"/>
          <w:color w:val="auto"/>
          <w:szCs w:val="21"/>
          <w:highlight w:val="none"/>
        </w:rPr>
        <w:t>元</w:t>
      </w:r>
      <w:r>
        <w:rPr>
          <w:rFonts w:hint="eastAsia" w:ascii="宋体" w:eastAsia="宋体" w:cs="宋体"/>
          <w:color w:val="auto"/>
          <w:szCs w:val="21"/>
          <w:highlight w:val="none"/>
          <w:lang w:val="en-US" w:eastAsia="zh-CN"/>
        </w:rPr>
        <w:t>；</w:t>
      </w:r>
    </w:p>
    <w:p w14:paraId="2D1A0064">
      <w:pPr>
        <w:pageBreakBefore w:val="0"/>
        <w:widowControl/>
        <w:kinsoku/>
        <w:overflowPunct/>
        <w:topLinePunct w:val="0"/>
        <w:autoSpaceDE/>
        <w:autoSpaceDN/>
        <w:bidi w:val="0"/>
        <w:adjustRightInd/>
        <w:snapToGrid/>
        <w:spacing w:line="360" w:lineRule="auto"/>
        <w:ind w:firstLine="420" w:firstLineChars="200"/>
        <w:jc w:val="left"/>
        <w:rPr>
          <w:rFonts w:hint="eastAsia" w:ascii="宋体" w:eastAsia="宋体" w:cs="宋体"/>
          <w:color w:val="auto"/>
          <w:szCs w:val="21"/>
          <w:highlight w:val="none"/>
        </w:rPr>
      </w:pPr>
      <w:r>
        <w:rPr>
          <w:rFonts w:hint="eastAsia" w:ascii="宋体" w:eastAsia="宋体" w:cs="宋体"/>
          <w:color w:val="auto"/>
          <w:szCs w:val="21"/>
          <w:highlight w:val="none"/>
        </w:rPr>
        <w:t>5</w:t>
      </w:r>
      <w:r>
        <w:rPr>
          <w:rFonts w:hint="eastAsia" w:ascii="宋体" w:eastAsia="宋体" w:cs="宋体"/>
          <w:color w:val="auto"/>
          <w:szCs w:val="21"/>
          <w:highlight w:val="none"/>
          <w:lang w:val="en-US" w:eastAsia="zh-CN"/>
        </w:rPr>
        <w:t>.</w:t>
      </w:r>
      <w:r>
        <w:rPr>
          <w:rFonts w:hint="eastAsia" w:ascii="宋体" w:eastAsia="宋体" w:cs="宋体"/>
          <w:color w:val="auto"/>
          <w:szCs w:val="21"/>
          <w:highlight w:val="none"/>
        </w:rPr>
        <w:t>最高限价：</w:t>
      </w:r>
      <w:r>
        <w:rPr>
          <w:rFonts w:hint="eastAsia" w:ascii="宋体" w:cs="宋体"/>
          <w:color w:val="auto"/>
          <w:szCs w:val="21"/>
          <w:highlight w:val="none"/>
          <w:lang w:val="en-US" w:eastAsia="zh-CN"/>
        </w:rPr>
        <w:t>300000.00</w:t>
      </w:r>
      <w:r>
        <w:rPr>
          <w:rFonts w:hint="eastAsia" w:ascii="宋体" w:eastAsia="宋体" w:cs="宋体"/>
          <w:color w:val="auto"/>
          <w:szCs w:val="21"/>
          <w:highlight w:val="none"/>
        </w:rPr>
        <w:t>元</w:t>
      </w:r>
      <w:r>
        <w:rPr>
          <w:rFonts w:hint="eastAsia" w:ascii="宋体" w:eastAsia="宋体" w:cs="宋体"/>
          <w:color w:val="auto"/>
          <w:szCs w:val="21"/>
          <w:highlight w:val="none"/>
          <w:lang w:val="en-US" w:eastAsia="zh-CN"/>
        </w:rPr>
        <w:t>；</w:t>
      </w:r>
    </w:p>
    <w:p w14:paraId="3E39F6B4">
      <w:pPr>
        <w:pageBreakBefore w:val="0"/>
        <w:widowControl/>
        <w:kinsoku/>
        <w:overflowPunct/>
        <w:topLinePunct w:val="0"/>
        <w:autoSpaceDE/>
        <w:autoSpaceDN/>
        <w:bidi w:val="0"/>
        <w:adjustRightInd/>
        <w:snapToGrid/>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6</w:t>
      </w:r>
      <w:r>
        <w:rPr>
          <w:rFonts w:hint="eastAsia" w:ascii="宋体" w:cs="宋体"/>
          <w:color w:val="auto"/>
          <w:szCs w:val="21"/>
          <w:highlight w:val="none"/>
          <w:lang w:val="en-US" w:eastAsia="zh-CN"/>
        </w:rPr>
        <w:t>.</w:t>
      </w:r>
      <w:r>
        <w:rPr>
          <w:rFonts w:hint="eastAsia" w:ascii="宋体" w:cs="宋体"/>
          <w:color w:val="auto"/>
          <w:szCs w:val="21"/>
          <w:highlight w:val="none"/>
        </w:rPr>
        <w:t>采购需求：</w:t>
      </w:r>
    </w:p>
    <w:tbl>
      <w:tblPr>
        <w:tblStyle w:val="40"/>
        <w:tblW w:w="8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81"/>
        <w:gridCol w:w="399"/>
        <w:gridCol w:w="656"/>
        <w:gridCol w:w="5940"/>
      </w:tblGrid>
      <w:tr w14:paraId="61BB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128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22962C6">
            <w:pPr>
              <w:pStyle w:val="9"/>
              <w:pageBreakBefore w:val="0"/>
              <w:widowControl/>
              <w:kinsoku/>
              <w:overflowPunct/>
              <w:topLinePunct w:val="0"/>
              <w:autoSpaceDE/>
              <w:autoSpaceDN/>
              <w:bidi w:val="0"/>
              <w:adjustRightInd/>
              <w:snapToGrid/>
              <w:spacing w:line="360" w:lineRule="auto"/>
              <w:jc w:val="center"/>
              <w:rPr>
                <w:rFonts w:cs="宋体"/>
                <w:color w:val="auto"/>
                <w:sz w:val="21"/>
                <w:szCs w:val="21"/>
                <w:highlight w:val="none"/>
              </w:rPr>
            </w:pPr>
            <w:r>
              <w:rPr>
                <w:rStyle w:val="43"/>
                <w:rFonts w:hint="eastAsia" w:cs="宋体"/>
                <w:color w:val="auto"/>
                <w:sz w:val="21"/>
                <w:szCs w:val="21"/>
                <w:highlight w:val="none"/>
                <w:lang w:val="en-US" w:eastAsia="zh-CN"/>
              </w:rPr>
              <w:t>项目（标的）</w:t>
            </w:r>
            <w:r>
              <w:rPr>
                <w:rStyle w:val="43"/>
                <w:rFonts w:hint="eastAsia" w:cs="宋体"/>
                <w:color w:val="auto"/>
                <w:sz w:val="21"/>
                <w:szCs w:val="21"/>
                <w:highlight w:val="none"/>
              </w:rPr>
              <w:t>名称</w:t>
            </w:r>
          </w:p>
        </w:tc>
        <w:tc>
          <w:tcPr>
            <w:tcW w:w="39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AB1304D">
            <w:pPr>
              <w:pStyle w:val="9"/>
              <w:pageBreakBefore w:val="0"/>
              <w:widowControl/>
              <w:kinsoku/>
              <w:overflowPunct/>
              <w:topLinePunct w:val="0"/>
              <w:autoSpaceDE/>
              <w:autoSpaceDN/>
              <w:bidi w:val="0"/>
              <w:adjustRightInd/>
              <w:snapToGrid/>
              <w:spacing w:line="360" w:lineRule="auto"/>
              <w:jc w:val="center"/>
              <w:rPr>
                <w:rFonts w:cs="宋体"/>
                <w:color w:val="auto"/>
                <w:sz w:val="21"/>
                <w:szCs w:val="21"/>
                <w:highlight w:val="none"/>
              </w:rPr>
            </w:pPr>
            <w:r>
              <w:rPr>
                <w:rStyle w:val="43"/>
                <w:rFonts w:hint="eastAsia" w:cs="宋体"/>
                <w:color w:val="auto"/>
                <w:sz w:val="21"/>
                <w:szCs w:val="21"/>
                <w:highlight w:val="none"/>
              </w:rPr>
              <w:t>数量</w:t>
            </w:r>
          </w:p>
        </w:tc>
        <w:tc>
          <w:tcPr>
            <w:tcW w:w="6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40D7B58">
            <w:pPr>
              <w:pStyle w:val="9"/>
              <w:pageBreakBefore w:val="0"/>
              <w:widowControl/>
              <w:kinsoku/>
              <w:overflowPunct/>
              <w:topLinePunct w:val="0"/>
              <w:autoSpaceDE/>
              <w:autoSpaceDN/>
              <w:bidi w:val="0"/>
              <w:adjustRightInd/>
              <w:snapToGrid/>
              <w:spacing w:line="360" w:lineRule="auto"/>
              <w:jc w:val="center"/>
              <w:rPr>
                <w:rFonts w:cs="宋体"/>
                <w:color w:val="auto"/>
                <w:sz w:val="21"/>
                <w:szCs w:val="21"/>
                <w:highlight w:val="none"/>
              </w:rPr>
            </w:pPr>
            <w:r>
              <w:rPr>
                <w:rStyle w:val="43"/>
                <w:rFonts w:hint="eastAsia" w:cs="宋体"/>
                <w:color w:val="auto"/>
                <w:sz w:val="21"/>
                <w:szCs w:val="21"/>
                <w:highlight w:val="none"/>
              </w:rPr>
              <w:t>计量单位</w:t>
            </w:r>
          </w:p>
        </w:tc>
        <w:tc>
          <w:tcPr>
            <w:tcW w:w="594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9C12E25">
            <w:pPr>
              <w:pStyle w:val="9"/>
              <w:pageBreakBefore w:val="0"/>
              <w:widowControl/>
              <w:kinsoku/>
              <w:overflowPunct/>
              <w:topLinePunct w:val="0"/>
              <w:autoSpaceDE/>
              <w:autoSpaceDN/>
              <w:bidi w:val="0"/>
              <w:adjustRightInd/>
              <w:snapToGrid/>
              <w:spacing w:line="360" w:lineRule="auto"/>
              <w:jc w:val="center"/>
              <w:rPr>
                <w:rStyle w:val="43"/>
                <w:rFonts w:eastAsia="宋体" w:cs="宋体"/>
                <w:color w:val="auto"/>
                <w:sz w:val="21"/>
                <w:szCs w:val="21"/>
                <w:highlight w:val="none"/>
                <w:lang w:val="en-US" w:eastAsia="zh-CN"/>
              </w:rPr>
            </w:pPr>
            <w:r>
              <w:rPr>
                <w:rStyle w:val="43"/>
                <w:rFonts w:hint="eastAsia" w:cs="宋体"/>
                <w:color w:val="auto"/>
                <w:sz w:val="21"/>
                <w:szCs w:val="21"/>
                <w:highlight w:val="none"/>
                <w:lang w:val="en-US" w:eastAsia="zh-CN"/>
              </w:rPr>
              <w:t>服务范围</w:t>
            </w:r>
          </w:p>
        </w:tc>
      </w:tr>
      <w:tr w14:paraId="67CA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128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491D697">
            <w:pPr>
              <w:pageBreakBefore w:val="0"/>
              <w:widowControl/>
              <w:kinsoku/>
              <w:overflowPunct/>
              <w:topLinePunct w:val="0"/>
              <w:autoSpaceDE/>
              <w:autoSpaceDN/>
              <w:bidi w:val="0"/>
              <w:adjustRightInd/>
              <w:snapToGrid/>
              <w:spacing w:line="360" w:lineRule="auto"/>
              <w:jc w:val="center"/>
              <w:rPr>
                <w:rFonts w:hint="eastAsia" w:ascii="宋体" w:eastAsia="宋体" w:cs="宋体"/>
                <w:color w:val="auto"/>
                <w:szCs w:val="21"/>
                <w:highlight w:val="none"/>
                <w:lang w:eastAsia="zh-CN"/>
              </w:rPr>
            </w:pPr>
            <w:r>
              <w:rPr>
                <w:rFonts w:hint="eastAsia" w:ascii="宋体" w:cs="宋体"/>
                <w:color w:val="auto"/>
                <w:szCs w:val="21"/>
                <w:highlight w:val="none"/>
                <w:lang w:eastAsia="zh-CN"/>
              </w:rPr>
              <w:t>昆明经济技术开发区2025年度生态建设绩效追踪项目</w:t>
            </w:r>
          </w:p>
        </w:tc>
        <w:tc>
          <w:tcPr>
            <w:tcW w:w="39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F436C56">
            <w:pPr>
              <w:pageBreakBefore w:val="0"/>
              <w:widowControl w:val="0"/>
              <w:kinsoku/>
              <w:overflowPunct/>
              <w:topLinePunct w:val="0"/>
              <w:autoSpaceDE/>
              <w:autoSpaceDN/>
              <w:bidi w:val="0"/>
              <w:adjustRightInd/>
              <w:snapToGrid/>
              <w:spacing w:line="360" w:lineRule="auto"/>
              <w:jc w:val="center"/>
              <w:rPr>
                <w:rFonts w:ascii="宋体" w:cs="宋体"/>
                <w:color w:val="auto"/>
                <w:szCs w:val="21"/>
                <w:highlight w:val="none"/>
              </w:rPr>
            </w:pPr>
            <w:r>
              <w:rPr>
                <w:rFonts w:hint="eastAsia" w:ascii="宋体" w:cs="宋体"/>
                <w:color w:val="auto"/>
                <w:szCs w:val="21"/>
                <w:highlight w:val="none"/>
              </w:rPr>
              <w:t>1</w:t>
            </w:r>
          </w:p>
        </w:tc>
        <w:tc>
          <w:tcPr>
            <w:tcW w:w="656"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C514940">
            <w:pPr>
              <w:pageBreakBefore w:val="0"/>
              <w:widowControl/>
              <w:kinsoku/>
              <w:overflowPunct/>
              <w:topLinePunct w:val="0"/>
              <w:autoSpaceDE/>
              <w:autoSpaceDN/>
              <w:bidi w:val="0"/>
              <w:adjustRightInd/>
              <w:snapToGrid/>
              <w:spacing w:line="360" w:lineRule="auto"/>
              <w:jc w:val="center"/>
              <w:rPr>
                <w:rFonts w:hint="eastAsia" w:ascii="宋体" w:cs="宋体"/>
                <w:color w:val="auto"/>
                <w:szCs w:val="21"/>
                <w:highlight w:val="none"/>
                <w:lang w:eastAsia="zh-CN"/>
              </w:rPr>
            </w:pPr>
            <w:r>
              <w:rPr>
                <w:rFonts w:hint="eastAsia" w:ascii="宋体" w:cs="宋体"/>
                <w:color w:val="auto"/>
                <w:szCs w:val="21"/>
                <w:highlight w:val="none"/>
                <w:lang w:val="en-US" w:eastAsia="zh-CN"/>
              </w:rPr>
              <w:t>项</w:t>
            </w:r>
          </w:p>
        </w:tc>
        <w:tc>
          <w:tcPr>
            <w:tcW w:w="594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81E7060">
            <w:pPr>
              <w:pageBreakBefore w:val="0"/>
              <w:widowControl/>
              <w:kinsoku/>
              <w:overflowPunct/>
              <w:topLinePunct w:val="0"/>
              <w:autoSpaceDE/>
              <w:autoSpaceDN/>
              <w:bidi w:val="0"/>
              <w:adjustRightInd/>
              <w:snapToGrid/>
              <w:spacing w:line="360" w:lineRule="auto"/>
              <w:jc w:val="left"/>
              <w:rPr>
                <w:rFonts w:hint="default" w:ascii="宋体" w:cs="宋体"/>
                <w:color w:val="auto"/>
                <w:szCs w:val="21"/>
                <w:highlight w:val="none"/>
                <w:lang w:val="en-US" w:eastAsia="zh-CN"/>
              </w:rPr>
            </w:pPr>
            <w:r>
              <w:rPr>
                <w:rFonts w:hint="default" w:ascii="宋体" w:cs="宋体"/>
                <w:color w:val="auto"/>
                <w:szCs w:val="21"/>
                <w:highlight w:val="none"/>
                <w:lang w:val="en-US" w:eastAsia="zh-CN"/>
              </w:rPr>
              <w:t>根据《关于印发&lt;生态文明建设示范区(生态工业园区)管理办法&gt;的通知》（环科财〔2026〕4号）相关规定，</w:t>
            </w:r>
            <w:r>
              <w:rPr>
                <w:rFonts w:hint="eastAsia" w:ascii="宋体" w:cs="宋体"/>
                <w:color w:val="auto"/>
                <w:szCs w:val="21"/>
                <w:highlight w:val="none"/>
                <w:lang w:val="en-US" w:eastAsia="zh-CN"/>
              </w:rPr>
              <w:t>完成</w:t>
            </w:r>
            <w:r>
              <w:rPr>
                <w:rFonts w:hint="default" w:ascii="宋体" w:cs="宋体"/>
                <w:color w:val="auto"/>
                <w:szCs w:val="21"/>
                <w:highlight w:val="none"/>
                <w:lang w:val="en-US" w:eastAsia="zh-CN"/>
              </w:rPr>
              <w:t>昆明经济技术开发区2025年度生态建设绩效追踪工作，并按要求将追踪结果提交至生态文明建设示范区（生态工业园区）协调机制工作组。</w:t>
            </w:r>
          </w:p>
        </w:tc>
      </w:tr>
    </w:tbl>
    <w:p w14:paraId="0071C713">
      <w:pPr>
        <w:pageBreakBefore w:val="0"/>
        <w:widowControl/>
        <w:kinsoku/>
        <w:overflowPunct/>
        <w:topLinePunct w:val="0"/>
        <w:autoSpaceDE/>
        <w:autoSpaceDN/>
        <w:bidi w:val="0"/>
        <w:adjustRightInd/>
        <w:snapToGrid/>
        <w:spacing w:line="360" w:lineRule="auto"/>
        <w:ind w:firstLine="420" w:firstLineChars="200"/>
        <w:jc w:val="left"/>
        <w:rPr>
          <w:rFonts w:ascii="宋体" w:cs="宋体"/>
          <w:color w:val="auto"/>
          <w:kern w:val="0"/>
          <w:szCs w:val="21"/>
          <w:highlight w:val="none"/>
        </w:rPr>
      </w:pPr>
      <w:r>
        <w:rPr>
          <w:rFonts w:hint="eastAsia" w:ascii="宋体" w:cs="宋体"/>
          <w:color w:val="auto"/>
          <w:szCs w:val="21"/>
          <w:highlight w:val="none"/>
        </w:rPr>
        <w:t>注：</w:t>
      </w:r>
      <w:r>
        <w:rPr>
          <w:rFonts w:hint="eastAsia" w:ascii="宋体" w:hAnsi="宋体" w:cs="宋体"/>
          <w:bCs/>
          <w:color w:val="auto"/>
          <w:szCs w:val="21"/>
          <w:highlight w:val="none"/>
        </w:rPr>
        <w:t>本项目共设</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个标段，</w:t>
      </w: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rPr>
        <w:t>必须对</w:t>
      </w:r>
      <w:r>
        <w:rPr>
          <w:rFonts w:hint="eastAsia" w:ascii="宋体" w:hAnsi="宋体" w:cs="宋体"/>
          <w:bCs/>
          <w:color w:val="auto"/>
          <w:szCs w:val="21"/>
          <w:highlight w:val="none"/>
          <w:lang w:val="en-US" w:eastAsia="zh-CN"/>
        </w:rPr>
        <w:t>本项目所有内容</w:t>
      </w:r>
      <w:r>
        <w:rPr>
          <w:rFonts w:hint="eastAsia" w:ascii="宋体" w:hAnsi="宋体" w:cs="宋体"/>
          <w:bCs/>
          <w:color w:val="auto"/>
          <w:szCs w:val="21"/>
          <w:highlight w:val="none"/>
        </w:rPr>
        <w:t>作出完整唯一的投标报价，不得出现缺项、漏项或无报价情况，否则</w:t>
      </w:r>
      <w:r>
        <w:rPr>
          <w:rFonts w:hint="eastAsia" w:ascii="宋体" w:hAnsi="宋体" w:cs="宋体"/>
          <w:bCs/>
          <w:color w:val="auto"/>
          <w:szCs w:val="21"/>
          <w:highlight w:val="none"/>
          <w:lang w:val="en-US" w:eastAsia="zh-CN"/>
        </w:rPr>
        <w:t>响应</w:t>
      </w:r>
      <w:r>
        <w:rPr>
          <w:rFonts w:hint="eastAsia" w:ascii="宋体" w:hAnsi="宋体" w:cs="宋体"/>
          <w:bCs/>
          <w:color w:val="auto"/>
          <w:szCs w:val="21"/>
          <w:highlight w:val="none"/>
        </w:rPr>
        <w:t>文件将按无效处理，具体要求等详见本</w:t>
      </w:r>
      <w:r>
        <w:rPr>
          <w:rFonts w:hint="eastAsia" w:ascii="宋体" w:hAnsi="宋体" w:cs="宋体"/>
          <w:bCs/>
          <w:color w:val="auto"/>
          <w:szCs w:val="21"/>
          <w:highlight w:val="none"/>
          <w:lang w:val="en-US" w:eastAsia="zh-CN"/>
        </w:rPr>
        <w:t>竞争性磋商</w:t>
      </w:r>
      <w:r>
        <w:rPr>
          <w:rFonts w:hint="eastAsia" w:ascii="宋体" w:hAnsi="宋体" w:cs="宋体"/>
          <w:bCs/>
          <w:color w:val="auto"/>
          <w:szCs w:val="21"/>
          <w:highlight w:val="none"/>
        </w:rPr>
        <w:t>文件第五章</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采购需求。</w:t>
      </w:r>
    </w:p>
    <w:p w14:paraId="3E4E5E13">
      <w:pPr>
        <w:pageBreakBefore w:val="0"/>
        <w:widowControl/>
        <w:kinsoku/>
        <w:overflowPunct/>
        <w:topLinePunct w:val="0"/>
        <w:autoSpaceDE/>
        <w:autoSpaceDN/>
        <w:bidi w:val="0"/>
        <w:adjustRightInd/>
        <w:snapToGrid/>
        <w:spacing w:line="360" w:lineRule="auto"/>
        <w:ind w:firstLine="525" w:firstLineChars="250"/>
        <w:jc w:val="left"/>
        <w:rPr>
          <w:rFonts w:hint="eastAsia" w:ascii="宋体" w:cs="宋体"/>
          <w:bCs/>
          <w:color w:val="auto"/>
          <w:szCs w:val="21"/>
          <w:highlight w:val="none"/>
        </w:rPr>
      </w:pPr>
      <w:r>
        <w:rPr>
          <w:rFonts w:hint="eastAsia" w:ascii="宋体" w:cs="宋体"/>
          <w:bCs/>
          <w:color w:val="auto"/>
          <w:szCs w:val="21"/>
          <w:highlight w:val="none"/>
        </w:rPr>
        <w:t>7</w:t>
      </w:r>
      <w:r>
        <w:rPr>
          <w:rFonts w:hint="eastAsia" w:ascii="宋体" w:cs="宋体"/>
          <w:bCs/>
          <w:color w:val="auto"/>
          <w:szCs w:val="21"/>
          <w:highlight w:val="none"/>
          <w:lang w:val="en-US" w:eastAsia="zh-CN"/>
        </w:rPr>
        <w:t>.</w:t>
      </w:r>
      <w:r>
        <w:rPr>
          <w:rFonts w:hint="eastAsia" w:ascii="宋体" w:cs="宋体"/>
          <w:bCs/>
          <w:color w:val="auto"/>
          <w:szCs w:val="21"/>
          <w:highlight w:val="none"/>
          <w:lang w:eastAsia="zh-CN"/>
        </w:rPr>
        <w:t>服务地点</w:t>
      </w:r>
      <w:r>
        <w:rPr>
          <w:rFonts w:hint="eastAsia" w:ascii="宋体" w:cs="宋体"/>
          <w:bCs/>
          <w:color w:val="auto"/>
          <w:szCs w:val="21"/>
          <w:highlight w:val="none"/>
        </w:rPr>
        <w:t>：</w:t>
      </w:r>
      <w:r>
        <w:rPr>
          <w:rFonts w:hint="eastAsia" w:ascii="宋体" w:cs="宋体"/>
          <w:bCs/>
          <w:color w:val="auto"/>
          <w:szCs w:val="21"/>
          <w:highlight w:val="none"/>
          <w:lang w:eastAsia="zh-CN"/>
        </w:rPr>
        <w:t>昆明市生态环境局经开分局</w:t>
      </w:r>
      <w:r>
        <w:rPr>
          <w:rFonts w:hint="eastAsia" w:ascii="宋体" w:cs="宋体"/>
          <w:bCs/>
          <w:color w:val="auto"/>
          <w:szCs w:val="21"/>
          <w:highlight w:val="none"/>
        </w:rPr>
        <w:t>指定地点。</w:t>
      </w:r>
    </w:p>
    <w:p w14:paraId="57999FBF">
      <w:pPr>
        <w:pageBreakBefore w:val="0"/>
        <w:widowControl/>
        <w:kinsoku/>
        <w:overflowPunct/>
        <w:topLinePunct w:val="0"/>
        <w:autoSpaceDE/>
        <w:autoSpaceDN/>
        <w:bidi w:val="0"/>
        <w:adjustRightInd/>
        <w:snapToGrid/>
        <w:spacing w:line="360" w:lineRule="auto"/>
        <w:ind w:firstLine="525" w:firstLineChars="250"/>
        <w:jc w:val="left"/>
        <w:rPr>
          <w:rFonts w:hint="default" w:ascii="宋体" w:cs="宋体"/>
          <w:bCs/>
          <w:color w:val="auto"/>
          <w:szCs w:val="21"/>
          <w:highlight w:val="none"/>
          <w:lang w:val="en-US"/>
        </w:rPr>
      </w:pPr>
      <w:r>
        <w:rPr>
          <w:rFonts w:hint="eastAsia" w:ascii="宋体" w:cs="宋体"/>
          <w:bCs/>
          <w:color w:val="auto"/>
          <w:szCs w:val="21"/>
          <w:highlight w:val="none"/>
        </w:rPr>
        <w:t>8</w:t>
      </w:r>
      <w:r>
        <w:rPr>
          <w:rFonts w:hint="eastAsia" w:ascii="宋体" w:cs="宋体"/>
          <w:bCs/>
          <w:color w:val="auto"/>
          <w:szCs w:val="21"/>
          <w:highlight w:val="none"/>
          <w:lang w:val="en-US" w:eastAsia="zh-CN"/>
        </w:rPr>
        <w:t>.合同履行期限（服务期限）</w:t>
      </w:r>
      <w:r>
        <w:rPr>
          <w:rFonts w:hint="eastAsia" w:ascii="宋体" w:cs="宋体"/>
          <w:bCs/>
          <w:color w:val="auto"/>
          <w:szCs w:val="21"/>
          <w:highlight w:val="none"/>
        </w:rPr>
        <w:t>：</w:t>
      </w:r>
      <w:r>
        <w:rPr>
          <w:rFonts w:hint="eastAsia" w:ascii="宋体" w:cs="宋体"/>
          <w:bCs/>
          <w:color w:val="auto"/>
          <w:szCs w:val="21"/>
          <w:highlight w:val="none"/>
          <w:lang w:eastAsia="zh-CN"/>
        </w:rPr>
        <w:t>2026年6月底前完成《昆明经济技术开发区生态文明建设示范区（生态工业园区）2025年度工作报告》编制，经省生态环境厅审核后提交至协调机制工作组</w:t>
      </w:r>
      <w:r>
        <w:rPr>
          <w:rFonts w:hint="eastAsia" w:ascii="宋体" w:hAnsi="宋体" w:cs="宋体"/>
          <w:bCs/>
          <w:color w:val="auto"/>
          <w:szCs w:val="21"/>
          <w:highlight w:val="none"/>
          <w:lang w:val="en-US" w:eastAsia="zh-CN"/>
        </w:rPr>
        <w:t>。</w:t>
      </w:r>
    </w:p>
    <w:p w14:paraId="3CBE008D">
      <w:pPr>
        <w:pageBreakBefore w:val="0"/>
        <w:widowControl/>
        <w:kinsoku/>
        <w:overflowPunct/>
        <w:topLinePunct w:val="0"/>
        <w:autoSpaceDE/>
        <w:autoSpaceDN/>
        <w:bidi w:val="0"/>
        <w:adjustRightInd/>
        <w:snapToGrid/>
        <w:spacing w:line="360" w:lineRule="auto"/>
        <w:ind w:firstLine="525" w:firstLineChars="250"/>
        <w:jc w:val="left"/>
        <w:rPr>
          <w:rFonts w:ascii="宋体"/>
          <w:bCs/>
          <w:color w:val="auto"/>
          <w:szCs w:val="21"/>
          <w:highlight w:val="none"/>
        </w:rPr>
      </w:pPr>
      <w:r>
        <w:rPr>
          <w:rFonts w:hint="eastAsia" w:ascii="宋体"/>
          <w:bCs/>
          <w:color w:val="auto"/>
          <w:szCs w:val="21"/>
          <w:highlight w:val="none"/>
        </w:rPr>
        <w:t>★</w:t>
      </w:r>
      <w:r>
        <w:rPr>
          <w:rFonts w:hint="eastAsia" w:ascii="宋体"/>
          <w:bCs/>
          <w:color w:val="auto"/>
          <w:szCs w:val="21"/>
          <w:highlight w:val="none"/>
          <w:lang w:val="en-US" w:eastAsia="zh-CN"/>
        </w:rPr>
        <w:t>9.</w:t>
      </w:r>
      <w:r>
        <w:rPr>
          <w:rFonts w:hint="eastAsia" w:ascii="宋体"/>
          <w:bCs/>
          <w:color w:val="auto"/>
          <w:szCs w:val="21"/>
          <w:highlight w:val="none"/>
        </w:rPr>
        <w:t>本项目</w:t>
      </w:r>
      <w:r>
        <w:rPr>
          <w:rFonts w:hint="eastAsia" w:ascii="宋体"/>
          <w:b/>
          <w:color w:val="auto"/>
          <w:szCs w:val="21"/>
          <w:highlight w:val="none"/>
          <w:u w:val="single"/>
        </w:rPr>
        <w:t>不接受</w:t>
      </w:r>
      <w:r>
        <w:rPr>
          <w:rFonts w:hint="eastAsia" w:ascii="宋体"/>
          <w:bCs/>
          <w:color w:val="auto"/>
          <w:szCs w:val="21"/>
          <w:highlight w:val="none"/>
        </w:rPr>
        <w:t>联合体投标。</w:t>
      </w:r>
    </w:p>
    <w:p w14:paraId="4729DC3A">
      <w:pPr>
        <w:pStyle w:val="5"/>
        <w:keepNext/>
        <w:keepLines/>
        <w:pageBreakBefore w:val="0"/>
        <w:widowControl w:val="0"/>
        <w:kinsoku/>
        <w:overflowPunct/>
        <w:topLinePunct w:val="0"/>
        <w:autoSpaceDE/>
        <w:autoSpaceDN/>
        <w:bidi w:val="0"/>
        <w:adjustRightInd/>
        <w:snapToGrid/>
        <w:spacing w:before="0" w:after="0" w:line="360" w:lineRule="auto"/>
        <w:rPr>
          <w:rFonts w:cs="宋体"/>
          <w:color w:val="auto"/>
          <w:szCs w:val="24"/>
          <w:highlight w:val="none"/>
        </w:rPr>
      </w:pPr>
      <w:bookmarkStart w:id="18" w:name="_Toc7227"/>
      <w:bookmarkStart w:id="19" w:name="_Toc27436"/>
      <w:bookmarkStart w:id="20" w:name="_Toc12946"/>
      <w:r>
        <w:rPr>
          <w:rFonts w:hint="eastAsia" w:cs="宋体"/>
          <w:color w:val="auto"/>
          <w:szCs w:val="24"/>
          <w:highlight w:val="none"/>
        </w:rPr>
        <w:t>二、供应商资格要求：</w:t>
      </w:r>
      <w:bookmarkEnd w:id="18"/>
      <w:bookmarkEnd w:id="19"/>
      <w:bookmarkEnd w:id="20"/>
    </w:p>
    <w:p w14:paraId="70919B0D">
      <w:pPr>
        <w:pageBreakBefore w:val="0"/>
        <w:widowControl/>
        <w:kinsoku/>
        <w:overflowPunct/>
        <w:topLinePunct w:val="0"/>
        <w:autoSpaceDE/>
        <w:autoSpaceDN/>
        <w:bidi w:val="0"/>
        <w:adjustRightInd/>
        <w:snapToGrid/>
        <w:spacing w:line="360" w:lineRule="auto"/>
        <w:ind w:firstLine="525" w:firstLineChars="250"/>
        <w:jc w:val="left"/>
        <w:rPr>
          <w:rFonts w:hint="eastAsia" w:ascii="宋体" w:eastAsia="宋体" w:cs="宋体"/>
          <w:color w:val="auto"/>
          <w:kern w:val="0"/>
          <w:szCs w:val="21"/>
          <w:highlight w:val="none"/>
          <w:lang w:eastAsia="zh-CN"/>
        </w:rPr>
      </w:pPr>
      <w:r>
        <w:rPr>
          <w:rFonts w:hint="eastAsia" w:ascii="宋体" w:cs="宋体"/>
          <w:color w:val="auto"/>
          <w:kern w:val="0"/>
          <w:szCs w:val="21"/>
          <w:highlight w:val="none"/>
        </w:rPr>
        <w:t>1</w:t>
      </w:r>
      <w:r>
        <w:rPr>
          <w:rFonts w:hint="eastAsia" w:ascii="宋体" w:cs="宋体"/>
          <w:color w:val="auto"/>
          <w:kern w:val="0"/>
          <w:szCs w:val="21"/>
          <w:highlight w:val="none"/>
          <w:lang w:val="en-US" w:eastAsia="zh-CN"/>
        </w:rPr>
        <w:t>.</w:t>
      </w:r>
      <w:r>
        <w:rPr>
          <w:rFonts w:hint="eastAsia" w:ascii="宋体" w:cs="宋体"/>
          <w:color w:val="auto"/>
          <w:kern w:val="0"/>
          <w:szCs w:val="21"/>
          <w:highlight w:val="none"/>
        </w:rPr>
        <w:t>满足《中华人民共和国政府采购法》第二十二条规定</w:t>
      </w:r>
      <w:r>
        <w:rPr>
          <w:rFonts w:hint="eastAsia" w:ascii="宋体" w:cs="宋体"/>
          <w:color w:val="auto"/>
          <w:kern w:val="0"/>
          <w:szCs w:val="21"/>
          <w:highlight w:val="none"/>
          <w:lang w:eastAsia="zh-CN"/>
        </w:rPr>
        <w:t>：</w:t>
      </w:r>
    </w:p>
    <w:p w14:paraId="1356C5C3">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1.1具有独立承担民事责任的能力：</w:t>
      </w:r>
      <w:r>
        <w:rPr>
          <w:rFonts w:hint="eastAsia" w:ascii="宋体" w:cs="宋体"/>
          <w:color w:val="auto"/>
          <w:kern w:val="0"/>
          <w:szCs w:val="21"/>
          <w:highlight w:val="none"/>
          <w:lang w:eastAsia="zh-CN"/>
        </w:rPr>
        <w:t>供应商必须是独立法人或其他组织，能独立承担民事责任，须提供法人或者其他组织的营业执照（事业单位法人证书）等证明文件；若为自然人的，提供自然人的身份证明</w:t>
      </w:r>
      <w:r>
        <w:rPr>
          <w:rFonts w:hint="eastAsia" w:ascii="宋体" w:cs="宋体"/>
          <w:color w:val="auto"/>
          <w:kern w:val="0"/>
          <w:szCs w:val="21"/>
          <w:highlight w:val="none"/>
        </w:rPr>
        <w:t>（扫描件加盖供应商电子公章）；</w:t>
      </w:r>
    </w:p>
    <w:p w14:paraId="74B5290D">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1.2具有良好的商业信誉和健全的财务会计制度：</w:t>
      </w:r>
      <w:r>
        <w:rPr>
          <w:rFonts w:hint="eastAsia" w:ascii="宋体" w:cs="宋体"/>
          <w:color w:val="auto"/>
          <w:kern w:val="0"/>
          <w:szCs w:val="21"/>
          <w:highlight w:val="none"/>
          <w:lang w:eastAsia="zh-CN"/>
        </w:rPr>
        <w:t>供应商须提供财务状况报告，内容可为以下两者之一：①提供供应商2024年度或2025年度经第三方审计的财务报告及报表（报表至少应包括资产负债表、利润表（损益表）、现金流量表），如供应商执行的财政部门印发的会计制度或准则有其他要求的，以其要求为准；至响应文件提交截止时间止新成立不足一年的供应商提供自成立至今的财务报表（扫描件加盖供应商电子公章）；②提供自响应文件提交截止时间前三个月内基本开户银行出具的资信证明（扫描件加盖供应商电子公章）</w:t>
      </w:r>
      <w:r>
        <w:rPr>
          <w:rFonts w:hint="eastAsia" w:ascii="宋体" w:hAnsi="宋体" w:eastAsia="宋体" w:cs="宋体"/>
          <w:color w:val="auto"/>
          <w:kern w:val="0"/>
          <w:szCs w:val="21"/>
          <w:highlight w:val="none"/>
          <w:lang w:eastAsia="zh-CN"/>
        </w:rPr>
        <w:t>；</w:t>
      </w:r>
    </w:p>
    <w:p w14:paraId="483E14A1">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1.3具有履行合同所必需的设备和专业技术能力：提供供应商具有履行合同所必需的设备和专业技术能力证明材料或书面声明（扫描件加盖供应商电子公章）；</w:t>
      </w:r>
    </w:p>
    <w:p w14:paraId="6D8C5F75">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1.4有依法缴纳税收和社会保障资金的良好记录：</w:t>
      </w:r>
    </w:p>
    <w:p w14:paraId="72414B18">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1.4.1提供供应商缴税所属时间在</w:t>
      </w:r>
      <w:r>
        <w:rPr>
          <w:rFonts w:hint="eastAsia" w:ascii="宋体" w:cs="宋体"/>
          <w:color w:val="auto"/>
          <w:kern w:val="0"/>
          <w:szCs w:val="21"/>
          <w:highlight w:val="none"/>
          <w:lang w:eastAsia="zh-CN"/>
        </w:rPr>
        <w:t>2025年01月至本项目提交响应文件截止时间前任意2个月</w:t>
      </w:r>
      <w:r>
        <w:rPr>
          <w:rFonts w:hint="eastAsia" w:ascii="宋体" w:cs="宋体"/>
          <w:color w:val="auto"/>
          <w:kern w:val="0"/>
          <w:szCs w:val="21"/>
          <w:highlight w:val="none"/>
        </w:rPr>
        <w:t>的税务局税收通用缴款书或银行电子缴税（费）凭证或税务局出具纳税情况的相关证明，依法免税或免缴的，应提供相关证明文件（扫描件加盖供应商电子公章）或说明（加盖供应商电子公章），新成立未满一年的供应商，依法免税或免缴的，应提供相关证明文件（扫描件加盖供应商电子公章）或说明（加盖供应商电子公章）；</w:t>
      </w:r>
    </w:p>
    <w:p w14:paraId="64B219FA">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1.4.2提供供应商缴费所属时间在</w:t>
      </w:r>
      <w:r>
        <w:rPr>
          <w:rFonts w:hint="eastAsia" w:ascii="宋体" w:cs="宋体"/>
          <w:color w:val="auto"/>
          <w:kern w:val="0"/>
          <w:szCs w:val="21"/>
          <w:highlight w:val="none"/>
          <w:lang w:eastAsia="zh-CN"/>
        </w:rPr>
        <w:t>2025年01月至本项目提交响应文件截止时间前任意2个月</w:t>
      </w:r>
      <w:r>
        <w:rPr>
          <w:rFonts w:hint="eastAsia" w:ascii="宋体" w:cs="宋体"/>
          <w:color w:val="auto"/>
          <w:kern w:val="0"/>
          <w:szCs w:val="21"/>
          <w:highlight w:val="none"/>
        </w:rPr>
        <w:t>的社会保险费缴款书或银行电子缴税（费）凭证或社保管理部门出具的有效的缴款证明，依法免缴的，应提供依法免缴的相关证明文件（扫描件加盖供应商电子公章）或说明（加盖供应商电子公章），新成立未满一年的供应商，依法免缴的，应提供依法免缴的相关证明文件（扫描件加盖供应商电子公章）或说明（加盖供应商电子公章）；</w:t>
      </w:r>
    </w:p>
    <w:p w14:paraId="113A564C">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扫描件加盖供应商电子公章）；</w:t>
      </w:r>
    </w:p>
    <w:p w14:paraId="0C7FBD98">
      <w:pPr>
        <w:pageBreakBefore w:val="0"/>
        <w:widowControl/>
        <w:kinsoku/>
        <w:overflowPunct/>
        <w:topLinePunct w:val="0"/>
        <w:autoSpaceDE/>
        <w:autoSpaceDN/>
        <w:bidi w:val="0"/>
        <w:adjustRightInd/>
        <w:snapToGrid/>
        <w:spacing w:line="360" w:lineRule="auto"/>
        <w:ind w:firstLine="525" w:firstLineChars="250"/>
        <w:jc w:val="left"/>
        <w:rPr>
          <w:rFonts w:hint="eastAsia" w:ascii="宋体" w:cs="宋体"/>
          <w:color w:val="auto"/>
          <w:kern w:val="0"/>
          <w:szCs w:val="21"/>
          <w:highlight w:val="none"/>
        </w:rPr>
      </w:pPr>
      <w:r>
        <w:rPr>
          <w:rFonts w:hint="eastAsia" w:ascii="宋体" w:cs="宋体"/>
          <w:color w:val="auto"/>
          <w:kern w:val="0"/>
          <w:szCs w:val="21"/>
          <w:highlight w:val="none"/>
        </w:rPr>
        <w:t>1.6法律、行政法规规定的其他条件：</w:t>
      </w:r>
    </w:p>
    <w:p w14:paraId="6205571F">
      <w:pPr>
        <w:pageBreakBefore w:val="0"/>
        <w:widowControl/>
        <w:kinsoku/>
        <w:overflowPunct/>
        <w:topLinePunct w:val="0"/>
        <w:autoSpaceDE/>
        <w:autoSpaceDN/>
        <w:bidi w:val="0"/>
        <w:adjustRightInd/>
        <w:snapToGrid/>
        <w:spacing w:line="360" w:lineRule="auto"/>
        <w:ind w:firstLine="525" w:firstLineChars="250"/>
        <w:jc w:val="left"/>
        <w:rPr>
          <w:rFonts w:hint="eastAsia" w:ascii="宋体" w:eastAsia="宋体" w:cs="宋体"/>
          <w:color w:val="auto"/>
          <w:kern w:val="0"/>
          <w:szCs w:val="21"/>
          <w:highlight w:val="none"/>
          <w:lang w:eastAsia="zh-CN"/>
        </w:rPr>
      </w:pPr>
      <w:r>
        <w:rPr>
          <w:rFonts w:hint="eastAsia" w:ascii="宋体" w:cs="宋体"/>
          <w:color w:val="auto"/>
          <w:kern w:val="0"/>
          <w:szCs w:val="21"/>
          <w:highlight w:val="none"/>
        </w:rPr>
        <w:t>1.6.1</w:t>
      </w:r>
      <w:r>
        <w:rPr>
          <w:rFonts w:hint="eastAsia" w:ascii="宋体" w:hAnsi="宋体" w:cs="宋体"/>
          <w:color w:val="auto"/>
          <w:szCs w:val="21"/>
          <w:highlight w:val="none"/>
          <w:lang w:eastAsia="zh-CN"/>
        </w:rPr>
        <w:t>单位负责人为同一人或者存在直接控股、管理关系的不同供应商，不得参加同一采购包的政府采购活动</w:t>
      </w:r>
      <w:r>
        <w:rPr>
          <w:rFonts w:hint="eastAsia" w:ascii="宋体" w:cs="宋体"/>
          <w:color w:val="auto"/>
          <w:kern w:val="0"/>
          <w:szCs w:val="21"/>
          <w:highlight w:val="none"/>
        </w:rPr>
        <w:t>（提供承诺函加盖供应商电子公章）</w:t>
      </w:r>
      <w:r>
        <w:rPr>
          <w:rFonts w:hint="eastAsia" w:ascii="宋体" w:cs="宋体"/>
          <w:color w:val="auto"/>
          <w:kern w:val="0"/>
          <w:szCs w:val="21"/>
          <w:highlight w:val="none"/>
          <w:lang w:eastAsia="zh-CN"/>
        </w:rPr>
        <w:t>；</w:t>
      </w:r>
    </w:p>
    <w:p w14:paraId="092987DD">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lang w:val="en-US" w:eastAsia="zh-CN"/>
        </w:rPr>
        <w:t>1.6.2为采购项目提供整体设计、规范编制和项目管理、监理、检测等服务的供应商，不得参与本项目采购活动</w:t>
      </w:r>
      <w:r>
        <w:rPr>
          <w:rFonts w:hint="eastAsia" w:ascii="宋体" w:cs="宋体"/>
          <w:color w:val="auto"/>
          <w:kern w:val="0"/>
          <w:szCs w:val="21"/>
          <w:highlight w:val="none"/>
        </w:rPr>
        <w:t>（提供承诺函加盖供应商电子公章）；</w:t>
      </w:r>
    </w:p>
    <w:p w14:paraId="7381F64D">
      <w:pPr>
        <w:pageBreakBefore w:val="0"/>
        <w:widowControl/>
        <w:kinsoku/>
        <w:wordWrap w:val="0"/>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1.6.</w:t>
      </w:r>
      <w:r>
        <w:rPr>
          <w:rFonts w:hint="eastAsia" w:ascii="宋体" w:cs="宋体"/>
          <w:color w:val="auto"/>
          <w:kern w:val="0"/>
          <w:szCs w:val="21"/>
          <w:highlight w:val="none"/>
          <w:lang w:val="en-US" w:eastAsia="zh-CN"/>
        </w:rPr>
        <w:t>3供应商</w:t>
      </w:r>
      <w:r>
        <w:rPr>
          <w:rFonts w:hint="eastAsia" w:ascii="宋体" w:cs="宋体"/>
          <w:color w:val="auto"/>
          <w:kern w:val="0"/>
          <w:szCs w:val="21"/>
          <w:highlight w:val="none"/>
          <w:lang w:eastAsia="zh-CN"/>
        </w:rPr>
        <w:t>在“信用中国”网站（www.creditchina.gov.cn）中未被列入失信被执行人、严重失信主体名单和重大税收违法失信主体（查询时间为本公告发布之日起至提交响应文件截止之日止，查询结果以采购人、采购代理机构查询结果为准，并将查询记录和证据留存）</w:t>
      </w:r>
      <w:r>
        <w:rPr>
          <w:rFonts w:hint="eastAsia" w:ascii="宋体" w:cs="宋体"/>
          <w:color w:val="auto"/>
          <w:kern w:val="0"/>
          <w:szCs w:val="21"/>
          <w:highlight w:val="none"/>
        </w:rPr>
        <w:t>；</w:t>
      </w:r>
    </w:p>
    <w:p w14:paraId="5694F784">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1.6.</w:t>
      </w:r>
      <w:r>
        <w:rPr>
          <w:rFonts w:hint="eastAsia" w:ascii="宋体" w:cs="宋体"/>
          <w:color w:val="auto"/>
          <w:kern w:val="0"/>
          <w:szCs w:val="21"/>
          <w:highlight w:val="none"/>
          <w:lang w:val="en-US" w:eastAsia="zh-CN"/>
        </w:rPr>
        <w:t>4供应商在中国政府采购网（www.ccgp.gov.cn）政府采购严重违法失信行为记录名单中未被禁止参加政府采购活动（期限届满除外，查询时间为本公告发布之日起至提交响应文件截止之日止，查询结果以采购人、采购代理机构查询结果为准，并将查询记录和证据留存）</w:t>
      </w:r>
      <w:r>
        <w:rPr>
          <w:rFonts w:hint="eastAsia" w:ascii="宋体" w:cs="宋体"/>
          <w:color w:val="auto"/>
          <w:kern w:val="0"/>
          <w:szCs w:val="21"/>
          <w:highlight w:val="none"/>
        </w:rPr>
        <w:t>；</w:t>
      </w:r>
    </w:p>
    <w:p w14:paraId="6F4147A9">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lang w:val="en-US" w:eastAsia="zh-CN"/>
        </w:rPr>
        <w:t>.</w:t>
      </w:r>
      <w:r>
        <w:rPr>
          <w:rFonts w:hint="eastAsia" w:ascii="宋体" w:cs="宋体"/>
          <w:color w:val="auto"/>
          <w:kern w:val="0"/>
          <w:szCs w:val="21"/>
          <w:highlight w:val="none"/>
        </w:rPr>
        <w:t>落实政府采购政策需满足的资格要求：</w:t>
      </w:r>
      <w:r>
        <w:rPr>
          <w:rFonts w:hint="eastAsia" w:ascii="宋体" w:hAnsi="宋体" w:cs="宋体"/>
          <w:color w:val="auto"/>
          <w:szCs w:val="21"/>
          <w:highlight w:val="none"/>
        </w:rPr>
        <w:t>本项目不属于专门面向中小企业采购的项目。</w:t>
      </w:r>
    </w:p>
    <w:p w14:paraId="38E4D6B5">
      <w:pPr>
        <w:pageBreakBefore w:val="0"/>
        <w:widowControl/>
        <w:kinsoku/>
        <w:overflowPunct/>
        <w:topLinePunct w:val="0"/>
        <w:autoSpaceDE/>
        <w:autoSpaceDN/>
        <w:bidi w:val="0"/>
        <w:adjustRightInd/>
        <w:snapToGrid/>
        <w:spacing w:line="360" w:lineRule="auto"/>
        <w:ind w:firstLine="525" w:firstLineChars="250"/>
        <w:jc w:val="left"/>
        <w:rPr>
          <w:rFonts w:ascii="宋体" w:cs="宋体"/>
          <w:color w:val="auto"/>
          <w:kern w:val="0"/>
          <w:szCs w:val="21"/>
          <w:highlight w:val="none"/>
        </w:rPr>
      </w:pPr>
      <w:r>
        <w:rPr>
          <w:rFonts w:hint="eastAsia" w:ascii="宋体" w:cs="宋体"/>
          <w:color w:val="auto"/>
          <w:kern w:val="0"/>
          <w:szCs w:val="21"/>
          <w:highlight w:val="none"/>
        </w:rPr>
        <w:t>3</w:t>
      </w:r>
      <w:r>
        <w:rPr>
          <w:rFonts w:hint="eastAsia" w:ascii="宋体" w:cs="宋体"/>
          <w:color w:val="auto"/>
          <w:kern w:val="0"/>
          <w:szCs w:val="21"/>
          <w:highlight w:val="none"/>
          <w:lang w:val="en-US" w:eastAsia="zh-CN"/>
        </w:rPr>
        <w:t>.</w:t>
      </w:r>
      <w:r>
        <w:rPr>
          <w:rFonts w:hint="eastAsia" w:ascii="宋体" w:cs="宋体"/>
          <w:color w:val="auto"/>
          <w:kern w:val="0"/>
          <w:szCs w:val="21"/>
          <w:highlight w:val="none"/>
        </w:rPr>
        <w:t>本项目的特定资格要求：</w:t>
      </w:r>
      <w:bookmarkStart w:id="21" w:name="_Toc25648"/>
      <w:bookmarkStart w:id="22" w:name="_Toc29823"/>
      <w:r>
        <w:rPr>
          <w:rFonts w:hint="eastAsia" w:ascii="宋体" w:cs="宋体"/>
          <w:color w:val="auto"/>
          <w:kern w:val="0"/>
          <w:szCs w:val="21"/>
          <w:highlight w:val="none"/>
          <w:lang w:val="en-US" w:eastAsia="zh-CN"/>
        </w:rPr>
        <w:t>无</w:t>
      </w:r>
      <w:r>
        <w:rPr>
          <w:rFonts w:hint="eastAsia" w:ascii="宋体" w:cs="宋体"/>
          <w:color w:val="auto"/>
          <w:kern w:val="0"/>
          <w:szCs w:val="21"/>
          <w:highlight w:val="none"/>
        </w:rPr>
        <w:t>。</w:t>
      </w:r>
      <w:bookmarkEnd w:id="21"/>
      <w:bookmarkEnd w:id="22"/>
    </w:p>
    <w:p w14:paraId="5BAEC2E2">
      <w:pPr>
        <w:pStyle w:val="5"/>
        <w:keepNext/>
        <w:keepLines/>
        <w:pageBreakBefore w:val="0"/>
        <w:widowControl w:val="0"/>
        <w:kinsoku/>
        <w:overflowPunct/>
        <w:topLinePunct w:val="0"/>
        <w:autoSpaceDE/>
        <w:autoSpaceDN/>
        <w:bidi w:val="0"/>
        <w:adjustRightInd/>
        <w:snapToGrid/>
        <w:spacing w:before="0" w:after="0" w:line="360" w:lineRule="auto"/>
        <w:rPr>
          <w:rFonts w:cs="宋体"/>
          <w:color w:val="auto"/>
          <w:szCs w:val="24"/>
          <w:highlight w:val="none"/>
        </w:rPr>
      </w:pPr>
      <w:bookmarkStart w:id="23" w:name="_Toc15851"/>
      <w:bookmarkStart w:id="24" w:name="_Toc7153"/>
      <w:bookmarkStart w:id="25" w:name="_Toc29208"/>
      <w:r>
        <w:rPr>
          <w:rFonts w:hint="eastAsia" w:cs="宋体"/>
          <w:color w:val="auto"/>
          <w:szCs w:val="24"/>
          <w:highlight w:val="none"/>
        </w:rPr>
        <w:t>三、获取采购文件</w:t>
      </w:r>
      <w:bookmarkEnd w:id="23"/>
      <w:bookmarkEnd w:id="24"/>
      <w:bookmarkEnd w:id="25"/>
    </w:p>
    <w:p w14:paraId="29D8195B">
      <w:pPr>
        <w:pageBreakBefore w:val="0"/>
        <w:widowControl w:val="0"/>
        <w:kinsoku/>
        <w:overflowPunct/>
        <w:topLinePunct w:val="0"/>
        <w:autoSpaceDE/>
        <w:autoSpaceDN/>
        <w:bidi w:val="0"/>
        <w:adjustRightInd/>
        <w:snapToGrid/>
        <w:spacing w:line="360" w:lineRule="auto"/>
        <w:ind w:firstLine="420" w:firstLineChars="200"/>
        <w:contextualSpacing/>
        <w:rPr>
          <w:rFonts w:ascii="宋体"/>
          <w:color w:val="auto"/>
          <w:szCs w:val="21"/>
          <w:highlight w:val="none"/>
        </w:rPr>
      </w:pPr>
      <w:r>
        <w:rPr>
          <w:rFonts w:hint="eastAsia" w:ascii="宋体"/>
          <w:color w:val="auto"/>
          <w:szCs w:val="21"/>
          <w:highlight w:val="none"/>
          <w:lang w:val="en-US" w:eastAsia="zh-CN"/>
        </w:rPr>
        <w:t>1.</w:t>
      </w:r>
      <w:r>
        <w:rPr>
          <w:rFonts w:hint="eastAsia" w:ascii="宋体"/>
          <w:color w:val="auto"/>
          <w:szCs w:val="21"/>
          <w:highlight w:val="none"/>
        </w:rPr>
        <w:t>时间：</w:t>
      </w:r>
      <w:r>
        <w:rPr>
          <w:rFonts w:hint="eastAsia" w:ascii="宋体" w:cs="宋体"/>
          <w:color w:val="auto"/>
          <w:kern w:val="0"/>
          <w:szCs w:val="21"/>
          <w:highlight w:val="none"/>
          <w:u w:val="none"/>
          <w:lang w:eastAsia="zh-CN"/>
        </w:rPr>
        <w:t>2026</w:t>
      </w:r>
      <w:r>
        <w:rPr>
          <w:rFonts w:hint="eastAsia" w:ascii="宋体" w:eastAsia="宋体" w:cs="宋体"/>
          <w:color w:val="auto"/>
          <w:kern w:val="0"/>
          <w:szCs w:val="21"/>
          <w:highlight w:val="none"/>
          <w:u w:val="none"/>
        </w:rPr>
        <w:t>年</w:t>
      </w:r>
      <w:r>
        <w:rPr>
          <w:rFonts w:hint="eastAsia" w:ascii="宋体" w:cs="宋体"/>
          <w:color w:val="auto"/>
          <w:kern w:val="0"/>
          <w:szCs w:val="21"/>
          <w:highlight w:val="none"/>
          <w:u w:val="none"/>
          <w:lang w:val="en-US" w:eastAsia="zh-CN"/>
        </w:rPr>
        <w:t>5</w:t>
      </w:r>
      <w:r>
        <w:rPr>
          <w:rFonts w:hint="eastAsia" w:ascii="宋体" w:eastAsia="宋体" w:cs="宋体"/>
          <w:color w:val="auto"/>
          <w:kern w:val="0"/>
          <w:szCs w:val="21"/>
          <w:highlight w:val="none"/>
          <w:u w:val="none"/>
        </w:rPr>
        <w:t>月</w:t>
      </w:r>
      <w:r>
        <w:rPr>
          <w:rFonts w:hint="eastAsia" w:ascii="宋体" w:cs="宋体"/>
          <w:color w:val="auto"/>
          <w:kern w:val="0"/>
          <w:szCs w:val="21"/>
          <w:highlight w:val="none"/>
          <w:u w:val="none"/>
          <w:lang w:val="en-US" w:eastAsia="zh-CN"/>
        </w:rPr>
        <w:t>12</w:t>
      </w:r>
      <w:r>
        <w:rPr>
          <w:rFonts w:hint="eastAsia" w:ascii="宋体" w:eastAsia="宋体" w:cs="宋体"/>
          <w:color w:val="auto"/>
          <w:kern w:val="0"/>
          <w:szCs w:val="21"/>
          <w:highlight w:val="none"/>
          <w:u w:val="none"/>
        </w:rPr>
        <w:t>日</w:t>
      </w:r>
      <w:r>
        <w:rPr>
          <w:rFonts w:hint="eastAsia" w:ascii="宋体" w:eastAsia="宋体" w:cs="宋体"/>
          <w:color w:val="auto"/>
          <w:kern w:val="0"/>
          <w:szCs w:val="21"/>
          <w:highlight w:val="none"/>
          <w:u w:val="none"/>
          <w:lang w:val="en-US" w:eastAsia="zh-CN"/>
        </w:rPr>
        <w:t>06:00</w:t>
      </w:r>
      <w:r>
        <w:rPr>
          <w:rFonts w:hint="eastAsia" w:ascii="宋体" w:eastAsia="宋体" w:cs="宋体"/>
          <w:color w:val="auto"/>
          <w:kern w:val="0"/>
          <w:szCs w:val="21"/>
          <w:highlight w:val="none"/>
          <w:u w:val="none"/>
        </w:rPr>
        <w:t>至202</w:t>
      </w:r>
      <w:r>
        <w:rPr>
          <w:rFonts w:hint="eastAsia" w:ascii="宋体" w:cs="宋体"/>
          <w:color w:val="auto"/>
          <w:kern w:val="0"/>
          <w:szCs w:val="21"/>
          <w:highlight w:val="none"/>
          <w:u w:val="none"/>
          <w:lang w:val="en-US" w:eastAsia="zh-CN"/>
        </w:rPr>
        <w:t>6</w:t>
      </w:r>
      <w:r>
        <w:rPr>
          <w:rFonts w:hint="eastAsia" w:ascii="宋体" w:eastAsia="宋体" w:cs="宋体"/>
          <w:color w:val="auto"/>
          <w:kern w:val="0"/>
          <w:szCs w:val="21"/>
          <w:highlight w:val="none"/>
          <w:u w:val="none"/>
        </w:rPr>
        <w:t>年</w:t>
      </w:r>
      <w:r>
        <w:rPr>
          <w:rFonts w:hint="eastAsia" w:ascii="宋体" w:cs="宋体"/>
          <w:color w:val="auto"/>
          <w:kern w:val="0"/>
          <w:szCs w:val="21"/>
          <w:highlight w:val="none"/>
          <w:u w:val="none"/>
          <w:lang w:val="en-US" w:eastAsia="zh-CN"/>
        </w:rPr>
        <w:t>5</w:t>
      </w:r>
      <w:r>
        <w:rPr>
          <w:rFonts w:hint="eastAsia" w:ascii="宋体" w:eastAsia="宋体" w:cs="宋体"/>
          <w:color w:val="auto"/>
          <w:kern w:val="0"/>
          <w:szCs w:val="21"/>
          <w:highlight w:val="none"/>
          <w:u w:val="none"/>
        </w:rPr>
        <w:t>月</w:t>
      </w:r>
      <w:r>
        <w:rPr>
          <w:rFonts w:hint="eastAsia" w:ascii="宋体" w:cs="宋体"/>
          <w:color w:val="auto"/>
          <w:kern w:val="0"/>
          <w:szCs w:val="21"/>
          <w:highlight w:val="none"/>
          <w:u w:val="none"/>
          <w:lang w:val="en-US" w:eastAsia="zh-CN"/>
        </w:rPr>
        <w:t>19</w:t>
      </w:r>
      <w:r>
        <w:rPr>
          <w:rFonts w:hint="eastAsia" w:ascii="宋体" w:eastAsia="宋体" w:cs="宋体"/>
          <w:color w:val="auto"/>
          <w:kern w:val="0"/>
          <w:szCs w:val="21"/>
          <w:highlight w:val="none"/>
          <w:u w:val="none"/>
        </w:rPr>
        <w:t>日</w:t>
      </w:r>
      <w:r>
        <w:rPr>
          <w:rFonts w:hint="eastAsia" w:ascii="宋体" w:eastAsia="宋体" w:cs="宋体"/>
          <w:color w:val="auto"/>
          <w:kern w:val="0"/>
          <w:szCs w:val="21"/>
          <w:highlight w:val="none"/>
          <w:u w:val="none"/>
          <w:lang w:val="en-US" w:eastAsia="zh-CN"/>
        </w:rPr>
        <w:t>23</w:t>
      </w:r>
      <w:r>
        <w:rPr>
          <w:rFonts w:hint="eastAsia" w:ascii="宋体" w:cs="宋体"/>
          <w:color w:val="auto"/>
          <w:kern w:val="0"/>
          <w:szCs w:val="21"/>
          <w:highlight w:val="none"/>
          <w:u w:val="none"/>
          <w:lang w:val="en-US" w:eastAsia="zh-CN"/>
        </w:rPr>
        <w:t>:</w:t>
      </w:r>
      <w:r>
        <w:rPr>
          <w:rFonts w:hint="eastAsia" w:ascii="宋体" w:eastAsia="宋体" w:cs="宋体"/>
          <w:color w:val="auto"/>
          <w:kern w:val="0"/>
          <w:szCs w:val="21"/>
          <w:highlight w:val="none"/>
          <w:u w:val="none"/>
          <w:lang w:val="en-US" w:eastAsia="zh-CN"/>
        </w:rPr>
        <w:t>59</w:t>
      </w:r>
      <w:r>
        <w:rPr>
          <w:rFonts w:hint="eastAsia" w:ascii="宋体" w:cs="宋体"/>
          <w:color w:val="auto"/>
          <w:szCs w:val="21"/>
          <w:highlight w:val="none"/>
        </w:rPr>
        <w:t>（北京时间）</w:t>
      </w:r>
    </w:p>
    <w:p w14:paraId="1D869CA3">
      <w:pPr>
        <w:pageBreakBefore w:val="0"/>
        <w:widowControl w:val="0"/>
        <w:kinsoku/>
        <w:overflowPunct/>
        <w:topLinePunct w:val="0"/>
        <w:autoSpaceDE/>
        <w:autoSpaceDN/>
        <w:bidi w:val="0"/>
        <w:adjustRightInd/>
        <w:snapToGrid/>
        <w:spacing w:line="360" w:lineRule="auto"/>
        <w:ind w:firstLine="420" w:firstLineChars="200"/>
        <w:contextualSpacing/>
        <w:rPr>
          <w:rFonts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地点：</w:t>
      </w:r>
      <w:r>
        <w:rPr>
          <w:rFonts w:hint="eastAsia" w:ascii="宋体" w:cs="宋体"/>
          <w:color w:val="auto"/>
          <w:szCs w:val="21"/>
          <w:highlight w:val="none"/>
          <w:lang w:eastAsia="zh-CN"/>
        </w:rPr>
        <w:t>云南省政府采购电子交易平台（政采云www.zcygov.cn）</w:t>
      </w:r>
      <w:r>
        <w:rPr>
          <w:rFonts w:hint="eastAsia" w:ascii="宋体" w:cs="宋体"/>
          <w:color w:val="auto"/>
          <w:szCs w:val="21"/>
          <w:highlight w:val="none"/>
          <w:lang w:val="en-US" w:eastAsia="zh-CN"/>
        </w:rPr>
        <w:t>线上获取</w:t>
      </w:r>
      <w:r>
        <w:rPr>
          <w:rFonts w:hint="eastAsia" w:ascii="宋体" w:cs="宋体"/>
          <w:color w:val="auto"/>
          <w:szCs w:val="21"/>
          <w:highlight w:val="none"/>
        </w:rPr>
        <w:t>（操作路径：登录</w:t>
      </w:r>
      <w:r>
        <w:rPr>
          <w:rFonts w:hint="eastAsia" w:ascii="宋体" w:cs="宋体"/>
          <w:color w:val="auto"/>
          <w:szCs w:val="21"/>
          <w:highlight w:val="none"/>
          <w:lang w:eastAsia="zh-CN"/>
        </w:rPr>
        <w:t>云南省政府采购电子交易平台（政采云）</w:t>
      </w:r>
      <w:r>
        <w:rPr>
          <w:rFonts w:hint="eastAsia" w:ascii="宋体" w:cs="宋体"/>
          <w:color w:val="auto"/>
          <w:szCs w:val="21"/>
          <w:highlight w:val="none"/>
        </w:rPr>
        <w:t>-项目采购-获取采购文件 -找到本项目-点击“申请获取采购文件”）</w:t>
      </w:r>
    </w:p>
    <w:p w14:paraId="31D4FF7F">
      <w:pPr>
        <w:pageBreakBefore w:val="0"/>
        <w:widowControl w:val="0"/>
        <w:kinsoku/>
        <w:overflowPunct/>
        <w:topLinePunct w:val="0"/>
        <w:autoSpaceDE/>
        <w:autoSpaceDN/>
        <w:bidi w:val="0"/>
        <w:adjustRightInd/>
        <w:snapToGrid/>
        <w:spacing w:line="360" w:lineRule="auto"/>
        <w:ind w:firstLine="420" w:firstLineChars="200"/>
        <w:contextualSpacing/>
        <w:rPr>
          <w:rFonts w:ascii="宋体"/>
          <w:color w:val="auto"/>
          <w:szCs w:val="21"/>
          <w:highlight w:val="none"/>
        </w:rPr>
      </w:pPr>
      <w:r>
        <w:rPr>
          <w:rFonts w:hint="eastAsia" w:ascii="宋体"/>
          <w:color w:val="auto"/>
          <w:szCs w:val="21"/>
          <w:highlight w:val="none"/>
        </w:rPr>
        <w:t>3.方式：（1）凡有意参与投标者，须在</w:t>
      </w:r>
      <w:r>
        <w:rPr>
          <w:rFonts w:hint="eastAsia" w:ascii="宋体"/>
          <w:color w:val="auto"/>
          <w:szCs w:val="21"/>
          <w:highlight w:val="none"/>
          <w:lang w:eastAsia="zh-CN"/>
        </w:rPr>
        <w:t>云南省政府采购电子交易平台（政采云）</w:t>
      </w:r>
      <w:r>
        <w:rPr>
          <w:rFonts w:hint="eastAsia" w:ascii="宋体"/>
          <w:color w:val="auto"/>
          <w:szCs w:val="21"/>
          <w:highlight w:val="none"/>
        </w:rPr>
        <w:t>办理数字证书（CA），并在</w:t>
      </w:r>
      <w:r>
        <w:rPr>
          <w:rFonts w:hint="eastAsia" w:ascii="宋体"/>
          <w:color w:val="auto"/>
          <w:szCs w:val="21"/>
          <w:highlight w:val="none"/>
          <w:lang w:eastAsia="zh-CN"/>
        </w:rPr>
        <w:t>云南省政府采购电子交易平台（政采云）</w:t>
      </w:r>
      <w:r>
        <w:rPr>
          <w:rFonts w:hint="eastAsia" w:ascii="宋体"/>
          <w:color w:val="auto"/>
          <w:szCs w:val="21"/>
          <w:highlight w:val="none"/>
        </w:rPr>
        <w:t>绑定数字证书（CA）后线上获取采购文件及</w:t>
      </w:r>
      <w:r>
        <w:rPr>
          <w:rFonts w:hint="eastAsia" w:ascii="宋体"/>
          <w:color w:val="auto"/>
          <w:szCs w:val="21"/>
          <w:highlight w:val="none"/>
          <w:lang w:eastAsia="zh-CN"/>
        </w:rPr>
        <w:t>其他</w:t>
      </w:r>
      <w:r>
        <w:rPr>
          <w:rFonts w:hint="eastAsia" w:ascii="宋体"/>
          <w:color w:val="auto"/>
          <w:szCs w:val="21"/>
          <w:highlight w:val="none"/>
        </w:rPr>
        <w:t>采购资料。CA申领后需登录</w:t>
      </w:r>
      <w:r>
        <w:rPr>
          <w:rFonts w:hint="eastAsia" w:ascii="宋体"/>
          <w:color w:val="auto"/>
          <w:szCs w:val="21"/>
          <w:highlight w:val="none"/>
          <w:lang w:eastAsia="zh-CN"/>
        </w:rPr>
        <w:t>云南省政府采购电子交易平台（政采云）</w:t>
      </w:r>
      <w:r>
        <w:rPr>
          <w:rFonts w:hint="eastAsia" w:ascii="宋体"/>
          <w:color w:val="auto"/>
          <w:szCs w:val="21"/>
          <w:highlight w:val="none"/>
        </w:rPr>
        <w:t>完成数字证书（CA）绑定才可以使用；若供应商之前已经注册并办理过企业数字证书（CA）的，可以直接绑定，无需重复办理。供应商在注册办理过程中若有疑问，可以拨打客服热线95763咨询。（2）供应商申领到企业数字证书（CA）后进入</w:t>
      </w:r>
      <w:r>
        <w:rPr>
          <w:rFonts w:hint="eastAsia" w:ascii="宋体"/>
          <w:color w:val="auto"/>
          <w:szCs w:val="21"/>
          <w:highlight w:val="none"/>
          <w:lang w:eastAsia="zh-CN"/>
        </w:rPr>
        <w:t>云南省政府采购电子交易平台（政采云）</w:t>
      </w:r>
      <w:r>
        <w:rPr>
          <w:rFonts w:hint="eastAsia" w:ascii="宋体"/>
          <w:color w:val="auto"/>
          <w:szCs w:val="21"/>
          <w:highlight w:val="none"/>
        </w:rPr>
        <w:t>并绑定企业数字证书（CA），在网上获取采购文件及</w:t>
      </w:r>
      <w:r>
        <w:rPr>
          <w:rFonts w:hint="eastAsia" w:ascii="宋体"/>
          <w:color w:val="auto"/>
          <w:szCs w:val="21"/>
          <w:highlight w:val="none"/>
          <w:lang w:eastAsia="zh-CN"/>
        </w:rPr>
        <w:t>其他</w:t>
      </w:r>
      <w:r>
        <w:rPr>
          <w:rFonts w:hint="eastAsia" w:ascii="宋体"/>
          <w:color w:val="auto"/>
          <w:szCs w:val="21"/>
          <w:highlight w:val="none"/>
        </w:rPr>
        <w:t>采购资料，此为参与投标的唯一途径。（3）按上述要求获取采购文件的供应商视为合法获取了本项目采购文件，具备本项目的投标资格</w:t>
      </w:r>
      <w:r>
        <w:rPr>
          <w:rFonts w:hint="eastAsia" w:ascii="宋体" w:cs="宋体"/>
          <w:color w:val="auto"/>
          <w:szCs w:val="21"/>
          <w:highlight w:val="none"/>
        </w:rPr>
        <w:t>。</w:t>
      </w:r>
    </w:p>
    <w:p w14:paraId="153D9A76">
      <w:pPr>
        <w:pageBreakBefore w:val="0"/>
        <w:widowControl/>
        <w:kinsoku/>
        <w:overflowPunct/>
        <w:topLinePunct w:val="0"/>
        <w:autoSpaceDE/>
        <w:autoSpaceDN/>
        <w:bidi w:val="0"/>
        <w:adjustRightInd/>
        <w:snapToGrid/>
        <w:spacing w:line="360" w:lineRule="auto"/>
        <w:ind w:firstLine="413" w:firstLineChars="197"/>
        <w:jc w:val="left"/>
        <w:rPr>
          <w:rFonts w:ascii="宋体"/>
          <w:color w:val="auto"/>
          <w:szCs w:val="21"/>
          <w:highlight w:val="none"/>
        </w:rPr>
      </w:pPr>
      <w:r>
        <w:rPr>
          <w:rFonts w:hint="eastAsia" w:ascii="宋体"/>
          <w:color w:val="auto"/>
          <w:szCs w:val="21"/>
          <w:highlight w:val="none"/>
          <w:lang w:val="en-US" w:eastAsia="zh-CN"/>
        </w:rPr>
        <w:t>4.</w:t>
      </w:r>
      <w:r>
        <w:rPr>
          <w:rFonts w:hint="eastAsia" w:ascii="宋体"/>
          <w:color w:val="auto"/>
          <w:szCs w:val="21"/>
          <w:highlight w:val="none"/>
        </w:rPr>
        <w:t>售价：</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w:t>
      </w:r>
      <w:r>
        <w:rPr>
          <w:rFonts w:ascii="宋体"/>
          <w:color w:val="auto"/>
          <w:szCs w:val="21"/>
          <w:highlight w:val="none"/>
          <w:u w:val="single"/>
        </w:rPr>
        <w:t xml:space="preserve"> </w:t>
      </w:r>
      <w:r>
        <w:rPr>
          <w:rFonts w:hint="eastAsia" w:ascii="宋体"/>
          <w:color w:val="auto"/>
          <w:szCs w:val="21"/>
          <w:highlight w:val="none"/>
        </w:rPr>
        <w:t>元。</w:t>
      </w:r>
    </w:p>
    <w:p w14:paraId="2B58C82E">
      <w:pPr>
        <w:pStyle w:val="5"/>
        <w:keepNext/>
        <w:keepLines/>
        <w:pageBreakBefore w:val="0"/>
        <w:widowControl w:val="0"/>
        <w:kinsoku/>
        <w:overflowPunct/>
        <w:topLinePunct w:val="0"/>
        <w:autoSpaceDE/>
        <w:autoSpaceDN/>
        <w:bidi w:val="0"/>
        <w:adjustRightInd/>
        <w:snapToGrid/>
        <w:spacing w:before="0" w:after="0" w:line="360" w:lineRule="auto"/>
        <w:rPr>
          <w:rFonts w:cs="宋体"/>
          <w:color w:val="auto"/>
          <w:szCs w:val="24"/>
          <w:highlight w:val="none"/>
        </w:rPr>
      </w:pPr>
      <w:bookmarkStart w:id="26" w:name="_Toc28196"/>
      <w:bookmarkStart w:id="27" w:name="_Toc31644"/>
      <w:bookmarkStart w:id="28" w:name="_Toc1771"/>
      <w:r>
        <w:rPr>
          <w:rFonts w:hint="eastAsia" w:cs="宋体"/>
          <w:color w:val="auto"/>
          <w:szCs w:val="24"/>
          <w:highlight w:val="none"/>
        </w:rPr>
        <w:t>四、</w:t>
      </w:r>
      <w:bookmarkEnd w:id="26"/>
      <w:bookmarkEnd w:id="27"/>
      <w:bookmarkEnd w:id="28"/>
      <w:r>
        <w:rPr>
          <w:rFonts w:hint="eastAsia" w:cs="宋体"/>
          <w:bCs/>
          <w:color w:val="auto"/>
          <w:szCs w:val="24"/>
          <w:highlight w:val="none"/>
        </w:rPr>
        <w:t>响应文件提交</w:t>
      </w:r>
    </w:p>
    <w:p w14:paraId="5B256464">
      <w:pPr>
        <w:pageBreakBefore w:val="0"/>
        <w:widowControl/>
        <w:kinsoku/>
        <w:overflowPunct/>
        <w:topLinePunct w:val="0"/>
        <w:autoSpaceDE/>
        <w:autoSpaceDN/>
        <w:bidi w:val="0"/>
        <w:adjustRightInd/>
        <w:snapToGrid/>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截止时间：</w:t>
      </w:r>
      <w:r>
        <w:rPr>
          <w:rFonts w:hint="eastAsia" w:ascii="宋体" w:cs="宋体"/>
          <w:color w:val="auto"/>
          <w:kern w:val="0"/>
          <w:szCs w:val="21"/>
          <w:highlight w:val="none"/>
          <w:u w:val="none"/>
        </w:rPr>
        <w:t>202</w:t>
      </w:r>
      <w:r>
        <w:rPr>
          <w:rFonts w:hint="eastAsia" w:ascii="宋体" w:cs="宋体"/>
          <w:color w:val="auto"/>
          <w:kern w:val="0"/>
          <w:szCs w:val="21"/>
          <w:highlight w:val="none"/>
          <w:u w:val="none"/>
          <w:lang w:val="en-US" w:eastAsia="zh-CN"/>
        </w:rPr>
        <w:t>6</w:t>
      </w:r>
      <w:r>
        <w:rPr>
          <w:rFonts w:hint="eastAsia" w:ascii="宋体" w:cs="宋体"/>
          <w:color w:val="auto"/>
          <w:kern w:val="0"/>
          <w:szCs w:val="21"/>
          <w:highlight w:val="none"/>
        </w:rPr>
        <w:t>年</w:t>
      </w:r>
      <w:r>
        <w:rPr>
          <w:rFonts w:hint="eastAsia" w:ascii="宋体" w:cs="宋体"/>
          <w:color w:val="auto"/>
          <w:kern w:val="0"/>
          <w:szCs w:val="21"/>
          <w:highlight w:val="none"/>
          <w:lang w:val="en-US" w:eastAsia="zh-CN"/>
        </w:rPr>
        <w:t>5</w:t>
      </w:r>
      <w:r>
        <w:rPr>
          <w:rFonts w:hint="eastAsia" w:ascii="宋体" w:cs="宋体"/>
          <w:color w:val="auto"/>
          <w:kern w:val="0"/>
          <w:szCs w:val="21"/>
          <w:highlight w:val="none"/>
        </w:rPr>
        <w:t>月</w:t>
      </w:r>
      <w:r>
        <w:rPr>
          <w:rFonts w:hint="eastAsia" w:ascii="宋体" w:cs="宋体"/>
          <w:color w:val="auto"/>
          <w:kern w:val="0"/>
          <w:szCs w:val="21"/>
          <w:highlight w:val="none"/>
          <w:lang w:val="en-US" w:eastAsia="zh-CN"/>
        </w:rPr>
        <w:t>25</w:t>
      </w:r>
      <w:r>
        <w:rPr>
          <w:rFonts w:hint="eastAsia" w:ascii="宋体" w:cs="宋体"/>
          <w:color w:val="auto"/>
          <w:kern w:val="0"/>
          <w:szCs w:val="21"/>
          <w:highlight w:val="none"/>
        </w:rPr>
        <w:t>日</w:t>
      </w:r>
      <w:r>
        <w:rPr>
          <w:rFonts w:hint="eastAsia" w:ascii="宋体" w:cs="宋体"/>
          <w:color w:val="auto"/>
          <w:kern w:val="0"/>
          <w:szCs w:val="21"/>
          <w:highlight w:val="none"/>
          <w:lang w:val="en-US" w:eastAsia="zh-CN"/>
        </w:rPr>
        <w:t>14</w:t>
      </w:r>
      <w:r>
        <w:rPr>
          <w:rFonts w:hint="eastAsia" w:ascii="宋体" w:cs="宋体"/>
          <w:color w:val="auto"/>
          <w:kern w:val="0"/>
          <w:szCs w:val="21"/>
          <w:highlight w:val="none"/>
        </w:rPr>
        <w:t>点</w:t>
      </w:r>
      <w:r>
        <w:rPr>
          <w:rFonts w:hint="eastAsia" w:ascii="宋体" w:cs="宋体"/>
          <w:color w:val="auto"/>
          <w:kern w:val="0"/>
          <w:szCs w:val="21"/>
          <w:highlight w:val="none"/>
          <w:lang w:val="en-US" w:eastAsia="zh-CN"/>
        </w:rPr>
        <w:t>30</w:t>
      </w:r>
      <w:r>
        <w:rPr>
          <w:rFonts w:hint="eastAsia" w:ascii="宋体" w:cs="宋体"/>
          <w:color w:val="auto"/>
          <w:kern w:val="0"/>
          <w:szCs w:val="21"/>
          <w:highlight w:val="none"/>
        </w:rPr>
        <w:t>分</w:t>
      </w:r>
      <w:r>
        <w:rPr>
          <w:rFonts w:hint="eastAsia" w:ascii="宋体" w:cs="宋体"/>
          <w:color w:val="auto"/>
          <w:szCs w:val="21"/>
          <w:highlight w:val="none"/>
        </w:rPr>
        <w:t>（北京时间）；</w:t>
      </w:r>
    </w:p>
    <w:p w14:paraId="23AE5832">
      <w:pPr>
        <w:pageBreakBefore w:val="0"/>
        <w:widowControl w:val="0"/>
        <w:kinsoku/>
        <w:overflowPunct/>
        <w:topLinePunct w:val="0"/>
        <w:autoSpaceDE/>
        <w:autoSpaceDN/>
        <w:bidi w:val="0"/>
        <w:adjustRightInd/>
        <w:snapToGrid/>
        <w:spacing w:line="360" w:lineRule="auto"/>
        <w:ind w:firstLine="420" w:firstLineChars="200"/>
        <w:rPr>
          <w:rFonts w:ascii="宋体" w:cs="宋体"/>
          <w:bCs/>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地点：供应商应按照本项目采购文件和</w:t>
      </w:r>
      <w:r>
        <w:rPr>
          <w:rFonts w:hint="eastAsia" w:ascii="宋体" w:cs="宋体"/>
          <w:color w:val="auto"/>
          <w:szCs w:val="21"/>
          <w:highlight w:val="none"/>
          <w:lang w:eastAsia="zh-CN"/>
        </w:rPr>
        <w:t>云南省政府采购电子交易平台（政采云）</w:t>
      </w:r>
      <w:r>
        <w:rPr>
          <w:rFonts w:hint="eastAsia" w:ascii="宋体" w:cs="宋体"/>
          <w:color w:val="auto"/>
          <w:szCs w:val="21"/>
          <w:highlight w:val="none"/>
        </w:rPr>
        <w:t>的要求编制、加密响应文件后在响应文件提交截止时间前上传至</w:t>
      </w:r>
      <w:r>
        <w:rPr>
          <w:rFonts w:hint="eastAsia" w:ascii="宋体" w:cs="宋体"/>
          <w:color w:val="auto"/>
          <w:szCs w:val="21"/>
          <w:highlight w:val="none"/>
          <w:lang w:eastAsia="zh-CN"/>
        </w:rPr>
        <w:t>云南省政府采购电子交易平台（政采云）</w:t>
      </w:r>
      <w:r>
        <w:rPr>
          <w:rFonts w:hint="eastAsia" w:ascii="宋体" w:cs="宋体"/>
          <w:color w:val="auto"/>
          <w:szCs w:val="21"/>
          <w:highlight w:val="none"/>
        </w:rPr>
        <w:t>，响应文件截止时间前未完成响应文件传输的，视为撤回响应文件。供应商在</w:t>
      </w:r>
      <w:r>
        <w:rPr>
          <w:rFonts w:hint="eastAsia" w:ascii="宋体" w:cs="宋体"/>
          <w:color w:val="auto"/>
          <w:szCs w:val="21"/>
          <w:highlight w:val="none"/>
          <w:lang w:eastAsia="zh-CN"/>
        </w:rPr>
        <w:t>云南省政府采购电子交易平台（政采云）</w:t>
      </w:r>
      <w:r>
        <w:rPr>
          <w:rFonts w:hint="eastAsia" w:ascii="宋体" w:cs="宋体"/>
          <w:color w:val="auto"/>
          <w:szCs w:val="21"/>
          <w:highlight w:val="none"/>
        </w:rPr>
        <w:t>提交电子版响应文件时，请填写参加远程采购活动经办人联系方式</w:t>
      </w:r>
      <w:r>
        <w:rPr>
          <w:rFonts w:hint="eastAsia" w:ascii="宋体"/>
          <w:color w:val="auto"/>
          <w:szCs w:val="21"/>
          <w:highlight w:val="none"/>
        </w:rPr>
        <w:t>。</w:t>
      </w:r>
    </w:p>
    <w:p w14:paraId="49D51B22">
      <w:pPr>
        <w:pStyle w:val="5"/>
        <w:keepNext/>
        <w:keepLines/>
        <w:pageBreakBefore w:val="0"/>
        <w:widowControl w:val="0"/>
        <w:kinsoku/>
        <w:overflowPunct/>
        <w:topLinePunct w:val="0"/>
        <w:autoSpaceDE/>
        <w:autoSpaceDN/>
        <w:bidi w:val="0"/>
        <w:adjustRightInd/>
        <w:snapToGrid/>
        <w:spacing w:before="0" w:after="0" w:line="360" w:lineRule="auto"/>
        <w:rPr>
          <w:rFonts w:cs="宋体"/>
          <w:bCs/>
          <w:color w:val="auto"/>
          <w:szCs w:val="24"/>
          <w:highlight w:val="none"/>
        </w:rPr>
      </w:pPr>
      <w:bookmarkStart w:id="29" w:name="_Toc9571"/>
      <w:bookmarkStart w:id="30" w:name="_Toc20988"/>
      <w:bookmarkStart w:id="31" w:name="_Toc26887"/>
      <w:r>
        <w:rPr>
          <w:rFonts w:hint="eastAsia" w:cs="宋体"/>
          <w:bCs/>
          <w:color w:val="auto"/>
          <w:szCs w:val="24"/>
          <w:highlight w:val="none"/>
        </w:rPr>
        <w:t>五、开启</w:t>
      </w:r>
    </w:p>
    <w:p w14:paraId="348032C5">
      <w:pPr>
        <w:pageBreakBefore w:val="0"/>
        <w:widowControl/>
        <w:kinsoku/>
        <w:overflowPunct/>
        <w:topLinePunct w:val="0"/>
        <w:autoSpaceDE/>
        <w:autoSpaceDN/>
        <w:bidi w:val="0"/>
        <w:adjustRightInd/>
        <w:snapToGrid/>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1.时间：</w:t>
      </w:r>
      <w:r>
        <w:rPr>
          <w:rFonts w:hint="eastAsia" w:ascii="宋体" w:cs="宋体"/>
          <w:color w:val="auto"/>
          <w:kern w:val="0"/>
          <w:szCs w:val="21"/>
          <w:highlight w:val="none"/>
          <w:u w:val="none"/>
        </w:rPr>
        <w:t>202</w:t>
      </w:r>
      <w:r>
        <w:rPr>
          <w:rFonts w:hint="eastAsia" w:ascii="宋体" w:cs="宋体"/>
          <w:color w:val="auto"/>
          <w:kern w:val="0"/>
          <w:szCs w:val="21"/>
          <w:highlight w:val="none"/>
          <w:u w:val="none"/>
          <w:lang w:val="en-US" w:eastAsia="zh-CN"/>
        </w:rPr>
        <w:t>6</w:t>
      </w:r>
      <w:r>
        <w:rPr>
          <w:rFonts w:hint="eastAsia" w:ascii="宋体" w:cs="宋体"/>
          <w:color w:val="auto"/>
          <w:kern w:val="0"/>
          <w:szCs w:val="21"/>
          <w:highlight w:val="none"/>
        </w:rPr>
        <w:t>年</w:t>
      </w:r>
      <w:r>
        <w:rPr>
          <w:rFonts w:hint="eastAsia" w:ascii="宋体" w:cs="宋体"/>
          <w:color w:val="auto"/>
          <w:kern w:val="0"/>
          <w:szCs w:val="21"/>
          <w:highlight w:val="none"/>
          <w:lang w:val="en-US" w:eastAsia="zh-CN"/>
        </w:rPr>
        <w:t>5</w:t>
      </w:r>
      <w:r>
        <w:rPr>
          <w:rFonts w:hint="eastAsia" w:ascii="宋体" w:cs="宋体"/>
          <w:color w:val="auto"/>
          <w:kern w:val="0"/>
          <w:szCs w:val="21"/>
          <w:highlight w:val="none"/>
        </w:rPr>
        <w:t>月</w:t>
      </w:r>
      <w:r>
        <w:rPr>
          <w:rFonts w:hint="eastAsia" w:ascii="宋体" w:cs="宋体"/>
          <w:color w:val="auto"/>
          <w:kern w:val="0"/>
          <w:szCs w:val="21"/>
          <w:highlight w:val="none"/>
          <w:lang w:val="en-US" w:eastAsia="zh-CN"/>
        </w:rPr>
        <w:t>25</w:t>
      </w:r>
      <w:r>
        <w:rPr>
          <w:rFonts w:hint="eastAsia" w:ascii="宋体" w:cs="宋体"/>
          <w:color w:val="auto"/>
          <w:kern w:val="0"/>
          <w:szCs w:val="21"/>
          <w:highlight w:val="none"/>
        </w:rPr>
        <w:t>日</w:t>
      </w:r>
      <w:r>
        <w:rPr>
          <w:rFonts w:hint="eastAsia" w:ascii="宋体" w:cs="宋体"/>
          <w:color w:val="auto"/>
          <w:kern w:val="0"/>
          <w:szCs w:val="21"/>
          <w:highlight w:val="none"/>
          <w:lang w:val="en-US" w:eastAsia="zh-CN"/>
        </w:rPr>
        <w:t>14</w:t>
      </w:r>
      <w:r>
        <w:rPr>
          <w:rFonts w:hint="eastAsia" w:ascii="宋体" w:cs="宋体"/>
          <w:color w:val="auto"/>
          <w:kern w:val="0"/>
          <w:szCs w:val="21"/>
          <w:highlight w:val="none"/>
        </w:rPr>
        <w:t>点</w:t>
      </w:r>
      <w:r>
        <w:rPr>
          <w:rFonts w:hint="eastAsia" w:ascii="宋体" w:cs="宋体"/>
          <w:color w:val="auto"/>
          <w:kern w:val="0"/>
          <w:szCs w:val="21"/>
          <w:highlight w:val="none"/>
          <w:lang w:val="en-US" w:eastAsia="zh-CN"/>
        </w:rPr>
        <w:t>30</w:t>
      </w:r>
      <w:r>
        <w:rPr>
          <w:rFonts w:hint="eastAsia" w:ascii="宋体" w:cs="宋体"/>
          <w:color w:val="auto"/>
          <w:kern w:val="0"/>
          <w:szCs w:val="21"/>
          <w:highlight w:val="none"/>
        </w:rPr>
        <w:t>分</w:t>
      </w:r>
      <w:r>
        <w:rPr>
          <w:rFonts w:hint="eastAsia" w:ascii="宋体" w:cs="宋体"/>
          <w:color w:val="auto"/>
          <w:szCs w:val="21"/>
          <w:highlight w:val="none"/>
        </w:rPr>
        <w:t>（北京时间）</w:t>
      </w:r>
    </w:p>
    <w:p w14:paraId="158E18F8">
      <w:pPr>
        <w:pageBreakBefore w:val="0"/>
        <w:widowControl/>
        <w:kinsoku/>
        <w:overflowPunct/>
        <w:topLinePunct w:val="0"/>
        <w:autoSpaceDE/>
        <w:autoSpaceDN/>
        <w:bidi w:val="0"/>
        <w:adjustRightInd/>
        <w:snapToGrid/>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2.地点：云南冠睿咨询有限公司电子</w:t>
      </w:r>
      <w:r>
        <w:rPr>
          <w:rFonts w:hint="eastAsia" w:ascii="宋体" w:eastAsia="宋体" w:cs="宋体"/>
          <w:color w:val="auto"/>
          <w:kern w:val="0"/>
          <w:szCs w:val="21"/>
          <w:highlight w:val="none"/>
          <w:u w:val="none"/>
          <w:lang w:val="en-US" w:eastAsia="zh-CN"/>
        </w:rPr>
        <w:t>评标</w:t>
      </w:r>
      <w:r>
        <w:rPr>
          <w:rFonts w:hint="eastAsia" w:ascii="宋体" w:cs="宋体"/>
          <w:color w:val="auto"/>
          <w:kern w:val="0"/>
          <w:szCs w:val="21"/>
          <w:highlight w:val="none"/>
          <w:u w:val="none"/>
          <w:lang w:val="en-US" w:eastAsia="zh-CN"/>
        </w:rPr>
        <w:t>七</w:t>
      </w:r>
      <w:r>
        <w:rPr>
          <w:rFonts w:hint="eastAsia" w:ascii="宋体" w:eastAsia="宋体" w:cs="宋体"/>
          <w:color w:val="auto"/>
          <w:kern w:val="0"/>
          <w:szCs w:val="21"/>
          <w:highlight w:val="none"/>
          <w:u w:val="none"/>
          <w:lang w:val="en-US" w:eastAsia="zh-CN"/>
        </w:rPr>
        <w:t>厅</w:t>
      </w:r>
      <w:r>
        <w:rPr>
          <w:rFonts w:hint="eastAsia" w:ascii="宋体" w:cs="宋体"/>
          <w:color w:val="auto"/>
          <w:szCs w:val="21"/>
          <w:highlight w:val="none"/>
        </w:rPr>
        <w:t>（云南省昆明市西山区万达广场南塔33层3310号），供应商无需到达开标地点，须在</w:t>
      </w:r>
      <w:r>
        <w:rPr>
          <w:rFonts w:hint="eastAsia" w:ascii="宋体" w:cs="宋体"/>
          <w:color w:val="auto"/>
          <w:szCs w:val="21"/>
          <w:highlight w:val="none"/>
          <w:lang w:eastAsia="zh-CN"/>
        </w:rPr>
        <w:t>云南省政府采购电子交易平台（政采云）</w:t>
      </w:r>
      <w:r>
        <w:rPr>
          <w:rFonts w:hint="eastAsia" w:ascii="宋体" w:cs="宋体"/>
          <w:color w:val="auto"/>
          <w:szCs w:val="21"/>
          <w:highlight w:val="none"/>
        </w:rPr>
        <w:t>进行远程解密电子版响应文件。</w:t>
      </w:r>
    </w:p>
    <w:p w14:paraId="2BD75ACB">
      <w:pPr>
        <w:pStyle w:val="5"/>
        <w:keepNext/>
        <w:keepLines/>
        <w:pageBreakBefore w:val="0"/>
        <w:widowControl w:val="0"/>
        <w:kinsoku/>
        <w:overflowPunct/>
        <w:topLinePunct w:val="0"/>
        <w:autoSpaceDE/>
        <w:autoSpaceDN/>
        <w:bidi w:val="0"/>
        <w:adjustRightInd/>
        <w:snapToGrid/>
        <w:spacing w:before="0" w:after="0" w:line="360" w:lineRule="auto"/>
        <w:rPr>
          <w:rFonts w:cs="宋体"/>
          <w:color w:val="auto"/>
          <w:szCs w:val="24"/>
          <w:highlight w:val="none"/>
        </w:rPr>
      </w:pPr>
      <w:r>
        <w:rPr>
          <w:rFonts w:hint="eastAsia" w:cs="宋体"/>
          <w:color w:val="auto"/>
          <w:szCs w:val="24"/>
          <w:highlight w:val="none"/>
        </w:rPr>
        <w:t>六、公告期限</w:t>
      </w:r>
      <w:bookmarkEnd w:id="29"/>
      <w:bookmarkEnd w:id="30"/>
      <w:bookmarkEnd w:id="31"/>
    </w:p>
    <w:p w14:paraId="657AD10C">
      <w:pPr>
        <w:pageBreakBefore w:val="0"/>
        <w:widowControl w:val="0"/>
        <w:kinsoku/>
        <w:overflowPunct/>
        <w:topLinePunct w:val="0"/>
        <w:autoSpaceDE/>
        <w:autoSpaceDN/>
        <w:bidi w:val="0"/>
        <w:adjustRightInd/>
        <w:snapToGrid/>
        <w:spacing w:line="360" w:lineRule="auto"/>
        <w:ind w:firstLine="525" w:firstLineChars="250"/>
        <w:rPr>
          <w:rFonts w:ascii="宋体" w:cs="宋体"/>
          <w:color w:val="auto"/>
          <w:szCs w:val="21"/>
          <w:highlight w:val="none"/>
        </w:rPr>
      </w:pPr>
      <w:r>
        <w:rPr>
          <w:rFonts w:hint="eastAsia" w:ascii="宋体" w:cs="宋体"/>
          <w:color w:val="auto"/>
          <w:szCs w:val="21"/>
          <w:highlight w:val="none"/>
        </w:rPr>
        <w:t>自本公告发布之日起3个工作日。</w:t>
      </w:r>
    </w:p>
    <w:p w14:paraId="5F5E8A8D">
      <w:pPr>
        <w:pStyle w:val="5"/>
        <w:keepNext/>
        <w:keepLines/>
        <w:pageBreakBefore w:val="0"/>
        <w:widowControl w:val="0"/>
        <w:kinsoku/>
        <w:overflowPunct/>
        <w:topLinePunct w:val="0"/>
        <w:autoSpaceDE/>
        <w:autoSpaceDN/>
        <w:bidi w:val="0"/>
        <w:adjustRightInd/>
        <w:snapToGrid/>
        <w:spacing w:before="0" w:after="0" w:line="360" w:lineRule="auto"/>
        <w:rPr>
          <w:rFonts w:cs="宋体"/>
          <w:color w:val="auto"/>
          <w:szCs w:val="24"/>
          <w:highlight w:val="none"/>
        </w:rPr>
      </w:pPr>
      <w:bookmarkStart w:id="32" w:name="_Toc4759"/>
      <w:bookmarkStart w:id="33" w:name="_Toc29486"/>
      <w:bookmarkStart w:id="34" w:name="_Toc35393795"/>
      <w:bookmarkStart w:id="35" w:name="_Toc35393626"/>
      <w:bookmarkStart w:id="36" w:name="_Toc25819"/>
      <w:r>
        <w:rPr>
          <w:rFonts w:hint="eastAsia" w:cs="宋体"/>
          <w:color w:val="auto"/>
          <w:szCs w:val="24"/>
          <w:highlight w:val="none"/>
        </w:rPr>
        <w:t>七、其他补充事宜</w:t>
      </w:r>
      <w:bookmarkEnd w:id="32"/>
      <w:bookmarkEnd w:id="33"/>
      <w:bookmarkEnd w:id="34"/>
      <w:bookmarkEnd w:id="35"/>
      <w:bookmarkEnd w:id="36"/>
    </w:p>
    <w:p w14:paraId="461B8225">
      <w:pPr>
        <w:pageBreakBefore w:val="0"/>
        <w:widowControl w:val="0"/>
        <w:kinsoku/>
        <w:overflowPunct/>
        <w:topLinePunct w:val="0"/>
        <w:autoSpaceDE/>
        <w:autoSpaceDN/>
        <w:bidi w:val="0"/>
        <w:adjustRightInd/>
        <w:snapToGrid/>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1.</w:t>
      </w:r>
      <w:r>
        <w:rPr>
          <w:rFonts w:hint="eastAsia" w:ascii="宋体" w:eastAsia="宋体" w:cs="宋体"/>
          <w:color w:val="auto"/>
          <w:szCs w:val="21"/>
          <w:highlight w:val="none"/>
        </w:rPr>
        <w:t>本次采购公告在云南省政府采购网上发布。请各位供应商在递交投标（响应）文件前随时查看，以获取最新的消息。</w:t>
      </w:r>
    </w:p>
    <w:p w14:paraId="6215CC0B">
      <w:pPr>
        <w:pageBreakBefore w:val="0"/>
        <w:widowControl w:val="0"/>
        <w:kinsoku/>
        <w:overflowPunct/>
        <w:topLinePunct w:val="0"/>
        <w:autoSpaceDE/>
        <w:autoSpaceDN/>
        <w:bidi w:val="0"/>
        <w:adjustRightInd/>
        <w:snapToGrid/>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2.</w:t>
      </w:r>
      <w:r>
        <w:rPr>
          <w:rFonts w:hint="eastAsia" w:ascii="宋体" w:eastAsia="宋体" w:cs="宋体"/>
          <w:color w:val="auto"/>
          <w:szCs w:val="21"/>
          <w:highlight w:val="none"/>
        </w:rPr>
        <w:t>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281EF4C5">
      <w:pPr>
        <w:pageBreakBefore w:val="0"/>
        <w:widowControl w:val="0"/>
        <w:kinsoku/>
        <w:overflowPunct/>
        <w:topLinePunct w:val="0"/>
        <w:autoSpaceDE/>
        <w:autoSpaceDN/>
        <w:bidi w:val="0"/>
        <w:adjustRightInd/>
        <w:snapToGrid/>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lang w:val="en-US" w:eastAsia="zh-CN"/>
        </w:rPr>
        <w:t>3.</w:t>
      </w:r>
      <w:r>
        <w:rPr>
          <w:rFonts w:hint="eastAsia" w:ascii="宋体" w:eastAsia="宋体" w:cs="宋体"/>
          <w:color w:val="auto"/>
          <w:szCs w:val="21"/>
          <w:highlight w:val="none"/>
        </w:rPr>
        <w:t>本项目需要落实的政府采购政策：促进中小企业发展、促进残疾人就业、支持监狱企业发展、政府采购活动中查询及使用信用记录等，政府采购政策具体落实情况详见本项目采购文件。</w:t>
      </w:r>
    </w:p>
    <w:p w14:paraId="7503478A">
      <w:pPr>
        <w:pStyle w:val="5"/>
        <w:keepNext/>
        <w:keepLines/>
        <w:pageBreakBefore w:val="0"/>
        <w:widowControl w:val="0"/>
        <w:kinsoku/>
        <w:overflowPunct/>
        <w:topLinePunct w:val="0"/>
        <w:autoSpaceDE/>
        <w:autoSpaceDN/>
        <w:bidi w:val="0"/>
        <w:adjustRightInd/>
        <w:snapToGrid/>
        <w:spacing w:before="0" w:after="0" w:line="360" w:lineRule="auto"/>
        <w:rPr>
          <w:rFonts w:cs="宋体"/>
          <w:color w:val="auto"/>
          <w:szCs w:val="24"/>
          <w:highlight w:val="none"/>
        </w:rPr>
      </w:pPr>
      <w:bookmarkStart w:id="37" w:name="_Toc27286"/>
      <w:bookmarkStart w:id="38" w:name="_Toc4821"/>
      <w:bookmarkStart w:id="39" w:name="_Toc10517"/>
      <w:r>
        <w:rPr>
          <w:rFonts w:hint="eastAsia" w:cs="宋体"/>
          <w:color w:val="auto"/>
          <w:szCs w:val="24"/>
          <w:highlight w:val="none"/>
        </w:rPr>
        <w:t>八、对本次采购提出询问，请按以下方式联系</w:t>
      </w:r>
      <w:bookmarkEnd w:id="37"/>
      <w:bookmarkEnd w:id="38"/>
      <w:bookmarkEnd w:id="39"/>
    </w:p>
    <w:bookmarkEnd w:id="9"/>
    <w:bookmarkEnd w:id="10"/>
    <w:p w14:paraId="3046CA4B">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1.采购人信息</w:t>
      </w:r>
    </w:p>
    <w:p w14:paraId="0BDDC829">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名称：</w:t>
      </w:r>
      <w:r>
        <w:rPr>
          <w:rFonts w:hint="eastAsia" w:ascii="宋体" w:hAnsi="宋体" w:cs="宋体"/>
          <w:bCs/>
          <w:color w:val="auto"/>
          <w:szCs w:val="21"/>
          <w:highlight w:val="none"/>
          <w:lang w:val="en-US" w:eastAsia="zh-CN"/>
        </w:rPr>
        <w:t>昆明市生态环境局经开分局</w:t>
      </w:r>
    </w:p>
    <w:p w14:paraId="4745C705">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地址：昆明经济技术开发区信息产业基地云湾路25号优立元集团9幢9楼</w:t>
      </w:r>
    </w:p>
    <w:p w14:paraId="517D08FD">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联系人：</w:t>
      </w:r>
      <w:r>
        <w:rPr>
          <w:rFonts w:hint="eastAsia" w:ascii="宋体" w:hAnsi="宋体" w:cs="宋体"/>
          <w:bCs/>
          <w:color w:val="auto"/>
          <w:szCs w:val="21"/>
          <w:highlight w:val="none"/>
          <w:lang w:val="en-US" w:eastAsia="zh-CN"/>
        </w:rPr>
        <w:t>李</w:t>
      </w:r>
      <w:r>
        <w:rPr>
          <w:rFonts w:hint="eastAsia" w:ascii="宋体" w:hAnsi="宋体" w:eastAsia="宋体" w:cs="宋体"/>
          <w:bCs/>
          <w:color w:val="auto"/>
          <w:szCs w:val="21"/>
          <w:highlight w:val="none"/>
          <w:lang w:val="en-US" w:eastAsia="zh-CN"/>
        </w:rPr>
        <w:t>老师</w:t>
      </w:r>
    </w:p>
    <w:p w14:paraId="04FB3C2B">
      <w:pPr>
        <w:pageBreakBefore w:val="0"/>
        <w:widowControl/>
        <w:kinsoku/>
        <w:overflowPunct/>
        <w:topLinePunct w:val="0"/>
        <w:autoSpaceDE/>
        <w:autoSpaceDN/>
        <w:bidi w:val="0"/>
        <w:adjustRightInd/>
        <w:snapToGrid/>
        <w:spacing w:line="360" w:lineRule="auto"/>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联系电话：0871-68163096</w:t>
      </w:r>
    </w:p>
    <w:p w14:paraId="5316AB77">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2.采购代理机构信息</w:t>
      </w:r>
    </w:p>
    <w:p w14:paraId="7C7080A3">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名称：云南冠睿咨询有限公司</w:t>
      </w:r>
    </w:p>
    <w:p w14:paraId="72425E3A">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地址：云南省昆明市西山区万达广场南塔32楼3201号、33楼3310号</w:t>
      </w:r>
    </w:p>
    <w:p w14:paraId="6A8A9E8D">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联系方式：0871-65511240、0871-65511241</w:t>
      </w:r>
    </w:p>
    <w:p w14:paraId="3AEE4A26">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3.项目联系方式</w:t>
      </w:r>
    </w:p>
    <w:p w14:paraId="506F6AC3">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项目联系人：</w:t>
      </w:r>
      <w:r>
        <w:rPr>
          <w:rFonts w:hint="eastAsia" w:ascii="宋体" w:hAnsi="宋体" w:cs="宋体"/>
          <w:bCs/>
          <w:color w:val="auto"/>
          <w:szCs w:val="21"/>
          <w:highlight w:val="none"/>
          <w:lang w:val="en-US" w:eastAsia="zh-CN"/>
        </w:rPr>
        <w:t>李腾芳、王彦飞、肖枝莲、王国玺、吴翊</w:t>
      </w:r>
    </w:p>
    <w:p w14:paraId="69A80176">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电话：0871-65511240、0871-65511241</w:t>
      </w:r>
    </w:p>
    <w:p w14:paraId="2FC3AEE4">
      <w:pPr>
        <w:pStyle w:val="3"/>
        <w:rPr>
          <w:rFonts w:ascii="宋体"/>
          <w:szCs w:val="32"/>
        </w:rPr>
      </w:pPr>
      <w:r>
        <w:rPr>
          <w:rFonts w:hint="eastAsia" w:ascii="宋体" w:cs="黑体"/>
          <w:szCs w:val="32"/>
        </w:rPr>
        <w:br w:type="page"/>
      </w:r>
      <w:bookmarkStart w:id="40" w:name="_Toc5500"/>
      <w:r>
        <w:rPr>
          <w:rFonts w:hint="eastAsia" w:ascii="宋体" w:cs="黑体"/>
          <w:szCs w:val="32"/>
        </w:rPr>
        <w:t>第二章</w:t>
      </w:r>
      <w:r>
        <w:rPr>
          <w:rFonts w:ascii="宋体" w:cs="黑体"/>
          <w:szCs w:val="32"/>
        </w:rPr>
        <w:t xml:space="preserve"> </w:t>
      </w:r>
      <w:r>
        <w:rPr>
          <w:rFonts w:hint="eastAsia" w:ascii="宋体" w:cs="黑体"/>
          <w:szCs w:val="32"/>
        </w:rPr>
        <w:t>供应商须知</w:t>
      </w:r>
      <w:bookmarkEnd w:id="3"/>
      <w:bookmarkEnd w:id="4"/>
      <w:bookmarkEnd w:id="5"/>
      <w:bookmarkEnd w:id="6"/>
      <w:bookmarkEnd w:id="40"/>
    </w:p>
    <w:p w14:paraId="50F39365">
      <w:pPr>
        <w:pStyle w:val="4"/>
        <w:jc w:val="center"/>
        <w:rPr>
          <w:rFonts w:ascii="宋体" w:cs="黑体"/>
          <w:color w:val="auto"/>
          <w:spacing w:val="0"/>
          <w:kern w:val="0"/>
          <w:sz w:val="28"/>
          <w:szCs w:val="28"/>
        </w:rPr>
      </w:pPr>
      <w:bookmarkStart w:id="41" w:name="_Toc378239349"/>
      <w:bookmarkStart w:id="42" w:name="_Toc12595"/>
      <w:bookmarkStart w:id="43" w:name="_Toc488633603"/>
      <w:bookmarkStart w:id="44" w:name="_Toc21064"/>
      <w:bookmarkStart w:id="45" w:name="_Toc480817642"/>
      <w:bookmarkStart w:id="46" w:name="_Toc401342132"/>
      <w:bookmarkStart w:id="47" w:name="_Toc378239076"/>
      <w:bookmarkStart w:id="48" w:name="_Toc7842"/>
      <w:bookmarkStart w:id="49" w:name="_Toc378239168"/>
      <w:bookmarkStart w:id="50" w:name="_Toc489145702"/>
      <w:r>
        <w:rPr>
          <w:rFonts w:hint="eastAsia" w:ascii="宋体" w:cs="黑体"/>
          <w:color w:val="auto"/>
          <w:spacing w:val="0"/>
          <w:kern w:val="0"/>
          <w:sz w:val="28"/>
          <w:szCs w:val="28"/>
        </w:rPr>
        <w:t>供应商须知前附表</w:t>
      </w:r>
      <w:bookmarkEnd w:id="41"/>
      <w:bookmarkEnd w:id="42"/>
      <w:bookmarkEnd w:id="43"/>
      <w:bookmarkEnd w:id="44"/>
      <w:bookmarkEnd w:id="45"/>
      <w:bookmarkEnd w:id="46"/>
      <w:bookmarkEnd w:id="47"/>
      <w:bookmarkEnd w:id="48"/>
      <w:bookmarkEnd w:id="49"/>
      <w:bookmarkEnd w:id="50"/>
    </w:p>
    <w:tbl>
      <w:tblPr>
        <w:tblStyle w:val="40"/>
        <w:tblW w:w="9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760"/>
        <w:gridCol w:w="5614"/>
        <w:gridCol w:w="1101"/>
      </w:tblGrid>
      <w:tr w14:paraId="0AC7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5916D3B9">
            <w:pPr>
              <w:keepNext w:val="0"/>
              <w:keepLines w:val="0"/>
              <w:pageBreakBefore w:val="0"/>
              <w:kinsoku/>
              <w:overflowPunct/>
              <w:topLinePunct w:val="0"/>
              <w:bidi w:val="0"/>
              <w:spacing w:line="360" w:lineRule="auto"/>
              <w:jc w:val="center"/>
              <w:rPr>
                <w:rFonts w:ascii="宋体"/>
                <w:b/>
                <w:szCs w:val="21"/>
              </w:rPr>
            </w:pPr>
            <w:r>
              <w:rPr>
                <w:rFonts w:hint="eastAsia" w:ascii="宋体"/>
                <w:b/>
                <w:szCs w:val="21"/>
              </w:rPr>
              <w:t>序号</w:t>
            </w:r>
          </w:p>
        </w:tc>
        <w:tc>
          <w:tcPr>
            <w:tcW w:w="1760" w:type="dxa"/>
            <w:tcBorders>
              <w:top w:val="single" w:color="auto" w:sz="4" w:space="0"/>
              <w:left w:val="single" w:color="auto" w:sz="4" w:space="0"/>
              <w:bottom w:val="single" w:color="auto" w:sz="4" w:space="0"/>
              <w:right w:val="single" w:color="auto" w:sz="4" w:space="0"/>
            </w:tcBorders>
            <w:noWrap/>
            <w:vAlign w:val="center"/>
          </w:tcPr>
          <w:p w14:paraId="38CEC383">
            <w:pPr>
              <w:keepNext w:val="0"/>
              <w:keepLines w:val="0"/>
              <w:pageBreakBefore w:val="0"/>
              <w:kinsoku/>
              <w:overflowPunct/>
              <w:topLinePunct w:val="0"/>
              <w:bidi w:val="0"/>
              <w:spacing w:line="360" w:lineRule="auto"/>
              <w:jc w:val="center"/>
              <w:rPr>
                <w:rFonts w:ascii="宋体"/>
                <w:b/>
                <w:szCs w:val="21"/>
              </w:rPr>
            </w:pPr>
            <w:r>
              <w:rPr>
                <w:rFonts w:hint="eastAsia" w:ascii="宋体"/>
                <w:b/>
                <w:szCs w:val="21"/>
              </w:rPr>
              <w:t>条款名称</w:t>
            </w:r>
          </w:p>
        </w:tc>
        <w:tc>
          <w:tcPr>
            <w:tcW w:w="5614" w:type="dxa"/>
            <w:tcBorders>
              <w:top w:val="single" w:color="auto" w:sz="4" w:space="0"/>
              <w:left w:val="single" w:color="auto" w:sz="4" w:space="0"/>
              <w:bottom w:val="single" w:color="auto" w:sz="4" w:space="0"/>
              <w:right w:val="single" w:color="auto" w:sz="4" w:space="0"/>
            </w:tcBorders>
            <w:noWrap/>
            <w:vAlign w:val="center"/>
          </w:tcPr>
          <w:p w14:paraId="197E59D6">
            <w:pPr>
              <w:keepNext w:val="0"/>
              <w:keepLines w:val="0"/>
              <w:pageBreakBefore w:val="0"/>
              <w:kinsoku/>
              <w:overflowPunct/>
              <w:topLinePunct w:val="0"/>
              <w:bidi w:val="0"/>
              <w:spacing w:line="360" w:lineRule="auto"/>
              <w:jc w:val="center"/>
              <w:rPr>
                <w:rFonts w:ascii="宋体"/>
                <w:b/>
                <w:szCs w:val="21"/>
              </w:rPr>
            </w:pPr>
            <w:r>
              <w:rPr>
                <w:rFonts w:hint="eastAsia" w:ascii="宋体"/>
                <w:b/>
                <w:szCs w:val="21"/>
              </w:rPr>
              <w:t>编</w:t>
            </w:r>
            <w:r>
              <w:rPr>
                <w:rFonts w:ascii="宋体"/>
                <w:b/>
                <w:szCs w:val="21"/>
              </w:rPr>
              <w:t xml:space="preserve">  </w:t>
            </w:r>
            <w:r>
              <w:rPr>
                <w:rFonts w:hint="eastAsia" w:ascii="宋体"/>
                <w:b/>
                <w:szCs w:val="21"/>
              </w:rPr>
              <w:t>列</w:t>
            </w:r>
            <w:r>
              <w:rPr>
                <w:rFonts w:ascii="宋体"/>
                <w:b/>
                <w:szCs w:val="21"/>
              </w:rPr>
              <w:t xml:space="preserve">  </w:t>
            </w:r>
            <w:r>
              <w:rPr>
                <w:rFonts w:hint="eastAsia" w:ascii="宋体"/>
                <w:b/>
                <w:szCs w:val="21"/>
              </w:rPr>
              <w:t>内</w:t>
            </w:r>
            <w:r>
              <w:rPr>
                <w:rFonts w:ascii="宋体"/>
                <w:b/>
                <w:szCs w:val="21"/>
              </w:rPr>
              <w:t xml:space="preserve">  </w:t>
            </w:r>
            <w:r>
              <w:rPr>
                <w:rFonts w:hint="eastAsia" w:ascii="宋体"/>
                <w:b/>
                <w:szCs w:val="21"/>
              </w:rPr>
              <w:t>容</w:t>
            </w:r>
          </w:p>
        </w:tc>
        <w:tc>
          <w:tcPr>
            <w:tcW w:w="1101" w:type="dxa"/>
            <w:tcBorders>
              <w:top w:val="single" w:color="auto" w:sz="4" w:space="0"/>
              <w:left w:val="single" w:color="auto" w:sz="4" w:space="0"/>
              <w:bottom w:val="single" w:color="auto" w:sz="4" w:space="0"/>
              <w:right w:val="single" w:color="auto" w:sz="4" w:space="0"/>
            </w:tcBorders>
            <w:noWrap/>
            <w:vAlign w:val="center"/>
          </w:tcPr>
          <w:p w14:paraId="4A998B53">
            <w:pPr>
              <w:keepNext w:val="0"/>
              <w:keepLines w:val="0"/>
              <w:pageBreakBefore w:val="0"/>
              <w:kinsoku/>
              <w:overflowPunct/>
              <w:topLinePunct w:val="0"/>
              <w:bidi w:val="0"/>
              <w:spacing w:line="360" w:lineRule="auto"/>
              <w:jc w:val="center"/>
              <w:rPr>
                <w:rFonts w:ascii="宋体"/>
                <w:b/>
                <w:szCs w:val="21"/>
              </w:rPr>
            </w:pPr>
            <w:r>
              <w:rPr>
                <w:rFonts w:hint="eastAsia" w:ascii="宋体"/>
                <w:b/>
                <w:szCs w:val="21"/>
              </w:rPr>
              <w:t>总则正文条款号</w:t>
            </w:r>
          </w:p>
        </w:tc>
      </w:tr>
      <w:tr w14:paraId="111E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0150F7B8">
            <w:pPr>
              <w:keepNext w:val="0"/>
              <w:keepLines w:val="0"/>
              <w:pageBreakBefore w:val="0"/>
              <w:kinsoku/>
              <w:overflowPunct/>
              <w:topLinePunct w:val="0"/>
              <w:bidi w:val="0"/>
              <w:spacing w:line="360" w:lineRule="auto"/>
              <w:jc w:val="center"/>
              <w:rPr>
                <w:rFonts w:ascii="宋体"/>
                <w:szCs w:val="21"/>
              </w:rPr>
            </w:pPr>
            <w:r>
              <w:rPr>
                <w:rFonts w:hint="eastAsia" w:ascii="宋体"/>
                <w:szCs w:val="21"/>
              </w:rPr>
              <w:t>1</w:t>
            </w:r>
          </w:p>
        </w:tc>
        <w:tc>
          <w:tcPr>
            <w:tcW w:w="1760" w:type="dxa"/>
            <w:tcBorders>
              <w:top w:val="single" w:color="auto" w:sz="4" w:space="0"/>
              <w:left w:val="single" w:color="auto" w:sz="4" w:space="0"/>
              <w:bottom w:val="single" w:color="auto" w:sz="4" w:space="0"/>
              <w:right w:val="single" w:color="auto" w:sz="4" w:space="0"/>
            </w:tcBorders>
            <w:noWrap/>
            <w:vAlign w:val="center"/>
          </w:tcPr>
          <w:p w14:paraId="722BA6BB">
            <w:pPr>
              <w:keepNext w:val="0"/>
              <w:keepLines w:val="0"/>
              <w:pageBreakBefore w:val="0"/>
              <w:kinsoku/>
              <w:overflowPunct/>
              <w:topLinePunct w:val="0"/>
              <w:bidi w:val="0"/>
              <w:spacing w:line="360" w:lineRule="auto"/>
              <w:jc w:val="center"/>
              <w:rPr>
                <w:rFonts w:ascii="宋体"/>
                <w:szCs w:val="21"/>
              </w:rPr>
            </w:pPr>
            <w:r>
              <w:rPr>
                <w:rFonts w:hint="eastAsia" w:ascii="宋体"/>
                <w:szCs w:val="21"/>
              </w:rPr>
              <w:t>采购人</w:t>
            </w:r>
          </w:p>
        </w:tc>
        <w:tc>
          <w:tcPr>
            <w:tcW w:w="5614" w:type="dxa"/>
            <w:tcBorders>
              <w:top w:val="single" w:color="auto" w:sz="4" w:space="0"/>
              <w:left w:val="single" w:color="auto" w:sz="4" w:space="0"/>
              <w:bottom w:val="single" w:color="auto" w:sz="4" w:space="0"/>
              <w:right w:val="single" w:color="auto" w:sz="4" w:space="0"/>
            </w:tcBorders>
            <w:noWrap/>
            <w:vAlign w:val="center"/>
          </w:tcPr>
          <w:p w14:paraId="737433EF">
            <w:pPr>
              <w:keepNext w:val="0"/>
              <w:keepLines w:val="0"/>
              <w:pageBreakBefore w:val="0"/>
              <w:kinsoku/>
              <w:overflowPunct/>
              <w:topLinePunct w:val="0"/>
              <w:bidi w:val="0"/>
              <w:spacing w:line="360" w:lineRule="auto"/>
              <w:rPr>
                <w:rFonts w:hint="eastAsia" w:ascii="宋体" w:eastAsia="宋体"/>
                <w:szCs w:val="21"/>
                <w:lang w:eastAsia="zh-CN"/>
              </w:rPr>
            </w:pPr>
            <w:r>
              <w:rPr>
                <w:rFonts w:hint="eastAsia" w:ascii="宋体"/>
                <w:szCs w:val="21"/>
                <w:lang w:eastAsia="zh-CN"/>
              </w:rPr>
              <w:t>昆明市生态环境局经开分局</w:t>
            </w:r>
          </w:p>
        </w:tc>
        <w:tc>
          <w:tcPr>
            <w:tcW w:w="1101" w:type="dxa"/>
            <w:tcBorders>
              <w:top w:val="single" w:color="auto" w:sz="4" w:space="0"/>
              <w:left w:val="single" w:color="auto" w:sz="4" w:space="0"/>
              <w:bottom w:val="single" w:color="auto" w:sz="4" w:space="0"/>
              <w:right w:val="single" w:color="auto" w:sz="4" w:space="0"/>
            </w:tcBorders>
            <w:noWrap/>
            <w:vAlign w:val="center"/>
          </w:tcPr>
          <w:p w14:paraId="02678EEC">
            <w:pPr>
              <w:keepNext w:val="0"/>
              <w:keepLines w:val="0"/>
              <w:pageBreakBefore w:val="0"/>
              <w:kinsoku/>
              <w:overflowPunct/>
              <w:topLinePunct w:val="0"/>
              <w:bidi w:val="0"/>
              <w:spacing w:line="360" w:lineRule="auto"/>
              <w:jc w:val="center"/>
              <w:rPr>
                <w:rFonts w:ascii="宋体"/>
                <w:szCs w:val="21"/>
              </w:rPr>
            </w:pPr>
            <w:r>
              <w:rPr>
                <w:rFonts w:ascii="宋体"/>
                <w:szCs w:val="21"/>
              </w:rPr>
              <w:t>1.2</w:t>
            </w:r>
          </w:p>
        </w:tc>
      </w:tr>
      <w:tr w14:paraId="2460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30CE3645">
            <w:pPr>
              <w:keepNext w:val="0"/>
              <w:keepLines w:val="0"/>
              <w:pageBreakBefore w:val="0"/>
              <w:kinsoku/>
              <w:overflowPunct/>
              <w:topLinePunct w:val="0"/>
              <w:bidi w:val="0"/>
              <w:spacing w:line="360" w:lineRule="auto"/>
              <w:jc w:val="center"/>
              <w:rPr>
                <w:rFonts w:ascii="宋体"/>
                <w:szCs w:val="21"/>
              </w:rPr>
            </w:pPr>
            <w:r>
              <w:rPr>
                <w:rFonts w:hint="eastAsia" w:ascii="宋体"/>
                <w:szCs w:val="21"/>
              </w:rPr>
              <w:t>2</w:t>
            </w:r>
          </w:p>
        </w:tc>
        <w:tc>
          <w:tcPr>
            <w:tcW w:w="1760" w:type="dxa"/>
            <w:tcBorders>
              <w:top w:val="single" w:color="auto" w:sz="4" w:space="0"/>
              <w:left w:val="single" w:color="auto" w:sz="4" w:space="0"/>
              <w:bottom w:val="single" w:color="auto" w:sz="4" w:space="0"/>
              <w:right w:val="single" w:color="auto" w:sz="4" w:space="0"/>
            </w:tcBorders>
            <w:noWrap/>
            <w:vAlign w:val="center"/>
          </w:tcPr>
          <w:p w14:paraId="718076A3">
            <w:pPr>
              <w:keepNext w:val="0"/>
              <w:keepLines w:val="0"/>
              <w:pageBreakBefore w:val="0"/>
              <w:kinsoku/>
              <w:overflowPunct/>
              <w:topLinePunct w:val="0"/>
              <w:bidi w:val="0"/>
              <w:spacing w:line="360" w:lineRule="auto"/>
              <w:jc w:val="center"/>
              <w:rPr>
                <w:rFonts w:ascii="宋体"/>
                <w:szCs w:val="21"/>
              </w:rPr>
            </w:pPr>
            <w:r>
              <w:rPr>
                <w:rFonts w:hint="eastAsia" w:ascii="宋体"/>
                <w:szCs w:val="21"/>
              </w:rPr>
              <w:t>采购代理机构</w:t>
            </w:r>
          </w:p>
        </w:tc>
        <w:tc>
          <w:tcPr>
            <w:tcW w:w="5614" w:type="dxa"/>
            <w:tcBorders>
              <w:top w:val="single" w:color="auto" w:sz="4" w:space="0"/>
              <w:left w:val="single" w:color="auto" w:sz="4" w:space="0"/>
              <w:bottom w:val="single" w:color="auto" w:sz="4" w:space="0"/>
              <w:right w:val="single" w:color="auto" w:sz="4" w:space="0"/>
            </w:tcBorders>
            <w:noWrap/>
            <w:vAlign w:val="center"/>
          </w:tcPr>
          <w:p w14:paraId="2B694068">
            <w:pPr>
              <w:keepNext w:val="0"/>
              <w:keepLines w:val="0"/>
              <w:pageBreakBefore w:val="0"/>
              <w:kinsoku/>
              <w:overflowPunct/>
              <w:topLinePunct w:val="0"/>
              <w:bidi w:val="0"/>
              <w:spacing w:line="360" w:lineRule="auto"/>
              <w:rPr>
                <w:rFonts w:ascii="宋体"/>
                <w:szCs w:val="21"/>
              </w:rPr>
            </w:pPr>
            <w:r>
              <w:rPr>
                <w:rFonts w:hint="eastAsia" w:ascii="宋体"/>
                <w:szCs w:val="21"/>
              </w:rPr>
              <w:t>云南冠睿咨询有限公司</w:t>
            </w:r>
          </w:p>
        </w:tc>
        <w:tc>
          <w:tcPr>
            <w:tcW w:w="1101" w:type="dxa"/>
            <w:tcBorders>
              <w:top w:val="single" w:color="auto" w:sz="4" w:space="0"/>
              <w:left w:val="single" w:color="auto" w:sz="4" w:space="0"/>
              <w:bottom w:val="single" w:color="auto" w:sz="4" w:space="0"/>
              <w:right w:val="single" w:color="auto" w:sz="4" w:space="0"/>
            </w:tcBorders>
            <w:noWrap/>
            <w:vAlign w:val="center"/>
          </w:tcPr>
          <w:p w14:paraId="14361EA6">
            <w:pPr>
              <w:keepNext w:val="0"/>
              <w:keepLines w:val="0"/>
              <w:pageBreakBefore w:val="0"/>
              <w:kinsoku/>
              <w:overflowPunct/>
              <w:topLinePunct w:val="0"/>
              <w:bidi w:val="0"/>
              <w:spacing w:line="360" w:lineRule="auto"/>
              <w:jc w:val="center"/>
              <w:rPr>
                <w:rFonts w:ascii="宋体"/>
                <w:szCs w:val="21"/>
              </w:rPr>
            </w:pPr>
            <w:r>
              <w:rPr>
                <w:rFonts w:ascii="宋体"/>
                <w:szCs w:val="21"/>
              </w:rPr>
              <w:t>1.3</w:t>
            </w:r>
          </w:p>
        </w:tc>
      </w:tr>
      <w:tr w14:paraId="3922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6221FF94">
            <w:pPr>
              <w:keepNext w:val="0"/>
              <w:keepLines w:val="0"/>
              <w:pageBreakBefore w:val="0"/>
              <w:kinsoku/>
              <w:overflowPunct/>
              <w:topLinePunct w:val="0"/>
              <w:bidi w:val="0"/>
              <w:spacing w:line="360" w:lineRule="auto"/>
              <w:jc w:val="center"/>
              <w:rPr>
                <w:rFonts w:ascii="宋体"/>
                <w:szCs w:val="21"/>
              </w:rPr>
            </w:pPr>
            <w:r>
              <w:rPr>
                <w:rFonts w:hint="eastAsia" w:ascii="宋体"/>
                <w:szCs w:val="21"/>
              </w:rPr>
              <w:t>3</w:t>
            </w:r>
          </w:p>
        </w:tc>
        <w:tc>
          <w:tcPr>
            <w:tcW w:w="1760" w:type="dxa"/>
            <w:tcBorders>
              <w:top w:val="single" w:color="auto" w:sz="4" w:space="0"/>
              <w:left w:val="single" w:color="auto" w:sz="4" w:space="0"/>
              <w:bottom w:val="single" w:color="auto" w:sz="4" w:space="0"/>
              <w:right w:val="single" w:color="auto" w:sz="4" w:space="0"/>
            </w:tcBorders>
            <w:noWrap/>
            <w:vAlign w:val="center"/>
          </w:tcPr>
          <w:p w14:paraId="5A64760B">
            <w:pPr>
              <w:keepNext w:val="0"/>
              <w:keepLines w:val="0"/>
              <w:pageBreakBefore w:val="0"/>
              <w:kinsoku/>
              <w:overflowPunct/>
              <w:topLinePunct w:val="0"/>
              <w:bidi w:val="0"/>
              <w:spacing w:line="360" w:lineRule="auto"/>
              <w:jc w:val="center"/>
              <w:rPr>
                <w:rFonts w:ascii="宋体"/>
                <w:szCs w:val="21"/>
              </w:rPr>
            </w:pPr>
            <w:r>
              <w:rPr>
                <w:rFonts w:hint="eastAsia" w:ascii="宋体"/>
                <w:szCs w:val="21"/>
              </w:rPr>
              <w:t>项目名称及项目编号</w:t>
            </w:r>
          </w:p>
        </w:tc>
        <w:tc>
          <w:tcPr>
            <w:tcW w:w="5614" w:type="dxa"/>
            <w:tcBorders>
              <w:top w:val="single" w:color="auto" w:sz="4" w:space="0"/>
              <w:left w:val="single" w:color="auto" w:sz="4" w:space="0"/>
              <w:bottom w:val="single" w:color="auto" w:sz="4" w:space="0"/>
              <w:right w:val="single" w:color="auto" w:sz="4" w:space="0"/>
            </w:tcBorders>
            <w:noWrap/>
            <w:vAlign w:val="center"/>
          </w:tcPr>
          <w:p w14:paraId="2550BCD9">
            <w:pPr>
              <w:keepNext w:val="0"/>
              <w:keepLines w:val="0"/>
              <w:pageBreakBefore w:val="0"/>
              <w:kinsoku/>
              <w:overflowPunct/>
              <w:topLinePunct w:val="0"/>
              <w:bidi w:val="0"/>
              <w:spacing w:line="360" w:lineRule="auto"/>
              <w:rPr>
                <w:rFonts w:hint="eastAsia" w:ascii="宋体" w:eastAsia="宋体"/>
                <w:szCs w:val="21"/>
                <w:lang w:eastAsia="zh-CN"/>
              </w:rPr>
            </w:pPr>
            <w:r>
              <w:rPr>
                <w:rFonts w:hint="eastAsia" w:ascii="宋体"/>
                <w:szCs w:val="21"/>
              </w:rPr>
              <w:t>项目名称：</w:t>
            </w:r>
            <w:r>
              <w:rPr>
                <w:rFonts w:hint="eastAsia" w:ascii="宋体"/>
                <w:szCs w:val="21"/>
                <w:lang w:eastAsia="zh-CN"/>
              </w:rPr>
              <w:t>昆明经济技术开发区2025年度生态建设绩效追踪项目</w:t>
            </w:r>
            <w:r>
              <w:rPr>
                <w:rFonts w:hint="eastAsia" w:ascii="宋体"/>
                <w:szCs w:val="21"/>
              </w:rPr>
              <w:t>项目编号：</w:t>
            </w:r>
            <w:r>
              <w:rPr>
                <w:rFonts w:hint="eastAsia" w:ascii="宋体"/>
                <w:szCs w:val="21"/>
                <w:lang w:eastAsia="zh-CN"/>
              </w:rPr>
              <w:t>KMZC2026-C3-00793-YNGR-0167</w:t>
            </w:r>
          </w:p>
        </w:tc>
        <w:tc>
          <w:tcPr>
            <w:tcW w:w="1101" w:type="dxa"/>
            <w:tcBorders>
              <w:top w:val="single" w:color="auto" w:sz="4" w:space="0"/>
              <w:left w:val="single" w:color="auto" w:sz="4" w:space="0"/>
              <w:bottom w:val="single" w:color="auto" w:sz="4" w:space="0"/>
              <w:right w:val="single" w:color="auto" w:sz="4" w:space="0"/>
            </w:tcBorders>
            <w:noWrap/>
            <w:vAlign w:val="center"/>
          </w:tcPr>
          <w:p w14:paraId="62923318">
            <w:pPr>
              <w:keepNext w:val="0"/>
              <w:keepLines w:val="0"/>
              <w:pageBreakBefore w:val="0"/>
              <w:kinsoku/>
              <w:overflowPunct/>
              <w:topLinePunct w:val="0"/>
              <w:bidi w:val="0"/>
              <w:spacing w:line="360" w:lineRule="auto"/>
              <w:jc w:val="center"/>
              <w:rPr>
                <w:rFonts w:ascii="宋体"/>
                <w:szCs w:val="21"/>
              </w:rPr>
            </w:pPr>
            <w:r>
              <w:rPr>
                <w:rFonts w:ascii="宋体"/>
                <w:szCs w:val="21"/>
              </w:rPr>
              <w:t>1.4</w:t>
            </w:r>
          </w:p>
        </w:tc>
      </w:tr>
      <w:tr w14:paraId="2E23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6986AF60">
            <w:pPr>
              <w:keepNext w:val="0"/>
              <w:keepLines w:val="0"/>
              <w:pageBreakBefore w:val="0"/>
              <w:kinsoku/>
              <w:overflowPunct/>
              <w:topLinePunct w:val="0"/>
              <w:bidi w:val="0"/>
              <w:spacing w:line="360" w:lineRule="auto"/>
              <w:jc w:val="center"/>
              <w:rPr>
                <w:rFonts w:ascii="宋体"/>
                <w:szCs w:val="21"/>
              </w:rPr>
            </w:pPr>
            <w:r>
              <w:rPr>
                <w:rFonts w:hint="eastAsia" w:ascii="宋体"/>
                <w:szCs w:val="21"/>
              </w:rPr>
              <w:t>4</w:t>
            </w:r>
          </w:p>
        </w:tc>
        <w:tc>
          <w:tcPr>
            <w:tcW w:w="1760" w:type="dxa"/>
            <w:tcBorders>
              <w:top w:val="single" w:color="auto" w:sz="4" w:space="0"/>
              <w:left w:val="single" w:color="auto" w:sz="4" w:space="0"/>
              <w:bottom w:val="single" w:color="auto" w:sz="4" w:space="0"/>
              <w:right w:val="single" w:color="auto" w:sz="4" w:space="0"/>
            </w:tcBorders>
            <w:noWrap/>
            <w:vAlign w:val="center"/>
          </w:tcPr>
          <w:p w14:paraId="00410EC8">
            <w:pPr>
              <w:keepNext w:val="0"/>
              <w:keepLines w:val="0"/>
              <w:pageBreakBefore w:val="0"/>
              <w:kinsoku/>
              <w:overflowPunct/>
              <w:topLinePunct w:val="0"/>
              <w:bidi w:val="0"/>
              <w:spacing w:before="40" w:after="40" w:line="360" w:lineRule="auto"/>
              <w:ind w:firstLine="105" w:firstLineChars="50"/>
              <w:jc w:val="center"/>
              <w:rPr>
                <w:rFonts w:ascii="宋体"/>
                <w:szCs w:val="21"/>
              </w:rPr>
            </w:pPr>
            <w:r>
              <w:rPr>
                <w:rFonts w:hint="eastAsia" w:ascii="宋体" w:cs="宋体"/>
                <w:szCs w:val="21"/>
              </w:rPr>
              <w:t>预算金额、最高限价</w:t>
            </w:r>
          </w:p>
        </w:tc>
        <w:tc>
          <w:tcPr>
            <w:tcW w:w="5614" w:type="dxa"/>
            <w:tcBorders>
              <w:top w:val="single" w:color="auto" w:sz="4" w:space="0"/>
              <w:left w:val="single" w:color="auto" w:sz="4" w:space="0"/>
              <w:bottom w:val="single" w:color="auto" w:sz="4" w:space="0"/>
              <w:right w:val="single" w:color="auto" w:sz="4" w:space="0"/>
            </w:tcBorders>
            <w:noWrap/>
            <w:vAlign w:val="center"/>
          </w:tcPr>
          <w:p w14:paraId="14B7A360">
            <w:pPr>
              <w:keepNext w:val="0"/>
              <w:keepLines w:val="0"/>
              <w:pageBreakBefore w:val="0"/>
              <w:kinsoku/>
              <w:overflowPunct/>
              <w:topLinePunct w:val="0"/>
              <w:bidi w:val="0"/>
              <w:spacing w:before="40" w:after="40" w:line="360" w:lineRule="auto"/>
              <w:rPr>
                <w:rFonts w:ascii="宋体"/>
                <w:szCs w:val="21"/>
              </w:rPr>
            </w:pPr>
            <w:r>
              <w:rPr>
                <w:rFonts w:hint="eastAsia" w:ascii="宋体" w:cs="宋体"/>
                <w:szCs w:val="21"/>
              </w:rPr>
              <w:t>详见竞争性磋商文件第一章《竞争性磋商公告》</w:t>
            </w:r>
            <w:r>
              <w:rPr>
                <w:rFonts w:hint="eastAsia" w:ascii="宋体" w:cs="宋体"/>
                <w:bCs/>
                <w:szCs w:val="21"/>
              </w:rPr>
              <w:t>“一、项目基本情况”</w:t>
            </w:r>
          </w:p>
        </w:tc>
        <w:tc>
          <w:tcPr>
            <w:tcW w:w="1101" w:type="dxa"/>
            <w:tcBorders>
              <w:top w:val="single" w:color="auto" w:sz="4" w:space="0"/>
              <w:left w:val="single" w:color="auto" w:sz="4" w:space="0"/>
              <w:bottom w:val="single" w:color="auto" w:sz="4" w:space="0"/>
              <w:right w:val="single" w:color="auto" w:sz="4" w:space="0"/>
            </w:tcBorders>
            <w:noWrap/>
            <w:vAlign w:val="center"/>
          </w:tcPr>
          <w:p w14:paraId="028D00BE">
            <w:pPr>
              <w:keepNext w:val="0"/>
              <w:keepLines w:val="0"/>
              <w:pageBreakBefore w:val="0"/>
              <w:kinsoku/>
              <w:overflowPunct/>
              <w:topLinePunct w:val="0"/>
              <w:bidi w:val="0"/>
              <w:spacing w:before="40" w:after="40" w:line="360" w:lineRule="auto"/>
              <w:jc w:val="center"/>
              <w:rPr>
                <w:rFonts w:ascii="宋体"/>
                <w:bCs/>
                <w:szCs w:val="21"/>
              </w:rPr>
            </w:pPr>
            <w:r>
              <w:rPr>
                <w:rFonts w:hint="eastAsia" w:ascii="宋体" w:cs="宋体"/>
                <w:szCs w:val="21"/>
              </w:rPr>
              <w:t>2.1</w:t>
            </w:r>
          </w:p>
        </w:tc>
      </w:tr>
      <w:tr w14:paraId="3230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01CE9093">
            <w:pPr>
              <w:keepNext w:val="0"/>
              <w:keepLines w:val="0"/>
              <w:pageBreakBefore w:val="0"/>
              <w:kinsoku/>
              <w:overflowPunct/>
              <w:topLinePunct w:val="0"/>
              <w:bidi w:val="0"/>
              <w:spacing w:line="360" w:lineRule="auto"/>
              <w:jc w:val="center"/>
              <w:rPr>
                <w:rFonts w:ascii="宋体"/>
                <w:szCs w:val="21"/>
              </w:rPr>
            </w:pPr>
            <w:r>
              <w:rPr>
                <w:rFonts w:hint="eastAsia" w:ascii="宋体"/>
                <w:szCs w:val="21"/>
              </w:rPr>
              <w:t>5</w:t>
            </w:r>
          </w:p>
        </w:tc>
        <w:tc>
          <w:tcPr>
            <w:tcW w:w="1760" w:type="dxa"/>
            <w:tcBorders>
              <w:top w:val="single" w:color="auto" w:sz="4" w:space="0"/>
              <w:left w:val="single" w:color="auto" w:sz="4" w:space="0"/>
              <w:bottom w:val="single" w:color="auto" w:sz="4" w:space="0"/>
              <w:right w:val="single" w:color="auto" w:sz="4" w:space="0"/>
            </w:tcBorders>
            <w:noWrap/>
            <w:vAlign w:val="center"/>
          </w:tcPr>
          <w:p w14:paraId="4754CCC3">
            <w:pPr>
              <w:keepNext w:val="0"/>
              <w:keepLines w:val="0"/>
              <w:pageBreakBefore w:val="0"/>
              <w:kinsoku/>
              <w:overflowPunct/>
              <w:topLinePunct w:val="0"/>
              <w:autoSpaceDE w:val="0"/>
              <w:autoSpaceDN w:val="0"/>
              <w:bidi w:val="0"/>
              <w:adjustRightInd w:val="0"/>
              <w:spacing w:line="360" w:lineRule="auto"/>
              <w:ind w:firstLine="105" w:firstLineChars="50"/>
              <w:jc w:val="center"/>
              <w:rPr>
                <w:rFonts w:ascii="宋体"/>
                <w:szCs w:val="21"/>
              </w:rPr>
            </w:pPr>
            <w:r>
              <w:rPr>
                <w:rFonts w:hint="eastAsia" w:ascii="宋体" w:cs="宋体"/>
                <w:szCs w:val="21"/>
              </w:rPr>
              <w:t>采购需求</w:t>
            </w:r>
          </w:p>
        </w:tc>
        <w:tc>
          <w:tcPr>
            <w:tcW w:w="5614" w:type="dxa"/>
            <w:tcBorders>
              <w:top w:val="single" w:color="auto" w:sz="4" w:space="0"/>
              <w:left w:val="single" w:color="auto" w:sz="4" w:space="0"/>
              <w:bottom w:val="single" w:color="auto" w:sz="4" w:space="0"/>
              <w:right w:val="single" w:color="auto" w:sz="4" w:space="0"/>
            </w:tcBorders>
            <w:noWrap/>
            <w:vAlign w:val="center"/>
          </w:tcPr>
          <w:p w14:paraId="38E133DF">
            <w:pPr>
              <w:keepNext w:val="0"/>
              <w:keepLines w:val="0"/>
              <w:pageBreakBefore w:val="0"/>
              <w:kinsoku/>
              <w:overflowPunct/>
              <w:topLinePunct w:val="0"/>
              <w:autoSpaceDE w:val="0"/>
              <w:autoSpaceDN w:val="0"/>
              <w:bidi w:val="0"/>
              <w:adjustRightInd w:val="0"/>
              <w:spacing w:line="360" w:lineRule="auto"/>
              <w:rPr>
                <w:rFonts w:ascii="宋体" w:cs="宋体"/>
                <w:kern w:val="0"/>
                <w:szCs w:val="21"/>
              </w:rPr>
            </w:pPr>
            <w:r>
              <w:rPr>
                <w:rFonts w:hint="eastAsia" w:ascii="宋体" w:cs="宋体"/>
                <w:szCs w:val="21"/>
              </w:rPr>
              <w:t>详见竞争性磋商文件第一章《竞争性磋商公告》</w:t>
            </w:r>
            <w:r>
              <w:rPr>
                <w:rFonts w:hint="eastAsia" w:ascii="宋体" w:cs="宋体"/>
                <w:bCs/>
                <w:szCs w:val="21"/>
              </w:rPr>
              <w:t>“一、项目基本情况”</w:t>
            </w:r>
          </w:p>
        </w:tc>
        <w:tc>
          <w:tcPr>
            <w:tcW w:w="1101" w:type="dxa"/>
            <w:tcBorders>
              <w:top w:val="single" w:color="auto" w:sz="4" w:space="0"/>
              <w:left w:val="single" w:color="auto" w:sz="4" w:space="0"/>
              <w:bottom w:val="single" w:color="auto" w:sz="4" w:space="0"/>
              <w:right w:val="single" w:color="auto" w:sz="4" w:space="0"/>
            </w:tcBorders>
            <w:noWrap/>
            <w:vAlign w:val="center"/>
          </w:tcPr>
          <w:p w14:paraId="03276014">
            <w:pPr>
              <w:keepNext w:val="0"/>
              <w:keepLines w:val="0"/>
              <w:pageBreakBefore w:val="0"/>
              <w:kinsoku/>
              <w:overflowPunct/>
              <w:topLinePunct w:val="0"/>
              <w:bidi w:val="0"/>
              <w:spacing w:before="40" w:after="40" w:line="360" w:lineRule="auto"/>
              <w:jc w:val="center"/>
              <w:rPr>
                <w:rFonts w:ascii="宋体"/>
                <w:bCs/>
                <w:szCs w:val="21"/>
              </w:rPr>
            </w:pPr>
            <w:r>
              <w:rPr>
                <w:rFonts w:hint="eastAsia" w:ascii="宋体" w:cs="宋体"/>
                <w:szCs w:val="21"/>
              </w:rPr>
              <w:t>3.1</w:t>
            </w:r>
          </w:p>
        </w:tc>
      </w:tr>
      <w:tr w14:paraId="076F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21D55B27">
            <w:pPr>
              <w:keepNext w:val="0"/>
              <w:keepLines w:val="0"/>
              <w:pageBreakBefore w:val="0"/>
              <w:kinsoku/>
              <w:overflowPunct/>
              <w:topLinePunct w:val="0"/>
              <w:bidi w:val="0"/>
              <w:spacing w:line="360" w:lineRule="auto"/>
              <w:jc w:val="center"/>
              <w:rPr>
                <w:rFonts w:ascii="宋体"/>
                <w:szCs w:val="21"/>
              </w:rPr>
            </w:pPr>
            <w:r>
              <w:rPr>
                <w:rFonts w:hint="eastAsia" w:ascii="宋体"/>
                <w:szCs w:val="21"/>
              </w:rPr>
              <w:t>6</w:t>
            </w:r>
          </w:p>
        </w:tc>
        <w:tc>
          <w:tcPr>
            <w:tcW w:w="1760" w:type="dxa"/>
            <w:tcBorders>
              <w:top w:val="single" w:color="auto" w:sz="4" w:space="0"/>
              <w:left w:val="single" w:color="auto" w:sz="4" w:space="0"/>
              <w:bottom w:val="single" w:color="auto" w:sz="4" w:space="0"/>
              <w:right w:val="single" w:color="auto" w:sz="4" w:space="0"/>
            </w:tcBorders>
            <w:noWrap/>
            <w:vAlign w:val="center"/>
          </w:tcPr>
          <w:p w14:paraId="0097CC3F">
            <w:pPr>
              <w:keepNext w:val="0"/>
              <w:keepLines w:val="0"/>
              <w:pageBreakBefore w:val="0"/>
              <w:kinsoku/>
              <w:overflowPunct/>
              <w:topLinePunct w:val="0"/>
              <w:autoSpaceDE w:val="0"/>
              <w:autoSpaceDN w:val="0"/>
              <w:bidi w:val="0"/>
              <w:adjustRightInd w:val="0"/>
              <w:spacing w:line="360" w:lineRule="auto"/>
              <w:ind w:firstLine="105" w:firstLineChars="50"/>
              <w:jc w:val="center"/>
              <w:rPr>
                <w:rFonts w:hint="eastAsia" w:ascii="宋体" w:eastAsia="宋体"/>
                <w:szCs w:val="21"/>
                <w:lang w:eastAsia="zh-CN"/>
              </w:rPr>
            </w:pPr>
            <w:r>
              <w:rPr>
                <w:rFonts w:hint="eastAsia" w:ascii="宋体" w:cs="宋体"/>
                <w:szCs w:val="21"/>
                <w:lang w:eastAsia="zh-CN"/>
              </w:rPr>
              <w:t>合同履行期限（服务期限）</w:t>
            </w:r>
            <w:r>
              <w:rPr>
                <w:rFonts w:hint="eastAsia" w:ascii="宋体" w:cs="宋体"/>
                <w:szCs w:val="21"/>
              </w:rPr>
              <w:t>及</w:t>
            </w:r>
            <w:r>
              <w:rPr>
                <w:rFonts w:hint="eastAsia" w:ascii="宋体" w:cs="宋体"/>
                <w:szCs w:val="21"/>
                <w:lang w:eastAsia="zh-CN"/>
              </w:rPr>
              <w:t>服务地点</w:t>
            </w:r>
          </w:p>
        </w:tc>
        <w:tc>
          <w:tcPr>
            <w:tcW w:w="5614" w:type="dxa"/>
            <w:tcBorders>
              <w:top w:val="single" w:color="auto" w:sz="4" w:space="0"/>
              <w:left w:val="single" w:color="auto" w:sz="4" w:space="0"/>
              <w:bottom w:val="single" w:color="auto" w:sz="4" w:space="0"/>
              <w:right w:val="single" w:color="auto" w:sz="4" w:space="0"/>
            </w:tcBorders>
            <w:noWrap/>
            <w:vAlign w:val="center"/>
          </w:tcPr>
          <w:p w14:paraId="34EBA9C6">
            <w:pPr>
              <w:keepNext w:val="0"/>
              <w:keepLines w:val="0"/>
              <w:pageBreakBefore w:val="0"/>
              <w:kinsoku/>
              <w:overflowPunct/>
              <w:topLinePunct w:val="0"/>
              <w:autoSpaceDE w:val="0"/>
              <w:autoSpaceDN w:val="0"/>
              <w:bidi w:val="0"/>
              <w:adjustRightInd w:val="0"/>
              <w:spacing w:line="360" w:lineRule="auto"/>
              <w:jc w:val="left"/>
              <w:rPr>
                <w:rFonts w:ascii="宋体"/>
                <w:szCs w:val="21"/>
              </w:rPr>
            </w:pPr>
            <w:r>
              <w:rPr>
                <w:rFonts w:hint="eastAsia" w:ascii="宋体" w:cs="宋体"/>
                <w:szCs w:val="21"/>
              </w:rPr>
              <w:t>详见竞争性磋商文件第一章《竞争性磋商公告》</w:t>
            </w:r>
            <w:r>
              <w:rPr>
                <w:rFonts w:hint="eastAsia" w:ascii="宋体" w:cs="宋体"/>
                <w:bCs/>
                <w:szCs w:val="21"/>
              </w:rPr>
              <w:t>“一、项目基本情况”</w:t>
            </w:r>
          </w:p>
        </w:tc>
        <w:tc>
          <w:tcPr>
            <w:tcW w:w="1101" w:type="dxa"/>
            <w:tcBorders>
              <w:top w:val="single" w:color="auto" w:sz="4" w:space="0"/>
              <w:left w:val="single" w:color="auto" w:sz="4" w:space="0"/>
              <w:bottom w:val="single" w:color="auto" w:sz="4" w:space="0"/>
              <w:right w:val="single" w:color="auto" w:sz="4" w:space="0"/>
            </w:tcBorders>
            <w:noWrap/>
            <w:vAlign w:val="center"/>
          </w:tcPr>
          <w:p w14:paraId="769BCAE3">
            <w:pPr>
              <w:keepNext w:val="0"/>
              <w:keepLines w:val="0"/>
              <w:pageBreakBefore w:val="0"/>
              <w:kinsoku/>
              <w:overflowPunct/>
              <w:topLinePunct w:val="0"/>
              <w:bidi w:val="0"/>
              <w:spacing w:before="40" w:after="40" w:line="360" w:lineRule="auto"/>
              <w:jc w:val="center"/>
              <w:rPr>
                <w:rFonts w:ascii="宋体"/>
                <w:bCs/>
                <w:szCs w:val="21"/>
              </w:rPr>
            </w:pPr>
            <w:r>
              <w:rPr>
                <w:rFonts w:hint="eastAsia" w:ascii="宋体" w:cs="宋体"/>
                <w:szCs w:val="21"/>
              </w:rPr>
              <w:t>3.2</w:t>
            </w:r>
          </w:p>
        </w:tc>
      </w:tr>
      <w:tr w14:paraId="128A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4598F83F">
            <w:pPr>
              <w:keepNext w:val="0"/>
              <w:keepLines w:val="0"/>
              <w:pageBreakBefore w:val="0"/>
              <w:kinsoku/>
              <w:overflowPunct/>
              <w:topLinePunct w:val="0"/>
              <w:bidi w:val="0"/>
              <w:spacing w:line="360" w:lineRule="auto"/>
              <w:jc w:val="center"/>
              <w:rPr>
                <w:rFonts w:ascii="宋体"/>
                <w:szCs w:val="21"/>
              </w:rPr>
            </w:pPr>
            <w:r>
              <w:rPr>
                <w:rFonts w:hint="eastAsia" w:ascii="宋体"/>
                <w:szCs w:val="21"/>
              </w:rPr>
              <w:t>7</w:t>
            </w:r>
          </w:p>
        </w:tc>
        <w:tc>
          <w:tcPr>
            <w:tcW w:w="1760" w:type="dxa"/>
            <w:tcBorders>
              <w:top w:val="single" w:color="auto" w:sz="4" w:space="0"/>
              <w:left w:val="single" w:color="auto" w:sz="4" w:space="0"/>
              <w:bottom w:val="single" w:color="auto" w:sz="4" w:space="0"/>
              <w:right w:val="single" w:color="auto" w:sz="4" w:space="0"/>
            </w:tcBorders>
            <w:noWrap/>
            <w:vAlign w:val="center"/>
          </w:tcPr>
          <w:p w14:paraId="590322B3">
            <w:pPr>
              <w:keepNext w:val="0"/>
              <w:keepLines w:val="0"/>
              <w:pageBreakBefore w:val="0"/>
              <w:kinsoku/>
              <w:overflowPunct/>
              <w:topLinePunct w:val="0"/>
              <w:bidi w:val="0"/>
              <w:spacing w:before="40" w:after="40" w:line="360" w:lineRule="auto"/>
              <w:ind w:firstLine="105" w:firstLineChars="50"/>
              <w:jc w:val="center"/>
              <w:rPr>
                <w:rFonts w:ascii="宋体"/>
                <w:szCs w:val="21"/>
                <w:highlight w:val="none"/>
              </w:rPr>
            </w:pPr>
            <w:r>
              <w:rPr>
                <w:rFonts w:hint="eastAsia" w:ascii="宋体" w:cs="宋体"/>
                <w:szCs w:val="21"/>
                <w:highlight w:val="none"/>
              </w:rPr>
              <w:t>是否接受联合体参加</w:t>
            </w:r>
          </w:p>
        </w:tc>
        <w:tc>
          <w:tcPr>
            <w:tcW w:w="5614" w:type="dxa"/>
            <w:tcBorders>
              <w:top w:val="single" w:color="auto" w:sz="4" w:space="0"/>
              <w:left w:val="single" w:color="auto" w:sz="4" w:space="0"/>
              <w:bottom w:val="single" w:color="auto" w:sz="4" w:space="0"/>
              <w:right w:val="single" w:color="auto" w:sz="4" w:space="0"/>
            </w:tcBorders>
            <w:noWrap/>
            <w:vAlign w:val="center"/>
          </w:tcPr>
          <w:p w14:paraId="66C8C414">
            <w:pPr>
              <w:keepNext w:val="0"/>
              <w:keepLines w:val="0"/>
              <w:pageBreakBefore w:val="0"/>
              <w:kinsoku/>
              <w:overflowPunct/>
              <w:topLinePunct w:val="0"/>
              <w:autoSpaceDE w:val="0"/>
              <w:autoSpaceDN w:val="0"/>
              <w:bidi w:val="0"/>
              <w:adjustRightInd w:val="0"/>
              <w:spacing w:line="360" w:lineRule="auto"/>
              <w:jc w:val="left"/>
              <w:rPr>
                <w:rFonts w:ascii="宋体"/>
                <w:szCs w:val="21"/>
                <w:highlight w:val="none"/>
              </w:rPr>
            </w:pPr>
            <w:r>
              <w:rPr>
                <w:rFonts w:hint="eastAsia" w:ascii="宋体" w:cs="宋体"/>
                <w:szCs w:val="21"/>
                <w:highlight w:val="none"/>
              </w:rPr>
              <w:t>不接受</w:t>
            </w:r>
          </w:p>
        </w:tc>
        <w:tc>
          <w:tcPr>
            <w:tcW w:w="1101" w:type="dxa"/>
            <w:tcBorders>
              <w:top w:val="single" w:color="auto" w:sz="4" w:space="0"/>
              <w:left w:val="single" w:color="auto" w:sz="4" w:space="0"/>
              <w:bottom w:val="single" w:color="auto" w:sz="4" w:space="0"/>
              <w:right w:val="single" w:color="auto" w:sz="4" w:space="0"/>
            </w:tcBorders>
            <w:noWrap/>
            <w:vAlign w:val="center"/>
          </w:tcPr>
          <w:p w14:paraId="686291DD">
            <w:pPr>
              <w:keepNext w:val="0"/>
              <w:keepLines w:val="0"/>
              <w:pageBreakBefore w:val="0"/>
              <w:kinsoku/>
              <w:overflowPunct/>
              <w:topLinePunct w:val="0"/>
              <w:bidi w:val="0"/>
              <w:spacing w:before="40" w:after="40" w:line="360" w:lineRule="auto"/>
              <w:jc w:val="center"/>
              <w:rPr>
                <w:rFonts w:ascii="宋体"/>
                <w:b/>
                <w:szCs w:val="21"/>
              </w:rPr>
            </w:pPr>
            <w:r>
              <w:rPr>
                <w:rFonts w:hint="eastAsia" w:ascii="宋体" w:cs="宋体"/>
                <w:szCs w:val="21"/>
              </w:rPr>
              <w:t>3.3</w:t>
            </w:r>
          </w:p>
        </w:tc>
      </w:tr>
      <w:tr w14:paraId="0C91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705D1844">
            <w:pPr>
              <w:keepNext w:val="0"/>
              <w:keepLines w:val="0"/>
              <w:pageBreakBefore w:val="0"/>
              <w:kinsoku/>
              <w:overflowPunct/>
              <w:topLinePunct w:val="0"/>
              <w:bidi w:val="0"/>
              <w:spacing w:line="360" w:lineRule="auto"/>
              <w:jc w:val="center"/>
              <w:rPr>
                <w:rFonts w:ascii="宋体"/>
                <w:szCs w:val="21"/>
              </w:rPr>
            </w:pPr>
            <w:r>
              <w:rPr>
                <w:rFonts w:hint="eastAsia" w:ascii="宋体"/>
                <w:szCs w:val="21"/>
              </w:rPr>
              <w:t>8</w:t>
            </w:r>
          </w:p>
        </w:tc>
        <w:tc>
          <w:tcPr>
            <w:tcW w:w="1760" w:type="dxa"/>
            <w:tcBorders>
              <w:top w:val="single" w:color="auto" w:sz="4" w:space="0"/>
              <w:left w:val="single" w:color="auto" w:sz="4" w:space="0"/>
              <w:bottom w:val="single" w:color="auto" w:sz="4" w:space="0"/>
              <w:right w:val="single" w:color="auto" w:sz="4" w:space="0"/>
            </w:tcBorders>
            <w:noWrap/>
            <w:vAlign w:val="center"/>
          </w:tcPr>
          <w:p w14:paraId="66E90892">
            <w:pPr>
              <w:keepNext w:val="0"/>
              <w:keepLines w:val="0"/>
              <w:pageBreakBefore w:val="0"/>
              <w:kinsoku/>
              <w:overflowPunct/>
              <w:topLinePunct w:val="0"/>
              <w:bidi w:val="0"/>
              <w:spacing w:before="40" w:after="40" w:line="360" w:lineRule="auto"/>
              <w:ind w:firstLine="105" w:firstLineChars="50"/>
              <w:jc w:val="center"/>
              <w:rPr>
                <w:rFonts w:ascii="宋体"/>
                <w:bCs/>
                <w:szCs w:val="21"/>
              </w:rPr>
            </w:pPr>
            <w:r>
              <w:rPr>
                <w:rFonts w:hint="eastAsia" w:ascii="宋体" w:cs="宋体"/>
                <w:szCs w:val="21"/>
              </w:rPr>
              <w:t>供应商资格要求</w:t>
            </w:r>
          </w:p>
        </w:tc>
        <w:tc>
          <w:tcPr>
            <w:tcW w:w="5614" w:type="dxa"/>
            <w:tcBorders>
              <w:top w:val="single" w:color="auto" w:sz="4" w:space="0"/>
              <w:left w:val="single" w:color="auto" w:sz="4" w:space="0"/>
              <w:bottom w:val="single" w:color="auto" w:sz="4" w:space="0"/>
              <w:right w:val="single" w:color="auto" w:sz="4" w:space="0"/>
            </w:tcBorders>
            <w:noWrap/>
            <w:vAlign w:val="center"/>
          </w:tcPr>
          <w:p w14:paraId="23FB6DEE">
            <w:pPr>
              <w:keepNext w:val="0"/>
              <w:keepLines w:val="0"/>
              <w:pageBreakBefore w:val="0"/>
              <w:kinsoku/>
              <w:overflowPunct/>
              <w:topLinePunct w:val="0"/>
              <w:autoSpaceDE w:val="0"/>
              <w:autoSpaceDN w:val="0"/>
              <w:bidi w:val="0"/>
              <w:adjustRightInd w:val="0"/>
              <w:spacing w:line="360" w:lineRule="auto"/>
              <w:jc w:val="left"/>
              <w:rPr>
                <w:rFonts w:ascii="宋体"/>
                <w:bCs/>
                <w:szCs w:val="21"/>
              </w:rPr>
            </w:pPr>
            <w:r>
              <w:rPr>
                <w:rFonts w:hint="eastAsia" w:ascii="宋体" w:cs="宋体"/>
                <w:szCs w:val="21"/>
              </w:rPr>
              <w:t>详见竞争性磋商文件第一章《竞争性磋商公告》“二、供应商的资格要求”</w:t>
            </w:r>
          </w:p>
        </w:tc>
        <w:tc>
          <w:tcPr>
            <w:tcW w:w="1101" w:type="dxa"/>
            <w:tcBorders>
              <w:top w:val="single" w:color="auto" w:sz="4" w:space="0"/>
              <w:left w:val="single" w:color="auto" w:sz="4" w:space="0"/>
              <w:bottom w:val="single" w:color="auto" w:sz="4" w:space="0"/>
              <w:right w:val="single" w:color="auto" w:sz="4" w:space="0"/>
            </w:tcBorders>
            <w:noWrap/>
            <w:vAlign w:val="center"/>
          </w:tcPr>
          <w:p w14:paraId="0741AD64">
            <w:pPr>
              <w:keepNext w:val="0"/>
              <w:keepLines w:val="0"/>
              <w:pageBreakBefore w:val="0"/>
              <w:kinsoku/>
              <w:overflowPunct/>
              <w:topLinePunct w:val="0"/>
              <w:bidi w:val="0"/>
              <w:spacing w:before="40" w:after="40" w:line="360" w:lineRule="auto"/>
              <w:jc w:val="center"/>
              <w:rPr>
                <w:rFonts w:ascii="宋体"/>
                <w:bCs/>
                <w:szCs w:val="21"/>
              </w:rPr>
            </w:pPr>
            <w:r>
              <w:rPr>
                <w:rFonts w:hint="eastAsia" w:ascii="宋体" w:cs="宋体"/>
                <w:szCs w:val="21"/>
              </w:rPr>
              <w:t>4.1</w:t>
            </w:r>
          </w:p>
        </w:tc>
      </w:tr>
      <w:tr w14:paraId="7832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6"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1D5E5DEB">
            <w:pPr>
              <w:keepNext w:val="0"/>
              <w:keepLines w:val="0"/>
              <w:pageBreakBefore w:val="0"/>
              <w:kinsoku/>
              <w:overflowPunct/>
              <w:topLinePunct w:val="0"/>
              <w:bidi w:val="0"/>
              <w:spacing w:line="360" w:lineRule="auto"/>
              <w:jc w:val="center"/>
              <w:rPr>
                <w:rFonts w:ascii="宋体"/>
                <w:szCs w:val="21"/>
              </w:rPr>
            </w:pPr>
            <w:r>
              <w:rPr>
                <w:rFonts w:hint="eastAsia" w:ascii="宋体"/>
                <w:szCs w:val="21"/>
              </w:rPr>
              <w:t>9</w:t>
            </w:r>
          </w:p>
        </w:tc>
        <w:tc>
          <w:tcPr>
            <w:tcW w:w="1760" w:type="dxa"/>
            <w:tcBorders>
              <w:top w:val="single" w:color="auto" w:sz="4" w:space="0"/>
              <w:left w:val="single" w:color="auto" w:sz="4" w:space="0"/>
              <w:bottom w:val="single" w:color="auto" w:sz="4" w:space="0"/>
              <w:right w:val="single" w:color="auto" w:sz="4" w:space="0"/>
            </w:tcBorders>
            <w:noWrap/>
            <w:vAlign w:val="center"/>
          </w:tcPr>
          <w:p w14:paraId="305AACAE">
            <w:pPr>
              <w:keepNext w:val="0"/>
              <w:keepLines w:val="0"/>
              <w:pageBreakBefore w:val="0"/>
              <w:kinsoku/>
              <w:overflowPunct/>
              <w:topLinePunct w:val="0"/>
              <w:bidi w:val="0"/>
              <w:spacing w:before="40" w:after="40" w:line="360" w:lineRule="auto"/>
              <w:ind w:firstLine="105" w:firstLineChars="50"/>
              <w:jc w:val="center"/>
              <w:rPr>
                <w:rFonts w:ascii="宋体"/>
                <w:bCs/>
                <w:szCs w:val="21"/>
              </w:rPr>
            </w:pPr>
            <w:r>
              <w:rPr>
                <w:rFonts w:hint="eastAsia" w:ascii="宋体" w:cs="宋体"/>
                <w:szCs w:val="21"/>
              </w:rPr>
              <w:t>采购人根据本项目的特殊要求规定供应商应具备的特定条件</w:t>
            </w:r>
          </w:p>
        </w:tc>
        <w:tc>
          <w:tcPr>
            <w:tcW w:w="5614" w:type="dxa"/>
            <w:tcBorders>
              <w:top w:val="single" w:color="auto" w:sz="4" w:space="0"/>
              <w:left w:val="single" w:color="auto" w:sz="4" w:space="0"/>
              <w:bottom w:val="single" w:color="auto" w:sz="4" w:space="0"/>
              <w:right w:val="single" w:color="auto" w:sz="4" w:space="0"/>
            </w:tcBorders>
            <w:noWrap/>
            <w:vAlign w:val="center"/>
          </w:tcPr>
          <w:p w14:paraId="3602E56C">
            <w:pPr>
              <w:keepNext w:val="0"/>
              <w:keepLines w:val="0"/>
              <w:pageBreakBefore w:val="0"/>
              <w:kinsoku/>
              <w:overflowPunct/>
              <w:topLinePunct w:val="0"/>
              <w:autoSpaceDE w:val="0"/>
              <w:autoSpaceDN w:val="0"/>
              <w:bidi w:val="0"/>
              <w:adjustRightInd w:val="0"/>
              <w:spacing w:line="360" w:lineRule="auto"/>
              <w:jc w:val="left"/>
              <w:rPr>
                <w:rFonts w:ascii="宋体"/>
                <w:bCs/>
                <w:szCs w:val="21"/>
              </w:rPr>
            </w:pPr>
            <w:r>
              <w:rPr>
                <w:rFonts w:hint="eastAsia" w:ascii="宋体" w:cs="宋体"/>
                <w:szCs w:val="21"/>
              </w:rPr>
              <w:t>详见竞争性磋商文件第一章《竞争性磋商公告》“二、供应商的资格要求”</w:t>
            </w:r>
          </w:p>
        </w:tc>
        <w:tc>
          <w:tcPr>
            <w:tcW w:w="1101" w:type="dxa"/>
            <w:tcBorders>
              <w:top w:val="single" w:color="auto" w:sz="4" w:space="0"/>
              <w:left w:val="single" w:color="auto" w:sz="4" w:space="0"/>
              <w:bottom w:val="single" w:color="auto" w:sz="4" w:space="0"/>
              <w:right w:val="single" w:color="auto" w:sz="4" w:space="0"/>
            </w:tcBorders>
            <w:noWrap/>
            <w:vAlign w:val="center"/>
          </w:tcPr>
          <w:p w14:paraId="2A0504B4">
            <w:pPr>
              <w:keepNext w:val="0"/>
              <w:keepLines w:val="0"/>
              <w:pageBreakBefore w:val="0"/>
              <w:kinsoku/>
              <w:overflowPunct/>
              <w:topLinePunct w:val="0"/>
              <w:bidi w:val="0"/>
              <w:spacing w:before="40" w:after="40" w:line="360" w:lineRule="auto"/>
              <w:jc w:val="center"/>
              <w:rPr>
                <w:rFonts w:ascii="宋体"/>
                <w:bCs/>
                <w:szCs w:val="21"/>
              </w:rPr>
            </w:pPr>
            <w:r>
              <w:rPr>
                <w:rFonts w:hint="eastAsia" w:ascii="宋体" w:cs="宋体"/>
                <w:szCs w:val="21"/>
              </w:rPr>
              <w:t>4.2</w:t>
            </w:r>
          </w:p>
        </w:tc>
      </w:tr>
      <w:tr w14:paraId="7983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0FE37981">
            <w:pPr>
              <w:keepNext w:val="0"/>
              <w:keepLines w:val="0"/>
              <w:pageBreakBefore w:val="0"/>
              <w:kinsoku/>
              <w:overflowPunct/>
              <w:topLinePunct w:val="0"/>
              <w:bidi w:val="0"/>
              <w:spacing w:line="360" w:lineRule="auto"/>
              <w:jc w:val="center"/>
              <w:rPr>
                <w:rFonts w:ascii="宋体"/>
                <w:szCs w:val="21"/>
              </w:rPr>
            </w:pPr>
            <w:r>
              <w:rPr>
                <w:rFonts w:hint="eastAsia" w:ascii="宋体"/>
                <w:szCs w:val="21"/>
              </w:rPr>
              <w:t>10</w:t>
            </w:r>
          </w:p>
        </w:tc>
        <w:tc>
          <w:tcPr>
            <w:tcW w:w="1760" w:type="dxa"/>
            <w:tcBorders>
              <w:top w:val="single" w:color="auto" w:sz="4" w:space="0"/>
              <w:left w:val="single" w:color="auto" w:sz="4" w:space="0"/>
              <w:bottom w:val="single" w:color="auto" w:sz="4" w:space="0"/>
              <w:right w:val="single" w:color="auto" w:sz="4" w:space="0"/>
            </w:tcBorders>
            <w:noWrap/>
            <w:vAlign w:val="center"/>
          </w:tcPr>
          <w:p w14:paraId="2F35D27D">
            <w:pPr>
              <w:keepNext w:val="0"/>
              <w:keepLines w:val="0"/>
              <w:pageBreakBefore w:val="0"/>
              <w:kinsoku/>
              <w:overflowPunct/>
              <w:topLinePunct w:val="0"/>
              <w:bidi w:val="0"/>
              <w:spacing w:before="40" w:after="40" w:line="360" w:lineRule="auto"/>
              <w:ind w:firstLine="105" w:firstLineChars="50"/>
              <w:jc w:val="center"/>
              <w:rPr>
                <w:rFonts w:ascii="宋体"/>
                <w:bCs/>
                <w:szCs w:val="21"/>
              </w:rPr>
            </w:pPr>
            <w:r>
              <w:rPr>
                <w:rFonts w:hint="eastAsia" w:ascii="宋体" w:cs="宋体"/>
                <w:szCs w:val="21"/>
              </w:rPr>
              <w:t>现场考察</w:t>
            </w:r>
          </w:p>
        </w:tc>
        <w:tc>
          <w:tcPr>
            <w:tcW w:w="5614" w:type="dxa"/>
            <w:tcBorders>
              <w:top w:val="single" w:color="auto" w:sz="4" w:space="0"/>
              <w:left w:val="single" w:color="auto" w:sz="4" w:space="0"/>
              <w:bottom w:val="single" w:color="auto" w:sz="4" w:space="0"/>
              <w:right w:val="single" w:color="auto" w:sz="4" w:space="0"/>
            </w:tcBorders>
            <w:noWrap/>
            <w:vAlign w:val="center"/>
          </w:tcPr>
          <w:p w14:paraId="1163D183">
            <w:pPr>
              <w:keepNext w:val="0"/>
              <w:keepLines w:val="0"/>
              <w:pageBreakBefore w:val="0"/>
              <w:kinsoku/>
              <w:overflowPunct/>
              <w:topLinePunct w:val="0"/>
              <w:autoSpaceDE w:val="0"/>
              <w:autoSpaceDN w:val="0"/>
              <w:bidi w:val="0"/>
              <w:adjustRightInd w:val="0"/>
              <w:spacing w:line="360" w:lineRule="auto"/>
              <w:jc w:val="left"/>
              <w:rPr>
                <w:rFonts w:ascii="宋体"/>
                <w:bCs/>
                <w:szCs w:val="21"/>
              </w:rPr>
            </w:pPr>
            <w:r>
              <w:rPr>
                <w:rFonts w:hint="eastAsia" w:ascii="宋体" w:cs="宋体"/>
                <w:szCs w:val="21"/>
              </w:rPr>
              <w:t>不组织</w:t>
            </w:r>
          </w:p>
        </w:tc>
        <w:tc>
          <w:tcPr>
            <w:tcW w:w="1101" w:type="dxa"/>
            <w:tcBorders>
              <w:top w:val="single" w:color="auto" w:sz="4" w:space="0"/>
              <w:left w:val="single" w:color="auto" w:sz="4" w:space="0"/>
              <w:bottom w:val="single" w:color="auto" w:sz="4" w:space="0"/>
              <w:right w:val="single" w:color="auto" w:sz="4" w:space="0"/>
            </w:tcBorders>
            <w:noWrap/>
            <w:vAlign w:val="center"/>
          </w:tcPr>
          <w:p w14:paraId="52965252">
            <w:pPr>
              <w:keepNext w:val="0"/>
              <w:keepLines w:val="0"/>
              <w:pageBreakBefore w:val="0"/>
              <w:kinsoku/>
              <w:overflowPunct/>
              <w:topLinePunct w:val="0"/>
              <w:bidi w:val="0"/>
              <w:spacing w:before="40" w:after="40" w:line="360" w:lineRule="auto"/>
              <w:jc w:val="center"/>
              <w:rPr>
                <w:rFonts w:ascii="宋体"/>
                <w:bCs/>
                <w:szCs w:val="21"/>
              </w:rPr>
            </w:pPr>
            <w:r>
              <w:rPr>
                <w:rFonts w:hint="eastAsia" w:ascii="宋体" w:cs="宋体"/>
                <w:szCs w:val="21"/>
              </w:rPr>
              <w:t>6.1</w:t>
            </w:r>
          </w:p>
        </w:tc>
      </w:tr>
      <w:tr w14:paraId="3537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74A70F35">
            <w:pPr>
              <w:keepNext w:val="0"/>
              <w:keepLines w:val="0"/>
              <w:pageBreakBefore w:val="0"/>
              <w:kinsoku/>
              <w:overflowPunct/>
              <w:topLinePunct w:val="0"/>
              <w:bidi w:val="0"/>
              <w:spacing w:line="360" w:lineRule="auto"/>
              <w:jc w:val="center"/>
              <w:rPr>
                <w:rFonts w:ascii="宋体"/>
                <w:szCs w:val="21"/>
              </w:rPr>
            </w:pPr>
            <w:r>
              <w:rPr>
                <w:rFonts w:hint="eastAsia" w:ascii="宋体"/>
                <w:szCs w:val="21"/>
              </w:rPr>
              <w:t>11</w:t>
            </w:r>
          </w:p>
        </w:tc>
        <w:tc>
          <w:tcPr>
            <w:tcW w:w="1760" w:type="dxa"/>
            <w:tcBorders>
              <w:top w:val="single" w:color="auto" w:sz="4" w:space="0"/>
              <w:left w:val="single" w:color="auto" w:sz="4" w:space="0"/>
              <w:bottom w:val="single" w:color="auto" w:sz="4" w:space="0"/>
              <w:right w:val="single" w:color="auto" w:sz="4" w:space="0"/>
            </w:tcBorders>
            <w:noWrap/>
            <w:vAlign w:val="center"/>
          </w:tcPr>
          <w:p w14:paraId="6C2FC0C6">
            <w:pPr>
              <w:keepNext w:val="0"/>
              <w:keepLines w:val="0"/>
              <w:pageBreakBefore w:val="0"/>
              <w:kinsoku/>
              <w:overflowPunct/>
              <w:topLinePunct w:val="0"/>
              <w:bidi w:val="0"/>
              <w:spacing w:before="40" w:after="40" w:line="360" w:lineRule="auto"/>
              <w:ind w:firstLine="105" w:firstLineChars="50"/>
              <w:jc w:val="center"/>
              <w:rPr>
                <w:rFonts w:ascii="宋体"/>
                <w:szCs w:val="21"/>
              </w:rPr>
            </w:pPr>
            <w:r>
              <w:rPr>
                <w:rFonts w:hint="eastAsia" w:ascii="宋体" w:cs="宋体"/>
                <w:szCs w:val="21"/>
              </w:rPr>
              <w:t>磋商前答疑会</w:t>
            </w:r>
          </w:p>
        </w:tc>
        <w:tc>
          <w:tcPr>
            <w:tcW w:w="5614" w:type="dxa"/>
            <w:tcBorders>
              <w:top w:val="single" w:color="auto" w:sz="4" w:space="0"/>
              <w:left w:val="single" w:color="auto" w:sz="4" w:space="0"/>
              <w:bottom w:val="single" w:color="auto" w:sz="4" w:space="0"/>
              <w:right w:val="single" w:color="auto" w:sz="4" w:space="0"/>
            </w:tcBorders>
            <w:noWrap/>
            <w:vAlign w:val="center"/>
          </w:tcPr>
          <w:p w14:paraId="1A285A61">
            <w:pPr>
              <w:keepNext w:val="0"/>
              <w:keepLines w:val="0"/>
              <w:pageBreakBefore w:val="0"/>
              <w:kinsoku/>
              <w:overflowPunct/>
              <w:topLinePunct w:val="0"/>
              <w:autoSpaceDE w:val="0"/>
              <w:autoSpaceDN w:val="0"/>
              <w:bidi w:val="0"/>
              <w:adjustRightInd w:val="0"/>
              <w:spacing w:line="360" w:lineRule="auto"/>
              <w:jc w:val="left"/>
              <w:rPr>
                <w:rFonts w:ascii="宋体"/>
                <w:szCs w:val="21"/>
              </w:rPr>
            </w:pPr>
            <w:r>
              <w:rPr>
                <w:rFonts w:hint="eastAsia" w:ascii="宋体" w:cs="宋体"/>
                <w:szCs w:val="21"/>
              </w:rPr>
              <w:t>不组织</w:t>
            </w:r>
          </w:p>
        </w:tc>
        <w:tc>
          <w:tcPr>
            <w:tcW w:w="1101" w:type="dxa"/>
            <w:tcBorders>
              <w:top w:val="single" w:color="auto" w:sz="4" w:space="0"/>
              <w:left w:val="single" w:color="auto" w:sz="4" w:space="0"/>
              <w:bottom w:val="single" w:color="auto" w:sz="4" w:space="0"/>
              <w:right w:val="single" w:color="auto" w:sz="4" w:space="0"/>
            </w:tcBorders>
            <w:noWrap/>
            <w:vAlign w:val="center"/>
          </w:tcPr>
          <w:p w14:paraId="153CF5ED">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7.1</w:t>
            </w:r>
          </w:p>
        </w:tc>
      </w:tr>
      <w:tr w14:paraId="4574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8"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092E56BB">
            <w:pPr>
              <w:keepNext w:val="0"/>
              <w:keepLines w:val="0"/>
              <w:pageBreakBefore w:val="0"/>
              <w:kinsoku/>
              <w:overflowPunct/>
              <w:topLinePunct w:val="0"/>
              <w:bidi w:val="0"/>
              <w:spacing w:line="360" w:lineRule="auto"/>
              <w:jc w:val="center"/>
              <w:rPr>
                <w:rFonts w:ascii="宋体"/>
                <w:szCs w:val="21"/>
              </w:rPr>
            </w:pPr>
            <w:r>
              <w:rPr>
                <w:rFonts w:hint="eastAsia" w:ascii="宋体"/>
                <w:szCs w:val="21"/>
              </w:rPr>
              <w:t>12</w:t>
            </w:r>
          </w:p>
        </w:tc>
        <w:tc>
          <w:tcPr>
            <w:tcW w:w="1760" w:type="dxa"/>
            <w:tcBorders>
              <w:top w:val="single" w:color="auto" w:sz="4" w:space="0"/>
              <w:left w:val="single" w:color="auto" w:sz="4" w:space="0"/>
              <w:bottom w:val="single" w:color="auto" w:sz="4" w:space="0"/>
              <w:right w:val="single" w:color="auto" w:sz="4" w:space="0"/>
            </w:tcBorders>
            <w:noWrap/>
            <w:vAlign w:val="center"/>
          </w:tcPr>
          <w:p w14:paraId="7B22F659">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竞争性磋商文件的询问时间</w:t>
            </w:r>
          </w:p>
        </w:tc>
        <w:tc>
          <w:tcPr>
            <w:tcW w:w="5614" w:type="dxa"/>
            <w:tcBorders>
              <w:top w:val="single" w:color="auto" w:sz="4" w:space="0"/>
              <w:left w:val="single" w:color="auto" w:sz="4" w:space="0"/>
              <w:bottom w:val="single" w:color="auto" w:sz="4" w:space="0"/>
              <w:right w:val="single" w:color="auto" w:sz="4" w:space="0"/>
            </w:tcBorders>
            <w:noWrap/>
            <w:vAlign w:val="center"/>
          </w:tcPr>
          <w:p w14:paraId="4F1FBAD8">
            <w:pPr>
              <w:keepNext w:val="0"/>
              <w:keepLines w:val="0"/>
              <w:pageBreakBefore w:val="0"/>
              <w:kinsoku/>
              <w:wordWrap w:val="0"/>
              <w:overflowPunct/>
              <w:topLinePunct w:val="0"/>
              <w:autoSpaceDE w:val="0"/>
              <w:autoSpaceDN w:val="0"/>
              <w:bidi w:val="0"/>
              <w:adjustRightInd w:val="0"/>
              <w:spacing w:line="360" w:lineRule="auto"/>
              <w:jc w:val="left"/>
              <w:rPr>
                <w:rFonts w:ascii="宋体"/>
                <w:szCs w:val="21"/>
              </w:rPr>
            </w:pPr>
            <w:r>
              <w:rPr>
                <w:rFonts w:hint="eastAsia" w:ascii="宋体" w:cs="宋体"/>
                <w:szCs w:val="21"/>
              </w:rPr>
              <w:t>供应商应认真阅读竞争性磋商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学习。</w:t>
            </w:r>
          </w:p>
        </w:tc>
        <w:tc>
          <w:tcPr>
            <w:tcW w:w="1101" w:type="dxa"/>
            <w:tcBorders>
              <w:top w:val="single" w:color="auto" w:sz="4" w:space="0"/>
              <w:left w:val="single" w:color="auto" w:sz="4" w:space="0"/>
              <w:bottom w:val="single" w:color="auto" w:sz="4" w:space="0"/>
              <w:right w:val="single" w:color="auto" w:sz="4" w:space="0"/>
            </w:tcBorders>
            <w:noWrap/>
            <w:vAlign w:val="center"/>
          </w:tcPr>
          <w:p w14:paraId="51F9D0FD">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11.1</w:t>
            </w:r>
          </w:p>
        </w:tc>
      </w:tr>
      <w:tr w14:paraId="2359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70BBE8BF">
            <w:pPr>
              <w:keepNext w:val="0"/>
              <w:keepLines w:val="0"/>
              <w:pageBreakBefore w:val="0"/>
              <w:kinsoku/>
              <w:overflowPunct/>
              <w:topLinePunct w:val="0"/>
              <w:bidi w:val="0"/>
              <w:spacing w:line="360" w:lineRule="auto"/>
              <w:jc w:val="center"/>
              <w:rPr>
                <w:rFonts w:ascii="宋体"/>
                <w:szCs w:val="21"/>
              </w:rPr>
            </w:pPr>
            <w:r>
              <w:rPr>
                <w:rFonts w:hint="eastAsia" w:ascii="宋体"/>
                <w:szCs w:val="21"/>
              </w:rPr>
              <w:t>13</w:t>
            </w:r>
          </w:p>
        </w:tc>
        <w:tc>
          <w:tcPr>
            <w:tcW w:w="1760" w:type="dxa"/>
            <w:tcBorders>
              <w:top w:val="single" w:color="auto" w:sz="4" w:space="0"/>
              <w:left w:val="single" w:color="auto" w:sz="4" w:space="0"/>
              <w:bottom w:val="single" w:color="auto" w:sz="4" w:space="0"/>
              <w:right w:val="single" w:color="auto" w:sz="4" w:space="0"/>
            </w:tcBorders>
            <w:noWrap/>
            <w:vAlign w:val="center"/>
          </w:tcPr>
          <w:p w14:paraId="3A189D62">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磋商文件询问联系方式</w:t>
            </w:r>
          </w:p>
        </w:tc>
        <w:tc>
          <w:tcPr>
            <w:tcW w:w="5614" w:type="dxa"/>
            <w:tcBorders>
              <w:top w:val="single" w:color="auto" w:sz="4" w:space="0"/>
              <w:left w:val="single" w:color="auto" w:sz="4" w:space="0"/>
              <w:bottom w:val="single" w:color="auto" w:sz="4" w:space="0"/>
              <w:right w:val="single" w:color="auto" w:sz="4" w:space="0"/>
            </w:tcBorders>
            <w:noWrap/>
            <w:vAlign w:val="center"/>
          </w:tcPr>
          <w:p w14:paraId="2C8BE308">
            <w:pPr>
              <w:keepNext w:val="0"/>
              <w:keepLines w:val="0"/>
              <w:pageBreakBefore w:val="0"/>
              <w:kinsoku/>
              <w:overflowPunct/>
              <w:topLinePunct w:val="0"/>
              <w:autoSpaceDE w:val="0"/>
              <w:autoSpaceDN w:val="0"/>
              <w:bidi w:val="0"/>
              <w:snapToGrid w:val="0"/>
              <w:spacing w:line="360" w:lineRule="auto"/>
              <w:textAlignment w:val="bottom"/>
              <w:rPr>
                <w:rFonts w:hint="eastAsia" w:ascii="宋体" w:eastAsia="宋体" w:cs="宋体"/>
                <w:szCs w:val="21"/>
                <w:lang w:eastAsia="zh-CN"/>
              </w:rPr>
            </w:pPr>
            <w:r>
              <w:rPr>
                <w:rFonts w:hint="eastAsia" w:ascii="宋体" w:cs="宋体"/>
                <w:szCs w:val="21"/>
              </w:rPr>
              <w:t>询问联系人：</w:t>
            </w:r>
            <w:r>
              <w:rPr>
                <w:rFonts w:hint="eastAsia" w:ascii="宋体" w:cs="宋体"/>
                <w:kern w:val="0"/>
                <w:szCs w:val="21"/>
                <w:lang w:eastAsia="zh-CN"/>
              </w:rPr>
              <w:t>李腾芳、王彦飞、肖枝莲、王国玺、吴翊</w:t>
            </w:r>
          </w:p>
          <w:p w14:paraId="69BAE6F3">
            <w:pPr>
              <w:keepNext w:val="0"/>
              <w:keepLines w:val="0"/>
              <w:pageBreakBefore w:val="0"/>
              <w:kinsoku/>
              <w:overflowPunct/>
              <w:topLinePunct w:val="0"/>
              <w:autoSpaceDE w:val="0"/>
              <w:autoSpaceDN w:val="0"/>
              <w:bidi w:val="0"/>
              <w:adjustRightInd w:val="0"/>
              <w:spacing w:line="360" w:lineRule="auto"/>
              <w:jc w:val="left"/>
              <w:rPr>
                <w:rFonts w:ascii="宋体"/>
                <w:szCs w:val="21"/>
              </w:rPr>
            </w:pPr>
            <w:r>
              <w:rPr>
                <w:rFonts w:hint="eastAsia" w:ascii="宋体" w:cs="宋体"/>
                <w:szCs w:val="21"/>
              </w:rPr>
              <w:t>电话：</w:t>
            </w:r>
            <w:r>
              <w:rPr>
                <w:rFonts w:hint="eastAsia" w:ascii="宋体" w:cs="宋体"/>
                <w:color w:val="000000"/>
                <w:szCs w:val="21"/>
              </w:rPr>
              <w:t>0871-65511240、0871-65511241</w:t>
            </w:r>
          </w:p>
        </w:tc>
        <w:tc>
          <w:tcPr>
            <w:tcW w:w="1101" w:type="dxa"/>
            <w:tcBorders>
              <w:top w:val="single" w:color="auto" w:sz="4" w:space="0"/>
              <w:left w:val="single" w:color="auto" w:sz="4" w:space="0"/>
              <w:bottom w:val="single" w:color="auto" w:sz="4" w:space="0"/>
              <w:right w:val="single" w:color="auto" w:sz="4" w:space="0"/>
            </w:tcBorders>
            <w:noWrap/>
            <w:vAlign w:val="center"/>
          </w:tcPr>
          <w:p w14:paraId="20A05646">
            <w:pPr>
              <w:keepNext w:val="0"/>
              <w:keepLines w:val="0"/>
              <w:pageBreakBefore w:val="0"/>
              <w:kinsoku/>
              <w:overflowPunct/>
              <w:topLinePunct w:val="0"/>
              <w:bidi w:val="0"/>
              <w:spacing w:before="40" w:after="40" w:line="360" w:lineRule="auto"/>
              <w:jc w:val="center"/>
              <w:rPr>
                <w:rFonts w:ascii="宋体" w:cs="宋体"/>
              </w:rPr>
            </w:pPr>
            <w:r>
              <w:rPr>
                <w:rFonts w:hint="eastAsia" w:ascii="宋体" w:cs="宋体"/>
                <w:szCs w:val="21"/>
              </w:rPr>
              <w:t>11.2</w:t>
            </w:r>
          </w:p>
        </w:tc>
      </w:tr>
      <w:tr w14:paraId="5599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627E8638">
            <w:pPr>
              <w:keepNext w:val="0"/>
              <w:keepLines w:val="0"/>
              <w:pageBreakBefore w:val="0"/>
              <w:kinsoku/>
              <w:overflowPunct/>
              <w:topLinePunct w:val="0"/>
              <w:bidi w:val="0"/>
              <w:spacing w:line="360" w:lineRule="auto"/>
              <w:jc w:val="center"/>
              <w:rPr>
                <w:rFonts w:ascii="宋体"/>
                <w:szCs w:val="21"/>
              </w:rPr>
            </w:pPr>
            <w:r>
              <w:rPr>
                <w:rFonts w:hint="eastAsia" w:ascii="宋体"/>
                <w:szCs w:val="21"/>
              </w:rPr>
              <w:t>14</w:t>
            </w:r>
          </w:p>
        </w:tc>
        <w:tc>
          <w:tcPr>
            <w:tcW w:w="1760" w:type="dxa"/>
            <w:tcBorders>
              <w:top w:val="single" w:color="auto" w:sz="4" w:space="0"/>
              <w:left w:val="single" w:color="auto" w:sz="4" w:space="0"/>
              <w:bottom w:val="single" w:color="auto" w:sz="4" w:space="0"/>
              <w:right w:val="single" w:color="auto" w:sz="4" w:space="0"/>
            </w:tcBorders>
            <w:noWrap/>
            <w:vAlign w:val="center"/>
          </w:tcPr>
          <w:p w14:paraId="28B83032">
            <w:pPr>
              <w:keepNext w:val="0"/>
              <w:keepLines w:val="0"/>
              <w:pageBreakBefore w:val="0"/>
              <w:kinsoku/>
              <w:overflowPunct/>
              <w:topLinePunct w:val="0"/>
              <w:bidi w:val="0"/>
              <w:spacing w:before="40" w:after="40" w:line="360" w:lineRule="auto"/>
              <w:ind w:firstLine="105" w:firstLineChars="50"/>
              <w:jc w:val="center"/>
              <w:rPr>
                <w:rFonts w:ascii="宋体"/>
                <w:szCs w:val="21"/>
              </w:rPr>
            </w:pPr>
            <w:r>
              <w:rPr>
                <w:rFonts w:hint="eastAsia" w:ascii="宋体" w:cs="宋体"/>
                <w:szCs w:val="21"/>
              </w:rPr>
              <w:t>竞争性磋商文件澄清、修改时间</w:t>
            </w:r>
          </w:p>
        </w:tc>
        <w:tc>
          <w:tcPr>
            <w:tcW w:w="5614" w:type="dxa"/>
            <w:tcBorders>
              <w:top w:val="single" w:color="auto" w:sz="4" w:space="0"/>
              <w:left w:val="single" w:color="auto" w:sz="4" w:space="0"/>
              <w:bottom w:val="single" w:color="auto" w:sz="4" w:space="0"/>
              <w:right w:val="single" w:color="auto" w:sz="4" w:space="0"/>
            </w:tcBorders>
            <w:noWrap/>
            <w:vAlign w:val="center"/>
          </w:tcPr>
          <w:p w14:paraId="0E39F61B">
            <w:pPr>
              <w:keepNext w:val="0"/>
              <w:keepLines w:val="0"/>
              <w:pageBreakBefore w:val="0"/>
              <w:kinsoku/>
              <w:overflowPunct/>
              <w:topLinePunct w:val="0"/>
              <w:autoSpaceDE w:val="0"/>
              <w:autoSpaceDN w:val="0"/>
              <w:bidi w:val="0"/>
              <w:adjustRightInd w:val="0"/>
              <w:spacing w:line="360" w:lineRule="auto"/>
              <w:jc w:val="left"/>
              <w:rPr>
                <w:rFonts w:ascii="宋体"/>
                <w:szCs w:val="21"/>
              </w:rPr>
            </w:pPr>
            <w:r>
              <w:rPr>
                <w:rFonts w:hint="eastAsia" w:ascii="宋体" w:cs="宋体"/>
                <w:szCs w:val="21"/>
              </w:rPr>
              <w:t>澄清或者修改的内容可能影响响应文件编制的，采购人、采购代理机构将在提交首次响应文件截止时间至少5日前，以书面形式通知所有获取竞争性磋商文件的供应商；不足5日的，采购人、采购代理机构将顺延提交首次响应文件截止时间。</w:t>
            </w:r>
          </w:p>
        </w:tc>
        <w:tc>
          <w:tcPr>
            <w:tcW w:w="1101" w:type="dxa"/>
            <w:tcBorders>
              <w:top w:val="single" w:color="auto" w:sz="4" w:space="0"/>
              <w:left w:val="single" w:color="auto" w:sz="4" w:space="0"/>
              <w:bottom w:val="single" w:color="auto" w:sz="4" w:space="0"/>
              <w:right w:val="single" w:color="auto" w:sz="4" w:space="0"/>
            </w:tcBorders>
            <w:noWrap/>
            <w:vAlign w:val="center"/>
          </w:tcPr>
          <w:p w14:paraId="6D1A9B6D">
            <w:pPr>
              <w:keepNext w:val="0"/>
              <w:keepLines w:val="0"/>
              <w:pageBreakBefore w:val="0"/>
              <w:kinsoku/>
              <w:overflowPunct/>
              <w:topLinePunct w:val="0"/>
              <w:bidi w:val="0"/>
              <w:spacing w:before="40" w:after="40" w:line="360" w:lineRule="auto"/>
              <w:jc w:val="center"/>
              <w:rPr>
                <w:rFonts w:ascii="宋体" w:cs="宋体"/>
                <w:szCs w:val="21"/>
              </w:rPr>
            </w:pPr>
            <w:r>
              <w:rPr>
                <w:rFonts w:hint="eastAsia" w:ascii="宋体" w:cs="宋体"/>
                <w:szCs w:val="21"/>
              </w:rPr>
              <w:t>11.4</w:t>
            </w:r>
          </w:p>
        </w:tc>
      </w:tr>
      <w:tr w14:paraId="7A44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5A80684C">
            <w:pPr>
              <w:keepNext w:val="0"/>
              <w:keepLines w:val="0"/>
              <w:pageBreakBefore w:val="0"/>
              <w:kinsoku/>
              <w:overflowPunct/>
              <w:topLinePunct w:val="0"/>
              <w:bidi w:val="0"/>
              <w:spacing w:line="360" w:lineRule="auto"/>
              <w:jc w:val="center"/>
              <w:rPr>
                <w:rFonts w:ascii="宋体"/>
                <w:szCs w:val="21"/>
              </w:rPr>
            </w:pPr>
            <w:r>
              <w:rPr>
                <w:rFonts w:hint="eastAsia" w:ascii="宋体"/>
                <w:szCs w:val="21"/>
              </w:rPr>
              <w:t>15</w:t>
            </w:r>
          </w:p>
        </w:tc>
        <w:tc>
          <w:tcPr>
            <w:tcW w:w="1760" w:type="dxa"/>
            <w:tcBorders>
              <w:top w:val="single" w:color="auto" w:sz="4" w:space="0"/>
              <w:left w:val="single" w:color="auto" w:sz="4" w:space="0"/>
              <w:bottom w:val="single" w:color="auto" w:sz="4" w:space="0"/>
              <w:right w:val="single" w:color="auto" w:sz="4" w:space="0"/>
            </w:tcBorders>
            <w:noWrap/>
            <w:vAlign w:val="center"/>
          </w:tcPr>
          <w:p w14:paraId="004A7D29">
            <w:pPr>
              <w:keepNext w:val="0"/>
              <w:keepLines w:val="0"/>
              <w:pageBreakBefore w:val="0"/>
              <w:kinsoku/>
              <w:overflowPunct/>
              <w:topLinePunct w:val="0"/>
              <w:bidi w:val="0"/>
              <w:spacing w:before="40" w:after="40" w:line="360" w:lineRule="auto"/>
              <w:ind w:firstLine="105" w:firstLineChars="50"/>
              <w:jc w:val="center"/>
              <w:rPr>
                <w:rFonts w:ascii="宋体"/>
                <w:szCs w:val="21"/>
              </w:rPr>
            </w:pPr>
            <w:r>
              <w:rPr>
                <w:rFonts w:hint="eastAsia" w:ascii="宋体" w:cs="宋体"/>
                <w:szCs w:val="21"/>
              </w:rPr>
              <w:t>供应商确认收到竞争性磋商文件澄清、修改时间</w:t>
            </w:r>
          </w:p>
        </w:tc>
        <w:tc>
          <w:tcPr>
            <w:tcW w:w="5614" w:type="dxa"/>
            <w:tcBorders>
              <w:top w:val="single" w:color="auto" w:sz="4" w:space="0"/>
              <w:left w:val="single" w:color="auto" w:sz="4" w:space="0"/>
              <w:bottom w:val="single" w:color="auto" w:sz="4" w:space="0"/>
              <w:right w:val="single" w:color="auto" w:sz="4" w:space="0"/>
            </w:tcBorders>
            <w:noWrap/>
            <w:vAlign w:val="center"/>
          </w:tcPr>
          <w:p w14:paraId="5854A5B4">
            <w:pPr>
              <w:keepNext w:val="0"/>
              <w:keepLines w:val="0"/>
              <w:pageBreakBefore w:val="0"/>
              <w:kinsoku/>
              <w:overflowPunct/>
              <w:topLinePunct w:val="0"/>
              <w:autoSpaceDE w:val="0"/>
              <w:autoSpaceDN w:val="0"/>
              <w:bidi w:val="0"/>
              <w:adjustRightInd w:val="0"/>
              <w:spacing w:line="360" w:lineRule="auto"/>
              <w:jc w:val="left"/>
              <w:rPr>
                <w:rFonts w:ascii="宋体"/>
                <w:szCs w:val="21"/>
              </w:rPr>
            </w:pPr>
            <w:r>
              <w:rPr>
                <w:rFonts w:hint="eastAsia" w:ascii="宋体" w:cs="宋体"/>
                <w:szCs w:val="21"/>
              </w:rPr>
              <w:t>供应商确认收到竞争性磋商文件澄清、修改后，应在收到澄清、修改后24小时内以书面形式通知采购人或采购代理机构，确认已收到该澄清、修改。</w:t>
            </w:r>
          </w:p>
        </w:tc>
        <w:tc>
          <w:tcPr>
            <w:tcW w:w="1101" w:type="dxa"/>
            <w:tcBorders>
              <w:top w:val="single" w:color="auto" w:sz="4" w:space="0"/>
              <w:left w:val="single" w:color="auto" w:sz="4" w:space="0"/>
              <w:bottom w:val="single" w:color="auto" w:sz="4" w:space="0"/>
              <w:right w:val="single" w:color="auto" w:sz="4" w:space="0"/>
            </w:tcBorders>
            <w:noWrap/>
            <w:vAlign w:val="center"/>
          </w:tcPr>
          <w:p w14:paraId="285215F2">
            <w:pPr>
              <w:keepNext w:val="0"/>
              <w:keepLines w:val="0"/>
              <w:pageBreakBefore w:val="0"/>
              <w:kinsoku/>
              <w:overflowPunct/>
              <w:topLinePunct w:val="0"/>
              <w:bidi w:val="0"/>
              <w:spacing w:before="40" w:after="40" w:line="360" w:lineRule="auto"/>
              <w:jc w:val="center"/>
              <w:rPr>
                <w:rFonts w:ascii="Times New Roman" w:hAnsi="Times New Roman" w:cs="宋体"/>
              </w:rPr>
            </w:pPr>
            <w:r>
              <w:rPr>
                <w:rFonts w:hint="eastAsia" w:ascii="宋体" w:cs="宋体"/>
                <w:szCs w:val="21"/>
              </w:rPr>
              <w:t>11.5</w:t>
            </w:r>
          </w:p>
        </w:tc>
      </w:tr>
      <w:tr w14:paraId="504A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6"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0AA33EAD">
            <w:pPr>
              <w:keepNext w:val="0"/>
              <w:keepLines w:val="0"/>
              <w:pageBreakBefore w:val="0"/>
              <w:kinsoku/>
              <w:overflowPunct/>
              <w:topLinePunct w:val="0"/>
              <w:bidi w:val="0"/>
              <w:spacing w:line="360" w:lineRule="auto"/>
              <w:jc w:val="center"/>
              <w:rPr>
                <w:rFonts w:ascii="宋体"/>
                <w:szCs w:val="21"/>
              </w:rPr>
            </w:pPr>
            <w:r>
              <w:rPr>
                <w:rFonts w:hint="eastAsia" w:ascii="宋体"/>
                <w:szCs w:val="21"/>
              </w:rPr>
              <w:t>16</w:t>
            </w:r>
          </w:p>
        </w:tc>
        <w:tc>
          <w:tcPr>
            <w:tcW w:w="1760" w:type="dxa"/>
            <w:tcBorders>
              <w:top w:val="single" w:color="auto" w:sz="4" w:space="0"/>
              <w:left w:val="single" w:color="auto" w:sz="4" w:space="0"/>
              <w:bottom w:val="single" w:color="auto" w:sz="4" w:space="0"/>
              <w:right w:val="single" w:color="auto" w:sz="4" w:space="0"/>
            </w:tcBorders>
            <w:noWrap/>
            <w:vAlign w:val="center"/>
          </w:tcPr>
          <w:p w14:paraId="0C9BD9F7">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磋商小组可以根据竞争性磋商文件和磋商情况实质性变动的内容</w:t>
            </w:r>
          </w:p>
        </w:tc>
        <w:tc>
          <w:tcPr>
            <w:tcW w:w="5614" w:type="dxa"/>
            <w:tcBorders>
              <w:top w:val="single" w:color="auto" w:sz="4" w:space="0"/>
              <w:left w:val="single" w:color="auto" w:sz="4" w:space="0"/>
              <w:bottom w:val="single" w:color="auto" w:sz="4" w:space="0"/>
              <w:right w:val="single" w:color="auto" w:sz="4" w:space="0"/>
            </w:tcBorders>
            <w:noWrap/>
            <w:vAlign w:val="center"/>
          </w:tcPr>
          <w:p w14:paraId="3942EFA7">
            <w:pPr>
              <w:keepNext w:val="0"/>
              <w:keepLines w:val="0"/>
              <w:pageBreakBefore w:val="0"/>
              <w:kinsoku/>
              <w:overflowPunct/>
              <w:topLinePunct w:val="0"/>
              <w:autoSpaceDE w:val="0"/>
              <w:autoSpaceDN w:val="0"/>
              <w:bidi w:val="0"/>
              <w:adjustRightInd w:val="0"/>
              <w:spacing w:line="360" w:lineRule="auto"/>
              <w:jc w:val="left"/>
              <w:rPr>
                <w:rFonts w:ascii="宋体"/>
                <w:szCs w:val="21"/>
              </w:rPr>
            </w:pPr>
            <w:r>
              <w:rPr>
                <w:rFonts w:hint="eastAsia" w:ascii="宋体" w:cs="宋体"/>
                <w:szCs w:val="21"/>
              </w:rPr>
              <w:t>在磋商过程中，磋商小组可以根据竞争性磋商文件和磋商情况实质性变动采购需求中的技术、服务要求以及合同草案条款，但不得变动竞争性磋商文件中的其他内容。实质性变动的内容，须经采购人代表确认。</w:t>
            </w:r>
          </w:p>
        </w:tc>
        <w:tc>
          <w:tcPr>
            <w:tcW w:w="1101" w:type="dxa"/>
            <w:tcBorders>
              <w:top w:val="single" w:color="auto" w:sz="4" w:space="0"/>
              <w:left w:val="single" w:color="auto" w:sz="4" w:space="0"/>
              <w:bottom w:val="single" w:color="auto" w:sz="4" w:space="0"/>
              <w:right w:val="single" w:color="auto" w:sz="4" w:space="0"/>
            </w:tcBorders>
            <w:noWrap/>
            <w:vAlign w:val="center"/>
          </w:tcPr>
          <w:p w14:paraId="54FD97A1">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11.6</w:t>
            </w:r>
          </w:p>
        </w:tc>
      </w:tr>
      <w:tr w14:paraId="1F6D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16CDB003">
            <w:pPr>
              <w:keepNext w:val="0"/>
              <w:keepLines w:val="0"/>
              <w:pageBreakBefore w:val="0"/>
              <w:kinsoku/>
              <w:overflowPunct/>
              <w:topLinePunct w:val="0"/>
              <w:bidi w:val="0"/>
              <w:spacing w:line="360" w:lineRule="auto"/>
              <w:jc w:val="center"/>
              <w:rPr>
                <w:rFonts w:ascii="宋体"/>
                <w:szCs w:val="21"/>
              </w:rPr>
            </w:pPr>
            <w:r>
              <w:rPr>
                <w:rFonts w:hint="eastAsia" w:ascii="宋体"/>
                <w:szCs w:val="21"/>
              </w:rPr>
              <w:t>17</w:t>
            </w:r>
          </w:p>
        </w:tc>
        <w:tc>
          <w:tcPr>
            <w:tcW w:w="1760" w:type="dxa"/>
            <w:tcBorders>
              <w:top w:val="single" w:color="auto" w:sz="4" w:space="0"/>
              <w:left w:val="single" w:color="auto" w:sz="4" w:space="0"/>
              <w:bottom w:val="single" w:color="auto" w:sz="4" w:space="0"/>
              <w:right w:val="single" w:color="auto" w:sz="4" w:space="0"/>
            </w:tcBorders>
            <w:noWrap/>
            <w:vAlign w:val="center"/>
          </w:tcPr>
          <w:p w14:paraId="546B73E4">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语言文字</w:t>
            </w:r>
          </w:p>
        </w:tc>
        <w:tc>
          <w:tcPr>
            <w:tcW w:w="5614" w:type="dxa"/>
            <w:tcBorders>
              <w:top w:val="single" w:color="auto" w:sz="4" w:space="0"/>
              <w:left w:val="single" w:color="auto" w:sz="4" w:space="0"/>
              <w:bottom w:val="single" w:color="auto" w:sz="4" w:space="0"/>
              <w:right w:val="single" w:color="auto" w:sz="4" w:space="0"/>
            </w:tcBorders>
            <w:noWrap/>
            <w:vAlign w:val="center"/>
          </w:tcPr>
          <w:p w14:paraId="3CE3932E">
            <w:pPr>
              <w:keepNext w:val="0"/>
              <w:keepLines w:val="0"/>
              <w:pageBreakBefore w:val="0"/>
              <w:kinsoku/>
              <w:overflowPunct/>
              <w:topLinePunct w:val="0"/>
              <w:autoSpaceDE w:val="0"/>
              <w:autoSpaceDN w:val="0"/>
              <w:bidi w:val="0"/>
              <w:adjustRightInd w:val="0"/>
              <w:spacing w:line="360" w:lineRule="auto"/>
              <w:jc w:val="left"/>
              <w:rPr>
                <w:rFonts w:ascii="宋体"/>
                <w:szCs w:val="21"/>
              </w:rPr>
            </w:pPr>
            <w:r>
              <w:rPr>
                <w:rFonts w:hint="eastAsia" w:ascii="宋体" w:cs="宋体"/>
                <w:szCs w:val="21"/>
              </w:rPr>
              <w:t>供应商的响应文件以及供应商与采购人、采购代理机构、磋商小组就有关磋商的所有来往函电统一使用中文（特别规定除外）。</w:t>
            </w:r>
          </w:p>
        </w:tc>
        <w:tc>
          <w:tcPr>
            <w:tcW w:w="1101" w:type="dxa"/>
            <w:tcBorders>
              <w:top w:val="single" w:color="auto" w:sz="4" w:space="0"/>
              <w:left w:val="single" w:color="auto" w:sz="4" w:space="0"/>
              <w:bottom w:val="single" w:color="auto" w:sz="4" w:space="0"/>
              <w:right w:val="single" w:color="auto" w:sz="4" w:space="0"/>
            </w:tcBorders>
            <w:noWrap/>
            <w:vAlign w:val="center"/>
          </w:tcPr>
          <w:p w14:paraId="11937D4B">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13.1</w:t>
            </w:r>
          </w:p>
        </w:tc>
      </w:tr>
      <w:tr w14:paraId="721E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187276EC">
            <w:pPr>
              <w:keepNext w:val="0"/>
              <w:keepLines w:val="0"/>
              <w:pageBreakBefore w:val="0"/>
              <w:kinsoku/>
              <w:overflowPunct/>
              <w:topLinePunct w:val="0"/>
              <w:bidi w:val="0"/>
              <w:spacing w:line="360" w:lineRule="auto"/>
              <w:jc w:val="center"/>
              <w:rPr>
                <w:rFonts w:ascii="宋体"/>
                <w:szCs w:val="21"/>
              </w:rPr>
            </w:pPr>
            <w:r>
              <w:rPr>
                <w:rFonts w:hint="eastAsia" w:ascii="宋体"/>
                <w:szCs w:val="21"/>
              </w:rPr>
              <w:t>18</w:t>
            </w:r>
          </w:p>
        </w:tc>
        <w:tc>
          <w:tcPr>
            <w:tcW w:w="1760" w:type="dxa"/>
            <w:tcBorders>
              <w:top w:val="single" w:color="auto" w:sz="4" w:space="0"/>
              <w:left w:val="single" w:color="auto" w:sz="4" w:space="0"/>
              <w:bottom w:val="single" w:color="auto" w:sz="4" w:space="0"/>
              <w:right w:val="single" w:color="auto" w:sz="4" w:space="0"/>
            </w:tcBorders>
            <w:noWrap/>
            <w:vAlign w:val="center"/>
          </w:tcPr>
          <w:p w14:paraId="52EE0DE8">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计量单位</w:t>
            </w:r>
          </w:p>
        </w:tc>
        <w:tc>
          <w:tcPr>
            <w:tcW w:w="5614" w:type="dxa"/>
            <w:tcBorders>
              <w:top w:val="single" w:color="auto" w:sz="4" w:space="0"/>
              <w:left w:val="single" w:color="auto" w:sz="4" w:space="0"/>
              <w:bottom w:val="single" w:color="auto" w:sz="4" w:space="0"/>
              <w:right w:val="single" w:color="auto" w:sz="4" w:space="0"/>
            </w:tcBorders>
            <w:noWrap/>
            <w:vAlign w:val="center"/>
          </w:tcPr>
          <w:p w14:paraId="52BAA5A4">
            <w:pPr>
              <w:keepNext w:val="0"/>
              <w:keepLines w:val="0"/>
              <w:pageBreakBefore w:val="0"/>
              <w:kinsoku/>
              <w:overflowPunct/>
              <w:topLinePunct w:val="0"/>
              <w:autoSpaceDE w:val="0"/>
              <w:autoSpaceDN w:val="0"/>
              <w:bidi w:val="0"/>
              <w:adjustRightInd w:val="0"/>
              <w:spacing w:line="360" w:lineRule="auto"/>
              <w:jc w:val="left"/>
              <w:rPr>
                <w:rFonts w:ascii="宋体"/>
                <w:szCs w:val="21"/>
              </w:rPr>
            </w:pPr>
            <w:r>
              <w:rPr>
                <w:rFonts w:hint="eastAsia" w:ascii="宋体" w:cs="宋体"/>
                <w:szCs w:val="21"/>
              </w:rPr>
              <w:t>响应文件中使用的计量单位除竞争性磋商文件中有特殊规定外，一律使用中国法定计量单位。</w:t>
            </w:r>
          </w:p>
        </w:tc>
        <w:tc>
          <w:tcPr>
            <w:tcW w:w="1101" w:type="dxa"/>
            <w:tcBorders>
              <w:top w:val="single" w:color="auto" w:sz="4" w:space="0"/>
              <w:left w:val="single" w:color="auto" w:sz="4" w:space="0"/>
              <w:bottom w:val="single" w:color="auto" w:sz="4" w:space="0"/>
              <w:right w:val="single" w:color="auto" w:sz="4" w:space="0"/>
            </w:tcBorders>
            <w:noWrap/>
            <w:vAlign w:val="center"/>
          </w:tcPr>
          <w:p w14:paraId="401BD7F7">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14.1</w:t>
            </w:r>
          </w:p>
        </w:tc>
      </w:tr>
      <w:tr w14:paraId="57F5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10DE1F3D">
            <w:pPr>
              <w:keepNext w:val="0"/>
              <w:keepLines w:val="0"/>
              <w:pageBreakBefore w:val="0"/>
              <w:kinsoku/>
              <w:overflowPunct/>
              <w:topLinePunct w:val="0"/>
              <w:bidi w:val="0"/>
              <w:spacing w:line="360" w:lineRule="auto"/>
              <w:jc w:val="center"/>
              <w:rPr>
                <w:rFonts w:ascii="宋体"/>
                <w:szCs w:val="21"/>
              </w:rPr>
            </w:pPr>
            <w:r>
              <w:rPr>
                <w:rFonts w:hint="eastAsia" w:ascii="宋体"/>
                <w:szCs w:val="21"/>
              </w:rPr>
              <w:t>19</w:t>
            </w:r>
          </w:p>
        </w:tc>
        <w:tc>
          <w:tcPr>
            <w:tcW w:w="1760" w:type="dxa"/>
            <w:tcBorders>
              <w:top w:val="single" w:color="auto" w:sz="4" w:space="0"/>
              <w:left w:val="single" w:color="auto" w:sz="4" w:space="0"/>
              <w:bottom w:val="single" w:color="auto" w:sz="4" w:space="0"/>
              <w:right w:val="single" w:color="auto" w:sz="4" w:space="0"/>
            </w:tcBorders>
            <w:noWrap/>
            <w:vAlign w:val="center"/>
          </w:tcPr>
          <w:p w14:paraId="50C19BB8">
            <w:pPr>
              <w:keepNext w:val="0"/>
              <w:keepLines w:val="0"/>
              <w:pageBreakBefore w:val="0"/>
              <w:kinsoku/>
              <w:overflowPunct/>
              <w:topLinePunct w:val="0"/>
              <w:bidi w:val="0"/>
              <w:spacing w:before="40" w:after="40" w:line="360" w:lineRule="auto"/>
              <w:jc w:val="center"/>
              <w:rPr>
                <w:rFonts w:ascii="宋体"/>
                <w:szCs w:val="21"/>
                <w:highlight w:val="yellow"/>
              </w:rPr>
            </w:pPr>
            <w:r>
              <w:rPr>
                <w:rFonts w:hint="eastAsia" w:ascii="宋体" w:hAnsi="宋体" w:cs="宋体"/>
                <w:szCs w:val="21"/>
              </w:rPr>
              <w:t>构成响应文件的其他资料</w:t>
            </w:r>
          </w:p>
        </w:tc>
        <w:tc>
          <w:tcPr>
            <w:tcW w:w="5614" w:type="dxa"/>
            <w:tcBorders>
              <w:top w:val="single" w:color="auto" w:sz="4" w:space="0"/>
              <w:left w:val="single" w:color="auto" w:sz="4" w:space="0"/>
              <w:bottom w:val="single" w:color="auto" w:sz="4" w:space="0"/>
              <w:right w:val="single" w:color="auto" w:sz="4" w:space="0"/>
            </w:tcBorders>
            <w:noWrap/>
            <w:vAlign w:val="center"/>
          </w:tcPr>
          <w:p w14:paraId="7413B407">
            <w:pPr>
              <w:keepNext w:val="0"/>
              <w:keepLines w:val="0"/>
              <w:pageBreakBefore w:val="0"/>
              <w:kinsoku/>
              <w:overflowPunct/>
              <w:topLinePunct w:val="0"/>
              <w:autoSpaceDE w:val="0"/>
              <w:autoSpaceDN w:val="0"/>
              <w:bidi w:val="0"/>
              <w:adjustRightInd w:val="0"/>
              <w:spacing w:line="360" w:lineRule="auto"/>
              <w:jc w:val="left"/>
              <w:rPr>
                <w:rFonts w:ascii="宋体" w:hAnsi="宋体" w:cs="宋体"/>
                <w:szCs w:val="21"/>
              </w:rPr>
            </w:pPr>
            <w:r>
              <w:rPr>
                <w:rFonts w:hint="eastAsia" w:ascii="宋体" w:hAnsi="宋体" w:cs="宋体"/>
                <w:szCs w:val="21"/>
              </w:rPr>
              <w:t>1.磋商保证金交纳凭证或保函（复印件加盖供应商电子公章）</w:t>
            </w:r>
          </w:p>
          <w:p w14:paraId="7B408D76">
            <w:pPr>
              <w:keepNext w:val="0"/>
              <w:keepLines w:val="0"/>
              <w:pageBreakBefore w:val="0"/>
              <w:kinsoku/>
              <w:overflowPunct/>
              <w:topLinePunct w:val="0"/>
              <w:autoSpaceDE w:val="0"/>
              <w:autoSpaceDN w:val="0"/>
              <w:bidi w:val="0"/>
              <w:adjustRightInd w:val="0"/>
              <w:spacing w:line="360" w:lineRule="auto"/>
              <w:jc w:val="left"/>
              <w:rPr>
                <w:rFonts w:ascii="宋体" w:hAnsi="宋体" w:cs="宋体"/>
                <w:szCs w:val="21"/>
              </w:rPr>
            </w:pPr>
            <w:r>
              <w:rPr>
                <w:rFonts w:hint="eastAsia" w:ascii="宋体" w:hAnsi="宋体" w:cs="宋体"/>
                <w:szCs w:val="21"/>
              </w:rPr>
              <w:t>2.第五章《采购需求》中要求提供的其他资料；</w:t>
            </w:r>
          </w:p>
          <w:p w14:paraId="3AC913BC">
            <w:pPr>
              <w:keepNext w:val="0"/>
              <w:keepLines w:val="0"/>
              <w:pageBreakBefore w:val="0"/>
              <w:kinsoku/>
              <w:overflowPunct/>
              <w:topLinePunct w:val="0"/>
              <w:autoSpaceDE w:val="0"/>
              <w:autoSpaceDN w:val="0"/>
              <w:bidi w:val="0"/>
              <w:adjustRightInd w:val="0"/>
              <w:spacing w:line="360" w:lineRule="auto"/>
              <w:jc w:val="left"/>
              <w:rPr>
                <w:rFonts w:ascii="宋体"/>
                <w:szCs w:val="21"/>
                <w:highlight w:val="yellow"/>
              </w:rPr>
            </w:pPr>
            <w:r>
              <w:rPr>
                <w:rFonts w:hint="eastAsia" w:ascii="宋体" w:hAnsi="宋体" w:cs="宋体"/>
                <w:szCs w:val="21"/>
              </w:rPr>
              <w:t>3.竞争性磋商文件中所涉及到的相关资料及证明文件或供应商认为必须提供的其他相关资料。</w:t>
            </w:r>
          </w:p>
        </w:tc>
        <w:tc>
          <w:tcPr>
            <w:tcW w:w="1101" w:type="dxa"/>
            <w:tcBorders>
              <w:top w:val="single" w:color="auto" w:sz="4" w:space="0"/>
              <w:left w:val="single" w:color="auto" w:sz="4" w:space="0"/>
              <w:bottom w:val="single" w:color="auto" w:sz="4" w:space="0"/>
              <w:right w:val="single" w:color="auto" w:sz="4" w:space="0"/>
            </w:tcBorders>
            <w:noWrap/>
            <w:vAlign w:val="center"/>
          </w:tcPr>
          <w:p w14:paraId="2AE28E0E">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15.2</w:t>
            </w:r>
          </w:p>
        </w:tc>
      </w:tr>
      <w:tr w14:paraId="7EF0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6D5A78A4">
            <w:pPr>
              <w:keepNext w:val="0"/>
              <w:keepLines w:val="0"/>
              <w:pageBreakBefore w:val="0"/>
              <w:kinsoku/>
              <w:overflowPunct/>
              <w:topLinePunct w:val="0"/>
              <w:bidi w:val="0"/>
              <w:spacing w:line="360" w:lineRule="auto"/>
              <w:jc w:val="center"/>
              <w:rPr>
                <w:rFonts w:ascii="宋体"/>
                <w:szCs w:val="21"/>
              </w:rPr>
            </w:pPr>
            <w:r>
              <w:rPr>
                <w:rFonts w:hint="eastAsia" w:ascii="宋体"/>
                <w:szCs w:val="21"/>
              </w:rPr>
              <w:t>20</w:t>
            </w:r>
          </w:p>
        </w:tc>
        <w:tc>
          <w:tcPr>
            <w:tcW w:w="1760" w:type="dxa"/>
            <w:tcBorders>
              <w:top w:val="single" w:color="auto" w:sz="4" w:space="0"/>
              <w:left w:val="single" w:color="auto" w:sz="4" w:space="0"/>
              <w:bottom w:val="single" w:color="auto" w:sz="4" w:space="0"/>
              <w:right w:val="single" w:color="auto" w:sz="4" w:space="0"/>
            </w:tcBorders>
            <w:noWrap/>
            <w:vAlign w:val="center"/>
          </w:tcPr>
          <w:p w14:paraId="7DBEE570">
            <w:pPr>
              <w:pStyle w:val="9"/>
              <w:keepNext w:val="0"/>
              <w:keepLines w:val="0"/>
              <w:pageBreakBefore w:val="0"/>
              <w:kinsoku/>
              <w:overflowPunct/>
              <w:topLinePunct w:val="0"/>
              <w:bidi w:val="0"/>
              <w:spacing w:before="40" w:after="40" w:line="360" w:lineRule="auto"/>
              <w:ind w:left="120" w:leftChars="57"/>
              <w:jc w:val="center"/>
              <w:rPr>
                <w:szCs w:val="21"/>
              </w:rPr>
            </w:pPr>
            <w:r>
              <w:rPr>
                <w:rFonts w:hint="eastAsia" w:cs="宋体"/>
                <w:sz w:val="21"/>
                <w:szCs w:val="21"/>
              </w:rPr>
              <w:t>响应文件有效期</w:t>
            </w:r>
          </w:p>
        </w:tc>
        <w:tc>
          <w:tcPr>
            <w:tcW w:w="5614" w:type="dxa"/>
            <w:tcBorders>
              <w:top w:val="single" w:color="auto" w:sz="4" w:space="0"/>
              <w:left w:val="single" w:color="auto" w:sz="4" w:space="0"/>
              <w:bottom w:val="single" w:color="auto" w:sz="4" w:space="0"/>
              <w:right w:val="single" w:color="auto" w:sz="4" w:space="0"/>
            </w:tcBorders>
            <w:noWrap/>
            <w:vAlign w:val="center"/>
          </w:tcPr>
          <w:p w14:paraId="044623D0">
            <w:pPr>
              <w:pStyle w:val="9"/>
              <w:keepNext w:val="0"/>
              <w:keepLines w:val="0"/>
              <w:pageBreakBefore w:val="0"/>
              <w:kinsoku/>
              <w:overflowPunct/>
              <w:topLinePunct w:val="0"/>
              <w:bidi w:val="0"/>
              <w:spacing w:before="40" w:after="40" w:line="360" w:lineRule="auto"/>
              <w:rPr>
                <w:b/>
                <w:szCs w:val="21"/>
              </w:rPr>
            </w:pPr>
            <w:r>
              <w:rPr>
                <w:rFonts w:hint="eastAsia" w:cs="宋体"/>
                <w:sz w:val="21"/>
                <w:szCs w:val="21"/>
              </w:rPr>
              <w:t>响应文件提交截止之日起90天</w:t>
            </w:r>
          </w:p>
        </w:tc>
        <w:tc>
          <w:tcPr>
            <w:tcW w:w="1101" w:type="dxa"/>
            <w:tcBorders>
              <w:top w:val="single" w:color="auto" w:sz="4" w:space="0"/>
              <w:left w:val="single" w:color="auto" w:sz="4" w:space="0"/>
              <w:bottom w:val="single" w:color="auto" w:sz="4" w:space="0"/>
              <w:right w:val="single" w:color="auto" w:sz="4" w:space="0"/>
            </w:tcBorders>
            <w:noWrap/>
            <w:vAlign w:val="center"/>
          </w:tcPr>
          <w:p w14:paraId="1528229E">
            <w:pPr>
              <w:keepNext w:val="0"/>
              <w:keepLines w:val="0"/>
              <w:pageBreakBefore w:val="0"/>
              <w:kinsoku/>
              <w:overflowPunct/>
              <w:topLinePunct w:val="0"/>
              <w:bidi w:val="0"/>
              <w:spacing w:before="40" w:after="40" w:line="360" w:lineRule="auto"/>
              <w:jc w:val="center"/>
              <w:rPr>
                <w:rFonts w:ascii="宋体" w:cs="宋体"/>
              </w:rPr>
            </w:pPr>
            <w:r>
              <w:rPr>
                <w:rFonts w:hint="eastAsia" w:ascii="宋体" w:cs="宋体"/>
                <w:szCs w:val="21"/>
              </w:rPr>
              <w:t>17.1</w:t>
            </w:r>
          </w:p>
        </w:tc>
      </w:tr>
      <w:tr w14:paraId="51B6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6"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43DDB580">
            <w:pPr>
              <w:keepNext w:val="0"/>
              <w:keepLines w:val="0"/>
              <w:pageBreakBefore w:val="0"/>
              <w:kinsoku/>
              <w:overflowPunct/>
              <w:topLinePunct w:val="0"/>
              <w:bidi w:val="0"/>
              <w:spacing w:line="360" w:lineRule="auto"/>
              <w:jc w:val="center"/>
              <w:rPr>
                <w:rFonts w:ascii="宋体"/>
                <w:szCs w:val="21"/>
              </w:rPr>
            </w:pPr>
            <w:r>
              <w:rPr>
                <w:rFonts w:hint="eastAsia" w:ascii="宋体"/>
                <w:szCs w:val="21"/>
              </w:rPr>
              <w:t>21</w:t>
            </w:r>
          </w:p>
        </w:tc>
        <w:tc>
          <w:tcPr>
            <w:tcW w:w="1760" w:type="dxa"/>
            <w:tcBorders>
              <w:top w:val="single" w:color="auto" w:sz="4" w:space="0"/>
              <w:left w:val="single" w:color="auto" w:sz="4" w:space="0"/>
              <w:bottom w:val="single" w:color="auto" w:sz="4" w:space="0"/>
              <w:right w:val="single" w:color="auto" w:sz="4" w:space="0"/>
            </w:tcBorders>
            <w:noWrap/>
            <w:vAlign w:val="center"/>
          </w:tcPr>
          <w:p w14:paraId="11460319">
            <w:pPr>
              <w:keepNext w:val="0"/>
              <w:keepLines w:val="0"/>
              <w:pageBreakBefore w:val="0"/>
              <w:kinsoku/>
              <w:overflowPunct/>
              <w:topLinePunct w:val="0"/>
              <w:bidi w:val="0"/>
              <w:spacing w:line="360" w:lineRule="auto"/>
              <w:jc w:val="center"/>
              <w:outlineLvl w:val="9"/>
              <w:rPr>
                <w:rFonts w:hint="eastAsia" w:ascii="宋体" w:eastAsia="宋体"/>
                <w:szCs w:val="21"/>
                <w:highlight w:val="none"/>
                <w:lang w:eastAsia="zh-CN"/>
              </w:rPr>
            </w:pPr>
            <w:r>
              <w:rPr>
                <w:rFonts w:hint="eastAsia" w:ascii="宋体" w:hAnsi="宋体" w:eastAsia="宋体" w:cs="宋体"/>
                <w:highlight w:val="none"/>
                <w:lang w:eastAsia="zh-CN"/>
              </w:rPr>
              <w:t>磋商保证金</w:t>
            </w:r>
          </w:p>
        </w:tc>
        <w:tc>
          <w:tcPr>
            <w:tcW w:w="5614" w:type="dxa"/>
            <w:tcBorders>
              <w:top w:val="single" w:color="auto" w:sz="4" w:space="0"/>
              <w:left w:val="single" w:color="auto" w:sz="4" w:space="0"/>
              <w:bottom w:val="single" w:color="auto" w:sz="4" w:space="0"/>
              <w:right w:val="single" w:color="auto" w:sz="4" w:space="0"/>
            </w:tcBorders>
            <w:noWrap/>
            <w:vAlign w:val="center"/>
          </w:tcPr>
          <w:p w14:paraId="393CAE49">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磋商保证金的形式：网银、电汇、支票、汇票、本票或者金融机构、担保机构出具的保函等非现金形式提交，也可以选择投标（竞标）保证保险。</w:t>
            </w:r>
          </w:p>
          <w:p w14:paraId="34FDEB2F">
            <w:pPr>
              <w:keepNext w:val="0"/>
              <w:keepLines w:val="0"/>
              <w:pageBreakBefore w:val="0"/>
              <w:kinsoku/>
              <w:overflowPunct/>
              <w:topLinePunct w:val="0"/>
              <w:bidi w:val="0"/>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磋商保证金</w:t>
            </w:r>
            <w:r>
              <w:rPr>
                <w:rFonts w:hint="eastAsia" w:ascii="宋体" w:hAnsi="宋体" w:eastAsia="宋体" w:cs="宋体"/>
                <w:b/>
                <w:bCs/>
                <w:color w:val="auto"/>
                <w:szCs w:val="21"/>
                <w:highlight w:val="none"/>
                <w:lang w:eastAsia="zh-CN"/>
              </w:rPr>
              <w:t>金额：</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000.00元（大写：</w:t>
            </w:r>
            <w:r>
              <w:rPr>
                <w:rFonts w:hint="eastAsia" w:ascii="宋体" w:hAnsi="宋体" w:cs="宋体"/>
                <w:b/>
                <w:bCs/>
                <w:color w:val="auto"/>
                <w:szCs w:val="21"/>
                <w:highlight w:val="none"/>
                <w:lang w:val="en-US" w:eastAsia="zh-CN"/>
              </w:rPr>
              <w:t>肆仟</w:t>
            </w:r>
            <w:r>
              <w:rPr>
                <w:rFonts w:hint="eastAsia" w:ascii="宋体" w:hAnsi="宋体" w:eastAsia="宋体" w:cs="宋体"/>
                <w:b/>
                <w:bCs/>
                <w:color w:val="auto"/>
                <w:szCs w:val="21"/>
                <w:highlight w:val="none"/>
                <w:lang w:val="en-US" w:eastAsia="zh-CN"/>
              </w:rPr>
              <w:t>元整）</w:t>
            </w:r>
          </w:p>
          <w:p w14:paraId="7A853BA1">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采购代理机构账户信息：</w:t>
            </w:r>
          </w:p>
          <w:p w14:paraId="06A49042">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开户名称：云南冠睿咨询有限公司</w:t>
            </w:r>
          </w:p>
          <w:p w14:paraId="2CD20F61">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开户银行：中国民生银行股份有限公司昆明拓东路支行</w:t>
            </w:r>
          </w:p>
          <w:p w14:paraId="099B741B">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账号：636611192</w:t>
            </w:r>
          </w:p>
          <w:p w14:paraId="6EDF69C9">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磋商保证金</w:t>
            </w:r>
            <w:r>
              <w:rPr>
                <w:rFonts w:hint="eastAsia" w:ascii="宋体" w:hAnsi="宋体" w:eastAsia="宋体" w:cs="宋体"/>
                <w:color w:val="auto"/>
                <w:szCs w:val="21"/>
                <w:highlight w:val="none"/>
                <w:lang w:val="en-US" w:eastAsia="zh-CN"/>
              </w:rPr>
              <w:t>交纳</w:t>
            </w:r>
            <w:r>
              <w:rPr>
                <w:rFonts w:hint="eastAsia" w:ascii="宋体" w:hAnsi="宋体" w:eastAsia="宋体" w:cs="宋体"/>
                <w:color w:val="auto"/>
                <w:szCs w:val="21"/>
                <w:highlight w:val="none"/>
                <w:lang w:eastAsia="zh-CN"/>
              </w:rPr>
              <w:t>说明：</w:t>
            </w:r>
          </w:p>
          <w:p w14:paraId="787F30A8">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1.电汇或网银方式交纳的，底单即为交纳凭证；</w:t>
            </w:r>
          </w:p>
          <w:p w14:paraId="57C3FC14">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2.支票方式提交的，供应商须自行进账，进账后回单即为</w:t>
            </w:r>
            <w:r>
              <w:rPr>
                <w:rFonts w:hint="eastAsia" w:ascii="宋体" w:hAnsi="宋体" w:eastAsia="宋体" w:cs="宋体"/>
                <w:color w:val="auto"/>
                <w:szCs w:val="21"/>
                <w:highlight w:val="none"/>
                <w:lang w:val="en-US" w:eastAsia="zh-CN"/>
              </w:rPr>
              <w:t>交纳</w:t>
            </w:r>
            <w:r>
              <w:rPr>
                <w:rFonts w:hint="eastAsia" w:ascii="宋体" w:hAnsi="宋体" w:eastAsia="宋体" w:cs="宋体"/>
                <w:color w:val="auto"/>
                <w:szCs w:val="21"/>
                <w:highlight w:val="none"/>
                <w:lang w:eastAsia="zh-CN"/>
              </w:rPr>
              <w:t>凭证；</w:t>
            </w:r>
          </w:p>
          <w:p w14:paraId="769CDB6F">
            <w:pPr>
              <w:keepNext w:val="0"/>
              <w:keepLines w:val="0"/>
              <w:pageBreakBefore w:val="0"/>
              <w:kinsoku/>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3.供应商拟采用保函或保单方式提交的在响应文件递交截止时间前将扫描件发送至采购代理机构指定电子邮箱（</w:t>
            </w:r>
            <w:r>
              <w:rPr>
                <w:rFonts w:hint="eastAsia" w:ascii="宋体" w:hAnsi="宋体" w:eastAsia="宋体" w:cs="宋体"/>
                <w:color w:val="auto"/>
                <w:szCs w:val="21"/>
                <w:highlight w:val="none"/>
                <w:lang w:val="en-US" w:eastAsia="zh-CN"/>
              </w:rPr>
              <w:t>yngrzx03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126</w:t>
            </w:r>
            <w:r>
              <w:rPr>
                <w:rFonts w:hint="eastAsia" w:ascii="宋体" w:hAnsi="宋体" w:eastAsia="宋体" w:cs="宋体"/>
                <w:color w:val="auto"/>
                <w:szCs w:val="21"/>
                <w:highlight w:val="none"/>
                <w:lang w:eastAsia="zh-CN"/>
              </w:rPr>
              <w:t>.com），并联系采购代理机构确认，联系人：</w:t>
            </w:r>
            <w:r>
              <w:rPr>
                <w:rFonts w:hint="eastAsia" w:ascii="宋体" w:hAnsi="宋体" w:cs="宋体"/>
                <w:color w:val="auto"/>
                <w:szCs w:val="21"/>
                <w:highlight w:val="none"/>
                <w:lang w:eastAsia="zh-CN"/>
              </w:rPr>
              <w:t>李腾芳、王彦飞、肖枝莲、王国玺、吴翊</w:t>
            </w:r>
            <w:r>
              <w:rPr>
                <w:rFonts w:hint="eastAsia" w:ascii="宋体" w:hAnsi="宋体" w:eastAsia="宋体" w:cs="宋体"/>
                <w:color w:val="auto"/>
                <w:szCs w:val="21"/>
                <w:highlight w:val="none"/>
                <w:lang w:eastAsia="zh-CN"/>
              </w:rPr>
              <w:t>；联系电话：0871-65511240、0871-65511241。</w:t>
            </w:r>
          </w:p>
          <w:p w14:paraId="767FFC42">
            <w:pPr>
              <w:keepNext w:val="0"/>
              <w:keepLines w:val="0"/>
              <w:pageBreakBefore w:val="0"/>
              <w:kinsoku/>
              <w:overflowPunct/>
              <w:topLinePunct w:val="0"/>
              <w:bidi w:val="0"/>
              <w:spacing w:line="360" w:lineRule="auto"/>
              <w:rPr>
                <w:rFonts w:hint="default" w:ascii="宋体"/>
                <w:szCs w:val="21"/>
                <w:highlight w:val="none"/>
                <w:lang w:val="en-US"/>
              </w:rPr>
            </w:pPr>
            <w:r>
              <w:rPr>
                <w:rFonts w:hint="eastAsia" w:ascii="宋体" w:hAnsi="宋体" w:eastAsia="宋体" w:cs="宋体"/>
                <w:color w:val="auto"/>
                <w:szCs w:val="21"/>
                <w:highlight w:val="none"/>
                <w:lang w:eastAsia="zh-CN"/>
              </w:rPr>
              <w:t>4.供应商未按照</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lang w:eastAsia="zh-CN"/>
              </w:rPr>
              <w:t>的要求提交磋商保证金的，其响应文件无效。</w:t>
            </w:r>
          </w:p>
        </w:tc>
        <w:tc>
          <w:tcPr>
            <w:tcW w:w="1101" w:type="dxa"/>
            <w:tcBorders>
              <w:top w:val="single" w:color="auto" w:sz="4" w:space="0"/>
              <w:left w:val="single" w:color="auto" w:sz="4" w:space="0"/>
              <w:bottom w:val="single" w:color="auto" w:sz="4" w:space="0"/>
              <w:right w:val="single" w:color="auto" w:sz="4" w:space="0"/>
            </w:tcBorders>
            <w:noWrap/>
            <w:vAlign w:val="center"/>
          </w:tcPr>
          <w:p w14:paraId="01921DA2">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18.1</w:t>
            </w:r>
          </w:p>
        </w:tc>
      </w:tr>
      <w:tr w14:paraId="5501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484A9513">
            <w:pPr>
              <w:keepNext w:val="0"/>
              <w:keepLines w:val="0"/>
              <w:pageBreakBefore w:val="0"/>
              <w:kinsoku/>
              <w:overflowPunct/>
              <w:topLinePunct w:val="0"/>
              <w:bidi w:val="0"/>
              <w:spacing w:line="360" w:lineRule="auto"/>
              <w:jc w:val="center"/>
              <w:rPr>
                <w:rFonts w:ascii="宋体"/>
                <w:szCs w:val="21"/>
              </w:rPr>
            </w:pPr>
            <w:r>
              <w:rPr>
                <w:rFonts w:hint="eastAsia" w:ascii="宋体"/>
                <w:szCs w:val="21"/>
              </w:rPr>
              <w:t>22</w:t>
            </w:r>
          </w:p>
        </w:tc>
        <w:tc>
          <w:tcPr>
            <w:tcW w:w="1760" w:type="dxa"/>
            <w:tcBorders>
              <w:top w:val="single" w:color="auto" w:sz="4" w:space="0"/>
              <w:left w:val="single" w:color="auto" w:sz="4" w:space="0"/>
              <w:bottom w:val="single" w:color="auto" w:sz="4" w:space="0"/>
              <w:right w:val="single" w:color="auto" w:sz="4" w:space="0"/>
            </w:tcBorders>
            <w:noWrap/>
            <w:vAlign w:val="center"/>
          </w:tcPr>
          <w:p w14:paraId="2AED817C">
            <w:pPr>
              <w:keepNext w:val="0"/>
              <w:keepLines w:val="0"/>
              <w:pageBreakBefore w:val="0"/>
              <w:kinsoku/>
              <w:overflowPunct/>
              <w:topLinePunct w:val="0"/>
              <w:bidi w:val="0"/>
              <w:spacing w:line="360" w:lineRule="auto"/>
              <w:jc w:val="center"/>
              <w:rPr>
                <w:rFonts w:ascii="宋体"/>
                <w:szCs w:val="21"/>
              </w:rPr>
            </w:pPr>
            <w:r>
              <w:rPr>
                <w:rFonts w:hint="eastAsia" w:ascii="宋体" w:cs="宋体"/>
              </w:rPr>
              <w:t>响应文件签署</w:t>
            </w:r>
          </w:p>
        </w:tc>
        <w:tc>
          <w:tcPr>
            <w:tcW w:w="5614" w:type="dxa"/>
            <w:tcBorders>
              <w:top w:val="single" w:color="auto" w:sz="4" w:space="0"/>
              <w:left w:val="single" w:color="auto" w:sz="4" w:space="0"/>
              <w:bottom w:val="single" w:color="auto" w:sz="4" w:space="0"/>
              <w:right w:val="single" w:color="auto" w:sz="4" w:space="0"/>
            </w:tcBorders>
            <w:noWrap/>
            <w:vAlign w:val="center"/>
          </w:tcPr>
          <w:p w14:paraId="149A679E">
            <w:pPr>
              <w:keepNext w:val="0"/>
              <w:keepLines w:val="0"/>
              <w:pageBreakBefore w:val="0"/>
              <w:kinsoku/>
              <w:overflowPunct/>
              <w:topLinePunct w:val="0"/>
              <w:bidi w:val="0"/>
              <w:spacing w:line="360" w:lineRule="auto"/>
              <w:jc w:val="left"/>
              <w:rPr>
                <w:rFonts w:ascii="宋体"/>
                <w:szCs w:val="21"/>
              </w:rPr>
            </w:pPr>
            <w:r>
              <w:rPr>
                <w:rFonts w:hint="eastAsia" w:ascii="宋体" w:cs="宋体"/>
              </w:rPr>
              <w:t>响应文件编制完成后须用</w:t>
            </w:r>
            <w:r>
              <w:rPr>
                <w:rFonts w:hint="eastAsia" w:ascii="宋体" w:cs="宋体"/>
                <w:lang w:eastAsia="zh-CN"/>
              </w:rPr>
              <w:t>数字证书（CA）</w:t>
            </w:r>
            <w:r>
              <w:rPr>
                <w:rFonts w:hint="eastAsia" w:ascii="宋体" w:cs="宋体"/>
              </w:rPr>
              <w:t>按格式进行电子签章，在所要求的位置有</w:t>
            </w:r>
            <w:r>
              <w:rPr>
                <w:rFonts w:hint="eastAsia" w:ascii="宋体" w:cs="宋体"/>
                <w:lang w:eastAsia="zh-CN"/>
              </w:rPr>
              <w:t>法定代表人或委托代理人</w:t>
            </w:r>
            <w:r>
              <w:rPr>
                <w:rFonts w:hint="eastAsia" w:ascii="宋体" w:cs="宋体"/>
              </w:rPr>
              <w:t>的电子签名或盖章，均使用</w:t>
            </w:r>
            <w:r>
              <w:rPr>
                <w:rFonts w:hint="eastAsia" w:ascii="宋体" w:cs="宋体"/>
                <w:lang w:eastAsia="zh-CN"/>
              </w:rPr>
              <w:t>数字证书（CA）</w:t>
            </w:r>
            <w:r>
              <w:rPr>
                <w:rFonts w:hint="eastAsia" w:ascii="宋体" w:cs="宋体"/>
              </w:rPr>
              <w:t>按格式进行电子签章，联合体参加磋商的除格式要求外，可由联合体牵头单位签署。</w:t>
            </w:r>
          </w:p>
        </w:tc>
        <w:tc>
          <w:tcPr>
            <w:tcW w:w="1101" w:type="dxa"/>
            <w:tcBorders>
              <w:top w:val="single" w:color="auto" w:sz="4" w:space="0"/>
              <w:left w:val="single" w:color="auto" w:sz="4" w:space="0"/>
              <w:bottom w:val="single" w:color="auto" w:sz="4" w:space="0"/>
              <w:right w:val="single" w:color="auto" w:sz="4" w:space="0"/>
            </w:tcBorders>
            <w:noWrap/>
            <w:vAlign w:val="center"/>
          </w:tcPr>
          <w:p w14:paraId="3362C9C7">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19.1</w:t>
            </w:r>
          </w:p>
        </w:tc>
      </w:tr>
      <w:tr w14:paraId="4BD0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798431C6">
            <w:pPr>
              <w:keepNext w:val="0"/>
              <w:keepLines w:val="0"/>
              <w:pageBreakBefore w:val="0"/>
              <w:kinsoku/>
              <w:overflowPunct/>
              <w:topLinePunct w:val="0"/>
              <w:bidi w:val="0"/>
              <w:spacing w:line="360" w:lineRule="auto"/>
              <w:jc w:val="center"/>
              <w:rPr>
                <w:rFonts w:ascii="宋体"/>
                <w:szCs w:val="21"/>
              </w:rPr>
            </w:pPr>
            <w:r>
              <w:rPr>
                <w:rFonts w:hint="eastAsia" w:ascii="宋体"/>
                <w:szCs w:val="21"/>
              </w:rPr>
              <w:t>23</w:t>
            </w:r>
          </w:p>
        </w:tc>
        <w:tc>
          <w:tcPr>
            <w:tcW w:w="1760" w:type="dxa"/>
            <w:tcBorders>
              <w:top w:val="single" w:color="auto" w:sz="4" w:space="0"/>
              <w:left w:val="single" w:color="auto" w:sz="4" w:space="0"/>
              <w:bottom w:val="single" w:color="auto" w:sz="4" w:space="0"/>
              <w:right w:val="single" w:color="auto" w:sz="4" w:space="0"/>
            </w:tcBorders>
            <w:noWrap/>
            <w:vAlign w:val="center"/>
          </w:tcPr>
          <w:p w14:paraId="4CFF93BD">
            <w:pPr>
              <w:keepNext w:val="0"/>
              <w:keepLines w:val="0"/>
              <w:pageBreakBefore w:val="0"/>
              <w:kinsoku/>
              <w:overflowPunct/>
              <w:topLinePunct w:val="0"/>
              <w:bidi w:val="0"/>
              <w:spacing w:before="40" w:after="40" w:line="360" w:lineRule="auto"/>
              <w:ind w:firstLine="105" w:firstLineChars="50"/>
              <w:jc w:val="center"/>
              <w:rPr>
                <w:rFonts w:ascii="宋体"/>
                <w:szCs w:val="21"/>
              </w:rPr>
            </w:pPr>
            <w:r>
              <w:rPr>
                <w:rFonts w:hint="eastAsia" w:ascii="宋体" w:cs="宋体"/>
                <w:szCs w:val="21"/>
              </w:rPr>
              <w:t>响应文件份数</w:t>
            </w:r>
          </w:p>
        </w:tc>
        <w:tc>
          <w:tcPr>
            <w:tcW w:w="5614" w:type="dxa"/>
            <w:tcBorders>
              <w:top w:val="single" w:color="auto" w:sz="4" w:space="0"/>
              <w:left w:val="single" w:color="auto" w:sz="4" w:space="0"/>
              <w:bottom w:val="single" w:color="auto" w:sz="4" w:space="0"/>
              <w:right w:val="single" w:color="auto" w:sz="4" w:space="0"/>
            </w:tcBorders>
            <w:noWrap/>
            <w:vAlign w:val="center"/>
          </w:tcPr>
          <w:p w14:paraId="3189A825">
            <w:pPr>
              <w:keepNext w:val="0"/>
              <w:keepLines w:val="0"/>
              <w:pageBreakBefore w:val="0"/>
              <w:kinsoku/>
              <w:overflowPunct/>
              <w:topLinePunct w:val="0"/>
              <w:bidi w:val="0"/>
              <w:spacing w:before="40" w:after="40" w:line="360" w:lineRule="auto"/>
              <w:rPr>
                <w:rFonts w:ascii="宋体" w:cs="宋体"/>
                <w:szCs w:val="21"/>
              </w:rPr>
            </w:pPr>
            <w:r>
              <w:rPr>
                <w:rFonts w:hint="eastAsia" w:ascii="宋体" w:cs="宋体"/>
                <w:szCs w:val="21"/>
              </w:rPr>
              <w:t>按“政采云”要求，上传电子响应文件壹份。供应商应安装“政采云”投标客户端，根据采购文件格式编制响应文件，生成加密标书后进行上传（详见政采云供应商操作指南及申领</w:t>
            </w:r>
            <w:r>
              <w:rPr>
                <w:rFonts w:hint="eastAsia" w:ascii="宋体" w:cs="宋体"/>
                <w:szCs w:val="21"/>
                <w:lang w:eastAsia="zh-CN"/>
              </w:rPr>
              <w:t>数字证书（CA）</w:t>
            </w:r>
            <w:r>
              <w:rPr>
                <w:rFonts w:hint="eastAsia" w:ascii="宋体" w:cs="宋体"/>
                <w:szCs w:val="21"/>
              </w:rPr>
              <w:t>操作手册）。</w:t>
            </w:r>
          </w:p>
        </w:tc>
        <w:tc>
          <w:tcPr>
            <w:tcW w:w="1101" w:type="dxa"/>
            <w:tcBorders>
              <w:top w:val="single" w:color="auto" w:sz="4" w:space="0"/>
              <w:left w:val="single" w:color="auto" w:sz="4" w:space="0"/>
              <w:bottom w:val="single" w:color="auto" w:sz="4" w:space="0"/>
              <w:right w:val="single" w:color="auto" w:sz="4" w:space="0"/>
            </w:tcBorders>
            <w:noWrap/>
            <w:vAlign w:val="center"/>
          </w:tcPr>
          <w:p w14:paraId="2C189C65">
            <w:pPr>
              <w:keepNext w:val="0"/>
              <w:keepLines w:val="0"/>
              <w:pageBreakBefore w:val="0"/>
              <w:kinsoku/>
              <w:overflowPunct/>
              <w:topLinePunct w:val="0"/>
              <w:bidi w:val="0"/>
              <w:spacing w:before="40" w:after="40" w:line="360" w:lineRule="auto"/>
              <w:jc w:val="center"/>
              <w:rPr>
                <w:rFonts w:ascii="宋体" w:cs="宋体"/>
                <w:szCs w:val="21"/>
              </w:rPr>
            </w:pPr>
            <w:r>
              <w:rPr>
                <w:rFonts w:hint="eastAsia" w:ascii="宋体" w:cs="宋体"/>
                <w:szCs w:val="21"/>
              </w:rPr>
              <w:t>19.8</w:t>
            </w:r>
          </w:p>
        </w:tc>
      </w:tr>
      <w:tr w14:paraId="648C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25E4D0E9">
            <w:pPr>
              <w:keepNext w:val="0"/>
              <w:keepLines w:val="0"/>
              <w:pageBreakBefore w:val="0"/>
              <w:kinsoku/>
              <w:overflowPunct/>
              <w:topLinePunct w:val="0"/>
              <w:bidi w:val="0"/>
              <w:spacing w:line="360" w:lineRule="auto"/>
              <w:jc w:val="center"/>
              <w:rPr>
                <w:rFonts w:ascii="宋体"/>
                <w:szCs w:val="21"/>
              </w:rPr>
            </w:pPr>
            <w:r>
              <w:rPr>
                <w:rFonts w:hint="eastAsia" w:ascii="宋体"/>
                <w:szCs w:val="21"/>
              </w:rPr>
              <w:t>24</w:t>
            </w:r>
          </w:p>
        </w:tc>
        <w:tc>
          <w:tcPr>
            <w:tcW w:w="1760" w:type="dxa"/>
            <w:tcBorders>
              <w:top w:val="single" w:color="auto" w:sz="4" w:space="0"/>
              <w:left w:val="single" w:color="auto" w:sz="4" w:space="0"/>
              <w:bottom w:val="single" w:color="auto" w:sz="4" w:space="0"/>
              <w:right w:val="single" w:color="auto" w:sz="4" w:space="0"/>
            </w:tcBorders>
            <w:noWrap/>
            <w:vAlign w:val="center"/>
          </w:tcPr>
          <w:p w14:paraId="6CC258F4">
            <w:pPr>
              <w:keepNext w:val="0"/>
              <w:keepLines w:val="0"/>
              <w:pageBreakBefore w:val="0"/>
              <w:kinsoku/>
              <w:overflowPunct/>
              <w:topLinePunct w:val="0"/>
              <w:bidi w:val="0"/>
              <w:spacing w:before="40" w:after="40" w:line="360" w:lineRule="auto"/>
              <w:ind w:firstLine="105" w:firstLineChars="50"/>
              <w:jc w:val="center"/>
              <w:rPr>
                <w:rFonts w:ascii="宋体"/>
                <w:szCs w:val="21"/>
              </w:rPr>
            </w:pPr>
            <w:r>
              <w:rPr>
                <w:rFonts w:hint="eastAsia" w:ascii="宋体" w:cs="宋体"/>
                <w:szCs w:val="21"/>
              </w:rPr>
              <w:t>最后报价</w:t>
            </w:r>
          </w:p>
        </w:tc>
        <w:tc>
          <w:tcPr>
            <w:tcW w:w="5614" w:type="dxa"/>
            <w:tcBorders>
              <w:top w:val="single" w:color="auto" w:sz="4" w:space="0"/>
              <w:left w:val="single" w:color="auto" w:sz="4" w:space="0"/>
              <w:bottom w:val="single" w:color="auto" w:sz="4" w:space="0"/>
              <w:right w:val="single" w:color="auto" w:sz="4" w:space="0"/>
            </w:tcBorders>
            <w:noWrap/>
            <w:vAlign w:val="center"/>
          </w:tcPr>
          <w:p w14:paraId="783432D2">
            <w:pPr>
              <w:keepNext w:val="0"/>
              <w:keepLines w:val="0"/>
              <w:pageBreakBefore w:val="0"/>
              <w:kinsoku/>
              <w:overflowPunct/>
              <w:topLinePunct w:val="0"/>
              <w:bidi w:val="0"/>
              <w:spacing w:before="40" w:after="40" w:line="360" w:lineRule="auto"/>
              <w:rPr>
                <w:rFonts w:ascii="宋体"/>
                <w:szCs w:val="21"/>
              </w:rPr>
            </w:pPr>
            <w:r>
              <w:rPr>
                <w:rFonts w:hint="eastAsia" w:ascii="宋体" w:cs="宋体"/>
                <w:szCs w:val="21"/>
              </w:rPr>
              <w:t>提交响应文件的供应商，按照</w:t>
            </w:r>
            <w:r>
              <w:rPr>
                <w:rFonts w:hint="eastAsia" w:ascii="宋体" w:cs="宋体"/>
                <w:szCs w:val="21"/>
                <w:lang w:eastAsia="zh-CN"/>
              </w:rPr>
              <w:t>云南省政府采购电子交易平台（政采云）</w:t>
            </w:r>
            <w:r>
              <w:rPr>
                <w:rFonts w:hint="eastAsia" w:ascii="宋体" w:cs="宋体"/>
                <w:szCs w:val="21"/>
              </w:rPr>
              <w:t>的顺序进行磋商、承诺及最后报价，操作流程详见政采云供应商操作指南。</w:t>
            </w:r>
          </w:p>
        </w:tc>
        <w:tc>
          <w:tcPr>
            <w:tcW w:w="1101" w:type="dxa"/>
            <w:tcBorders>
              <w:top w:val="single" w:color="auto" w:sz="4" w:space="0"/>
              <w:left w:val="single" w:color="auto" w:sz="4" w:space="0"/>
              <w:bottom w:val="single" w:color="auto" w:sz="4" w:space="0"/>
              <w:right w:val="single" w:color="auto" w:sz="4" w:space="0"/>
            </w:tcBorders>
            <w:noWrap/>
            <w:vAlign w:val="center"/>
          </w:tcPr>
          <w:p w14:paraId="78E93A54">
            <w:pPr>
              <w:keepNext w:val="0"/>
              <w:keepLines w:val="0"/>
              <w:pageBreakBefore w:val="0"/>
              <w:kinsoku/>
              <w:overflowPunct/>
              <w:topLinePunct w:val="0"/>
              <w:bidi w:val="0"/>
              <w:spacing w:before="40" w:after="40" w:line="360" w:lineRule="auto"/>
              <w:jc w:val="center"/>
              <w:rPr>
                <w:rFonts w:ascii="宋体" w:cs="宋体"/>
                <w:szCs w:val="21"/>
              </w:rPr>
            </w:pPr>
            <w:r>
              <w:rPr>
                <w:rFonts w:hint="eastAsia" w:ascii="宋体" w:cs="宋体"/>
                <w:szCs w:val="21"/>
              </w:rPr>
              <w:t>20.5</w:t>
            </w:r>
          </w:p>
        </w:tc>
      </w:tr>
      <w:tr w14:paraId="03D6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46DE7514">
            <w:pPr>
              <w:keepNext w:val="0"/>
              <w:keepLines w:val="0"/>
              <w:pageBreakBefore w:val="0"/>
              <w:kinsoku/>
              <w:overflowPunct/>
              <w:topLinePunct w:val="0"/>
              <w:bidi w:val="0"/>
              <w:spacing w:line="360" w:lineRule="auto"/>
              <w:jc w:val="center"/>
              <w:rPr>
                <w:rFonts w:ascii="宋体"/>
                <w:szCs w:val="21"/>
              </w:rPr>
            </w:pPr>
            <w:r>
              <w:rPr>
                <w:rFonts w:hint="eastAsia" w:ascii="宋体"/>
                <w:szCs w:val="21"/>
              </w:rPr>
              <w:t>25</w:t>
            </w:r>
          </w:p>
        </w:tc>
        <w:tc>
          <w:tcPr>
            <w:tcW w:w="1760" w:type="dxa"/>
            <w:tcBorders>
              <w:top w:val="single" w:color="auto" w:sz="4" w:space="0"/>
              <w:left w:val="single" w:color="auto" w:sz="4" w:space="0"/>
              <w:bottom w:val="single" w:color="auto" w:sz="4" w:space="0"/>
              <w:right w:val="single" w:color="auto" w:sz="4" w:space="0"/>
            </w:tcBorders>
            <w:noWrap/>
            <w:vAlign w:val="center"/>
          </w:tcPr>
          <w:p w14:paraId="22002FE0">
            <w:pPr>
              <w:keepNext w:val="0"/>
              <w:keepLines w:val="0"/>
              <w:pageBreakBefore w:val="0"/>
              <w:kinsoku/>
              <w:overflowPunct/>
              <w:topLinePunct w:val="0"/>
              <w:bidi w:val="0"/>
              <w:spacing w:line="360" w:lineRule="auto"/>
              <w:jc w:val="center"/>
              <w:rPr>
                <w:rFonts w:ascii="宋体"/>
                <w:szCs w:val="21"/>
              </w:rPr>
            </w:pPr>
            <w:r>
              <w:rPr>
                <w:rFonts w:hint="eastAsia" w:ascii="宋体" w:cs="宋体"/>
                <w:szCs w:val="21"/>
              </w:rPr>
              <w:t>报价货币</w:t>
            </w:r>
          </w:p>
        </w:tc>
        <w:tc>
          <w:tcPr>
            <w:tcW w:w="5614" w:type="dxa"/>
            <w:tcBorders>
              <w:top w:val="single" w:color="auto" w:sz="4" w:space="0"/>
              <w:left w:val="single" w:color="auto" w:sz="4" w:space="0"/>
              <w:bottom w:val="single" w:color="auto" w:sz="4" w:space="0"/>
              <w:right w:val="single" w:color="auto" w:sz="4" w:space="0"/>
            </w:tcBorders>
            <w:noWrap/>
            <w:vAlign w:val="center"/>
          </w:tcPr>
          <w:p w14:paraId="17B18402">
            <w:pPr>
              <w:keepNext w:val="0"/>
              <w:keepLines w:val="0"/>
              <w:pageBreakBefore w:val="0"/>
              <w:kinsoku/>
              <w:overflowPunct/>
              <w:topLinePunct w:val="0"/>
              <w:bidi w:val="0"/>
              <w:spacing w:line="360" w:lineRule="auto"/>
              <w:rPr>
                <w:szCs w:val="21"/>
              </w:rPr>
            </w:pPr>
            <w:r>
              <w:rPr>
                <w:rFonts w:hint="eastAsia" w:ascii="宋体" w:cs="宋体"/>
                <w:szCs w:val="21"/>
              </w:rPr>
              <w:t>人民币</w:t>
            </w:r>
          </w:p>
        </w:tc>
        <w:tc>
          <w:tcPr>
            <w:tcW w:w="1101" w:type="dxa"/>
            <w:tcBorders>
              <w:top w:val="single" w:color="auto" w:sz="4" w:space="0"/>
              <w:left w:val="single" w:color="auto" w:sz="4" w:space="0"/>
              <w:bottom w:val="single" w:color="auto" w:sz="4" w:space="0"/>
              <w:right w:val="single" w:color="auto" w:sz="4" w:space="0"/>
            </w:tcBorders>
            <w:noWrap/>
            <w:vAlign w:val="center"/>
          </w:tcPr>
          <w:p w14:paraId="711BD0AD">
            <w:pPr>
              <w:keepNext w:val="0"/>
              <w:keepLines w:val="0"/>
              <w:pageBreakBefore w:val="0"/>
              <w:kinsoku/>
              <w:overflowPunct/>
              <w:topLinePunct w:val="0"/>
              <w:bidi w:val="0"/>
              <w:spacing w:before="40" w:after="40" w:line="360" w:lineRule="auto"/>
              <w:jc w:val="center"/>
              <w:rPr>
                <w:rFonts w:hint="default" w:eastAsia="宋体"/>
                <w:szCs w:val="21"/>
                <w:lang w:val="en-US" w:eastAsia="zh-CN"/>
              </w:rPr>
            </w:pPr>
            <w:r>
              <w:rPr>
                <w:rFonts w:hint="eastAsia" w:ascii="宋体" w:cs="宋体"/>
                <w:szCs w:val="21"/>
              </w:rPr>
              <w:t>20.</w:t>
            </w:r>
            <w:r>
              <w:rPr>
                <w:rFonts w:hint="eastAsia" w:ascii="宋体" w:cs="宋体"/>
                <w:szCs w:val="21"/>
                <w:lang w:val="en-US" w:eastAsia="zh-CN"/>
              </w:rPr>
              <w:t>10</w:t>
            </w:r>
          </w:p>
        </w:tc>
      </w:tr>
      <w:tr w14:paraId="2D76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56D39CA6">
            <w:pPr>
              <w:keepNext w:val="0"/>
              <w:keepLines w:val="0"/>
              <w:pageBreakBefore w:val="0"/>
              <w:kinsoku/>
              <w:overflowPunct/>
              <w:topLinePunct w:val="0"/>
              <w:bidi w:val="0"/>
              <w:spacing w:line="360" w:lineRule="auto"/>
              <w:jc w:val="center"/>
              <w:rPr>
                <w:rFonts w:ascii="宋体"/>
                <w:szCs w:val="21"/>
              </w:rPr>
            </w:pPr>
            <w:r>
              <w:rPr>
                <w:rFonts w:hint="eastAsia" w:ascii="宋体"/>
                <w:szCs w:val="21"/>
              </w:rPr>
              <w:t>26</w:t>
            </w:r>
          </w:p>
        </w:tc>
        <w:tc>
          <w:tcPr>
            <w:tcW w:w="1760" w:type="dxa"/>
            <w:tcBorders>
              <w:top w:val="single" w:color="auto" w:sz="4" w:space="0"/>
              <w:left w:val="single" w:color="auto" w:sz="4" w:space="0"/>
              <w:bottom w:val="single" w:color="auto" w:sz="4" w:space="0"/>
              <w:right w:val="single" w:color="auto" w:sz="4" w:space="0"/>
            </w:tcBorders>
            <w:noWrap/>
            <w:vAlign w:val="center"/>
          </w:tcPr>
          <w:p w14:paraId="2E6609E3">
            <w:pPr>
              <w:keepNext w:val="0"/>
              <w:keepLines w:val="0"/>
              <w:pageBreakBefore w:val="0"/>
              <w:kinsoku/>
              <w:overflowPunct/>
              <w:topLinePunct w:val="0"/>
              <w:bidi w:val="0"/>
              <w:spacing w:line="360" w:lineRule="auto"/>
              <w:jc w:val="center"/>
              <w:rPr>
                <w:szCs w:val="21"/>
              </w:rPr>
            </w:pPr>
            <w:r>
              <w:rPr>
                <w:rFonts w:hint="eastAsia" w:ascii="宋体" w:cs="宋体"/>
                <w:szCs w:val="21"/>
              </w:rPr>
              <w:t>响应文件的密封和标记</w:t>
            </w:r>
          </w:p>
        </w:tc>
        <w:tc>
          <w:tcPr>
            <w:tcW w:w="5614" w:type="dxa"/>
            <w:tcBorders>
              <w:top w:val="single" w:color="auto" w:sz="4" w:space="0"/>
              <w:left w:val="single" w:color="auto" w:sz="4" w:space="0"/>
              <w:bottom w:val="single" w:color="auto" w:sz="4" w:space="0"/>
              <w:right w:val="single" w:color="auto" w:sz="4" w:space="0"/>
            </w:tcBorders>
            <w:noWrap/>
            <w:vAlign w:val="center"/>
          </w:tcPr>
          <w:p w14:paraId="55DAF5EC">
            <w:pPr>
              <w:keepNext w:val="0"/>
              <w:keepLines w:val="0"/>
              <w:pageBreakBefore w:val="0"/>
              <w:kinsoku/>
              <w:overflowPunct/>
              <w:topLinePunct w:val="0"/>
              <w:bidi w:val="0"/>
              <w:spacing w:line="360" w:lineRule="auto"/>
              <w:jc w:val="left"/>
              <w:rPr>
                <w:rFonts w:cs="宋体"/>
                <w:szCs w:val="21"/>
              </w:rPr>
            </w:pPr>
            <w:r>
              <w:rPr>
                <w:rFonts w:hint="eastAsia" w:ascii="宋体" w:cs="宋体"/>
                <w:szCs w:val="21"/>
              </w:rPr>
              <w:t>按照</w:t>
            </w:r>
            <w:r>
              <w:rPr>
                <w:rFonts w:hint="eastAsia" w:ascii="宋体" w:cs="宋体"/>
                <w:szCs w:val="21"/>
                <w:lang w:eastAsia="zh-CN"/>
              </w:rPr>
              <w:t>云南省政府采购电子交易平台（政采云）</w:t>
            </w:r>
            <w:r>
              <w:rPr>
                <w:rFonts w:hint="eastAsia" w:ascii="宋体" w:cs="宋体"/>
                <w:szCs w:val="21"/>
              </w:rPr>
              <w:t>的要求编制、加密后在响应文件提交截止时间前上传至</w:t>
            </w:r>
            <w:r>
              <w:rPr>
                <w:rFonts w:hint="eastAsia" w:ascii="宋体" w:cs="宋体"/>
                <w:szCs w:val="21"/>
                <w:lang w:eastAsia="zh-CN"/>
              </w:rPr>
              <w:t>云南省政府采购电子交易平台（政采云）</w:t>
            </w:r>
            <w:r>
              <w:rPr>
                <w:rFonts w:hint="eastAsia" w:ascii="宋体" w:cs="宋体"/>
                <w:szCs w:val="21"/>
              </w:rPr>
              <w:t>，响应文件提交截止时间前未完成响应文件上传的，视为撤回响应文件。</w:t>
            </w:r>
          </w:p>
        </w:tc>
        <w:tc>
          <w:tcPr>
            <w:tcW w:w="1101" w:type="dxa"/>
            <w:tcBorders>
              <w:top w:val="single" w:color="auto" w:sz="4" w:space="0"/>
              <w:left w:val="single" w:color="auto" w:sz="4" w:space="0"/>
              <w:bottom w:val="single" w:color="auto" w:sz="4" w:space="0"/>
              <w:right w:val="single" w:color="auto" w:sz="4" w:space="0"/>
            </w:tcBorders>
            <w:noWrap/>
            <w:vAlign w:val="center"/>
          </w:tcPr>
          <w:p w14:paraId="438B9669">
            <w:pPr>
              <w:keepNext w:val="0"/>
              <w:keepLines w:val="0"/>
              <w:pageBreakBefore w:val="0"/>
              <w:kinsoku/>
              <w:overflowPunct/>
              <w:topLinePunct w:val="0"/>
              <w:bidi w:val="0"/>
              <w:spacing w:before="40" w:after="40" w:line="360" w:lineRule="auto"/>
              <w:jc w:val="center"/>
              <w:rPr>
                <w:rFonts w:cs="宋体"/>
                <w:szCs w:val="21"/>
              </w:rPr>
            </w:pPr>
            <w:r>
              <w:rPr>
                <w:rFonts w:hint="eastAsia" w:ascii="宋体" w:cs="宋体"/>
                <w:szCs w:val="21"/>
              </w:rPr>
              <w:t>21.1</w:t>
            </w:r>
          </w:p>
        </w:tc>
      </w:tr>
      <w:tr w14:paraId="3734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4B540877">
            <w:pPr>
              <w:keepNext w:val="0"/>
              <w:keepLines w:val="0"/>
              <w:pageBreakBefore w:val="0"/>
              <w:kinsoku/>
              <w:overflowPunct/>
              <w:topLinePunct w:val="0"/>
              <w:bidi w:val="0"/>
              <w:spacing w:line="360" w:lineRule="auto"/>
              <w:jc w:val="center"/>
              <w:rPr>
                <w:rFonts w:ascii="宋体"/>
                <w:szCs w:val="21"/>
              </w:rPr>
            </w:pPr>
            <w:r>
              <w:rPr>
                <w:rFonts w:hint="eastAsia" w:ascii="宋体"/>
                <w:szCs w:val="21"/>
              </w:rPr>
              <w:t>27</w:t>
            </w:r>
          </w:p>
        </w:tc>
        <w:tc>
          <w:tcPr>
            <w:tcW w:w="1760" w:type="dxa"/>
            <w:tcBorders>
              <w:top w:val="single" w:color="auto" w:sz="4" w:space="0"/>
              <w:left w:val="single" w:color="auto" w:sz="4" w:space="0"/>
              <w:bottom w:val="single" w:color="auto" w:sz="4" w:space="0"/>
              <w:right w:val="single" w:color="auto" w:sz="4" w:space="0"/>
            </w:tcBorders>
            <w:noWrap/>
            <w:vAlign w:val="center"/>
          </w:tcPr>
          <w:p w14:paraId="3FBDCDD2">
            <w:pPr>
              <w:pStyle w:val="9"/>
              <w:keepNext w:val="0"/>
              <w:keepLines w:val="0"/>
              <w:pageBreakBefore w:val="0"/>
              <w:kinsoku/>
              <w:overflowPunct/>
              <w:topLinePunct w:val="0"/>
              <w:bidi w:val="0"/>
              <w:spacing w:before="40" w:after="40" w:line="360" w:lineRule="auto"/>
              <w:ind w:left="120" w:leftChars="57"/>
              <w:jc w:val="center"/>
              <w:rPr>
                <w:szCs w:val="21"/>
              </w:rPr>
            </w:pPr>
            <w:r>
              <w:rPr>
                <w:rFonts w:hint="eastAsia" w:cs="宋体"/>
                <w:sz w:val="21"/>
                <w:szCs w:val="21"/>
              </w:rPr>
              <w:t>响应文件提交截止时间及地点</w:t>
            </w:r>
          </w:p>
        </w:tc>
        <w:tc>
          <w:tcPr>
            <w:tcW w:w="5614" w:type="dxa"/>
            <w:tcBorders>
              <w:top w:val="single" w:color="auto" w:sz="4" w:space="0"/>
              <w:left w:val="single" w:color="auto" w:sz="4" w:space="0"/>
              <w:bottom w:val="single" w:color="auto" w:sz="4" w:space="0"/>
              <w:right w:val="single" w:color="auto" w:sz="4" w:space="0"/>
            </w:tcBorders>
            <w:noWrap/>
            <w:vAlign w:val="center"/>
          </w:tcPr>
          <w:p w14:paraId="482C06A0">
            <w:pPr>
              <w:pStyle w:val="9"/>
              <w:keepNext w:val="0"/>
              <w:keepLines w:val="0"/>
              <w:pageBreakBefore w:val="0"/>
              <w:kinsoku/>
              <w:overflowPunct/>
              <w:topLinePunct w:val="0"/>
              <w:bidi w:val="0"/>
              <w:spacing w:before="0" w:beforeAutospacing="0" w:after="0" w:afterAutospacing="0" w:line="360" w:lineRule="auto"/>
              <w:jc w:val="both"/>
              <w:rPr>
                <w:rFonts w:cs="宋体"/>
                <w:sz w:val="21"/>
                <w:szCs w:val="21"/>
              </w:rPr>
            </w:pPr>
            <w:r>
              <w:rPr>
                <w:rFonts w:hint="eastAsia" w:cs="宋体"/>
                <w:sz w:val="21"/>
                <w:szCs w:val="21"/>
              </w:rPr>
              <w:t>提交截止时间：详见竞争性磋商文件第一章《竞争性磋商公告》。</w:t>
            </w:r>
          </w:p>
          <w:p w14:paraId="66F05DDE">
            <w:pPr>
              <w:pStyle w:val="9"/>
              <w:keepNext w:val="0"/>
              <w:keepLines w:val="0"/>
              <w:pageBreakBefore w:val="0"/>
              <w:kinsoku/>
              <w:overflowPunct/>
              <w:topLinePunct w:val="0"/>
              <w:bidi w:val="0"/>
              <w:spacing w:before="0" w:beforeAutospacing="0" w:after="0" w:afterAutospacing="0" w:line="360" w:lineRule="auto"/>
              <w:jc w:val="both"/>
              <w:rPr>
                <w:szCs w:val="21"/>
              </w:rPr>
            </w:pPr>
            <w:r>
              <w:rPr>
                <w:rFonts w:hint="eastAsia" w:cs="宋体"/>
                <w:sz w:val="21"/>
                <w:szCs w:val="21"/>
              </w:rPr>
              <w:t>提交地点：详见竞争性磋商文件第一章《竞争性磋商公告》。</w:t>
            </w:r>
          </w:p>
        </w:tc>
        <w:tc>
          <w:tcPr>
            <w:tcW w:w="1101" w:type="dxa"/>
            <w:tcBorders>
              <w:top w:val="single" w:color="auto" w:sz="4" w:space="0"/>
              <w:left w:val="single" w:color="auto" w:sz="4" w:space="0"/>
              <w:bottom w:val="single" w:color="auto" w:sz="4" w:space="0"/>
              <w:right w:val="single" w:color="auto" w:sz="4" w:space="0"/>
            </w:tcBorders>
            <w:noWrap/>
            <w:vAlign w:val="center"/>
          </w:tcPr>
          <w:p w14:paraId="6B0E4087">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22.1</w:t>
            </w:r>
          </w:p>
        </w:tc>
      </w:tr>
      <w:tr w14:paraId="7E81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41B44F05">
            <w:pPr>
              <w:keepNext w:val="0"/>
              <w:keepLines w:val="0"/>
              <w:pageBreakBefore w:val="0"/>
              <w:kinsoku/>
              <w:overflowPunct/>
              <w:topLinePunct w:val="0"/>
              <w:bidi w:val="0"/>
              <w:spacing w:line="360" w:lineRule="auto"/>
              <w:jc w:val="center"/>
              <w:rPr>
                <w:rFonts w:ascii="宋体"/>
                <w:szCs w:val="21"/>
              </w:rPr>
            </w:pPr>
            <w:r>
              <w:rPr>
                <w:rFonts w:hint="eastAsia" w:ascii="宋体"/>
                <w:szCs w:val="21"/>
              </w:rPr>
              <w:t>28</w:t>
            </w:r>
          </w:p>
        </w:tc>
        <w:tc>
          <w:tcPr>
            <w:tcW w:w="1760" w:type="dxa"/>
            <w:tcBorders>
              <w:top w:val="single" w:color="auto" w:sz="4" w:space="0"/>
              <w:left w:val="single" w:color="auto" w:sz="4" w:space="0"/>
              <w:bottom w:val="single" w:color="auto" w:sz="4" w:space="0"/>
              <w:right w:val="single" w:color="auto" w:sz="4" w:space="0"/>
            </w:tcBorders>
            <w:noWrap/>
            <w:vAlign w:val="center"/>
          </w:tcPr>
          <w:p w14:paraId="4BE952D1">
            <w:pPr>
              <w:pStyle w:val="9"/>
              <w:keepNext w:val="0"/>
              <w:keepLines w:val="0"/>
              <w:pageBreakBefore w:val="0"/>
              <w:kinsoku/>
              <w:overflowPunct/>
              <w:topLinePunct w:val="0"/>
              <w:bidi w:val="0"/>
              <w:spacing w:before="40" w:after="40" w:line="360" w:lineRule="auto"/>
              <w:ind w:left="120" w:leftChars="57"/>
              <w:jc w:val="center"/>
              <w:rPr>
                <w:szCs w:val="21"/>
              </w:rPr>
            </w:pPr>
            <w:r>
              <w:rPr>
                <w:rFonts w:hint="eastAsia" w:cs="宋体"/>
                <w:sz w:val="21"/>
                <w:szCs w:val="21"/>
              </w:rPr>
              <w:t>响应文件是否退还</w:t>
            </w:r>
          </w:p>
        </w:tc>
        <w:tc>
          <w:tcPr>
            <w:tcW w:w="5614" w:type="dxa"/>
            <w:tcBorders>
              <w:top w:val="single" w:color="auto" w:sz="4" w:space="0"/>
              <w:left w:val="single" w:color="auto" w:sz="4" w:space="0"/>
              <w:bottom w:val="single" w:color="auto" w:sz="4" w:space="0"/>
              <w:right w:val="single" w:color="auto" w:sz="4" w:space="0"/>
            </w:tcBorders>
            <w:noWrap/>
            <w:vAlign w:val="center"/>
          </w:tcPr>
          <w:p w14:paraId="5AE060B9">
            <w:pPr>
              <w:pStyle w:val="9"/>
              <w:keepNext w:val="0"/>
              <w:keepLines w:val="0"/>
              <w:pageBreakBefore w:val="0"/>
              <w:kinsoku/>
              <w:overflowPunct/>
              <w:topLinePunct w:val="0"/>
              <w:bidi w:val="0"/>
              <w:spacing w:before="0" w:beforeAutospacing="0" w:after="0" w:afterAutospacing="0" w:line="360" w:lineRule="auto"/>
              <w:jc w:val="both"/>
              <w:rPr>
                <w:szCs w:val="21"/>
              </w:rPr>
            </w:pPr>
            <w:r>
              <w:rPr>
                <w:rFonts w:hint="eastAsia" w:cs="宋体"/>
                <w:sz w:val="21"/>
                <w:szCs w:val="21"/>
              </w:rPr>
              <w:t>否</w:t>
            </w:r>
          </w:p>
        </w:tc>
        <w:tc>
          <w:tcPr>
            <w:tcW w:w="1101" w:type="dxa"/>
            <w:tcBorders>
              <w:top w:val="single" w:color="auto" w:sz="4" w:space="0"/>
              <w:left w:val="single" w:color="auto" w:sz="4" w:space="0"/>
              <w:bottom w:val="single" w:color="auto" w:sz="4" w:space="0"/>
              <w:right w:val="single" w:color="auto" w:sz="4" w:space="0"/>
            </w:tcBorders>
            <w:noWrap/>
            <w:vAlign w:val="center"/>
          </w:tcPr>
          <w:p w14:paraId="6D6F2CCD">
            <w:pPr>
              <w:keepNext w:val="0"/>
              <w:keepLines w:val="0"/>
              <w:pageBreakBefore w:val="0"/>
              <w:kinsoku/>
              <w:overflowPunct/>
              <w:topLinePunct w:val="0"/>
              <w:bidi w:val="0"/>
              <w:spacing w:before="40" w:after="40" w:line="360" w:lineRule="auto"/>
              <w:jc w:val="center"/>
              <w:rPr>
                <w:rFonts w:ascii="宋体"/>
                <w:szCs w:val="21"/>
              </w:rPr>
            </w:pPr>
            <w:r>
              <w:rPr>
                <w:rFonts w:hint="eastAsia" w:ascii="宋体" w:cs="宋体"/>
                <w:szCs w:val="21"/>
              </w:rPr>
              <w:t>22.2</w:t>
            </w:r>
          </w:p>
        </w:tc>
      </w:tr>
      <w:tr w14:paraId="04EB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11"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4ED956B0">
            <w:pPr>
              <w:keepNext w:val="0"/>
              <w:keepLines w:val="0"/>
              <w:pageBreakBefore w:val="0"/>
              <w:kinsoku/>
              <w:overflowPunct/>
              <w:topLinePunct w:val="0"/>
              <w:bidi w:val="0"/>
              <w:spacing w:line="360" w:lineRule="auto"/>
              <w:jc w:val="center"/>
              <w:rPr>
                <w:rFonts w:ascii="宋体"/>
                <w:szCs w:val="21"/>
              </w:rPr>
            </w:pPr>
            <w:r>
              <w:rPr>
                <w:rFonts w:hint="eastAsia" w:ascii="宋体"/>
                <w:szCs w:val="21"/>
              </w:rPr>
              <w:t>29</w:t>
            </w:r>
          </w:p>
        </w:tc>
        <w:tc>
          <w:tcPr>
            <w:tcW w:w="1760" w:type="dxa"/>
            <w:tcBorders>
              <w:top w:val="single" w:color="auto" w:sz="4" w:space="0"/>
              <w:left w:val="single" w:color="auto" w:sz="4" w:space="0"/>
              <w:bottom w:val="single" w:color="auto" w:sz="4" w:space="0"/>
              <w:right w:val="single" w:color="auto" w:sz="4" w:space="0"/>
            </w:tcBorders>
            <w:noWrap/>
            <w:vAlign w:val="center"/>
          </w:tcPr>
          <w:p w14:paraId="4E7D0483">
            <w:pPr>
              <w:pStyle w:val="9"/>
              <w:keepNext w:val="0"/>
              <w:keepLines w:val="0"/>
              <w:pageBreakBefore w:val="0"/>
              <w:kinsoku/>
              <w:overflowPunct/>
              <w:topLinePunct w:val="0"/>
              <w:bidi w:val="0"/>
              <w:spacing w:before="40" w:after="40" w:line="360" w:lineRule="auto"/>
              <w:ind w:left="120" w:leftChars="57"/>
              <w:jc w:val="center"/>
              <w:rPr>
                <w:szCs w:val="21"/>
              </w:rPr>
            </w:pPr>
            <w:r>
              <w:rPr>
                <w:rFonts w:hint="eastAsia" w:cs="宋体"/>
                <w:sz w:val="21"/>
                <w:szCs w:val="21"/>
              </w:rPr>
              <w:t>响应文件的提交</w:t>
            </w:r>
          </w:p>
        </w:tc>
        <w:tc>
          <w:tcPr>
            <w:tcW w:w="5614" w:type="dxa"/>
            <w:tcBorders>
              <w:top w:val="single" w:color="auto" w:sz="4" w:space="0"/>
              <w:left w:val="single" w:color="auto" w:sz="4" w:space="0"/>
              <w:bottom w:val="single" w:color="auto" w:sz="4" w:space="0"/>
              <w:right w:val="single" w:color="auto" w:sz="4" w:space="0"/>
            </w:tcBorders>
            <w:noWrap/>
            <w:vAlign w:val="center"/>
          </w:tcPr>
          <w:p w14:paraId="0246CA55">
            <w:pPr>
              <w:pStyle w:val="9"/>
              <w:keepNext w:val="0"/>
              <w:keepLines w:val="0"/>
              <w:pageBreakBefore w:val="0"/>
              <w:kinsoku/>
              <w:overflowPunct/>
              <w:topLinePunct w:val="0"/>
              <w:bidi w:val="0"/>
              <w:spacing w:before="0" w:beforeAutospacing="0" w:after="0" w:afterAutospacing="0" w:line="360" w:lineRule="auto"/>
              <w:jc w:val="both"/>
              <w:rPr>
                <w:szCs w:val="21"/>
              </w:rPr>
            </w:pPr>
            <w:r>
              <w:rPr>
                <w:rFonts w:hint="eastAsia" w:cs="宋体"/>
                <w:sz w:val="21"/>
                <w:szCs w:val="21"/>
              </w:rPr>
              <w:t>供应商应按照本项目采购文件和</w:t>
            </w:r>
            <w:r>
              <w:rPr>
                <w:rFonts w:hint="eastAsia" w:cs="宋体"/>
                <w:sz w:val="21"/>
                <w:szCs w:val="21"/>
                <w:lang w:eastAsia="zh-CN"/>
              </w:rPr>
              <w:t>云南省政府采购电子交易平台（政采云）</w:t>
            </w:r>
            <w:r>
              <w:rPr>
                <w:rFonts w:hint="eastAsia" w:cs="宋体"/>
                <w:sz w:val="21"/>
                <w:szCs w:val="21"/>
              </w:rPr>
              <w:t>的要求编制、加密后在响应文件提交截止时间前上传至</w:t>
            </w:r>
            <w:r>
              <w:rPr>
                <w:rFonts w:hint="eastAsia" w:cs="宋体"/>
                <w:sz w:val="21"/>
                <w:szCs w:val="21"/>
                <w:lang w:eastAsia="zh-CN"/>
              </w:rPr>
              <w:t>云南省政府采购电子交易平台（政采云）</w:t>
            </w:r>
            <w:r>
              <w:rPr>
                <w:rFonts w:hint="eastAsia" w:cs="宋体"/>
                <w:sz w:val="21"/>
                <w:szCs w:val="21"/>
              </w:rPr>
              <w:t>，响应文件提交截止时间前未完成响应文件上传的，视为撤回响应文件。供应商在</w:t>
            </w:r>
            <w:r>
              <w:rPr>
                <w:rFonts w:hint="eastAsia" w:cs="宋体"/>
                <w:sz w:val="21"/>
                <w:szCs w:val="21"/>
                <w:lang w:eastAsia="zh-CN"/>
              </w:rPr>
              <w:t>云南省政府采购电子交易平台（政采云）</w:t>
            </w:r>
            <w:r>
              <w:rPr>
                <w:rFonts w:hint="eastAsia" w:cs="宋体"/>
                <w:sz w:val="21"/>
                <w:szCs w:val="21"/>
              </w:rPr>
              <w:t>提交电子版响应文件时，请填写参加远程采购活动经办人联系方式。</w:t>
            </w:r>
          </w:p>
        </w:tc>
        <w:tc>
          <w:tcPr>
            <w:tcW w:w="1101" w:type="dxa"/>
            <w:tcBorders>
              <w:top w:val="single" w:color="auto" w:sz="4" w:space="0"/>
              <w:left w:val="single" w:color="auto" w:sz="4" w:space="0"/>
              <w:bottom w:val="single" w:color="auto" w:sz="4" w:space="0"/>
              <w:right w:val="single" w:color="auto" w:sz="4" w:space="0"/>
            </w:tcBorders>
            <w:noWrap/>
            <w:vAlign w:val="center"/>
          </w:tcPr>
          <w:p w14:paraId="4FE3EF86">
            <w:pPr>
              <w:keepNext w:val="0"/>
              <w:keepLines w:val="0"/>
              <w:pageBreakBefore w:val="0"/>
              <w:kinsoku/>
              <w:overflowPunct/>
              <w:topLinePunct w:val="0"/>
              <w:bidi w:val="0"/>
              <w:spacing w:before="40" w:after="40" w:line="360" w:lineRule="auto"/>
              <w:jc w:val="center"/>
              <w:rPr>
                <w:highlight w:val="yellow"/>
              </w:rPr>
            </w:pPr>
            <w:r>
              <w:rPr>
                <w:rFonts w:hint="eastAsia" w:ascii="宋体" w:cs="宋体"/>
                <w:szCs w:val="21"/>
              </w:rPr>
              <w:t>22.3</w:t>
            </w:r>
          </w:p>
        </w:tc>
      </w:tr>
      <w:tr w14:paraId="478B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342633B0">
            <w:pPr>
              <w:keepNext w:val="0"/>
              <w:keepLines w:val="0"/>
              <w:pageBreakBefore w:val="0"/>
              <w:kinsoku/>
              <w:overflowPunct/>
              <w:topLinePunct w:val="0"/>
              <w:bidi w:val="0"/>
              <w:spacing w:line="360" w:lineRule="auto"/>
              <w:jc w:val="center"/>
              <w:rPr>
                <w:rFonts w:ascii="宋体"/>
                <w:szCs w:val="21"/>
              </w:rPr>
            </w:pPr>
            <w:r>
              <w:rPr>
                <w:rFonts w:hint="eastAsia" w:ascii="宋体"/>
                <w:szCs w:val="21"/>
              </w:rPr>
              <w:t>30</w:t>
            </w:r>
          </w:p>
        </w:tc>
        <w:tc>
          <w:tcPr>
            <w:tcW w:w="1760" w:type="dxa"/>
            <w:tcBorders>
              <w:top w:val="single" w:color="auto" w:sz="4" w:space="0"/>
              <w:left w:val="single" w:color="auto" w:sz="4" w:space="0"/>
              <w:bottom w:val="single" w:color="auto" w:sz="4" w:space="0"/>
              <w:right w:val="single" w:color="auto" w:sz="4" w:space="0"/>
            </w:tcBorders>
            <w:noWrap/>
            <w:vAlign w:val="center"/>
          </w:tcPr>
          <w:p w14:paraId="5F60CC3C">
            <w:pPr>
              <w:pStyle w:val="9"/>
              <w:keepNext w:val="0"/>
              <w:keepLines w:val="0"/>
              <w:pageBreakBefore w:val="0"/>
              <w:kinsoku/>
              <w:overflowPunct/>
              <w:topLinePunct w:val="0"/>
              <w:bidi w:val="0"/>
              <w:spacing w:before="40" w:after="40" w:line="360" w:lineRule="auto"/>
              <w:ind w:left="120" w:leftChars="57"/>
              <w:jc w:val="center"/>
              <w:rPr>
                <w:bCs/>
                <w:szCs w:val="21"/>
              </w:rPr>
            </w:pPr>
            <w:r>
              <w:rPr>
                <w:rFonts w:hint="eastAsia" w:cs="宋体"/>
                <w:sz w:val="21"/>
                <w:szCs w:val="21"/>
              </w:rPr>
              <w:t>响应文件的补充、修改或者撤回</w:t>
            </w:r>
          </w:p>
        </w:tc>
        <w:tc>
          <w:tcPr>
            <w:tcW w:w="5614" w:type="dxa"/>
            <w:tcBorders>
              <w:top w:val="single" w:color="auto" w:sz="4" w:space="0"/>
              <w:left w:val="single" w:color="auto" w:sz="4" w:space="0"/>
              <w:bottom w:val="single" w:color="auto" w:sz="4" w:space="0"/>
              <w:right w:val="single" w:color="auto" w:sz="4" w:space="0"/>
            </w:tcBorders>
            <w:noWrap/>
            <w:vAlign w:val="center"/>
          </w:tcPr>
          <w:p w14:paraId="3152E830">
            <w:pPr>
              <w:pStyle w:val="9"/>
              <w:keepNext w:val="0"/>
              <w:keepLines w:val="0"/>
              <w:pageBreakBefore w:val="0"/>
              <w:kinsoku/>
              <w:overflowPunct/>
              <w:topLinePunct w:val="0"/>
              <w:bidi w:val="0"/>
              <w:spacing w:before="0" w:beforeAutospacing="0" w:after="0" w:afterAutospacing="0" w:line="360" w:lineRule="auto"/>
              <w:jc w:val="both"/>
              <w:rPr>
                <w:rFonts w:cs="宋体"/>
                <w:szCs w:val="21"/>
              </w:rPr>
            </w:pPr>
            <w:r>
              <w:rPr>
                <w:rFonts w:hint="eastAsia" w:cs="宋体"/>
                <w:sz w:val="21"/>
                <w:szCs w:val="21"/>
              </w:rPr>
              <w:t>供应商递交修改或撤回的文件，应按照本项目采购文件和</w:t>
            </w:r>
            <w:r>
              <w:rPr>
                <w:rFonts w:hint="eastAsia" w:cs="宋体"/>
                <w:sz w:val="21"/>
                <w:szCs w:val="21"/>
                <w:lang w:eastAsia="zh-CN"/>
              </w:rPr>
              <w:t>云南省政府采购电子交易平台（政采云）</w:t>
            </w:r>
            <w:r>
              <w:rPr>
                <w:rFonts w:hint="eastAsia" w:cs="宋体"/>
                <w:sz w:val="21"/>
                <w:szCs w:val="21"/>
              </w:rPr>
              <w:t>的要求编制、加密后在响应文件提交截止时间前重新上传至</w:t>
            </w:r>
            <w:r>
              <w:rPr>
                <w:rFonts w:hint="eastAsia" w:cs="宋体"/>
                <w:sz w:val="21"/>
                <w:szCs w:val="21"/>
                <w:lang w:eastAsia="zh-CN"/>
              </w:rPr>
              <w:t>云南省政府采购电子交易平台（政采云）</w:t>
            </w:r>
            <w:r>
              <w:rPr>
                <w:rFonts w:hint="eastAsia" w:cs="宋体"/>
                <w:sz w:val="21"/>
                <w:szCs w:val="21"/>
              </w:rPr>
              <w:t>，响应文件提交截止时间前未完成响应文件上传的，视为撤回响应文件。</w:t>
            </w:r>
          </w:p>
        </w:tc>
        <w:tc>
          <w:tcPr>
            <w:tcW w:w="1101" w:type="dxa"/>
            <w:tcBorders>
              <w:top w:val="single" w:color="auto" w:sz="4" w:space="0"/>
              <w:left w:val="single" w:color="auto" w:sz="4" w:space="0"/>
              <w:bottom w:val="single" w:color="auto" w:sz="4" w:space="0"/>
              <w:right w:val="single" w:color="auto" w:sz="4" w:space="0"/>
            </w:tcBorders>
            <w:noWrap/>
            <w:vAlign w:val="center"/>
          </w:tcPr>
          <w:p w14:paraId="2E0D2083">
            <w:pPr>
              <w:keepNext w:val="0"/>
              <w:keepLines w:val="0"/>
              <w:pageBreakBefore w:val="0"/>
              <w:kinsoku/>
              <w:overflowPunct/>
              <w:topLinePunct w:val="0"/>
              <w:bidi w:val="0"/>
              <w:spacing w:before="40" w:after="40" w:line="360" w:lineRule="auto"/>
              <w:jc w:val="center"/>
              <w:rPr>
                <w:rFonts w:ascii="宋体" w:cs="宋体"/>
                <w:kern w:val="0"/>
                <w:szCs w:val="21"/>
              </w:rPr>
            </w:pPr>
            <w:r>
              <w:rPr>
                <w:rFonts w:hint="eastAsia" w:ascii="宋体" w:cs="宋体"/>
                <w:szCs w:val="21"/>
              </w:rPr>
              <w:t>23.2</w:t>
            </w:r>
          </w:p>
        </w:tc>
      </w:tr>
      <w:tr w14:paraId="0B2F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59676B7C">
            <w:pPr>
              <w:keepNext w:val="0"/>
              <w:keepLines w:val="0"/>
              <w:pageBreakBefore w:val="0"/>
              <w:kinsoku/>
              <w:overflowPunct/>
              <w:topLinePunct w:val="0"/>
              <w:bidi w:val="0"/>
              <w:spacing w:line="360" w:lineRule="auto"/>
              <w:jc w:val="center"/>
              <w:rPr>
                <w:rFonts w:ascii="宋体" w:cs="宋体"/>
              </w:rPr>
            </w:pPr>
            <w:r>
              <w:rPr>
                <w:rFonts w:hint="eastAsia" w:ascii="宋体"/>
                <w:szCs w:val="21"/>
              </w:rPr>
              <w:t>31</w:t>
            </w:r>
          </w:p>
        </w:tc>
        <w:tc>
          <w:tcPr>
            <w:tcW w:w="1760" w:type="dxa"/>
            <w:tcBorders>
              <w:top w:val="single" w:color="auto" w:sz="4" w:space="0"/>
              <w:left w:val="single" w:color="auto" w:sz="4" w:space="0"/>
              <w:bottom w:val="single" w:color="auto" w:sz="4" w:space="0"/>
              <w:right w:val="single" w:color="auto" w:sz="4" w:space="0"/>
            </w:tcBorders>
            <w:noWrap/>
            <w:vAlign w:val="center"/>
          </w:tcPr>
          <w:p w14:paraId="071F2239">
            <w:pPr>
              <w:pStyle w:val="9"/>
              <w:keepNext w:val="0"/>
              <w:keepLines w:val="0"/>
              <w:pageBreakBefore w:val="0"/>
              <w:kinsoku/>
              <w:overflowPunct/>
              <w:topLinePunct w:val="0"/>
              <w:bidi w:val="0"/>
              <w:spacing w:before="40" w:after="40" w:line="360" w:lineRule="auto"/>
              <w:ind w:left="120" w:leftChars="57"/>
              <w:jc w:val="center"/>
              <w:rPr>
                <w:szCs w:val="21"/>
              </w:rPr>
            </w:pPr>
            <w:r>
              <w:rPr>
                <w:rFonts w:hint="eastAsia" w:cs="宋体"/>
                <w:sz w:val="21"/>
                <w:szCs w:val="21"/>
              </w:rPr>
              <w:t>磋商小组</w:t>
            </w:r>
          </w:p>
        </w:tc>
        <w:tc>
          <w:tcPr>
            <w:tcW w:w="5614" w:type="dxa"/>
            <w:tcBorders>
              <w:top w:val="single" w:color="auto" w:sz="4" w:space="0"/>
              <w:left w:val="single" w:color="auto" w:sz="4" w:space="0"/>
              <w:bottom w:val="single" w:color="auto" w:sz="4" w:space="0"/>
              <w:right w:val="single" w:color="auto" w:sz="4" w:space="0"/>
            </w:tcBorders>
            <w:noWrap/>
            <w:vAlign w:val="center"/>
          </w:tcPr>
          <w:p w14:paraId="4DE920CE">
            <w:pPr>
              <w:pStyle w:val="9"/>
              <w:keepNext w:val="0"/>
              <w:keepLines w:val="0"/>
              <w:pageBreakBefore w:val="0"/>
              <w:kinsoku/>
              <w:overflowPunct/>
              <w:topLinePunct w:val="0"/>
              <w:bidi w:val="0"/>
              <w:spacing w:before="0" w:beforeAutospacing="0" w:after="0" w:afterAutospacing="0" w:line="360" w:lineRule="auto"/>
              <w:jc w:val="both"/>
            </w:pPr>
            <w:r>
              <w:rPr>
                <w:rFonts w:hint="eastAsia" w:cs="宋体"/>
                <w:sz w:val="21"/>
                <w:szCs w:val="21"/>
              </w:rPr>
              <w:t>磋商小组由采购人依法组建，磋商由磋商小组负责。磋商小组由采购人代表和评审专家共3人以上单数组成，其中评审专家人数不得少于磋商小组成员总数的2/3。磋商小组应当推选组长，但采购人代表不得担任组长。</w:t>
            </w:r>
          </w:p>
        </w:tc>
        <w:tc>
          <w:tcPr>
            <w:tcW w:w="1101" w:type="dxa"/>
            <w:tcBorders>
              <w:top w:val="single" w:color="auto" w:sz="4" w:space="0"/>
              <w:left w:val="single" w:color="auto" w:sz="4" w:space="0"/>
              <w:bottom w:val="single" w:color="auto" w:sz="4" w:space="0"/>
              <w:right w:val="single" w:color="auto" w:sz="4" w:space="0"/>
            </w:tcBorders>
            <w:noWrap/>
            <w:vAlign w:val="center"/>
          </w:tcPr>
          <w:p w14:paraId="5A0EF246">
            <w:pPr>
              <w:keepNext w:val="0"/>
              <w:keepLines w:val="0"/>
              <w:pageBreakBefore w:val="0"/>
              <w:kinsoku/>
              <w:overflowPunct/>
              <w:topLinePunct w:val="0"/>
              <w:bidi w:val="0"/>
              <w:spacing w:before="40" w:after="40" w:line="360" w:lineRule="auto"/>
              <w:jc w:val="center"/>
              <w:rPr>
                <w:szCs w:val="21"/>
              </w:rPr>
            </w:pPr>
            <w:r>
              <w:rPr>
                <w:rFonts w:hint="eastAsia" w:ascii="宋体" w:cs="宋体"/>
                <w:szCs w:val="21"/>
              </w:rPr>
              <w:t>24.2</w:t>
            </w:r>
          </w:p>
        </w:tc>
      </w:tr>
      <w:tr w14:paraId="0FD0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24FE0CC8">
            <w:pPr>
              <w:keepNext w:val="0"/>
              <w:keepLines w:val="0"/>
              <w:pageBreakBefore w:val="0"/>
              <w:kinsoku/>
              <w:overflowPunct/>
              <w:topLinePunct w:val="0"/>
              <w:bidi w:val="0"/>
              <w:spacing w:line="360" w:lineRule="auto"/>
              <w:jc w:val="center"/>
              <w:rPr>
                <w:rFonts w:ascii="宋体" w:cs="宋体"/>
              </w:rPr>
            </w:pPr>
            <w:bookmarkStart w:id="51" w:name="_Toc378239078"/>
            <w:bookmarkStart w:id="52" w:name="_Toc480817643"/>
            <w:bookmarkStart w:id="53" w:name="_Toc246996175"/>
            <w:bookmarkStart w:id="54" w:name="_Toc144974497"/>
            <w:bookmarkStart w:id="55" w:name="_Toc246996918"/>
            <w:bookmarkStart w:id="56" w:name="_Toc152042305"/>
            <w:bookmarkStart w:id="57" w:name="_Toc296602420"/>
            <w:bookmarkStart w:id="58" w:name="_Toc488633604"/>
            <w:bookmarkStart w:id="59" w:name="_Toc401342134"/>
            <w:bookmarkStart w:id="60" w:name="_Toc378239170"/>
            <w:bookmarkStart w:id="61" w:name="_Toc489197807"/>
            <w:bookmarkStart w:id="62" w:name="_Toc489145703"/>
            <w:bookmarkStart w:id="63" w:name="_Toc378239351"/>
            <w:bookmarkStart w:id="64" w:name="_Toc247085689"/>
            <w:bookmarkStart w:id="65" w:name="_Toc152045529"/>
            <w:bookmarkStart w:id="66" w:name="_Toc17909"/>
            <w:bookmarkStart w:id="67" w:name="_Toc179632546"/>
            <w:r>
              <w:rPr>
                <w:rFonts w:hint="eastAsia" w:ascii="宋体" w:cs="宋体"/>
              </w:rPr>
              <w:t>32</w:t>
            </w:r>
          </w:p>
        </w:tc>
        <w:tc>
          <w:tcPr>
            <w:tcW w:w="1760" w:type="dxa"/>
            <w:tcBorders>
              <w:top w:val="single" w:color="auto" w:sz="4" w:space="0"/>
              <w:left w:val="single" w:color="auto" w:sz="4" w:space="0"/>
              <w:bottom w:val="single" w:color="auto" w:sz="4" w:space="0"/>
              <w:right w:val="single" w:color="auto" w:sz="4" w:space="0"/>
            </w:tcBorders>
            <w:noWrap/>
            <w:vAlign w:val="center"/>
          </w:tcPr>
          <w:p w14:paraId="5A425F05">
            <w:pPr>
              <w:pStyle w:val="9"/>
              <w:keepNext w:val="0"/>
              <w:keepLines w:val="0"/>
              <w:pageBreakBefore w:val="0"/>
              <w:kinsoku/>
              <w:overflowPunct/>
              <w:topLinePunct w:val="0"/>
              <w:bidi w:val="0"/>
              <w:spacing w:before="40" w:after="40" w:line="360" w:lineRule="auto"/>
              <w:ind w:left="120" w:leftChars="57"/>
              <w:jc w:val="center"/>
              <w:rPr>
                <w:szCs w:val="21"/>
              </w:rPr>
            </w:pPr>
            <w:r>
              <w:rPr>
                <w:rFonts w:hint="eastAsia" w:cs="宋体"/>
                <w:sz w:val="21"/>
                <w:szCs w:val="21"/>
              </w:rPr>
              <w:t>评审方法</w:t>
            </w:r>
          </w:p>
        </w:tc>
        <w:tc>
          <w:tcPr>
            <w:tcW w:w="5614" w:type="dxa"/>
            <w:tcBorders>
              <w:top w:val="single" w:color="auto" w:sz="4" w:space="0"/>
              <w:left w:val="single" w:color="auto" w:sz="4" w:space="0"/>
              <w:bottom w:val="single" w:color="auto" w:sz="4" w:space="0"/>
              <w:right w:val="single" w:color="auto" w:sz="4" w:space="0"/>
            </w:tcBorders>
            <w:noWrap/>
            <w:vAlign w:val="center"/>
          </w:tcPr>
          <w:p w14:paraId="75218E65">
            <w:pPr>
              <w:pStyle w:val="9"/>
              <w:keepNext w:val="0"/>
              <w:keepLines w:val="0"/>
              <w:pageBreakBefore w:val="0"/>
              <w:kinsoku/>
              <w:overflowPunct/>
              <w:topLinePunct w:val="0"/>
              <w:bidi w:val="0"/>
              <w:spacing w:before="0" w:beforeAutospacing="0" w:after="0" w:afterAutospacing="0" w:line="360" w:lineRule="auto"/>
              <w:jc w:val="both"/>
              <w:rPr>
                <w:szCs w:val="21"/>
              </w:rPr>
            </w:pPr>
            <w:r>
              <w:rPr>
                <w:rFonts w:hint="eastAsia" w:cs="宋体"/>
                <w:sz w:val="21"/>
                <w:szCs w:val="21"/>
              </w:rPr>
              <w:t>综合评分法，是指响应文件满足磋商文件全部实质性要求且按评审因素的量化指标评审得分最高的供应商为成交候选供应商的评审方法。</w:t>
            </w:r>
          </w:p>
        </w:tc>
        <w:tc>
          <w:tcPr>
            <w:tcW w:w="1101" w:type="dxa"/>
            <w:tcBorders>
              <w:top w:val="single" w:color="auto" w:sz="4" w:space="0"/>
              <w:left w:val="single" w:color="auto" w:sz="4" w:space="0"/>
              <w:bottom w:val="single" w:color="auto" w:sz="4" w:space="0"/>
              <w:right w:val="single" w:color="auto" w:sz="4" w:space="0"/>
            </w:tcBorders>
            <w:noWrap/>
            <w:vAlign w:val="center"/>
          </w:tcPr>
          <w:p w14:paraId="286A0504">
            <w:pPr>
              <w:keepNext w:val="0"/>
              <w:keepLines w:val="0"/>
              <w:pageBreakBefore w:val="0"/>
              <w:kinsoku/>
              <w:overflowPunct/>
              <w:topLinePunct w:val="0"/>
              <w:bidi w:val="0"/>
              <w:spacing w:before="40" w:after="40" w:line="360" w:lineRule="auto"/>
              <w:jc w:val="center"/>
              <w:rPr>
                <w:rFonts w:ascii="宋体" w:cs="宋体"/>
                <w:szCs w:val="21"/>
              </w:rPr>
            </w:pPr>
            <w:r>
              <w:rPr>
                <w:rFonts w:hint="eastAsia" w:ascii="宋体" w:cs="宋体"/>
                <w:szCs w:val="21"/>
              </w:rPr>
              <w:t>24.5</w:t>
            </w:r>
          </w:p>
        </w:tc>
      </w:tr>
      <w:tr w14:paraId="21C8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33494EBD">
            <w:pPr>
              <w:keepNext w:val="0"/>
              <w:keepLines w:val="0"/>
              <w:pageBreakBefore w:val="0"/>
              <w:kinsoku/>
              <w:overflowPunct/>
              <w:topLinePunct w:val="0"/>
              <w:bidi w:val="0"/>
              <w:spacing w:line="360" w:lineRule="auto"/>
              <w:jc w:val="center"/>
              <w:rPr>
                <w:rFonts w:ascii="宋体" w:cs="宋体"/>
              </w:rPr>
            </w:pPr>
            <w:r>
              <w:rPr>
                <w:rFonts w:hint="eastAsia" w:ascii="宋体" w:cs="宋体"/>
              </w:rPr>
              <w:t>33</w:t>
            </w:r>
          </w:p>
        </w:tc>
        <w:tc>
          <w:tcPr>
            <w:tcW w:w="1760" w:type="dxa"/>
            <w:tcBorders>
              <w:top w:val="single" w:color="auto" w:sz="4" w:space="0"/>
              <w:left w:val="single" w:color="auto" w:sz="4" w:space="0"/>
              <w:bottom w:val="single" w:color="auto" w:sz="4" w:space="0"/>
              <w:right w:val="single" w:color="auto" w:sz="4" w:space="0"/>
            </w:tcBorders>
            <w:noWrap/>
            <w:vAlign w:val="center"/>
          </w:tcPr>
          <w:p w14:paraId="4D928275">
            <w:pPr>
              <w:spacing w:line="360" w:lineRule="auto"/>
              <w:jc w:val="center"/>
              <w:rPr>
                <w:rFonts w:ascii="宋体" w:cs="宋体"/>
                <w:szCs w:val="21"/>
                <w:highlight w:val="none"/>
              </w:rPr>
            </w:pPr>
            <w:r>
              <w:rPr>
                <w:rFonts w:hint="eastAsia" w:ascii="宋体" w:hAnsi="宋体" w:cs="宋体"/>
                <w:color w:val="auto"/>
                <w:szCs w:val="21"/>
                <w:highlight w:val="none"/>
              </w:rPr>
              <w:t>履约保证金</w:t>
            </w:r>
          </w:p>
        </w:tc>
        <w:tc>
          <w:tcPr>
            <w:tcW w:w="5614" w:type="dxa"/>
            <w:tcBorders>
              <w:top w:val="single" w:color="auto" w:sz="4" w:space="0"/>
              <w:left w:val="single" w:color="auto" w:sz="4" w:space="0"/>
              <w:bottom w:val="single" w:color="auto" w:sz="4" w:space="0"/>
              <w:right w:val="single" w:color="auto" w:sz="4" w:space="0"/>
            </w:tcBorders>
            <w:noWrap/>
            <w:vAlign w:val="center"/>
          </w:tcPr>
          <w:p w14:paraId="2B9BF6AE">
            <w:pPr>
              <w:pStyle w:val="9"/>
              <w:spacing w:before="0" w:beforeAutospacing="0" w:after="0" w:afterAutospacing="0" w:line="360" w:lineRule="auto"/>
              <w:jc w:val="both"/>
              <w:rPr>
                <w:rFonts w:hint="eastAsia" w:eastAsia="宋体" w:cs="宋体"/>
                <w:sz w:val="21"/>
                <w:szCs w:val="21"/>
                <w:highlight w:val="none"/>
                <w:lang w:eastAsia="zh-CN"/>
              </w:rPr>
            </w:pPr>
            <w:r>
              <w:rPr>
                <w:rFonts w:hint="eastAsia" w:cs="宋体"/>
                <w:sz w:val="21"/>
                <w:szCs w:val="21"/>
                <w:highlight w:val="none"/>
                <w:lang w:val="en-US" w:eastAsia="zh-CN"/>
              </w:rPr>
              <w:t>不收取</w:t>
            </w:r>
          </w:p>
        </w:tc>
        <w:tc>
          <w:tcPr>
            <w:tcW w:w="1101" w:type="dxa"/>
            <w:tcBorders>
              <w:top w:val="single" w:color="auto" w:sz="4" w:space="0"/>
              <w:left w:val="single" w:color="auto" w:sz="4" w:space="0"/>
              <w:bottom w:val="single" w:color="auto" w:sz="4" w:space="0"/>
              <w:right w:val="single" w:color="auto" w:sz="4" w:space="0"/>
            </w:tcBorders>
            <w:noWrap/>
            <w:vAlign w:val="center"/>
          </w:tcPr>
          <w:p w14:paraId="56C209C0">
            <w:pPr>
              <w:keepNext w:val="0"/>
              <w:keepLines w:val="0"/>
              <w:pageBreakBefore w:val="0"/>
              <w:kinsoku/>
              <w:overflowPunct/>
              <w:topLinePunct w:val="0"/>
              <w:bidi w:val="0"/>
              <w:spacing w:line="360" w:lineRule="auto"/>
              <w:jc w:val="center"/>
              <w:rPr>
                <w:rFonts w:ascii="宋体" w:cs="宋体"/>
                <w:szCs w:val="21"/>
              </w:rPr>
            </w:pPr>
            <w:r>
              <w:rPr>
                <w:rFonts w:hint="eastAsia" w:ascii="宋体" w:cs="宋体"/>
                <w:szCs w:val="21"/>
              </w:rPr>
              <w:t>28.1</w:t>
            </w:r>
          </w:p>
        </w:tc>
      </w:tr>
      <w:tr w14:paraId="0B81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15B61A3B">
            <w:pPr>
              <w:keepNext w:val="0"/>
              <w:keepLines w:val="0"/>
              <w:pageBreakBefore w:val="0"/>
              <w:kinsoku/>
              <w:overflowPunct/>
              <w:topLinePunct w:val="0"/>
              <w:bidi w:val="0"/>
              <w:spacing w:line="360" w:lineRule="auto"/>
              <w:jc w:val="center"/>
              <w:rPr>
                <w:rFonts w:hint="default" w:ascii="宋体" w:eastAsia="宋体" w:cs="宋体"/>
                <w:lang w:val="en-US" w:eastAsia="zh-CN"/>
              </w:rPr>
            </w:pPr>
            <w:r>
              <w:rPr>
                <w:rFonts w:hint="eastAsia" w:ascii="宋体" w:cs="宋体"/>
                <w:lang w:val="en-US" w:eastAsia="zh-CN"/>
              </w:rPr>
              <w:t>34</w:t>
            </w:r>
          </w:p>
        </w:tc>
        <w:tc>
          <w:tcPr>
            <w:tcW w:w="1760" w:type="dxa"/>
            <w:tcBorders>
              <w:top w:val="single" w:color="auto" w:sz="4" w:space="0"/>
              <w:left w:val="single" w:color="auto" w:sz="4" w:space="0"/>
              <w:bottom w:val="single" w:color="auto" w:sz="4" w:space="0"/>
              <w:right w:val="single" w:color="auto" w:sz="4" w:space="0"/>
            </w:tcBorders>
            <w:noWrap/>
            <w:vAlign w:val="center"/>
          </w:tcPr>
          <w:p w14:paraId="4844CE46">
            <w:pPr>
              <w:keepNext w:val="0"/>
              <w:keepLines w:val="0"/>
              <w:pageBreakBefore w:val="0"/>
              <w:kinsoku/>
              <w:overflowPunct/>
              <w:topLinePunct w:val="0"/>
              <w:bidi w:val="0"/>
              <w:spacing w:line="360" w:lineRule="auto"/>
              <w:jc w:val="center"/>
              <w:outlineLvl w:val="9"/>
              <w:rPr>
                <w:rFonts w:hint="eastAsia" w:ascii="宋体" w:cs="宋体"/>
                <w:szCs w:val="21"/>
                <w:highlight w:val="none"/>
              </w:rPr>
            </w:pPr>
            <w:r>
              <w:rPr>
                <w:rFonts w:hint="eastAsia" w:ascii="宋体" w:hAnsi="宋体" w:eastAsia="宋体" w:cs="宋体"/>
                <w:color w:val="auto"/>
                <w:szCs w:val="21"/>
                <w:highlight w:val="none"/>
              </w:rPr>
              <w:t>采购代理服务费</w:t>
            </w:r>
          </w:p>
        </w:tc>
        <w:tc>
          <w:tcPr>
            <w:tcW w:w="5614" w:type="dxa"/>
            <w:tcBorders>
              <w:top w:val="single" w:color="auto" w:sz="4" w:space="0"/>
              <w:left w:val="single" w:color="auto" w:sz="4" w:space="0"/>
              <w:bottom w:val="single" w:color="auto" w:sz="4" w:space="0"/>
              <w:right w:val="single" w:color="auto" w:sz="4" w:space="0"/>
            </w:tcBorders>
            <w:noWrap/>
            <w:vAlign w:val="center"/>
          </w:tcPr>
          <w:p w14:paraId="5F38F94C">
            <w:pPr>
              <w:keepNext w:val="0"/>
              <w:keepLines w:val="0"/>
              <w:pageBreakBefore w:val="0"/>
              <w:kinsoku/>
              <w:overflowPunct/>
              <w:topLinePunct w:val="0"/>
              <w:bidi w:val="0"/>
              <w:spacing w:line="360" w:lineRule="auto"/>
              <w:jc w:val="left"/>
              <w:outlineLvl w:val="9"/>
              <w:rPr>
                <w:rFonts w:hint="eastAsia" w:cs="宋体"/>
                <w:sz w:val="21"/>
                <w:szCs w:val="21"/>
                <w:highlight w:val="none"/>
              </w:rPr>
            </w:pPr>
            <w:r>
              <w:rPr>
                <w:rFonts w:hint="eastAsia" w:ascii="宋体" w:hAnsi="宋体" w:cs="宋体"/>
                <w:highlight w:val="none"/>
                <w:lang w:eastAsia="zh-CN"/>
              </w:rPr>
              <w:t>采购代理服务费参照国家计委[2002]1980号文件规定的服务类项目收费标准向成交供应商收取（计算基准价为成交金额）</w:t>
            </w:r>
          </w:p>
        </w:tc>
        <w:tc>
          <w:tcPr>
            <w:tcW w:w="1101" w:type="dxa"/>
            <w:tcBorders>
              <w:top w:val="single" w:color="auto" w:sz="4" w:space="0"/>
              <w:left w:val="single" w:color="auto" w:sz="4" w:space="0"/>
              <w:bottom w:val="single" w:color="auto" w:sz="4" w:space="0"/>
              <w:right w:val="single" w:color="auto" w:sz="4" w:space="0"/>
            </w:tcBorders>
            <w:noWrap/>
            <w:vAlign w:val="center"/>
          </w:tcPr>
          <w:p w14:paraId="4C236504">
            <w:pPr>
              <w:keepNext w:val="0"/>
              <w:keepLines w:val="0"/>
              <w:pageBreakBefore w:val="0"/>
              <w:kinsoku/>
              <w:overflowPunct/>
              <w:topLinePunct w:val="0"/>
              <w:bidi w:val="0"/>
              <w:spacing w:line="360" w:lineRule="auto"/>
              <w:jc w:val="center"/>
              <w:rPr>
                <w:rFonts w:hint="eastAsia" w:ascii="宋体" w:cs="宋体"/>
                <w:szCs w:val="21"/>
              </w:rPr>
            </w:pPr>
            <w:r>
              <w:rPr>
                <w:rFonts w:hint="eastAsia" w:cs="宋体"/>
                <w:sz w:val="21"/>
                <w:szCs w:val="21"/>
                <w:highlight w:val="none"/>
              </w:rPr>
              <w:t>29.1</w:t>
            </w:r>
          </w:p>
        </w:tc>
      </w:tr>
      <w:tr w14:paraId="6C45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52789303">
            <w:pPr>
              <w:keepNext w:val="0"/>
              <w:keepLines w:val="0"/>
              <w:pageBreakBefore w:val="0"/>
              <w:kinsoku/>
              <w:overflowPunct/>
              <w:topLinePunct w:val="0"/>
              <w:bidi w:val="0"/>
              <w:spacing w:line="360" w:lineRule="auto"/>
              <w:jc w:val="center"/>
              <w:rPr>
                <w:rFonts w:hint="eastAsia" w:ascii="宋体" w:eastAsia="宋体" w:cs="宋体"/>
                <w:lang w:val="en-US" w:eastAsia="zh-CN"/>
              </w:rPr>
            </w:pPr>
            <w:r>
              <w:rPr>
                <w:rFonts w:hint="eastAsia" w:ascii="宋体" w:cs="宋体"/>
              </w:rPr>
              <w:t>3</w:t>
            </w:r>
            <w:r>
              <w:rPr>
                <w:rFonts w:hint="eastAsia" w:ascii="宋体" w:cs="宋体"/>
                <w:lang w:val="en-US" w:eastAsia="zh-CN"/>
              </w:rPr>
              <w:t>5</w:t>
            </w:r>
          </w:p>
        </w:tc>
        <w:tc>
          <w:tcPr>
            <w:tcW w:w="7374" w:type="dxa"/>
            <w:gridSpan w:val="2"/>
            <w:tcBorders>
              <w:top w:val="single" w:color="auto" w:sz="4" w:space="0"/>
              <w:left w:val="single" w:color="auto" w:sz="4" w:space="0"/>
              <w:bottom w:val="single" w:color="auto" w:sz="4" w:space="0"/>
              <w:right w:val="single" w:color="auto" w:sz="4" w:space="0"/>
            </w:tcBorders>
            <w:noWrap/>
            <w:vAlign w:val="center"/>
          </w:tcPr>
          <w:p w14:paraId="13C182F9">
            <w:pPr>
              <w:pStyle w:val="9"/>
              <w:keepNext w:val="0"/>
              <w:keepLines w:val="0"/>
              <w:pageBreakBefore w:val="0"/>
              <w:kinsoku/>
              <w:overflowPunct/>
              <w:topLinePunct w:val="0"/>
              <w:bidi w:val="0"/>
              <w:spacing w:before="0" w:beforeAutospacing="0" w:after="0" w:afterAutospacing="0" w:line="360" w:lineRule="auto"/>
              <w:jc w:val="both"/>
              <w:rPr>
                <w:rFonts w:hint="eastAsia" w:eastAsia="宋体" w:cs="宋体"/>
                <w:sz w:val="21"/>
                <w:szCs w:val="21"/>
                <w:lang w:eastAsia="zh-CN"/>
              </w:rPr>
            </w:pPr>
            <w:r>
              <w:rPr>
                <w:rFonts w:hint="eastAsia" w:cs="宋体"/>
                <w:sz w:val="21"/>
                <w:szCs w:val="21"/>
                <w:lang w:eastAsia="zh-CN"/>
              </w:rPr>
              <w:t>本项目所属行业为租赁和商务服务业，符合条件的供应商应根据《关于印发中小企业划型标准规定的通知》中租赁和商务服务业划型标准进行划型。</w:t>
            </w:r>
          </w:p>
        </w:tc>
        <w:tc>
          <w:tcPr>
            <w:tcW w:w="1101" w:type="dxa"/>
            <w:tcBorders>
              <w:top w:val="single" w:color="auto" w:sz="4" w:space="0"/>
              <w:left w:val="single" w:color="auto" w:sz="4" w:space="0"/>
              <w:bottom w:val="single" w:color="auto" w:sz="4" w:space="0"/>
              <w:right w:val="single" w:color="auto" w:sz="4" w:space="0"/>
            </w:tcBorders>
            <w:noWrap/>
            <w:vAlign w:val="center"/>
          </w:tcPr>
          <w:p w14:paraId="72AB122F">
            <w:pPr>
              <w:keepNext w:val="0"/>
              <w:keepLines w:val="0"/>
              <w:pageBreakBefore w:val="0"/>
              <w:kinsoku/>
              <w:overflowPunct/>
              <w:topLinePunct w:val="0"/>
              <w:bidi w:val="0"/>
              <w:spacing w:line="360" w:lineRule="auto"/>
              <w:jc w:val="center"/>
              <w:rPr>
                <w:rFonts w:ascii="宋体" w:cs="宋体"/>
                <w:szCs w:val="21"/>
              </w:rPr>
            </w:pPr>
            <w:r>
              <w:rPr>
                <w:rFonts w:hint="eastAsia" w:ascii="宋体" w:cs="宋体"/>
                <w:szCs w:val="21"/>
              </w:rPr>
              <w:t>31.1.8</w:t>
            </w:r>
          </w:p>
        </w:tc>
      </w:tr>
      <w:tr w14:paraId="7942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562" w:type="dxa"/>
            <w:tcBorders>
              <w:top w:val="single" w:color="auto" w:sz="4" w:space="0"/>
              <w:left w:val="single" w:color="auto" w:sz="4" w:space="0"/>
              <w:bottom w:val="single" w:color="auto" w:sz="4" w:space="0"/>
              <w:right w:val="single" w:color="auto" w:sz="4" w:space="0"/>
            </w:tcBorders>
            <w:noWrap/>
            <w:vAlign w:val="center"/>
          </w:tcPr>
          <w:p w14:paraId="21738608">
            <w:pPr>
              <w:keepNext w:val="0"/>
              <w:keepLines w:val="0"/>
              <w:pageBreakBefore w:val="0"/>
              <w:kinsoku/>
              <w:overflowPunct/>
              <w:topLinePunct w:val="0"/>
              <w:bidi w:val="0"/>
              <w:spacing w:line="360" w:lineRule="auto"/>
              <w:jc w:val="center"/>
              <w:rPr>
                <w:rFonts w:hint="eastAsia" w:ascii="宋体" w:eastAsia="宋体" w:cs="宋体"/>
                <w:lang w:val="en-US" w:eastAsia="zh-CN"/>
              </w:rPr>
            </w:pPr>
            <w:r>
              <w:rPr>
                <w:rFonts w:hint="eastAsia" w:ascii="宋体" w:cs="宋体"/>
              </w:rPr>
              <w:t>3</w:t>
            </w:r>
            <w:r>
              <w:rPr>
                <w:rFonts w:hint="eastAsia" w:ascii="宋体" w:cs="宋体"/>
                <w:lang w:val="en-US" w:eastAsia="zh-CN"/>
              </w:rPr>
              <w:t>6</w:t>
            </w:r>
          </w:p>
        </w:tc>
        <w:tc>
          <w:tcPr>
            <w:tcW w:w="1760" w:type="dxa"/>
            <w:tcBorders>
              <w:top w:val="single" w:color="auto" w:sz="4" w:space="0"/>
              <w:left w:val="single" w:color="auto" w:sz="4" w:space="0"/>
              <w:bottom w:val="single" w:color="auto" w:sz="4" w:space="0"/>
              <w:right w:val="single" w:color="auto" w:sz="4" w:space="0"/>
            </w:tcBorders>
            <w:noWrap/>
            <w:vAlign w:val="center"/>
          </w:tcPr>
          <w:p w14:paraId="79A97375">
            <w:pPr>
              <w:pStyle w:val="9"/>
              <w:keepNext w:val="0"/>
              <w:keepLines w:val="0"/>
              <w:pageBreakBefore w:val="0"/>
              <w:kinsoku/>
              <w:overflowPunct/>
              <w:topLinePunct w:val="0"/>
              <w:bidi w:val="0"/>
              <w:spacing w:before="0" w:beforeAutospacing="0" w:after="0" w:afterAutospacing="0" w:line="360" w:lineRule="auto"/>
              <w:jc w:val="center"/>
              <w:rPr>
                <w:rFonts w:cs="宋体"/>
                <w:sz w:val="21"/>
                <w:szCs w:val="21"/>
              </w:rPr>
            </w:pPr>
            <w:r>
              <w:rPr>
                <w:rFonts w:hint="eastAsia" w:cs="宋体"/>
                <w:sz w:val="21"/>
                <w:szCs w:val="21"/>
              </w:rPr>
              <w:t>其他注意事项</w:t>
            </w:r>
          </w:p>
        </w:tc>
        <w:tc>
          <w:tcPr>
            <w:tcW w:w="5614" w:type="dxa"/>
            <w:tcBorders>
              <w:top w:val="single" w:color="auto" w:sz="4" w:space="0"/>
              <w:left w:val="single" w:color="auto" w:sz="4" w:space="0"/>
              <w:bottom w:val="single" w:color="auto" w:sz="4" w:space="0"/>
              <w:right w:val="single" w:color="auto" w:sz="4" w:space="0"/>
            </w:tcBorders>
            <w:noWrap/>
            <w:vAlign w:val="center"/>
          </w:tcPr>
          <w:p w14:paraId="66D87766">
            <w:pPr>
              <w:pStyle w:val="9"/>
              <w:keepNext w:val="0"/>
              <w:keepLines w:val="0"/>
              <w:pageBreakBefore w:val="0"/>
              <w:kinsoku/>
              <w:overflowPunct/>
              <w:topLinePunct w:val="0"/>
              <w:bidi w:val="0"/>
              <w:spacing w:before="0" w:beforeAutospacing="0" w:after="0" w:afterAutospacing="0" w:line="360" w:lineRule="auto"/>
              <w:jc w:val="both"/>
              <w:rPr>
                <w:rFonts w:cs="宋体"/>
                <w:sz w:val="21"/>
                <w:szCs w:val="21"/>
              </w:rPr>
            </w:pPr>
            <w:r>
              <w:rPr>
                <w:rFonts w:hint="eastAsia" w:cs="宋体"/>
                <w:sz w:val="21"/>
                <w:szCs w:val="21"/>
              </w:rPr>
              <w:t>以下情况视为供应商同意撤回已上传系统的响应文件或其响应文件无效：</w:t>
            </w:r>
          </w:p>
          <w:p w14:paraId="7F650BA3">
            <w:pPr>
              <w:pStyle w:val="9"/>
              <w:keepNext w:val="0"/>
              <w:keepLines w:val="0"/>
              <w:pageBreakBefore w:val="0"/>
              <w:kinsoku/>
              <w:overflowPunct/>
              <w:topLinePunct w:val="0"/>
              <w:bidi w:val="0"/>
              <w:spacing w:before="0" w:beforeAutospacing="0" w:after="0" w:afterAutospacing="0" w:line="360" w:lineRule="auto"/>
              <w:jc w:val="both"/>
              <w:rPr>
                <w:rFonts w:cs="宋体"/>
                <w:sz w:val="21"/>
                <w:szCs w:val="21"/>
              </w:rPr>
            </w:pPr>
            <w:r>
              <w:rPr>
                <w:rFonts w:hint="eastAsia" w:cs="宋体"/>
                <w:sz w:val="21"/>
                <w:szCs w:val="21"/>
              </w:rPr>
              <w:t>（1）政采云电子平台显示供应商未上传响应文件；</w:t>
            </w:r>
          </w:p>
          <w:p w14:paraId="0CABE2C2">
            <w:pPr>
              <w:pStyle w:val="9"/>
              <w:keepNext w:val="0"/>
              <w:keepLines w:val="0"/>
              <w:pageBreakBefore w:val="0"/>
              <w:kinsoku/>
              <w:overflowPunct/>
              <w:topLinePunct w:val="0"/>
              <w:bidi w:val="0"/>
              <w:spacing w:before="0" w:beforeAutospacing="0" w:after="0" w:afterAutospacing="0" w:line="360" w:lineRule="auto"/>
              <w:jc w:val="both"/>
              <w:rPr>
                <w:rFonts w:cs="宋体"/>
                <w:sz w:val="21"/>
                <w:szCs w:val="21"/>
              </w:rPr>
            </w:pPr>
            <w:r>
              <w:rPr>
                <w:rFonts w:hint="eastAsia" w:cs="宋体"/>
                <w:sz w:val="21"/>
                <w:szCs w:val="21"/>
              </w:rPr>
              <w:t>（2）因供应商原因上传的响应文件在开启文件时无法解密。</w:t>
            </w:r>
          </w:p>
        </w:tc>
        <w:tc>
          <w:tcPr>
            <w:tcW w:w="1101" w:type="dxa"/>
            <w:tcBorders>
              <w:top w:val="single" w:color="auto" w:sz="4" w:space="0"/>
              <w:left w:val="single" w:color="auto" w:sz="4" w:space="0"/>
              <w:bottom w:val="single" w:color="auto" w:sz="4" w:space="0"/>
              <w:right w:val="single" w:color="auto" w:sz="4" w:space="0"/>
            </w:tcBorders>
            <w:noWrap/>
            <w:vAlign w:val="center"/>
          </w:tcPr>
          <w:p w14:paraId="751E275D">
            <w:pPr>
              <w:keepNext w:val="0"/>
              <w:keepLines w:val="0"/>
              <w:pageBreakBefore w:val="0"/>
              <w:kinsoku/>
              <w:overflowPunct/>
              <w:topLinePunct w:val="0"/>
              <w:bidi w:val="0"/>
              <w:spacing w:before="40" w:after="40" w:line="360" w:lineRule="auto"/>
              <w:jc w:val="center"/>
              <w:rPr>
                <w:rFonts w:ascii="宋体" w:cs="宋体"/>
                <w:szCs w:val="21"/>
              </w:rPr>
            </w:pPr>
            <w:r>
              <w:rPr>
                <w:rFonts w:hint="eastAsia" w:ascii="宋体" w:cs="宋体"/>
                <w:szCs w:val="21"/>
              </w:rPr>
              <w:t>31.4</w:t>
            </w:r>
          </w:p>
        </w:tc>
      </w:tr>
    </w:tbl>
    <w:p w14:paraId="4A7A446B">
      <w:pPr>
        <w:pStyle w:val="11"/>
        <w:rPr>
          <w:kern w:val="0"/>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07AE10F3">
      <w:pPr>
        <w:rPr>
          <w:rFonts w:hint="eastAsia" w:ascii="宋体" w:cs="宋体"/>
          <w:b/>
          <w:sz w:val="24"/>
        </w:rPr>
      </w:pPr>
      <w:bookmarkStart w:id="68" w:name="_Toc489145747"/>
      <w:r>
        <w:rPr>
          <w:rFonts w:hint="eastAsia" w:ascii="宋体" w:cs="宋体"/>
          <w:b/>
          <w:sz w:val="24"/>
        </w:rPr>
        <w:br w:type="page"/>
      </w:r>
    </w:p>
    <w:p w14:paraId="299776C7">
      <w:pPr>
        <w:keepNext w:val="0"/>
        <w:keepLines w:val="0"/>
        <w:pageBreakBefore w:val="0"/>
        <w:widowControl w:val="0"/>
        <w:kinsoku/>
        <w:wordWrap/>
        <w:overflowPunct/>
        <w:topLinePunct w:val="0"/>
        <w:bidi w:val="0"/>
        <w:spacing w:line="420" w:lineRule="exact"/>
        <w:jc w:val="center"/>
        <w:textAlignment w:val="auto"/>
        <w:rPr>
          <w:rFonts w:ascii="宋体" w:cs="宋体"/>
          <w:b/>
          <w:sz w:val="32"/>
          <w:szCs w:val="32"/>
        </w:rPr>
      </w:pPr>
      <w:r>
        <w:rPr>
          <w:rFonts w:hint="eastAsia" w:ascii="宋体" w:cs="宋体"/>
          <w:b/>
          <w:sz w:val="24"/>
        </w:rPr>
        <w:t>一、总则</w:t>
      </w:r>
    </w:p>
    <w:p w14:paraId="47563181">
      <w:pPr>
        <w:keepNext w:val="0"/>
        <w:keepLines w:val="0"/>
        <w:pageBreakBefore w:val="0"/>
        <w:widowControl w:val="0"/>
        <w:tabs>
          <w:tab w:val="left" w:pos="3150"/>
          <w:tab w:val="center" w:pos="4734"/>
        </w:tabs>
        <w:kinsoku/>
        <w:wordWrap/>
        <w:overflowPunct/>
        <w:topLinePunct w:val="0"/>
        <w:bidi w:val="0"/>
        <w:spacing w:line="420" w:lineRule="exact"/>
        <w:jc w:val="left"/>
        <w:textAlignment w:val="auto"/>
        <w:rPr>
          <w:rFonts w:ascii="宋体" w:cs="宋体"/>
          <w:b/>
          <w:sz w:val="24"/>
        </w:rPr>
      </w:pPr>
      <w:r>
        <w:rPr>
          <w:rFonts w:hint="eastAsia" w:ascii="宋体" w:cs="宋体"/>
          <w:b/>
          <w:sz w:val="24"/>
        </w:rPr>
        <w:t>1.项目概况</w:t>
      </w:r>
    </w:p>
    <w:p w14:paraId="6ABCAF4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根据《中华人民共和国政府采购法》《中华人民共和国政府采购法实施条例》《政府采购竞争性磋商采购方式管理暂行办法》等有关法律、法规和规章的规定,采购代理机构受采购人委托，采用竞争性磋商方式选定供应商承担本项目。</w:t>
      </w:r>
    </w:p>
    <w:p w14:paraId="227ECA9E">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1.2本项目采购人：详见《供应商须知前附表》。</w:t>
      </w:r>
    </w:p>
    <w:p w14:paraId="0C3200B1">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1.3本项目采购代理机构：详见《供应商须知前附表》。</w:t>
      </w:r>
    </w:p>
    <w:p w14:paraId="507AFE54">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1.4项目名称及项目编号：详见《供应商须知前附表》。</w:t>
      </w:r>
    </w:p>
    <w:p w14:paraId="57429992">
      <w:pPr>
        <w:keepNext w:val="0"/>
        <w:keepLines w:val="0"/>
        <w:pageBreakBefore w:val="0"/>
        <w:widowControl w:val="0"/>
        <w:tabs>
          <w:tab w:val="left" w:pos="3150"/>
          <w:tab w:val="center" w:pos="4734"/>
        </w:tabs>
        <w:kinsoku/>
        <w:wordWrap/>
        <w:overflowPunct/>
        <w:topLinePunct w:val="0"/>
        <w:bidi w:val="0"/>
        <w:spacing w:line="420" w:lineRule="exact"/>
        <w:jc w:val="left"/>
        <w:textAlignment w:val="auto"/>
        <w:rPr>
          <w:rFonts w:ascii="宋体" w:cs="宋体"/>
          <w:b/>
          <w:sz w:val="24"/>
        </w:rPr>
      </w:pPr>
      <w:r>
        <w:rPr>
          <w:rFonts w:hint="eastAsia" w:ascii="宋体" w:cs="宋体"/>
          <w:b/>
          <w:sz w:val="24"/>
        </w:rPr>
        <w:t>2.预算金额、最高限价</w:t>
      </w:r>
    </w:p>
    <w:p w14:paraId="2FB605BE">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预算金额、最高限价：详见《供应商须知前附表》。</w:t>
      </w:r>
    </w:p>
    <w:p w14:paraId="4E005EE4">
      <w:pPr>
        <w:keepNext w:val="0"/>
        <w:keepLines w:val="0"/>
        <w:pageBreakBefore w:val="0"/>
        <w:widowControl w:val="0"/>
        <w:tabs>
          <w:tab w:val="left" w:pos="3150"/>
          <w:tab w:val="center" w:pos="4734"/>
        </w:tabs>
        <w:kinsoku/>
        <w:wordWrap/>
        <w:overflowPunct/>
        <w:topLinePunct w:val="0"/>
        <w:bidi w:val="0"/>
        <w:spacing w:line="420" w:lineRule="exact"/>
        <w:jc w:val="left"/>
        <w:textAlignment w:val="auto"/>
        <w:rPr>
          <w:rFonts w:hint="eastAsia" w:ascii="宋体" w:eastAsia="宋体" w:cs="宋体"/>
          <w:b/>
          <w:sz w:val="24"/>
          <w:lang w:eastAsia="zh-CN"/>
        </w:rPr>
      </w:pPr>
      <w:r>
        <w:rPr>
          <w:rFonts w:hint="eastAsia" w:ascii="宋体" w:cs="宋体"/>
          <w:b/>
          <w:sz w:val="24"/>
        </w:rPr>
        <w:t>3.采购需求、</w:t>
      </w:r>
      <w:r>
        <w:rPr>
          <w:rFonts w:hint="eastAsia" w:ascii="宋体" w:cs="宋体"/>
          <w:b/>
          <w:sz w:val="24"/>
          <w:lang w:eastAsia="zh-CN"/>
        </w:rPr>
        <w:t>合同履行期限（服务期限）</w:t>
      </w:r>
      <w:r>
        <w:rPr>
          <w:rFonts w:hint="eastAsia" w:ascii="宋体" w:cs="宋体"/>
          <w:b/>
          <w:sz w:val="24"/>
        </w:rPr>
        <w:t>及</w:t>
      </w:r>
      <w:r>
        <w:rPr>
          <w:rFonts w:hint="eastAsia" w:ascii="宋体" w:cs="宋体"/>
          <w:b/>
          <w:sz w:val="24"/>
          <w:lang w:eastAsia="zh-CN"/>
        </w:rPr>
        <w:t>服务地点</w:t>
      </w:r>
    </w:p>
    <w:p w14:paraId="09E1BEC6">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3.1采购需求：详见《供应商须知前附表》。</w:t>
      </w:r>
    </w:p>
    <w:p w14:paraId="169252D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3.2</w:t>
      </w:r>
      <w:r>
        <w:rPr>
          <w:rFonts w:hint="eastAsia" w:ascii="宋体" w:cs="宋体"/>
          <w:szCs w:val="21"/>
          <w:lang w:eastAsia="zh-CN"/>
        </w:rPr>
        <w:t>合同履行期限（服务期限）</w:t>
      </w:r>
      <w:r>
        <w:rPr>
          <w:rFonts w:hint="eastAsia" w:ascii="宋体" w:cs="宋体"/>
          <w:szCs w:val="21"/>
        </w:rPr>
        <w:t>及</w:t>
      </w:r>
      <w:r>
        <w:rPr>
          <w:rFonts w:hint="eastAsia" w:ascii="宋体" w:cs="宋体"/>
          <w:szCs w:val="21"/>
          <w:lang w:eastAsia="zh-CN"/>
        </w:rPr>
        <w:t>服务地点</w:t>
      </w:r>
      <w:r>
        <w:rPr>
          <w:rFonts w:hint="eastAsia" w:ascii="宋体" w:cs="宋体"/>
          <w:szCs w:val="21"/>
        </w:rPr>
        <w:t>：详见《供应商须知前附表》。</w:t>
      </w:r>
    </w:p>
    <w:p w14:paraId="136E0C16">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3.3是否接受联合体参加：不接受。</w:t>
      </w:r>
    </w:p>
    <w:p w14:paraId="0CF1C3A3">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textAlignment w:val="auto"/>
        <w:rPr>
          <w:rFonts w:ascii="宋体" w:cs="宋体"/>
          <w:b/>
          <w:sz w:val="24"/>
        </w:rPr>
      </w:pPr>
      <w:r>
        <w:rPr>
          <w:rFonts w:hint="eastAsia" w:ascii="宋体" w:cs="宋体"/>
          <w:b/>
          <w:bCs/>
          <w:sz w:val="24"/>
        </w:rPr>
        <w:t>★4</w:t>
      </w:r>
      <w:r>
        <w:rPr>
          <w:rFonts w:hint="eastAsia" w:ascii="宋体" w:cs="宋体"/>
          <w:b/>
          <w:sz w:val="24"/>
        </w:rPr>
        <w:t>.供应商资格要求</w:t>
      </w:r>
    </w:p>
    <w:p w14:paraId="35E609EA">
      <w:pPr>
        <w:tabs>
          <w:tab w:val="left" w:pos="105"/>
          <w:tab w:val="left" w:pos="73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4.1供应商资格要求：详见《供应商须知前附表》。</w:t>
      </w:r>
    </w:p>
    <w:p w14:paraId="1BC1F041">
      <w:pPr>
        <w:tabs>
          <w:tab w:val="left" w:pos="105"/>
          <w:tab w:val="left" w:pos="73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4.2采购人根据本项目的特殊要求规定供应商应具备的特定条件：详见《供应商须知前附表》。</w:t>
      </w:r>
    </w:p>
    <w:p w14:paraId="19B6E733">
      <w:pPr>
        <w:tabs>
          <w:tab w:val="left" w:pos="105"/>
          <w:tab w:val="left" w:pos="73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4.3如供应商为满足供应商资格要求提供虚假材料，一经查实，视为未实质性响应竞争性磋商文件，供应商响应文件将按无效响应处理。</w:t>
      </w:r>
    </w:p>
    <w:p w14:paraId="2FB5A9D9">
      <w:pPr>
        <w:tabs>
          <w:tab w:val="left" w:pos="105"/>
          <w:tab w:val="left" w:pos="73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4.4单位负责人为同一人或者存在直接控股、管理关系的不同供应商，不得参加同一合同项下的政府采购活动。</w:t>
      </w:r>
    </w:p>
    <w:p w14:paraId="7633B4F0">
      <w:pPr>
        <w:tabs>
          <w:tab w:val="left" w:pos="105"/>
          <w:tab w:val="left" w:pos="73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4.5供应商不得直接或间接地与为采购项目提供整体设计、规范编制和项目管理、监理、检测等服务。</w:t>
      </w:r>
    </w:p>
    <w:p w14:paraId="4FB2B448">
      <w:pPr>
        <w:tabs>
          <w:tab w:val="left" w:pos="105"/>
          <w:tab w:val="left" w:pos="735"/>
          <w:tab w:val="left" w:pos="945"/>
          <w:tab w:val="left" w:pos="3360"/>
        </w:tabs>
        <w:adjustRightInd w:val="0"/>
        <w:snapToGrid w:val="0"/>
        <w:spacing w:line="360" w:lineRule="auto"/>
        <w:ind w:firstLine="420" w:firstLineChars="200"/>
        <w:rPr>
          <w:rFonts w:ascii="宋体" w:hAnsi="宋体" w:cs="宋体"/>
          <w:szCs w:val="21"/>
        </w:rPr>
      </w:pPr>
      <w:r>
        <w:rPr>
          <w:rFonts w:hint="eastAsia" w:ascii="宋体" w:hAnsi="宋体" w:cs="宋体"/>
          <w:szCs w:val="21"/>
        </w:rPr>
        <w:t>4.6符合上述条件的供应商应承担投标及履约中应承担的全部责任与义务。</w:t>
      </w:r>
    </w:p>
    <w:p w14:paraId="6682298E">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textAlignment w:val="auto"/>
        <w:rPr>
          <w:rFonts w:ascii="宋体" w:cs="宋体"/>
          <w:b/>
          <w:sz w:val="24"/>
        </w:rPr>
      </w:pPr>
      <w:r>
        <w:rPr>
          <w:rFonts w:hint="eastAsia" w:ascii="宋体" w:cs="宋体"/>
          <w:b/>
          <w:sz w:val="24"/>
        </w:rPr>
        <w:t>5.费用承担</w:t>
      </w:r>
    </w:p>
    <w:p w14:paraId="2F322B2F">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无论是否成交，供应商自行承担所有与参加本次竞争性磋商采购活动所产生的全部费用。</w:t>
      </w:r>
    </w:p>
    <w:p w14:paraId="71673390">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6</w:t>
      </w:r>
      <w:r>
        <w:rPr>
          <w:rFonts w:hint="eastAsia" w:ascii="宋体" w:cs="宋体"/>
          <w:b/>
          <w:sz w:val="24"/>
        </w:rPr>
        <w:t>.</w:t>
      </w:r>
      <w:r>
        <w:rPr>
          <w:rFonts w:hint="eastAsia" w:ascii="宋体" w:cs="宋体"/>
          <w:b/>
          <w:bCs/>
          <w:sz w:val="24"/>
        </w:rPr>
        <w:t>现场考察</w:t>
      </w:r>
    </w:p>
    <w:p w14:paraId="34B3CDA9">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本项目采购人不组织现场考察。</w:t>
      </w:r>
    </w:p>
    <w:p w14:paraId="0F041602">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7</w:t>
      </w:r>
      <w:r>
        <w:rPr>
          <w:rFonts w:hint="eastAsia" w:ascii="宋体" w:cs="宋体"/>
          <w:b/>
          <w:sz w:val="24"/>
        </w:rPr>
        <w:t>.</w:t>
      </w:r>
      <w:r>
        <w:rPr>
          <w:rFonts w:hint="eastAsia" w:ascii="宋体" w:cs="宋体"/>
          <w:b/>
          <w:bCs/>
          <w:sz w:val="24"/>
        </w:rPr>
        <w:t>磋商前答疑会</w:t>
      </w:r>
    </w:p>
    <w:p w14:paraId="6F4D35CD">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本项目采购人不组织磋商前答疑会。</w:t>
      </w:r>
    </w:p>
    <w:p w14:paraId="3485D76E">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8</w:t>
      </w:r>
      <w:r>
        <w:rPr>
          <w:rFonts w:hint="eastAsia" w:ascii="宋体" w:cs="宋体"/>
          <w:b/>
          <w:sz w:val="24"/>
        </w:rPr>
        <w:t>.</w:t>
      </w:r>
      <w:r>
        <w:rPr>
          <w:rFonts w:hint="eastAsia" w:ascii="宋体" w:cs="宋体"/>
          <w:b/>
          <w:bCs/>
          <w:sz w:val="24"/>
        </w:rPr>
        <w:t>质疑</w:t>
      </w:r>
    </w:p>
    <w:p w14:paraId="5BF4940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8.1供应商认为竞争性磋商文件、采购过程、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2870C826">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8.2竞争性磋商文件第二章《供应商须知》8.1条中“知道或者应知其权益受到损害之日”是指：</w:t>
      </w:r>
    </w:p>
    <w:p w14:paraId="68BFA463">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（一）对可以质疑的采购文件提出质疑的，为收到采购文件之日或者采购文件公告期限届满之日；</w:t>
      </w:r>
    </w:p>
    <w:p w14:paraId="5CDC7A6D">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（二）对采购过程提出质疑的，为各采购程序环节结束之日；</w:t>
      </w:r>
    </w:p>
    <w:p w14:paraId="6C58116A">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（三）对中标或者成交结果提出质疑的，为中标或者成交结果公告期限届满之日。</w:t>
      </w:r>
    </w:p>
    <w:p w14:paraId="2E53D69C">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供应商电子公章。代理人提出质疑，应当提交供应商签署的授权委托书。</w:t>
      </w:r>
    </w:p>
    <w:p w14:paraId="311148FA">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提出质疑的供应商应当是参与所质疑项目采购活动的供应商。</w:t>
      </w:r>
    </w:p>
    <w:p w14:paraId="234F96E3">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8.4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607CD758">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（一）供应商的姓名或者名称、地址、邮编、联系人及联系电话；</w:t>
      </w:r>
    </w:p>
    <w:p w14:paraId="0F4E4F5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（二）质疑项目的名称、编号；</w:t>
      </w:r>
    </w:p>
    <w:p w14:paraId="0B4FAA3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（三）具体、明确的质疑事项和与质疑事项相关的请求；</w:t>
      </w:r>
    </w:p>
    <w:p w14:paraId="05B76BCD">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（四）事实依据；</w:t>
      </w:r>
    </w:p>
    <w:p w14:paraId="491EA1E8">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（五）必要的法律依据；</w:t>
      </w:r>
    </w:p>
    <w:p w14:paraId="042DAD3C">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（六）提出质疑的日期。</w:t>
      </w:r>
    </w:p>
    <w:p w14:paraId="4423A571">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供应商为自然人的，应当由本人签字；供应商为法人或者其他组织的，应当由法定代表人、主要负责人，或者其授权代表签字或者盖章，并加盖供应商电子公章。</w:t>
      </w:r>
    </w:p>
    <w:p w14:paraId="6CCB1AB9">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8.5供应商不得捏造事实、提供虚假材料或者以非法手段取得证明材料。</w:t>
      </w:r>
    </w:p>
    <w:p w14:paraId="24B4CAED">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8.6质疑函应当使用中文。相关当事人提供外文书证或者外国语视听资料的，应当附有中文译本，由翻译机构盖章或者翻译人员签名。</w:t>
      </w:r>
    </w:p>
    <w:p w14:paraId="15D2307E">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8.7采购人、采购代理机构将在收到供应商质疑函后七个工作日内作出答复，但质疑答复的内容不涉及商业秘密。</w:t>
      </w:r>
    </w:p>
    <w:p w14:paraId="796143D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8.8供应商对评审过程、成交结果提出质疑的，采购人、采购代理机构可以组织原磋商小组协助答复质疑。质疑答复导致成交结果改变的，采购人或者采购代理机构会将有关情况书面报告本级财政部门。</w:t>
      </w:r>
    </w:p>
    <w:p w14:paraId="521D57B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8.9接收质疑函的方式：书面方式；接收质疑函的部门：云南冠睿咨询有限公司；联系人、联系电话：</w:t>
      </w:r>
      <w:r>
        <w:rPr>
          <w:rFonts w:hint="eastAsia" w:ascii="宋体" w:cs="宋体"/>
          <w:szCs w:val="21"/>
          <w:lang w:eastAsia="zh-CN"/>
        </w:rPr>
        <w:t>李腾芳、王彦飞、肖枝莲、王国玺、吴翊</w:t>
      </w:r>
      <w:r>
        <w:rPr>
          <w:rFonts w:hint="eastAsia" w:ascii="宋体" w:cs="宋体"/>
          <w:szCs w:val="21"/>
        </w:rPr>
        <w:t xml:space="preserve">  0871-65511240、0871-65511241；通讯地址：云南冠睿咨询有限公司（云南省昆明市西山区万达广场南塔32层3201号）。</w:t>
      </w:r>
    </w:p>
    <w:p w14:paraId="0C8ACAAE">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9</w:t>
      </w:r>
      <w:r>
        <w:rPr>
          <w:rFonts w:hint="eastAsia" w:ascii="宋体" w:cs="宋体"/>
          <w:b/>
          <w:sz w:val="24"/>
        </w:rPr>
        <w:t>.</w:t>
      </w:r>
      <w:r>
        <w:rPr>
          <w:rFonts w:hint="eastAsia" w:ascii="宋体" w:cs="宋体"/>
          <w:b/>
          <w:bCs/>
          <w:sz w:val="24"/>
        </w:rPr>
        <w:t>投诉</w:t>
      </w:r>
    </w:p>
    <w:p w14:paraId="11DF4CD6">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9.1投诉必须首先经过质疑程序。质疑供应商对采购人、采购代理机构的答复不满意，或者采购人、采购代理机构未在规定时间内作出答复的，可以在答复期满后十五个工作日内书面向本级财政部门提起投诉。</w:t>
      </w:r>
    </w:p>
    <w:p w14:paraId="6E6B4759">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241" w:firstLineChars="100"/>
        <w:jc w:val="center"/>
        <w:textAlignment w:val="auto"/>
        <w:rPr>
          <w:rFonts w:ascii="宋体" w:cs="宋体"/>
          <w:b/>
          <w:sz w:val="24"/>
        </w:rPr>
      </w:pPr>
      <w:bookmarkStart w:id="69" w:name="_Toc383175282"/>
      <w:bookmarkStart w:id="70" w:name="_Toc383175058"/>
      <w:bookmarkStart w:id="71" w:name="_Toc482343732"/>
      <w:bookmarkStart w:id="72" w:name="_Toc329810192"/>
      <w:bookmarkStart w:id="73" w:name="_Toc432194832"/>
      <w:bookmarkStart w:id="74" w:name="_Toc383175480"/>
      <w:bookmarkStart w:id="75" w:name="_Toc470507046"/>
      <w:bookmarkStart w:id="76" w:name="_Toc432106481"/>
      <w:r>
        <w:rPr>
          <w:rFonts w:hint="eastAsia" w:ascii="宋体" w:cs="宋体"/>
          <w:b/>
          <w:sz w:val="24"/>
        </w:rPr>
        <w:t>二、竞争性磋商文件</w:t>
      </w:r>
    </w:p>
    <w:p w14:paraId="58399CC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textAlignment w:val="auto"/>
        <w:rPr>
          <w:rFonts w:ascii="宋体" w:cs="宋体"/>
          <w:b/>
          <w:sz w:val="24"/>
        </w:rPr>
      </w:pPr>
      <w:r>
        <w:rPr>
          <w:rFonts w:hint="eastAsia" w:ascii="宋体" w:cs="宋体"/>
          <w:b/>
          <w:sz w:val="24"/>
        </w:rPr>
        <w:t>10.竞争性磋商文件的组成</w:t>
      </w:r>
      <w:bookmarkEnd w:id="69"/>
      <w:bookmarkEnd w:id="70"/>
      <w:bookmarkEnd w:id="71"/>
      <w:bookmarkEnd w:id="72"/>
      <w:bookmarkEnd w:id="73"/>
      <w:bookmarkEnd w:id="74"/>
      <w:bookmarkEnd w:id="75"/>
      <w:bookmarkEnd w:id="76"/>
    </w:p>
    <w:p w14:paraId="5E0494B4">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采购人要求提供的</w:t>
      </w:r>
      <w:r>
        <w:rPr>
          <w:rFonts w:hint="eastAsia" w:ascii="宋体" w:cs="宋体"/>
          <w:kern w:val="0"/>
          <w:szCs w:val="21"/>
        </w:rPr>
        <w:t>货物、工程或者服务、</w:t>
      </w:r>
      <w:r>
        <w:rPr>
          <w:rFonts w:hint="eastAsia" w:ascii="宋体" w:cs="宋体"/>
          <w:szCs w:val="21"/>
        </w:rPr>
        <w:t>采购过程及合同条款在竞争性磋商文件中均有说明，竞争性磋商文件共六章，各章的内容如下：</w:t>
      </w:r>
    </w:p>
    <w:p w14:paraId="5A11F73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第一章  竞争性磋商公告</w:t>
      </w:r>
    </w:p>
    <w:p w14:paraId="6F11F73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第二章  供应商须知</w:t>
      </w:r>
    </w:p>
    <w:p w14:paraId="37E5E4F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第三章  合同书样式及主要条款</w:t>
      </w:r>
    </w:p>
    <w:p w14:paraId="22226084">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第四章  响应文件格式</w:t>
      </w:r>
    </w:p>
    <w:p w14:paraId="153C7F4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第五章  采购需求</w:t>
      </w:r>
    </w:p>
    <w:p w14:paraId="24C9582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第六章  评审方法</w:t>
      </w:r>
    </w:p>
    <w:p w14:paraId="4149CB05">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11</w:t>
      </w:r>
      <w:r>
        <w:rPr>
          <w:rFonts w:hint="eastAsia" w:ascii="宋体" w:cs="宋体"/>
          <w:b/>
          <w:sz w:val="24"/>
        </w:rPr>
        <w:t>.</w:t>
      </w:r>
      <w:r>
        <w:rPr>
          <w:rFonts w:hint="eastAsia" w:ascii="宋体" w:cs="宋体"/>
          <w:b/>
          <w:bCs/>
          <w:sz w:val="24"/>
        </w:rPr>
        <w:t>竞争性磋商文件的询问、澄清、修改</w:t>
      </w:r>
      <w:r>
        <w:rPr>
          <w:rFonts w:hint="eastAsia" w:ascii="宋体" w:cs="宋体"/>
          <w:b/>
          <w:bCs/>
          <w:sz w:val="24"/>
        </w:rPr>
        <w:tab/>
      </w:r>
    </w:p>
    <w:p w14:paraId="76DD3152">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11.1供应商应认真阅读竞争性磋商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学习。</w:t>
      </w:r>
    </w:p>
    <w:p w14:paraId="2777FE0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11.2竞争性磋商文件询问联系方式：详见《供应商须知前附表》。</w:t>
      </w:r>
    </w:p>
    <w:p w14:paraId="356C5163">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11.3提交首次响应文件截止之日前，采购人、采购代理机构或者磋商小组可以对已发出的竞争性磋商文件进行必要的澄清或者修改，澄清或者修改的内容作为竞争性磋商文件的组成部分。</w:t>
      </w:r>
    </w:p>
    <w:p w14:paraId="2BB49695">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11.4澄清或者修改的内容可能影响响应文件编制的，采购人、采购代理机构将在提交首次响应文件截止时间至少5日前，以书面形式通知所有获取竞争性磋商文件的供应商；不足5日的，采购人、采购代理机构将顺延提交首次响应文件截止时间。</w:t>
      </w:r>
    </w:p>
    <w:p w14:paraId="79AC405B">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11.5供应商确认收到竞争性磋商文件澄清、修改后，应在收到澄清、修改后24小时内以书面形式通知采购人或采购代理机构，确认已收到该澄清、修改。</w:t>
      </w:r>
    </w:p>
    <w:p w14:paraId="52F746F0">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11.6在磋商过程中，磋商小组可以根据竞争性磋商文件和磋商情况实质性变动采购需求中的技术、服务要求以及合同草案条款，但不得变动竞争性磋商文件中的其他内容。实质性变动的内容，须经采购人代表确认。</w:t>
      </w:r>
    </w:p>
    <w:p w14:paraId="59F51A57">
      <w:pPr>
        <w:keepNext w:val="0"/>
        <w:keepLines w:val="0"/>
        <w:pageBreakBefore w:val="0"/>
        <w:widowControl w:val="0"/>
        <w:tabs>
          <w:tab w:val="left" w:pos="105"/>
          <w:tab w:val="left" w:pos="735"/>
          <w:tab w:val="left" w:pos="945"/>
          <w:tab w:val="left" w:pos="3360"/>
        </w:tabs>
        <w:kinsoku/>
        <w:wordWrap/>
        <w:overflowPunct/>
        <w:topLinePunct w:val="0"/>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11.7实质性变动采购需求中的技术、服务要求以及合同草案条款不得对涉及对竞争性磋商文件公平、公正性内容进行修改、变动。</w:t>
      </w:r>
    </w:p>
    <w:p w14:paraId="5804915B">
      <w:pPr>
        <w:keepNext w:val="0"/>
        <w:keepLines w:val="0"/>
        <w:pageBreakBefore w:val="0"/>
        <w:widowControl w:val="0"/>
        <w:tabs>
          <w:tab w:val="left" w:pos="3150"/>
          <w:tab w:val="center" w:pos="4734"/>
        </w:tabs>
        <w:kinsoku/>
        <w:wordWrap/>
        <w:overflowPunct/>
        <w:topLinePunct w:val="0"/>
        <w:bidi w:val="0"/>
        <w:spacing w:line="420" w:lineRule="exact"/>
        <w:ind w:firstLine="241" w:firstLineChars="100"/>
        <w:jc w:val="center"/>
        <w:textAlignment w:val="auto"/>
        <w:rPr>
          <w:rFonts w:ascii="宋体" w:cs="宋体"/>
          <w:b/>
          <w:sz w:val="24"/>
        </w:rPr>
      </w:pPr>
      <w:r>
        <w:rPr>
          <w:rFonts w:hint="eastAsia" w:ascii="宋体" w:cs="宋体"/>
          <w:b/>
          <w:sz w:val="24"/>
        </w:rPr>
        <w:t>三、响应文件</w:t>
      </w:r>
    </w:p>
    <w:p w14:paraId="4F98538C">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12</w:t>
      </w:r>
      <w:bookmarkStart w:id="77" w:name="_Toc482343735"/>
      <w:bookmarkStart w:id="78" w:name="_Toc383175061"/>
      <w:bookmarkStart w:id="79" w:name="_Toc383175483"/>
      <w:bookmarkStart w:id="80" w:name="_Toc383175285"/>
      <w:bookmarkStart w:id="81" w:name="_Toc86124052"/>
      <w:bookmarkStart w:id="82" w:name="_Toc432194835"/>
      <w:bookmarkStart w:id="83" w:name="_Toc329810195"/>
      <w:bookmarkStart w:id="84" w:name="_Toc432106484"/>
      <w:bookmarkStart w:id="85" w:name="_Toc470507049"/>
      <w:r>
        <w:rPr>
          <w:rFonts w:hint="eastAsia" w:ascii="宋体" w:cs="宋体"/>
          <w:b/>
          <w:sz w:val="24"/>
        </w:rPr>
        <w:t>.</w:t>
      </w:r>
      <w:r>
        <w:rPr>
          <w:rFonts w:hint="eastAsia" w:ascii="宋体" w:cs="宋体"/>
          <w:b/>
          <w:bCs/>
          <w:sz w:val="24"/>
        </w:rPr>
        <w:t>响应文件编写注意事项</w:t>
      </w:r>
      <w:bookmarkEnd w:id="77"/>
      <w:bookmarkEnd w:id="78"/>
      <w:bookmarkEnd w:id="79"/>
      <w:bookmarkEnd w:id="80"/>
      <w:bookmarkEnd w:id="81"/>
      <w:bookmarkEnd w:id="82"/>
      <w:bookmarkEnd w:id="83"/>
      <w:bookmarkEnd w:id="84"/>
      <w:bookmarkEnd w:id="85"/>
    </w:p>
    <w:p w14:paraId="2F5184B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12.1 供应商应仔细阅读竞争性磋商文件，在完全了解采购的内容、技术性能要求（见第五章《采购需求》）和商务条件后，根据竞争性磋商文件要求编写响应文件。</w:t>
      </w:r>
    </w:p>
    <w:p w14:paraId="57FEFBD9">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12.2 对竞争性磋商文件提出的实质性要求和条件作出响应是指供应商的响应文件必须对竞争性磋商文件中规定的成交实质性要求和条件作出满足或者优于原要求和条件的承诺，并提供相应的证明材料，否则按无效响应处理。</w:t>
      </w:r>
    </w:p>
    <w:p w14:paraId="7E5C7226">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13</w:t>
      </w:r>
      <w:r>
        <w:rPr>
          <w:rFonts w:hint="eastAsia" w:ascii="宋体" w:cs="宋体"/>
          <w:b/>
          <w:sz w:val="24"/>
        </w:rPr>
        <w:t>.</w:t>
      </w:r>
      <w:r>
        <w:rPr>
          <w:rFonts w:hint="eastAsia" w:ascii="宋体" w:cs="宋体"/>
          <w:b/>
          <w:bCs/>
          <w:sz w:val="24"/>
        </w:rPr>
        <w:t>语言文字</w:t>
      </w:r>
    </w:p>
    <w:p w14:paraId="60CD5A9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13.1供应商的响应文件以及供应商与采购人、采购代理机构、磋商小组就有关磋商的所有来往函电统一使用中文（特别规定除外）。</w:t>
      </w:r>
    </w:p>
    <w:p w14:paraId="62D0AA6C">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14</w:t>
      </w:r>
      <w:r>
        <w:rPr>
          <w:rFonts w:hint="eastAsia" w:ascii="宋体" w:cs="宋体"/>
          <w:b/>
          <w:sz w:val="24"/>
        </w:rPr>
        <w:t>.</w:t>
      </w:r>
      <w:r>
        <w:rPr>
          <w:rFonts w:hint="eastAsia" w:ascii="宋体" w:cs="宋体"/>
          <w:b/>
          <w:bCs/>
          <w:sz w:val="24"/>
        </w:rPr>
        <w:t>计量单位</w:t>
      </w:r>
    </w:p>
    <w:p w14:paraId="5CE5E00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14.1响应文件中使用的计量单位除竞争性磋商文件中有特殊规定外，一律使用中国法定计量单位。</w:t>
      </w:r>
    </w:p>
    <w:p w14:paraId="161F9E04">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15</w:t>
      </w:r>
      <w:r>
        <w:rPr>
          <w:rFonts w:hint="eastAsia" w:ascii="宋体" w:cs="宋体"/>
          <w:b/>
          <w:sz w:val="24"/>
        </w:rPr>
        <w:t>.</w:t>
      </w:r>
      <w:r>
        <w:rPr>
          <w:rFonts w:hint="eastAsia" w:ascii="宋体" w:cs="宋体"/>
          <w:b/>
          <w:bCs/>
          <w:sz w:val="24"/>
        </w:rPr>
        <w:t>响应文件的组成</w:t>
      </w:r>
    </w:p>
    <w:p w14:paraId="34C1E9D6">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15.1供应商编写的响应文件应按第四章《响应文件格式》要求填写。有关文件的提交如未特别注明需提供原件的，可提供复印件。</w:t>
      </w:r>
    </w:p>
    <w:p w14:paraId="7041D7B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15.2构成响应文件的其他资料：详见《供应商须知前附表》。</w:t>
      </w:r>
    </w:p>
    <w:p w14:paraId="294219A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15.3供应商同时参加多个标段（若分标段时）的，响应文件应按标段分别编制，单独成册。</w:t>
      </w:r>
    </w:p>
    <w:p w14:paraId="6B187E34">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★16</w:t>
      </w:r>
      <w:r>
        <w:rPr>
          <w:rFonts w:hint="eastAsia" w:ascii="宋体" w:cs="宋体"/>
          <w:b/>
          <w:sz w:val="24"/>
        </w:rPr>
        <w:t>.</w:t>
      </w:r>
      <w:r>
        <w:rPr>
          <w:rFonts w:hint="eastAsia" w:ascii="宋体" w:cs="宋体"/>
          <w:b/>
          <w:bCs/>
          <w:sz w:val="24"/>
        </w:rPr>
        <w:t>响应文件的格式要求</w:t>
      </w:r>
    </w:p>
    <w:p w14:paraId="22AC875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16.1供应商应按第四章《响应文件格式》提供的格式完整地填写、签章或签字，未按竞争性磋商文件规定格式填写、签章或签字的响应文件按无效响应处理。</w:t>
      </w:r>
    </w:p>
    <w:p w14:paraId="714A2941">
      <w:pPr>
        <w:keepNext w:val="0"/>
        <w:keepLines w:val="0"/>
        <w:pageBreakBefore w:val="0"/>
        <w:widowControl w:val="0"/>
        <w:tabs>
          <w:tab w:val="left" w:pos="105"/>
          <w:tab w:val="left" w:pos="735"/>
          <w:tab w:val="left" w:pos="945"/>
          <w:tab w:val="left" w:pos="3360"/>
          <w:tab w:val="left" w:pos="4988"/>
        </w:tabs>
        <w:kinsoku/>
        <w:wordWrap/>
        <w:overflowPunct/>
        <w:topLinePunct w:val="0"/>
        <w:bidi w:val="0"/>
        <w:adjustRightInd w:val="0"/>
        <w:snapToGrid w:val="0"/>
        <w:spacing w:line="420" w:lineRule="exact"/>
        <w:textAlignment w:val="auto"/>
        <w:rPr>
          <w:rFonts w:ascii="宋体" w:cs="宋体"/>
          <w:b/>
          <w:bCs/>
          <w:sz w:val="24"/>
        </w:rPr>
      </w:pPr>
      <w:r>
        <w:rPr>
          <w:rFonts w:hint="eastAsia" w:ascii="宋体" w:cs="宋体"/>
          <w:b/>
          <w:bCs/>
          <w:sz w:val="24"/>
        </w:rPr>
        <w:t>★17</w:t>
      </w:r>
      <w:r>
        <w:rPr>
          <w:rFonts w:hint="eastAsia" w:ascii="宋体" w:cs="宋体"/>
          <w:b/>
          <w:sz w:val="24"/>
        </w:rPr>
        <w:t>.</w:t>
      </w:r>
      <w:r>
        <w:rPr>
          <w:rFonts w:hint="eastAsia" w:ascii="宋体" w:cs="宋体"/>
          <w:b/>
          <w:bCs/>
          <w:sz w:val="24"/>
        </w:rPr>
        <w:t>响应文件有效期</w:t>
      </w:r>
    </w:p>
    <w:p w14:paraId="60566CFE">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17.1 在《供应商须知前附表》规定的有效期内，供应商不得要求撤销或修改其响应文件。</w:t>
      </w:r>
    </w:p>
    <w:p w14:paraId="355C38C8">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17.2 因特殊情况需要延长响应文件有效期的，采购代理机构以书面形式通知所有供应商延长有效期。供应商同意延长的，应相应延长其响应文件中所有内容及磋商保证金的有效期，但不得要求或被允许修改或撤销其响应文件；供应商拒绝延长的，其响应文件失效，但供应商有权收回其磋商保证金。</w:t>
      </w:r>
    </w:p>
    <w:p w14:paraId="2DB9F661">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★18</w:t>
      </w:r>
      <w:r>
        <w:rPr>
          <w:rFonts w:hint="eastAsia" w:ascii="宋体" w:cs="宋体"/>
          <w:b/>
          <w:sz w:val="24"/>
        </w:rPr>
        <w:t>.</w:t>
      </w:r>
      <w:r>
        <w:rPr>
          <w:rFonts w:hint="eastAsia" w:ascii="宋体" w:cs="宋体"/>
          <w:b/>
          <w:bCs/>
          <w:sz w:val="24"/>
        </w:rPr>
        <w:t>磋商保证金交纳及退还</w:t>
      </w:r>
    </w:p>
    <w:p w14:paraId="7225A9F6">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18.1供应商应按《供应商须知前附表》规定的金额、形式向采购代理机构交纳磋商保证金，磋商保证金须在响应文件提交截止时间前从供应商基本账户交纳到云南冠睿咨询有限公司指定的账户，供应商未按照竞争性磋商文件要求提交磋商保证金的，响应无效。</w:t>
      </w:r>
    </w:p>
    <w:p w14:paraId="6C0845A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18.2采购代理机构在成交通知书发出后3个工作日内退还未成交供应商的磋商保证金，成交供应商的磋商保证金在采购合同签订后5个工作日内退还，但因供应商自身原因导致无法及时退还的除外。出现下列情形之一的，磋商保证金不予退还：</w:t>
      </w:r>
    </w:p>
    <w:p w14:paraId="01D5613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（1）供应商在提交响应文件截止时间后撤回响应文件的；</w:t>
      </w:r>
    </w:p>
    <w:p w14:paraId="01D391B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（2）供应商在响应文件中提供虚假材料的；</w:t>
      </w:r>
    </w:p>
    <w:p w14:paraId="581E0A3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（3）除因不可抗力或竞争性磋商文件认可的情形以外，成交供应商不与采购人签订合同的；</w:t>
      </w:r>
    </w:p>
    <w:p w14:paraId="178A042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（4）供应商与采购人、其他供应商或者采购代理机构恶意串通的；</w:t>
      </w:r>
    </w:p>
    <w:p w14:paraId="21AF1AFD">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（5）竞争性磋商文件规定的其他情形。</w:t>
      </w:r>
    </w:p>
    <w:p w14:paraId="19B35296">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19</w:t>
      </w:r>
      <w:r>
        <w:rPr>
          <w:rFonts w:hint="eastAsia" w:ascii="宋体" w:cs="宋体"/>
          <w:b/>
          <w:sz w:val="24"/>
        </w:rPr>
        <w:t>.</w:t>
      </w:r>
      <w:r>
        <w:rPr>
          <w:rFonts w:hint="eastAsia" w:ascii="宋体" w:cs="宋体"/>
          <w:b/>
          <w:bCs/>
          <w:sz w:val="24"/>
        </w:rPr>
        <w:t>响应文件的编制</w:t>
      </w:r>
    </w:p>
    <w:p w14:paraId="7D4A78D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19.1响应文件签署：响应文件编制完成后须用</w:t>
      </w:r>
      <w:r>
        <w:rPr>
          <w:rFonts w:hint="eastAsia" w:ascii="宋体" w:cs="宋体"/>
          <w:color w:val="000000"/>
          <w:szCs w:val="21"/>
          <w:lang w:eastAsia="zh-CN"/>
        </w:rPr>
        <w:t>数字证书（CA）</w:t>
      </w:r>
      <w:r>
        <w:rPr>
          <w:rFonts w:hint="eastAsia" w:ascii="宋体" w:cs="宋体"/>
          <w:color w:val="000000"/>
          <w:szCs w:val="21"/>
        </w:rPr>
        <w:t>按格式进行电子签章，在所要求的位置有</w:t>
      </w:r>
      <w:r>
        <w:rPr>
          <w:rFonts w:hint="eastAsia" w:ascii="宋体" w:cs="宋体"/>
          <w:color w:val="000000"/>
          <w:szCs w:val="21"/>
          <w:lang w:eastAsia="zh-CN"/>
        </w:rPr>
        <w:t>法定代表人或委托代理人</w:t>
      </w:r>
      <w:r>
        <w:rPr>
          <w:rFonts w:hint="eastAsia" w:ascii="宋体" w:cs="宋体"/>
          <w:color w:val="000000"/>
          <w:szCs w:val="21"/>
        </w:rPr>
        <w:t>的电子签名或</w:t>
      </w:r>
      <w:r>
        <w:rPr>
          <w:rFonts w:hint="eastAsia" w:ascii="宋体" w:cs="宋体"/>
          <w:szCs w:val="21"/>
        </w:rPr>
        <w:t>签章</w:t>
      </w:r>
      <w:r>
        <w:rPr>
          <w:rFonts w:hint="eastAsia" w:ascii="宋体" w:cs="宋体"/>
          <w:color w:val="000000"/>
          <w:szCs w:val="21"/>
        </w:rPr>
        <w:t>，均使用</w:t>
      </w:r>
      <w:r>
        <w:rPr>
          <w:rFonts w:hint="eastAsia" w:ascii="宋体" w:cs="宋体"/>
          <w:color w:val="000000"/>
          <w:szCs w:val="21"/>
          <w:lang w:eastAsia="zh-CN"/>
        </w:rPr>
        <w:t>数字证书（CA）</w:t>
      </w:r>
      <w:r>
        <w:rPr>
          <w:rFonts w:hint="eastAsia" w:ascii="宋体" w:cs="宋体"/>
          <w:color w:val="000000"/>
          <w:szCs w:val="21"/>
        </w:rPr>
        <w:t>按格式进行电子签章，联合体参加磋商的除格式要求外，可由联合体牵头单位签署。签章操作详见政采云官网。</w:t>
      </w:r>
    </w:p>
    <w:p w14:paraId="4CFA6C9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19.2响应文件应尽量避免涂改、行间插字或删除。如果出现上述情况，改动之处应加盖供应商的公章或供应商</w:t>
      </w:r>
      <w:r>
        <w:rPr>
          <w:rFonts w:hint="eastAsia" w:ascii="宋体" w:cs="宋体"/>
          <w:color w:val="000000"/>
          <w:szCs w:val="21"/>
          <w:lang w:eastAsia="zh-CN"/>
        </w:rPr>
        <w:t>法定代表人或委托代理人</w:t>
      </w:r>
      <w:r>
        <w:rPr>
          <w:rFonts w:hint="eastAsia" w:ascii="宋体" w:cs="宋体"/>
          <w:color w:val="000000"/>
          <w:szCs w:val="21"/>
        </w:rPr>
        <w:t>签字确认。</w:t>
      </w:r>
    </w:p>
    <w:p w14:paraId="2631A219">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19.3响应文件应由</w:t>
      </w:r>
      <w:r>
        <w:rPr>
          <w:rFonts w:hint="eastAsia" w:ascii="宋体" w:cs="宋体"/>
          <w:color w:val="000000"/>
          <w:szCs w:val="21"/>
          <w:lang w:eastAsia="zh-CN"/>
        </w:rPr>
        <w:t>法定代表人或委托代理人</w:t>
      </w:r>
      <w:r>
        <w:rPr>
          <w:rFonts w:hint="eastAsia" w:ascii="宋体" w:cs="宋体"/>
          <w:color w:val="000000"/>
          <w:szCs w:val="21"/>
        </w:rPr>
        <w:t>在竞争性磋商文件规定签字处逐一电子签名或</w:t>
      </w:r>
      <w:r>
        <w:rPr>
          <w:rFonts w:hint="eastAsia" w:ascii="宋体" w:cs="宋体"/>
          <w:szCs w:val="21"/>
        </w:rPr>
        <w:t>签章</w:t>
      </w:r>
      <w:r>
        <w:rPr>
          <w:rFonts w:hint="eastAsia" w:ascii="宋体" w:cs="宋体"/>
          <w:color w:val="000000"/>
          <w:szCs w:val="21"/>
        </w:rPr>
        <w:t>，要求盖章处应加盖供应商电子公章，若以“投标专用章”或“合同专用章”代替的，须出具供应商单位公章对“投标专用章”或“合同专用章”的授权函。</w:t>
      </w:r>
    </w:p>
    <w:p w14:paraId="7E2B24A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19.4响应文件和来往函件均应采用中文书写，计量单位使用中国或国际标准单位。</w:t>
      </w:r>
    </w:p>
    <w:p w14:paraId="0C7B626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19.5最后报价采用人民币进行报价，若中文文字形式表示的数值与数字形式表示的数值不一致，以中文文字形式表示的数值为准。</w:t>
      </w:r>
    </w:p>
    <w:p w14:paraId="5304452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19.6响应文件的组成应包括下列内容（但不限于）：详见第四章《响应文件格式》部分。</w:t>
      </w:r>
    </w:p>
    <w:p w14:paraId="7DD7558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19.7响应文件中提供的资料（包括复印件）、关键内容必须清晰可辨，若出现字迹潦草、表达不清、未按要求填写而导致非唯一理解，视为未实质性响应竞争性磋商文件，供应商响应文件将按无效响应处理。</w:t>
      </w:r>
      <w:bookmarkStart w:id="86" w:name="_Toc86124056"/>
      <w:bookmarkStart w:id="87" w:name="_Toc432106486"/>
      <w:bookmarkStart w:id="88" w:name="_Toc482343737"/>
      <w:bookmarkStart w:id="89" w:name="_Toc470507051"/>
      <w:bookmarkStart w:id="90" w:name="_Toc383175287"/>
      <w:bookmarkStart w:id="91" w:name="_Toc432194837"/>
      <w:bookmarkStart w:id="92" w:name="_Toc329810197"/>
      <w:bookmarkStart w:id="93" w:name="_Toc383175485"/>
      <w:bookmarkStart w:id="94" w:name="_Toc383175063"/>
    </w:p>
    <w:p w14:paraId="3C791F94">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rPr>
      </w:pPr>
      <w:r>
        <w:rPr>
          <w:rFonts w:hint="eastAsia" w:ascii="宋体" w:cs="宋体"/>
          <w:color w:val="000000"/>
          <w:szCs w:val="21"/>
        </w:rPr>
        <w:t>19.8 按“政采云”要求，上传电子响应文件壹份。供应商应安装“政采云”投标客户端，根据采购文件格式编制响应文件，生成加密标书后进行上传（详见</w:t>
      </w:r>
      <w:r>
        <w:rPr>
          <w:rFonts w:hint="eastAsia" w:ascii="宋体" w:cs="宋体"/>
          <w:szCs w:val="21"/>
        </w:rPr>
        <w:t>政采云官网</w:t>
      </w:r>
      <w:r>
        <w:rPr>
          <w:rFonts w:hint="eastAsia" w:ascii="宋体" w:cs="宋体"/>
          <w:color w:val="000000"/>
          <w:szCs w:val="21"/>
        </w:rPr>
        <w:t>供应商操作指南及申领</w:t>
      </w:r>
      <w:r>
        <w:rPr>
          <w:rFonts w:hint="eastAsia" w:ascii="宋体" w:cs="宋体"/>
          <w:color w:val="000000"/>
          <w:szCs w:val="21"/>
          <w:lang w:eastAsia="zh-CN"/>
        </w:rPr>
        <w:t>数字证书（CA）</w:t>
      </w:r>
      <w:r>
        <w:rPr>
          <w:rFonts w:hint="eastAsia" w:ascii="宋体" w:cs="宋体"/>
          <w:color w:val="000000"/>
          <w:szCs w:val="21"/>
        </w:rPr>
        <w:t>操作手册）。</w:t>
      </w:r>
    </w:p>
    <w:p w14:paraId="2A9AC074">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highlight w:val="none"/>
        </w:rPr>
      </w:pPr>
      <w:r>
        <w:rPr>
          <w:rFonts w:hint="eastAsia" w:ascii="宋体" w:cs="宋体"/>
          <w:b/>
          <w:bCs/>
          <w:sz w:val="24"/>
          <w:highlight w:val="none"/>
        </w:rPr>
        <w:t>20</w:t>
      </w:r>
      <w:r>
        <w:rPr>
          <w:rFonts w:hint="eastAsia" w:ascii="宋体" w:cs="宋体"/>
          <w:b/>
          <w:sz w:val="24"/>
          <w:highlight w:val="none"/>
        </w:rPr>
        <w:t>.</w:t>
      </w:r>
      <w:r>
        <w:rPr>
          <w:rFonts w:hint="eastAsia" w:ascii="宋体" w:cs="宋体"/>
          <w:b/>
          <w:bCs/>
          <w:sz w:val="24"/>
          <w:highlight w:val="none"/>
        </w:rPr>
        <w:t>报价</w:t>
      </w:r>
      <w:bookmarkEnd w:id="86"/>
      <w:r>
        <w:rPr>
          <w:rFonts w:hint="eastAsia" w:ascii="宋体" w:cs="宋体"/>
          <w:b/>
          <w:bCs/>
          <w:sz w:val="24"/>
          <w:highlight w:val="none"/>
        </w:rPr>
        <w:t>和报价货币</w:t>
      </w:r>
      <w:bookmarkEnd w:id="87"/>
      <w:bookmarkEnd w:id="88"/>
      <w:bookmarkEnd w:id="89"/>
      <w:bookmarkEnd w:id="90"/>
      <w:bookmarkEnd w:id="91"/>
      <w:bookmarkEnd w:id="92"/>
      <w:bookmarkEnd w:id="93"/>
      <w:bookmarkEnd w:id="94"/>
    </w:p>
    <w:p w14:paraId="6E38E8EE">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eastAsia="宋体" w:cs="宋体"/>
          <w:color w:val="000000"/>
          <w:szCs w:val="21"/>
          <w:highlight w:val="none"/>
        </w:rPr>
      </w:pPr>
      <w:r>
        <w:rPr>
          <w:rFonts w:hint="eastAsia" w:ascii="宋体" w:cs="宋体"/>
          <w:color w:val="000000"/>
          <w:szCs w:val="21"/>
          <w:highlight w:val="none"/>
        </w:rPr>
        <w:t>20.1磋商结束后，磋商小组将要求所有实质性响应的供应商在规定时间内提交最后报价，</w:t>
      </w:r>
      <w:r>
        <w:rPr>
          <w:rFonts w:hint="eastAsia" w:ascii="宋体" w:eastAsia="宋体" w:cs="宋体"/>
          <w:color w:val="000000"/>
          <w:szCs w:val="21"/>
          <w:highlight w:val="none"/>
        </w:rPr>
        <w:t>提交最后报价的供应商不得少于</w:t>
      </w:r>
      <w:r>
        <w:rPr>
          <w:rFonts w:hint="eastAsia" w:ascii="宋体" w:eastAsia="宋体" w:cs="宋体"/>
          <w:color w:val="000000"/>
          <w:szCs w:val="21"/>
          <w:highlight w:val="none"/>
          <w:lang w:val="en-US" w:eastAsia="zh-CN"/>
        </w:rPr>
        <w:t>2</w:t>
      </w:r>
      <w:r>
        <w:rPr>
          <w:rFonts w:hint="eastAsia" w:ascii="宋体" w:eastAsia="宋体" w:cs="宋体"/>
          <w:color w:val="000000"/>
          <w:szCs w:val="21"/>
          <w:highlight w:val="none"/>
        </w:rPr>
        <w:t>家。最后报价超过采购预算金额的供应商将被视为未实质性响应竞争性磋商文件要求，按无效响应处理。</w:t>
      </w:r>
    </w:p>
    <w:p w14:paraId="2C29DB86">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eastAsia="宋体" w:cs="宋体"/>
          <w:color w:val="000000"/>
          <w:szCs w:val="21"/>
          <w:highlight w:val="none"/>
        </w:rPr>
      </w:pPr>
      <w:r>
        <w:rPr>
          <w:rFonts w:hint="eastAsia" w:ascii="宋体" w:eastAsia="宋体" w:cs="宋体"/>
          <w:color w:val="000000"/>
          <w:szCs w:val="21"/>
          <w:highlight w:val="none"/>
        </w:rPr>
        <w:t>20.2供应商应依据磋商文件的要求及有关资料，执行国家或行业现行技术、经济标准、定额及规范，根据现行市场价格自行测算出满足采购要求的货物、工程或者服务费用及必要的保险费用、</w:t>
      </w:r>
      <w:r>
        <w:rPr>
          <w:rFonts w:hint="eastAsia" w:ascii="宋体" w:eastAsia="宋体" w:cs="宋体"/>
          <w:color w:val="000000"/>
          <w:szCs w:val="21"/>
          <w:highlight w:val="none"/>
          <w:lang w:val="en-US" w:eastAsia="zh-CN"/>
        </w:rPr>
        <w:t>验收所需费用、</w:t>
      </w:r>
      <w:r>
        <w:rPr>
          <w:rFonts w:hint="eastAsia" w:ascii="宋体" w:eastAsia="宋体" w:cs="宋体"/>
          <w:color w:val="000000"/>
          <w:szCs w:val="21"/>
          <w:highlight w:val="none"/>
        </w:rPr>
        <w:t>采购代理服务费和各项税金等所有费用的总和。合同一旦签订，此价格在合同实施期间将不因市场价格等的变化而调整。</w:t>
      </w:r>
    </w:p>
    <w:p w14:paraId="52C3A45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highlight w:val="none"/>
        </w:rPr>
      </w:pPr>
      <w:r>
        <w:rPr>
          <w:rFonts w:hint="eastAsia" w:ascii="宋体" w:eastAsia="宋体" w:cs="宋体"/>
          <w:color w:val="000000"/>
          <w:szCs w:val="21"/>
          <w:highlight w:val="none"/>
        </w:rPr>
        <w:t>20.3最后报价是供应商响应文件的有效</w:t>
      </w:r>
      <w:r>
        <w:rPr>
          <w:rFonts w:hint="eastAsia" w:ascii="宋体" w:cs="宋体"/>
          <w:color w:val="000000"/>
          <w:szCs w:val="21"/>
          <w:highlight w:val="none"/>
        </w:rPr>
        <w:t>组成部分，供应商必须对所参加项目内所有内容进行完整唯一报价，不得缺项、漏项，否则按无效响应处理。</w:t>
      </w:r>
    </w:p>
    <w:p w14:paraId="370D8168">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highlight w:val="none"/>
        </w:rPr>
      </w:pPr>
      <w:r>
        <w:rPr>
          <w:rFonts w:hint="eastAsia" w:ascii="宋体" w:cs="宋体"/>
          <w:color w:val="000000"/>
          <w:szCs w:val="21"/>
          <w:highlight w:val="none"/>
        </w:rPr>
        <w:t>20.4无论分项价格是否填报完全，供应商的最后报价将被视为已经包含了所有分项价格以及与项目相关的所有货物、工程或者服务费用。由于供应商分项报价填报不完整、不清楚或存在</w:t>
      </w:r>
      <w:r>
        <w:rPr>
          <w:rFonts w:hint="eastAsia" w:ascii="宋体" w:cs="宋体"/>
          <w:color w:val="000000"/>
          <w:szCs w:val="21"/>
          <w:highlight w:val="none"/>
          <w:lang w:eastAsia="zh-CN"/>
        </w:rPr>
        <w:t>其他</w:t>
      </w:r>
      <w:r>
        <w:rPr>
          <w:rFonts w:hint="eastAsia" w:ascii="宋体" w:cs="宋体"/>
          <w:color w:val="000000"/>
          <w:szCs w:val="21"/>
          <w:highlight w:val="none"/>
        </w:rPr>
        <w:t>任何失误所导致的任何不利后果均由供应商自行承担。</w:t>
      </w:r>
    </w:p>
    <w:p w14:paraId="613E147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highlight w:val="none"/>
        </w:rPr>
      </w:pPr>
      <w:r>
        <w:rPr>
          <w:rFonts w:hint="eastAsia" w:ascii="宋体" w:cs="宋体"/>
          <w:color w:val="000000"/>
          <w:szCs w:val="21"/>
          <w:highlight w:val="none"/>
        </w:rPr>
        <w:t>20.5提交响应文件的供应商，按照</w:t>
      </w:r>
      <w:r>
        <w:rPr>
          <w:rFonts w:hint="eastAsia" w:ascii="宋体" w:cs="宋体"/>
          <w:color w:val="000000"/>
          <w:szCs w:val="21"/>
          <w:highlight w:val="none"/>
          <w:lang w:eastAsia="zh-CN"/>
        </w:rPr>
        <w:t>云南省政府采购电子交易平台（政采云）</w:t>
      </w:r>
      <w:r>
        <w:rPr>
          <w:rFonts w:hint="eastAsia" w:ascii="宋体" w:cs="宋体"/>
          <w:color w:val="000000"/>
          <w:szCs w:val="21"/>
          <w:highlight w:val="none"/>
        </w:rPr>
        <w:t>的顺序进行磋商、承诺及最后报价，操作流程详见政采云</w:t>
      </w:r>
      <w:r>
        <w:rPr>
          <w:rFonts w:hint="eastAsia" w:ascii="宋体" w:cs="宋体"/>
          <w:szCs w:val="21"/>
          <w:highlight w:val="none"/>
        </w:rPr>
        <w:t>官网</w:t>
      </w:r>
      <w:r>
        <w:rPr>
          <w:rFonts w:hint="eastAsia" w:ascii="宋体" w:cs="宋体"/>
          <w:color w:val="000000"/>
          <w:szCs w:val="21"/>
          <w:highlight w:val="none"/>
        </w:rPr>
        <w:t>供应商操作指南。</w:t>
      </w:r>
    </w:p>
    <w:p w14:paraId="228B42E0">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rPr>
        <w:t>20.6评审过程中出现下列情形之一的，</w:t>
      </w:r>
      <w:r>
        <w:rPr>
          <w:rFonts w:hint="eastAsia" w:ascii="宋体" w:cs="宋体"/>
          <w:color w:val="000000"/>
          <w:szCs w:val="21"/>
          <w:highlight w:val="none"/>
          <w:lang w:val="en-US" w:eastAsia="zh-CN"/>
        </w:rPr>
        <w:t>磋商小组</w:t>
      </w:r>
      <w:r>
        <w:rPr>
          <w:rFonts w:hint="eastAsia" w:ascii="宋体" w:cs="宋体"/>
          <w:color w:val="000000"/>
          <w:szCs w:val="21"/>
          <w:highlight w:val="none"/>
        </w:rPr>
        <w:t>应当启动异常低价投标（响应）审查程序：</w:t>
      </w:r>
    </w:p>
    <w:p w14:paraId="41B2D778">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rPr>
        <w:t>（1）投标（响应）报价低于全部通过符合性审查供应商投标（响应）报价平均值50%的，即投标（响应）报价</w:t>
      </w:r>
      <w:r>
        <w:rPr>
          <w:rFonts w:hint="eastAsia" w:ascii="宋体" w:cs="宋体"/>
          <w:color w:val="000000"/>
          <w:szCs w:val="21"/>
          <w:highlight w:val="none"/>
          <w:lang w:val="en-US" w:eastAsia="zh-CN"/>
        </w:rPr>
        <w:t>＜</w:t>
      </w:r>
      <w:r>
        <w:rPr>
          <w:rFonts w:hint="eastAsia" w:ascii="宋体" w:cs="宋体"/>
          <w:color w:val="000000"/>
          <w:szCs w:val="21"/>
          <w:highlight w:val="none"/>
        </w:rPr>
        <w:t>全部通过符合性审查供应商投标（响应）报价平均值×50%；</w:t>
      </w:r>
    </w:p>
    <w:p w14:paraId="0EC132FB">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rPr>
        <w:t>（2）投标（响应）报价低于通过符合性审查的次低报价供应商投标（响应）报价50%的，即投标（响应）报价</w:t>
      </w:r>
      <w:r>
        <w:rPr>
          <w:rFonts w:hint="eastAsia" w:ascii="宋体" w:cs="宋体"/>
          <w:color w:val="000000"/>
          <w:szCs w:val="21"/>
          <w:highlight w:val="none"/>
          <w:lang w:val="en-US" w:eastAsia="zh-CN"/>
        </w:rPr>
        <w:t>＜</w:t>
      </w:r>
      <w:r>
        <w:rPr>
          <w:rFonts w:hint="eastAsia" w:ascii="宋体" w:cs="宋体"/>
          <w:color w:val="000000"/>
          <w:szCs w:val="21"/>
          <w:highlight w:val="none"/>
        </w:rPr>
        <w:t>通过符合性审查的次低报价供应商投标（响应）报价×50%；</w:t>
      </w:r>
    </w:p>
    <w:p w14:paraId="51159D8A">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rPr>
        <w:t>（3）投标（响应）报价低于采购项目最高限价45%的，即投标（响应）报价</w:t>
      </w:r>
      <w:r>
        <w:rPr>
          <w:rFonts w:hint="eastAsia" w:ascii="宋体" w:cs="宋体"/>
          <w:color w:val="000000"/>
          <w:szCs w:val="21"/>
          <w:highlight w:val="none"/>
          <w:lang w:val="en-US" w:eastAsia="zh-CN"/>
        </w:rPr>
        <w:t>＜</w:t>
      </w:r>
      <w:r>
        <w:rPr>
          <w:rFonts w:hint="eastAsia" w:ascii="宋体" w:cs="宋体"/>
          <w:color w:val="000000"/>
          <w:szCs w:val="21"/>
          <w:highlight w:val="none"/>
        </w:rPr>
        <w:t>采购项目最高限价×45%；</w:t>
      </w:r>
    </w:p>
    <w:p w14:paraId="0139B94D">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rPr>
        <w:t>（4）</w:t>
      </w:r>
      <w:r>
        <w:rPr>
          <w:rFonts w:hint="eastAsia" w:ascii="宋体" w:cs="宋体"/>
          <w:color w:val="000000"/>
          <w:szCs w:val="21"/>
          <w:highlight w:val="none"/>
          <w:lang w:eastAsia="zh-CN"/>
        </w:rPr>
        <w:t>磋商小组</w:t>
      </w:r>
      <w:r>
        <w:rPr>
          <w:rFonts w:hint="eastAsia" w:ascii="宋体" w:cs="宋体"/>
          <w:color w:val="000000"/>
          <w:szCs w:val="21"/>
          <w:highlight w:val="none"/>
        </w:rPr>
        <w:t>基于专业判断，认为供应商报价过低，有可能影响产品质量或者不能诚信履约的其他情形。</w:t>
      </w:r>
    </w:p>
    <w:p w14:paraId="2D0A6422">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rPr>
        <w:t>20.7</w:t>
      </w:r>
      <w:r>
        <w:rPr>
          <w:rFonts w:hint="eastAsia" w:ascii="宋体" w:cs="宋体"/>
          <w:color w:val="000000"/>
          <w:szCs w:val="21"/>
          <w:highlight w:val="none"/>
          <w:lang w:eastAsia="zh-CN"/>
        </w:rPr>
        <w:t>磋商小组</w:t>
      </w:r>
      <w:r>
        <w:rPr>
          <w:rFonts w:hint="eastAsia" w:ascii="宋体" w:cs="宋体"/>
          <w:color w:val="000000"/>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600E5E5">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lang w:eastAsia="zh-CN"/>
        </w:rPr>
        <w:t>磋商小组</w:t>
      </w:r>
      <w:r>
        <w:rPr>
          <w:rFonts w:hint="eastAsia" w:ascii="宋体" w:cs="宋体"/>
          <w:color w:val="000000"/>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cs="宋体"/>
          <w:color w:val="000000"/>
          <w:szCs w:val="21"/>
          <w:highlight w:val="none"/>
          <w:lang w:eastAsia="zh-CN"/>
        </w:rPr>
        <w:t>磋商小组</w:t>
      </w:r>
      <w:r>
        <w:rPr>
          <w:rFonts w:hint="eastAsia" w:ascii="宋体" w:cs="宋体"/>
          <w:color w:val="000000"/>
          <w:szCs w:val="21"/>
          <w:highlight w:val="none"/>
        </w:rPr>
        <w:t>应当将其作为无效投标处理。</w:t>
      </w:r>
    </w:p>
    <w:p w14:paraId="17CBB927">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rPr>
        <w:t>20.8采购人、采购代理机构应当为</w:t>
      </w:r>
      <w:r>
        <w:rPr>
          <w:rFonts w:hint="eastAsia" w:ascii="宋体" w:cs="宋体"/>
          <w:color w:val="000000"/>
          <w:szCs w:val="21"/>
          <w:highlight w:val="none"/>
          <w:lang w:eastAsia="zh-CN"/>
        </w:rPr>
        <w:t>磋商小组</w:t>
      </w:r>
      <w:r>
        <w:rPr>
          <w:rFonts w:hint="eastAsia" w:ascii="宋体" w:cs="宋体"/>
          <w:color w:val="000000"/>
          <w:szCs w:val="21"/>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cs="宋体"/>
          <w:color w:val="000000"/>
          <w:szCs w:val="21"/>
          <w:highlight w:val="none"/>
          <w:lang w:eastAsia="zh-CN"/>
        </w:rPr>
        <w:t>磋商小组</w:t>
      </w:r>
      <w:r>
        <w:rPr>
          <w:rFonts w:hint="eastAsia" w:ascii="宋体" w:cs="宋体"/>
          <w:color w:val="000000"/>
          <w:szCs w:val="21"/>
          <w:highlight w:val="none"/>
        </w:rPr>
        <w:t>借助互联网等渠道查询相关信息的，应当严格遵守评审工作纪律，不得实施影响评审公正的行为。</w:t>
      </w:r>
    </w:p>
    <w:p w14:paraId="3CE3026F">
      <w:pPr>
        <w:keepNext w:val="0"/>
        <w:keepLines w:val="0"/>
        <w:pageBreakBefore w:val="0"/>
        <w:widowControl w:val="0"/>
        <w:kinsoku/>
        <w:wordWrap/>
        <w:overflowPunct/>
        <w:topLinePunct w:val="0"/>
        <w:bidi w:val="0"/>
        <w:spacing w:line="420" w:lineRule="exact"/>
        <w:ind w:firstLine="420" w:firstLineChars="200"/>
        <w:jc w:val="left"/>
        <w:textAlignment w:val="auto"/>
        <w:rPr>
          <w:rFonts w:hint="eastAsia" w:ascii="宋体" w:cs="宋体"/>
          <w:color w:val="000000"/>
          <w:szCs w:val="21"/>
          <w:highlight w:val="none"/>
        </w:rPr>
      </w:pPr>
      <w:r>
        <w:rPr>
          <w:rFonts w:hint="eastAsia" w:ascii="宋体" w:cs="宋体"/>
          <w:color w:val="000000"/>
          <w:szCs w:val="21"/>
          <w:highlight w:val="none"/>
        </w:rPr>
        <w:t>异常低价投标（响应）审查的启动原因、审查意见和审查结果应当在评审报告中记录，并随供应商提供的相关书面说明及证明材料，以及</w:t>
      </w:r>
      <w:r>
        <w:rPr>
          <w:rFonts w:hint="eastAsia" w:ascii="宋体" w:cs="宋体"/>
          <w:color w:val="000000"/>
          <w:szCs w:val="21"/>
          <w:highlight w:val="none"/>
          <w:lang w:eastAsia="zh-CN"/>
        </w:rPr>
        <w:t>磋商小组</w:t>
      </w:r>
      <w:r>
        <w:rPr>
          <w:rFonts w:hint="eastAsia" w:ascii="宋体" w:cs="宋体"/>
          <w:color w:val="000000"/>
          <w:szCs w:val="21"/>
          <w:highlight w:val="none"/>
        </w:rPr>
        <w:t>有关互联网浏览、查询历史一并归档。</w:t>
      </w:r>
    </w:p>
    <w:p w14:paraId="018CF54D">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color w:val="000000"/>
          <w:szCs w:val="21"/>
          <w:highlight w:val="none"/>
        </w:rPr>
      </w:pPr>
      <w:r>
        <w:rPr>
          <w:rFonts w:hint="eastAsia" w:ascii="宋体" w:cs="宋体"/>
          <w:color w:val="000000"/>
          <w:szCs w:val="21"/>
          <w:highlight w:val="none"/>
        </w:rPr>
        <w:t>20.</w:t>
      </w:r>
      <w:r>
        <w:rPr>
          <w:rFonts w:hint="eastAsia" w:ascii="宋体" w:cs="宋体"/>
          <w:color w:val="000000"/>
          <w:szCs w:val="21"/>
          <w:highlight w:val="none"/>
          <w:lang w:val="en-US" w:eastAsia="zh-CN"/>
        </w:rPr>
        <w:t>9</w:t>
      </w:r>
      <w:r>
        <w:rPr>
          <w:rFonts w:hint="eastAsia" w:ascii="宋体" w:cs="宋体"/>
          <w:color w:val="000000"/>
          <w:szCs w:val="21"/>
          <w:highlight w:val="none"/>
        </w:rPr>
        <w:t>供应商应保证其提供的货物、工程或者服务在采购人使用期间不受第三方可能提出的侵犯其所有权、知识产权、商标权、专利权、著作权等相关权利的起诉。</w:t>
      </w:r>
    </w:p>
    <w:p w14:paraId="100CD38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highlight w:val="none"/>
        </w:rPr>
      </w:pPr>
      <w:r>
        <w:rPr>
          <w:rFonts w:hint="eastAsia" w:ascii="宋体" w:cs="宋体"/>
          <w:color w:val="000000"/>
          <w:szCs w:val="21"/>
          <w:highlight w:val="none"/>
        </w:rPr>
        <w:t>20.</w:t>
      </w:r>
      <w:r>
        <w:rPr>
          <w:rFonts w:hint="eastAsia" w:ascii="宋体" w:cs="宋体"/>
          <w:color w:val="000000"/>
          <w:szCs w:val="21"/>
          <w:highlight w:val="none"/>
          <w:lang w:val="en-US" w:eastAsia="zh-CN"/>
        </w:rPr>
        <w:t>10</w:t>
      </w:r>
      <w:r>
        <w:rPr>
          <w:rFonts w:hint="eastAsia" w:ascii="宋体" w:cs="宋体"/>
          <w:color w:val="000000"/>
          <w:szCs w:val="21"/>
          <w:highlight w:val="none"/>
        </w:rPr>
        <w:t>报价货币为人民</w:t>
      </w:r>
      <w:r>
        <w:rPr>
          <w:rFonts w:hint="eastAsia" w:ascii="宋体" w:cs="宋体"/>
          <w:szCs w:val="21"/>
          <w:highlight w:val="none"/>
        </w:rPr>
        <w:t>币。</w:t>
      </w:r>
    </w:p>
    <w:p w14:paraId="778A4DA3">
      <w:pPr>
        <w:keepNext w:val="0"/>
        <w:keepLines w:val="0"/>
        <w:pageBreakBefore w:val="0"/>
        <w:widowControl w:val="0"/>
        <w:tabs>
          <w:tab w:val="left" w:pos="3150"/>
          <w:tab w:val="center" w:pos="4734"/>
        </w:tabs>
        <w:kinsoku/>
        <w:wordWrap/>
        <w:overflowPunct/>
        <w:topLinePunct w:val="0"/>
        <w:bidi w:val="0"/>
        <w:spacing w:line="420" w:lineRule="exact"/>
        <w:ind w:firstLine="241" w:firstLineChars="100"/>
        <w:jc w:val="center"/>
        <w:textAlignment w:val="auto"/>
        <w:rPr>
          <w:rFonts w:ascii="宋体" w:cs="宋体"/>
          <w:b/>
          <w:sz w:val="24"/>
        </w:rPr>
      </w:pPr>
      <w:r>
        <w:rPr>
          <w:rFonts w:hint="eastAsia" w:ascii="宋体" w:cs="宋体"/>
          <w:b/>
          <w:sz w:val="24"/>
        </w:rPr>
        <w:t>四、提交响应文件</w:t>
      </w:r>
    </w:p>
    <w:p w14:paraId="234313A8">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21</w:t>
      </w:r>
      <w:r>
        <w:rPr>
          <w:rFonts w:hint="eastAsia" w:ascii="宋体" w:cs="宋体"/>
          <w:b/>
          <w:sz w:val="24"/>
        </w:rPr>
        <w:t>.</w:t>
      </w:r>
      <w:r>
        <w:rPr>
          <w:rFonts w:hint="eastAsia" w:ascii="宋体" w:cs="宋体"/>
          <w:b/>
          <w:bCs/>
          <w:sz w:val="24"/>
        </w:rPr>
        <w:t>响应文件的密封和标记</w:t>
      </w:r>
    </w:p>
    <w:p w14:paraId="03F02F98">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21.1按照</w:t>
      </w:r>
      <w:r>
        <w:rPr>
          <w:rFonts w:hint="eastAsia" w:ascii="宋体" w:cs="宋体"/>
          <w:szCs w:val="21"/>
          <w:lang w:eastAsia="zh-CN"/>
        </w:rPr>
        <w:t>云南省政府采购电子交易平台（政采云）</w:t>
      </w:r>
      <w:r>
        <w:rPr>
          <w:rFonts w:hint="eastAsia" w:ascii="宋体" w:cs="宋体"/>
          <w:szCs w:val="21"/>
        </w:rPr>
        <w:t>的要求编制、加密后在响应文件提交截止时间前上传至</w:t>
      </w:r>
      <w:r>
        <w:rPr>
          <w:rFonts w:hint="eastAsia" w:ascii="宋体" w:cs="宋体"/>
          <w:szCs w:val="21"/>
          <w:lang w:eastAsia="zh-CN"/>
        </w:rPr>
        <w:t>云南省政府采购电子交易平台（政采云）</w:t>
      </w:r>
      <w:r>
        <w:rPr>
          <w:rFonts w:hint="eastAsia" w:ascii="宋体" w:cs="宋体"/>
          <w:szCs w:val="21"/>
        </w:rPr>
        <w:t>，响应文件提交截止时间前未完成响应文件上传的，视为撤回响应文件。</w:t>
      </w:r>
    </w:p>
    <w:p w14:paraId="0619F641">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22</w:t>
      </w:r>
      <w:r>
        <w:rPr>
          <w:rFonts w:hint="eastAsia" w:ascii="宋体" w:cs="宋体"/>
          <w:b/>
          <w:sz w:val="24"/>
        </w:rPr>
        <w:t>.</w:t>
      </w:r>
      <w:r>
        <w:rPr>
          <w:rFonts w:hint="eastAsia" w:ascii="宋体" w:cs="宋体"/>
          <w:b/>
          <w:bCs/>
          <w:sz w:val="24"/>
        </w:rPr>
        <w:t>响应文件的提交</w:t>
      </w:r>
    </w:p>
    <w:p w14:paraId="5C0B390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bookmarkStart w:id="95" w:name="_Toc296602445"/>
      <w:r>
        <w:rPr>
          <w:rFonts w:hint="eastAsia" w:ascii="宋体" w:cs="宋体"/>
          <w:szCs w:val="21"/>
        </w:rPr>
        <w:t>22.1响应文件提</w:t>
      </w:r>
      <w:bookmarkEnd w:id="95"/>
      <w:r>
        <w:rPr>
          <w:rFonts w:hint="eastAsia" w:ascii="宋体" w:cs="宋体"/>
          <w:szCs w:val="21"/>
        </w:rPr>
        <w:t>交截止时间、提交响应文件的地点：详见《供应商须知前附表》。</w:t>
      </w:r>
    </w:p>
    <w:p w14:paraId="4593E140">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22.2除《供应商须知前附表》另有规定外，供应商所提交的响应文件不予退还。</w:t>
      </w:r>
    </w:p>
    <w:p w14:paraId="6190254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22.3供应商应按照本项目采购文件和</w:t>
      </w:r>
      <w:r>
        <w:rPr>
          <w:rFonts w:hint="eastAsia" w:ascii="宋体" w:cs="宋体"/>
          <w:szCs w:val="21"/>
          <w:lang w:eastAsia="zh-CN"/>
        </w:rPr>
        <w:t>云南省政府采购电子交易平台（政采云）</w:t>
      </w:r>
      <w:r>
        <w:rPr>
          <w:rFonts w:hint="eastAsia" w:ascii="宋体" w:cs="宋体"/>
          <w:szCs w:val="21"/>
        </w:rPr>
        <w:t>的要求编制、加密后在响应文件提交截止时间前上传至</w:t>
      </w:r>
      <w:r>
        <w:rPr>
          <w:rFonts w:hint="eastAsia" w:ascii="宋体" w:cs="宋体"/>
          <w:szCs w:val="21"/>
          <w:lang w:eastAsia="zh-CN"/>
        </w:rPr>
        <w:t>云南省政府采购电子交易平台（政采云）</w:t>
      </w:r>
      <w:r>
        <w:rPr>
          <w:rFonts w:hint="eastAsia" w:ascii="宋体" w:cs="宋体"/>
          <w:szCs w:val="21"/>
        </w:rPr>
        <w:t>，响应文件提交截止时间前未完成响应文件上传的，视为撤回响应文件。供应商在</w:t>
      </w:r>
      <w:r>
        <w:rPr>
          <w:rFonts w:hint="eastAsia" w:ascii="宋体" w:cs="宋体"/>
          <w:szCs w:val="21"/>
          <w:lang w:eastAsia="zh-CN"/>
        </w:rPr>
        <w:t>云南省政府采购电子交易平台（政采云）</w:t>
      </w:r>
      <w:r>
        <w:rPr>
          <w:rFonts w:hint="eastAsia" w:ascii="宋体" w:cs="宋体"/>
          <w:szCs w:val="21"/>
        </w:rPr>
        <w:t>提交电子版响应文件时，请填写参加远程采购活动经办人联系方式。</w:t>
      </w:r>
    </w:p>
    <w:p w14:paraId="285581BC">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bCs/>
          <w:sz w:val="24"/>
        </w:rPr>
      </w:pPr>
      <w:r>
        <w:rPr>
          <w:rFonts w:hint="eastAsia" w:ascii="宋体" w:cs="宋体"/>
          <w:b/>
          <w:bCs/>
          <w:sz w:val="24"/>
        </w:rPr>
        <w:t>23</w:t>
      </w:r>
      <w:r>
        <w:rPr>
          <w:rFonts w:hint="eastAsia" w:ascii="宋体" w:cs="宋体"/>
          <w:b/>
          <w:sz w:val="24"/>
        </w:rPr>
        <w:t>.</w:t>
      </w:r>
      <w:r>
        <w:rPr>
          <w:rFonts w:hint="eastAsia" w:ascii="宋体" w:cs="宋体"/>
          <w:b/>
          <w:bCs/>
          <w:sz w:val="24"/>
        </w:rPr>
        <w:t>响应文件的补充、修改或者撤回</w:t>
      </w:r>
    </w:p>
    <w:p w14:paraId="5D36D5E4">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23.1供应商在提交响应文件截止时间前，可以对所提交的响应文件进行补充、修改或者撤回。补充、修改的内容作为响应文件的组成部分。补充、修改的内容与响应文件不一致的，以补充、修改的内容为准。</w:t>
      </w:r>
    </w:p>
    <w:p w14:paraId="49DF79A5">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23.2 供应商递交修改或撤回的文件，应按照本项目采购文件和</w:t>
      </w:r>
      <w:r>
        <w:rPr>
          <w:rFonts w:hint="eastAsia" w:ascii="宋体" w:cs="宋体"/>
          <w:szCs w:val="21"/>
          <w:lang w:eastAsia="zh-CN"/>
        </w:rPr>
        <w:t>云南省政府采购电子交易平台（政采云）</w:t>
      </w:r>
      <w:r>
        <w:rPr>
          <w:rFonts w:hint="eastAsia" w:ascii="宋体" w:cs="宋体"/>
          <w:szCs w:val="21"/>
        </w:rPr>
        <w:t>的要求编制、加密后在响应文件提交截止时间前重新上传至</w:t>
      </w:r>
      <w:r>
        <w:rPr>
          <w:rFonts w:hint="eastAsia" w:ascii="宋体" w:cs="宋体"/>
          <w:szCs w:val="21"/>
          <w:lang w:eastAsia="zh-CN"/>
        </w:rPr>
        <w:t>云南省政府采购电子交易平台（政采云）</w:t>
      </w:r>
      <w:r>
        <w:rPr>
          <w:rFonts w:hint="eastAsia" w:ascii="宋体" w:cs="宋体"/>
          <w:szCs w:val="21"/>
        </w:rPr>
        <w:t>，响应文件提交截止时间前 未完成响应文件上传的，视为撤回响应文件。</w:t>
      </w:r>
    </w:p>
    <w:p w14:paraId="6F9E49D7">
      <w:pPr>
        <w:keepNext w:val="0"/>
        <w:keepLines w:val="0"/>
        <w:pageBreakBefore w:val="0"/>
        <w:widowControl w:val="0"/>
        <w:tabs>
          <w:tab w:val="left" w:pos="3150"/>
          <w:tab w:val="center" w:pos="4734"/>
        </w:tabs>
        <w:kinsoku/>
        <w:wordWrap/>
        <w:overflowPunct/>
        <w:topLinePunct w:val="0"/>
        <w:bidi w:val="0"/>
        <w:spacing w:line="420" w:lineRule="exact"/>
        <w:ind w:firstLine="241" w:firstLineChars="100"/>
        <w:jc w:val="center"/>
        <w:textAlignment w:val="auto"/>
        <w:rPr>
          <w:rFonts w:ascii="宋体" w:cs="宋体"/>
          <w:b/>
          <w:sz w:val="24"/>
        </w:rPr>
      </w:pPr>
      <w:r>
        <w:rPr>
          <w:rFonts w:hint="eastAsia" w:ascii="宋体" w:cs="宋体"/>
          <w:b/>
          <w:sz w:val="24"/>
        </w:rPr>
        <w:t>五、磋商</w:t>
      </w:r>
    </w:p>
    <w:p w14:paraId="42B91DF8">
      <w:pPr>
        <w:keepNext w:val="0"/>
        <w:keepLines w:val="0"/>
        <w:pageBreakBefore w:val="0"/>
        <w:widowControl w:val="0"/>
        <w:kinsoku/>
        <w:wordWrap/>
        <w:overflowPunct/>
        <w:topLinePunct w:val="0"/>
        <w:autoSpaceDE w:val="0"/>
        <w:autoSpaceDN w:val="0"/>
        <w:bidi w:val="0"/>
        <w:adjustRightInd w:val="0"/>
        <w:spacing w:line="420" w:lineRule="exact"/>
        <w:textAlignment w:val="auto"/>
        <w:rPr>
          <w:rFonts w:ascii="宋体" w:cs="宋体"/>
          <w:b/>
          <w:sz w:val="24"/>
        </w:rPr>
      </w:pPr>
      <w:r>
        <w:rPr>
          <w:rFonts w:hint="eastAsia" w:ascii="宋体" w:cs="宋体"/>
          <w:b/>
          <w:bCs/>
          <w:sz w:val="24"/>
        </w:rPr>
        <w:t>24</w:t>
      </w:r>
      <w:r>
        <w:rPr>
          <w:rFonts w:hint="eastAsia" w:ascii="宋体" w:cs="宋体"/>
          <w:b/>
          <w:sz w:val="24"/>
        </w:rPr>
        <w:t>.磋商小组</w:t>
      </w:r>
    </w:p>
    <w:p w14:paraId="33C1743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24.1磋商小组将在规定的时间和地点进行磋商。</w:t>
      </w:r>
    </w:p>
    <w:p w14:paraId="0053105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24.2磋商小组由采购人依法组建，磋商由磋商小组负责。磋商小组由采购人代表和评审专家共3人以上单数组成，其中评审专家人数不得少于磋商小组成员总数的2/3。磋商小组应当推选组长，但采购人代表不得担任组长。</w:t>
      </w:r>
    </w:p>
    <w:p w14:paraId="04D3DC7C">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24.3磋商小组成员人数及名单在磋商结束之前保密。</w:t>
      </w:r>
    </w:p>
    <w:p w14:paraId="5703C93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24.4采购人委派代表参加磋商会议的，要向采购代理机构出具授权函。除授权代表外，采购人可以委派纪检监察等相关人员进入磋商现场，对磋商工作实施监督，但不得超过2人。</w:t>
      </w:r>
    </w:p>
    <w:p w14:paraId="2DEF1D6A">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24.5评审方法：综合评分法，是指响应文件满足磋商文件全部实质性要求且按评审因素的量化指标评审得分最高的供应商为成交候选供应商的评审方法。</w:t>
      </w:r>
    </w:p>
    <w:p w14:paraId="1721A6A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6C7CD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24.7供应商的澄清、说明或者更正应当由法定代表人或其授权代表签字或者加盖供应商电子公章。由授权代表签字的，应当附法定代表人授权书。供应商为自然人的，应当由本人签字并附身份证明。</w:t>
      </w:r>
    </w:p>
    <w:p w14:paraId="6F8B5AA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24.8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14:paraId="74D4C5F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24.9从响应文件提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14:paraId="2C45D66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24.10磋商小组根据竞争性磋商文件规定的磋商程序和方法对各供应商的响应文件进行综合评分，按照评审得分由高到低顺序推荐</w:t>
      </w:r>
      <w:r>
        <w:rPr>
          <w:rFonts w:hint="eastAsia" w:ascii="宋体" w:cs="宋体"/>
          <w:szCs w:val="21"/>
          <w:lang w:val="en-US" w:eastAsia="zh-CN"/>
        </w:rPr>
        <w:t>2</w:t>
      </w:r>
      <w:r>
        <w:rPr>
          <w:rFonts w:hint="eastAsia" w:ascii="宋体" w:cs="宋体"/>
          <w:szCs w:val="21"/>
        </w:rPr>
        <w:t>名以上成交候选供应商，评审得分相同的，按照最后报价由低到高的顺序推荐。评审得分且最后报价相同的，按照技术指标优劣顺序推荐。</w:t>
      </w:r>
    </w:p>
    <w:p w14:paraId="439F5D88">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w:t>
      </w:r>
      <w:bookmarkStart w:id="96" w:name="_Toc378499713"/>
      <w:bookmarkStart w:id="97" w:name="_Toc383175297"/>
      <w:bookmarkStart w:id="98" w:name="_Toc432194847"/>
      <w:bookmarkStart w:id="99" w:name="_Toc482343747"/>
      <w:bookmarkStart w:id="100" w:name="_Toc383175073"/>
      <w:bookmarkStart w:id="101" w:name="_Toc432106496"/>
      <w:bookmarkStart w:id="102" w:name="_Toc383175495"/>
      <w:bookmarkStart w:id="103" w:name="_Toc86124068"/>
      <w:bookmarkStart w:id="104" w:name="_Toc470507061"/>
      <w:bookmarkStart w:id="105" w:name="_Toc329810208"/>
      <w:r>
        <w:rPr>
          <w:rFonts w:hint="eastAsia" w:ascii="宋体" w:cs="宋体"/>
          <w:szCs w:val="21"/>
        </w:rPr>
        <w:t>11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bookmarkEnd w:id="96"/>
      <w:bookmarkEnd w:id="97"/>
      <w:bookmarkEnd w:id="98"/>
      <w:bookmarkEnd w:id="99"/>
      <w:bookmarkEnd w:id="100"/>
      <w:bookmarkEnd w:id="101"/>
      <w:bookmarkEnd w:id="102"/>
      <w:bookmarkEnd w:id="103"/>
      <w:bookmarkEnd w:id="104"/>
      <w:bookmarkEnd w:id="105"/>
    </w:p>
    <w:p w14:paraId="3D6D79D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24.12出现下列情形之一的，将终止竞争性磋商采购活动，并发布项目终止公告并说明原因，重新开展采购活动：</w:t>
      </w:r>
    </w:p>
    <w:p w14:paraId="1A27CDF0">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（1）因情况变化，不再符合规定的竞争性磋商采购方式适用情形的；</w:t>
      </w:r>
    </w:p>
    <w:p w14:paraId="724094F1">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（2）出现影响采购公正的违法、违规行为的；</w:t>
      </w:r>
    </w:p>
    <w:p w14:paraId="2E04FD92">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（3）</w:t>
      </w:r>
      <w:r>
        <w:rPr>
          <w:rFonts w:hint="eastAsia" w:ascii="宋体" w:hAnsi="宋体" w:cs="宋体"/>
          <w:szCs w:val="21"/>
        </w:rPr>
        <w:t>根据《财政部关于政府采购竞争性磋商采购方式管理暂行办法有关问题的补充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B4D1629">
      <w:pPr>
        <w:keepNext w:val="0"/>
        <w:keepLines w:val="0"/>
        <w:pageBreakBefore w:val="0"/>
        <w:widowControl w:val="0"/>
        <w:tabs>
          <w:tab w:val="left" w:pos="3150"/>
          <w:tab w:val="center" w:pos="4734"/>
        </w:tabs>
        <w:kinsoku/>
        <w:wordWrap/>
        <w:overflowPunct/>
        <w:topLinePunct w:val="0"/>
        <w:bidi w:val="0"/>
        <w:spacing w:line="420" w:lineRule="exact"/>
        <w:ind w:firstLine="241" w:firstLineChars="100"/>
        <w:jc w:val="center"/>
        <w:textAlignment w:val="auto"/>
        <w:rPr>
          <w:rFonts w:ascii="宋体" w:cs="宋体"/>
          <w:b/>
          <w:sz w:val="24"/>
        </w:rPr>
      </w:pPr>
      <w:r>
        <w:rPr>
          <w:rFonts w:hint="eastAsia" w:ascii="宋体" w:cs="宋体"/>
          <w:b/>
          <w:sz w:val="24"/>
        </w:rPr>
        <w:t>六、成交结果</w:t>
      </w:r>
    </w:p>
    <w:p w14:paraId="74DF55BC">
      <w:pPr>
        <w:keepNext w:val="0"/>
        <w:keepLines w:val="0"/>
        <w:pageBreakBefore w:val="0"/>
        <w:widowControl w:val="0"/>
        <w:kinsoku/>
        <w:wordWrap/>
        <w:overflowPunct/>
        <w:topLinePunct w:val="0"/>
        <w:bidi w:val="0"/>
        <w:snapToGrid w:val="0"/>
        <w:spacing w:line="420" w:lineRule="exact"/>
        <w:textAlignment w:val="auto"/>
        <w:rPr>
          <w:rFonts w:ascii="宋体" w:cs="宋体"/>
          <w:b/>
          <w:sz w:val="24"/>
        </w:rPr>
      </w:pPr>
      <w:r>
        <w:rPr>
          <w:rFonts w:hint="eastAsia" w:ascii="宋体" w:cs="宋体"/>
          <w:b/>
          <w:sz w:val="24"/>
        </w:rPr>
        <w:t>25.成交供应商的确定</w:t>
      </w:r>
    </w:p>
    <w:p w14:paraId="27B14928">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25.1采购代理机构在评审结束后2个工作日内将评审报告送采购人确认。</w:t>
      </w:r>
    </w:p>
    <w:p w14:paraId="08B6706E">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25.2采购人应当在收到评审报告后5个工作日内，从评审报告提出的成交候选供应商中，按照排序由高到低的原则确定成交供应商。本次竞争性磋商不保证合同授予最低报价的供应商。</w:t>
      </w:r>
    </w:p>
    <w:p w14:paraId="6395A35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25.3采购代理机构无义务向未成交供应商解释未成交原因和退回响应文件。</w:t>
      </w:r>
    </w:p>
    <w:p w14:paraId="6D704E37">
      <w:pPr>
        <w:keepNext w:val="0"/>
        <w:keepLines w:val="0"/>
        <w:pageBreakBefore w:val="0"/>
        <w:widowControl w:val="0"/>
        <w:kinsoku/>
        <w:wordWrap/>
        <w:overflowPunct/>
        <w:topLinePunct w:val="0"/>
        <w:bidi w:val="0"/>
        <w:snapToGrid w:val="0"/>
        <w:spacing w:line="420" w:lineRule="exact"/>
        <w:textAlignment w:val="auto"/>
        <w:rPr>
          <w:rFonts w:ascii="宋体" w:cs="宋体"/>
          <w:b/>
          <w:sz w:val="24"/>
        </w:rPr>
      </w:pPr>
      <w:bookmarkStart w:id="106" w:name="_Toc320890573"/>
      <w:bookmarkStart w:id="107" w:name="_Toc112595555"/>
      <w:bookmarkStart w:id="108" w:name="_Toc497127308"/>
      <w:r>
        <w:rPr>
          <w:rFonts w:hint="eastAsia" w:ascii="宋体" w:cs="宋体"/>
          <w:b/>
          <w:sz w:val="24"/>
        </w:rPr>
        <w:t>26</w:t>
      </w:r>
      <w:bookmarkEnd w:id="106"/>
      <w:bookmarkEnd w:id="107"/>
      <w:bookmarkEnd w:id="108"/>
      <w:r>
        <w:rPr>
          <w:rFonts w:hint="eastAsia" w:ascii="宋体" w:cs="宋体"/>
          <w:b/>
          <w:sz w:val="24"/>
        </w:rPr>
        <w:t>.成交通知书</w:t>
      </w:r>
    </w:p>
    <w:p w14:paraId="2AE9EEE7">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26.1成交供应商确定之日起2个工作日内，采购代理机构向成交供应商发出成交通知书，并在财政部门指定的政府采购信息发布媒体上公告成交结果。成交公告期限为1个工作日。</w:t>
      </w:r>
    </w:p>
    <w:p w14:paraId="60AE5834">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26.2成交通知书是合同的一个组成部分。</w:t>
      </w:r>
    </w:p>
    <w:p w14:paraId="25B16D39">
      <w:pPr>
        <w:keepNext w:val="0"/>
        <w:keepLines w:val="0"/>
        <w:pageBreakBefore w:val="0"/>
        <w:widowControl w:val="0"/>
        <w:kinsoku/>
        <w:wordWrap/>
        <w:overflowPunct/>
        <w:topLinePunct w:val="0"/>
        <w:bidi w:val="0"/>
        <w:snapToGrid w:val="0"/>
        <w:spacing w:line="420" w:lineRule="exact"/>
        <w:textAlignment w:val="auto"/>
        <w:rPr>
          <w:rFonts w:ascii="宋体" w:cs="宋体"/>
          <w:b/>
          <w:sz w:val="24"/>
        </w:rPr>
      </w:pPr>
      <w:r>
        <w:rPr>
          <w:rFonts w:hint="eastAsia" w:ascii="宋体" w:cs="宋体"/>
          <w:b/>
          <w:sz w:val="24"/>
        </w:rPr>
        <w:t>27.签订合同</w:t>
      </w:r>
    </w:p>
    <w:p w14:paraId="5559D676">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27.1采购人与成交供应商应当在成交通知书发出之日起30日内，按照竞争性磋商文件确定的合同文本以及采购标的、规格型号、采购金额、采购数量、技术和服务要求等事项签订政府采购合同。</w:t>
      </w:r>
    </w:p>
    <w:p w14:paraId="41EEF4A3">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27.2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22B1EB6B">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27.3除采购人与成交供应商在合同中另行商定将中标项目的非主体、非关键性工作分包的，成交供应商在中标后将中标项目分包的，采购人取消其中标资格，其磋商保证金不予退还；给采购人造成的损失超过磋商保证金数额的，成交供应商还应当对超过部分予以赔偿。</w:t>
      </w:r>
    </w:p>
    <w:p w14:paraId="3A10A9C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27.4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0BB8F2F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rPr>
      </w:pPr>
      <w:r>
        <w:rPr>
          <w:rFonts w:hint="eastAsia" w:ascii="宋体" w:cs="宋体"/>
          <w:szCs w:val="21"/>
        </w:rPr>
        <w:t>27.5除不可抗力等因素外，成交通知书发出后，采购人改变成交结果，或者成交供应商拒绝签订政府采购合同的，应当承担相应的法律责任。</w:t>
      </w:r>
    </w:p>
    <w:p w14:paraId="22F7933F">
      <w:pPr>
        <w:keepNext w:val="0"/>
        <w:keepLines w:val="0"/>
        <w:pageBreakBefore w:val="0"/>
        <w:widowControl w:val="0"/>
        <w:kinsoku/>
        <w:wordWrap/>
        <w:overflowPunct/>
        <w:topLinePunct w:val="0"/>
        <w:bidi w:val="0"/>
        <w:spacing w:line="420" w:lineRule="exact"/>
        <w:ind w:firstLine="420" w:firstLineChars="200"/>
        <w:jc w:val="left"/>
        <w:textAlignment w:val="auto"/>
        <w:rPr>
          <w:rFonts w:ascii="宋体" w:cs="宋体"/>
          <w:szCs w:val="21"/>
          <w:highlight w:val="none"/>
        </w:rPr>
      </w:pPr>
      <w:r>
        <w:rPr>
          <w:rFonts w:hint="eastAsia" w:ascii="宋体" w:cs="宋体"/>
          <w:szCs w:val="21"/>
        </w:rPr>
        <w:t>27.6成交供应商拒绝签订政府采购合同的，采购人可以按照《政府采购竞争性磋商采购方式管理暂行办法》规定的原则确定其他供应商作为成交供应商并签订政府采购合同，也可以重</w:t>
      </w:r>
      <w:r>
        <w:rPr>
          <w:rFonts w:hint="eastAsia" w:ascii="宋体" w:cs="宋体"/>
          <w:szCs w:val="21"/>
          <w:highlight w:val="none"/>
        </w:rPr>
        <w:t>新开展采购活动。拒绝签订政府采购合同的成交供应商不得参加对该项目重新开展的采购活动。</w:t>
      </w:r>
    </w:p>
    <w:p w14:paraId="7C570E38">
      <w:pPr>
        <w:keepNext w:val="0"/>
        <w:keepLines w:val="0"/>
        <w:pageBreakBefore w:val="0"/>
        <w:widowControl w:val="0"/>
        <w:kinsoku/>
        <w:wordWrap/>
        <w:overflowPunct/>
        <w:topLinePunct w:val="0"/>
        <w:bidi w:val="0"/>
        <w:snapToGrid w:val="0"/>
        <w:spacing w:line="420" w:lineRule="exact"/>
        <w:textAlignment w:val="auto"/>
        <w:rPr>
          <w:rFonts w:hint="default" w:ascii="宋体" w:eastAsia="宋体" w:cs="宋体"/>
          <w:b/>
          <w:sz w:val="24"/>
          <w:highlight w:val="none"/>
          <w:lang w:val="en-US" w:eastAsia="zh-CN"/>
        </w:rPr>
      </w:pPr>
      <w:bookmarkStart w:id="109" w:name="_Toc246996213"/>
      <w:bookmarkStart w:id="110" w:name="_Toc152042345"/>
      <w:bookmarkStart w:id="111" w:name="_Toc488184244"/>
      <w:bookmarkStart w:id="112" w:name="_Toc461115644"/>
      <w:bookmarkStart w:id="113" w:name="_Toc144974537"/>
      <w:bookmarkStart w:id="114" w:name="_Toc296602459"/>
      <w:bookmarkStart w:id="115" w:name="_Toc246996956"/>
      <w:bookmarkStart w:id="116" w:name="_Toc247085727"/>
      <w:bookmarkStart w:id="117" w:name="_Toc152045569"/>
      <w:bookmarkStart w:id="118" w:name="_Toc179632587"/>
      <w:r>
        <w:rPr>
          <w:rFonts w:hint="eastAsia" w:ascii="宋体" w:cs="宋体"/>
          <w:b/>
          <w:sz w:val="24"/>
          <w:highlight w:val="none"/>
        </w:rPr>
        <w:t>28</w:t>
      </w:r>
      <w:bookmarkEnd w:id="109"/>
      <w:bookmarkEnd w:id="110"/>
      <w:bookmarkEnd w:id="111"/>
      <w:bookmarkEnd w:id="112"/>
      <w:bookmarkEnd w:id="113"/>
      <w:bookmarkEnd w:id="114"/>
      <w:bookmarkEnd w:id="115"/>
      <w:bookmarkEnd w:id="116"/>
      <w:bookmarkEnd w:id="117"/>
      <w:bookmarkEnd w:id="118"/>
      <w:bookmarkStart w:id="119" w:name="_Toc482343752"/>
      <w:r>
        <w:rPr>
          <w:rFonts w:hint="eastAsia" w:ascii="宋体" w:cs="宋体"/>
          <w:b/>
          <w:sz w:val="24"/>
          <w:highlight w:val="none"/>
        </w:rPr>
        <w:t>.履约保证金</w:t>
      </w:r>
      <w:bookmarkEnd w:id="119"/>
    </w:p>
    <w:p w14:paraId="46518E85">
      <w:pPr>
        <w:spacing w:line="360" w:lineRule="auto"/>
        <w:ind w:firstLine="420" w:firstLineChars="200"/>
        <w:jc w:val="left"/>
        <w:rPr>
          <w:rFonts w:ascii="宋体" w:hAnsi="宋体" w:cs="宋体"/>
          <w:szCs w:val="21"/>
        </w:rPr>
      </w:pPr>
      <w:r>
        <w:rPr>
          <w:rFonts w:hint="eastAsia" w:ascii="宋体" w:hAnsi="宋体" w:cs="宋体"/>
          <w:szCs w:val="21"/>
        </w:rPr>
        <w:t>28.1成交供应商应向采购人提交履约保证金，履约保证金递交的金额及形式详见《供应商须知前附表》。</w:t>
      </w:r>
    </w:p>
    <w:p w14:paraId="2183481F">
      <w:pPr>
        <w:spacing w:line="360" w:lineRule="auto"/>
        <w:ind w:firstLine="420" w:firstLineChars="200"/>
        <w:jc w:val="left"/>
        <w:rPr>
          <w:rFonts w:ascii="宋体" w:hAnsi="宋体" w:cs="宋体"/>
          <w:szCs w:val="21"/>
        </w:rPr>
      </w:pPr>
      <w:r>
        <w:rPr>
          <w:rFonts w:hint="eastAsia" w:ascii="宋体" w:hAnsi="宋体" w:cs="宋体"/>
          <w:szCs w:val="21"/>
        </w:rPr>
        <w:t>28.2签订合同后，除因不可抗力或竞争性磋商文件认可的情形以外，成交供应商不与采购人签订合同的，视为自动放弃，采购人将没收其全部履约保证金，履约保证金不足以赔偿损失的，按实际损失赔偿。</w:t>
      </w:r>
    </w:p>
    <w:p w14:paraId="579DBCE6">
      <w:pPr>
        <w:keepNext w:val="0"/>
        <w:keepLines w:val="0"/>
        <w:pageBreakBefore w:val="0"/>
        <w:widowControl w:val="0"/>
        <w:kinsoku/>
        <w:wordWrap/>
        <w:overflowPunct/>
        <w:topLinePunct w:val="0"/>
        <w:bidi w:val="0"/>
        <w:snapToGrid w:val="0"/>
        <w:spacing w:line="420" w:lineRule="exact"/>
        <w:textAlignment w:val="auto"/>
        <w:rPr>
          <w:rFonts w:ascii="宋体" w:cs="宋体"/>
          <w:b/>
          <w:sz w:val="24"/>
          <w:highlight w:val="none"/>
        </w:rPr>
      </w:pPr>
      <w:r>
        <w:rPr>
          <w:rFonts w:hint="eastAsia" w:ascii="宋体" w:cs="宋体"/>
          <w:b/>
          <w:sz w:val="24"/>
          <w:highlight w:val="none"/>
        </w:rPr>
        <w:t>29.采购代理服务费</w:t>
      </w:r>
    </w:p>
    <w:p w14:paraId="2131AD3B">
      <w:pPr>
        <w:tabs>
          <w:tab w:val="left" w:pos="105"/>
          <w:tab w:val="left" w:pos="945"/>
          <w:tab w:val="left" w:pos="3360"/>
        </w:tabs>
        <w:adjustRightInd w:val="0"/>
        <w:snapToGrid w:val="0"/>
        <w:spacing w:line="480" w:lineRule="exact"/>
        <w:ind w:firstLine="420"/>
        <w:rPr>
          <w:rFonts w:hint="eastAsia" w:ascii="宋体" w:hAnsi="宋体" w:cs="宋体"/>
          <w:szCs w:val="21"/>
        </w:rPr>
      </w:pPr>
      <w:r>
        <w:rPr>
          <w:rFonts w:hint="eastAsia" w:ascii="宋体" w:hAnsi="宋体" w:eastAsia="宋体" w:cs="宋体"/>
          <w:sz w:val="21"/>
          <w:szCs w:val="21"/>
          <w:highlight w:val="none"/>
          <w:lang w:val="en-US" w:eastAsia="zh-CN"/>
        </w:rPr>
        <w:t>29.1</w:t>
      </w:r>
      <w:r>
        <w:rPr>
          <w:rFonts w:hint="eastAsia" w:ascii="宋体" w:hAnsi="宋体" w:eastAsia="宋体" w:cs="宋体"/>
          <w:sz w:val="21"/>
          <w:szCs w:val="21"/>
          <w:highlight w:val="none"/>
          <w:lang w:eastAsia="zh-CN"/>
        </w:rPr>
        <w:t>采购代理服务</w:t>
      </w:r>
      <w:r>
        <w:rPr>
          <w:rFonts w:hint="eastAsia" w:ascii="宋体" w:hAnsi="宋体" w:eastAsia="宋体" w:cs="宋体"/>
          <w:sz w:val="21"/>
          <w:szCs w:val="21"/>
          <w:lang w:eastAsia="zh-CN"/>
        </w:rPr>
        <w:t>费参照国家计委[2002]1980号文件规定的服务类项目</w:t>
      </w:r>
      <w:r>
        <w:rPr>
          <w:rFonts w:hint="eastAsia" w:ascii="宋体" w:hAnsi="宋体" w:cs="宋体"/>
          <w:sz w:val="21"/>
          <w:szCs w:val="21"/>
          <w:lang w:eastAsia="zh-CN"/>
        </w:rPr>
        <w:t>收费标准</w:t>
      </w:r>
      <w:r>
        <w:rPr>
          <w:rFonts w:hint="eastAsia" w:ascii="宋体" w:hAnsi="宋体" w:eastAsia="宋体" w:cs="宋体"/>
          <w:sz w:val="21"/>
          <w:szCs w:val="21"/>
          <w:lang w:eastAsia="zh-CN"/>
        </w:rPr>
        <w:t>向</w:t>
      </w:r>
      <w:r>
        <w:rPr>
          <w:rFonts w:hint="eastAsia" w:ascii="宋体" w:hAnsi="宋体" w:eastAsia="宋体" w:cs="宋体"/>
          <w:sz w:val="21"/>
          <w:szCs w:val="21"/>
          <w:lang w:val="en-US" w:eastAsia="zh-CN"/>
        </w:rPr>
        <w:t>成交供应商</w:t>
      </w:r>
      <w:r>
        <w:rPr>
          <w:rFonts w:hint="eastAsia" w:ascii="宋体" w:hAnsi="宋体" w:eastAsia="宋体" w:cs="宋体"/>
          <w:sz w:val="21"/>
          <w:szCs w:val="21"/>
          <w:lang w:eastAsia="zh-CN"/>
        </w:rPr>
        <w:t>收取（计算基准价为</w:t>
      </w:r>
      <w:r>
        <w:rPr>
          <w:rFonts w:hint="eastAsia" w:ascii="宋体" w:hAnsi="宋体" w:eastAsia="宋体" w:cs="宋体"/>
          <w:sz w:val="21"/>
          <w:szCs w:val="21"/>
          <w:lang w:val="en-US" w:eastAsia="zh-CN"/>
        </w:rPr>
        <w:t>成交</w:t>
      </w:r>
      <w:r>
        <w:rPr>
          <w:rFonts w:hint="eastAsia" w:ascii="宋体" w:hAnsi="宋体" w:eastAsia="宋体" w:cs="宋体"/>
          <w:sz w:val="21"/>
          <w:szCs w:val="21"/>
          <w:lang w:eastAsia="zh-CN"/>
        </w:rPr>
        <w:t>金额）</w:t>
      </w:r>
      <w:r>
        <w:rPr>
          <w:rFonts w:hint="eastAsia" w:ascii="宋体" w:hAnsi="宋体" w:eastAsia="宋体" w:cs="宋体"/>
          <w:szCs w:val="21"/>
        </w:rPr>
        <w:t>。</w:t>
      </w:r>
    </w:p>
    <w:tbl>
      <w:tblPr>
        <w:tblStyle w:val="40"/>
        <w:tblW w:w="8579" w:type="dxa"/>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2080"/>
        <w:gridCol w:w="2080"/>
        <w:gridCol w:w="2081"/>
      </w:tblGrid>
      <w:tr w14:paraId="5B761ED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38" w:type="dxa"/>
            <w:vMerge w:val="restart"/>
            <w:vAlign w:val="center"/>
          </w:tcPr>
          <w:p w14:paraId="5FF67F26">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中标金额</w:t>
            </w:r>
          </w:p>
          <w:p w14:paraId="6C7297A8">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（万元）</w:t>
            </w:r>
          </w:p>
        </w:tc>
        <w:tc>
          <w:tcPr>
            <w:tcW w:w="6241" w:type="dxa"/>
            <w:gridSpan w:val="3"/>
            <w:vAlign w:val="center"/>
          </w:tcPr>
          <w:p w14:paraId="1DB25CBE">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lang w:eastAsia="zh-CN"/>
              </w:rPr>
            </w:pPr>
            <w:r>
              <w:rPr>
                <w:rFonts w:hint="eastAsia" w:ascii="宋体" w:hAnsi="宋体" w:cs="宋体"/>
                <w:lang w:eastAsia="zh-CN"/>
              </w:rPr>
              <w:t>收费标准</w:t>
            </w:r>
          </w:p>
        </w:tc>
      </w:tr>
      <w:tr w14:paraId="5400B8C6">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338" w:type="dxa"/>
            <w:vMerge w:val="continue"/>
            <w:shd w:val="clear" w:color="auto" w:fill="auto"/>
            <w:vAlign w:val="center"/>
          </w:tcPr>
          <w:p w14:paraId="61849A45">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p>
        </w:tc>
        <w:tc>
          <w:tcPr>
            <w:tcW w:w="2080" w:type="dxa"/>
            <w:tcBorders>
              <w:top w:val="single" w:color="auto" w:sz="4" w:space="0"/>
              <w:bottom w:val="single" w:color="auto" w:sz="4" w:space="0"/>
            </w:tcBorders>
            <w:shd w:val="clear" w:color="auto" w:fill="auto"/>
            <w:vAlign w:val="center"/>
          </w:tcPr>
          <w:p w14:paraId="7A0678DB">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货物招标</w:t>
            </w:r>
          </w:p>
        </w:tc>
        <w:tc>
          <w:tcPr>
            <w:tcW w:w="2080" w:type="dxa"/>
            <w:vAlign w:val="center"/>
          </w:tcPr>
          <w:p w14:paraId="6DDE9823">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服务招标</w:t>
            </w:r>
          </w:p>
        </w:tc>
        <w:tc>
          <w:tcPr>
            <w:tcW w:w="2081" w:type="dxa"/>
            <w:vAlign w:val="center"/>
          </w:tcPr>
          <w:p w14:paraId="5967BB38">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工程招标</w:t>
            </w:r>
          </w:p>
        </w:tc>
      </w:tr>
      <w:tr w14:paraId="1DB74E85">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38" w:type="dxa"/>
            <w:shd w:val="clear" w:color="auto" w:fill="auto"/>
          </w:tcPr>
          <w:p w14:paraId="5A1BE24C">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100以下</w:t>
            </w:r>
          </w:p>
        </w:tc>
        <w:tc>
          <w:tcPr>
            <w:tcW w:w="2080" w:type="dxa"/>
            <w:tcBorders>
              <w:top w:val="single" w:color="auto" w:sz="4" w:space="0"/>
              <w:bottom w:val="single" w:color="auto" w:sz="4" w:space="0"/>
            </w:tcBorders>
            <w:shd w:val="clear" w:color="auto" w:fill="auto"/>
          </w:tcPr>
          <w:p w14:paraId="3827DBF2">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1.5%</w:t>
            </w:r>
          </w:p>
        </w:tc>
        <w:tc>
          <w:tcPr>
            <w:tcW w:w="2080" w:type="dxa"/>
          </w:tcPr>
          <w:p w14:paraId="3A87B7C2">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1.5%</w:t>
            </w:r>
          </w:p>
        </w:tc>
        <w:tc>
          <w:tcPr>
            <w:tcW w:w="2081" w:type="dxa"/>
          </w:tcPr>
          <w:p w14:paraId="76019EAF">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1.0%</w:t>
            </w:r>
          </w:p>
        </w:tc>
      </w:tr>
      <w:tr w14:paraId="171309E4">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38" w:type="dxa"/>
            <w:shd w:val="clear" w:color="auto" w:fill="auto"/>
          </w:tcPr>
          <w:p w14:paraId="67782E9E">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100—500</w:t>
            </w:r>
          </w:p>
        </w:tc>
        <w:tc>
          <w:tcPr>
            <w:tcW w:w="2080" w:type="dxa"/>
            <w:tcBorders>
              <w:top w:val="single" w:color="auto" w:sz="4" w:space="0"/>
              <w:bottom w:val="single" w:color="auto" w:sz="4" w:space="0"/>
            </w:tcBorders>
            <w:shd w:val="clear" w:color="auto" w:fill="auto"/>
          </w:tcPr>
          <w:p w14:paraId="1DA4F4D4">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1.1%</w:t>
            </w:r>
          </w:p>
        </w:tc>
        <w:tc>
          <w:tcPr>
            <w:tcW w:w="2080" w:type="dxa"/>
          </w:tcPr>
          <w:p w14:paraId="1E4517FC">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0.8%</w:t>
            </w:r>
          </w:p>
        </w:tc>
        <w:tc>
          <w:tcPr>
            <w:tcW w:w="2081" w:type="dxa"/>
          </w:tcPr>
          <w:p w14:paraId="04B04E76">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0.7%</w:t>
            </w:r>
          </w:p>
        </w:tc>
      </w:tr>
      <w:tr w14:paraId="72347B1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38" w:type="dxa"/>
            <w:shd w:val="clear" w:color="auto" w:fill="auto"/>
          </w:tcPr>
          <w:p w14:paraId="0C63FE45">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500—1000</w:t>
            </w:r>
          </w:p>
        </w:tc>
        <w:tc>
          <w:tcPr>
            <w:tcW w:w="2080" w:type="dxa"/>
            <w:tcBorders>
              <w:top w:val="single" w:color="auto" w:sz="4" w:space="0"/>
              <w:bottom w:val="single" w:color="auto" w:sz="4" w:space="0"/>
            </w:tcBorders>
            <w:shd w:val="clear" w:color="auto" w:fill="auto"/>
          </w:tcPr>
          <w:p w14:paraId="3815A080">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0.8%</w:t>
            </w:r>
          </w:p>
        </w:tc>
        <w:tc>
          <w:tcPr>
            <w:tcW w:w="2080" w:type="dxa"/>
          </w:tcPr>
          <w:p w14:paraId="0CBBAB8E">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0.45%</w:t>
            </w:r>
          </w:p>
        </w:tc>
        <w:tc>
          <w:tcPr>
            <w:tcW w:w="2081" w:type="dxa"/>
          </w:tcPr>
          <w:p w14:paraId="5FD324A4">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0.55%</w:t>
            </w:r>
          </w:p>
        </w:tc>
      </w:tr>
      <w:tr w14:paraId="04F5F970">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38" w:type="dxa"/>
            <w:shd w:val="clear" w:color="auto" w:fill="auto"/>
          </w:tcPr>
          <w:p w14:paraId="22A3999C">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1000—5000</w:t>
            </w:r>
          </w:p>
        </w:tc>
        <w:tc>
          <w:tcPr>
            <w:tcW w:w="2080" w:type="dxa"/>
            <w:tcBorders>
              <w:top w:val="single" w:color="auto" w:sz="4" w:space="0"/>
              <w:bottom w:val="single" w:color="auto" w:sz="4" w:space="0"/>
            </w:tcBorders>
            <w:shd w:val="clear" w:color="auto" w:fill="auto"/>
          </w:tcPr>
          <w:p w14:paraId="37B8F82E">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0.5%</w:t>
            </w:r>
          </w:p>
        </w:tc>
        <w:tc>
          <w:tcPr>
            <w:tcW w:w="2080" w:type="dxa"/>
          </w:tcPr>
          <w:p w14:paraId="7EA3C331">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0.25%</w:t>
            </w:r>
          </w:p>
        </w:tc>
        <w:tc>
          <w:tcPr>
            <w:tcW w:w="2081" w:type="dxa"/>
          </w:tcPr>
          <w:p w14:paraId="34BCB184">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0.35%</w:t>
            </w:r>
          </w:p>
        </w:tc>
      </w:tr>
      <w:tr w14:paraId="3709ABFB">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38" w:type="dxa"/>
            <w:shd w:val="clear" w:color="auto" w:fill="auto"/>
          </w:tcPr>
          <w:p w14:paraId="7FB179E0">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5000—10000</w:t>
            </w:r>
          </w:p>
        </w:tc>
        <w:tc>
          <w:tcPr>
            <w:tcW w:w="2080" w:type="dxa"/>
            <w:tcBorders>
              <w:top w:val="single" w:color="auto" w:sz="4" w:space="0"/>
              <w:bottom w:val="single" w:color="auto" w:sz="12" w:space="0"/>
            </w:tcBorders>
            <w:shd w:val="clear" w:color="auto" w:fill="auto"/>
          </w:tcPr>
          <w:p w14:paraId="6A2FE705">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0.25%</w:t>
            </w:r>
          </w:p>
        </w:tc>
        <w:tc>
          <w:tcPr>
            <w:tcW w:w="2080" w:type="dxa"/>
          </w:tcPr>
          <w:p w14:paraId="2C751FA2">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0.1%</w:t>
            </w:r>
          </w:p>
        </w:tc>
        <w:tc>
          <w:tcPr>
            <w:tcW w:w="2081" w:type="dxa"/>
          </w:tcPr>
          <w:p w14:paraId="1C77C72E">
            <w:pPr>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rPr>
            </w:pPr>
            <w:r>
              <w:rPr>
                <w:rFonts w:hint="eastAsia" w:ascii="宋体" w:hAnsi="宋体" w:eastAsia="宋体" w:cs="宋体"/>
              </w:rPr>
              <w:t>0.2%</w:t>
            </w:r>
          </w:p>
        </w:tc>
      </w:tr>
    </w:tbl>
    <w:p w14:paraId="36CAE8FF">
      <w:pPr>
        <w:pStyle w:val="11"/>
        <w:pageBreakBefore w:val="0"/>
        <w:widowControl w:val="0"/>
        <w:kinsoku/>
        <w:wordWrap/>
        <w:overflowPunct/>
        <w:topLinePunct w:val="0"/>
        <w:autoSpaceDE/>
        <w:autoSpaceDN/>
        <w:bidi w:val="0"/>
        <w:adjustRightInd/>
        <w:snapToGrid/>
        <w:spacing w:line="440" w:lineRule="exact"/>
        <w:ind w:firstLineChars="200"/>
        <w:textAlignment w:val="auto"/>
        <w:rPr>
          <w:rFonts w:hint="eastAsia" w:ascii="宋体" w:hAnsi="宋体" w:cs="宋体"/>
          <w:szCs w:val="21"/>
          <w:lang w:eastAsia="zh-CN"/>
        </w:rPr>
      </w:pPr>
      <w:r>
        <w:rPr>
          <w:rFonts w:hint="eastAsia" w:ascii="宋体" w:hAnsi="宋体" w:cs="宋体"/>
          <w:szCs w:val="21"/>
          <w:lang w:eastAsia="zh-CN"/>
        </w:rPr>
        <w:t>备注：采购代理服务费按差额定率累进法计算。</w:t>
      </w:r>
    </w:p>
    <w:p w14:paraId="4883DCC7">
      <w:pPr>
        <w:pStyle w:val="11"/>
        <w:spacing w:line="460" w:lineRule="exact"/>
        <w:ind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rPr>
        <w:t>29.2</w:t>
      </w:r>
      <w:r>
        <w:rPr>
          <w:rFonts w:hint="eastAsia" w:ascii="宋体" w:hAnsi="宋体" w:eastAsia="宋体" w:cs="宋体"/>
          <w:kern w:val="2"/>
          <w:sz w:val="21"/>
          <w:szCs w:val="21"/>
          <w:highlight w:val="none"/>
          <w:lang w:val="en-US" w:eastAsia="zh-CN" w:bidi="ar-SA"/>
        </w:rPr>
        <w:t>供应商应在</w:t>
      </w:r>
      <w:r>
        <w:rPr>
          <w:rFonts w:hint="eastAsia" w:ascii="宋体" w:hAnsi="宋体" w:cs="宋体"/>
          <w:kern w:val="2"/>
          <w:sz w:val="21"/>
          <w:szCs w:val="21"/>
          <w:highlight w:val="none"/>
          <w:lang w:val="en-US" w:eastAsia="zh-CN" w:bidi="ar-SA"/>
        </w:rPr>
        <w:t>接收</w:t>
      </w:r>
      <w:r>
        <w:rPr>
          <w:rFonts w:hint="eastAsia" w:ascii="宋体" w:hAnsi="宋体" w:eastAsia="宋体" w:cs="宋体"/>
          <w:kern w:val="2"/>
          <w:sz w:val="21"/>
          <w:szCs w:val="21"/>
          <w:highlight w:val="none"/>
          <w:lang w:val="en-US" w:eastAsia="zh-CN" w:bidi="ar-SA"/>
        </w:rPr>
        <w:t>“成交通知书”时向采购代理机构网银或电汇或现金等方式一次付清采购代理服务费。</w:t>
      </w:r>
    </w:p>
    <w:p w14:paraId="5FB55B30">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hAnsi="宋体" w:eastAsia="宋体" w:cs="宋体"/>
          <w:kern w:val="2"/>
          <w:sz w:val="21"/>
          <w:szCs w:val="21"/>
          <w:highlight w:val="none"/>
          <w:lang w:val="en-US" w:eastAsia="zh-CN" w:bidi="ar-SA"/>
        </w:rPr>
        <w:t>29.3请各供应商在进行磋商报价时充分考虑此部分费用，该项费用包含在磋商报价中但不单独列项</w:t>
      </w:r>
      <w:r>
        <w:rPr>
          <w:rFonts w:hint="eastAsia" w:ascii="宋体" w:cs="宋体"/>
          <w:color w:val="auto"/>
          <w:szCs w:val="21"/>
          <w:highlight w:val="none"/>
        </w:rPr>
        <w:t>。</w:t>
      </w:r>
    </w:p>
    <w:p w14:paraId="6C320D4C">
      <w:pPr>
        <w:keepNext w:val="0"/>
        <w:keepLines w:val="0"/>
        <w:pageBreakBefore w:val="0"/>
        <w:widowControl w:val="0"/>
        <w:kinsoku/>
        <w:wordWrap/>
        <w:overflowPunct/>
        <w:topLinePunct w:val="0"/>
        <w:autoSpaceDE/>
        <w:autoSpaceDN/>
        <w:bidi w:val="0"/>
        <w:snapToGrid w:val="0"/>
        <w:spacing w:line="420" w:lineRule="exact"/>
        <w:textAlignment w:val="auto"/>
        <w:rPr>
          <w:rFonts w:ascii="宋体" w:cs="宋体"/>
          <w:b/>
          <w:sz w:val="24"/>
          <w:highlight w:val="none"/>
        </w:rPr>
      </w:pPr>
      <w:r>
        <w:rPr>
          <w:rFonts w:hint="eastAsia" w:ascii="宋体" w:cs="宋体"/>
          <w:b/>
          <w:sz w:val="24"/>
          <w:highlight w:val="none"/>
        </w:rPr>
        <w:t>30.竞争性磋商文件编制依据</w:t>
      </w:r>
    </w:p>
    <w:p w14:paraId="6BC3A4D3">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30.1本竞争性磋商文件根据《中华人民共和国政府采购法》《中华人民共和国政府采购法实施条例》《政府采购竞争性磋商采购方式管理暂行办法》等有关法律、法规和规章进行编制，解释权属于采购人、采购代理机构。</w:t>
      </w:r>
    </w:p>
    <w:p w14:paraId="41D4D350">
      <w:pPr>
        <w:keepNext w:val="0"/>
        <w:keepLines w:val="0"/>
        <w:pageBreakBefore w:val="0"/>
        <w:widowControl w:val="0"/>
        <w:kinsoku/>
        <w:wordWrap/>
        <w:overflowPunct/>
        <w:topLinePunct w:val="0"/>
        <w:autoSpaceDE/>
        <w:autoSpaceDN/>
        <w:bidi w:val="0"/>
        <w:snapToGrid w:val="0"/>
        <w:spacing w:line="420" w:lineRule="exact"/>
        <w:textAlignment w:val="auto"/>
        <w:rPr>
          <w:rFonts w:ascii="宋体" w:cs="宋体"/>
          <w:b/>
          <w:sz w:val="24"/>
          <w:highlight w:val="none"/>
        </w:rPr>
      </w:pPr>
      <w:r>
        <w:rPr>
          <w:rFonts w:hint="eastAsia" w:ascii="宋体" w:cs="宋体"/>
          <w:b/>
          <w:sz w:val="24"/>
          <w:highlight w:val="none"/>
        </w:rPr>
        <w:t>31.需要补充的其他内容</w:t>
      </w:r>
    </w:p>
    <w:p w14:paraId="4F3BA244">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31.1关于中小企业：</w:t>
      </w:r>
    </w:p>
    <w:p w14:paraId="41D93CCB">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31.1.1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60E1FCD3">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31.1.2符合中小企业划分标准的个体工商户，在政府采购活动中视同中小企业。</w:t>
      </w:r>
    </w:p>
    <w:p w14:paraId="45B9F0C7">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highlight w:val="none"/>
        </w:rPr>
        <w:t>31</w:t>
      </w:r>
      <w:r>
        <w:rPr>
          <w:rFonts w:hint="eastAsia" w:ascii="宋体" w:cs="宋体"/>
          <w:szCs w:val="21"/>
        </w:rPr>
        <w:t>.1.3在政府采购活动中，供应商提供的货物、工程或者服务符合下列情形的，享受《关于印发&lt;政府采购促进中小企业发展管理办法&gt;的通知》（财库〔2020〕46号）规定的中小企业扶持政策：</w:t>
      </w:r>
    </w:p>
    <w:p w14:paraId="489EB17E">
      <w:pPr>
        <w:keepNext w:val="0"/>
        <w:keepLines w:val="0"/>
        <w:pageBreakBefore w:val="0"/>
        <w:widowControl w:val="0"/>
        <w:numPr>
          <w:ilvl w:val="0"/>
          <w:numId w:val="3"/>
        </w:numPr>
        <w:tabs>
          <w:tab w:val="left" w:pos="105"/>
          <w:tab w:val="left" w:pos="945"/>
          <w:tab w:val="left" w:pos="3360"/>
        </w:tabs>
        <w:kinsoku/>
        <w:wordWrap/>
        <w:overflowPunct/>
        <w:topLinePunct w:val="0"/>
        <w:autoSpaceDE/>
        <w:autoSpaceDN/>
        <w:bidi w:val="0"/>
        <w:adjustRightInd w:val="0"/>
        <w:snapToGrid w:val="0"/>
        <w:spacing w:line="420" w:lineRule="exact"/>
        <w:ind w:left="0" w:firstLine="420"/>
        <w:textAlignment w:val="auto"/>
        <w:rPr>
          <w:rFonts w:ascii="宋体" w:cs="宋体"/>
          <w:szCs w:val="21"/>
        </w:rPr>
      </w:pPr>
      <w:r>
        <w:rPr>
          <w:rFonts w:hint="eastAsia" w:ascii="宋体" w:cs="宋体"/>
          <w:szCs w:val="21"/>
        </w:rPr>
        <w:t>在货物采购项目中，货物由中小企业制造，即货物由中小企业生产且使用该中小企业商号或者注册商标；</w:t>
      </w:r>
    </w:p>
    <w:p w14:paraId="316522DB">
      <w:pPr>
        <w:keepNext w:val="0"/>
        <w:keepLines w:val="0"/>
        <w:pageBreakBefore w:val="0"/>
        <w:widowControl w:val="0"/>
        <w:numPr>
          <w:ilvl w:val="0"/>
          <w:numId w:val="3"/>
        </w:numPr>
        <w:tabs>
          <w:tab w:val="left" w:pos="105"/>
          <w:tab w:val="left" w:pos="945"/>
          <w:tab w:val="left" w:pos="3360"/>
        </w:tabs>
        <w:kinsoku/>
        <w:wordWrap/>
        <w:overflowPunct/>
        <w:topLinePunct w:val="0"/>
        <w:autoSpaceDE/>
        <w:autoSpaceDN/>
        <w:bidi w:val="0"/>
        <w:adjustRightInd w:val="0"/>
        <w:snapToGrid w:val="0"/>
        <w:spacing w:line="420" w:lineRule="exact"/>
        <w:ind w:left="0" w:firstLine="420"/>
        <w:textAlignment w:val="auto"/>
        <w:rPr>
          <w:rFonts w:ascii="宋体" w:cs="宋体"/>
          <w:szCs w:val="21"/>
        </w:rPr>
      </w:pPr>
      <w:r>
        <w:rPr>
          <w:rFonts w:hint="eastAsia" w:ascii="宋体" w:cs="宋体"/>
          <w:szCs w:val="21"/>
        </w:rPr>
        <w:t>在工程采购项目中，工程由中小企业承建，即工程施工单位为中小企业；</w:t>
      </w:r>
    </w:p>
    <w:p w14:paraId="47F79807">
      <w:pPr>
        <w:keepNext w:val="0"/>
        <w:keepLines w:val="0"/>
        <w:pageBreakBefore w:val="0"/>
        <w:widowControl w:val="0"/>
        <w:numPr>
          <w:ilvl w:val="0"/>
          <w:numId w:val="3"/>
        </w:numPr>
        <w:tabs>
          <w:tab w:val="left" w:pos="105"/>
          <w:tab w:val="left" w:pos="945"/>
          <w:tab w:val="left" w:pos="3360"/>
        </w:tabs>
        <w:kinsoku/>
        <w:wordWrap/>
        <w:overflowPunct/>
        <w:topLinePunct w:val="0"/>
        <w:autoSpaceDE/>
        <w:autoSpaceDN/>
        <w:bidi w:val="0"/>
        <w:adjustRightInd w:val="0"/>
        <w:snapToGrid w:val="0"/>
        <w:spacing w:line="420" w:lineRule="exact"/>
        <w:ind w:left="0" w:firstLine="420"/>
        <w:textAlignment w:val="auto"/>
        <w:rPr>
          <w:rFonts w:ascii="宋体" w:cs="宋体"/>
          <w:szCs w:val="21"/>
        </w:rPr>
      </w:pPr>
      <w:r>
        <w:rPr>
          <w:rFonts w:hint="eastAsia" w:ascii="宋体" w:cs="宋体"/>
          <w:szCs w:val="21"/>
        </w:rPr>
        <w:t>在服务采购项目中，服务由中小企业承接，即提供服务的人员为中小企业依照《中华人民共和国劳动合同法》订立劳动合同的从业人员。</w:t>
      </w:r>
    </w:p>
    <w:p w14:paraId="10E290C2">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firstLineChars="200"/>
        <w:textAlignment w:val="auto"/>
        <w:rPr>
          <w:rFonts w:ascii="宋体" w:cs="宋体"/>
          <w:szCs w:val="21"/>
        </w:rPr>
      </w:pPr>
      <w:r>
        <w:rPr>
          <w:rFonts w:hint="eastAsia" w:ascii="宋体" w:cs="宋体"/>
          <w:szCs w:val="21"/>
        </w:rPr>
        <w:t>31.1.4在货物采购项目中，供应商提供的货物既有中小企业制造货物，也有大型企业制造货物的，不享受本办法规定的中小企业扶持政策。</w:t>
      </w:r>
    </w:p>
    <w:p w14:paraId="4B7A05D8">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31.1.5以联合体形式参加政府采购活动，联合体各方均为中小企业的，联合体视同中小企业。其中，联合体各方均为小微企业的,联合体视同小微企业。</w:t>
      </w:r>
    </w:p>
    <w:p w14:paraId="54F6A7A4">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rPr>
        <w:t>31.1.6中小企业参加政府采购活动，应当出具《关于印发&lt;政府采购促进中小企业发展管理办法&gt;的通知》（财库〔2020〕46号）规定的《中小企业声明函》，否则不得享受相关中小企业扶持</w:t>
      </w:r>
      <w:r>
        <w:rPr>
          <w:rFonts w:hint="eastAsia" w:ascii="宋体" w:cs="宋体"/>
          <w:szCs w:val="21"/>
          <w:highlight w:val="none"/>
        </w:rPr>
        <w:t>政策。</w:t>
      </w:r>
    </w:p>
    <w:p w14:paraId="1BE93F15">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highlight w:val="none"/>
        </w:rPr>
      </w:pPr>
      <w:r>
        <w:rPr>
          <w:rFonts w:hint="eastAsia" w:ascii="宋体" w:cs="宋体"/>
          <w:szCs w:val="21"/>
          <w:highlight w:val="none"/>
        </w:rPr>
        <w:t>31.1.7规定依据《关于印发&lt;政府采购促进中小企业发展管理办法&gt;的通知》（财库〔2020〕46号）规定享受扶持政策获得政府采购合同的，小微企业不得将合同分包给大中型企业，中型企业不得将合同分包给大型企业。</w:t>
      </w:r>
    </w:p>
    <w:p w14:paraId="1E15E2B1">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hint="eastAsia" w:ascii="宋体" w:eastAsia="宋体" w:cs="宋体"/>
          <w:szCs w:val="21"/>
          <w:highlight w:val="none"/>
          <w:lang w:eastAsia="zh-CN"/>
        </w:rPr>
      </w:pPr>
      <w:r>
        <w:rPr>
          <w:rFonts w:hint="eastAsia" w:ascii="宋体" w:cs="宋体"/>
          <w:szCs w:val="21"/>
          <w:highlight w:val="none"/>
        </w:rPr>
        <w:t>31.1.8</w:t>
      </w:r>
      <w:r>
        <w:rPr>
          <w:rFonts w:hint="eastAsia" w:ascii="宋体" w:hAnsi="宋体" w:cs="宋体"/>
          <w:szCs w:val="21"/>
          <w:lang w:eastAsia="zh-CN"/>
        </w:rPr>
        <w:t>本项目所属行业为租赁和商务服务业，符合条件的供应商应根据《关于印发中小企业划型标准规定的通知》中租赁和商务服务业划型标准进行划型</w:t>
      </w:r>
      <w:r>
        <w:rPr>
          <w:rFonts w:hint="eastAsia" w:ascii="宋体" w:cs="宋体"/>
          <w:szCs w:val="21"/>
          <w:highlight w:val="none"/>
        </w:rPr>
        <w:t>。</w:t>
      </w:r>
    </w:p>
    <w:p w14:paraId="40BC29CA">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highlight w:val="none"/>
        </w:rPr>
        <w:t>31.1.9</w:t>
      </w:r>
      <w:r>
        <w:rPr>
          <w:rFonts w:hint="eastAsia" w:ascii="宋体" w:cs="宋体"/>
          <w:szCs w:val="21"/>
        </w:rPr>
        <w:t>本项目针对小微企业报价给予10%的扣除，用扣除后的价格参与评审。</w:t>
      </w:r>
    </w:p>
    <w:p w14:paraId="16B9743E">
      <w:pPr>
        <w:pStyle w:val="11"/>
        <w:keepNext w:val="0"/>
        <w:keepLines w:val="0"/>
        <w:pageBreakBefore w:val="0"/>
        <w:widowControl w:val="0"/>
        <w:kinsoku/>
        <w:wordWrap/>
        <w:overflowPunct/>
        <w:topLinePunct w:val="0"/>
        <w:bidi w:val="0"/>
        <w:spacing w:line="420" w:lineRule="exact"/>
        <w:ind w:firstLine="420" w:firstLineChars="200"/>
        <w:textAlignment w:val="auto"/>
        <w:rPr>
          <w:rFonts w:hint="eastAsia" w:ascii="宋体" w:cs="宋体"/>
          <w:szCs w:val="21"/>
        </w:rPr>
      </w:pPr>
      <w:r>
        <w:rPr>
          <w:rFonts w:hint="eastAsia" w:ascii="宋体" w:cs="宋体"/>
          <w:szCs w:val="21"/>
        </w:rPr>
        <w:t>31.1.</w:t>
      </w:r>
      <w:r>
        <w:rPr>
          <w:rFonts w:hint="eastAsia" w:ascii="宋体" w:cs="宋体"/>
          <w:szCs w:val="21"/>
          <w:lang w:val="en-US" w:eastAsia="zh-CN"/>
        </w:rPr>
        <w:t>10</w:t>
      </w:r>
      <w:r>
        <w:rPr>
          <w:rFonts w:hint="eastAsia" w:ascii="宋体" w:cs="宋体"/>
          <w:szCs w:val="21"/>
        </w:rPr>
        <w:t>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63EAFE76">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31.2关于监狱企业：</w:t>
      </w:r>
    </w:p>
    <w:p w14:paraId="7FB0D5F8">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FBC1CC">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31.2.2监狱企业参加政府采购活动时，应当提供由省级以上监狱管理局、戒毒管理局（含新疆生产建设兵团）出具的属于监狱企业的证明文件。</w:t>
      </w:r>
    </w:p>
    <w:p w14:paraId="007994D7">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31.2.3在政府采购活动中，监狱企业视同小型、微型企业，享受预留份额、评审中价格扣除等政府采购促进中小企业发展的政府采购政策。</w:t>
      </w:r>
    </w:p>
    <w:p w14:paraId="30881CED">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31.3关于残疾人福利性单位：</w:t>
      </w:r>
    </w:p>
    <w:p w14:paraId="34CABCD6">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31.3.1根据《三部门联合发布关于促进残疾人就业政府采购政策的通知》（财库〔2017〕141号）的规定，享受政府采购支持政策的残疾人福利性单位应当同时满足以下条件：</w:t>
      </w:r>
    </w:p>
    <w:p w14:paraId="4E6CC75C">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（一）安置的残疾人占本单位在职职工人数的比例不低于25%（含25%），并且安置的残疾人人数不少于10人（含10人）；</w:t>
      </w:r>
    </w:p>
    <w:p w14:paraId="36FA15C7">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（二）依法与安置的每位残疾人签订了一年以上（含一年）的劳动合同或服务协议；</w:t>
      </w:r>
    </w:p>
    <w:p w14:paraId="64294A3C">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（三）为安置的每位残疾人按月足额缴纳了基本养老保险、基本医疗保险、失业保险、工伤保险和生育保险等社会保险费；</w:t>
      </w:r>
    </w:p>
    <w:p w14:paraId="68443530">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（四）通过银行等金融机构向安置的每位残疾人，按月支付了不低于单位所在区县适用的经省级人民政府批准的月最低工资标准的工资；</w:t>
      </w:r>
    </w:p>
    <w:p w14:paraId="5D1810FE">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（五）提供本单位制造的货物、承担的工程或者服务（以下简称产品），或者提供其他残疾人福利性单位制造的货物（不包括使用非残疾人福利性单位注册商标的货物）。</w:t>
      </w:r>
    </w:p>
    <w:p w14:paraId="52C8E207">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919EA69">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31.3.2符合条件的残疾人福利性单位在参加政府采购活动时，应当按《三部门联合发布关于促进残疾人就业政府采购政策的通知》（财库〔2017〕141号）提供规定的《残疾人福利性单位声明函》，并对声明的真实性负责。</w:t>
      </w:r>
    </w:p>
    <w:p w14:paraId="1345D9DD">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31.3.3在政府采购活动中，残疾人福利性单位视同小型、微型企业，享受预留份额、评审中价格扣除等政府采购促进中小企业发展的政府采购政策。</w:t>
      </w:r>
    </w:p>
    <w:p w14:paraId="0635C5CF">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31.4</w:t>
      </w:r>
      <w:r>
        <w:rPr>
          <w:rFonts w:hint="eastAsia" w:ascii="宋体" w:cs="宋体"/>
          <w:szCs w:val="21"/>
          <w:lang w:eastAsia="zh-CN"/>
        </w:rPr>
        <w:t>其他</w:t>
      </w:r>
      <w:r>
        <w:rPr>
          <w:rFonts w:hint="eastAsia" w:ascii="宋体" w:cs="宋体"/>
          <w:szCs w:val="21"/>
        </w:rPr>
        <w:t>注意事项：以下情况视为供应商同意撤回已上传系统的响应文件或其响应文件无效：</w:t>
      </w:r>
    </w:p>
    <w:p w14:paraId="18D1AA9E">
      <w:pPr>
        <w:keepNext w:val="0"/>
        <w:keepLines w:val="0"/>
        <w:pageBreakBefore w:val="0"/>
        <w:widowControl w:val="0"/>
        <w:tabs>
          <w:tab w:val="left" w:pos="105"/>
          <w:tab w:val="left" w:pos="945"/>
          <w:tab w:val="left" w:pos="3360"/>
        </w:tabs>
        <w:kinsoku/>
        <w:wordWrap/>
        <w:overflowPunct/>
        <w:topLinePunct w:val="0"/>
        <w:autoSpaceDE/>
        <w:autoSpaceDN/>
        <w:bidi w:val="0"/>
        <w:adjustRightInd w:val="0"/>
        <w:snapToGrid w:val="0"/>
        <w:spacing w:line="420" w:lineRule="exact"/>
        <w:ind w:firstLine="420"/>
        <w:textAlignment w:val="auto"/>
        <w:rPr>
          <w:rFonts w:ascii="宋体" w:cs="宋体"/>
          <w:szCs w:val="21"/>
        </w:rPr>
      </w:pPr>
      <w:r>
        <w:rPr>
          <w:rFonts w:hint="eastAsia" w:ascii="宋体" w:cs="宋体"/>
          <w:szCs w:val="21"/>
        </w:rPr>
        <w:t>（1）政采云电子平台显示供应商未上传响应文件；</w:t>
      </w:r>
    </w:p>
    <w:p w14:paraId="02855098">
      <w:pPr>
        <w:pStyle w:val="11"/>
        <w:keepNext w:val="0"/>
        <w:keepLines w:val="0"/>
        <w:pageBreakBefore w:val="0"/>
        <w:widowControl w:val="0"/>
        <w:kinsoku/>
        <w:wordWrap/>
        <w:overflowPunct/>
        <w:topLinePunct w:val="0"/>
        <w:autoSpaceDE/>
        <w:autoSpaceDN/>
        <w:bidi w:val="0"/>
        <w:spacing w:line="420" w:lineRule="exact"/>
        <w:ind w:firstLine="420" w:firstLineChars="200"/>
        <w:textAlignment w:val="auto"/>
        <w:rPr>
          <w:rFonts w:ascii="宋体" w:cs="宋体"/>
          <w:szCs w:val="21"/>
        </w:rPr>
      </w:pPr>
      <w:r>
        <w:rPr>
          <w:rFonts w:hint="eastAsia" w:ascii="宋体" w:cs="宋体"/>
          <w:szCs w:val="21"/>
        </w:rPr>
        <w:t>（2）因供应商原因上传的响应文件在开启文件时无法解密。</w:t>
      </w:r>
    </w:p>
    <w:p w14:paraId="17CFCC0A">
      <w:pPr>
        <w:rPr>
          <w:rFonts w:ascii="宋体" w:cs="宋体"/>
          <w:szCs w:val="21"/>
        </w:rPr>
      </w:pPr>
      <w:r>
        <w:rPr>
          <w:rFonts w:hint="eastAsia" w:ascii="宋体" w:cs="宋体"/>
          <w:szCs w:val="21"/>
        </w:rPr>
        <w:br w:type="page"/>
      </w:r>
    </w:p>
    <w:p w14:paraId="730F77AE">
      <w:pPr>
        <w:adjustRightInd w:val="0"/>
        <w:snapToGrid w:val="0"/>
        <w:spacing w:line="360" w:lineRule="auto"/>
        <w:jc w:val="left"/>
        <w:rPr>
          <w:rFonts w:ascii="宋体" w:cs="宋体"/>
          <w:b/>
          <w:bCs/>
          <w:szCs w:val="21"/>
        </w:rPr>
      </w:pPr>
      <w:r>
        <w:rPr>
          <w:rFonts w:hint="eastAsia" w:ascii="宋体" w:cs="宋体"/>
          <w:b/>
          <w:bCs/>
          <w:szCs w:val="21"/>
        </w:rPr>
        <w:t>附件：</w:t>
      </w:r>
    </w:p>
    <w:p w14:paraId="2F3FCD54">
      <w:pPr>
        <w:pStyle w:val="9"/>
        <w:shd w:val="clear" w:color="auto" w:fill="FFFFFF"/>
        <w:adjustRightInd w:val="0"/>
        <w:snapToGrid w:val="0"/>
        <w:spacing w:before="0" w:beforeAutospacing="0" w:after="0" w:afterAutospacing="0" w:line="480" w:lineRule="exact"/>
        <w:jc w:val="center"/>
        <w:rPr>
          <w:rFonts w:cs="宋体"/>
        </w:rPr>
      </w:pPr>
      <w:r>
        <w:rPr>
          <w:rFonts w:hint="eastAsia" w:cs="宋体"/>
          <w:b/>
          <w:bCs/>
          <w:shd w:val="clear" w:color="auto" w:fill="FFFFFF"/>
        </w:rPr>
        <w:t>《中小企业划型标准规定》</w:t>
      </w:r>
    </w:p>
    <w:p w14:paraId="03F3E67B">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一、根据《中华人民共和国中小企业促进法》和《国务院关于进一步促进中小企业发展的若干意见》（国发〔2009〕 36 号），制定本规定。</w:t>
      </w:r>
    </w:p>
    <w:p w14:paraId="3486A164">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二、中小企业划分为中型、小型、微型三种类型，具体标准根据企业从业人员、营业收入、资产总额等指标，结合行业特点制定。</w:t>
      </w:r>
    </w:p>
    <w:p w14:paraId="407C944E">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B08231A">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四、各行业划型标准为：</w:t>
      </w:r>
    </w:p>
    <w:p w14:paraId="03635FC2">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（一）农、林、牧、渔业。营业收入20000 万元以下的为中小微型企业。其中，营业收入500万元及以上的为中型企业，营业收入50万元及以上的为小型企业，营业收入 50 万元以下的为微型企业。</w:t>
      </w:r>
    </w:p>
    <w:p w14:paraId="1C82E1BD">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A2CA37E">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8FF198">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B51F82">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4DA1919">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050D81">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C7DE88">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3606AAA">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AF72D3">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3FD979">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highlight w:val="none"/>
        </w:rPr>
      </w:pPr>
      <w:r>
        <w:rPr>
          <w:rFonts w:hint="eastAsia" w:cs="宋体"/>
          <w:sz w:val="21"/>
          <w:szCs w:val="21"/>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ADA897">
      <w:pPr>
        <w:pStyle w:val="9"/>
        <w:shd w:val="clear" w:color="auto" w:fill="FFFFFF"/>
        <w:adjustRightInd w:val="0"/>
        <w:snapToGrid w:val="0"/>
        <w:spacing w:before="0" w:beforeAutospacing="0" w:after="0" w:afterAutospacing="0" w:line="360" w:lineRule="auto"/>
        <w:ind w:firstLine="420" w:firstLineChars="200"/>
        <w:jc w:val="both"/>
        <w:rPr>
          <w:rFonts w:cs="宋体"/>
          <w:b w:val="0"/>
          <w:bCs w:val="0"/>
          <w:sz w:val="21"/>
          <w:szCs w:val="21"/>
          <w:highlight w:val="none"/>
        </w:rPr>
      </w:pPr>
      <w:r>
        <w:rPr>
          <w:rFonts w:hint="eastAsia" w:cs="宋体"/>
          <w:b w:val="0"/>
          <w:bCs w:val="0"/>
          <w:sz w:val="21"/>
          <w:szCs w:val="21"/>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69E8274">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highlight w:val="none"/>
        </w:rPr>
      </w:pPr>
      <w:r>
        <w:rPr>
          <w:rFonts w:hint="eastAsia" w:cs="宋体"/>
          <w:sz w:val="21"/>
          <w:szCs w:val="21"/>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4C97CF">
      <w:pPr>
        <w:pStyle w:val="9"/>
        <w:shd w:val="clear" w:color="auto" w:fill="FFFFFF"/>
        <w:adjustRightInd w:val="0"/>
        <w:snapToGrid w:val="0"/>
        <w:spacing w:before="0" w:beforeAutospacing="0" w:after="0" w:afterAutospacing="0" w:line="360" w:lineRule="auto"/>
        <w:ind w:firstLine="420" w:firstLineChars="200"/>
        <w:jc w:val="both"/>
        <w:rPr>
          <w:rFonts w:cs="宋体"/>
          <w:b w:val="0"/>
          <w:bCs w:val="0"/>
          <w:sz w:val="21"/>
          <w:szCs w:val="21"/>
          <w:highlight w:val="none"/>
        </w:rPr>
      </w:pPr>
      <w:r>
        <w:rPr>
          <w:rFonts w:hint="eastAsia" w:cs="宋体"/>
          <w:sz w:val="21"/>
          <w:szCs w:val="21"/>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w:t>
      </w:r>
      <w:r>
        <w:rPr>
          <w:rFonts w:hint="eastAsia" w:cs="宋体"/>
          <w:b w:val="0"/>
          <w:bCs w:val="0"/>
          <w:sz w:val="21"/>
          <w:szCs w:val="21"/>
          <w:highlight w:val="none"/>
          <w:shd w:val="clear" w:color="auto" w:fill="FFFFFF"/>
        </w:rPr>
        <w:t>的为微型企业。</w:t>
      </w:r>
    </w:p>
    <w:p w14:paraId="689686E8">
      <w:pPr>
        <w:pStyle w:val="9"/>
        <w:shd w:val="clear" w:color="auto" w:fill="FFFFFF"/>
        <w:adjustRightInd w:val="0"/>
        <w:snapToGrid w:val="0"/>
        <w:spacing w:before="0" w:beforeAutospacing="0" w:after="0" w:afterAutospacing="0" w:line="360" w:lineRule="auto"/>
        <w:ind w:firstLine="422" w:firstLineChars="200"/>
        <w:jc w:val="both"/>
        <w:rPr>
          <w:rFonts w:cs="宋体"/>
          <w:b/>
          <w:bCs/>
          <w:sz w:val="21"/>
          <w:szCs w:val="21"/>
          <w:highlight w:val="none"/>
        </w:rPr>
      </w:pPr>
      <w:r>
        <w:rPr>
          <w:rFonts w:hint="eastAsia" w:cs="宋体"/>
          <w:b/>
          <w:bCs/>
          <w:sz w:val="21"/>
          <w:szCs w:val="21"/>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0C929E">
      <w:pPr>
        <w:pStyle w:val="9"/>
        <w:shd w:val="clear" w:color="auto" w:fill="FFFFFF"/>
        <w:adjustRightInd w:val="0"/>
        <w:snapToGrid w:val="0"/>
        <w:spacing w:before="0" w:beforeAutospacing="0" w:after="0" w:afterAutospacing="0" w:line="360" w:lineRule="auto"/>
        <w:ind w:firstLine="420" w:firstLineChars="200"/>
        <w:jc w:val="both"/>
        <w:rPr>
          <w:rFonts w:cs="宋体"/>
          <w:b w:val="0"/>
          <w:bCs w:val="0"/>
          <w:sz w:val="21"/>
          <w:szCs w:val="21"/>
          <w:highlight w:val="none"/>
        </w:rPr>
      </w:pPr>
      <w:r>
        <w:rPr>
          <w:rFonts w:hint="eastAsia" w:cs="宋体"/>
          <w:b w:val="0"/>
          <w:bCs w:val="0"/>
          <w:sz w:val="21"/>
          <w:szCs w:val="21"/>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55A19F42">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highlight w:val="none"/>
        </w:rPr>
      </w:pPr>
      <w:r>
        <w:rPr>
          <w:rFonts w:hint="eastAsia" w:cs="宋体"/>
          <w:sz w:val="21"/>
          <w:szCs w:val="21"/>
          <w:highlight w:val="none"/>
          <w:shd w:val="clear" w:color="auto" w:fill="FFFFFF"/>
        </w:rPr>
        <w:t>五、企业类型的划分以统计部门的统计数据为依据。</w:t>
      </w:r>
    </w:p>
    <w:p w14:paraId="74831073">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highlight w:val="none"/>
        </w:rPr>
      </w:pPr>
      <w:r>
        <w:rPr>
          <w:rFonts w:hint="eastAsia" w:cs="宋体"/>
          <w:sz w:val="21"/>
          <w:szCs w:val="21"/>
          <w:highlight w:val="none"/>
          <w:shd w:val="clear" w:color="auto" w:fill="FFFFFF"/>
        </w:rPr>
        <w:t>六、本规定适用于在中华人民共和国境内依法设立的各类所有制和各种组织形式的企业。个体工商户和本规定以外的行业，参照本规定进行划型。</w:t>
      </w:r>
    </w:p>
    <w:p w14:paraId="561F35BC">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highlight w:val="none"/>
        </w:rPr>
      </w:pPr>
      <w:r>
        <w:rPr>
          <w:rFonts w:hint="eastAsia" w:cs="宋体"/>
          <w:sz w:val="21"/>
          <w:szCs w:val="21"/>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52270308">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highlight w:val="none"/>
          <w:shd w:val="clear" w:color="auto" w:fill="FFFFFF"/>
        </w:rPr>
      </w:pPr>
      <w:r>
        <w:rPr>
          <w:rFonts w:hint="eastAsia" w:cs="宋体"/>
          <w:sz w:val="21"/>
          <w:szCs w:val="21"/>
          <w:highlight w:val="none"/>
          <w:shd w:val="clear" w:color="auto" w:fill="FFFFFF"/>
        </w:rPr>
        <w:t>八、本规定由工业和信息化部、国家统计局会同有关部门根据《国民经济行业分类》修订情况和企业发展变化情况适时修订。</w:t>
      </w:r>
    </w:p>
    <w:p w14:paraId="61372A27">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highlight w:val="none"/>
          <w:shd w:val="clear" w:color="auto" w:fill="FFFFFF"/>
        </w:rPr>
      </w:pPr>
      <w:r>
        <w:rPr>
          <w:rFonts w:hint="eastAsia" w:cs="宋体"/>
          <w:sz w:val="21"/>
          <w:szCs w:val="21"/>
          <w:highlight w:val="none"/>
          <w:shd w:val="clear" w:color="auto" w:fill="FFFFFF"/>
        </w:rPr>
        <w:t>九、本规定由工业和信息化部、国家统计局会同有关部门负责解释。</w:t>
      </w:r>
    </w:p>
    <w:p w14:paraId="1DA18C42">
      <w:pPr>
        <w:pStyle w:val="9"/>
        <w:shd w:val="clear" w:color="auto" w:fill="FFFFFF"/>
        <w:adjustRightInd w:val="0"/>
        <w:snapToGrid w:val="0"/>
        <w:spacing w:before="0" w:beforeAutospacing="0" w:after="0" w:afterAutospacing="0" w:line="360" w:lineRule="auto"/>
        <w:ind w:firstLine="420" w:firstLineChars="200"/>
        <w:jc w:val="both"/>
        <w:rPr>
          <w:rFonts w:cs="宋体"/>
          <w:sz w:val="21"/>
          <w:szCs w:val="21"/>
          <w:highlight w:val="none"/>
          <w:shd w:val="clear" w:color="auto" w:fill="FFFFFF"/>
        </w:rPr>
      </w:pPr>
      <w:r>
        <w:rPr>
          <w:rFonts w:hint="eastAsia" w:cs="宋体"/>
          <w:sz w:val="21"/>
          <w:szCs w:val="21"/>
          <w:highlight w:val="none"/>
          <w:shd w:val="clear" w:color="auto" w:fill="FFFFFF"/>
        </w:rPr>
        <w:t>十、本规定自发布之日起执行，原国家经贸委、原国家计委、财政部和国家统计局2003年颁布的《中小企业标准暂行规定》国经贸中小企〔2003〕143号同时废止。</w:t>
      </w:r>
    </w:p>
    <w:p w14:paraId="3A94BF8A">
      <w:pPr>
        <w:pStyle w:val="38"/>
        <w:rPr>
          <w:highlight w:val="none"/>
        </w:rPr>
      </w:pPr>
    </w:p>
    <w:p w14:paraId="68D8338C">
      <w:pPr>
        <w:spacing w:line="360" w:lineRule="auto"/>
        <w:ind w:left="420" w:leftChars="200"/>
        <w:jc w:val="left"/>
        <w:rPr>
          <w:rFonts w:ascii="宋体" w:cs="黑体"/>
          <w:szCs w:val="32"/>
          <w:highlight w:val="none"/>
        </w:rPr>
      </w:pPr>
      <w:r>
        <w:rPr>
          <w:rFonts w:ascii="宋体" w:cs="黑体"/>
          <w:szCs w:val="32"/>
          <w:highlight w:val="none"/>
        </w:rPr>
        <w:br w:type="page"/>
      </w:r>
    </w:p>
    <w:p w14:paraId="22B9D70B">
      <w:pPr>
        <w:widowControl/>
        <w:jc w:val="center"/>
        <w:rPr>
          <w:rFonts w:ascii="宋体" w:cs="黑体"/>
          <w:szCs w:val="32"/>
          <w:highlight w:val="none"/>
        </w:rPr>
      </w:pPr>
    </w:p>
    <w:p w14:paraId="44D41913">
      <w:pPr>
        <w:widowControl/>
        <w:jc w:val="center"/>
        <w:outlineLvl w:val="0"/>
        <w:rPr>
          <w:szCs w:val="21"/>
          <w:highlight w:val="none"/>
        </w:rPr>
      </w:pPr>
      <w:bookmarkStart w:id="120" w:name="_Toc14634"/>
      <w:r>
        <w:rPr>
          <w:rFonts w:hint="eastAsia" w:ascii="宋体" w:cs="黑体"/>
          <w:b/>
          <w:bCs/>
          <w:sz w:val="32"/>
          <w:szCs w:val="32"/>
          <w:highlight w:val="none"/>
        </w:rPr>
        <w:t>第三章</w:t>
      </w:r>
      <w:r>
        <w:rPr>
          <w:rFonts w:ascii="宋体" w:cs="黑体"/>
          <w:b/>
          <w:bCs/>
          <w:sz w:val="32"/>
          <w:szCs w:val="32"/>
          <w:highlight w:val="none"/>
        </w:rPr>
        <w:t xml:space="preserve"> </w:t>
      </w:r>
      <w:r>
        <w:rPr>
          <w:rFonts w:hint="eastAsia"/>
          <w:b/>
          <w:bCs/>
          <w:sz w:val="32"/>
          <w:szCs w:val="32"/>
          <w:highlight w:val="none"/>
        </w:rPr>
        <w:t>合同书样式及主要条款</w:t>
      </w:r>
      <w:bookmarkEnd w:id="68"/>
      <w:bookmarkEnd w:id="120"/>
    </w:p>
    <w:p w14:paraId="1BBB86E3">
      <w:pPr>
        <w:rPr>
          <w:highlight w:val="none"/>
        </w:rPr>
      </w:pPr>
    </w:p>
    <w:tbl>
      <w:tblPr>
        <w:tblStyle w:val="40"/>
        <w:tblW w:w="1006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65"/>
      </w:tblGrid>
      <w:tr w14:paraId="59B0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065" w:type="dxa"/>
            <w:noWrap/>
            <w:vAlign w:val="center"/>
          </w:tcPr>
          <w:p w14:paraId="1F36F1CE">
            <w:pPr>
              <w:keepNext w:val="0"/>
              <w:keepLines w:val="0"/>
              <w:widowControl/>
              <w:suppressLineNumbers w:val="0"/>
              <w:jc w:val="center"/>
              <w:rPr>
                <w:rFonts w:ascii="黑体" w:eastAsia="黑体" w:cs="黑体"/>
                <w:color w:val="000000"/>
                <w:kern w:val="0"/>
                <w:sz w:val="46"/>
                <w:szCs w:val="46"/>
                <w:highlight w:val="none"/>
                <w:lang w:val="en-US" w:eastAsia="zh-CN"/>
              </w:rPr>
            </w:pPr>
            <w:r>
              <w:rPr>
                <w:rFonts w:hint="eastAsia" w:ascii="微软雅黑" w:hAnsi="微软雅黑" w:eastAsia="微软雅黑" w:cs="微软雅黑"/>
                <w:b/>
                <w:bCs/>
                <w:color w:val="000000"/>
                <w:kern w:val="0"/>
                <w:sz w:val="28"/>
                <w:szCs w:val="28"/>
                <w:lang w:bidi="ar"/>
              </w:rPr>
              <w:t>（该合同仅供参考，具体合同条款由</w:t>
            </w:r>
            <w:r>
              <w:rPr>
                <w:rFonts w:hint="eastAsia" w:ascii="微软雅黑" w:hAnsi="微软雅黑" w:eastAsia="微软雅黑" w:cs="微软雅黑"/>
                <w:b/>
                <w:bCs/>
                <w:color w:val="000000"/>
                <w:kern w:val="0"/>
                <w:sz w:val="28"/>
                <w:szCs w:val="28"/>
                <w:lang w:val="en-US" w:eastAsia="zh-CN" w:bidi="ar"/>
              </w:rPr>
              <w:t>成交供应商</w:t>
            </w:r>
            <w:r>
              <w:rPr>
                <w:rFonts w:hint="eastAsia" w:ascii="微软雅黑" w:hAnsi="微软雅黑" w:eastAsia="微软雅黑" w:cs="微软雅黑"/>
                <w:b/>
                <w:bCs/>
                <w:color w:val="000000"/>
                <w:kern w:val="0"/>
                <w:sz w:val="28"/>
                <w:szCs w:val="28"/>
                <w:lang w:bidi="ar"/>
              </w:rPr>
              <w:t>与</w:t>
            </w:r>
            <w:r>
              <w:rPr>
                <w:rFonts w:hint="eastAsia" w:ascii="微软雅黑" w:hAnsi="微软雅黑" w:eastAsia="微软雅黑" w:cs="微软雅黑"/>
                <w:b/>
                <w:bCs/>
                <w:color w:val="000000"/>
                <w:kern w:val="0"/>
                <w:sz w:val="28"/>
                <w:szCs w:val="28"/>
                <w:lang w:val="en-US" w:eastAsia="zh-CN" w:bidi="ar"/>
              </w:rPr>
              <w:t>采购</w:t>
            </w:r>
            <w:r>
              <w:rPr>
                <w:rFonts w:hint="eastAsia" w:ascii="微软雅黑" w:hAnsi="微软雅黑" w:eastAsia="微软雅黑" w:cs="微软雅黑"/>
                <w:b/>
                <w:bCs/>
                <w:color w:val="000000"/>
                <w:kern w:val="0"/>
                <w:sz w:val="28"/>
                <w:szCs w:val="28"/>
                <w:lang w:bidi="ar"/>
              </w:rPr>
              <w:t>人协商后确定）</w:t>
            </w:r>
          </w:p>
          <w:p w14:paraId="56DD2A15">
            <w:pPr>
              <w:keepNext w:val="0"/>
              <w:keepLines w:val="0"/>
              <w:widowControl/>
              <w:suppressLineNumbers w:val="0"/>
              <w:jc w:val="center"/>
              <w:rPr>
                <w:rFonts w:ascii="黑体" w:eastAsia="黑体" w:cs="黑体"/>
                <w:color w:val="000000"/>
                <w:kern w:val="0"/>
                <w:sz w:val="72"/>
                <w:szCs w:val="72"/>
                <w:highlight w:val="none"/>
                <w:lang w:val="en-US" w:eastAsia="zh-CN"/>
              </w:rPr>
            </w:pPr>
          </w:p>
          <w:p w14:paraId="3B94027C">
            <w:pPr>
              <w:keepNext w:val="0"/>
              <w:keepLines w:val="0"/>
              <w:widowControl/>
              <w:suppressLineNumbers w:val="0"/>
              <w:jc w:val="center"/>
              <w:rPr>
                <w:sz w:val="72"/>
                <w:szCs w:val="72"/>
                <w:highlight w:val="none"/>
              </w:rPr>
            </w:pPr>
            <w:r>
              <w:rPr>
                <w:rFonts w:ascii="黑体" w:eastAsia="黑体" w:cs="黑体"/>
                <w:color w:val="000000"/>
                <w:kern w:val="0"/>
                <w:sz w:val="72"/>
                <w:szCs w:val="72"/>
                <w:highlight w:val="none"/>
                <w:lang w:val="en-US" w:eastAsia="zh-CN"/>
              </w:rPr>
              <w:t>政府采购合同</w:t>
            </w:r>
          </w:p>
          <w:p w14:paraId="0A6934A0">
            <w:pPr>
              <w:keepNext w:val="0"/>
              <w:keepLines w:val="0"/>
              <w:widowControl/>
              <w:suppressLineNumbers w:val="0"/>
              <w:jc w:val="center"/>
              <w:rPr>
                <w:rFonts w:hint="eastAsia" w:ascii="微软雅黑" w:eastAsia="微软雅黑" w:cs="微软雅黑"/>
                <w:color w:val="000000"/>
                <w:kern w:val="0"/>
                <w:sz w:val="22"/>
                <w:szCs w:val="22"/>
                <w:highlight w:val="none"/>
                <w:lang w:val="en-US" w:eastAsia="zh-CN"/>
              </w:rPr>
            </w:pPr>
          </w:p>
          <w:p w14:paraId="3F20A0AC">
            <w:pPr>
              <w:keepNext w:val="0"/>
              <w:keepLines w:val="0"/>
              <w:widowControl/>
              <w:suppressLineNumbers w:val="0"/>
              <w:jc w:val="center"/>
              <w:rPr>
                <w:rFonts w:ascii="微软雅黑" w:eastAsia="微软雅黑" w:cs="微软雅黑"/>
                <w:color w:val="000000"/>
                <w:kern w:val="0"/>
                <w:sz w:val="22"/>
                <w:szCs w:val="22"/>
                <w:highlight w:val="none"/>
                <w:lang w:val="en-US" w:eastAsia="zh-CN"/>
              </w:rPr>
            </w:pPr>
            <w:r>
              <w:rPr>
                <w:rFonts w:hint="eastAsia" w:ascii="微软雅黑" w:eastAsia="微软雅黑" w:cs="微软雅黑"/>
                <w:color w:val="000000"/>
                <w:kern w:val="0"/>
                <w:sz w:val="22"/>
                <w:szCs w:val="22"/>
                <w:highlight w:val="none"/>
                <w:lang w:val="en-US" w:eastAsia="zh-CN"/>
              </w:rPr>
              <w:t>（电子交易项目适用）</w:t>
            </w:r>
          </w:p>
          <w:p w14:paraId="15DF693B">
            <w:pPr>
              <w:keepNext w:val="0"/>
              <w:keepLines w:val="0"/>
              <w:widowControl/>
              <w:suppressLineNumbers w:val="0"/>
              <w:jc w:val="center"/>
              <w:rPr>
                <w:rFonts w:ascii="微软雅黑" w:eastAsia="微软雅黑" w:cs="微软雅黑"/>
                <w:color w:val="000000"/>
                <w:kern w:val="0"/>
                <w:sz w:val="22"/>
                <w:szCs w:val="22"/>
                <w:highlight w:val="none"/>
                <w:lang w:val="en-US" w:eastAsia="zh-CN"/>
              </w:rPr>
            </w:pPr>
          </w:p>
          <w:p w14:paraId="7C598C40">
            <w:pPr>
              <w:keepNext w:val="0"/>
              <w:keepLines w:val="0"/>
              <w:widowControl/>
              <w:suppressLineNumbers w:val="0"/>
              <w:jc w:val="center"/>
              <w:rPr>
                <w:rFonts w:ascii="微软雅黑" w:eastAsia="微软雅黑" w:cs="微软雅黑"/>
                <w:color w:val="000000"/>
                <w:kern w:val="0"/>
                <w:sz w:val="32"/>
                <w:szCs w:val="32"/>
                <w:highlight w:val="none"/>
                <w:lang w:val="en-US" w:eastAsia="zh-CN"/>
              </w:rPr>
            </w:pPr>
          </w:p>
          <w:p w14:paraId="43EF89A8">
            <w:pPr>
              <w:keepNext w:val="0"/>
              <w:keepLines w:val="0"/>
              <w:widowControl/>
              <w:suppressLineNumbers w:val="0"/>
              <w:jc w:val="center"/>
              <w:rPr>
                <w:rFonts w:hint="eastAsia" w:ascii="微软雅黑" w:eastAsia="微软雅黑" w:cs="微软雅黑"/>
                <w:color w:val="000000"/>
                <w:kern w:val="0"/>
                <w:sz w:val="32"/>
                <w:szCs w:val="32"/>
                <w:highlight w:val="none"/>
                <w:lang w:val="en-US" w:eastAsia="zh-CN"/>
              </w:rPr>
            </w:pPr>
            <w:r>
              <w:rPr>
                <w:rFonts w:ascii="微软雅黑" w:eastAsia="微软雅黑" w:cs="微软雅黑"/>
                <w:color w:val="000000"/>
                <w:kern w:val="0"/>
                <w:sz w:val="32"/>
                <w:szCs w:val="32"/>
                <w:highlight w:val="none"/>
                <w:lang w:val="en-US" w:eastAsia="zh-CN"/>
              </w:rPr>
              <w:t>项 目 名 称：</w:t>
            </w:r>
            <w:r>
              <w:rPr>
                <w:rFonts w:hint="eastAsia" w:ascii="微软雅黑" w:eastAsia="微软雅黑" w:cs="微软雅黑"/>
                <w:color w:val="000000"/>
                <w:kern w:val="0"/>
                <w:sz w:val="32"/>
                <w:szCs w:val="32"/>
                <w:highlight w:val="none"/>
                <w:u w:val="single"/>
                <w:lang w:val="en-US" w:eastAsia="zh-CN"/>
              </w:rPr>
              <w:t>昆明经济技术开发区2025年度生态建设绩效追踪项目</w:t>
            </w:r>
          </w:p>
          <w:p w14:paraId="0EDE9897">
            <w:pPr>
              <w:keepNext w:val="0"/>
              <w:keepLines w:val="0"/>
              <w:widowControl/>
              <w:suppressLineNumbers w:val="0"/>
              <w:jc w:val="center"/>
              <w:rPr>
                <w:sz w:val="32"/>
                <w:szCs w:val="32"/>
                <w:highlight w:val="none"/>
              </w:rPr>
            </w:pPr>
            <w:r>
              <w:rPr>
                <w:rFonts w:hint="eastAsia" w:ascii="微软雅黑" w:eastAsia="微软雅黑" w:cs="微软雅黑"/>
                <w:color w:val="000000"/>
                <w:kern w:val="0"/>
                <w:sz w:val="32"/>
                <w:szCs w:val="32"/>
                <w:highlight w:val="none"/>
                <w:lang w:val="en-US" w:eastAsia="zh-CN"/>
              </w:rPr>
              <w:t>合 同 编 号：</w:t>
            </w:r>
            <w:r>
              <w:rPr>
                <w:rFonts w:hint="eastAsia" w:ascii="微软雅黑" w:eastAsia="微软雅黑" w:cs="微软雅黑"/>
                <w:color w:val="000000"/>
                <w:kern w:val="0"/>
                <w:sz w:val="32"/>
                <w:szCs w:val="32"/>
                <w:highlight w:val="none"/>
                <w:u w:val="single"/>
                <w:lang w:val="en-US" w:eastAsia="zh-CN"/>
              </w:rPr>
              <w:t xml:space="preserve">                       </w:t>
            </w:r>
            <w:r>
              <w:rPr>
                <w:rFonts w:hint="eastAsia" w:ascii="微软雅黑" w:eastAsia="微软雅黑" w:cs="微软雅黑"/>
                <w:color w:val="000000"/>
                <w:kern w:val="0"/>
                <w:sz w:val="32"/>
                <w:szCs w:val="32"/>
                <w:highlight w:val="none"/>
                <w:u w:val="none"/>
                <w:lang w:val="en-US" w:eastAsia="zh-CN"/>
              </w:rPr>
              <w:t>（系统编号）</w:t>
            </w:r>
          </w:p>
          <w:p w14:paraId="460F9186">
            <w:pPr>
              <w:keepNext w:val="0"/>
              <w:keepLines w:val="0"/>
              <w:widowControl/>
              <w:suppressLineNumbers w:val="0"/>
              <w:jc w:val="center"/>
              <w:rPr>
                <w:rFonts w:hint="eastAsia" w:ascii="Tahoma" w:hAnsi="Tahoma" w:eastAsia="Tahoma" w:cs="Tahoma"/>
                <w:color w:val="000000"/>
                <w:kern w:val="0"/>
                <w:sz w:val="32"/>
                <w:szCs w:val="32"/>
                <w:highlight w:val="none"/>
                <w:lang w:val="en-US" w:eastAsia="zh-CN"/>
              </w:rPr>
            </w:pPr>
            <w:r>
              <w:rPr>
                <w:rFonts w:hint="eastAsia" w:ascii="Tahoma" w:hAnsi="Tahoma" w:eastAsia="Tahoma" w:cs="Tahoma"/>
                <w:color w:val="000000"/>
                <w:kern w:val="0"/>
                <w:sz w:val="32"/>
                <w:szCs w:val="32"/>
                <w:highlight w:val="none"/>
                <w:lang w:val="en-US" w:eastAsia="zh-CN"/>
              </w:rPr>
              <w:t>（自编号，如有）</w:t>
            </w:r>
          </w:p>
          <w:p w14:paraId="22FEB2C9">
            <w:pPr>
              <w:keepNext w:val="0"/>
              <w:keepLines w:val="0"/>
              <w:widowControl/>
              <w:suppressLineNumbers w:val="0"/>
              <w:jc w:val="center"/>
              <w:rPr>
                <w:rFonts w:hint="eastAsia" w:ascii="微软雅黑" w:eastAsia="微软雅黑" w:cs="微软雅黑"/>
                <w:color w:val="000000"/>
                <w:kern w:val="0"/>
                <w:sz w:val="32"/>
                <w:szCs w:val="32"/>
                <w:highlight w:val="none"/>
                <w:lang w:val="en-US" w:eastAsia="zh-CN"/>
              </w:rPr>
            </w:pPr>
          </w:p>
          <w:p w14:paraId="69B698F2">
            <w:pPr>
              <w:keepNext w:val="0"/>
              <w:keepLines w:val="0"/>
              <w:widowControl/>
              <w:suppressLineNumbers w:val="0"/>
              <w:jc w:val="center"/>
              <w:rPr>
                <w:rFonts w:hint="eastAsia" w:ascii="微软雅黑" w:eastAsia="微软雅黑" w:cs="微软雅黑"/>
                <w:color w:val="000000"/>
                <w:kern w:val="0"/>
                <w:sz w:val="32"/>
                <w:szCs w:val="32"/>
                <w:highlight w:val="none"/>
                <w:lang w:val="en-US" w:eastAsia="zh-CN"/>
              </w:rPr>
            </w:pPr>
          </w:p>
          <w:p w14:paraId="329570C4">
            <w:pPr>
              <w:keepNext w:val="0"/>
              <w:keepLines w:val="0"/>
              <w:widowControl/>
              <w:suppressLineNumbers w:val="0"/>
              <w:jc w:val="center"/>
              <w:rPr>
                <w:rFonts w:hint="eastAsia" w:ascii="微软雅黑" w:eastAsia="微软雅黑" w:cs="微软雅黑"/>
                <w:color w:val="000000"/>
                <w:kern w:val="0"/>
                <w:sz w:val="32"/>
                <w:szCs w:val="32"/>
                <w:highlight w:val="none"/>
                <w:lang w:val="en-US" w:eastAsia="zh-CN"/>
              </w:rPr>
            </w:pPr>
          </w:p>
          <w:p w14:paraId="2037849E">
            <w:pPr>
              <w:keepNext w:val="0"/>
              <w:keepLines w:val="0"/>
              <w:widowControl/>
              <w:suppressLineNumbers w:val="0"/>
              <w:jc w:val="center"/>
              <w:rPr>
                <w:rFonts w:hint="eastAsia" w:ascii="微软雅黑" w:eastAsia="微软雅黑" w:cs="微软雅黑"/>
                <w:color w:val="000000"/>
                <w:kern w:val="0"/>
                <w:sz w:val="32"/>
                <w:szCs w:val="32"/>
                <w:highlight w:val="none"/>
                <w:lang w:val="en-US" w:eastAsia="zh-CN"/>
              </w:rPr>
            </w:pPr>
          </w:p>
          <w:p w14:paraId="5DBE9E5E">
            <w:pPr>
              <w:keepNext w:val="0"/>
              <w:keepLines w:val="0"/>
              <w:widowControl/>
              <w:suppressLineNumbers w:val="0"/>
              <w:jc w:val="center"/>
              <w:rPr>
                <w:sz w:val="32"/>
                <w:szCs w:val="32"/>
                <w:highlight w:val="none"/>
              </w:rPr>
            </w:pPr>
            <w:r>
              <w:rPr>
                <w:rFonts w:hint="eastAsia" w:ascii="微软雅黑" w:eastAsia="微软雅黑" w:cs="微软雅黑"/>
                <w:color w:val="000000"/>
                <w:kern w:val="0"/>
                <w:sz w:val="32"/>
                <w:szCs w:val="32"/>
                <w:highlight w:val="none"/>
                <w:lang w:val="en-US" w:eastAsia="zh-CN"/>
              </w:rPr>
              <w:t>甲  方：</w:t>
            </w:r>
            <w:r>
              <w:rPr>
                <w:rFonts w:hint="eastAsia" w:ascii="微软雅黑" w:eastAsia="微软雅黑" w:cs="微软雅黑"/>
                <w:color w:val="000000"/>
                <w:kern w:val="0"/>
                <w:sz w:val="32"/>
                <w:szCs w:val="32"/>
                <w:highlight w:val="none"/>
                <w:u w:val="single"/>
                <w:lang w:val="en-US" w:eastAsia="zh-CN"/>
              </w:rPr>
              <w:t>昆明市生态环境局经开分局</w:t>
            </w:r>
          </w:p>
          <w:p w14:paraId="1CD6D6F8">
            <w:pPr>
              <w:keepNext w:val="0"/>
              <w:keepLines w:val="0"/>
              <w:widowControl/>
              <w:suppressLineNumbers w:val="0"/>
              <w:jc w:val="center"/>
              <w:rPr>
                <w:rFonts w:hint="eastAsia" w:ascii="微软雅黑" w:eastAsia="微软雅黑" w:cs="微软雅黑"/>
                <w:color w:val="000000"/>
                <w:kern w:val="0"/>
                <w:sz w:val="32"/>
                <w:szCs w:val="32"/>
                <w:highlight w:val="none"/>
                <w:lang w:val="en-US" w:eastAsia="zh-CN"/>
              </w:rPr>
            </w:pPr>
          </w:p>
          <w:p w14:paraId="1D852640">
            <w:pPr>
              <w:keepNext w:val="0"/>
              <w:keepLines w:val="0"/>
              <w:widowControl/>
              <w:suppressLineNumbers w:val="0"/>
              <w:jc w:val="center"/>
              <w:rPr>
                <w:sz w:val="32"/>
                <w:szCs w:val="32"/>
                <w:highlight w:val="none"/>
                <w:u w:val="single"/>
                <w:lang w:val="en-US"/>
              </w:rPr>
            </w:pPr>
            <w:r>
              <w:rPr>
                <w:rFonts w:hint="eastAsia" w:ascii="微软雅黑" w:eastAsia="微软雅黑" w:cs="微软雅黑"/>
                <w:color w:val="000000"/>
                <w:kern w:val="0"/>
                <w:sz w:val="32"/>
                <w:szCs w:val="32"/>
                <w:highlight w:val="none"/>
                <w:lang w:val="en-US" w:eastAsia="zh-CN"/>
              </w:rPr>
              <w:t>乙  方：</w:t>
            </w:r>
            <w:r>
              <w:rPr>
                <w:rFonts w:hint="eastAsia" w:ascii="微软雅黑" w:eastAsia="微软雅黑" w:cs="微软雅黑"/>
                <w:color w:val="000000"/>
                <w:kern w:val="0"/>
                <w:sz w:val="32"/>
                <w:szCs w:val="32"/>
                <w:highlight w:val="none"/>
                <w:u w:val="single"/>
                <w:lang w:val="en-US" w:eastAsia="zh-CN"/>
              </w:rPr>
              <w:t xml:space="preserve">             .</w:t>
            </w:r>
          </w:p>
          <w:p w14:paraId="1AB20C35">
            <w:pPr>
              <w:keepNext w:val="0"/>
              <w:keepLines w:val="0"/>
              <w:widowControl/>
              <w:suppressLineNumbers w:val="0"/>
              <w:jc w:val="center"/>
              <w:rPr>
                <w:rFonts w:hint="default" w:eastAsia="宋体" w:cs="宋体"/>
                <w:szCs w:val="21"/>
                <w:highlight w:val="none"/>
                <w:lang w:val="en-US" w:eastAsia="zh-CN"/>
              </w:rPr>
            </w:pPr>
            <w:r>
              <w:rPr>
                <w:rFonts w:hint="eastAsia" w:ascii="微软雅黑" w:eastAsia="微软雅黑" w:cs="微软雅黑"/>
                <w:color w:val="000000"/>
                <w:kern w:val="0"/>
                <w:sz w:val="32"/>
                <w:szCs w:val="32"/>
                <w:highlight w:val="none"/>
                <w:lang w:val="en-US" w:eastAsia="zh-CN"/>
              </w:rPr>
              <w:t>合同签订地点：</w:t>
            </w:r>
          </w:p>
        </w:tc>
      </w:tr>
    </w:tbl>
    <w:p w14:paraId="6051A3B0">
      <w:pPr>
        <w:spacing w:line="400" w:lineRule="exact"/>
        <w:ind w:left="1619" w:leftChars="771"/>
        <w:rPr>
          <w:rFonts w:ascii="宋体" w:cs="Tahoma"/>
          <w:szCs w:val="21"/>
          <w:highlight w:val="none"/>
        </w:rPr>
      </w:pPr>
    </w:p>
    <w:p w14:paraId="1F261CE5">
      <w:pPr>
        <w:widowControl/>
        <w:jc w:val="center"/>
        <w:rPr>
          <w:rFonts w:ascii="宋体"/>
          <w:b/>
          <w:sz w:val="32"/>
          <w:szCs w:val="32"/>
          <w:highlight w:val="none"/>
        </w:rPr>
      </w:pPr>
      <w:r>
        <w:rPr>
          <w:rFonts w:ascii="宋体"/>
          <w:b/>
          <w:sz w:val="32"/>
          <w:szCs w:val="32"/>
          <w:highlight w:val="none"/>
        </w:rPr>
        <w:br w:type="page"/>
      </w:r>
    </w:p>
    <w:p w14:paraId="4DE5FBF4">
      <w:pPr>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合同书样式</w:t>
      </w:r>
    </w:p>
    <w:p w14:paraId="0CB35024">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甲方：昆明市生态环境局经开分局</w:t>
      </w:r>
    </w:p>
    <w:p w14:paraId="3868DC62">
      <w:pPr>
        <w:keepNext w:val="0"/>
        <w:keepLines w:val="0"/>
        <w:pageBreakBefore w:val="0"/>
        <w:kinsoku/>
        <w:wordWrap/>
        <w:overflowPunct/>
        <w:topLinePunct w:val="0"/>
        <w:bidi w:val="0"/>
        <w:spacing w:line="360" w:lineRule="auto"/>
        <w:ind w:firstLine="420" w:firstLineChars="200"/>
        <w:textAlignment w:val="auto"/>
        <w:outlineLvl w:val="9"/>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w:t>
      </w:r>
    </w:p>
    <w:p w14:paraId="46158ADD">
      <w:pPr>
        <w:adjustRightInd w:val="0"/>
        <w:snapToGrid w:val="0"/>
        <w:spacing w:line="360" w:lineRule="auto"/>
        <w:ind w:firstLine="420" w:firstLineChars="0"/>
        <w:rPr>
          <w:rFonts w:hint="eastAsia" w:ascii="宋体" w:hAnsi="宋体" w:eastAsia="宋体" w:cs="宋体"/>
          <w:szCs w:val="21"/>
          <w:highlight w:val="none"/>
        </w:rPr>
      </w:pPr>
      <w:r>
        <w:rPr>
          <w:rFonts w:hint="eastAsia" w:ascii="宋体" w:hAnsi="宋体" w:eastAsia="宋体" w:cs="宋体"/>
          <w:szCs w:val="21"/>
          <w:highlight w:val="none"/>
        </w:rPr>
        <w:t>根据《中华人民共和国政府采购法》《中华人民共和国民法典》等有关法律法规规定，</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lang w:eastAsia="zh-CN"/>
        </w:rPr>
        <w:t>昆明市生态环境局经开分局</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(采购人名称)(以下简称：“甲方”)通过</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竞争性磋商</w:t>
      </w:r>
      <w:r>
        <w:rPr>
          <w:rFonts w:hint="eastAsia" w:ascii="宋体" w:hAnsi="宋体" w:eastAsia="宋体" w:cs="宋体"/>
          <w:szCs w:val="21"/>
          <w:highlight w:val="none"/>
          <w:u w:val="single"/>
          <w:lang w:val="en-US" w:eastAsia="zh-CN"/>
        </w:rPr>
        <w:t>采购</w:t>
      </w:r>
      <w:r>
        <w:rPr>
          <w:rFonts w:hint="eastAsia" w:ascii="宋体" w:hAnsi="宋体" w:cs="宋体"/>
          <w:szCs w:val="21"/>
          <w:highlight w:val="none"/>
          <w:u w:val="single"/>
          <w:lang w:val="en-US" w:eastAsia="zh-CN"/>
        </w:rPr>
        <w:t xml:space="preserve">方式  </w:t>
      </w:r>
      <w:r>
        <w:rPr>
          <w:rFonts w:hint="eastAsia" w:ascii="宋体" w:hAnsi="宋体" w:eastAsia="宋体" w:cs="宋体"/>
          <w:szCs w:val="21"/>
          <w:highlight w:val="none"/>
        </w:rPr>
        <w:t>确定</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(成交供应商名称)(以下简称：“乙方”)为</w:t>
      </w:r>
      <w:r>
        <w:rPr>
          <w:rFonts w:hint="eastAsia" w:ascii="宋体" w:hAnsi="宋体" w:cs="宋体"/>
          <w:szCs w:val="21"/>
          <w:highlight w:val="none"/>
          <w:u w:val="single"/>
          <w:lang w:val="en-US" w:eastAsia="zh-CN"/>
        </w:rPr>
        <w:t>昆明经济技术开发区2025年度生态建设绩效追踪项目</w:t>
      </w:r>
      <w:r>
        <w:rPr>
          <w:rFonts w:hint="eastAsia" w:ascii="宋体" w:hAnsi="宋体" w:eastAsia="宋体" w:cs="宋体"/>
          <w:szCs w:val="21"/>
          <w:highlight w:val="none"/>
        </w:rPr>
        <w:t>的成交供应商。甲乙双方协商一致同意签署《</w:t>
      </w:r>
      <w:r>
        <w:rPr>
          <w:rFonts w:hint="eastAsia" w:ascii="宋体" w:hAnsi="宋体" w:cs="宋体"/>
          <w:szCs w:val="21"/>
          <w:highlight w:val="none"/>
          <w:lang w:val="en-US" w:eastAsia="zh-CN"/>
        </w:rPr>
        <w:t>昆明经济技术开发区2025年度生态建设绩效追踪项目</w:t>
      </w:r>
      <w:r>
        <w:rPr>
          <w:rFonts w:hint="eastAsia" w:ascii="宋体" w:hAnsi="宋体" w:eastAsia="宋体" w:cs="宋体"/>
          <w:szCs w:val="21"/>
          <w:highlight w:val="none"/>
        </w:rPr>
        <w:t>采购合同》</w:t>
      </w:r>
      <w:r>
        <w:rPr>
          <w:rFonts w:hint="eastAsia" w:ascii="宋体" w:hAnsi="宋体" w:eastAsia="宋体" w:cs="宋体"/>
          <w:szCs w:val="21"/>
          <w:highlight w:val="none"/>
          <w:lang w:eastAsia="zh-CN"/>
        </w:rPr>
        <w:t>（</w:t>
      </w:r>
      <w:r>
        <w:rPr>
          <w:rFonts w:hint="eastAsia" w:ascii="宋体" w:hAnsi="宋体" w:eastAsia="宋体" w:cs="宋体"/>
          <w:szCs w:val="21"/>
          <w:highlight w:val="none"/>
        </w:rPr>
        <w:t>以下简称：“合同”)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内容如下：</w:t>
      </w:r>
    </w:p>
    <w:p w14:paraId="21D99AAE">
      <w:pPr>
        <w:pStyle w:val="5"/>
        <w:tabs>
          <w:tab w:val="left" w:pos="0"/>
        </w:tabs>
        <w:spacing w:line="360" w:lineRule="auto"/>
        <w:rPr>
          <w:rFonts w:hint="eastAsia" w:cs="宋体"/>
          <w:szCs w:val="21"/>
        </w:rPr>
      </w:pPr>
      <w:bookmarkStart w:id="121" w:name="_Toc31264"/>
      <w:r>
        <w:rPr>
          <w:rFonts w:hint="eastAsia" w:cs="宋体"/>
          <w:szCs w:val="21"/>
        </w:rPr>
        <w:t>一、项目概况及服务内容</w:t>
      </w:r>
      <w:bookmarkEnd w:id="121"/>
    </w:p>
    <w:p w14:paraId="0C11097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rPr>
        <w:t xml:space="preserve">项目名称：昆明经济技术开发区2025年度生态建设绩效追踪项目。 </w:t>
      </w:r>
    </w:p>
    <w:p w14:paraId="5DEC257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zCs w:val="21"/>
          <w:lang w:eastAsia="zh-CN"/>
        </w:rPr>
        <w:t>（</w:t>
      </w: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rPr>
        <w:t>服务内容：根据《生态文明建设示范区（生态工业园区）管理办法》（环科财〔2026〕4号）第二十四条的规定，“生态工业园区每年编制《生态文明建设示范区（生态工业园区）</w:t>
      </w:r>
      <w:r>
        <w:rPr>
          <w:rFonts w:hint="eastAsia" w:ascii="宋体" w:hAnsi="宋体" w:cs="宋体"/>
          <w:color w:val="auto"/>
          <w:szCs w:val="21"/>
        </w:rPr>
        <w:t>年度工作报告》于次年6月30日前经省级生态环境厅报送协调机制工作组。”</w:t>
      </w:r>
    </w:p>
    <w:p w14:paraId="049EBD08">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1.基础资料收集调研</w:t>
      </w:r>
    </w:p>
    <w:p w14:paraId="194A923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2026年5月对2025年度昆明经开区开展</w:t>
      </w:r>
      <w:r>
        <w:rPr>
          <w:rFonts w:hint="eastAsia" w:ascii="宋体" w:hAnsi="Calibri" w:eastAsia="宋体" w:cs="宋体"/>
          <w:b w:val="0"/>
          <w:color w:val="auto"/>
          <w:spacing w:val="0"/>
          <w:kern w:val="2"/>
          <w:sz w:val="21"/>
          <w:szCs w:val="21"/>
          <w:highlight w:val="none"/>
          <w:lang w:val="en-US" w:eastAsia="zh-CN" w:bidi="ar-SA"/>
        </w:rPr>
        <w:t>生态文明建设示范区（生态工业园区）</w:t>
      </w:r>
      <w:r>
        <w:rPr>
          <w:rFonts w:hint="eastAsia" w:ascii="宋体" w:hAnsi="宋体" w:cs="宋体"/>
          <w:color w:val="auto"/>
          <w:szCs w:val="21"/>
        </w:rPr>
        <w:t>建设情况进行资料调研；收集园区基本情况、经济产业状况、环境现状、重点项目建设情况等方面的基础数据和工作情况。</w:t>
      </w:r>
    </w:p>
    <w:p w14:paraId="1868D16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2.编制报告</w:t>
      </w:r>
    </w:p>
    <w:p w14:paraId="7B1C5AC2">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按照《生态工业园区建设标准》的指标体系，从评价基本要求和选</w:t>
      </w:r>
      <w:r>
        <w:rPr>
          <w:rFonts w:hint="eastAsia" w:ascii="宋体" w:hAnsi="宋体" w:cs="宋体"/>
          <w:color w:val="auto"/>
          <w:szCs w:val="21"/>
          <w:lang w:eastAsia="zh-CN"/>
        </w:rPr>
        <w:t>取的</w:t>
      </w:r>
      <w:r>
        <w:rPr>
          <w:rFonts w:hint="eastAsia" w:ascii="宋体" w:hAnsi="宋体" w:cs="宋体"/>
          <w:color w:val="auto"/>
          <w:szCs w:val="21"/>
        </w:rPr>
        <w:t>指标总结园区2025年度生态建设情况，计算各指标的达标情况，分析存在问题，提出下一步工作计划和对策，2026年5月底前编制形成《昆明经济技术开发区生态文明建设示范区（生态工业园区）2025年度工作报告》。</w:t>
      </w:r>
    </w:p>
    <w:p w14:paraId="23AE7759">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3.征求意见</w:t>
      </w:r>
    </w:p>
    <w:p w14:paraId="1E72A60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2026年6月上旬报告初稿形成后，采购人征求各相关部门意见建议，供应商根据反馈意见修改完善报告内容。</w:t>
      </w:r>
    </w:p>
    <w:p w14:paraId="3980F47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4.提交报送</w:t>
      </w:r>
    </w:p>
    <w:p w14:paraId="28FCAD4B">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2026年6月</w:t>
      </w:r>
      <w:r>
        <w:rPr>
          <w:rFonts w:hint="eastAsia" w:ascii="宋体" w:cs="宋体"/>
          <w:b w:val="0"/>
          <w:color w:val="auto"/>
          <w:spacing w:val="0"/>
          <w:kern w:val="2"/>
          <w:sz w:val="21"/>
          <w:szCs w:val="21"/>
          <w:highlight w:val="none"/>
          <w:lang w:val="en-US" w:eastAsia="zh-CN" w:bidi="ar-SA"/>
        </w:rPr>
        <w:t>20日</w:t>
      </w:r>
      <w:r>
        <w:rPr>
          <w:rFonts w:hint="eastAsia" w:ascii="宋体" w:hAnsi="Calibri" w:eastAsia="宋体" w:cs="宋体"/>
          <w:b w:val="0"/>
          <w:color w:val="auto"/>
          <w:spacing w:val="0"/>
          <w:kern w:val="2"/>
          <w:sz w:val="21"/>
          <w:szCs w:val="21"/>
          <w:highlight w:val="none"/>
          <w:lang w:val="en-US" w:eastAsia="zh-CN" w:bidi="ar-SA"/>
        </w:rPr>
        <w:t>前报告完善后报省生态环境厅审核，</w:t>
      </w:r>
      <w:r>
        <w:rPr>
          <w:rFonts w:hint="eastAsia" w:ascii="宋体" w:cs="宋体"/>
          <w:b w:val="0"/>
          <w:color w:val="auto"/>
          <w:spacing w:val="0"/>
          <w:kern w:val="2"/>
          <w:sz w:val="21"/>
          <w:szCs w:val="21"/>
          <w:highlight w:val="none"/>
          <w:lang w:val="en-US" w:eastAsia="zh-CN" w:bidi="ar-SA"/>
        </w:rPr>
        <w:t>6月30日前</w:t>
      </w:r>
      <w:r>
        <w:rPr>
          <w:rFonts w:hint="eastAsia" w:ascii="宋体" w:hAnsi="Calibri" w:eastAsia="宋体" w:cs="宋体"/>
          <w:b w:val="0"/>
          <w:color w:val="auto"/>
          <w:spacing w:val="0"/>
          <w:kern w:val="2"/>
          <w:sz w:val="21"/>
          <w:szCs w:val="21"/>
          <w:highlight w:val="none"/>
          <w:lang w:val="en-US" w:eastAsia="zh-CN" w:bidi="ar-SA"/>
        </w:rPr>
        <w:t>最终提交报至协调机制工作组。</w:t>
      </w:r>
    </w:p>
    <w:p w14:paraId="6845A645">
      <w:pPr>
        <w:adjustRightInd w:val="0"/>
        <w:snapToGrid w:val="0"/>
        <w:spacing w:line="360" w:lineRule="auto"/>
        <w:ind w:firstLine="420" w:firstLineChars="200"/>
        <w:rPr>
          <w:rFonts w:hint="eastAsia" w:ascii="宋体" w:hAnsi="宋体" w:cs="宋体"/>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三</w:t>
      </w:r>
      <w:r>
        <w:rPr>
          <w:rFonts w:hint="eastAsia" w:ascii="宋体" w:hAnsi="宋体" w:cs="宋体"/>
          <w:color w:val="auto"/>
          <w:szCs w:val="21"/>
          <w:lang w:eastAsia="zh-CN"/>
        </w:rPr>
        <w:t>）</w:t>
      </w:r>
      <w:r>
        <w:rPr>
          <w:rFonts w:hint="eastAsia" w:ascii="宋体" w:hAnsi="宋体" w:cs="宋体"/>
          <w:color w:val="auto"/>
          <w:szCs w:val="21"/>
        </w:rPr>
        <w:t>合同履行期限：2026年6月底前完成《昆明</w:t>
      </w:r>
      <w:r>
        <w:rPr>
          <w:rFonts w:hint="eastAsia" w:ascii="宋体" w:hAnsi="宋体" w:cs="宋体"/>
          <w:szCs w:val="21"/>
        </w:rPr>
        <w:t>经济技术开发区生态文明建设示范区（生态工业园区）2025年度工作报告》编制，经省生态环境厅审核后提交至协调机制工作组。</w:t>
      </w:r>
    </w:p>
    <w:p w14:paraId="2BBC3BE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四</w:t>
      </w:r>
      <w:r>
        <w:rPr>
          <w:rFonts w:hint="eastAsia" w:ascii="宋体" w:hAnsi="宋体" w:cs="宋体"/>
          <w:szCs w:val="21"/>
          <w:lang w:eastAsia="zh-CN"/>
        </w:rPr>
        <w:t>）</w:t>
      </w:r>
      <w:r>
        <w:rPr>
          <w:rFonts w:hint="eastAsia" w:ascii="宋体" w:hAnsi="宋体" w:cs="宋体"/>
          <w:szCs w:val="21"/>
        </w:rPr>
        <w:t>服务地点：甲方指定地点。</w:t>
      </w:r>
    </w:p>
    <w:p w14:paraId="40B2A4F2">
      <w:pPr>
        <w:pStyle w:val="2"/>
        <w:adjustRightInd w:val="0"/>
        <w:snapToGrid w:val="0"/>
        <w:spacing w:after="0" w:line="360" w:lineRule="auto"/>
        <w:ind w:firstLine="420" w:firstLineChars="200"/>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五</w:t>
      </w:r>
      <w:r>
        <w:rPr>
          <w:rFonts w:hint="eastAsia" w:ascii="宋体" w:hAnsi="宋体" w:cs="宋体"/>
          <w:sz w:val="21"/>
          <w:szCs w:val="21"/>
          <w:lang w:eastAsia="zh-CN"/>
        </w:rPr>
        <w:t>）</w:t>
      </w:r>
      <w:r>
        <w:rPr>
          <w:rFonts w:hint="eastAsia" w:ascii="宋体" w:hAnsi="宋体" w:cs="宋体"/>
          <w:sz w:val="21"/>
          <w:szCs w:val="21"/>
        </w:rPr>
        <w:t>服务标准及要求：</w:t>
      </w:r>
    </w:p>
    <w:p w14:paraId="11E561E1">
      <w:pPr>
        <w:pStyle w:val="5"/>
        <w:tabs>
          <w:tab w:val="left" w:pos="0"/>
        </w:tabs>
        <w:spacing w:line="360" w:lineRule="auto"/>
        <w:rPr>
          <w:rFonts w:hint="eastAsia" w:cs="宋体"/>
          <w:szCs w:val="21"/>
        </w:rPr>
      </w:pPr>
      <w:bookmarkStart w:id="122" w:name="_Toc9041"/>
      <w:r>
        <w:rPr>
          <w:rFonts w:hint="eastAsia" w:cs="宋体"/>
          <w:szCs w:val="21"/>
        </w:rPr>
        <w:t>二、甲乙双方的权利和义务</w:t>
      </w:r>
      <w:bookmarkEnd w:id="122"/>
    </w:p>
    <w:p w14:paraId="3B1D4F6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（一）甲方的权利和义务</w:t>
      </w:r>
    </w:p>
    <w:p w14:paraId="5F82321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甲方应按本合同约定支付合同价款。</w:t>
      </w:r>
    </w:p>
    <w:p w14:paraId="3BF619E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甲方有权随时了解乙方的工作进展情况。</w:t>
      </w:r>
    </w:p>
    <w:p w14:paraId="6536ADB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甲方应向乙方提供为完成服务工作所需要的信息、资料和其他相关协助。</w:t>
      </w:r>
    </w:p>
    <w:p w14:paraId="65A799C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甲方有权按照本合同约定对乙方提供的工作成果进行验收。甲方有权确认各阶段及最终工作成果是否满足甲方具体需要及该项目是否验收合格。</w:t>
      </w:r>
    </w:p>
    <w:p w14:paraId="74B8647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甲方对乙方提供的工作成果进行验收，如发现与合同约定不符或不满足甲方需求，有权拒绝接受该工作成果。该工作成果已经提供给甲方的，甲方有权就与合同约定不符或不满足甲方需求的部分拒绝支付相应工作成果的合同价款。如造成甲方无法实现合同目的，甲方有权拒绝接受全部工作成果并拒绝支付全部合同价款。</w:t>
      </w:r>
    </w:p>
    <w:p w14:paraId="3142D968">
      <w:pPr>
        <w:adjustRightInd w:val="0"/>
        <w:snapToGrid w:val="0"/>
        <w:spacing w:line="360" w:lineRule="auto"/>
        <w:rPr>
          <w:rFonts w:hint="eastAsia" w:ascii="宋体" w:hAnsi="宋体" w:cs="宋体"/>
          <w:szCs w:val="21"/>
        </w:rPr>
      </w:pPr>
      <w:r>
        <w:rPr>
          <w:rFonts w:hint="eastAsia" w:ascii="宋体" w:hAnsi="宋体" w:cs="宋体"/>
          <w:szCs w:val="21"/>
        </w:rPr>
        <w:t>（二）乙方的权利和义务</w:t>
      </w:r>
    </w:p>
    <w:p w14:paraId="773B476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乙方应根据本合同的约定提供服务并提交工作成果。</w:t>
      </w:r>
    </w:p>
    <w:p w14:paraId="08374EE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乙方应根据本合同的约定提交相关文件、资料。</w:t>
      </w:r>
    </w:p>
    <w:p w14:paraId="45194FA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在合同履行过程中，乙方有义务协助甲方对工作成果进行验收。</w:t>
      </w:r>
    </w:p>
    <w:p w14:paraId="620A58B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乙方应按照本合同约定履行保密义务。</w:t>
      </w:r>
    </w:p>
    <w:p w14:paraId="653A5C9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在合同履行期间及工作成果提交后，对甲方提出的有关本合同项目的任何问题，乙方有义务提供后续服务，包括但不限于免费修改、免费咨询等。</w:t>
      </w:r>
    </w:p>
    <w:p w14:paraId="1DAF9783">
      <w:pPr>
        <w:pStyle w:val="2"/>
        <w:adjustRightInd w:val="0"/>
        <w:snapToGrid w:val="0"/>
        <w:spacing w:after="0" w:line="360" w:lineRule="auto"/>
        <w:ind w:firstLine="420" w:firstLineChars="200"/>
        <w:rPr>
          <w:rFonts w:hint="eastAsia" w:ascii="宋体" w:hAnsi="宋体" w:cs="宋体"/>
          <w:kern w:val="2"/>
          <w:sz w:val="21"/>
          <w:szCs w:val="21"/>
        </w:rPr>
      </w:pPr>
      <w:r>
        <w:rPr>
          <w:rFonts w:hint="eastAsia" w:ascii="宋体" w:hAnsi="宋体" w:cs="宋体"/>
          <w:kern w:val="2"/>
          <w:sz w:val="21"/>
          <w:szCs w:val="21"/>
        </w:rPr>
        <w:t>6</w:t>
      </w:r>
      <w:r>
        <w:rPr>
          <w:rFonts w:hint="eastAsia" w:ascii="宋体" w:hAnsi="宋体" w:cs="宋体"/>
          <w:kern w:val="2"/>
          <w:sz w:val="21"/>
          <w:szCs w:val="21"/>
          <w:lang w:val="en-US" w:eastAsia="zh-CN"/>
        </w:rPr>
        <w:t>.</w:t>
      </w:r>
      <w:r>
        <w:rPr>
          <w:rFonts w:hint="eastAsia" w:ascii="宋体" w:hAnsi="宋体" w:cs="宋体"/>
          <w:kern w:val="2"/>
          <w:sz w:val="21"/>
          <w:szCs w:val="21"/>
        </w:rPr>
        <w:t>满足国家及省级关于廉政和保密的相关要求。</w:t>
      </w:r>
    </w:p>
    <w:p w14:paraId="743A3014">
      <w:pPr>
        <w:pStyle w:val="5"/>
        <w:tabs>
          <w:tab w:val="left" w:pos="0"/>
        </w:tabs>
        <w:spacing w:line="360" w:lineRule="auto"/>
        <w:rPr>
          <w:rFonts w:hint="eastAsia" w:cs="宋体"/>
          <w:szCs w:val="21"/>
        </w:rPr>
      </w:pPr>
      <w:bookmarkStart w:id="123" w:name="_Toc16758"/>
      <w:bookmarkStart w:id="124" w:name="_Toc25666"/>
      <w:bookmarkStart w:id="125" w:name="_Toc18990"/>
      <w:bookmarkStart w:id="126" w:name="_Toc14116"/>
      <w:bookmarkStart w:id="127" w:name="_Toc18905"/>
      <w:r>
        <w:rPr>
          <w:rFonts w:hint="eastAsia" w:cs="宋体"/>
          <w:szCs w:val="21"/>
        </w:rPr>
        <w:t>三、项目成果提交及验收</w:t>
      </w:r>
      <w:bookmarkEnd w:id="123"/>
      <w:bookmarkEnd w:id="124"/>
      <w:bookmarkEnd w:id="125"/>
      <w:bookmarkEnd w:id="126"/>
      <w:bookmarkEnd w:id="127"/>
    </w:p>
    <w:p w14:paraId="2C9A56D2">
      <w:pPr>
        <w:widowControl/>
        <w:adjustRightInd w:val="0"/>
        <w:snapToGrid w:val="0"/>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乙方提交的成果通过生态环境主管部门组织的专家评审会，评审会专家不得由与甲乙双方双方有利害关系的人员单人，专家费用乙方承担。</w:t>
      </w:r>
    </w:p>
    <w:p w14:paraId="44D6379C">
      <w:pPr>
        <w:widowControl/>
        <w:adjustRightInd w:val="0"/>
        <w:snapToGrid w:val="0"/>
        <w:spacing w:line="360" w:lineRule="auto"/>
        <w:ind w:firstLine="420" w:firstLineChars="200"/>
        <w:jc w:val="left"/>
        <w:rPr>
          <w:rFonts w:hint="eastAsia" w:ascii="宋体" w:hAnsi="宋体" w:cs="宋体"/>
          <w:bCs/>
          <w:color w:val="000000"/>
          <w:szCs w:val="21"/>
          <w:lang w:val="en-US" w:eastAsia="zh-CN"/>
        </w:rPr>
      </w:pPr>
      <w:r>
        <w:rPr>
          <w:rFonts w:hint="eastAsia" w:ascii="宋体" w:hAnsi="宋体" w:cs="宋体"/>
          <w:bCs/>
          <w:color w:val="000000"/>
          <w:szCs w:val="21"/>
        </w:rPr>
        <w:t>具</w:t>
      </w:r>
      <w:r>
        <w:rPr>
          <w:rFonts w:hint="eastAsia" w:ascii="宋体" w:hAnsi="宋体" w:cs="宋体"/>
          <w:bCs/>
          <w:color w:val="000000"/>
          <w:szCs w:val="21"/>
          <w:lang w:val="en-US" w:eastAsia="zh-CN"/>
        </w:rPr>
        <w:t>体的验收标准和要求如下:</w:t>
      </w:r>
    </w:p>
    <w:p w14:paraId="366516E0">
      <w:pPr>
        <w:widowControl/>
        <w:adjustRightInd w:val="0"/>
        <w:snapToGrid w:val="0"/>
        <w:spacing w:line="360" w:lineRule="auto"/>
        <w:ind w:firstLine="420" w:firstLineChars="200"/>
        <w:jc w:val="left"/>
        <w:rPr>
          <w:rFonts w:hint="eastAsia" w:ascii="宋体" w:hAnsi="宋体" w:cs="宋体"/>
          <w:bCs/>
          <w:color w:val="000000"/>
          <w:szCs w:val="21"/>
          <w:lang w:val="en-US" w:eastAsia="zh-CN"/>
        </w:rPr>
      </w:pPr>
      <w:r>
        <w:rPr>
          <w:rFonts w:hint="eastAsia" w:ascii="宋体" w:hAnsi="宋体" w:cs="宋体"/>
          <w:bCs/>
          <w:color w:val="000000"/>
          <w:szCs w:val="21"/>
          <w:lang w:val="en-US" w:eastAsia="zh-CN"/>
        </w:rPr>
        <w:t>1.移交与本项目有关的相关服务成果和资料，具体验收由甲方组织。</w:t>
      </w:r>
    </w:p>
    <w:p w14:paraId="0D1D4148">
      <w:pPr>
        <w:widowControl/>
        <w:adjustRightInd w:val="0"/>
        <w:snapToGrid w:val="0"/>
        <w:spacing w:line="360" w:lineRule="auto"/>
        <w:ind w:firstLine="420" w:firstLineChars="200"/>
        <w:jc w:val="left"/>
        <w:rPr>
          <w:rFonts w:hint="eastAsia" w:ascii="宋体" w:hAnsi="宋体" w:cs="宋体"/>
          <w:bCs/>
          <w:color w:val="000000"/>
          <w:szCs w:val="21"/>
          <w:lang w:val="en-US" w:eastAsia="zh-CN"/>
        </w:rPr>
      </w:pPr>
      <w:r>
        <w:rPr>
          <w:rFonts w:hint="eastAsia" w:ascii="宋体" w:hAnsi="宋体" w:cs="宋体"/>
          <w:bCs/>
          <w:color w:val="000000"/>
          <w:szCs w:val="21"/>
          <w:lang w:val="en-US" w:eastAsia="zh-CN"/>
        </w:rPr>
        <w:t>2.乙方需协助为项目验收提供相关服务。</w:t>
      </w:r>
    </w:p>
    <w:p w14:paraId="065F693D">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bCs/>
          <w:color w:val="000000"/>
          <w:szCs w:val="21"/>
          <w:lang w:val="en-US" w:eastAsia="zh-CN"/>
        </w:rPr>
        <w:t>3.验收标准以投标文</w:t>
      </w:r>
      <w:r>
        <w:rPr>
          <w:rFonts w:hint="eastAsia" w:ascii="宋体" w:hAnsi="宋体" w:cs="宋体"/>
          <w:szCs w:val="21"/>
          <w:lang w:val="en-US" w:eastAsia="zh-CN"/>
        </w:rPr>
        <w:t>件和双方签订的合同内容为准。</w:t>
      </w:r>
    </w:p>
    <w:p w14:paraId="48B0C172">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4.项目成果提交及验收：乙方提交的成果通过云南省生态环境厅相关职能部门的审核，提交至生态工业园区建设协调机制工作组，若涉及费用，均由乙方承担。</w:t>
      </w:r>
    </w:p>
    <w:p w14:paraId="733D00C5">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具体的验收标准和要求如下:</w:t>
      </w:r>
    </w:p>
    <w:p w14:paraId="60B9BF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移交与本项目有关的相关服务成果和资料，具体验收由甲方组织。</w:t>
      </w:r>
    </w:p>
    <w:p w14:paraId="2CAD96A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乙方需协助为项目验收提供相关服务。</w:t>
      </w:r>
    </w:p>
    <w:p w14:paraId="3039BF13">
      <w:pPr>
        <w:adjustRightInd w:val="0"/>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③</w:t>
      </w:r>
      <w:r>
        <w:rPr>
          <w:rFonts w:hint="eastAsia" w:ascii="宋体" w:hAnsi="宋体" w:cs="宋体"/>
          <w:szCs w:val="21"/>
        </w:rPr>
        <w:t>验收标准以投标文件和双方签订的合同内容为准。</w:t>
      </w:r>
    </w:p>
    <w:p w14:paraId="5ECFDFC3">
      <w:pPr>
        <w:pStyle w:val="5"/>
        <w:tabs>
          <w:tab w:val="left" w:pos="0"/>
        </w:tabs>
        <w:spacing w:line="360" w:lineRule="auto"/>
        <w:rPr>
          <w:rFonts w:hint="eastAsia" w:cs="宋体"/>
          <w:szCs w:val="21"/>
        </w:rPr>
      </w:pPr>
      <w:bookmarkStart w:id="128" w:name="_Toc17683"/>
      <w:r>
        <w:rPr>
          <w:rFonts w:hint="eastAsia" w:cs="宋体"/>
          <w:szCs w:val="21"/>
        </w:rPr>
        <w:t>四、合同价款及付款方式</w:t>
      </w:r>
      <w:bookmarkEnd w:id="128"/>
    </w:p>
    <w:p w14:paraId="5EABEED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（1）合同价款</w:t>
      </w:r>
    </w:p>
    <w:tbl>
      <w:tblPr>
        <w:tblStyle w:val="4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2052"/>
        <w:gridCol w:w="6644"/>
      </w:tblGrid>
      <w:tr w14:paraId="6920A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2" w:hRule="atLeast"/>
          <w:jc w:val="center"/>
        </w:trPr>
        <w:tc>
          <w:tcPr>
            <w:tcW w:w="1180" w:type="pct"/>
            <w:vMerge w:val="restart"/>
            <w:tcBorders>
              <w:top w:val="single" w:color="auto" w:sz="6" w:space="0"/>
              <w:left w:val="single" w:color="auto" w:sz="6" w:space="0"/>
              <w:right w:val="single" w:color="auto" w:sz="6" w:space="0"/>
            </w:tcBorders>
            <w:noWrap w:val="0"/>
            <w:vAlign w:val="center"/>
          </w:tcPr>
          <w:p w14:paraId="17405647">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合同总价（元）</w:t>
            </w:r>
          </w:p>
        </w:tc>
        <w:tc>
          <w:tcPr>
            <w:tcW w:w="3819" w:type="pct"/>
            <w:tcBorders>
              <w:top w:val="single" w:color="auto" w:sz="6" w:space="0"/>
              <w:left w:val="single" w:color="auto" w:sz="6" w:space="0"/>
              <w:right w:val="single" w:color="auto" w:sz="6" w:space="0"/>
            </w:tcBorders>
            <w:noWrap w:val="0"/>
            <w:vAlign w:val="center"/>
          </w:tcPr>
          <w:p w14:paraId="70A9AA85">
            <w:p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小写：</w:t>
            </w:r>
          </w:p>
        </w:tc>
      </w:tr>
      <w:tr w14:paraId="7FDAE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7" w:hRule="atLeast"/>
          <w:jc w:val="center"/>
        </w:trPr>
        <w:tc>
          <w:tcPr>
            <w:tcW w:w="1180" w:type="pct"/>
            <w:vMerge w:val="continue"/>
            <w:tcBorders>
              <w:left w:val="single" w:color="auto" w:sz="6" w:space="0"/>
              <w:bottom w:val="single" w:color="auto" w:sz="6" w:space="0"/>
              <w:right w:val="single" w:color="auto" w:sz="6" w:space="0"/>
            </w:tcBorders>
            <w:noWrap w:val="0"/>
            <w:vAlign w:val="center"/>
          </w:tcPr>
          <w:p w14:paraId="5E050959">
            <w:pPr>
              <w:adjustRightInd w:val="0"/>
              <w:snapToGrid w:val="0"/>
              <w:spacing w:line="360" w:lineRule="auto"/>
              <w:ind w:firstLine="420"/>
              <w:jc w:val="center"/>
              <w:rPr>
                <w:rFonts w:hint="eastAsia" w:ascii="宋体" w:hAnsi="宋体" w:cs="宋体"/>
                <w:kern w:val="0"/>
                <w:szCs w:val="21"/>
              </w:rPr>
            </w:pPr>
          </w:p>
        </w:tc>
        <w:tc>
          <w:tcPr>
            <w:tcW w:w="3819" w:type="pct"/>
            <w:tcBorders>
              <w:left w:val="single" w:color="auto" w:sz="6" w:space="0"/>
              <w:bottom w:val="single" w:color="auto" w:sz="6" w:space="0"/>
              <w:right w:val="single" w:color="auto" w:sz="6" w:space="0"/>
            </w:tcBorders>
            <w:noWrap w:val="0"/>
            <w:vAlign w:val="center"/>
          </w:tcPr>
          <w:p w14:paraId="704D7518">
            <w:p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大写：</w:t>
            </w:r>
          </w:p>
        </w:tc>
      </w:tr>
    </w:tbl>
    <w:p w14:paraId="51D70E95">
      <w:pPr>
        <w:widowControl/>
        <w:adjustRightInd w:val="0"/>
        <w:snapToGrid w:val="0"/>
        <w:spacing w:line="360" w:lineRule="auto"/>
        <w:ind w:firstLine="210" w:firstLineChars="100"/>
        <w:rPr>
          <w:rFonts w:hint="eastAsia" w:ascii="宋体" w:hAnsi="宋体" w:cs="宋体"/>
          <w:szCs w:val="21"/>
        </w:rPr>
      </w:pPr>
      <w:r>
        <w:rPr>
          <w:rFonts w:hint="eastAsia" w:ascii="宋体" w:hAnsi="宋体" w:cs="宋体"/>
          <w:szCs w:val="21"/>
        </w:rPr>
        <w:t>（2）付款方式：</w:t>
      </w:r>
    </w:p>
    <w:p w14:paraId="2CCE7BE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①付款方式：</w:t>
      </w:r>
    </w:p>
    <w:p w14:paraId="70525108">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cs="宋体"/>
          <w:szCs w:val="21"/>
          <w:u w:val="none"/>
        </w:rPr>
        <w:t>付款方式：甲方按照合同约定的工作内容及工作进度一次性支付，项目验收完成后30个工作日内一次性支付合同金额</w:t>
      </w:r>
      <w:r>
        <w:rPr>
          <w:rFonts w:hint="eastAsia" w:ascii="宋体" w:hAnsi="宋体" w:cs="宋体"/>
          <w:bCs/>
          <w:szCs w:val="21"/>
        </w:rPr>
        <w:t>。</w:t>
      </w:r>
      <w:r>
        <w:rPr>
          <w:rFonts w:hint="eastAsia" w:ascii="宋体" w:hAnsi="宋体" w:cs="宋体"/>
          <w:szCs w:val="21"/>
        </w:rPr>
        <w:t>(注：该部分内容可根据甲方财政预算资金情况进行调整)</w:t>
      </w:r>
      <w:r>
        <w:rPr>
          <w:rFonts w:hint="eastAsia" w:ascii="宋体" w:hAnsi="宋体" w:cs="宋体"/>
          <w:szCs w:val="21"/>
          <w:lang w:eastAsia="zh-CN"/>
        </w:rPr>
        <w:t>。</w:t>
      </w:r>
    </w:p>
    <w:p w14:paraId="316738CF">
      <w:pPr>
        <w:adjustRightInd w:val="0"/>
        <w:snapToGrid w:val="0"/>
        <w:spacing w:line="360" w:lineRule="auto"/>
        <w:ind w:firstLine="420" w:firstLineChars="200"/>
        <w:rPr>
          <w:rFonts w:hint="eastAsia" w:ascii="宋体" w:hAnsi="宋体" w:cs="宋体"/>
          <w:szCs w:val="21"/>
        </w:rPr>
      </w:pPr>
      <w:r>
        <w:t>付款提示：在达到约定的甲方付款进度时，乙方应提前向甲方发出提示付款的书面通知和依法开具的正式、有效发票。否则，甲方有权拒绝支付该笔款项且不承担任何违约责任。</w:t>
      </w:r>
    </w:p>
    <w:p w14:paraId="1DABFD4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②乙方账号及开户行</w:t>
      </w:r>
    </w:p>
    <w:p w14:paraId="2789D853">
      <w:pPr>
        <w:tabs>
          <w:tab w:val="left" w:pos="6930"/>
        </w:tabs>
        <w:overflowPunct w:val="0"/>
        <w:autoSpaceDE w:val="0"/>
        <w:autoSpaceDN w:val="0"/>
        <w:adjustRightInd w:val="0"/>
        <w:snapToGrid w:val="0"/>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开户银行：</w:t>
      </w:r>
      <w:r>
        <w:rPr>
          <w:rFonts w:hint="eastAsia" w:ascii="宋体" w:hAnsi="宋体" w:cs="宋体"/>
          <w:kern w:val="0"/>
          <w:szCs w:val="21"/>
          <w:u w:val="single"/>
        </w:rPr>
        <w:t xml:space="preserve">                                                    </w:t>
      </w:r>
      <w:r>
        <w:rPr>
          <w:rFonts w:hint="eastAsia" w:ascii="宋体" w:hAnsi="宋体" w:cs="宋体"/>
          <w:kern w:val="0"/>
          <w:szCs w:val="21"/>
        </w:rPr>
        <w:t>。</w:t>
      </w:r>
    </w:p>
    <w:p w14:paraId="121FFC6F">
      <w:pPr>
        <w:tabs>
          <w:tab w:val="left" w:pos="6930"/>
        </w:tabs>
        <w:overflowPunct w:val="0"/>
        <w:autoSpaceDE w:val="0"/>
        <w:autoSpaceDN w:val="0"/>
        <w:adjustRightInd w:val="0"/>
        <w:snapToGrid w:val="0"/>
        <w:spacing w:line="360" w:lineRule="auto"/>
        <w:ind w:firstLine="210" w:firstLineChars="100"/>
        <w:jc w:val="left"/>
        <w:rPr>
          <w:rFonts w:hint="eastAsia" w:ascii="宋体" w:hAnsi="宋体" w:cs="宋体"/>
          <w:kern w:val="0"/>
          <w:szCs w:val="21"/>
          <w:u w:val="single"/>
        </w:rPr>
      </w:pPr>
      <w:r>
        <w:rPr>
          <w:rFonts w:hint="eastAsia" w:ascii="宋体" w:hAnsi="宋体" w:cs="宋体"/>
          <w:kern w:val="0"/>
          <w:szCs w:val="21"/>
        </w:rPr>
        <w:t>账号：</w:t>
      </w:r>
      <w:r>
        <w:rPr>
          <w:rFonts w:hint="eastAsia" w:ascii="宋体" w:hAnsi="宋体" w:cs="宋体"/>
          <w:kern w:val="0"/>
          <w:szCs w:val="21"/>
          <w:u w:val="single"/>
        </w:rPr>
        <w:t xml:space="preserve">                                                        </w:t>
      </w:r>
      <w:r>
        <w:rPr>
          <w:rFonts w:hint="eastAsia" w:ascii="宋体" w:hAnsi="宋体" w:cs="宋体"/>
          <w:kern w:val="0"/>
          <w:szCs w:val="21"/>
        </w:rPr>
        <w:t>。</w:t>
      </w:r>
    </w:p>
    <w:p w14:paraId="05E85A9A">
      <w:pPr>
        <w:tabs>
          <w:tab w:val="left" w:pos="6930"/>
        </w:tabs>
        <w:overflowPunct w:val="0"/>
        <w:autoSpaceDE w:val="0"/>
        <w:autoSpaceDN w:val="0"/>
        <w:adjustRightInd w:val="0"/>
        <w:snapToGrid w:val="0"/>
        <w:spacing w:line="360" w:lineRule="auto"/>
        <w:ind w:firstLine="210" w:firstLineChars="100"/>
        <w:jc w:val="left"/>
        <w:rPr>
          <w:rFonts w:hint="eastAsia" w:ascii="宋体" w:hAnsi="宋体" w:cs="宋体"/>
          <w:kern w:val="0"/>
          <w:szCs w:val="21"/>
          <w:u w:val="single"/>
        </w:rPr>
      </w:pPr>
      <w:r>
        <w:rPr>
          <w:rFonts w:hint="eastAsia" w:ascii="宋体" w:hAnsi="宋体" w:cs="宋体"/>
          <w:kern w:val="0"/>
          <w:szCs w:val="21"/>
        </w:rPr>
        <w:t>账户名称：</w:t>
      </w:r>
      <w:r>
        <w:rPr>
          <w:rFonts w:hint="eastAsia" w:ascii="宋体" w:hAnsi="宋体" w:cs="宋体"/>
          <w:kern w:val="0"/>
          <w:szCs w:val="21"/>
          <w:u w:val="single"/>
        </w:rPr>
        <w:t xml:space="preserve">                                                    </w:t>
      </w:r>
      <w:r>
        <w:rPr>
          <w:rFonts w:hint="eastAsia" w:ascii="宋体" w:hAnsi="宋体" w:cs="宋体"/>
          <w:kern w:val="0"/>
          <w:szCs w:val="21"/>
        </w:rPr>
        <w:t>。</w:t>
      </w:r>
    </w:p>
    <w:p w14:paraId="0BDB45FB">
      <w:pPr>
        <w:pStyle w:val="5"/>
        <w:tabs>
          <w:tab w:val="left" w:pos="0"/>
        </w:tabs>
        <w:spacing w:line="360" w:lineRule="auto"/>
        <w:rPr>
          <w:rFonts w:hint="eastAsia" w:cs="宋体"/>
          <w:szCs w:val="21"/>
        </w:rPr>
      </w:pPr>
      <w:bookmarkStart w:id="129" w:name="_Toc131557664"/>
      <w:bookmarkStart w:id="130" w:name="_Toc25638"/>
      <w:bookmarkStart w:id="131" w:name="_Toc7517"/>
      <w:bookmarkStart w:id="132" w:name="_Toc29325"/>
      <w:bookmarkStart w:id="133" w:name="_Toc27688"/>
      <w:r>
        <w:rPr>
          <w:rFonts w:hint="eastAsia" w:cs="宋体"/>
          <w:szCs w:val="21"/>
        </w:rPr>
        <w:t>五、</w:t>
      </w:r>
      <w:bookmarkEnd w:id="129"/>
      <w:r>
        <w:rPr>
          <w:rFonts w:hint="eastAsia" w:cs="宋体"/>
          <w:szCs w:val="21"/>
        </w:rPr>
        <w:t>技术支持</w:t>
      </w:r>
      <w:bookmarkEnd w:id="130"/>
      <w:bookmarkEnd w:id="131"/>
      <w:bookmarkEnd w:id="132"/>
      <w:bookmarkEnd w:id="133"/>
    </w:p>
    <w:p w14:paraId="47D7DFC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1.甲方在工作过程中发生技术、质量等问题，乙方应提供及时有效的技术支持及服务。</w:t>
      </w:r>
    </w:p>
    <w:p w14:paraId="40FDCBD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2.乙方应向甲方提供技术支持（售后服务）的名单、联系地址、联系电话。</w:t>
      </w:r>
    </w:p>
    <w:p w14:paraId="6397DF9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3.乙方技术支持（售后服务）联系人：</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p>
    <w:p w14:paraId="64DCE577">
      <w:pPr>
        <w:pStyle w:val="5"/>
        <w:tabs>
          <w:tab w:val="left" w:pos="0"/>
        </w:tabs>
        <w:spacing w:line="360" w:lineRule="auto"/>
        <w:rPr>
          <w:rFonts w:hint="eastAsia" w:cs="宋体"/>
          <w:szCs w:val="21"/>
        </w:rPr>
      </w:pPr>
      <w:bookmarkStart w:id="134" w:name="_Toc20528"/>
      <w:r>
        <w:rPr>
          <w:rFonts w:hint="eastAsia" w:cs="宋体"/>
          <w:szCs w:val="21"/>
        </w:rPr>
        <w:t>六、违约责任</w:t>
      </w:r>
      <w:bookmarkEnd w:id="134"/>
    </w:p>
    <w:p w14:paraId="7CD10FE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1.甲乙任意一方无正当理由提前终止合同的，除支付正常费用外，应向对方支付本项目总额的</w:t>
      </w:r>
      <w:r>
        <w:rPr>
          <w:rFonts w:hint="eastAsia" w:ascii="宋体" w:hAnsi="宋体" w:cs="宋体"/>
          <w:i/>
          <w:szCs w:val="21"/>
          <w:u w:val="single"/>
        </w:rPr>
        <w:t xml:space="preserve">       </w:t>
      </w:r>
      <w:r>
        <w:rPr>
          <w:rFonts w:hint="eastAsia" w:ascii="宋体" w:hAnsi="宋体" w:cs="宋体"/>
          <w:szCs w:val="21"/>
        </w:rPr>
        <w:t>的违约金；并赔偿相应的损失。</w:t>
      </w:r>
    </w:p>
    <w:p w14:paraId="4818A262">
      <w:pPr>
        <w:adjustRightInd w:val="0"/>
        <w:snapToGrid w:val="0"/>
        <w:spacing w:line="360" w:lineRule="auto"/>
        <w:ind w:firstLine="420" w:firstLineChars="200"/>
        <w:rPr>
          <w:rFonts w:ascii="宋体" w:hAnsi="宋体" w:cs="宋体"/>
          <w:szCs w:val="21"/>
        </w:rPr>
      </w:pPr>
      <w:r>
        <w:rPr>
          <w:rFonts w:hint="eastAsia" w:ascii="宋体" w:hAnsi="宋体" w:cs="宋体"/>
          <w:szCs w:val="21"/>
        </w:rPr>
        <w:t>2.按照合同签订的验收标准，乙方未通过验收或验收不达标，甲方有权按照验收标准中明确的处罚或处理要求，追究乙方责任。</w:t>
      </w:r>
    </w:p>
    <w:p w14:paraId="141B46F1">
      <w:pPr>
        <w:pStyle w:val="5"/>
        <w:tabs>
          <w:tab w:val="left" w:pos="0"/>
        </w:tabs>
        <w:spacing w:line="360" w:lineRule="auto"/>
        <w:rPr>
          <w:rFonts w:hint="eastAsia" w:cs="宋体"/>
          <w:szCs w:val="21"/>
        </w:rPr>
      </w:pPr>
      <w:bookmarkStart w:id="135" w:name="_Toc15796"/>
      <w:r>
        <w:rPr>
          <w:rFonts w:hint="eastAsia" w:cs="宋体"/>
          <w:szCs w:val="21"/>
        </w:rPr>
        <w:t>七、不可抗力</w:t>
      </w:r>
      <w:bookmarkEnd w:id="135"/>
    </w:p>
    <w:p w14:paraId="58DDC6B9">
      <w:pPr>
        <w:adjustRightInd w:val="0"/>
        <w:snapToGrid w:val="0"/>
        <w:spacing w:line="360" w:lineRule="auto"/>
        <w:ind w:firstLine="420" w:firstLineChars="200"/>
        <w:rPr>
          <w:rFonts w:hint="eastAsia" w:cs="宋体"/>
          <w:b w:val="0"/>
          <w:bCs w:val="0"/>
          <w:szCs w:val="21"/>
        </w:rPr>
      </w:pPr>
      <w:bookmarkStart w:id="136" w:name="_Toc5947"/>
      <w:r>
        <w:rPr>
          <w:rFonts w:hint="eastAsia" w:cs="宋体"/>
          <w:b w:val="0"/>
          <w:bCs w:val="0"/>
          <w:szCs w:val="21"/>
        </w:rPr>
        <w:t>任何一方由于不可抗力原因不能履行合同时，应在不可抗力事件结束后7日内向对方通报。</w:t>
      </w:r>
    </w:p>
    <w:p w14:paraId="1C8437DA">
      <w:pPr>
        <w:pStyle w:val="5"/>
        <w:tabs>
          <w:tab w:val="left" w:pos="0"/>
        </w:tabs>
        <w:spacing w:line="360" w:lineRule="auto"/>
        <w:rPr>
          <w:rFonts w:hint="eastAsia" w:cs="宋体"/>
          <w:szCs w:val="21"/>
        </w:rPr>
      </w:pPr>
      <w:r>
        <w:rPr>
          <w:rFonts w:hint="eastAsia" w:cs="宋体"/>
          <w:szCs w:val="21"/>
        </w:rPr>
        <w:t>八、争议的解决</w:t>
      </w:r>
      <w:bookmarkEnd w:id="136"/>
    </w:p>
    <w:p w14:paraId="6E6E355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甲乙双方在履行合同过程中发生纠纷，应及时向有关监督管理部门反映，以便相关部门进行协调或处理；也可直接向合同签订地人民法院起诉。</w:t>
      </w:r>
    </w:p>
    <w:p w14:paraId="0C0848AD">
      <w:pPr>
        <w:pStyle w:val="5"/>
        <w:tabs>
          <w:tab w:val="left" w:pos="0"/>
        </w:tabs>
        <w:spacing w:line="360" w:lineRule="auto"/>
        <w:rPr>
          <w:rFonts w:hint="eastAsia" w:cs="宋体"/>
          <w:szCs w:val="21"/>
        </w:rPr>
      </w:pPr>
      <w:bookmarkStart w:id="137" w:name="_Toc7712"/>
      <w:r>
        <w:rPr>
          <w:rFonts w:hint="eastAsia" w:cs="宋体"/>
          <w:szCs w:val="21"/>
        </w:rPr>
        <w:t>九、未尽事宜</w:t>
      </w:r>
      <w:bookmarkEnd w:id="137"/>
    </w:p>
    <w:p w14:paraId="6DE7E7E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本合同其他未尽事宜，按《中华人民共和国民法典》有关规定处理。</w:t>
      </w:r>
    </w:p>
    <w:p w14:paraId="41EC3449">
      <w:pPr>
        <w:pStyle w:val="5"/>
        <w:tabs>
          <w:tab w:val="left" w:pos="0"/>
        </w:tabs>
        <w:spacing w:line="360" w:lineRule="auto"/>
        <w:rPr>
          <w:rFonts w:hint="eastAsia" w:cs="宋体"/>
          <w:szCs w:val="21"/>
        </w:rPr>
      </w:pPr>
      <w:bookmarkStart w:id="138" w:name="_Toc8696"/>
      <w:r>
        <w:rPr>
          <w:rFonts w:hint="eastAsia" w:cs="宋体"/>
          <w:szCs w:val="21"/>
        </w:rPr>
        <w:t>十、合同生效与份数</w:t>
      </w:r>
      <w:bookmarkEnd w:id="138"/>
    </w:p>
    <w:p w14:paraId="357E7A2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1.合同自甲乙双方法定代表人或其委托代理人签字、盖章并骑缝之日起生效。</w:t>
      </w:r>
    </w:p>
    <w:p w14:paraId="0CC94BD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rPr>
        <w:t>份。</w:t>
      </w:r>
    </w:p>
    <w:p w14:paraId="028B8D37">
      <w:pPr>
        <w:pStyle w:val="5"/>
        <w:tabs>
          <w:tab w:val="left" w:pos="0"/>
        </w:tabs>
        <w:spacing w:line="360" w:lineRule="auto"/>
        <w:rPr>
          <w:rFonts w:hint="eastAsia" w:cs="宋体"/>
          <w:szCs w:val="21"/>
        </w:rPr>
      </w:pPr>
      <w:bookmarkStart w:id="139" w:name="_Toc5129"/>
      <w:r>
        <w:rPr>
          <w:rFonts w:hint="eastAsia" w:cs="宋体"/>
          <w:szCs w:val="21"/>
        </w:rPr>
        <w:t>十一、本合同不可分割之部分及解释顺序</w:t>
      </w:r>
      <w:bookmarkEnd w:id="139"/>
    </w:p>
    <w:p w14:paraId="10F88BE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1.合同书及附件；</w:t>
      </w:r>
    </w:p>
    <w:p w14:paraId="40E1E5B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2.成交通知书；</w:t>
      </w:r>
    </w:p>
    <w:p w14:paraId="73982FE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3.成交供应商响应文件及澄清或承诺；</w:t>
      </w:r>
    </w:p>
    <w:p w14:paraId="2AECB4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4.竞争性磋商文件。</w:t>
      </w:r>
    </w:p>
    <w:p w14:paraId="25FC302B">
      <w:pPr>
        <w:pStyle w:val="5"/>
        <w:tabs>
          <w:tab w:val="left" w:pos="0"/>
        </w:tabs>
        <w:spacing w:line="360" w:lineRule="auto"/>
        <w:rPr>
          <w:rFonts w:ascii="宋体" w:hAnsi="宋体" w:eastAsia="宋体"/>
          <w:b/>
          <w:bCs w:val="0"/>
          <w:sz w:val="21"/>
          <w:szCs w:val="21"/>
        </w:rPr>
      </w:pPr>
      <w:r>
        <w:rPr>
          <w:rFonts w:hint="eastAsia" w:ascii="宋体" w:hAnsi="宋体" w:cs="宋体"/>
          <w:b/>
          <w:bCs w:val="0"/>
          <w:color w:val="auto"/>
          <w:szCs w:val="21"/>
          <w:highlight w:val="none"/>
        </w:rPr>
        <w:t>十</w:t>
      </w:r>
      <w:r>
        <w:rPr>
          <w:rFonts w:hint="eastAsia" w:hAnsi="宋体" w:cs="宋体"/>
          <w:b/>
          <w:bCs w:val="0"/>
          <w:color w:val="auto"/>
          <w:szCs w:val="21"/>
          <w:highlight w:val="none"/>
          <w:lang w:val="en-US" w:eastAsia="zh-CN"/>
        </w:rPr>
        <w:t>二</w:t>
      </w:r>
      <w:r>
        <w:rPr>
          <w:rFonts w:hint="eastAsia" w:ascii="宋体" w:hAnsi="宋体" w:cs="宋体"/>
          <w:b/>
          <w:bCs w:val="0"/>
          <w:color w:val="auto"/>
          <w:szCs w:val="21"/>
          <w:highlight w:val="none"/>
        </w:rPr>
        <w:t>、本合同除签订合同之时的签名、手写日期为手写体外，其他手写体内容均不构成本合同及附件之内容</w:t>
      </w:r>
    </w:p>
    <w:p w14:paraId="5C304C66">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val="0"/>
          <w:bCs w:val="0"/>
          <w:sz w:val="21"/>
          <w:szCs w:val="21"/>
          <w:highlight w:val="none"/>
        </w:rPr>
      </w:pPr>
      <w:bookmarkStart w:id="140" w:name="_Toc489145749"/>
    </w:p>
    <w:p w14:paraId="4A9FC615">
      <w:pPr>
        <w:rPr>
          <w:rFonts w:hint="eastAsia" w:ascii="宋体" w:hAnsi="宋体" w:cs="宋体"/>
          <w:b/>
          <w:color w:val="000000"/>
          <w:szCs w:val="21"/>
          <w:lang w:val="zh-CN"/>
        </w:rPr>
      </w:pPr>
      <w:r>
        <w:rPr>
          <w:rFonts w:hint="eastAsia" w:ascii="宋体" w:hAnsi="宋体" w:cs="宋体"/>
          <w:b/>
          <w:color w:val="000000"/>
          <w:szCs w:val="21"/>
          <w:lang w:val="zh-CN"/>
        </w:rPr>
        <w:br w:type="page"/>
      </w:r>
    </w:p>
    <w:p w14:paraId="2689BB73">
      <w:pPr>
        <w:widowControl/>
        <w:autoSpaceDE w:val="0"/>
        <w:autoSpaceDN w:val="0"/>
        <w:adjustRightInd w:val="0"/>
        <w:spacing w:line="500" w:lineRule="exact"/>
        <w:rPr>
          <w:rFonts w:hint="eastAsia" w:ascii="宋体" w:hAnsi="宋体" w:cs="宋体"/>
          <w:b/>
          <w:color w:val="000000"/>
          <w:szCs w:val="21"/>
          <w:lang w:val="zh-CN"/>
        </w:rPr>
      </w:pPr>
    </w:p>
    <w:p w14:paraId="0CBE7D02">
      <w:pPr>
        <w:widowControl/>
        <w:autoSpaceDE w:val="0"/>
        <w:autoSpaceDN w:val="0"/>
        <w:adjustRightInd w:val="0"/>
        <w:spacing w:line="500" w:lineRule="exact"/>
        <w:rPr>
          <w:rFonts w:hint="eastAsia" w:ascii="宋体" w:hAnsi="宋体" w:cs="宋体"/>
          <w:b/>
          <w:color w:val="000000"/>
          <w:szCs w:val="21"/>
          <w:lang w:val="zh-CN"/>
        </w:rPr>
      </w:pPr>
    </w:p>
    <w:p w14:paraId="7B7D1BE6">
      <w:pPr>
        <w:widowControl/>
        <w:autoSpaceDE w:val="0"/>
        <w:autoSpaceDN w:val="0"/>
        <w:adjustRightInd w:val="0"/>
        <w:spacing w:line="500" w:lineRule="exact"/>
        <w:rPr>
          <w:rFonts w:hint="eastAsia" w:ascii="宋体" w:hAnsi="宋体" w:cs="宋体"/>
          <w:b/>
          <w:color w:val="000000"/>
          <w:szCs w:val="21"/>
          <w:lang w:val="zh-CN"/>
        </w:rPr>
      </w:pPr>
      <w:r>
        <w:rPr>
          <w:rFonts w:hint="eastAsia" w:ascii="宋体" w:hAnsi="宋体" w:cs="宋体"/>
          <w:b/>
          <w:color w:val="000000"/>
          <w:szCs w:val="21"/>
          <w:lang w:val="zh-CN"/>
        </w:rPr>
        <w:t>甲方：</w:t>
      </w:r>
      <w:r>
        <w:rPr>
          <w:rFonts w:hint="eastAsia" w:ascii="宋体" w:hAnsi="宋体" w:cs="宋体"/>
          <w:b/>
          <w:color w:val="000000"/>
          <w:szCs w:val="21"/>
          <w:lang w:eastAsia="zh-CN"/>
        </w:rPr>
        <w:t>昆明市生态环境局经开分局</w:t>
      </w:r>
      <w:r>
        <w:rPr>
          <w:rFonts w:hint="eastAsia" w:ascii="宋体" w:hAnsi="宋体" w:cs="宋体"/>
          <w:b/>
          <w:color w:val="000000"/>
          <w:szCs w:val="21"/>
          <w:lang w:val="zh-CN"/>
        </w:rPr>
        <w:t xml:space="preserve">           乙方：</w:t>
      </w:r>
    </w:p>
    <w:p w14:paraId="3DB98F3F">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统一社会信用代码：                       统一社会信用代码或身份证号码：</w:t>
      </w:r>
    </w:p>
    <w:p w14:paraId="028F17FD">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住所：                                   住所：</w:t>
      </w:r>
    </w:p>
    <w:p w14:paraId="02058730">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法定代表人或                             法定代表人</w:t>
      </w:r>
    </w:p>
    <w:p w14:paraId="68F86F92">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 xml:space="preserve">授权代表（签字）：                       或授权代表（签字）： </w:t>
      </w:r>
    </w:p>
    <w:p w14:paraId="32B6EB26">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联系人：                                 联系人：</w:t>
      </w:r>
    </w:p>
    <w:p w14:paraId="61AF8F01">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约定送达地址：                           约定送达地址：</w:t>
      </w:r>
    </w:p>
    <w:p w14:paraId="25335A06">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邮政编码：                               邮政编码：</w:t>
      </w:r>
    </w:p>
    <w:p w14:paraId="6C966889">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 xml:space="preserve">电话：                                   电话： </w:t>
      </w:r>
    </w:p>
    <w:p w14:paraId="3F02CF61">
      <w:pPr>
        <w:widowControl/>
        <w:autoSpaceDE w:val="0"/>
        <w:autoSpaceDN w:val="0"/>
        <w:adjustRightInd w:val="0"/>
        <w:spacing w:line="500" w:lineRule="exact"/>
        <w:rPr>
          <w:rFonts w:hint="eastAsia" w:ascii="宋体" w:hAnsi="宋体" w:cs="宋体"/>
          <w:color w:val="000000"/>
          <w:szCs w:val="21"/>
          <w:lang w:val="zh-CN"/>
        </w:rPr>
      </w:pPr>
      <w:r>
        <w:rPr>
          <w:rFonts w:hint="eastAsia" w:ascii="宋体" w:hAnsi="宋体" w:cs="宋体"/>
          <w:color w:val="000000"/>
          <w:szCs w:val="21"/>
          <w:lang w:val="zh-CN"/>
        </w:rPr>
        <w:t>传真：                                   传真：</w:t>
      </w:r>
    </w:p>
    <w:p w14:paraId="103C15E8">
      <w:pPr>
        <w:widowControl/>
        <w:autoSpaceDE w:val="0"/>
        <w:autoSpaceDN w:val="0"/>
        <w:adjustRightInd w:val="0"/>
        <w:spacing w:line="500" w:lineRule="exact"/>
        <w:rPr>
          <w:rFonts w:hint="eastAsia" w:ascii="宋体" w:hAnsi="宋体" w:cs="宋体"/>
          <w:color w:val="000000"/>
          <w:szCs w:val="21"/>
        </w:rPr>
      </w:pPr>
      <w:r>
        <w:rPr>
          <w:rFonts w:hint="eastAsia" w:ascii="宋体" w:hAnsi="宋体" w:cs="宋体"/>
          <w:color w:val="000000"/>
          <w:szCs w:val="21"/>
          <w:lang w:val="zh-CN"/>
        </w:rPr>
        <w:t>电子邮箱：                               电子邮箱：</w:t>
      </w:r>
    </w:p>
    <w:p w14:paraId="5E084787">
      <w:pPr>
        <w:widowControl/>
        <w:autoSpaceDE w:val="0"/>
        <w:autoSpaceDN w:val="0"/>
        <w:adjustRightInd w:val="0"/>
        <w:spacing w:line="500" w:lineRule="exact"/>
        <w:rPr>
          <w:rFonts w:hint="eastAsia" w:ascii="宋体" w:hAnsi="宋体" w:cs="宋体"/>
          <w:color w:val="000000"/>
          <w:szCs w:val="21"/>
        </w:rPr>
      </w:pPr>
      <w:r>
        <w:rPr>
          <w:rFonts w:hint="eastAsia" w:ascii="宋体" w:hAnsi="宋体" w:cs="宋体"/>
          <w:color w:val="000000"/>
          <w:szCs w:val="21"/>
        </w:rPr>
        <w:t xml:space="preserve">开户银行：                               开户银行： </w:t>
      </w:r>
    </w:p>
    <w:p w14:paraId="54B1EFBB">
      <w:pPr>
        <w:widowControl/>
        <w:autoSpaceDE w:val="0"/>
        <w:autoSpaceDN w:val="0"/>
        <w:adjustRightInd w:val="0"/>
        <w:spacing w:line="500" w:lineRule="exact"/>
        <w:rPr>
          <w:rFonts w:hint="eastAsia" w:ascii="宋体" w:hAnsi="宋体" w:cs="宋体"/>
          <w:color w:val="000000"/>
          <w:szCs w:val="21"/>
        </w:rPr>
      </w:pPr>
      <w:r>
        <w:rPr>
          <w:rFonts w:hint="eastAsia" w:ascii="宋体" w:hAnsi="宋体" w:cs="宋体"/>
          <w:color w:val="000000"/>
          <w:szCs w:val="21"/>
        </w:rPr>
        <w:t xml:space="preserve">开户名称：                               开户名称： </w:t>
      </w:r>
    </w:p>
    <w:p w14:paraId="3F29090D">
      <w:pPr>
        <w:widowControl/>
        <w:autoSpaceDE w:val="0"/>
        <w:autoSpaceDN w:val="0"/>
        <w:adjustRightInd w:val="0"/>
        <w:spacing w:line="500" w:lineRule="exact"/>
        <w:rPr>
          <w:rFonts w:hint="eastAsia" w:ascii="宋体" w:hAnsi="宋体" w:eastAsia="宋体" w:cs="宋体"/>
          <w:b w:val="0"/>
          <w:bCs w:val="0"/>
          <w:sz w:val="21"/>
          <w:szCs w:val="21"/>
          <w:highlight w:val="none"/>
        </w:rPr>
      </w:pPr>
      <w:r>
        <w:rPr>
          <w:rFonts w:hint="eastAsia" w:ascii="宋体" w:hAnsi="宋体" w:cs="宋体"/>
          <w:color w:val="000000"/>
          <w:szCs w:val="21"/>
        </w:rPr>
        <w:t>开户账号：</w:t>
      </w:r>
      <w:r>
        <w:rPr>
          <w:rFonts w:hint="eastAsia" w:ascii="宋体" w:hAnsi="宋体" w:cs="宋体"/>
          <w:color w:val="000000"/>
          <w:szCs w:val="21"/>
          <w:lang w:val="zh-CN"/>
        </w:rPr>
        <w:t xml:space="preserve">                               </w:t>
      </w:r>
      <w:r>
        <w:rPr>
          <w:rFonts w:hint="eastAsia" w:ascii="宋体" w:hAnsi="宋体" w:cs="宋体"/>
          <w:color w:val="000000"/>
          <w:szCs w:val="21"/>
        </w:rPr>
        <w:t>开户账号：</w:t>
      </w:r>
    </w:p>
    <w:p w14:paraId="7AFB0C72">
      <w:pPr>
        <w:rPr>
          <w:szCs w:val="21"/>
        </w:rPr>
      </w:pPr>
      <w:r>
        <w:rPr>
          <w:rFonts w:hint="eastAsia" w:ascii="宋体" w:hAnsi="宋体" w:eastAsia="宋体" w:cs="宋体"/>
          <w:b/>
          <w:bCs/>
          <w:sz w:val="32"/>
          <w:szCs w:val="32"/>
          <w:highlight w:val="none"/>
        </w:rPr>
        <w:br w:type="page"/>
      </w:r>
    </w:p>
    <w:p w14:paraId="3AE513A2">
      <w:pPr>
        <w:rPr>
          <w:szCs w:val="21"/>
        </w:rPr>
      </w:pPr>
    </w:p>
    <w:p w14:paraId="49D3BC5B">
      <w:pPr>
        <w:rPr>
          <w:szCs w:val="21"/>
        </w:rPr>
      </w:pPr>
    </w:p>
    <w:p w14:paraId="5C742FC0">
      <w:pPr>
        <w:rPr>
          <w:szCs w:val="21"/>
        </w:rPr>
      </w:pPr>
    </w:p>
    <w:p w14:paraId="67404273">
      <w:pPr>
        <w:rPr>
          <w:szCs w:val="21"/>
        </w:rPr>
      </w:pPr>
    </w:p>
    <w:p w14:paraId="74A5A7E6">
      <w:pPr>
        <w:rPr>
          <w:szCs w:val="21"/>
        </w:rPr>
      </w:pPr>
    </w:p>
    <w:p w14:paraId="6BABC74B">
      <w:pPr>
        <w:rPr>
          <w:szCs w:val="21"/>
        </w:rPr>
      </w:pPr>
    </w:p>
    <w:p w14:paraId="033DD46E">
      <w:pPr>
        <w:rPr>
          <w:szCs w:val="21"/>
        </w:rPr>
      </w:pPr>
    </w:p>
    <w:p w14:paraId="3172A0EC">
      <w:pPr>
        <w:rPr>
          <w:szCs w:val="21"/>
        </w:rPr>
      </w:pPr>
    </w:p>
    <w:p w14:paraId="06D23C6E">
      <w:pPr>
        <w:rPr>
          <w:szCs w:val="21"/>
        </w:rPr>
      </w:pPr>
    </w:p>
    <w:p w14:paraId="421A6F48">
      <w:pPr>
        <w:rPr>
          <w:szCs w:val="21"/>
        </w:rPr>
      </w:pPr>
    </w:p>
    <w:p w14:paraId="5E32135D">
      <w:pPr>
        <w:rPr>
          <w:szCs w:val="21"/>
        </w:rPr>
      </w:pPr>
    </w:p>
    <w:p w14:paraId="526BB888">
      <w:pPr>
        <w:rPr>
          <w:szCs w:val="21"/>
        </w:rPr>
      </w:pPr>
    </w:p>
    <w:p w14:paraId="53C7879B">
      <w:pPr>
        <w:rPr>
          <w:szCs w:val="21"/>
        </w:rPr>
      </w:pPr>
    </w:p>
    <w:p w14:paraId="70F92400">
      <w:pPr>
        <w:rPr>
          <w:szCs w:val="21"/>
        </w:rPr>
      </w:pPr>
    </w:p>
    <w:p w14:paraId="0434B708">
      <w:pPr>
        <w:rPr>
          <w:szCs w:val="21"/>
        </w:rPr>
      </w:pPr>
    </w:p>
    <w:p w14:paraId="61444BF6">
      <w:pPr>
        <w:rPr>
          <w:szCs w:val="21"/>
        </w:rPr>
      </w:pPr>
    </w:p>
    <w:p w14:paraId="50AAD589">
      <w:pPr>
        <w:rPr>
          <w:szCs w:val="21"/>
        </w:rPr>
      </w:pPr>
    </w:p>
    <w:p w14:paraId="0E38198A"/>
    <w:p w14:paraId="2BC4E8E3"/>
    <w:p w14:paraId="046800E6"/>
    <w:p w14:paraId="701049C6">
      <w:pPr>
        <w:pStyle w:val="3"/>
        <w:rPr>
          <w:szCs w:val="21"/>
        </w:rPr>
      </w:pPr>
      <w:bookmarkStart w:id="141" w:name="_Toc30120"/>
      <w:r>
        <w:rPr>
          <w:rFonts w:hint="eastAsia"/>
          <w:szCs w:val="21"/>
        </w:rPr>
        <w:t>第四章</w:t>
      </w:r>
      <w:r>
        <w:rPr>
          <w:szCs w:val="21"/>
        </w:rPr>
        <w:t xml:space="preserve">  </w:t>
      </w:r>
      <w:r>
        <w:rPr>
          <w:rFonts w:hint="eastAsia"/>
          <w:szCs w:val="21"/>
        </w:rPr>
        <w:t>响应文件格式</w:t>
      </w:r>
      <w:bookmarkEnd w:id="140"/>
      <w:bookmarkEnd w:id="141"/>
    </w:p>
    <w:p w14:paraId="35643346">
      <w:pPr>
        <w:widowControl/>
        <w:rPr>
          <w:rFonts w:ascii="宋体"/>
          <w:b/>
          <w:sz w:val="44"/>
          <w:szCs w:val="44"/>
        </w:rPr>
      </w:pPr>
      <w:r>
        <w:rPr>
          <w:rFonts w:ascii="宋体"/>
          <w:b/>
          <w:sz w:val="44"/>
          <w:szCs w:val="44"/>
        </w:rPr>
        <w:br w:type="page"/>
      </w:r>
    </w:p>
    <w:p w14:paraId="084C4B47">
      <w:pPr>
        <w:pStyle w:val="4"/>
        <w:ind w:left="425"/>
        <w:jc w:val="center"/>
        <w:rPr>
          <w:rFonts w:ascii="宋体"/>
          <w:color w:val="auto"/>
        </w:rPr>
      </w:pPr>
      <w:bookmarkStart w:id="142" w:name="_Toc489197867"/>
      <w:bookmarkStart w:id="143" w:name="_Toc22005"/>
      <w:bookmarkStart w:id="144" w:name="_Toc17715"/>
      <w:bookmarkStart w:id="145" w:name="_Toc489145763"/>
      <w:bookmarkStart w:id="146" w:name="_Toc29073"/>
      <w:bookmarkStart w:id="147" w:name="_Toc488633628"/>
      <w:bookmarkStart w:id="148" w:name="_Toc481694856"/>
      <w:bookmarkStart w:id="149" w:name="_Toc213141103"/>
      <w:r>
        <w:rPr>
          <w:rFonts w:hint="eastAsia" w:ascii="宋体"/>
          <w:color w:val="auto"/>
        </w:rPr>
        <w:t>一、资格证明文件</w:t>
      </w:r>
      <w:bookmarkEnd w:id="142"/>
      <w:bookmarkEnd w:id="143"/>
      <w:bookmarkEnd w:id="144"/>
      <w:bookmarkEnd w:id="145"/>
      <w:bookmarkEnd w:id="146"/>
      <w:bookmarkEnd w:id="147"/>
      <w:bookmarkEnd w:id="148"/>
      <w:bookmarkEnd w:id="149"/>
    </w:p>
    <w:p w14:paraId="192B0586">
      <w:pPr>
        <w:keepNext/>
        <w:keepLines/>
        <w:pageBreakBefore w:val="0"/>
        <w:widowControl w:val="0"/>
        <w:kinsoku/>
        <w:wordWrap/>
        <w:overflowPunct/>
        <w:topLinePunct w:val="0"/>
        <w:autoSpaceDE/>
        <w:autoSpaceDN/>
        <w:bidi w:val="0"/>
        <w:adjustRightInd/>
        <w:snapToGrid/>
        <w:spacing w:line="360" w:lineRule="auto"/>
        <w:jc w:val="left"/>
        <w:textAlignment w:val="auto"/>
        <w:outlineLvl w:val="9"/>
        <w:rPr>
          <w:rFonts w:ascii="宋体" w:cs="宋体"/>
          <w:b/>
          <w:snapToGrid w:val="0"/>
          <w:kern w:val="21"/>
          <w:sz w:val="28"/>
          <w:szCs w:val="28"/>
        </w:rPr>
      </w:pPr>
      <w:bookmarkStart w:id="150" w:name="_Toc4800"/>
      <w:bookmarkStart w:id="151" w:name="_Toc29962"/>
      <w:r>
        <w:rPr>
          <w:rFonts w:hint="eastAsia" w:ascii="宋体" w:cs="宋体"/>
          <w:b/>
          <w:snapToGrid w:val="0"/>
          <w:kern w:val="21"/>
          <w:sz w:val="28"/>
          <w:szCs w:val="28"/>
        </w:rPr>
        <w:t>格式1</w:t>
      </w:r>
      <w:bookmarkEnd w:id="150"/>
      <w:bookmarkEnd w:id="151"/>
    </w:p>
    <w:p w14:paraId="719004A0">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cs="宋体"/>
          <w:b/>
          <w:snapToGrid w:val="0"/>
          <w:kern w:val="21"/>
          <w:sz w:val="28"/>
          <w:szCs w:val="28"/>
        </w:rPr>
      </w:pPr>
      <w:bookmarkStart w:id="152" w:name="_Toc9717"/>
      <w:bookmarkStart w:id="153" w:name="_Toc12167"/>
      <w:r>
        <w:rPr>
          <w:rFonts w:hint="eastAsia" w:ascii="宋体" w:cs="宋体"/>
          <w:b/>
          <w:snapToGrid w:val="0"/>
          <w:kern w:val="21"/>
          <w:sz w:val="28"/>
          <w:szCs w:val="28"/>
        </w:rPr>
        <w:t>资格证明文件</w:t>
      </w:r>
      <w:bookmarkEnd w:id="152"/>
      <w:bookmarkEnd w:id="153"/>
    </w:p>
    <w:p w14:paraId="3ACF9B4E">
      <w:pPr>
        <w:pStyle w:val="21"/>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1.供应商应填写和提交下述规定的有关资料。</w:t>
      </w:r>
    </w:p>
    <w:p w14:paraId="5B9C601A">
      <w:pPr>
        <w:pStyle w:val="21"/>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2.所附格式要求填写的全部内容都必须填写。</w:t>
      </w:r>
    </w:p>
    <w:p w14:paraId="585E9CC6">
      <w:pPr>
        <w:pStyle w:val="21"/>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2"/>
          <w:szCs w:val="22"/>
        </w:rPr>
      </w:pPr>
      <w:r>
        <w:rPr>
          <w:rFonts w:hint="eastAsia" w:ascii="宋体" w:hAnsi="宋体" w:eastAsia="宋体" w:cs="宋体"/>
          <w:sz w:val="22"/>
          <w:szCs w:val="22"/>
        </w:rPr>
        <w:t>3.供应商应保证全部声明和填写的内容是真实的和正确的。</w:t>
      </w:r>
    </w:p>
    <w:p w14:paraId="78AA1BB7">
      <w:pPr>
        <w:pStyle w:val="21"/>
        <w:pageBreakBefore w:val="0"/>
        <w:tabs>
          <w:tab w:val="left" w:pos="0"/>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2"/>
          <w:szCs w:val="22"/>
        </w:rPr>
      </w:pPr>
      <w:r>
        <w:rPr>
          <w:rFonts w:hint="eastAsia" w:ascii="宋体" w:hAnsi="宋体" w:eastAsia="宋体" w:cs="宋体"/>
          <w:sz w:val="22"/>
          <w:szCs w:val="22"/>
        </w:rPr>
        <w:t>4.供应商提交的材料将被保密，但不退还。</w:t>
      </w:r>
    </w:p>
    <w:p w14:paraId="5189A474">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1"/>
          <w:szCs w:val="21"/>
        </w:rPr>
      </w:pPr>
    </w:p>
    <w:p w14:paraId="130ED664">
      <w:pPr>
        <w:rPr>
          <w:rFonts w:hint="eastAsia" w:ascii="宋体" w:hAnsi="宋体" w:eastAsia="宋体" w:cs="宋体"/>
          <w:b/>
          <w:sz w:val="21"/>
          <w:szCs w:val="21"/>
        </w:rPr>
      </w:pPr>
    </w:p>
    <w:p w14:paraId="64022ADC">
      <w:pPr>
        <w:pStyle w:val="11"/>
        <w:rPr>
          <w:rFonts w:hint="eastAsia" w:ascii="宋体" w:hAnsi="宋体" w:eastAsia="宋体" w:cs="宋体"/>
          <w:b/>
          <w:sz w:val="21"/>
          <w:szCs w:val="21"/>
        </w:rPr>
      </w:pPr>
    </w:p>
    <w:p w14:paraId="396E1E93">
      <w:pPr>
        <w:pStyle w:val="11"/>
        <w:rPr>
          <w:rFonts w:hint="eastAsia" w:ascii="宋体" w:hAnsi="宋体" w:eastAsia="宋体" w:cs="宋体"/>
          <w:b/>
          <w:sz w:val="21"/>
          <w:szCs w:val="21"/>
        </w:rPr>
      </w:pPr>
    </w:p>
    <w:p w14:paraId="5182D3E5">
      <w:pPr>
        <w:pStyle w:val="11"/>
        <w:rPr>
          <w:rFonts w:hint="eastAsia" w:ascii="宋体" w:hAnsi="宋体" w:eastAsia="宋体" w:cs="宋体"/>
          <w:b/>
          <w:sz w:val="21"/>
          <w:szCs w:val="21"/>
        </w:rPr>
      </w:pPr>
    </w:p>
    <w:p w14:paraId="03D63D55">
      <w:pPr>
        <w:rPr>
          <w:rFonts w:hint="eastAsia" w:ascii="宋体" w:hAnsi="宋体" w:eastAsia="宋体" w:cs="宋体"/>
          <w:b/>
          <w:sz w:val="28"/>
          <w:szCs w:val="28"/>
        </w:rPr>
      </w:pPr>
      <w:r>
        <w:rPr>
          <w:rFonts w:hint="eastAsia" w:ascii="宋体" w:hAnsi="宋体" w:eastAsia="宋体" w:cs="宋体"/>
          <w:b/>
          <w:sz w:val="28"/>
          <w:szCs w:val="28"/>
        </w:rPr>
        <w:br w:type="page"/>
      </w:r>
    </w:p>
    <w:p w14:paraId="0604FE49">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格式1-1</w:t>
      </w:r>
    </w:p>
    <w:p w14:paraId="4055B522">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具有独立承担民事责任的能力：</w:t>
      </w:r>
      <w:r>
        <w:rPr>
          <w:rFonts w:hint="eastAsia" w:ascii="宋体" w:hAnsi="宋体" w:eastAsia="宋体" w:cs="宋体"/>
          <w:b w:val="0"/>
          <w:bCs/>
          <w:kern w:val="0"/>
          <w:sz w:val="21"/>
          <w:szCs w:val="21"/>
          <w:lang w:eastAsia="zh-CN"/>
        </w:rPr>
        <w:t>供应商必须是独立法人或其他组织，能独立承担民事责任，须提供法人或者其他组织的营业执照（事业单位法人证书）等证明文件；若为自然人的，提供自然人的身份证明</w:t>
      </w:r>
      <w:r>
        <w:rPr>
          <w:rFonts w:hint="eastAsia" w:ascii="宋体" w:hAnsi="宋体" w:eastAsia="宋体" w:cs="宋体"/>
          <w:b w:val="0"/>
          <w:bCs/>
          <w:kern w:val="0"/>
          <w:sz w:val="21"/>
          <w:szCs w:val="21"/>
        </w:rPr>
        <w:t>（扫描件加盖供应商电子公章）；</w:t>
      </w:r>
    </w:p>
    <w:p w14:paraId="79FF721B">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1"/>
          <w:szCs w:val="21"/>
        </w:rPr>
      </w:pPr>
    </w:p>
    <w:p w14:paraId="34BDDEBB">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格式1-2</w:t>
      </w:r>
    </w:p>
    <w:p w14:paraId="32BE993A">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具有良好的商业信誉和健全的财务会计制度：</w:t>
      </w:r>
      <w:r>
        <w:rPr>
          <w:rFonts w:hint="eastAsia" w:ascii="宋体" w:hAnsi="宋体" w:eastAsia="宋体" w:cs="宋体"/>
          <w:b w:val="0"/>
          <w:bCs/>
          <w:kern w:val="0"/>
          <w:sz w:val="21"/>
          <w:szCs w:val="21"/>
          <w:lang w:eastAsia="zh-CN"/>
        </w:rPr>
        <w:t>供应商须提供财务状况报告，内容可为以下</w:t>
      </w:r>
      <w:r>
        <w:rPr>
          <w:rFonts w:hint="eastAsia" w:ascii="宋体" w:hAnsi="宋体" w:cs="宋体"/>
          <w:b w:val="0"/>
          <w:bCs/>
          <w:kern w:val="0"/>
          <w:sz w:val="21"/>
          <w:szCs w:val="21"/>
          <w:lang w:eastAsia="zh-CN"/>
        </w:rPr>
        <w:t>两者之一</w:t>
      </w:r>
      <w:r>
        <w:rPr>
          <w:rFonts w:hint="eastAsia" w:ascii="宋体" w:hAnsi="宋体" w:eastAsia="宋体" w:cs="宋体"/>
          <w:b w:val="0"/>
          <w:bCs/>
          <w:kern w:val="0"/>
          <w:sz w:val="21"/>
          <w:szCs w:val="21"/>
          <w:lang w:eastAsia="zh-CN"/>
        </w:rPr>
        <w:t>：①提供供应商2024年度或2025年度经第三方审计的财务报告及报表（报表至少应包括资产负债表、利润表（损益表）、现金流量表），如供应商执行的财政部门印发的会计制度或准则有其他要求的，以其要求为准；至响应文件提交截止时间止新成立不足一年的供应商提供自成立至今的财务报表（扫描件加盖供应商电子公章）；②提供自响应文件提交截止时间前三个月内基本开户银行出具的资信证明（扫描件加盖供应商电子公章）</w:t>
      </w:r>
      <w:r>
        <w:rPr>
          <w:rFonts w:hint="eastAsia" w:ascii="宋体" w:hAnsi="宋体" w:eastAsia="宋体" w:cs="宋体"/>
          <w:b w:val="0"/>
          <w:bCs/>
          <w:kern w:val="0"/>
          <w:sz w:val="21"/>
          <w:szCs w:val="21"/>
        </w:rPr>
        <w:t>；</w:t>
      </w:r>
    </w:p>
    <w:p w14:paraId="1A49DBF4">
      <w:pPr>
        <w:rPr>
          <w:rFonts w:hint="eastAsia" w:ascii="宋体" w:hAnsi="宋体" w:eastAsia="宋体" w:cs="宋体"/>
          <w:b/>
          <w:sz w:val="21"/>
          <w:szCs w:val="21"/>
        </w:rPr>
      </w:pPr>
    </w:p>
    <w:p w14:paraId="4823F8B9">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格式1-3</w:t>
      </w:r>
    </w:p>
    <w:p w14:paraId="07BB43BD">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kern w:val="0"/>
          <w:sz w:val="21"/>
          <w:szCs w:val="21"/>
        </w:rPr>
      </w:pPr>
      <w:r>
        <w:rPr>
          <w:rFonts w:hint="eastAsia" w:ascii="宋体" w:hAnsi="宋体" w:eastAsia="宋体" w:cs="宋体"/>
          <w:b/>
          <w:kern w:val="0"/>
          <w:sz w:val="21"/>
          <w:szCs w:val="21"/>
        </w:rPr>
        <w:t>具有履行合同所必需的设备和专业技术能力：</w:t>
      </w:r>
      <w:r>
        <w:rPr>
          <w:rFonts w:hint="eastAsia" w:ascii="宋体" w:hAnsi="宋体" w:eastAsia="宋体" w:cs="宋体"/>
          <w:b w:val="0"/>
          <w:bCs/>
          <w:kern w:val="0"/>
          <w:sz w:val="21"/>
          <w:szCs w:val="21"/>
        </w:rPr>
        <w:t>提供供应商具有履行合同所必需的设备和专业技术能力证明材料或书面声明（扫描件加盖供应商电子公章）；</w:t>
      </w:r>
    </w:p>
    <w:p w14:paraId="6390BB24">
      <w:pPr>
        <w:rPr>
          <w:rFonts w:hint="eastAsia" w:ascii="宋体" w:hAnsi="宋体" w:eastAsia="宋体" w:cs="宋体"/>
          <w:b w:val="0"/>
          <w:bCs/>
          <w:kern w:val="0"/>
          <w:sz w:val="21"/>
          <w:szCs w:val="21"/>
        </w:rPr>
      </w:pPr>
    </w:p>
    <w:p w14:paraId="0A460DE2">
      <w:pPr>
        <w:rPr>
          <w:rFonts w:hint="eastAsia" w:ascii="宋体" w:hAnsi="宋体" w:eastAsia="宋体" w:cs="宋体"/>
          <w:b/>
          <w:sz w:val="21"/>
          <w:szCs w:val="21"/>
        </w:rPr>
      </w:pPr>
    </w:p>
    <w:p w14:paraId="189BCF78">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格式1-4</w:t>
      </w:r>
    </w:p>
    <w:p w14:paraId="280A1B9A">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供应商须具有依法缴纳税收和社会保障资金的良好记录：</w:t>
      </w:r>
    </w:p>
    <w:p w14:paraId="2AB8742F">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1.提供供应商缴税所属时间在</w:t>
      </w:r>
      <w:r>
        <w:rPr>
          <w:rFonts w:hint="eastAsia" w:ascii="宋体" w:hAnsi="宋体" w:eastAsia="宋体" w:cs="宋体"/>
          <w:b w:val="0"/>
          <w:bCs/>
          <w:kern w:val="0"/>
          <w:sz w:val="21"/>
          <w:szCs w:val="21"/>
          <w:lang w:eastAsia="zh-CN"/>
        </w:rPr>
        <w:t>2025年01月至本项目提交响应文件截止时间前任意2个月</w:t>
      </w:r>
      <w:r>
        <w:rPr>
          <w:rFonts w:hint="eastAsia" w:ascii="宋体" w:hAnsi="宋体" w:eastAsia="宋体" w:cs="宋体"/>
          <w:b w:val="0"/>
          <w:bCs/>
          <w:kern w:val="0"/>
          <w:sz w:val="21"/>
          <w:szCs w:val="21"/>
        </w:rPr>
        <w:t>的税务局税收通用缴款书或银行电子缴税（费）凭证或税务局出具纳税情况的相关证明，依法免税或免缴的，应提供相关证明文件（扫描件加盖供应商电子公章）或说明（加盖供应商电子公章），新成立未满一年的供应商，依法免税或免缴的，应提供相关证明文件（扫描件加盖供应商电子公章）或说明（加盖供应商电子公章）；</w:t>
      </w:r>
    </w:p>
    <w:p w14:paraId="64805AA8">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2.提供供应商缴费所属时间在</w:t>
      </w:r>
      <w:r>
        <w:rPr>
          <w:rFonts w:hint="eastAsia" w:ascii="宋体" w:hAnsi="宋体" w:eastAsia="宋体" w:cs="宋体"/>
          <w:b w:val="0"/>
          <w:bCs/>
          <w:kern w:val="0"/>
          <w:sz w:val="21"/>
          <w:szCs w:val="21"/>
          <w:lang w:eastAsia="zh-CN"/>
        </w:rPr>
        <w:t>2025年01月至本项目提交响应文件截止时间前任意2个月</w:t>
      </w:r>
      <w:r>
        <w:rPr>
          <w:rFonts w:hint="eastAsia" w:ascii="宋体" w:hAnsi="宋体" w:eastAsia="宋体" w:cs="宋体"/>
          <w:b w:val="0"/>
          <w:bCs/>
          <w:kern w:val="0"/>
          <w:sz w:val="21"/>
          <w:szCs w:val="21"/>
        </w:rPr>
        <w:t>的社会保险费缴款书或银行电子缴税（费）凭证或社保管理部门出具的有效的缴款证明，依法免缴的，应提供依法免缴的相关证明文件（扫描件加盖供应商电子公章）或说明（加盖供应商电子公章），新成立未满一年的供应商，依法免缴的，应提供依法免缴的相关证明文件（扫描件加盖供应商电子公章）或说明（加盖供应商电子公章）；</w:t>
      </w:r>
    </w:p>
    <w:p w14:paraId="64EC22A7">
      <w:pPr>
        <w:rPr>
          <w:rFonts w:hint="eastAsia" w:ascii="宋体" w:hAnsi="宋体" w:eastAsia="宋体" w:cs="宋体"/>
          <w:b w:val="0"/>
          <w:bCs/>
          <w:kern w:val="0"/>
          <w:sz w:val="21"/>
          <w:szCs w:val="21"/>
        </w:rPr>
      </w:pPr>
      <w:r>
        <w:rPr>
          <w:rFonts w:hint="eastAsia" w:ascii="宋体" w:hAnsi="宋体" w:eastAsia="宋体" w:cs="宋体"/>
          <w:b w:val="0"/>
          <w:bCs/>
          <w:kern w:val="0"/>
          <w:sz w:val="21"/>
          <w:szCs w:val="21"/>
        </w:rPr>
        <w:br w:type="page"/>
      </w:r>
    </w:p>
    <w:p w14:paraId="427DA386">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kern w:val="0"/>
          <w:sz w:val="21"/>
          <w:szCs w:val="21"/>
        </w:rPr>
      </w:pPr>
    </w:p>
    <w:p w14:paraId="79F7F5E8">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格式1-5</w:t>
      </w:r>
    </w:p>
    <w:p w14:paraId="28C12B57">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kern w:val="0"/>
          <w:sz w:val="21"/>
          <w:szCs w:val="21"/>
        </w:rPr>
      </w:pPr>
      <w:r>
        <w:rPr>
          <w:rFonts w:hint="eastAsia" w:ascii="宋体" w:hAnsi="宋体" w:eastAsia="宋体" w:cs="宋体"/>
          <w:b/>
          <w:bCs w:val="0"/>
          <w:kern w:val="0"/>
          <w:sz w:val="21"/>
          <w:szCs w:val="21"/>
        </w:rPr>
        <w:t>参加政府采购活动前三年内，在经营活动中没有重大违法记录：</w:t>
      </w:r>
      <w:r>
        <w:rPr>
          <w:rFonts w:hint="eastAsia" w:ascii="宋体" w:hAnsi="宋体" w:eastAsia="宋体" w:cs="宋体"/>
          <w:b w:val="0"/>
          <w:bCs/>
          <w:kern w:val="0"/>
          <w:sz w:val="21"/>
          <w:szCs w:val="21"/>
        </w:rPr>
        <w:t>提供供应商参加政府采购活动前三年内，在经营活动中没有重大违法记录（重大违法记录，是指供应商因违法经营受到刑事处罚或者责令停产停业、吊销许可证或者执照、较大数额罚款等行政处罚）的书面声明（扫描件加盖供应商电子公章）；</w:t>
      </w:r>
    </w:p>
    <w:p w14:paraId="081EC100">
      <w:pPr>
        <w:rPr>
          <w:rFonts w:hint="eastAsia" w:ascii="宋体" w:hAnsi="宋体" w:eastAsia="宋体" w:cs="宋体"/>
          <w:b w:val="0"/>
          <w:bCs/>
          <w:kern w:val="0"/>
          <w:sz w:val="21"/>
          <w:szCs w:val="21"/>
        </w:rPr>
      </w:pPr>
    </w:p>
    <w:p w14:paraId="5638D8BC">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格式1-6</w:t>
      </w:r>
    </w:p>
    <w:p w14:paraId="5BD5DE6F">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val="0"/>
          <w:kern w:val="0"/>
          <w:sz w:val="21"/>
          <w:szCs w:val="21"/>
        </w:rPr>
      </w:pPr>
      <w:r>
        <w:rPr>
          <w:rFonts w:hint="eastAsia" w:ascii="宋体" w:hAnsi="宋体" w:eastAsia="宋体" w:cs="宋体"/>
          <w:b/>
          <w:bCs w:val="0"/>
          <w:kern w:val="0"/>
          <w:sz w:val="21"/>
          <w:szCs w:val="21"/>
        </w:rPr>
        <w:t>法律、行政法规规定的其他条件：</w:t>
      </w:r>
    </w:p>
    <w:p w14:paraId="50B80B61">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1.单位负责人为同一人或者存在直接控股、管理关系的不同供应商，不得参加同一采购包的政府采购活动</w:t>
      </w:r>
      <w:r>
        <w:rPr>
          <w:rFonts w:hint="eastAsia" w:ascii="宋体" w:hAnsi="宋体" w:eastAsia="宋体" w:cs="宋体"/>
          <w:b w:val="0"/>
          <w:bCs/>
          <w:kern w:val="0"/>
          <w:sz w:val="21"/>
          <w:szCs w:val="21"/>
        </w:rPr>
        <w:t>（提供承诺函加盖供应商电子公章）</w:t>
      </w:r>
      <w:r>
        <w:rPr>
          <w:rFonts w:hint="eastAsia" w:ascii="宋体" w:hAnsi="宋体" w:eastAsia="宋体" w:cs="宋体"/>
          <w:b w:val="0"/>
          <w:bCs/>
          <w:kern w:val="0"/>
          <w:sz w:val="21"/>
          <w:szCs w:val="21"/>
          <w:lang w:eastAsia="zh-CN"/>
        </w:rPr>
        <w:t>；</w:t>
      </w:r>
    </w:p>
    <w:p w14:paraId="5591A8CE">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2.为采购项目提供整体设计、规范编制和项目管理、监理、检测等服务的供应商，不得参与本项目采购活动</w:t>
      </w:r>
      <w:r>
        <w:rPr>
          <w:rFonts w:hint="eastAsia" w:ascii="宋体" w:hAnsi="宋体" w:eastAsia="宋体" w:cs="宋体"/>
          <w:b w:val="0"/>
          <w:bCs/>
          <w:kern w:val="0"/>
          <w:sz w:val="21"/>
          <w:szCs w:val="21"/>
        </w:rPr>
        <w:t>（提供承诺函加盖供应商电子公章）；</w:t>
      </w:r>
    </w:p>
    <w:p w14:paraId="3C687A4F">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1"/>
          <w:szCs w:val="21"/>
        </w:rPr>
      </w:pPr>
    </w:p>
    <w:p w14:paraId="7273E50A">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1"/>
          <w:szCs w:val="21"/>
        </w:rPr>
      </w:pPr>
    </w:p>
    <w:p w14:paraId="25C451FA">
      <w:pPr>
        <w:rPr>
          <w:rFonts w:hint="eastAsia" w:ascii="宋体" w:hAnsi="宋体" w:eastAsia="宋体" w:cs="宋体"/>
          <w:b/>
          <w:sz w:val="21"/>
          <w:szCs w:val="21"/>
        </w:rPr>
      </w:pPr>
    </w:p>
    <w:p w14:paraId="45539576">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格式1-7</w:t>
      </w:r>
    </w:p>
    <w:p w14:paraId="3EB98279">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落实政府采购政策需满足的资格要求：</w:t>
      </w:r>
      <w:r>
        <w:rPr>
          <w:rFonts w:hint="eastAsia" w:ascii="宋体" w:hAnsi="宋体" w:eastAsia="宋体" w:cs="宋体"/>
          <w:b w:val="0"/>
          <w:bCs/>
          <w:kern w:val="0"/>
          <w:sz w:val="21"/>
          <w:szCs w:val="21"/>
        </w:rPr>
        <w:t>本项目不属于专门面向中小企业采购的项目</w:t>
      </w:r>
      <w:r>
        <w:rPr>
          <w:rFonts w:hint="eastAsia" w:ascii="宋体" w:hAnsi="宋体" w:eastAsia="宋体" w:cs="宋体"/>
          <w:b w:val="0"/>
          <w:bCs/>
          <w:kern w:val="0"/>
          <w:sz w:val="21"/>
          <w:szCs w:val="21"/>
          <w:highlight w:val="none"/>
        </w:rPr>
        <w:t>；</w:t>
      </w:r>
    </w:p>
    <w:p w14:paraId="3088D870">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bookmarkStart w:id="154" w:name="_Toc15971"/>
    </w:p>
    <w:p w14:paraId="701E0615">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rPr>
      </w:pPr>
    </w:p>
    <w:p w14:paraId="3993FAAC">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sz w:val="28"/>
          <w:szCs w:val="28"/>
          <w:lang w:val="en-US" w:eastAsia="zh-CN"/>
        </w:rPr>
      </w:pPr>
      <w:r>
        <w:rPr>
          <w:rFonts w:hint="eastAsia" w:ascii="宋体" w:hAnsi="宋体" w:eastAsia="宋体" w:cs="宋体"/>
          <w:b/>
          <w:sz w:val="28"/>
          <w:szCs w:val="28"/>
        </w:rPr>
        <w:t>格式1-</w:t>
      </w:r>
      <w:bookmarkEnd w:id="154"/>
      <w:r>
        <w:rPr>
          <w:rFonts w:hint="eastAsia" w:ascii="宋体" w:hAnsi="宋体" w:eastAsia="宋体" w:cs="宋体"/>
          <w:b/>
          <w:sz w:val="28"/>
          <w:szCs w:val="28"/>
          <w:lang w:val="en-US" w:eastAsia="zh-CN"/>
        </w:rPr>
        <w:t>8</w:t>
      </w:r>
    </w:p>
    <w:p w14:paraId="66BD4188">
      <w:pPr>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val="0"/>
          <w:color w:val="auto"/>
          <w:kern w:val="0"/>
          <w:sz w:val="21"/>
          <w:szCs w:val="21"/>
          <w:highlight w:val="none"/>
        </w:rPr>
      </w:pPr>
      <w:r>
        <w:rPr>
          <w:rFonts w:hint="eastAsia" w:ascii="宋体" w:hAnsi="宋体" w:eastAsia="宋体" w:cs="宋体"/>
          <w:b/>
          <w:color w:val="auto"/>
          <w:kern w:val="0"/>
          <w:sz w:val="21"/>
          <w:szCs w:val="21"/>
          <w:highlight w:val="none"/>
        </w:rPr>
        <w:t>本项目的特定资格要求：</w:t>
      </w:r>
      <w:r>
        <w:rPr>
          <w:rFonts w:hint="eastAsia" w:ascii="宋体" w:hAnsi="宋体" w:eastAsia="宋体" w:cs="宋体"/>
          <w:b w:val="0"/>
          <w:bCs/>
          <w:color w:val="auto"/>
          <w:kern w:val="0"/>
          <w:sz w:val="21"/>
          <w:szCs w:val="21"/>
          <w:highlight w:val="none"/>
          <w:lang w:val="en-US" w:eastAsia="zh-CN"/>
        </w:rPr>
        <w:t>无</w:t>
      </w:r>
      <w:r>
        <w:rPr>
          <w:rFonts w:hint="eastAsia" w:ascii="宋体" w:hAnsi="宋体" w:eastAsia="宋体" w:cs="宋体"/>
          <w:b w:val="0"/>
          <w:bCs/>
          <w:color w:val="auto"/>
          <w:kern w:val="0"/>
          <w:sz w:val="21"/>
          <w:szCs w:val="21"/>
          <w:highlight w:val="none"/>
        </w:rPr>
        <w:t>。</w:t>
      </w:r>
    </w:p>
    <w:p w14:paraId="03D6F75D">
      <w:pPr>
        <w:pageBreakBefore w:val="0"/>
        <w:kinsoku/>
        <w:wordWrap/>
        <w:overflowPunct/>
        <w:topLinePunct w:val="0"/>
        <w:autoSpaceDE/>
        <w:autoSpaceDN/>
        <w:bidi w:val="0"/>
        <w:adjustRightInd/>
        <w:snapToGrid/>
        <w:spacing w:line="360" w:lineRule="auto"/>
        <w:jc w:val="left"/>
        <w:textAlignment w:val="auto"/>
        <w:outlineLvl w:val="9"/>
      </w:pPr>
    </w:p>
    <w:p w14:paraId="213B2161">
      <w:pPr>
        <w:widowControl/>
        <w:jc w:val="center"/>
        <w:rPr>
          <w:rFonts w:ascii="宋体"/>
          <w:b/>
          <w:sz w:val="44"/>
          <w:szCs w:val="44"/>
        </w:rPr>
      </w:pPr>
      <w:r>
        <w:rPr>
          <w:rFonts w:ascii="宋体"/>
          <w:b/>
          <w:sz w:val="44"/>
          <w:szCs w:val="44"/>
        </w:rPr>
        <w:br w:type="page"/>
      </w:r>
    </w:p>
    <w:p w14:paraId="2EBD011D">
      <w:pPr>
        <w:pStyle w:val="4"/>
        <w:ind w:left="425"/>
        <w:jc w:val="center"/>
        <w:rPr>
          <w:rFonts w:ascii="宋体"/>
          <w:color w:val="auto"/>
          <w:szCs w:val="32"/>
        </w:rPr>
      </w:pPr>
      <w:bookmarkStart w:id="155" w:name="_Toc7161"/>
      <w:bookmarkStart w:id="156" w:name="_Toc11295"/>
      <w:r>
        <w:rPr>
          <w:rFonts w:hint="eastAsia" w:ascii="宋体"/>
          <w:color w:val="auto"/>
          <w:szCs w:val="32"/>
        </w:rPr>
        <w:t>二、报价文件</w:t>
      </w:r>
      <w:bookmarkEnd w:id="155"/>
      <w:bookmarkEnd w:id="156"/>
    </w:p>
    <w:p w14:paraId="06B5CECB">
      <w:pPr>
        <w:widowControl/>
        <w:jc w:val="left"/>
        <w:outlineLvl w:val="9"/>
        <w:rPr>
          <w:b/>
          <w:sz w:val="28"/>
          <w:szCs w:val="28"/>
        </w:rPr>
      </w:pPr>
      <w:bookmarkStart w:id="157" w:name="_Toc21338"/>
      <w:bookmarkStart w:id="158" w:name="_Toc21825"/>
      <w:r>
        <w:rPr>
          <w:rFonts w:hint="eastAsia" w:ascii="宋体" w:cs="宋体"/>
          <w:b/>
          <w:sz w:val="28"/>
          <w:szCs w:val="28"/>
        </w:rPr>
        <w:t>格式</w:t>
      </w:r>
      <w:bookmarkEnd w:id="157"/>
      <w:r>
        <w:rPr>
          <w:rFonts w:hint="eastAsia" w:ascii="宋体" w:cs="宋体"/>
          <w:b/>
          <w:sz w:val="28"/>
          <w:szCs w:val="28"/>
        </w:rPr>
        <w:t>2</w:t>
      </w:r>
      <w:bookmarkEnd w:id="158"/>
    </w:p>
    <w:p w14:paraId="09DDD30F">
      <w:pPr>
        <w:keepNext/>
        <w:keepLines/>
        <w:widowControl w:val="0"/>
        <w:spacing w:before="120" w:after="120" w:line="360" w:lineRule="auto"/>
        <w:ind w:left="425"/>
        <w:jc w:val="center"/>
        <w:outlineLvl w:val="9"/>
        <w:rPr>
          <w:rFonts w:ascii="宋体"/>
        </w:rPr>
      </w:pPr>
      <w:bookmarkStart w:id="159" w:name="_Toc15981"/>
      <w:bookmarkStart w:id="160" w:name="_Toc481694844"/>
      <w:bookmarkStart w:id="161" w:name="_Toc12849"/>
      <w:bookmarkStart w:id="162" w:name="_Toc213141093"/>
      <w:bookmarkStart w:id="163" w:name="_Toc489197854"/>
      <w:bookmarkStart w:id="164" w:name="_Toc7995"/>
      <w:bookmarkStart w:id="165" w:name="_Toc489145750"/>
      <w:bookmarkStart w:id="166" w:name="_Toc488633615"/>
      <w:r>
        <w:rPr>
          <w:rFonts w:hint="eastAsia" w:ascii="宋体" w:cs="宋体"/>
          <w:b/>
          <w:bCs/>
          <w:sz w:val="32"/>
          <w:szCs w:val="32"/>
        </w:rPr>
        <w:t>磋商报价一览表</w:t>
      </w:r>
      <w:bookmarkEnd w:id="159"/>
      <w:bookmarkEnd w:id="160"/>
      <w:bookmarkEnd w:id="161"/>
      <w:bookmarkEnd w:id="162"/>
      <w:bookmarkEnd w:id="163"/>
      <w:bookmarkEnd w:id="164"/>
      <w:bookmarkEnd w:id="165"/>
      <w:bookmarkEnd w:id="166"/>
    </w:p>
    <w:p w14:paraId="087A498F">
      <w:pPr>
        <w:pStyle w:val="21"/>
        <w:ind w:firstLine="211" w:firstLineChars="100"/>
        <w:outlineLvl w:val="9"/>
        <w:rPr>
          <w:rFonts w:hint="eastAsia" w:eastAsia="宋体"/>
          <w:b/>
          <w:szCs w:val="21"/>
          <w:u w:val="single"/>
          <w:lang w:eastAsia="zh-CN"/>
        </w:rPr>
      </w:pPr>
      <w:r>
        <w:rPr>
          <w:rFonts w:hint="eastAsia"/>
          <w:b/>
          <w:szCs w:val="21"/>
        </w:rPr>
        <w:t>项目名称：</w:t>
      </w:r>
      <w:r>
        <w:rPr>
          <w:rFonts w:hint="eastAsia"/>
          <w:b/>
          <w:szCs w:val="21"/>
          <w:lang w:eastAsia="zh-CN"/>
        </w:rPr>
        <w:t>昆明经济技术开发区2025年度生态建设绩效追踪项目</w:t>
      </w:r>
    </w:p>
    <w:p w14:paraId="1229CAD4">
      <w:pPr>
        <w:pStyle w:val="21"/>
        <w:ind w:firstLine="211" w:firstLineChars="100"/>
        <w:outlineLvl w:val="9"/>
        <w:rPr>
          <w:szCs w:val="21"/>
          <w:u w:val="single"/>
        </w:rPr>
      </w:pPr>
      <w:r>
        <w:rPr>
          <w:rFonts w:hint="eastAsia"/>
          <w:b/>
          <w:szCs w:val="21"/>
        </w:rPr>
        <w:t>项目编号：</w:t>
      </w:r>
      <w:r>
        <w:rPr>
          <w:rFonts w:hint="eastAsia"/>
          <w:b/>
          <w:szCs w:val="21"/>
          <w:lang w:eastAsia="zh-CN"/>
        </w:rPr>
        <w:t>KMZC2026-C3-00793-YNGR-0167</w:t>
      </w:r>
    </w:p>
    <w:tbl>
      <w:tblPr>
        <w:tblStyle w:val="40"/>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6139"/>
      </w:tblGrid>
      <w:tr w14:paraId="4DBE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2308" w:type="dxa"/>
            <w:tcBorders>
              <w:top w:val="single" w:color="auto" w:sz="4" w:space="0"/>
              <w:left w:val="single" w:color="auto" w:sz="4" w:space="0"/>
              <w:bottom w:val="single" w:color="auto" w:sz="4" w:space="0"/>
              <w:right w:val="single" w:color="auto" w:sz="4" w:space="0"/>
            </w:tcBorders>
            <w:noWrap/>
            <w:vAlign w:val="center"/>
          </w:tcPr>
          <w:p w14:paraId="1BD494DC">
            <w:pPr>
              <w:spacing w:line="320" w:lineRule="exact"/>
              <w:jc w:val="center"/>
              <w:outlineLvl w:val="9"/>
              <w:rPr>
                <w:rFonts w:ascii="宋体" w:cs="宋体"/>
                <w:szCs w:val="21"/>
              </w:rPr>
            </w:pPr>
            <w:r>
              <w:rPr>
                <w:rFonts w:hint="eastAsia"/>
                <w:szCs w:val="21"/>
              </w:rPr>
              <w:t>供应商名称</w:t>
            </w:r>
          </w:p>
        </w:tc>
        <w:tc>
          <w:tcPr>
            <w:tcW w:w="6139" w:type="dxa"/>
            <w:tcBorders>
              <w:top w:val="single" w:color="auto" w:sz="4" w:space="0"/>
              <w:left w:val="single" w:color="auto" w:sz="4" w:space="0"/>
              <w:bottom w:val="single" w:color="auto" w:sz="4" w:space="0"/>
              <w:right w:val="single" w:color="auto" w:sz="4" w:space="0"/>
            </w:tcBorders>
            <w:noWrap/>
            <w:vAlign w:val="center"/>
          </w:tcPr>
          <w:p w14:paraId="1B118A9A">
            <w:pPr>
              <w:spacing w:line="360" w:lineRule="auto"/>
              <w:jc w:val="center"/>
              <w:outlineLvl w:val="9"/>
              <w:rPr>
                <w:rFonts w:ascii="宋体" w:cs="宋体"/>
                <w:szCs w:val="21"/>
              </w:rPr>
            </w:pPr>
          </w:p>
        </w:tc>
      </w:tr>
      <w:tr w14:paraId="3EC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2308" w:type="dxa"/>
            <w:tcBorders>
              <w:top w:val="single" w:color="auto" w:sz="4" w:space="0"/>
              <w:left w:val="single" w:color="auto" w:sz="4" w:space="0"/>
              <w:bottom w:val="single" w:color="auto" w:sz="4" w:space="0"/>
              <w:right w:val="single" w:color="auto" w:sz="4" w:space="0"/>
            </w:tcBorders>
            <w:noWrap/>
            <w:vAlign w:val="center"/>
          </w:tcPr>
          <w:p w14:paraId="70A7F74A">
            <w:pPr>
              <w:spacing w:line="400" w:lineRule="atLeast"/>
              <w:jc w:val="center"/>
              <w:rPr>
                <w:rFonts w:hint="eastAsia" w:ascii="宋体" w:hAnsi="宋体" w:eastAsia="宋体"/>
                <w:szCs w:val="21"/>
                <w:lang w:eastAsia="zh-CN"/>
              </w:rPr>
            </w:pPr>
            <w:r>
              <w:rPr>
                <w:rFonts w:hint="eastAsia" w:ascii="宋体" w:hAnsi="宋体"/>
                <w:szCs w:val="21"/>
              </w:rPr>
              <w:t>磋商报价</w:t>
            </w:r>
            <w:r>
              <w:rPr>
                <w:rFonts w:hint="eastAsia" w:ascii="宋体" w:hAnsi="宋体"/>
                <w:szCs w:val="21"/>
                <w:lang w:eastAsia="zh-CN"/>
              </w:rPr>
              <w:t>（</w:t>
            </w:r>
            <w:r>
              <w:rPr>
                <w:rFonts w:hint="eastAsia" w:ascii="宋体" w:hAnsi="宋体"/>
                <w:szCs w:val="21"/>
                <w:lang w:val="en-US" w:eastAsia="zh-CN"/>
              </w:rPr>
              <w:t>元</w:t>
            </w:r>
            <w:r>
              <w:rPr>
                <w:rFonts w:hint="eastAsia" w:ascii="宋体" w:hAnsi="宋体"/>
                <w:szCs w:val="21"/>
                <w:lang w:eastAsia="zh-CN"/>
              </w:rPr>
              <w:t>）</w:t>
            </w:r>
          </w:p>
        </w:tc>
        <w:tc>
          <w:tcPr>
            <w:tcW w:w="6139" w:type="dxa"/>
            <w:tcBorders>
              <w:top w:val="single" w:color="auto" w:sz="4" w:space="0"/>
              <w:left w:val="single" w:color="auto" w:sz="4" w:space="0"/>
              <w:bottom w:val="single" w:color="auto" w:sz="4" w:space="0"/>
              <w:right w:val="single" w:color="auto" w:sz="4" w:space="0"/>
            </w:tcBorders>
            <w:noWrap/>
            <w:vAlign w:val="center"/>
          </w:tcPr>
          <w:p w14:paraId="5998CD8F">
            <w:pPr>
              <w:spacing w:line="400" w:lineRule="atLeast"/>
              <w:jc w:val="left"/>
              <w:rPr>
                <w:rFonts w:ascii="宋体" w:hAnsi="宋体"/>
                <w:szCs w:val="21"/>
              </w:rPr>
            </w:pPr>
            <w:r>
              <w:rPr>
                <w:rFonts w:hint="eastAsia" w:ascii="宋体" w:hAnsi="宋体"/>
                <w:szCs w:val="21"/>
              </w:rPr>
              <w:t>大写：</w:t>
            </w:r>
            <w:r>
              <w:rPr>
                <w:rFonts w:ascii="宋体" w:hAnsi="宋体"/>
                <w:szCs w:val="21"/>
              </w:rPr>
              <w:t xml:space="preserve"> </w:t>
            </w:r>
          </w:p>
          <w:p w14:paraId="22A498C6">
            <w:pPr>
              <w:pStyle w:val="21"/>
              <w:rPr>
                <w:rFonts w:hint="eastAsia"/>
              </w:rPr>
            </w:pPr>
          </w:p>
          <w:p w14:paraId="2D536AAB">
            <w:pPr>
              <w:spacing w:line="400" w:lineRule="atLeast"/>
              <w:rPr>
                <w:rFonts w:hint="eastAsia" w:ascii="宋体" w:hAnsi="宋体"/>
                <w:szCs w:val="21"/>
              </w:rPr>
            </w:pPr>
            <w:r>
              <w:rPr>
                <w:rFonts w:hint="eastAsia" w:ascii="宋体" w:hAnsi="宋体"/>
                <w:szCs w:val="21"/>
              </w:rPr>
              <w:t>小写：</w:t>
            </w:r>
            <w:r>
              <w:rPr>
                <w:rFonts w:ascii="宋体" w:hAnsi="宋体"/>
                <w:szCs w:val="21"/>
              </w:rPr>
              <w:t xml:space="preserve"> </w:t>
            </w:r>
          </w:p>
        </w:tc>
      </w:tr>
      <w:tr w14:paraId="77E8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308" w:type="dxa"/>
            <w:tcBorders>
              <w:top w:val="single" w:color="auto" w:sz="4" w:space="0"/>
              <w:left w:val="single" w:color="auto" w:sz="4" w:space="0"/>
              <w:bottom w:val="single" w:color="auto" w:sz="4" w:space="0"/>
              <w:right w:val="single" w:color="auto" w:sz="4" w:space="0"/>
            </w:tcBorders>
            <w:noWrap/>
            <w:vAlign w:val="center"/>
          </w:tcPr>
          <w:p w14:paraId="3F5AEB99">
            <w:pPr>
              <w:jc w:val="center"/>
              <w:outlineLvl w:val="9"/>
              <w:rPr>
                <w:rFonts w:hint="eastAsia" w:ascii="宋体" w:eastAsia="宋体" w:cs="宋体"/>
                <w:szCs w:val="21"/>
                <w:lang w:eastAsia="zh-CN"/>
              </w:rPr>
            </w:pPr>
            <w:r>
              <w:rPr>
                <w:rFonts w:hint="eastAsia" w:ascii="宋体" w:cs="宋体"/>
                <w:szCs w:val="21"/>
                <w:lang w:eastAsia="zh-CN"/>
              </w:rPr>
              <w:t>合同履行期限（服务期限）</w:t>
            </w:r>
          </w:p>
        </w:tc>
        <w:tc>
          <w:tcPr>
            <w:tcW w:w="6139" w:type="dxa"/>
            <w:tcBorders>
              <w:top w:val="single" w:color="auto" w:sz="4" w:space="0"/>
              <w:left w:val="single" w:color="auto" w:sz="4" w:space="0"/>
              <w:bottom w:val="single" w:color="auto" w:sz="4" w:space="0"/>
              <w:right w:val="single" w:color="auto" w:sz="4" w:space="0"/>
            </w:tcBorders>
            <w:noWrap/>
            <w:vAlign w:val="center"/>
          </w:tcPr>
          <w:p w14:paraId="2C81552A">
            <w:pPr>
              <w:spacing w:line="400" w:lineRule="atLeast"/>
              <w:jc w:val="center"/>
              <w:rPr>
                <w:rFonts w:hint="eastAsia" w:ascii="宋体" w:eastAsia="宋体" w:cs="宋体"/>
                <w:szCs w:val="21"/>
                <w:lang w:eastAsia="zh-CN"/>
              </w:rPr>
            </w:pPr>
          </w:p>
        </w:tc>
      </w:tr>
      <w:tr w14:paraId="2623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308" w:type="dxa"/>
            <w:tcBorders>
              <w:top w:val="single" w:color="auto" w:sz="4" w:space="0"/>
              <w:left w:val="single" w:color="auto" w:sz="4" w:space="0"/>
              <w:bottom w:val="single" w:color="auto" w:sz="4" w:space="0"/>
              <w:right w:val="single" w:color="auto" w:sz="4" w:space="0"/>
            </w:tcBorders>
            <w:noWrap/>
            <w:vAlign w:val="center"/>
          </w:tcPr>
          <w:p w14:paraId="6691B985">
            <w:pPr>
              <w:jc w:val="center"/>
              <w:outlineLvl w:val="9"/>
              <w:rPr>
                <w:rFonts w:hint="eastAsia" w:ascii="宋体" w:eastAsia="宋体" w:cs="宋体"/>
                <w:szCs w:val="21"/>
                <w:lang w:eastAsia="zh-CN"/>
              </w:rPr>
            </w:pPr>
            <w:bookmarkStart w:id="298" w:name="_GoBack"/>
            <w:r>
              <w:rPr>
                <w:rFonts w:hint="eastAsia" w:ascii="宋体" w:cs="宋体"/>
                <w:szCs w:val="21"/>
                <w:lang w:eastAsia="zh-CN"/>
              </w:rPr>
              <w:t>服务地点</w:t>
            </w:r>
            <w:bookmarkEnd w:id="298"/>
          </w:p>
        </w:tc>
        <w:tc>
          <w:tcPr>
            <w:tcW w:w="6139" w:type="dxa"/>
            <w:tcBorders>
              <w:top w:val="single" w:color="auto" w:sz="4" w:space="0"/>
              <w:left w:val="single" w:color="auto" w:sz="4" w:space="0"/>
              <w:bottom w:val="single" w:color="auto" w:sz="4" w:space="0"/>
              <w:right w:val="single" w:color="auto" w:sz="4" w:space="0"/>
            </w:tcBorders>
            <w:noWrap/>
            <w:vAlign w:val="center"/>
          </w:tcPr>
          <w:p w14:paraId="55FD9400">
            <w:pPr>
              <w:spacing w:line="360" w:lineRule="auto"/>
              <w:outlineLvl w:val="9"/>
              <w:rPr>
                <w:rFonts w:hint="default" w:ascii="宋体" w:eastAsia="宋体" w:cs="宋体"/>
                <w:szCs w:val="21"/>
                <w:lang w:val="en-US" w:eastAsia="zh-CN"/>
              </w:rPr>
            </w:pPr>
          </w:p>
        </w:tc>
      </w:tr>
      <w:tr w14:paraId="36C6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08" w:type="dxa"/>
            <w:tcBorders>
              <w:top w:val="single" w:color="auto" w:sz="4" w:space="0"/>
              <w:left w:val="single" w:color="auto" w:sz="4" w:space="0"/>
              <w:bottom w:val="single" w:color="auto" w:sz="4" w:space="0"/>
              <w:right w:val="single" w:color="auto" w:sz="4" w:space="0"/>
            </w:tcBorders>
            <w:noWrap/>
            <w:vAlign w:val="center"/>
          </w:tcPr>
          <w:p w14:paraId="1A7EF61E">
            <w:pPr>
              <w:jc w:val="center"/>
              <w:outlineLvl w:val="9"/>
              <w:rPr>
                <w:rFonts w:hint="default" w:ascii="宋体" w:cs="宋体"/>
                <w:szCs w:val="21"/>
                <w:lang w:val="en-US" w:eastAsia="zh-CN"/>
              </w:rPr>
            </w:pPr>
            <w:r>
              <w:rPr>
                <w:rFonts w:hint="eastAsia" w:ascii="宋体" w:cs="宋体"/>
                <w:szCs w:val="21"/>
                <w:lang w:val="en-US" w:eastAsia="zh-CN"/>
              </w:rPr>
              <w:t>磋商保证金形式</w:t>
            </w:r>
          </w:p>
        </w:tc>
        <w:tc>
          <w:tcPr>
            <w:tcW w:w="6139" w:type="dxa"/>
            <w:tcBorders>
              <w:top w:val="single" w:color="auto" w:sz="4" w:space="0"/>
              <w:left w:val="single" w:color="auto" w:sz="4" w:space="0"/>
              <w:bottom w:val="single" w:color="auto" w:sz="4" w:space="0"/>
              <w:right w:val="single" w:color="auto" w:sz="4" w:space="0"/>
            </w:tcBorders>
            <w:noWrap/>
            <w:vAlign w:val="center"/>
          </w:tcPr>
          <w:p w14:paraId="0D961244">
            <w:pPr>
              <w:spacing w:line="360" w:lineRule="auto"/>
              <w:outlineLvl w:val="9"/>
              <w:rPr>
                <w:rFonts w:ascii="宋体" w:cs="宋体"/>
                <w:szCs w:val="21"/>
              </w:rPr>
            </w:pPr>
          </w:p>
        </w:tc>
      </w:tr>
      <w:tr w14:paraId="19C3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447" w:type="dxa"/>
            <w:gridSpan w:val="2"/>
            <w:tcBorders>
              <w:top w:val="single" w:color="auto" w:sz="4" w:space="0"/>
              <w:left w:val="single" w:color="auto" w:sz="4" w:space="0"/>
              <w:bottom w:val="single" w:color="auto" w:sz="4" w:space="0"/>
              <w:right w:val="single" w:color="auto" w:sz="4" w:space="0"/>
            </w:tcBorders>
            <w:noWrap/>
            <w:vAlign w:val="center"/>
          </w:tcPr>
          <w:p w14:paraId="2B68D4B3">
            <w:pPr>
              <w:spacing w:line="360" w:lineRule="auto"/>
              <w:jc w:val="left"/>
              <w:outlineLvl w:val="9"/>
              <w:rPr>
                <w:rFonts w:ascii="宋体" w:cs="宋体"/>
                <w:szCs w:val="21"/>
                <w:u w:val="single"/>
              </w:rPr>
            </w:pPr>
            <w:r>
              <w:rPr>
                <w:rFonts w:hint="eastAsia" w:ascii="宋体" w:cs="宋体"/>
                <w:szCs w:val="21"/>
              </w:rPr>
              <w:t>备</w:t>
            </w:r>
            <w:r>
              <w:rPr>
                <w:rFonts w:ascii="宋体" w:cs="宋体"/>
                <w:szCs w:val="21"/>
              </w:rPr>
              <w:t xml:space="preserve"> </w:t>
            </w:r>
            <w:r>
              <w:rPr>
                <w:rFonts w:hint="eastAsia" w:ascii="宋体" w:cs="宋体"/>
                <w:szCs w:val="21"/>
              </w:rPr>
              <w:t>注：</w:t>
            </w:r>
          </w:p>
        </w:tc>
      </w:tr>
    </w:tbl>
    <w:p w14:paraId="4559E6E1">
      <w:pPr>
        <w:spacing w:line="360" w:lineRule="auto"/>
        <w:ind w:firstLine="2" w:firstLineChars="1"/>
        <w:outlineLvl w:val="9"/>
        <w:rPr>
          <w:rFonts w:hint="eastAsia" w:ascii="宋体" w:hAnsi="宋体" w:eastAsia="宋体" w:cs="宋体"/>
          <w:szCs w:val="21"/>
        </w:rPr>
      </w:pPr>
      <w:r>
        <w:rPr>
          <w:rFonts w:hint="eastAsia" w:ascii="宋体" w:hAnsi="宋体" w:eastAsia="宋体" w:cs="宋体"/>
          <w:szCs w:val="21"/>
        </w:rPr>
        <w:t>注：1.供应商应依据磋商文件的要求、国家及行业现行相关标准和规范的要求，自行测算出满足采购需求的</w:t>
      </w:r>
      <w:r>
        <w:rPr>
          <w:rFonts w:hint="eastAsia" w:ascii="宋体" w:hAnsi="宋体" w:eastAsia="宋体" w:cs="宋体"/>
          <w:szCs w:val="21"/>
          <w:lang w:val="en-US" w:eastAsia="zh-CN"/>
        </w:rPr>
        <w:t>磋商</w:t>
      </w:r>
      <w:r>
        <w:rPr>
          <w:rFonts w:hint="eastAsia" w:ascii="宋体" w:hAnsi="宋体" w:eastAsia="宋体" w:cs="宋体"/>
          <w:szCs w:val="21"/>
        </w:rPr>
        <w:t>报价。</w:t>
      </w:r>
    </w:p>
    <w:p w14:paraId="23C50CFF">
      <w:pPr>
        <w:spacing w:line="360" w:lineRule="auto"/>
        <w:ind w:firstLine="2" w:firstLineChars="1"/>
        <w:outlineLvl w:val="9"/>
        <w:rPr>
          <w:rFonts w:hint="eastAsia" w:ascii="宋体" w:hAnsi="宋体" w:eastAsia="宋体" w:cs="宋体"/>
          <w:b w:val="0"/>
          <w:bCs/>
          <w:szCs w:val="21"/>
        </w:rPr>
      </w:pPr>
      <w:r>
        <w:rPr>
          <w:rFonts w:hint="eastAsia" w:ascii="宋体" w:hAnsi="宋体" w:eastAsia="宋体" w:cs="宋体"/>
          <w:szCs w:val="21"/>
        </w:rPr>
        <w:t>2.本表中</w:t>
      </w:r>
      <w:r>
        <w:rPr>
          <w:rFonts w:hint="eastAsia" w:ascii="宋体" w:hAnsi="宋体" w:eastAsia="宋体" w:cs="宋体"/>
          <w:szCs w:val="21"/>
          <w:lang w:val="en-US" w:eastAsia="zh-CN"/>
        </w:rPr>
        <w:t>磋商</w:t>
      </w:r>
      <w:r>
        <w:rPr>
          <w:rFonts w:hint="eastAsia" w:ascii="宋体" w:hAnsi="宋体" w:eastAsia="宋体" w:cs="宋体"/>
          <w:szCs w:val="21"/>
        </w:rPr>
        <w:t>报价应与</w:t>
      </w:r>
      <w:r>
        <w:rPr>
          <w:rFonts w:hint="eastAsia" w:ascii="宋体" w:hAnsi="宋体" w:eastAsia="宋体" w:cs="宋体"/>
          <w:szCs w:val="21"/>
          <w:lang w:val="en-US" w:eastAsia="zh-CN"/>
        </w:rPr>
        <w:t>磋商申请</w:t>
      </w:r>
      <w:r>
        <w:rPr>
          <w:rFonts w:hint="eastAsia" w:ascii="宋体" w:hAnsi="宋体" w:eastAsia="宋体" w:cs="宋体"/>
          <w:szCs w:val="21"/>
        </w:rPr>
        <w:t>函一致</w:t>
      </w:r>
      <w:r>
        <w:rPr>
          <w:rFonts w:hint="eastAsia" w:ascii="宋体" w:hAnsi="宋体" w:eastAsia="宋体" w:cs="宋体"/>
          <w:b w:val="0"/>
          <w:bCs/>
          <w:szCs w:val="21"/>
        </w:rPr>
        <w:t>。</w:t>
      </w:r>
    </w:p>
    <w:p w14:paraId="46FA876C">
      <w:pPr>
        <w:spacing w:line="360" w:lineRule="auto"/>
        <w:ind w:firstLine="2" w:firstLineChars="1"/>
        <w:outlineLvl w:val="9"/>
        <w:rPr>
          <w:rFonts w:ascii="宋体"/>
          <w:szCs w:val="21"/>
        </w:rPr>
      </w:pPr>
    </w:p>
    <w:p w14:paraId="049FD2A8">
      <w:pPr>
        <w:spacing w:line="360" w:lineRule="auto"/>
        <w:ind w:firstLine="2" w:firstLineChars="1"/>
        <w:outlineLvl w:val="9"/>
        <w:rPr>
          <w:rFonts w:hint="eastAsia" w:ascii="宋体"/>
          <w:szCs w:val="21"/>
        </w:rPr>
      </w:pPr>
    </w:p>
    <w:p w14:paraId="0BA6A0B8">
      <w:pPr>
        <w:spacing w:line="360" w:lineRule="auto"/>
        <w:ind w:firstLine="2" w:firstLineChars="1"/>
        <w:outlineLvl w:val="9"/>
        <w:rPr>
          <w:rFonts w:ascii="宋体"/>
          <w:szCs w:val="21"/>
        </w:rPr>
      </w:pPr>
      <w:r>
        <w:rPr>
          <w:rFonts w:hint="eastAsia" w:ascii="宋体"/>
          <w:szCs w:val="21"/>
        </w:rPr>
        <w:t>供应商（</w:t>
      </w:r>
      <w:r>
        <w:rPr>
          <w:rFonts w:hint="eastAsia" w:ascii="宋体" w:cs="宋体"/>
          <w:szCs w:val="21"/>
        </w:rPr>
        <w:t>加盖供应商电子公章</w:t>
      </w:r>
      <w:r>
        <w:rPr>
          <w:rFonts w:hint="eastAsia" w:ascii="宋体"/>
          <w:szCs w:val="21"/>
        </w:rPr>
        <w:t>）：</w:t>
      </w:r>
    </w:p>
    <w:p w14:paraId="15C78A3D">
      <w:pPr>
        <w:spacing w:line="360" w:lineRule="auto"/>
        <w:ind w:firstLine="2" w:firstLineChars="1"/>
        <w:outlineLvl w:val="9"/>
        <w:rPr>
          <w:rFonts w:hint="eastAsia" w:ascii="宋体"/>
          <w:szCs w:val="21"/>
          <w:lang w:eastAsia="zh-CN"/>
        </w:rPr>
      </w:pPr>
    </w:p>
    <w:p w14:paraId="117D94C9">
      <w:pPr>
        <w:spacing w:line="360" w:lineRule="auto"/>
        <w:ind w:firstLine="2" w:firstLineChars="1"/>
        <w:outlineLvl w:val="9"/>
        <w:rPr>
          <w:rFonts w:ascii="宋体"/>
          <w:szCs w:val="21"/>
        </w:rPr>
      </w:pPr>
      <w:r>
        <w:rPr>
          <w:rFonts w:hint="eastAsia" w:ascii="宋体"/>
          <w:szCs w:val="21"/>
          <w:lang w:eastAsia="zh-CN"/>
        </w:rPr>
        <w:t>法定代表人或委托代理人</w:t>
      </w:r>
      <w:r>
        <w:rPr>
          <w:rFonts w:hint="eastAsia" w:ascii="宋体"/>
          <w:szCs w:val="21"/>
        </w:rPr>
        <w:t>（电子签名或签章）：</w:t>
      </w:r>
    </w:p>
    <w:p w14:paraId="1ED7CBB8">
      <w:pPr>
        <w:pStyle w:val="21"/>
        <w:outlineLvl w:val="9"/>
        <w:rPr>
          <w:rFonts w:hint="eastAsia"/>
          <w:szCs w:val="21"/>
        </w:rPr>
      </w:pPr>
    </w:p>
    <w:p w14:paraId="55B09174">
      <w:pPr>
        <w:pStyle w:val="21"/>
        <w:outlineLvl w:val="9"/>
        <w:rPr>
          <w:sz w:val="24"/>
          <w:szCs w:val="24"/>
        </w:rPr>
      </w:pPr>
      <w:r>
        <w:rPr>
          <w:rFonts w:hint="eastAsia"/>
          <w:szCs w:val="21"/>
        </w:rPr>
        <w:t>日期：</w:t>
      </w:r>
    </w:p>
    <w:p w14:paraId="1C4CFF34">
      <w:pPr>
        <w:rPr>
          <w:rFonts w:hint="eastAsia" w:ascii="宋体"/>
          <w:color w:val="auto"/>
        </w:rPr>
      </w:pPr>
      <w:r>
        <w:rPr>
          <w:b/>
          <w:sz w:val="28"/>
          <w:szCs w:val="28"/>
        </w:rPr>
        <w:br w:type="page"/>
      </w:r>
      <w:bookmarkStart w:id="167" w:name="_Toc12504"/>
      <w:bookmarkStart w:id="168" w:name="_Toc11622"/>
      <w:bookmarkStart w:id="169" w:name="_Toc26339"/>
      <w:bookmarkStart w:id="170" w:name="_Toc23562"/>
      <w:bookmarkStart w:id="171" w:name="_Toc3498"/>
    </w:p>
    <w:p w14:paraId="2AA4E19E">
      <w:pPr>
        <w:pStyle w:val="4"/>
        <w:ind w:left="425"/>
        <w:jc w:val="center"/>
        <w:rPr>
          <w:rFonts w:ascii="宋体"/>
          <w:color w:val="auto"/>
        </w:rPr>
      </w:pPr>
      <w:r>
        <w:rPr>
          <w:rFonts w:hint="eastAsia" w:ascii="宋体"/>
          <w:color w:val="auto"/>
        </w:rPr>
        <w:t>三、技术商务文件</w:t>
      </w:r>
      <w:bookmarkEnd w:id="167"/>
      <w:bookmarkEnd w:id="168"/>
    </w:p>
    <w:bookmarkEnd w:id="169"/>
    <w:p w14:paraId="0D8BC8B5">
      <w:pPr>
        <w:widowControl/>
        <w:rPr>
          <w:rFonts w:ascii="宋体"/>
          <w:b/>
          <w:sz w:val="40"/>
          <w:szCs w:val="40"/>
        </w:rPr>
      </w:pPr>
    </w:p>
    <w:p w14:paraId="14762FB4">
      <w:pPr>
        <w:widowControl/>
        <w:jc w:val="center"/>
        <w:outlineLvl w:val="9"/>
        <w:rPr>
          <w:rFonts w:ascii="宋体"/>
          <w:b/>
          <w:sz w:val="32"/>
          <w:szCs w:val="32"/>
        </w:rPr>
      </w:pPr>
      <w:r>
        <w:rPr>
          <w:rFonts w:hint="eastAsia" w:hAnsi="宋体" w:cs="宋体"/>
          <w:b/>
          <w:bCs/>
          <w:sz w:val="60"/>
          <w:szCs w:val="20"/>
          <w:lang w:eastAsia="zh-CN"/>
        </w:rPr>
        <w:t>昆明经济技术开发区2025年度生态建设绩效追踪项目</w:t>
      </w:r>
    </w:p>
    <w:p w14:paraId="711F6A06">
      <w:pPr>
        <w:outlineLvl w:val="9"/>
        <w:rPr>
          <w:rFonts w:ascii="宋体"/>
          <w:b/>
          <w:sz w:val="36"/>
          <w:szCs w:val="36"/>
        </w:rPr>
      </w:pPr>
    </w:p>
    <w:p w14:paraId="24D6365B">
      <w:pPr>
        <w:outlineLvl w:val="9"/>
      </w:pPr>
    </w:p>
    <w:p w14:paraId="5278395C">
      <w:pPr>
        <w:pStyle w:val="21"/>
        <w:spacing w:line="500" w:lineRule="exact"/>
        <w:outlineLvl w:val="9"/>
        <w:rPr>
          <w:b/>
          <w:sz w:val="36"/>
          <w:szCs w:val="36"/>
        </w:rPr>
      </w:pPr>
    </w:p>
    <w:p w14:paraId="6088106F">
      <w:pPr>
        <w:pStyle w:val="21"/>
        <w:spacing w:line="480" w:lineRule="auto"/>
        <w:jc w:val="center"/>
        <w:outlineLvl w:val="9"/>
        <w:rPr>
          <w:b/>
          <w:sz w:val="72"/>
          <w:szCs w:val="72"/>
        </w:rPr>
      </w:pPr>
      <w:r>
        <w:rPr>
          <w:rFonts w:hint="eastAsia"/>
          <w:b/>
          <w:sz w:val="72"/>
          <w:szCs w:val="72"/>
        </w:rPr>
        <w:t>响 应</w:t>
      </w:r>
      <w:r>
        <w:rPr>
          <w:b/>
          <w:sz w:val="72"/>
          <w:szCs w:val="72"/>
        </w:rPr>
        <w:t xml:space="preserve"> </w:t>
      </w:r>
      <w:r>
        <w:rPr>
          <w:rFonts w:hint="eastAsia"/>
          <w:b/>
          <w:sz w:val="72"/>
          <w:szCs w:val="72"/>
        </w:rPr>
        <w:t>文</w:t>
      </w:r>
      <w:r>
        <w:rPr>
          <w:b/>
          <w:sz w:val="72"/>
          <w:szCs w:val="72"/>
        </w:rPr>
        <w:t xml:space="preserve"> </w:t>
      </w:r>
      <w:r>
        <w:rPr>
          <w:rFonts w:hint="eastAsia"/>
          <w:b/>
          <w:sz w:val="72"/>
          <w:szCs w:val="72"/>
        </w:rPr>
        <w:t>件</w:t>
      </w:r>
    </w:p>
    <w:p w14:paraId="5BE53A0A">
      <w:pPr>
        <w:pStyle w:val="21"/>
        <w:spacing w:line="500" w:lineRule="exact"/>
        <w:jc w:val="center"/>
        <w:outlineLvl w:val="9"/>
        <w:rPr>
          <w:rFonts w:hint="eastAsia" w:eastAsia="宋体"/>
          <w:b/>
          <w:sz w:val="28"/>
          <w:szCs w:val="28"/>
          <w:u w:val="single"/>
          <w:lang w:eastAsia="zh-CN"/>
        </w:rPr>
      </w:pPr>
      <w:r>
        <w:rPr>
          <w:rFonts w:hint="eastAsia"/>
          <w:b/>
          <w:sz w:val="28"/>
          <w:szCs w:val="28"/>
        </w:rPr>
        <w:t>项目编号：</w:t>
      </w:r>
      <w:r>
        <w:rPr>
          <w:rFonts w:hint="eastAsia"/>
          <w:b/>
          <w:sz w:val="28"/>
          <w:szCs w:val="28"/>
          <w:lang w:eastAsia="zh-CN"/>
        </w:rPr>
        <w:t>KMZC2026-C3-00793-YNGR-0167</w:t>
      </w:r>
    </w:p>
    <w:p w14:paraId="0534304C">
      <w:pPr>
        <w:pStyle w:val="21"/>
        <w:spacing w:line="500" w:lineRule="exact"/>
        <w:jc w:val="center"/>
        <w:outlineLvl w:val="9"/>
        <w:rPr>
          <w:b/>
          <w:sz w:val="72"/>
          <w:szCs w:val="72"/>
        </w:rPr>
      </w:pPr>
    </w:p>
    <w:p w14:paraId="04C08B8F">
      <w:pPr>
        <w:pStyle w:val="21"/>
        <w:spacing w:line="500" w:lineRule="exact"/>
        <w:jc w:val="center"/>
        <w:outlineLvl w:val="9"/>
        <w:rPr>
          <w:b/>
          <w:sz w:val="72"/>
          <w:szCs w:val="72"/>
        </w:rPr>
      </w:pPr>
    </w:p>
    <w:p w14:paraId="468FD1B7">
      <w:pPr>
        <w:pStyle w:val="21"/>
        <w:spacing w:line="500" w:lineRule="exact"/>
        <w:outlineLvl w:val="9"/>
        <w:rPr>
          <w:b/>
          <w:sz w:val="72"/>
          <w:szCs w:val="72"/>
        </w:rPr>
      </w:pPr>
    </w:p>
    <w:p w14:paraId="178D1D4C">
      <w:pPr>
        <w:spacing w:line="360" w:lineRule="auto"/>
        <w:jc w:val="center"/>
        <w:outlineLvl w:val="9"/>
        <w:rPr>
          <w:rFonts w:ascii="宋体"/>
          <w:sz w:val="24"/>
        </w:rPr>
      </w:pPr>
    </w:p>
    <w:p w14:paraId="30021EF7">
      <w:pPr>
        <w:spacing w:line="360" w:lineRule="auto"/>
        <w:jc w:val="center"/>
        <w:outlineLvl w:val="9"/>
        <w:rPr>
          <w:rFonts w:ascii="宋体"/>
          <w:sz w:val="24"/>
        </w:rPr>
      </w:pPr>
    </w:p>
    <w:p w14:paraId="320E7E2D">
      <w:pPr>
        <w:spacing w:line="360" w:lineRule="auto"/>
        <w:jc w:val="center"/>
        <w:outlineLvl w:val="9"/>
        <w:rPr>
          <w:rFonts w:ascii="宋体"/>
          <w:sz w:val="24"/>
        </w:rPr>
      </w:pPr>
      <w:r>
        <w:rPr>
          <w:rFonts w:hint="eastAsia" w:ascii="宋体"/>
          <w:sz w:val="24"/>
        </w:rPr>
        <w:t>供应商：</w:t>
      </w:r>
      <w:r>
        <w:rPr>
          <w:rFonts w:ascii="宋体"/>
          <w:sz w:val="24"/>
          <w:u w:val="single"/>
        </w:rPr>
        <w:t xml:space="preserve">                                </w:t>
      </w:r>
      <w:r>
        <w:rPr>
          <w:rFonts w:ascii="宋体"/>
          <w:sz w:val="24"/>
        </w:rPr>
        <w:t>(</w:t>
      </w:r>
      <w:r>
        <w:rPr>
          <w:rFonts w:hint="eastAsia" w:ascii="宋体"/>
          <w:sz w:val="24"/>
        </w:rPr>
        <w:t>加盖供应商电子公章</w:t>
      </w:r>
      <w:r>
        <w:rPr>
          <w:rFonts w:ascii="宋体"/>
          <w:sz w:val="24"/>
        </w:rPr>
        <w:t>)</w:t>
      </w:r>
    </w:p>
    <w:p w14:paraId="000A8BFD">
      <w:pPr>
        <w:pStyle w:val="21"/>
        <w:spacing w:line="500" w:lineRule="exact"/>
        <w:jc w:val="center"/>
        <w:outlineLvl w:val="9"/>
        <w:rPr>
          <w:sz w:val="24"/>
        </w:rPr>
      </w:pPr>
      <w:r>
        <w:rPr>
          <w:rFonts w:hint="eastAsia"/>
          <w:sz w:val="24"/>
          <w:lang w:eastAsia="zh-CN"/>
        </w:rPr>
        <w:t>法定代表人或委托代理人</w:t>
      </w:r>
      <w:r>
        <w:rPr>
          <w:rFonts w:hint="eastAsia"/>
          <w:sz w:val="24"/>
        </w:rPr>
        <w:t>：</w:t>
      </w:r>
      <w:r>
        <w:rPr>
          <w:sz w:val="24"/>
          <w:u w:val="single"/>
        </w:rPr>
        <w:t xml:space="preserve">                    </w:t>
      </w:r>
      <w:r>
        <w:rPr>
          <w:rFonts w:hint="eastAsia"/>
          <w:sz w:val="24"/>
        </w:rPr>
        <w:t>（电子签名或签章）</w:t>
      </w:r>
    </w:p>
    <w:p w14:paraId="49E616A6">
      <w:pPr>
        <w:pStyle w:val="21"/>
        <w:spacing w:line="500" w:lineRule="exact"/>
        <w:jc w:val="center"/>
        <w:outlineLvl w:val="9"/>
        <w:rPr>
          <w:sz w:val="24"/>
          <w:u w:val="single"/>
        </w:rPr>
      </w:pP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757E2602">
      <w:pPr>
        <w:widowControl/>
        <w:jc w:val="left"/>
        <w:outlineLvl w:val="9"/>
        <w:rPr>
          <w:rFonts w:hint="eastAsia" w:ascii="宋体" w:eastAsia="宋体" w:cs="宋体"/>
          <w:b/>
          <w:sz w:val="32"/>
          <w:szCs w:val="32"/>
          <w:lang w:val="en-US" w:eastAsia="zh-CN"/>
        </w:rPr>
      </w:pPr>
      <w:r>
        <w:rPr>
          <w:b/>
          <w:sz w:val="28"/>
          <w:szCs w:val="28"/>
        </w:rPr>
        <w:br w:type="page"/>
      </w:r>
      <w:r>
        <w:rPr>
          <w:rFonts w:hint="eastAsia" w:ascii="宋体" w:eastAsia="宋体" w:cs="宋体"/>
          <w:b/>
          <w:sz w:val="28"/>
          <w:szCs w:val="28"/>
        </w:rPr>
        <w:t>格式</w:t>
      </w:r>
      <w:bookmarkEnd w:id="170"/>
      <w:bookmarkEnd w:id="171"/>
      <w:r>
        <w:rPr>
          <w:rFonts w:hint="eastAsia" w:ascii="宋体" w:eastAsia="宋体" w:cs="宋体"/>
          <w:b/>
          <w:sz w:val="28"/>
          <w:szCs w:val="28"/>
          <w:lang w:val="en-US" w:eastAsia="zh-CN"/>
        </w:rPr>
        <w:t>3</w:t>
      </w:r>
    </w:p>
    <w:p w14:paraId="3A250C21">
      <w:pPr>
        <w:keepNext/>
        <w:keepLines/>
        <w:widowControl w:val="0"/>
        <w:spacing w:before="120" w:after="120" w:line="360" w:lineRule="auto"/>
        <w:ind w:left="425"/>
        <w:jc w:val="center"/>
        <w:outlineLvl w:val="9"/>
        <w:rPr>
          <w:rFonts w:cs="宋体"/>
          <w:szCs w:val="21"/>
        </w:rPr>
      </w:pPr>
      <w:bookmarkStart w:id="172" w:name="_Toc3343"/>
      <w:bookmarkStart w:id="173" w:name="_Toc10711"/>
      <w:bookmarkStart w:id="174" w:name="_Toc5464"/>
      <w:bookmarkStart w:id="175" w:name="_Toc15202"/>
      <w:bookmarkStart w:id="176" w:name="_Toc9455"/>
      <w:bookmarkStart w:id="177" w:name="_Toc31055"/>
      <w:bookmarkStart w:id="178" w:name="_Toc488633616"/>
      <w:bookmarkStart w:id="179" w:name="_Toc5019"/>
      <w:bookmarkStart w:id="180" w:name="_Toc489145751"/>
      <w:bookmarkStart w:id="181" w:name="_Toc489197855"/>
      <w:bookmarkStart w:id="182" w:name="_Toc5556"/>
      <w:bookmarkStart w:id="183" w:name="_Toc481694845"/>
      <w:bookmarkStart w:id="184" w:name="_Toc8410"/>
      <w:r>
        <w:rPr>
          <w:rFonts w:hint="eastAsia" w:ascii="宋体" w:cs="宋体"/>
          <w:b/>
          <w:bCs/>
          <w:sz w:val="32"/>
          <w:szCs w:val="32"/>
        </w:rPr>
        <w:t>磋商申请</w:t>
      </w:r>
      <w:bookmarkEnd w:id="172"/>
      <w:bookmarkEnd w:id="173"/>
      <w:bookmarkEnd w:id="174"/>
      <w:bookmarkEnd w:id="175"/>
      <w:bookmarkEnd w:id="176"/>
      <w:bookmarkEnd w:id="177"/>
      <w:r>
        <w:rPr>
          <w:rFonts w:hint="eastAsia" w:ascii="宋体" w:cs="宋体"/>
          <w:b/>
          <w:bCs/>
          <w:sz w:val="32"/>
          <w:szCs w:val="32"/>
        </w:rPr>
        <w:t>函</w:t>
      </w:r>
      <w:bookmarkEnd w:id="178"/>
      <w:bookmarkEnd w:id="179"/>
      <w:bookmarkEnd w:id="180"/>
      <w:bookmarkEnd w:id="181"/>
      <w:bookmarkEnd w:id="182"/>
      <w:bookmarkEnd w:id="183"/>
      <w:bookmarkEnd w:id="184"/>
    </w:p>
    <w:p w14:paraId="4D6D7416">
      <w:pPr>
        <w:pStyle w:val="21"/>
        <w:spacing w:line="276" w:lineRule="auto"/>
        <w:outlineLvl w:val="9"/>
        <w:rPr>
          <w:rFonts w:cs="宋体"/>
          <w:szCs w:val="21"/>
        </w:rPr>
      </w:pPr>
      <w:r>
        <w:rPr>
          <w:rFonts w:hint="eastAsia" w:cs="宋体"/>
          <w:szCs w:val="21"/>
        </w:rPr>
        <w:t>致：</w:t>
      </w:r>
      <w:r>
        <w:rPr>
          <w:rFonts w:hint="eastAsia" w:cs="宋体"/>
          <w:szCs w:val="21"/>
          <w:u w:val="single"/>
        </w:rPr>
        <w:t>（采购人名称）</w:t>
      </w:r>
    </w:p>
    <w:p w14:paraId="0B5F170E">
      <w:pPr>
        <w:pStyle w:val="21"/>
        <w:spacing w:line="276" w:lineRule="auto"/>
        <w:ind w:firstLine="482"/>
        <w:outlineLvl w:val="9"/>
        <w:rPr>
          <w:rFonts w:cs="宋体"/>
          <w:szCs w:val="21"/>
        </w:rPr>
      </w:pPr>
      <w:r>
        <w:rPr>
          <w:rFonts w:hint="eastAsia" w:cs="宋体"/>
          <w:szCs w:val="21"/>
        </w:rPr>
        <w:t>我方仔细研究了</w:t>
      </w:r>
      <w:r>
        <w:rPr>
          <w:rFonts w:hint="eastAsia" w:cs="宋体"/>
          <w:szCs w:val="21"/>
          <w:u w:val="single"/>
          <w:lang w:val="en-US" w:eastAsia="zh-CN"/>
        </w:rPr>
        <w:t xml:space="preserve"> </w:t>
      </w:r>
      <w:r>
        <w:rPr>
          <w:rFonts w:hint="eastAsia" w:cs="宋体"/>
          <w:szCs w:val="21"/>
          <w:u w:val="single"/>
          <w:lang w:eastAsia="zh-CN"/>
        </w:rPr>
        <w:t>昆明经济技术开发区2025年度生态建设绩效追踪项目</w:t>
      </w:r>
      <w:r>
        <w:rPr>
          <w:rFonts w:hint="eastAsia" w:cs="宋体"/>
          <w:szCs w:val="21"/>
          <w:u w:val="single"/>
        </w:rPr>
        <w:t xml:space="preserve"> </w:t>
      </w:r>
      <w:r>
        <w:rPr>
          <w:rFonts w:hint="eastAsia" w:cs="宋体"/>
          <w:szCs w:val="21"/>
        </w:rPr>
        <w:t>（项目编号：</w:t>
      </w:r>
      <w:r>
        <w:rPr>
          <w:rFonts w:hint="eastAsia" w:cs="宋体"/>
          <w:szCs w:val="21"/>
          <w:lang w:eastAsia="zh-CN"/>
        </w:rPr>
        <w:t>KMZC2026-C3-00793-YNGR-0167</w:t>
      </w:r>
      <w:r>
        <w:rPr>
          <w:rFonts w:hint="eastAsia" w:cs="宋体"/>
          <w:szCs w:val="21"/>
        </w:rPr>
        <w:t>）竞争性磋商文件的全部内容，正式授权</w:t>
      </w:r>
      <w:r>
        <w:rPr>
          <w:rFonts w:hint="eastAsia" w:cs="宋体"/>
          <w:szCs w:val="21"/>
          <w:u w:val="single"/>
        </w:rPr>
        <w:t xml:space="preserve">   （姓名和职务）     </w:t>
      </w:r>
      <w:r>
        <w:rPr>
          <w:rFonts w:hint="eastAsia" w:cs="宋体"/>
          <w:szCs w:val="21"/>
        </w:rPr>
        <w:t>全权代表供应商</w:t>
      </w:r>
      <w:r>
        <w:rPr>
          <w:rFonts w:hint="eastAsia" w:cs="宋体"/>
          <w:szCs w:val="21"/>
          <w:u w:val="single"/>
        </w:rPr>
        <w:t xml:space="preserve">  （供应商全称）   </w:t>
      </w:r>
      <w:r>
        <w:rPr>
          <w:rFonts w:hint="eastAsia" w:cs="宋体"/>
          <w:szCs w:val="21"/>
        </w:rPr>
        <w:t>参加磋商，并提交响应文件。</w:t>
      </w:r>
    </w:p>
    <w:p w14:paraId="5492E136">
      <w:pPr>
        <w:pStyle w:val="21"/>
        <w:spacing w:line="276" w:lineRule="auto"/>
        <w:ind w:firstLine="420"/>
        <w:outlineLvl w:val="9"/>
        <w:rPr>
          <w:rFonts w:cs="宋体"/>
          <w:szCs w:val="21"/>
        </w:rPr>
      </w:pPr>
      <w:r>
        <w:rPr>
          <w:rFonts w:hint="eastAsia" w:cs="宋体"/>
          <w:szCs w:val="21"/>
        </w:rPr>
        <w:t>据此函，我公司宣布同意如下：</w:t>
      </w:r>
    </w:p>
    <w:p w14:paraId="7F473E94">
      <w:pPr>
        <w:pStyle w:val="21"/>
        <w:spacing w:line="276" w:lineRule="auto"/>
        <w:ind w:firstLine="420"/>
        <w:outlineLvl w:val="9"/>
        <w:rPr>
          <w:rFonts w:cs="宋体"/>
          <w:szCs w:val="21"/>
        </w:rPr>
      </w:pPr>
      <w:r>
        <w:rPr>
          <w:rFonts w:hint="eastAsia" w:cs="宋体"/>
          <w:szCs w:val="21"/>
        </w:rPr>
        <w:t>1.按竞争性磋商文件及</w:t>
      </w:r>
      <w:r>
        <w:rPr>
          <w:rFonts w:hint="eastAsia" w:cs="宋体"/>
          <w:szCs w:val="21"/>
          <w:highlight w:val="none"/>
        </w:rPr>
        <w:t>采购需求，磋商报价</w:t>
      </w:r>
      <w:r>
        <w:rPr>
          <w:rFonts w:hint="eastAsia" w:cs="宋体"/>
          <w:szCs w:val="21"/>
          <w:highlight w:val="none"/>
          <w:lang w:eastAsia="zh-CN"/>
        </w:rPr>
        <w:t>：</w:t>
      </w:r>
      <w:r>
        <w:rPr>
          <w:rFonts w:hint="eastAsia" w:cs="宋体"/>
          <w:szCs w:val="21"/>
          <w:highlight w:val="none"/>
          <w:u w:val="single"/>
          <w:lang w:val="en-US" w:eastAsia="zh-CN"/>
        </w:rPr>
        <w:t xml:space="preserve">      </w:t>
      </w:r>
      <w:r>
        <w:rPr>
          <w:rFonts w:hint="eastAsia" w:cs="宋体"/>
          <w:szCs w:val="21"/>
          <w:highlight w:val="none"/>
        </w:rPr>
        <w:t>元（大写：</w:t>
      </w:r>
      <w:r>
        <w:rPr>
          <w:rFonts w:hint="eastAsia" w:cs="宋体"/>
          <w:szCs w:val="21"/>
          <w:highlight w:val="none"/>
          <w:u w:val="single"/>
          <w:lang w:val="en-US" w:eastAsia="zh-CN"/>
        </w:rPr>
        <w:t xml:space="preserve">       </w:t>
      </w:r>
      <w:r>
        <w:rPr>
          <w:rFonts w:hint="eastAsia" w:cs="宋体"/>
          <w:szCs w:val="21"/>
          <w:highlight w:val="none"/>
        </w:rPr>
        <w:t>）</w:t>
      </w:r>
      <w:r>
        <w:rPr>
          <w:rFonts w:hint="eastAsia" w:cs="宋体"/>
          <w:szCs w:val="21"/>
          <w:highlight w:val="none"/>
          <w:lang w:eastAsia="zh-CN"/>
        </w:rPr>
        <w:t>，</w:t>
      </w:r>
      <w:r>
        <w:rPr>
          <w:rFonts w:hint="eastAsia" w:cs="宋体"/>
          <w:szCs w:val="21"/>
          <w:highlight w:val="none"/>
          <w:u w:val="none"/>
          <w:lang w:eastAsia="zh-CN"/>
        </w:rPr>
        <w:t>合同履行期限（服务期限）：</w:t>
      </w:r>
      <w:r>
        <w:rPr>
          <w:rFonts w:hint="eastAsia" w:cs="宋体"/>
          <w:szCs w:val="21"/>
          <w:highlight w:val="none"/>
          <w:u w:val="single"/>
          <w:lang w:val="en-US" w:eastAsia="zh-CN"/>
        </w:rPr>
        <w:t xml:space="preserve">                            </w:t>
      </w:r>
      <w:r>
        <w:rPr>
          <w:rFonts w:hint="eastAsia" w:cs="宋体"/>
          <w:szCs w:val="21"/>
          <w:highlight w:val="none"/>
        </w:rPr>
        <w:t>。</w:t>
      </w:r>
    </w:p>
    <w:p w14:paraId="0BB035D5">
      <w:pPr>
        <w:pStyle w:val="21"/>
        <w:spacing w:line="276" w:lineRule="auto"/>
        <w:ind w:firstLine="420"/>
        <w:outlineLvl w:val="9"/>
        <w:rPr>
          <w:rFonts w:cs="宋体"/>
          <w:spacing w:val="-10"/>
          <w:szCs w:val="21"/>
        </w:rPr>
      </w:pPr>
      <w:r>
        <w:rPr>
          <w:rFonts w:hint="eastAsia" w:cs="宋体"/>
          <w:szCs w:val="21"/>
        </w:rPr>
        <w:t>2.</w:t>
      </w:r>
      <w:r>
        <w:rPr>
          <w:rFonts w:hint="eastAsia" w:cs="宋体"/>
          <w:spacing w:val="-10"/>
          <w:szCs w:val="21"/>
        </w:rPr>
        <w:t>我方已详细审查竞争性磋商文件的全部内容，包括</w:t>
      </w:r>
      <w:r>
        <w:rPr>
          <w:rFonts w:hint="eastAsia" w:cs="宋体"/>
          <w:spacing w:val="-10"/>
          <w:szCs w:val="21"/>
          <w:u w:val="single"/>
        </w:rPr>
        <w:t>（澄清文件）(如果有)</w:t>
      </w:r>
      <w:r>
        <w:rPr>
          <w:rFonts w:hint="eastAsia" w:cs="宋体"/>
          <w:spacing w:val="-10"/>
          <w:szCs w:val="21"/>
        </w:rPr>
        <w:t>。我方完全理解竞争性磋商文件相关要求，并承担对竞争性磋商文件有不明及误解的后果。</w:t>
      </w:r>
    </w:p>
    <w:p w14:paraId="060C121A">
      <w:pPr>
        <w:pStyle w:val="21"/>
        <w:spacing w:line="276" w:lineRule="auto"/>
        <w:ind w:firstLine="420"/>
        <w:outlineLvl w:val="9"/>
        <w:rPr>
          <w:rFonts w:cs="宋体"/>
          <w:szCs w:val="21"/>
        </w:rPr>
      </w:pPr>
      <w:r>
        <w:rPr>
          <w:rFonts w:hint="eastAsia" w:cs="宋体"/>
          <w:szCs w:val="21"/>
        </w:rPr>
        <w:t>3.在供应商须知规定的提交日期起遵循本竞争性磋商文件，并在响应文件有效期</w:t>
      </w:r>
      <w:r>
        <w:rPr>
          <w:rFonts w:hint="eastAsia" w:cs="宋体"/>
          <w:szCs w:val="21"/>
          <w:lang w:eastAsia="zh-CN"/>
        </w:rPr>
        <w:t>（响应文件提交截止之日起90天）</w:t>
      </w:r>
      <w:r>
        <w:rPr>
          <w:rFonts w:hint="eastAsia" w:cs="宋体"/>
          <w:szCs w:val="21"/>
        </w:rPr>
        <w:t>届满之日前均具有约束力。</w:t>
      </w:r>
    </w:p>
    <w:p w14:paraId="1C1CB848">
      <w:pPr>
        <w:pStyle w:val="21"/>
        <w:spacing w:line="276" w:lineRule="auto"/>
        <w:ind w:firstLine="420"/>
        <w:outlineLvl w:val="9"/>
        <w:rPr>
          <w:rFonts w:cs="宋体"/>
          <w:szCs w:val="21"/>
        </w:rPr>
      </w:pPr>
      <w:r>
        <w:rPr>
          <w:rFonts w:hint="eastAsia" w:cs="宋体"/>
          <w:szCs w:val="21"/>
        </w:rPr>
        <w:t>4.同意竞争性磋商文件中关于没收磋商保证金的规定。</w:t>
      </w:r>
    </w:p>
    <w:p w14:paraId="3EF5AEB8">
      <w:pPr>
        <w:pStyle w:val="21"/>
        <w:spacing w:line="276" w:lineRule="auto"/>
        <w:ind w:firstLine="420"/>
        <w:outlineLvl w:val="9"/>
        <w:rPr>
          <w:rFonts w:cs="宋体"/>
          <w:szCs w:val="21"/>
        </w:rPr>
      </w:pPr>
      <w:r>
        <w:rPr>
          <w:rFonts w:hint="eastAsia" w:cs="宋体"/>
          <w:szCs w:val="21"/>
        </w:rPr>
        <w:t>5.同意应贵方要求提供与本项目有关的任何数据或资料，并保证数据和资料的完整性和真实性。</w:t>
      </w:r>
    </w:p>
    <w:p w14:paraId="3614EF1A">
      <w:pPr>
        <w:pStyle w:val="21"/>
        <w:spacing w:line="276" w:lineRule="auto"/>
        <w:ind w:firstLine="420"/>
        <w:outlineLvl w:val="9"/>
        <w:rPr>
          <w:rFonts w:cs="宋体"/>
          <w:szCs w:val="21"/>
        </w:rPr>
      </w:pPr>
      <w:r>
        <w:rPr>
          <w:rFonts w:hint="eastAsia" w:cs="宋体"/>
          <w:szCs w:val="21"/>
        </w:rPr>
        <w:t>6.完全理解贵方不一定要接受最低报价的供应商为成交供应商的行为。</w:t>
      </w:r>
    </w:p>
    <w:p w14:paraId="15F659A4">
      <w:pPr>
        <w:pStyle w:val="21"/>
        <w:spacing w:line="276" w:lineRule="auto"/>
        <w:ind w:firstLine="420"/>
        <w:outlineLvl w:val="9"/>
        <w:rPr>
          <w:rFonts w:cs="宋体"/>
          <w:szCs w:val="21"/>
        </w:rPr>
      </w:pPr>
      <w:r>
        <w:rPr>
          <w:rFonts w:hint="eastAsia" w:cs="宋体"/>
          <w:szCs w:val="21"/>
        </w:rPr>
        <w:t>7.如我方成交：</w:t>
      </w:r>
    </w:p>
    <w:p w14:paraId="645A25B1">
      <w:pPr>
        <w:pStyle w:val="21"/>
        <w:spacing w:line="276" w:lineRule="auto"/>
        <w:ind w:firstLine="420"/>
        <w:outlineLvl w:val="9"/>
        <w:rPr>
          <w:rFonts w:cs="宋体"/>
          <w:szCs w:val="21"/>
        </w:rPr>
      </w:pPr>
      <w:r>
        <w:rPr>
          <w:rFonts w:hint="eastAsia" w:cs="宋体"/>
          <w:szCs w:val="21"/>
        </w:rPr>
        <w:t>（1）我方承诺在收到成交通知书后，在成交通知书规定的期限内与你方签订合同，并履行相应的合同责任和义务。</w:t>
      </w:r>
    </w:p>
    <w:p w14:paraId="2E27C28F">
      <w:pPr>
        <w:pStyle w:val="21"/>
        <w:spacing w:line="276" w:lineRule="auto"/>
        <w:ind w:firstLine="420"/>
        <w:outlineLvl w:val="9"/>
        <w:rPr>
          <w:rFonts w:cs="宋体"/>
          <w:szCs w:val="21"/>
        </w:rPr>
      </w:pPr>
      <w:r>
        <w:rPr>
          <w:rFonts w:hint="eastAsia" w:cs="宋体"/>
          <w:szCs w:val="21"/>
        </w:rPr>
        <w:t>（2）我方承诺按照竞争性磋商文件的规定向你方递交履约保证金。</w:t>
      </w:r>
    </w:p>
    <w:p w14:paraId="108A629A">
      <w:pPr>
        <w:pStyle w:val="21"/>
        <w:spacing w:line="276" w:lineRule="auto"/>
        <w:ind w:firstLine="420"/>
        <w:outlineLvl w:val="9"/>
        <w:rPr>
          <w:rFonts w:cs="宋体"/>
          <w:szCs w:val="21"/>
        </w:rPr>
      </w:pPr>
      <w:r>
        <w:rPr>
          <w:rFonts w:hint="eastAsia" w:cs="宋体"/>
          <w:szCs w:val="21"/>
        </w:rPr>
        <w:t>（3）我方承诺将承担售后服务及质量责任。</w:t>
      </w:r>
    </w:p>
    <w:p w14:paraId="17B2D019">
      <w:pPr>
        <w:pStyle w:val="21"/>
        <w:spacing w:line="276" w:lineRule="auto"/>
        <w:ind w:firstLine="420"/>
        <w:outlineLvl w:val="9"/>
        <w:rPr>
          <w:rFonts w:cs="宋体"/>
          <w:szCs w:val="21"/>
        </w:rPr>
      </w:pPr>
      <w:r>
        <w:rPr>
          <w:rFonts w:hint="eastAsia" w:cs="宋体"/>
          <w:szCs w:val="21"/>
        </w:rPr>
        <w:t>8.我方在此声明，所递交的响应文件及有关资料内容完整、真实和准确。</w:t>
      </w:r>
    </w:p>
    <w:p w14:paraId="40477CCD">
      <w:pPr>
        <w:pStyle w:val="21"/>
        <w:spacing w:line="276" w:lineRule="auto"/>
        <w:ind w:firstLine="420"/>
        <w:outlineLvl w:val="9"/>
        <w:rPr>
          <w:rFonts w:cs="宋体"/>
          <w:szCs w:val="21"/>
        </w:rPr>
      </w:pPr>
      <w:r>
        <w:rPr>
          <w:rFonts w:hint="eastAsia" w:cs="宋体"/>
          <w:szCs w:val="21"/>
        </w:rPr>
        <w:t>9.</w:t>
      </w:r>
      <w:r>
        <w:rPr>
          <w:rFonts w:hint="eastAsia" w:cs="宋体"/>
          <w:szCs w:val="21"/>
          <w:u w:val="single"/>
        </w:rPr>
        <w:t xml:space="preserve">                                       </w:t>
      </w:r>
      <w:r>
        <w:rPr>
          <w:rFonts w:hint="eastAsia" w:cs="宋体"/>
          <w:szCs w:val="21"/>
        </w:rPr>
        <w:t>（其他补充说明）。</w:t>
      </w:r>
    </w:p>
    <w:p w14:paraId="66D9475B">
      <w:pPr>
        <w:pStyle w:val="21"/>
        <w:spacing w:line="276" w:lineRule="auto"/>
        <w:ind w:firstLine="420"/>
        <w:outlineLvl w:val="9"/>
        <w:rPr>
          <w:rFonts w:cs="宋体"/>
          <w:szCs w:val="21"/>
        </w:rPr>
      </w:pPr>
      <w:r>
        <w:rPr>
          <w:rFonts w:hint="eastAsia" w:cs="宋体"/>
          <w:szCs w:val="21"/>
        </w:rPr>
        <w:t>我单位正式通讯地址为：</w:t>
      </w:r>
    </w:p>
    <w:p w14:paraId="7C5619EC">
      <w:pPr>
        <w:pStyle w:val="21"/>
        <w:spacing w:line="276" w:lineRule="auto"/>
        <w:ind w:firstLine="420"/>
        <w:outlineLvl w:val="9"/>
        <w:rPr>
          <w:rFonts w:cs="宋体"/>
          <w:szCs w:val="21"/>
          <w:u w:val="single"/>
        </w:rPr>
      </w:pPr>
      <w:r>
        <w:rPr>
          <w:rFonts w:hint="eastAsia" w:cs="宋体"/>
          <w:szCs w:val="21"/>
        </w:rPr>
        <w:t>地址：</w:t>
      </w:r>
      <w:r>
        <w:rPr>
          <w:rFonts w:hint="eastAsia" w:cs="宋体"/>
          <w:szCs w:val="21"/>
          <w:u w:val="single"/>
        </w:rPr>
        <w:t xml:space="preserve">                         </w:t>
      </w:r>
      <w:r>
        <w:rPr>
          <w:rFonts w:hint="eastAsia" w:cs="宋体"/>
          <w:szCs w:val="21"/>
        </w:rPr>
        <w:t>邮政编码：</w:t>
      </w:r>
      <w:r>
        <w:rPr>
          <w:rFonts w:hint="eastAsia" w:cs="宋体"/>
          <w:szCs w:val="21"/>
          <w:u w:val="single"/>
        </w:rPr>
        <w:t xml:space="preserve">                  .            </w:t>
      </w:r>
    </w:p>
    <w:p w14:paraId="60F34FBF">
      <w:pPr>
        <w:pStyle w:val="21"/>
        <w:spacing w:line="276" w:lineRule="auto"/>
        <w:ind w:firstLine="420"/>
        <w:outlineLvl w:val="9"/>
        <w:rPr>
          <w:rFonts w:cs="宋体"/>
          <w:szCs w:val="21"/>
        </w:rPr>
      </w:pPr>
      <w:r>
        <w:rPr>
          <w:rFonts w:hint="eastAsia" w:cs="宋体"/>
          <w:szCs w:val="21"/>
        </w:rPr>
        <w:t>电话：</w:t>
      </w:r>
      <w:r>
        <w:rPr>
          <w:rFonts w:hint="eastAsia" w:cs="宋体"/>
          <w:szCs w:val="21"/>
          <w:u w:val="single"/>
        </w:rPr>
        <w:t xml:space="preserve">                         </w:t>
      </w:r>
      <w:r>
        <w:rPr>
          <w:rFonts w:hint="eastAsia" w:cs="宋体"/>
          <w:szCs w:val="21"/>
        </w:rPr>
        <w:t>传真：</w:t>
      </w:r>
      <w:r>
        <w:rPr>
          <w:rFonts w:hint="eastAsia" w:cs="宋体"/>
          <w:szCs w:val="21"/>
          <w:u w:val="single"/>
        </w:rPr>
        <w:t xml:space="preserve">                      .       </w:t>
      </w:r>
    </w:p>
    <w:p w14:paraId="297AFCB3">
      <w:pPr>
        <w:pStyle w:val="21"/>
        <w:spacing w:line="276" w:lineRule="auto"/>
        <w:ind w:firstLine="420"/>
        <w:outlineLvl w:val="9"/>
        <w:rPr>
          <w:rFonts w:cs="宋体"/>
          <w:szCs w:val="21"/>
          <w:u w:val="single"/>
        </w:rPr>
      </w:pPr>
      <w:r>
        <w:rPr>
          <w:rFonts w:hint="eastAsia" w:cs="宋体"/>
          <w:szCs w:val="21"/>
        </w:rPr>
        <w:t>开户名称：</w:t>
      </w:r>
      <w:r>
        <w:rPr>
          <w:rFonts w:hint="eastAsia" w:cs="宋体"/>
          <w:szCs w:val="21"/>
          <w:u w:val="single"/>
        </w:rPr>
        <w:t xml:space="preserve">                     </w:t>
      </w:r>
      <w:r>
        <w:rPr>
          <w:rFonts w:hint="eastAsia" w:cs="宋体"/>
          <w:szCs w:val="21"/>
        </w:rPr>
        <w:t>开户银行：</w:t>
      </w:r>
      <w:r>
        <w:rPr>
          <w:rFonts w:hint="eastAsia" w:cs="宋体"/>
          <w:szCs w:val="21"/>
          <w:u w:val="single"/>
        </w:rPr>
        <w:t xml:space="preserve">                  .           </w:t>
      </w:r>
    </w:p>
    <w:p w14:paraId="1F6269AF">
      <w:pPr>
        <w:pStyle w:val="21"/>
        <w:spacing w:line="276" w:lineRule="auto"/>
        <w:ind w:firstLine="420"/>
        <w:outlineLvl w:val="9"/>
        <w:rPr>
          <w:rFonts w:cs="宋体"/>
          <w:szCs w:val="21"/>
          <w:u w:val="single"/>
        </w:rPr>
      </w:pPr>
      <w:r>
        <w:rPr>
          <w:rFonts w:hint="eastAsia" w:cs="宋体"/>
          <w:szCs w:val="21"/>
        </w:rPr>
        <w:t>账    号：</w:t>
      </w:r>
      <w:r>
        <w:rPr>
          <w:rFonts w:hint="eastAsia" w:cs="宋体"/>
          <w:szCs w:val="21"/>
          <w:u w:val="single"/>
        </w:rPr>
        <w:t xml:space="preserve">                  .                     </w:t>
      </w:r>
    </w:p>
    <w:p w14:paraId="7195A100">
      <w:pPr>
        <w:outlineLvl w:val="9"/>
      </w:pPr>
    </w:p>
    <w:p w14:paraId="6DF61BDD">
      <w:pPr>
        <w:pStyle w:val="21"/>
        <w:spacing w:line="276" w:lineRule="auto"/>
        <w:ind w:firstLine="420"/>
        <w:outlineLvl w:val="9"/>
        <w:rPr>
          <w:rFonts w:hint="eastAsia"/>
          <w:szCs w:val="21"/>
        </w:rPr>
      </w:pPr>
    </w:p>
    <w:p w14:paraId="261AE346">
      <w:pPr>
        <w:pStyle w:val="21"/>
        <w:spacing w:line="276" w:lineRule="auto"/>
        <w:ind w:firstLine="420"/>
        <w:outlineLvl w:val="9"/>
        <w:rPr>
          <w:rFonts w:hint="eastAsia"/>
          <w:szCs w:val="21"/>
        </w:rPr>
      </w:pPr>
    </w:p>
    <w:p w14:paraId="1AA93F99">
      <w:pPr>
        <w:pStyle w:val="21"/>
        <w:spacing w:line="276" w:lineRule="auto"/>
        <w:ind w:firstLine="420"/>
        <w:outlineLvl w:val="9"/>
        <w:rPr>
          <w:szCs w:val="21"/>
          <w:u w:val="single"/>
        </w:rPr>
      </w:pPr>
      <w:r>
        <w:rPr>
          <w:rFonts w:hint="eastAsia"/>
          <w:szCs w:val="21"/>
        </w:rPr>
        <w:t>供应商（</w:t>
      </w:r>
      <w:r>
        <w:rPr>
          <w:rFonts w:hint="eastAsia" w:cs="宋体"/>
          <w:szCs w:val="21"/>
        </w:rPr>
        <w:t>加盖供应商电子公章</w:t>
      </w:r>
      <w:r>
        <w:rPr>
          <w:rFonts w:hint="eastAsia"/>
          <w:szCs w:val="21"/>
        </w:rPr>
        <w:t>）：</w:t>
      </w:r>
    </w:p>
    <w:p w14:paraId="664BF7D0">
      <w:pPr>
        <w:pStyle w:val="21"/>
        <w:spacing w:line="276" w:lineRule="auto"/>
        <w:ind w:firstLine="420"/>
        <w:outlineLvl w:val="9"/>
        <w:rPr>
          <w:szCs w:val="21"/>
        </w:rPr>
      </w:pPr>
      <w:r>
        <w:rPr>
          <w:rFonts w:hint="eastAsia"/>
          <w:szCs w:val="21"/>
          <w:lang w:eastAsia="zh-CN"/>
        </w:rPr>
        <w:t>法定代表人或委托代理人</w:t>
      </w:r>
      <w:r>
        <w:rPr>
          <w:rFonts w:hint="eastAsia"/>
          <w:szCs w:val="21"/>
        </w:rPr>
        <w:t>（电子签名或签章）：</w:t>
      </w:r>
    </w:p>
    <w:p w14:paraId="37EF5748">
      <w:pPr>
        <w:pStyle w:val="21"/>
        <w:spacing w:line="276" w:lineRule="auto"/>
        <w:ind w:firstLine="420"/>
        <w:outlineLvl w:val="9"/>
        <w:rPr>
          <w:sz w:val="24"/>
          <w:szCs w:val="24"/>
        </w:rPr>
      </w:pPr>
      <w:r>
        <w:rPr>
          <w:rFonts w:hint="eastAsia"/>
          <w:szCs w:val="21"/>
        </w:rPr>
        <w:t>日期：</w:t>
      </w:r>
      <w:r>
        <w:rPr>
          <w:szCs w:val="21"/>
          <w:u w:val="single"/>
        </w:rPr>
        <w:t xml:space="preserve">       </w:t>
      </w:r>
      <w:r>
        <w:rPr>
          <w:sz w:val="24"/>
          <w:szCs w:val="24"/>
          <w:u w:val="single"/>
        </w:rPr>
        <w:t xml:space="preserve">      </w:t>
      </w:r>
    </w:p>
    <w:p w14:paraId="45634DF2">
      <w:pPr>
        <w:widowControl/>
        <w:jc w:val="left"/>
        <w:outlineLvl w:val="9"/>
        <w:rPr>
          <w:b/>
          <w:sz w:val="28"/>
          <w:szCs w:val="28"/>
        </w:rPr>
      </w:pPr>
      <w:bookmarkStart w:id="185" w:name="_Toc327190555"/>
      <w:r>
        <w:rPr>
          <w:b/>
          <w:sz w:val="28"/>
          <w:szCs w:val="28"/>
        </w:rPr>
        <w:t xml:space="preserve"> </w:t>
      </w:r>
      <w:bookmarkStart w:id="186" w:name="_Toc481694846"/>
      <w:bookmarkStart w:id="187" w:name="_Toc518289512"/>
      <w:bookmarkStart w:id="188" w:name="_Toc525059478"/>
      <w:bookmarkStart w:id="189" w:name="_Toc525058991"/>
      <w:bookmarkStart w:id="190" w:name="_Toc489197856"/>
      <w:bookmarkStart w:id="191" w:name="_Toc488633617"/>
      <w:bookmarkStart w:id="192" w:name="_Toc497415953"/>
      <w:bookmarkStart w:id="193" w:name="_Toc489145752"/>
      <w:bookmarkStart w:id="194" w:name="_Toc11618"/>
    </w:p>
    <w:p w14:paraId="7996A26B">
      <w:pPr>
        <w:outlineLvl w:val="9"/>
        <w:rPr>
          <w:b/>
          <w:sz w:val="28"/>
          <w:szCs w:val="28"/>
        </w:rPr>
      </w:pPr>
      <w:r>
        <w:rPr>
          <w:b/>
          <w:sz w:val="28"/>
          <w:szCs w:val="28"/>
        </w:rPr>
        <w:br w:type="page"/>
      </w:r>
    </w:p>
    <w:p w14:paraId="27368139">
      <w:pPr>
        <w:rPr>
          <w:rFonts w:hint="eastAsia" w:ascii="宋体" w:hAnsi="宋体" w:eastAsia="宋体" w:cs="宋体"/>
          <w:b/>
          <w:color w:val="auto"/>
          <w:sz w:val="32"/>
          <w:szCs w:val="32"/>
          <w:highlight w:val="none"/>
          <w:lang w:val="en-US" w:eastAsia="zh-CN"/>
        </w:rPr>
      </w:pPr>
      <w:bookmarkStart w:id="195" w:name="_Toc15973"/>
      <w:r>
        <w:rPr>
          <w:rFonts w:hint="eastAsia" w:ascii="宋体" w:hAnsi="宋体" w:cs="宋体"/>
          <w:b/>
          <w:color w:val="auto"/>
          <w:sz w:val="32"/>
          <w:szCs w:val="32"/>
          <w:highlight w:val="none"/>
        </w:rPr>
        <w:t>格式</w:t>
      </w:r>
      <w:r>
        <w:rPr>
          <w:rFonts w:hint="eastAsia" w:ascii="宋体" w:hAnsi="宋体" w:cs="宋体"/>
          <w:b/>
          <w:color w:val="auto"/>
          <w:sz w:val="32"/>
          <w:szCs w:val="32"/>
          <w:highlight w:val="none"/>
          <w:lang w:val="en-US" w:eastAsia="zh-CN"/>
        </w:rPr>
        <w:t>4</w:t>
      </w:r>
    </w:p>
    <w:p w14:paraId="1F1B0B9F">
      <w:pPr>
        <w:keepNext/>
        <w:keepLines/>
        <w:spacing w:before="240" w:line="400" w:lineRule="exact"/>
        <w:ind w:left="425"/>
        <w:jc w:val="center"/>
        <w:outlineLvl w:val="0"/>
        <w:rPr>
          <w:rFonts w:hint="eastAsia" w:ascii="宋体" w:hAnsi="宋体" w:eastAsia="宋体" w:cs="宋体"/>
          <w:b/>
          <w:sz w:val="28"/>
          <w:highlight w:val="none"/>
        </w:rPr>
      </w:pPr>
      <w:bookmarkStart w:id="196" w:name="_Toc11786"/>
      <w:bookmarkStart w:id="197" w:name="_Toc30859"/>
      <w:r>
        <w:rPr>
          <w:rFonts w:hint="eastAsia" w:ascii="宋体" w:hAnsi="宋体" w:eastAsia="宋体" w:cs="宋体"/>
          <w:b/>
          <w:sz w:val="28"/>
          <w:highlight w:val="none"/>
        </w:rPr>
        <w:t>《中小企业声明函》（符合《政府采购促进中小企业发展管理办法》（财库〔2020〕46号）价格扣减条件的</w:t>
      </w:r>
      <w:r>
        <w:rPr>
          <w:rFonts w:hint="eastAsia" w:ascii="宋体" w:hAnsi="宋体" w:cs="宋体"/>
          <w:b/>
          <w:sz w:val="28"/>
          <w:highlight w:val="none"/>
          <w:lang w:val="en-US" w:eastAsia="zh-CN"/>
        </w:rPr>
        <w:t>供应商</w:t>
      </w:r>
      <w:r>
        <w:rPr>
          <w:rFonts w:hint="eastAsia" w:ascii="宋体" w:hAnsi="宋体" w:eastAsia="宋体" w:cs="宋体"/>
          <w:b/>
          <w:sz w:val="28"/>
          <w:highlight w:val="none"/>
        </w:rPr>
        <w:t>需提交）</w:t>
      </w:r>
    </w:p>
    <w:p w14:paraId="0C5AF9EE">
      <w:pPr>
        <w:pStyle w:val="4"/>
        <w:spacing w:line="360" w:lineRule="auto"/>
        <w:ind w:left="425"/>
        <w:jc w:val="center"/>
        <w:rPr>
          <w:rFonts w:ascii="宋体" w:hAnsi="宋体" w:cs="宋体"/>
          <w:color w:val="auto"/>
          <w:kern w:val="0"/>
          <w:szCs w:val="21"/>
          <w:highlight w:val="none"/>
        </w:rPr>
      </w:pPr>
      <w:r>
        <w:rPr>
          <w:rFonts w:hint="eastAsia" w:ascii="宋体" w:hAnsi="宋体" w:eastAsia="宋体" w:cs="宋体"/>
          <w:color w:val="auto"/>
          <w:szCs w:val="32"/>
          <w:highlight w:val="none"/>
        </w:rPr>
        <w:t>中小企业声明函</w:t>
      </w:r>
      <w:bookmarkEnd w:id="196"/>
      <w:bookmarkEnd w:id="197"/>
    </w:p>
    <w:p w14:paraId="7B9F7803">
      <w:pPr>
        <w:widowControl/>
        <w:spacing w:line="360" w:lineRule="auto"/>
        <w:ind w:firstLine="420" w:firstLineChars="200"/>
        <w:jc w:val="left"/>
        <w:rPr>
          <w:rFonts w:ascii="宋体" w:hAnsi="宋体" w:cs="宋体"/>
          <w:bCs/>
          <w:color w:val="auto"/>
          <w:szCs w:val="21"/>
          <w:highlight w:val="none"/>
        </w:rPr>
      </w:pPr>
      <w:bookmarkStart w:id="198" w:name="_Toc419059324"/>
      <w:r>
        <w:rPr>
          <w:rFonts w:hint="eastAsia" w:ascii="宋体" w:hAnsi="宋体" w:cs="宋体"/>
          <w:bCs/>
          <w:snapToGrid w:val="0"/>
          <w:color w:val="auto"/>
          <w:kern w:val="0"/>
          <w:szCs w:val="21"/>
          <w:highlight w:val="none"/>
          <w:lang w:bidi="ar"/>
        </w:rPr>
        <w:t>本公司（联合体）郑重声明，根据《政府采购促进中小企业发展管理办法》（财库﹝2020﹞46 号）的规定，本公司（联合体）参加</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（单位名称）</w:t>
      </w:r>
      <w:r>
        <w:rPr>
          <w:rFonts w:hint="eastAsia" w:ascii="宋体" w:hAnsi="宋体" w:cs="宋体"/>
          <w:bCs/>
          <w:snapToGrid w:val="0"/>
          <w:color w:val="auto"/>
          <w:kern w:val="0"/>
          <w:szCs w:val="21"/>
          <w:highlight w:val="none"/>
          <w:lang w:bidi="ar"/>
        </w:rPr>
        <w:t>的</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 xml:space="preserve">（项目名称）  </w:t>
      </w:r>
      <w:r>
        <w:rPr>
          <w:rFonts w:hint="eastAsia" w:ascii="宋体" w:hAnsi="宋体" w:cs="宋体"/>
          <w:bCs/>
          <w:snapToGrid w:val="0"/>
          <w:color w:val="auto"/>
          <w:kern w:val="0"/>
          <w:szCs w:val="21"/>
          <w:highlight w:val="none"/>
          <w:lang w:bidi="ar"/>
        </w:rPr>
        <w:t>采购活动，服务全部由符合政策要求的中小企业承接。相关企业（含联合体中的中小企业、签订分包意向协议的中小企业）的具体情况如下：</w:t>
      </w:r>
    </w:p>
    <w:p w14:paraId="0DA35BBD">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snapToGrid w:val="0"/>
          <w:color w:val="auto"/>
          <w:kern w:val="0"/>
          <w:szCs w:val="21"/>
          <w:highlight w:val="none"/>
          <w:u w:val="single"/>
          <w:lang w:val="en-US" w:eastAsia="zh-CN" w:bidi="ar"/>
        </w:rPr>
        <w:t>1</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 xml:space="preserve">（标的名称） </w:t>
      </w:r>
      <w:r>
        <w:rPr>
          <w:rFonts w:hint="eastAsia" w:ascii="宋体" w:hAnsi="宋体" w:cs="宋体"/>
          <w:bCs/>
          <w:snapToGrid w:val="0"/>
          <w:color w:val="auto"/>
          <w:kern w:val="0"/>
          <w:szCs w:val="21"/>
          <w:highlight w:val="none"/>
          <w:lang w:bidi="ar"/>
        </w:rPr>
        <w:t>，属于</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（采购文件中明确的所属行业）</w:t>
      </w:r>
      <w:r>
        <w:rPr>
          <w:rFonts w:hint="eastAsia" w:ascii="宋体" w:hAnsi="宋体" w:cs="宋体"/>
          <w:bCs/>
          <w:snapToGrid w:val="0"/>
          <w:color w:val="auto"/>
          <w:kern w:val="0"/>
          <w:szCs w:val="21"/>
          <w:highlight w:val="none"/>
          <w:lang w:bidi="ar"/>
        </w:rPr>
        <w:t>；承建（承接）企业为</w:t>
      </w:r>
      <w:r>
        <w:rPr>
          <w:rFonts w:hint="eastAsia" w:ascii="宋体" w:hAnsi="宋体" w:cs="宋体"/>
          <w:bCs/>
          <w:snapToGrid w:val="0"/>
          <w:color w:val="auto"/>
          <w:kern w:val="0"/>
          <w:szCs w:val="21"/>
          <w:highlight w:val="none"/>
          <w:u w:val="single"/>
          <w:lang w:bidi="ar"/>
        </w:rPr>
        <w:t>（企业名称）</w:t>
      </w:r>
      <w:r>
        <w:rPr>
          <w:rFonts w:hint="eastAsia" w:ascii="宋体" w:hAnsi="宋体" w:cs="宋体"/>
          <w:bCs/>
          <w:snapToGrid w:val="0"/>
          <w:color w:val="auto"/>
          <w:kern w:val="0"/>
          <w:szCs w:val="21"/>
          <w:highlight w:val="none"/>
          <w:lang w:bidi="ar"/>
        </w:rPr>
        <w:t>，从业人员</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人，营业收入为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万元，资产总额为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万元，属于</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（中型企业、小型企业、微型企业）</w:t>
      </w:r>
      <w:r>
        <w:rPr>
          <w:rFonts w:hint="eastAsia" w:ascii="宋体" w:hAnsi="宋体" w:cs="宋体"/>
          <w:bCs/>
          <w:snapToGrid w:val="0"/>
          <w:color w:val="auto"/>
          <w:kern w:val="0"/>
          <w:szCs w:val="21"/>
          <w:highlight w:val="none"/>
          <w:lang w:bidi="ar"/>
        </w:rPr>
        <w:t>；</w:t>
      </w:r>
    </w:p>
    <w:p w14:paraId="31804E3B">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2</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 xml:space="preserve">（标的名称） </w:t>
      </w:r>
      <w:r>
        <w:rPr>
          <w:rFonts w:hint="eastAsia" w:ascii="宋体" w:hAnsi="宋体" w:cs="宋体"/>
          <w:bCs/>
          <w:snapToGrid w:val="0"/>
          <w:color w:val="auto"/>
          <w:kern w:val="0"/>
          <w:szCs w:val="21"/>
          <w:highlight w:val="none"/>
          <w:lang w:bidi="ar"/>
        </w:rPr>
        <w:t>，属于</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（采购文件中明确的所属行业）</w:t>
      </w:r>
      <w:r>
        <w:rPr>
          <w:rFonts w:hint="eastAsia" w:ascii="宋体" w:hAnsi="宋体" w:cs="宋体"/>
          <w:bCs/>
          <w:snapToGrid w:val="0"/>
          <w:color w:val="auto"/>
          <w:kern w:val="0"/>
          <w:szCs w:val="21"/>
          <w:highlight w:val="none"/>
          <w:lang w:bidi="ar"/>
        </w:rPr>
        <w:t>；承建（承接）企业为</w:t>
      </w:r>
      <w:r>
        <w:rPr>
          <w:rFonts w:hint="eastAsia" w:ascii="宋体" w:hAnsi="宋体" w:cs="宋体"/>
          <w:bCs/>
          <w:snapToGrid w:val="0"/>
          <w:color w:val="auto"/>
          <w:kern w:val="0"/>
          <w:szCs w:val="21"/>
          <w:highlight w:val="none"/>
          <w:u w:val="single"/>
          <w:lang w:bidi="ar"/>
        </w:rPr>
        <w:t>（企业名称）</w:t>
      </w:r>
      <w:r>
        <w:rPr>
          <w:rFonts w:hint="eastAsia" w:ascii="宋体" w:hAnsi="宋体" w:cs="宋体"/>
          <w:bCs/>
          <w:snapToGrid w:val="0"/>
          <w:color w:val="auto"/>
          <w:kern w:val="0"/>
          <w:szCs w:val="21"/>
          <w:highlight w:val="none"/>
          <w:lang w:bidi="ar"/>
        </w:rPr>
        <w:t>，从业人员</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人，营业收入为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万元，资产总额为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万元，属于</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（中型企业、小型企业、微型企业）</w:t>
      </w:r>
      <w:r>
        <w:rPr>
          <w:rFonts w:hint="eastAsia" w:ascii="宋体" w:hAnsi="宋体" w:cs="宋体"/>
          <w:bCs/>
          <w:snapToGrid w:val="0"/>
          <w:color w:val="auto"/>
          <w:kern w:val="0"/>
          <w:szCs w:val="21"/>
          <w:highlight w:val="none"/>
          <w:lang w:bidi="ar"/>
        </w:rPr>
        <w:t>；</w:t>
      </w:r>
    </w:p>
    <w:p w14:paraId="64117636">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w:t>
      </w:r>
    </w:p>
    <w:p w14:paraId="2D6DEB39">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以上企业，不属于大企业的分支机构，不存在控股股东为大企业的情形，也不存在与大企业的负责人为同一人的情形。</w:t>
      </w:r>
    </w:p>
    <w:p w14:paraId="0D433D3E">
      <w:pPr>
        <w:widowControl/>
        <w:spacing w:line="360" w:lineRule="auto"/>
        <w:ind w:firstLine="420" w:firstLineChars="200"/>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本企业对上述声明内容的真实性负责。如有虚假，将依法承担相应责任。</w:t>
      </w:r>
    </w:p>
    <w:p w14:paraId="0A5B29A0">
      <w:pPr>
        <w:widowControl/>
        <w:spacing w:line="360" w:lineRule="auto"/>
        <w:jc w:val="left"/>
        <w:rPr>
          <w:rFonts w:ascii="宋体" w:hAnsi="宋体" w:cs="宋体"/>
          <w:bCs/>
          <w:snapToGrid w:val="0"/>
          <w:color w:val="auto"/>
          <w:kern w:val="0"/>
          <w:szCs w:val="21"/>
          <w:highlight w:val="none"/>
          <w:lang w:bidi="ar"/>
        </w:rPr>
      </w:pPr>
    </w:p>
    <w:p w14:paraId="722F36E0">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企业名称（盖章）：</w:t>
      </w:r>
    </w:p>
    <w:p w14:paraId="5E309BB0">
      <w:pPr>
        <w:widowControl/>
        <w:spacing w:line="360" w:lineRule="auto"/>
        <w:jc w:val="left"/>
        <w:rPr>
          <w:rFonts w:ascii="宋体" w:hAnsi="宋体" w:cs="宋体"/>
          <w:bCs/>
          <w:snapToGrid w:val="0"/>
          <w:color w:val="auto"/>
          <w:kern w:val="0"/>
          <w:szCs w:val="21"/>
          <w:highlight w:val="none"/>
          <w:lang w:bidi="ar"/>
        </w:rPr>
      </w:pPr>
    </w:p>
    <w:p w14:paraId="782DFD23">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日 期：</w:t>
      </w:r>
    </w:p>
    <w:p w14:paraId="1264E679">
      <w:pPr>
        <w:widowControl/>
        <w:spacing w:line="360" w:lineRule="auto"/>
        <w:jc w:val="left"/>
        <w:rPr>
          <w:rFonts w:hint="eastAsia" w:ascii="宋体" w:hAnsi="宋体" w:cs="宋体"/>
          <w:bCs/>
          <w:snapToGrid w:val="0"/>
          <w:color w:val="auto"/>
          <w:kern w:val="0"/>
          <w:szCs w:val="21"/>
          <w:highlight w:val="none"/>
          <w:vertAlign w:val="superscript"/>
          <w:lang w:bidi="ar"/>
        </w:rPr>
      </w:pPr>
    </w:p>
    <w:p w14:paraId="735125C8">
      <w:pPr>
        <w:widowControl/>
        <w:spacing w:line="360" w:lineRule="auto"/>
        <w:jc w:val="left"/>
        <w:rPr>
          <w:rFonts w:hint="eastAsia" w:ascii="宋体" w:hAnsi="宋体" w:cs="宋体"/>
          <w:bCs/>
          <w:snapToGrid w:val="0"/>
          <w:color w:val="auto"/>
          <w:kern w:val="0"/>
          <w:szCs w:val="21"/>
          <w:highlight w:val="none"/>
          <w:vertAlign w:val="superscript"/>
          <w:lang w:bidi="ar"/>
        </w:rPr>
      </w:pPr>
    </w:p>
    <w:p w14:paraId="01927E93">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vertAlign w:val="superscript"/>
          <w:lang w:bidi="ar"/>
        </w:rPr>
        <w:t>1</w:t>
      </w:r>
      <w:r>
        <w:rPr>
          <w:rFonts w:hint="eastAsia" w:ascii="宋体" w:hAnsi="宋体" w:cs="宋体"/>
          <w:bCs/>
          <w:snapToGrid w:val="0"/>
          <w:color w:val="auto"/>
          <w:kern w:val="0"/>
          <w:szCs w:val="21"/>
          <w:highlight w:val="none"/>
          <w:lang w:bidi="ar"/>
        </w:rPr>
        <w:t>从业人员、营业收入、资产总额填报上一年度数据，无上一年度数据的新成立企业可不填报。</w:t>
      </w:r>
    </w:p>
    <w:bookmarkEnd w:id="198"/>
    <w:p w14:paraId="0EA912F9">
      <w:pPr>
        <w:spacing w:line="360" w:lineRule="auto"/>
        <w:rPr>
          <w:rFonts w:ascii="宋体" w:hAnsi="宋体" w:cs="宋体"/>
          <w:b/>
          <w:color w:val="auto"/>
          <w:szCs w:val="21"/>
          <w:highlight w:val="none"/>
        </w:rPr>
      </w:pPr>
    </w:p>
    <w:p w14:paraId="060CEAFE">
      <w:pPr>
        <w:rPr>
          <w:rFonts w:hint="eastAsia" w:ascii="宋体" w:hAnsi="宋体" w:eastAsia="宋体" w:cs="宋体"/>
          <w:b/>
          <w:color w:val="auto"/>
          <w:sz w:val="32"/>
          <w:szCs w:val="32"/>
          <w:highlight w:val="none"/>
          <w:lang w:val="en-US" w:eastAsia="zh-CN"/>
        </w:rPr>
      </w:pPr>
      <w:r>
        <w:rPr>
          <w:rFonts w:hint="eastAsia" w:hAnsi="宋体" w:cs="宋体"/>
          <w:b/>
          <w:color w:val="auto"/>
          <w:sz w:val="28"/>
          <w:szCs w:val="28"/>
          <w:highlight w:val="none"/>
        </w:rPr>
        <w:br w:type="page"/>
      </w:r>
      <w:bookmarkStart w:id="199" w:name="_Toc507412336"/>
      <w:bookmarkStart w:id="200" w:name="_Toc507409073"/>
      <w:r>
        <w:rPr>
          <w:rFonts w:hint="eastAsia" w:ascii="宋体" w:hAnsi="宋体" w:cs="宋体"/>
          <w:b/>
          <w:color w:val="auto"/>
          <w:sz w:val="32"/>
          <w:szCs w:val="32"/>
          <w:highlight w:val="none"/>
        </w:rPr>
        <w:t>格式</w:t>
      </w:r>
      <w:r>
        <w:rPr>
          <w:rFonts w:hint="eastAsia" w:ascii="宋体" w:hAnsi="宋体" w:cs="宋体"/>
          <w:b/>
          <w:color w:val="auto"/>
          <w:sz w:val="32"/>
          <w:szCs w:val="32"/>
          <w:highlight w:val="none"/>
          <w:lang w:val="en-US" w:eastAsia="zh-CN"/>
        </w:rPr>
        <w:t>5</w:t>
      </w:r>
    </w:p>
    <w:p w14:paraId="56D65230">
      <w:pPr>
        <w:pStyle w:val="4"/>
        <w:spacing w:line="360" w:lineRule="auto"/>
        <w:ind w:left="425"/>
        <w:jc w:val="center"/>
        <w:rPr>
          <w:rFonts w:hint="eastAsia" w:ascii="宋体" w:hAnsi="宋体" w:eastAsia="宋体" w:cs="宋体"/>
          <w:b/>
          <w:sz w:val="28"/>
          <w:highlight w:val="none"/>
        </w:rPr>
      </w:pPr>
      <w:bookmarkStart w:id="201" w:name="_Toc26997"/>
      <w:bookmarkStart w:id="202" w:name="_Toc37716414"/>
      <w:bookmarkStart w:id="203" w:name="_Toc25923"/>
      <w:bookmarkStart w:id="204" w:name="_Toc8865"/>
      <w:bookmarkStart w:id="205" w:name="_Toc38338334"/>
      <w:bookmarkStart w:id="206" w:name="_Toc27148"/>
      <w:bookmarkStart w:id="207" w:name="_Toc23842"/>
      <w:r>
        <w:rPr>
          <w:rFonts w:hint="eastAsia" w:ascii="宋体" w:hAnsi="宋体" w:eastAsia="宋体" w:cs="宋体"/>
          <w:b/>
          <w:sz w:val="28"/>
          <w:highlight w:val="none"/>
        </w:rPr>
        <w:t>《监狱企业证明文件》（符合《财政部 司法部关于政府采购支持监狱企业发展有关问题的通知》（财库[2014]68号）价格扣减条件的</w:t>
      </w:r>
      <w:r>
        <w:rPr>
          <w:rFonts w:hint="eastAsia" w:ascii="宋体" w:hAnsi="宋体" w:cs="宋体"/>
          <w:b/>
          <w:sz w:val="28"/>
          <w:highlight w:val="none"/>
          <w:lang w:val="en-US" w:eastAsia="zh-CN"/>
        </w:rPr>
        <w:t>供应商</w:t>
      </w:r>
      <w:r>
        <w:rPr>
          <w:rFonts w:hint="eastAsia" w:ascii="宋体" w:hAnsi="宋体" w:eastAsia="宋体" w:cs="宋体"/>
          <w:b/>
          <w:sz w:val="28"/>
          <w:highlight w:val="none"/>
        </w:rPr>
        <w:t>需提交）</w:t>
      </w:r>
    </w:p>
    <w:p w14:paraId="65D67534">
      <w:pPr>
        <w:pStyle w:val="4"/>
        <w:spacing w:line="360" w:lineRule="auto"/>
        <w:ind w:left="425"/>
        <w:jc w:val="center"/>
        <w:rPr>
          <w:rFonts w:ascii="宋体" w:hAnsi="宋体" w:cs="宋体"/>
          <w:color w:val="auto"/>
          <w:szCs w:val="32"/>
          <w:highlight w:val="none"/>
        </w:rPr>
      </w:pPr>
      <w:r>
        <w:rPr>
          <w:rFonts w:hint="eastAsia" w:ascii="宋体" w:hAnsi="宋体" w:cs="宋体"/>
          <w:color w:val="auto"/>
          <w:szCs w:val="32"/>
          <w:highlight w:val="none"/>
        </w:rPr>
        <w:t>监狱企业证明文件</w:t>
      </w:r>
      <w:bookmarkEnd w:id="199"/>
      <w:bookmarkEnd w:id="200"/>
      <w:bookmarkEnd w:id="201"/>
      <w:bookmarkEnd w:id="202"/>
      <w:bookmarkEnd w:id="203"/>
      <w:bookmarkEnd w:id="204"/>
      <w:bookmarkEnd w:id="205"/>
      <w:bookmarkEnd w:id="206"/>
      <w:bookmarkEnd w:id="207"/>
    </w:p>
    <w:p w14:paraId="0F80D95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91B234">
      <w:pPr>
        <w:widowControl/>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p>
    <w:p w14:paraId="758DE9DD">
      <w:pPr>
        <w:widowControl/>
        <w:spacing w:line="360" w:lineRule="auto"/>
        <w:jc w:val="left"/>
        <w:rPr>
          <w:rFonts w:ascii="宋体" w:hAnsi="宋体" w:cs="宋体"/>
          <w:b/>
          <w:color w:val="auto"/>
          <w:sz w:val="28"/>
          <w:szCs w:val="28"/>
          <w:highlight w:val="none"/>
        </w:rPr>
      </w:pPr>
    </w:p>
    <w:p w14:paraId="2B728023">
      <w:pPr>
        <w:rPr>
          <w:rFonts w:hint="eastAsia" w:ascii="宋体" w:hAnsi="宋体" w:eastAsia="宋体" w:cs="宋体"/>
          <w:b/>
          <w:color w:val="auto"/>
          <w:sz w:val="32"/>
          <w:szCs w:val="32"/>
          <w:highlight w:val="none"/>
          <w:lang w:val="en-US" w:eastAsia="zh-CN"/>
        </w:rPr>
      </w:pPr>
      <w:r>
        <w:rPr>
          <w:rFonts w:hint="eastAsia" w:ascii="宋体" w:hAnsi="宋体" w:cs="宋体"/>
          <w:b/>
          <w:color w:val="auto"/>
          <w:szCs w:val="21"/>
          <w:highlight w:val="none"/>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cs="宋体"/>
          <w:b/>
          <w:color w:val="auto"/>
          <w:sz w:val="28"/>
          <w:szCs w:val="28"/>
          <w:highlight w:val="none"/>
        </w:rPr>
        <w:br w:type="page"/>
      </w:r>
      <w:r>
        <w:rPr>
          <w:rFonts w:hint="eastAsia" w:ascii="宋体" w:hAnsi="宋体" w:cs="宋体"/>
          <w:b/>
          <w:color w:val="auto"/>
          <w:sz w:val="32"/>
          <w:szCs w:val="32"/>
          <w:highlight w:val="none"/>
        </w:rPr>
        <w:t>格式</w:t>
      </w:r>
      <w:r>
        <w:rPr>
          <w:rFonts w:hint="eastAsia" w:ascii="宋体" w:hAnsi="宋体" w:cs="宋体"/>
          <w:b/>
          <w:color w:val="auto"/>
          <w:sz w:val="32"/>
          <w:szCs w:val="32"/>
          <w:highlight w:val="none"/>
          <w:lang w:val="en-US" w:eastAsia="zh-CN"/>
        </w:rPr>
        <w:t>6</w:t>
      </w:r>
    </w:p>
    <w:p w14:paraId="01757F32">
      <w:pPr>
        <w:pStyle w:val="4"/>
        <w:ind w:left="425"/>
        <w:jc w:val="center"/>
        <w:rPr>
          <w:rFonts w:hint="eastAsia" w:ascii="宋体" w:hAnsi="宋体" w:eastAsia="宋体" w:cs="宋体"/>
          <w:b/>
          <w:sz w:val="28"/>
          <w:highlight w:val="none"/>
        </w:rPr>
      </w:pPr>
      <w:bookmarkStart w:id="208" w:name="_Toc38338335"/>
      <w:bookmarkStart w:id="209" w:name="_Toc16768"/>
      <w:bookmarkStart w:id="210" w:name="_Toc7725"/>
      <w:bookmarkStart w:id="211" w:name="_Toc37716415"/>
      <w:bookmarkStart w:id="212" w:name="_Toc893"/>
      <w:bookmarkStart w:id="213" w:name="_Toc1255"/>
      <w:bookmarkStart w:id="214" w:name="_Toc13968"/>
      <w:bookmarkStart w:id="215" w:name="OLE_LINK13"/>
      <w:bookmarkStart w:id="216" w:name="OLE_LINK14"/>
      <w:r>
        <w:rPr>
          <w:rFonts w:hint="eastAsia" w:ascii="宋体" w:hAnsi="宋体" w:eastAsia="宋体" w:cs="宋体"/>
          <w:b/>
          <w:sz w:val="28"/>
          <w:highlight w:val="none"/>
        </w:rPr>
        <w:t>《残疾人福利性单位声明函》（符合《三部门联合发布关于促进残疾人就业政府采购政策的通知》（财库〔2017〕141号）价格扣减条件的</w:t>
      </w:r>
      <w:r>
        <w:rPr>
          <w:rFonts w:hint="eastAsia" w:ascii="宋体" w:hAnsi="宋体" w:cs="宋体"/>
          <w:b/>
          <w:sz w:val="28"/>
          <w:highlight w:val="none"/>
          <w:lang w:val="en-US" w:eastAsia="zh-CN"/>
        </w:rPr>
        <w:t>供应商</w:t>
      </w:r>
      <w:r>
        <w:rPr>
          <w:rFonts w:hint="eastAsia" w:ascii="宋体" w:hAnsi="宋体" w:eastAsia="宋体" w:cs="宋体"/>
          <w:b/>
          <w:sz w:val="28"/>
          <w:highlight w:val="none"/>
        </w:rPr>
        <w:t>需提交）</w:t>
      </w:r>
    </w:p>
    <w:p w14:paraId="41F8B559">
      <w:pPr>
        <w:pStyle w:val="4"/>
        <w:spacing w:line="360" w:lineRule="auto"/>
        <w:ind w:left="425"/>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残疾人福利性单位声明函</w:t>
      </w:r>
      <w:bookmarkEnd w:id="208"/>
      <w:bookmarkEnd w:id="209"/>
      <w:bookmarkEnd w:id="210"/>
      <w:bookmarkEnd w:id="211"/>
      <w:bookmarkEnd w:id="212"/>
      <w:bookmarkEnd w:id="213"/>
      <w:bookmarkEnd w:id="214"/>
    </w:p>
    <w:bookmarkEnd w:id="215"/>
    <w:bookmarkEnd w:id="216"/>
    <w:p w14:paraId="14B7A870">
      <w:pPr>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124583">
      <w:pPr>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628A2C18">
      <w:pPr>
        <w:spacing w:line="360" w:lineRule="auto"/>
        <w:ind w:firstLine="444" w:firstLineChars="200"/>
        <w:rPr>
          <w:rFonts w:ascii="宋体" w:hAnsi="宋体" w:cs="宋体"/>
          <w:color w:val="auto"/>
          <w:spacing w:val="6"/>
          <w:szCs w:val="21"/>
          <w:highlight w:val="none"/>
        </w:rPr>
      </w:pPr>
    </w:p>
    <w:p w14:paraId="1AD8BE21">
      <w:pPr>
        <w:spacing w:line="360" w:lineRule="auto"/>
        <w:ind w:firstLine="444" w:firstLineChars="200"/>
        <w:rPr>
          <w:rFonts w:ascii="宋体" w:hAnsi="宋体" w:cs="宋体"/>
          <w:color w:val="auto"/>
          <w:spacing w:val="6"/>
          <w:szCs w:val="21"/>
          <w:highlight w:val="none"/>
        </w:rPr>
      </w:pPr>
    </w:p>
    <w:p w14:paraId="6238832F">
      <w:pPr>
        <w:tabs>
          <w:tab w:val="left" w:pos="4860"/>
        </w:tabs>
        <w:spacing w:line="360" w:lineRule="auto"/>
        <w:ind w:right="1560"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175C9436">
      <w:pPr>
        <w:tabs>
          <w:tab w:val="left" w:pos="4860"/>
        </w:tabs>
        <w:spacing w:line="360" w:lineRule="auto"/>
        <w:ind w:right="1560"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1485ACA4">
      <w:pPr>
        <w:spacing w:line="360" w:lineRule="auto"/>
        <w:rPr>
          <w:rFonts w:ascii="宋体" w:hAnsi="宋体" w:cs="宋体"/>
          <w:b/>
          <w:color w:val="auto"/>
          <w:szCs w:val="21"/>
          <w:highlight w:val="none"/>
        </w:rPr>
      </w:pPr>
    </w:p>
    <w:p w14:paraId="63C1C069">
      <w:pPr>
        <w:spacing w:line="360" w:lineRule="auto"/>
        <w:rPr>
          <w:rFonts w:ascii="宋体" w:hAnsi="宋体" w:cs="宋体"/>
          <w:b/>
          <w:color w:val="auto"/>
          <w:szCs w:val="21"/>
          <w:highlight w:val="none"/>
        </w:rPr>
      </w:pPr>
    </w:p>
    <w:p w14:paraId="07CA631E">
      <w:pPr>
        <w:spacing w:line="360" w:lineRule="auto"/>
        <w:rPr>
          <w:rFonts w:ascii="宋体" w:hAnsi="宋体" w:cs="宋体"/>
          <w:b/>
          <w:color w:val="auto"/>
          <w:szCs w:val="21"/>
          <w:highlight w:val="none"/>
        </w:rPr>
      </w:pPr>
    </w:p>
    <w:p w14:paraId="20A05DD6">
      <w:pPr>
        <w:spacing w:line="360" w:lineRule="auto"/>
        <w:rPr>
          <w:rFonts w:ascii="宋体" w:hAnsi="宋体" w:cs="宋体"/>
          <w:b/>
          <w:color w:val="auto"/>
          <w:szCs w:val="21"/>
          <w:highlight w:val="none"/>
        </w:rPr>
      </w:pPr>
      <w:r>
        <w:rPr>
          <w:rFonts w:hint="eastAsia" w:ascii="宋体" w:hAnsi="宋体" w:cs="宋体"/>
          <w:b/>
          <w:color w:val="auto"/>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27D87B5F">
      <w:pPr>
        <w:rPr>
          <w:rFonts w:hint="eastAsia" w:ascii="宋体" w:hAnsi="宋体" w:cs="宋体"/>
          <w:b/>
          <w:color w:val="auto"/>
          <w:sz w:val="32"/>
          <w:szCs w:val="32"/>
          <w:highlight w:val="none"/>
        </w:rPr>
      </w:pPr>
    </w:p>
    <w:p w14:paraId="1B925526">
      <w:pPr>
        <w:rPr>
          <w:rFonts w:hint="eastAsia" w:ascii="宋体" w:hAnsi="宋体" w:cs="宋体"/>
          <w:b/>
          <w:color w:val="auto"/>
          <w:sz w:val="32"/>
          <w:szCs w:val="32"/>
          <w:highlight w:val="none"/>
        </w:rPr>
      </w:pPr>
    </w:p>
    <w:p w14:paraId="3280906A">
      <w:pPr>
        <w:rPr>
          <w:rFonts w:hint="eastAsia" w:ascii="宋体" w:hAnsi="宋体" w:cs="宋体"/>
          <w:b/>
          <w:color w:val="auto"/>
          <w:sz w:val="32"/>
          <w:szCs w:val="32"/>
          <w:highlight w:val="none"/>
        </w:rPr>
      </w:pPr>
    </w:p>
    <w:p w14:paraId="1F0751CE">
      <w:pPr>
        <w:rPr>
          <w:color w:val="auto"/>
          <w:highlight w:val="none"/>
        </w:rPr>
      </w:pPr>
    </w:p>
    <w:p w14:paraId="48DF7A08">
      <w:pPr>
        <w:widowControl/>
        <w:jc w:val="center"/>
        <w:rPr>
          <w:rFonts w:ascii="宋体"/>
          <w:b/>
          <w:color w:val="auto"/>
          <w:sz w:val="44"/>
          <w:szCs w:val="44"/>
          <w:highlight w:val="none"/>
        </w:rPr>
      </w:pPr>
      <w:r>
        <w:rPr>
          <w:rFonts w:ascii="宋体"/>
          <w:b/>
          <w:color w:val="auto"/>
          <w:sz w:val="44"/>
          <w:szCs w:val="44"/>
          <w:highlight w:val="none"/>
        </w:rPr>
        <w:br w:type="page"/>
      </w:r>
    </w:p>
    <w:p w14:paraId="4E2A4E80">
      <w:pPr>
        <w:widowControl/>
        <w:jc w:val="left"/>
        <w:outlineLvl w:val="9"/>
        <w:rPr>
          <w:rFonts w:hint="eastAsia" w:ascii="宋体" w:eastAsia="宋体" w:cs="宋体"/>
          <w:b/>
          <w:sz w:val="28"/>
          <w:szCs w:val="28"/>
          <w:lang w:val="en-US" w:eastAsia="zh-CN"/>
        </w:rPr>
      </w:pPr>
      <w:r>
        <w:rPr>
          <w:rFonts w:hint="eastAsia" w:ascii="宋体" w:eastAsia="宋体" w:cs="宋体"/>
          <w:b/>
          <w:sz w:val="28"/>
          <w:szCs w:val="28"/>
        </w:rPr>
        <w:t>格式</w:t>
      </w:r>
      <w:bookmarkEnd w:id="195"/>
      <w:r>
        <w:rPr>
          <w:rFonts w:hint="eastAsia" w:ascii="宋体" w:cs="宋体"/>
          <w:b/>
          <w:sz w:val="28"/>
          <w:szCs w:val="28"/>
          <w:lang w:val="en-US" w:eastAsia="zh-CN"/>
        </w:rPr>
        <w:t>7</w:t>
      </w:r>
    </w:p>
    <w:p w14:paraId="5C30083B">
      <w:pPr>
        <w:keepNext/>
        <w:keepLines/>
        <w:widowControl w:val="0"/>
        <w:spacing w:before="120" w:after="120" w:line="360" w:lineRule="auto"/>
        <w:ind w:left="425"/>
        <w:jc w:val="center"/>
        <w:outlineLvl w:val="9"/>
        <w:rPr>
          <w:rFonts w:ascii="宋体" w:cs="宋体"/>
          <w:b/>
          <w:bCs/>
          <w:sz w:val="32"/>
          <w:szCs w:val="32"/>
        </w:rPr>
      </w:pPr>
      <w:bookmarkStart w:id="217" w:name="_Toc10452"/>
      <w:bookmarkStart w:id="218" w:name="_Toc18620"/>
      <w:bookmarkStart w:id="219" w:name="_Toc18287443"/>
      <w:r>
        <w:rPr>
          <w:rFonts w:hint="eastAsia" w:ascii="宋体" w:cs="宋体"/>
          <w:b/>
          <w:bCs/>
          <w:sz w:val="32"/>
          <w:szCs w:val="32"/>
        </w:rPr>
        <w:t>法定代表人身份证明书</w:t>
      </w:r>
      <w:bookmarkEnd w:id="217"/>
      <w:bookmarkEnd w:id="218"/>
      <w:bookmarkEnd w:id="219"/>
    </w:p>
    <w:p w14:paraId="584CBFE7">
      <w:pPr>
        <w:jc w:val="center"/>
        <w:outlineLvl w:val="9"/>
        <w:rPr>
          <w:rFonts w:ascii="宋体" w:cs="宋体"/>
          <w:b/>
          <w:sz w:val="30"/>
          <w:szCs w:val="30"/>
        </w:rPr>
      </w:pPr>
    </w:p>
    <w:p w14:paraId="10601738">
      <w:pPr>
        <w:spacing w:line="360" w:lineRule="auto"/>
        <w:outlineLvl w:val="9"/>
        <w:rPr>
          <w:rFonts w:ascii="宋体" w:cs="宋体"/>
          <w:szCs w:val="21"/>
        </w:rPr>
      </w:pPr>
      <w:r>
        <w:rPr>
          <w:rFonts w:hint="eastAsia" w:ascii="宋体" w:cs="宋体"/>
          <w:szCs w:val="21"/>
        </w:rPr>
        <w:t>供应商名称：</w:t>
      </w:r>
      <w:r>
        <w:rPr>
          <w:rFonts w:hint="eastAsia" w:ascii="宋体" w:cs="宋体"/>
          <w:szCs w:val="21"/>
          <w:u w:val="single"/>
        </w:rPr>
        <w:t xml:space="preserve">                        。</w:t>
      </w:r>
    </w:p>
    <w:p w14:paraId="23DD93EB">
      <w:pPr>
        <w:spacing w:line="360" w:lineRule="auto"/>
        <w:outlineLvl w:val="9"/>
        <w:rPr>
          <w:rFonts w:ascii="宋体" w:cs="宋体"/>
          <w:szCs w:val="21"/>
        </w:rPr>
      </w:pPr>
      <w:r>
        <w:rPr>
          <w:rFonts w:hint="eastAsia" w:ascii="宋体" w:cs="宋体"/>
          <w:szCs w:val="21"/>
        </w:rPr>
        <w:t>单位性质：</w:t>
      </w:r>
      <w:r>
        <w:rPr>
          <w:rFonts w:hint="eastAsia" w:ascii="宋体" w:cs="宋体"/>
          <w:szCs w:val="21"/>
          <w:u w:val="single"/>
        </w:rPr>
        <w:t xml:space="preserve">                          。</w:t>
      </w:r>
    </w:p>
    <w:p w14:paraId="6EDB1782">
      <w:pPr>
        <w:spacing w:line="360" w:lineRule="auto"/>
        <w:outlineLvl w:val="9"/>
        <w:rPr>
          <w:rFonts w:ascii="宋体" w:cs="宋体"/>
          <w:szCs w:val="21"/>
        </w:rPr>
      </w:pPr>
      <w:r>
        <w:rPr>
          <w:rFonts w:hint="eastAsia" w:ascii="宋体" w:cs="宋体"/>
          <w:szCs w:val="21"/>
        </w:rPr>
        <w:t>成立时间：</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3F514086">
      <w:pPr>
        <w:spacing w:line="360" w:lineRule="auto"/>
        <w:outlineLvl w:val="9"/>
        <w:rPr>
          <w:rFonts w:ascii="宋体" w:cs="宋体"/>
          <w:szCs w:val="21"/>
        </w:rPr>
      </w:pPr>
      <w:r>
        <w:rPr>
          <w:rFonts w:hint="eastAsia" w:ascii="宋体" w:cs="宋体"/>
          <w:szCs w:val="21"/>
        </w:rPr>
        <w:t>经营期限：</w:t>
      </w:r>
      <w:r>
        <w:rPr>
          <w:rFonts w:hint="eastAsia" w:ascii="宋体" w:cs="宋体"/>
          <w:szCs w:val="21"/>
          <w:u w:val="single"/>
        </w:rPr>
        <w:t xml:space="preserve">                          。</w:t>
      </w:r>
    </w:p>
    <w:p w14:paraId="292764A9">
      <w:pPr>
        <w:spacing w:line="360" w:lineRule="auto"/>
        <w:outlineLvl w:val="9"/>
        <w:rPr>
          <w:rFonts w:ascii="宋体" w:cs="宋体"/>
          <w:szCs w:val="21"/>
        </w:rPr>
      </w:pPr>
      <w:r>
        <w:rPr>
          <w:rFonts w:hint="eastAsia" w:ascii="宋体" w:cs="宋体"/>
          <w:szCs w:val="21"/>
        </w:rPr>
        <w:t>姓名：</w:t>
      </w:r>
      <w:r>
        <w:rPr>
          <w:rFonts w:hint="eastAsia" w:ascii="宋体" w:cs="宋体"/>
          <w:szCs w:val="21"/>
          <w:u w:val="single"/>
        </w:rPr>
        <w:t xml:space="preserve">            </w:t>
      </w:r>
      <w:r>
        <w:rPr>
          <w:rFonts w:hint="eastAsia" w:ascii="宋体" w:cs="宋体"/>
          <w:szCs w:val="21"/>
        </w:rPr>
        <w:t>性别：</w:t>
      </w:r>
      <w:r>
        <w:rPr>
          <w:rFonts w:hint="eastAsia" w:ascii="宋体" w:cs="宋体"/>
          <w:szCs w:val="21"/>
          <w:u w:val="single"/>
        </w:rPr>
        <w:t xml:space="preserve">            </w:t>
      </w:r>
      <w:r>
        <w:rPr>
          <w:rFonts w:hint="eastAsia" w:ascii="宋体" w:cs="宋体"/>
          <w:szCs w:val="21"/>
        </w:rPr>
        <w:t>年龄：</w:t>
      </w:r>
      <w:r>
        <w:rPr>
          <w:rFonts w:hint="eastAsia" w:ascii="宋体" w:cs="宋体"/>
          <w:szCs w:val="21"/>
          <w:u w:val="single"/>
        </w:rPr>
        <w:t xml:space="preserve">            </w:t>
      </w:r>
      <w:r>
        <w:rPr>
          <w:rFonts w:hint="eastAsia" w:ascii="宋体" w:cs="宋体"/>
          <w:szCs w:val="21"/>
        </w:rPr>
        <w:t>职务：</w:t>
      </w:r>
      <w:r>
        <w:rPr>
          <w:rFonts w:hint="eastAsia" w:ascii="宋体" w:cs="宋体"/>
          <w:szCs w:val="21"/>
          <w:u w:val="single"/>
        </w:rPr>
        <w:t xml:space="preserve">            。</w:t>
      </w:r>
    </w:p>
    <w:p w14:paraId="5DF3A0EE">
      <w:pPr>
        <w:spacing w:line="360" w:lineRule="auto"/>
        <w:outlineLvl w:val="9"/>
        <w:rPr>
          <w:rFonts w:ascii="宋体" w:cs="宋体"/>
          <w:szCs w:val="21"/>
        </w:rPr>
      </w:pPr>
      <w:r>
        <w:rPr>
          <w:rFonts w:hint="eastAsia" w:ascii="宋体" w:cs="宋体"/>
          <w:szCs w:val="21"/>
        </w:rPr>
        <w:t>系</w:t>
      </w:r>
      <w:r>
        <w:rPr>
          <w:rFonts w:hint="eastAsia" w:ascii="宋体" w:cs="宋体"/>
          <w:szCs w:val="21"/>
          <w:u w:val="single"/>
        </w:rPr>
        <w:t xml:space="preserve">                        </w:t>
      </w:r>
      <w:r>
        <w:rPr>
          <w:rFonts w:hint="eastAsia" w:ascii="宋体" w:cs="宋体"/>
          <w:szCs w:val="21"/>
        </w:rPr>
        <w:t>（供应商名称）的法定代表人。</w:t>
      </w:r>
    </w:p>
    <w:p w14:paraId="263F03E0">
      <w:pPr>
        <w:spacing w:line="360" w:lineRule="auto"/>
        <w:outlineLvl w:val="9"/>
        <w:rPr>
          <w:rFonts w:ascii="宋体" w:cs="宋体"/>
          <w:szCs w:val="21"/>
        </w:rPr>
      </w:pPr>
    </w:p>
    <w:p w14:paraId="7EA2E7E1">
      <w:pPr>
        <w:spacing w:line="360" w:lineRule="auto"/>
        <w:ind w:firstLine="420" w:firstLineChars="200"/>
        <w:outlineLvl w:val="9"/>
        <w:rPr>
          <w:rFonts w:ascii="宋体" w:cs="宋体"/>
          <w:szCs w:val="21"/>
        </w:rPr>
      </w:pPr>
    </w:p>
    <w:p w14:paraId="54C1FF7E">
      <w:pPr>
        <w:spacing w:line="360" w:lineRule="auto"/>
        <w:ind w:firstLine="420" w:firstLineChars="200"/>
        <w:outlineLvl w:val="9"/>
        <w:rPr>
          <w:rFonts w:ascii="宋体" w:cs="宋体"/>
          <w:szCs w:val="21"/>
        </w:rPr>
      </w:pPr>
      <w:r>
        <w:rPr>
          <w:rFonts w:hint="eastAsia" w:ascii="宋体" w:cs="宋体"/>
          <w:szCs w:val="21"/>
        </w:rPr>
        <w:t>特此证明。</w:t>
      </w:r>
    </w:p>
    <w:p w14:paraId="62D2A3CA">
      <w:pPr>
        <w:spacing w:line="360" w:lineRule="auto"/>
        <w:outlineLvl w:val="9"/>
        <w:rPr>
          <w:rFonts w:ascii="宋体" w:cs="宋体"/>
          <w:szCs w:val="21"/>
        </w:rPr>
      </w:pPr>
    </w:p>
    <w:p w14:paraId="14DC7AD8">
      <w:pPr>
        <w:spacing w:line="360" w:lineRule="auto"/>
        <w:outlineLvl w:val="9"/>
        <w:rPr>
          <w:rFonts w:ascii="宋体" w:cs="宋体"/>
          <w:szCs w:val="21"/>
        </w:rPr>
      </w:pPr>
    </w:p>
    <w:p w14:paraId="35474BD6">
      <w:pPr>
        <w:spacing w:line="360" w:lineRule="auto"/>
        <w:outlineLvl w:val="9"/>
        <w:rPr>
          <w:rFonts w:ascii="宋体" w:cs="宋体"/>
          <w:szCs w:val="21"/>
        </w:rPr>
      </w:pPr>
    </w:p>
    <w:p w14:paraId="090FB0C7">
      <w:pPr>
        <w:spacing w:line="360" w:lineRule="auto"/>
        <w:outlineLvl w:val="9"/>
        <w:rPr>
          <w:rFonts w:ascii="宋体" w:cs="宋体"/>
          <w:szCs w:val="21"/>
        </w:rPr>
      </w:pPr>
    </w:p>
    <w:p w14:paraId="02CE8EE8">
      <w:pPr>
        <w:spacing w:line="360" w:lineRule="auto"/>
        <w:ind w:left="5397" w:leftChars="2570"/>
        <w:outlineLvl w:val="9"/>
        <w:rPr>
          <w:rFonts w:ascii="宋体" w:cs="宋体"/>
          <w:szCs w:val="21"/>
        </w:rPr>
      </w:pPr>
      <w:r>
        <w:rPr>
          <w:rFonts w:hint="eastAsia" w:ascii="宋体" w:cs="宋体"/>
          <w:szCs w:val="21"/>
        </w:rPr>
        <w:t>供应商（加盖供应商电子公章）：</w:t>
      </w:r>
    </w:p>
    <w:p w14:paraId="06B336E2">
      <w:pPr>
        <w:spacing w:line="360" w:lineRule="auto"/>
        <w:ind w:left="5397" w:leftChars="2570"/>
        <w:outlineLvl w:val="9"/>
        <w:rPr>
          <w:rFonts w:ascii="宋体" w:cs="宋体"/>
          <w:szCs w:val="21"/>
        </w:rPr>
      </w:pPr>
    </w:p>
    <w:p w14:paraId="2087DB27">
      <w:pPr>
        <w:spacing w:line="360" w:lineRule="auto"/>
        <w:ind w:left="5397" w:leftChars="2570"/>
        <w:outlineLvl w:val="9"/>
        <w:rPr>
          <w:rFonts w:ascii="宋体" w:cs="宋体"/>
          <w:szCs w:val="21"/>
        </w:rPr>
      </w:pPr>
      <w:r>
        <w:rPr>
          <w:rFonts w:hint="eastAsia" w:ascii="宋体" w:cs="宋体"/>
          <w:szCs w:val="21"/>
        </w:rPr>
        <w:t>日期：</w:t>
      </w:r>
    </w:p>
    <w:p w14:paraId="27594F0A">
      <w:pPr>
        <w:pStyle w:val="21"/>
        <w:spacing w:line="500" w:lineRule="exact"/>
        <w:ind w:firstLine="420"/>
        <w:outlineLvl w:val="9"/>
        <w:rPr>
          <w:rFonts w:cs="宋体"/>
          <w:b/>
          <w:bCs/>
          <w:szCs w:val="21"/>
        </w:rPr>
      </w:pPr>
      <w:r>
        <w:rPr>
          <w:rFonts w:hint="eastAsia" w:cs="宋体"/>
          <w:b/>
          <w:bCs/>
          <w:szCs w:val="21"/>
        </w:rPr>
        <w:t>注：附法定代表人居民身份证扫描件。</w:t>
      </w:r>
    </w:p>
    <w:p w14:paraId="5909261A">
      <w:pPr>
        <w:spacing w:line="360" w:lineRule="auto"/>
        <w:outlineLvl w:val="9"/>
        <w:rPr>
          <w:rFonts w:ascii="宋体" w:cs="宋体"/>
          <w:szCs w:val="21"/>
        </w:rPr>
      </w:pPr>
    </w:p>
    <w:p w14:paraId="7FA7CE6A">
      <w:pPr>
        <w:widowControl/>
        <w:jc w:val="left"/>
        <w:outlineLvl w:val="9"/>
        <w:rPr>
          <w:rFonts w:hint="eastAsia" w:eastAsia="宋体" w:cs="宋体"/>
          <w:b/>
          <w:sz w:val="28"/>
          <w:szCs w:val="28"/>
          <w:lang w:val="en-US" w:eastAsia="zh-CN"/>
        </w:rPr>
      </w:pPr>
      <w:r>
        <w:rPr>
          <w:rFonts w:hint="eastAsia" w:cs="宋体"/>
          <w:b/>
          <w:sz w:val="28"/>
          <w:szCs w:val="28"/>
        </w:rPr>
        <w:br w:type="page"/>
      </w:r>
      <w:r>
        <w:rPr>
          <w:rFonts w:hint="eastAsia" w:ascii="宋体" w:eastAsia="宋体" w:cs="宋体"/>
          <w:b/>
          <w:sz w:val="28"/>
          <w:szCs w:val="28"/>
        </w:rPr>
        <w:t>格式</w:t>
      </w:r>
      <w:r>
        <w:rPr>
          <w:rFonts w:hint="eastAsia" w:ascii="宋体" w:cs="宋体"/>
          <w:b/>
          <w:sz w:val="28"/>
          <w:szCs w:val="28"/>
          <w:lang w:val="en-US" w:eastAsia="zh-CN"/>
        </w:rPr>
        <w:t>8</w:t>
      </w:r>
    </w:p>
    <w:p w14:paraId="273C3C8D">
      <w:pPr>
        <w:keepNext/>
        <w:keepLines/>
        <w:widowControl w:val="0"/>
        <w:spacing w:before="120" w:after="120" w:line="360" w:lineRule="auto"/>
        <w:ind w:left="425"/>
        <w:jc w:val="center"/>
        <w:outlineLvl w:val="9"/>
        <w:rPr>
          <w:rFonts w:ascii="宋体" w:cs="宋体"/>
          <w:b/>
          <w:bCs/>
          <w:sz w:val="32"/>
          <w:szCs w:val="32"/>
        </w:rPr>
      </w:pPr>
      <w:bookmarkStart w:id="220" w:name="_Toc14603921"/>
      <w:bookmarkStart w:id="221" w:name="_Toc18287444"/>
      <w:bookmarkStart w:id="222" w:name="_Toc1109"/>
      <w:bookmarkStart w:id="223" w:name="_Toc488633630"/>
      <w:bookmarkStart w:id="224" w:name="_Toc213141107"/>
      <w:bookmarkStart w:id="225" w:name="_Toc4001"/>
      <w:bookmarkStart w:id="226" w:name="_Toc481694858"/>
      <w:bookmarkStart w:id="227" w:name="_Toc489197869"/>
      <w:bookmarkStart w:id="228" w:name="_Toc20663"/>
      <w:bookmarkStart w:id="229" w:name="_Toc25545"/>
      <w:bookmarkStart w:id="230" w:name="_Toc19453"/>
      <w:bookmarkStart w:id="231" w:name="_Toc489145765"/>
      <w:r>
        <w:rPr>
          <w:rFonts w:hint="eastAsia" w:ascii="宋体" w:cs="宋体"/>
          <w:b/>
          <w:bCs/>
          <w:sz w:val="32"/>
          <w:szCs w:val="32"/>
        </w:rPr>
        <w:t>法定代表人授权委托书</w:t>
      </w:r>
      <w:bookmarkEnd w:id="220"/>
      <w:bookmarkEnd w:id="221"/>
      <w:bookmarkEnd w:id="222"/>
      <w:bookmarkEnd w:id="223"/>
      <w:bookmarkEnd w:id="224"/>
      <w:bookmarkEnd w:id="225"/>
      <w:bookmarkEnd w:id="226"/>
      <w:bookmarkEnd w:id="227"/>
      <w:bookmarkEnd w:id="228"/>
      <w:bookmarkEnd w:id="229"/>
      <w:bookmarkEnd w:id="230"/>
      <w:bookmarkEnd w:id="231"/>
    </w:p>
    <w:p w14:paraId="39271D1C">
      <w:pPr>
        <w:spacing w:line="360" w:lineRule="auto"/>
        <w:ind w:firstLine="420" w:firstLineChars="200"/>
        <w:outlineLvl w:val="9"/>
        <w:rPr>
          <w:rFonts w:ascii="宋体" w:cs="宋体"/>
          <w:szCs w:val="21"/>
        </w:rPr>
      </w:pPr>
      <w:r>
        <w:rPr>
          <w:rFonts w:hint="eastAsia" w:ascii="宋体" w:cs="宋体"/>
          <w:szCs w:val="21"/>
        </w:rPr>
        <w:t>本授权书声明：</w:t>
      </w:r>
      <w:r>
        <w:rPr>
          <w:rFonts w:hint="eastAsia" w:ascii="宋体" w:cs="宋体"/>
          <w:szCs w:val="21"/>
          <w:u w:val="single"/>
        </w:rPr>
        <w:t xml:space="preserve">  （供应商全称） </w:t>
      </w:r>
      <w:r>
        <w:rPr>
          <w:rFonts w:hint="eastAsia" w:ascii="宋体" w:cs="宋体"/>
          <w:szCs w:val="21"/>
        </w:rPr>
        <w:t>的法定代表人代表本公司/单位授权</w:t>
      </w:r>
      <w:r>
        <w:rPr>
          <w:rFonts w:hint="eastAsia" w:ascii="宋体" w:cs="宋体"/>
          <w:szCs w:val="21"/>
          <w:u w:val="single"/>
        </w:rPr>
        <w:t>（委托代理人姓名）</w:t>
      </w:r>
      <w:r>
        <w:rPr>
          <w:rFonts w:hint="eastAsia" w:ascii="宋体" w:cs="宋体"/>
          <w:szCs w:val="21"/>
        </w:rPr>
        <w:t>为本公司/单位合法代理人，就贵方组织的</w:t>
      </w:r>
      <w:r>
        <w:rPr>
          <w:rFonts w:hint="eastAsia" w:ascii="宋体" w:cs="宋体"/>
          <w:szCs w:val="21"/>
          <w:u w:val="single"/>
        </w:rPr>
        <w:t>（项目名称）</w:t>
      </w:r>
      <w:r>
        <w:rPr>
          <w:rFonts w:hint="eastAsia" w:ascii="宋体" w:cs="宋体"/>
          <w:szCs w:val="21"/>
        </w:rPr>
        <w:t>（项目编号：</w:t>
      </w:r>
      <w:r>
        <w:rPr>
          <w:rFonts w:hint="eastAsia" w:ascii="宋体" w:cs="宋体"/>
          <w:szCs w:val="21"/>
          <w:u w:val="single"/>
        </w:rPr>
        <w:t xml:space="preserve">       </w:t>
      </w:r>
      <w:r>
        <w:rPr>
          <w:rFonts w:hint="eastAsia" w:ascii="宋体" w:cs="宋体"/>
          <w:szCs w:val="21"/>
        </w:rPr>
        <w:t>）的竞争性磋商，以本公司/单位名义参加。代理人在本项目磋商过程中所签署的一切文件和处理与之有关的一切事务，我方均予承认。</w:t>
      </w:r>
    </w:p>
    <w:p w14:paraId="13A27F05">
      <w:pPr>
        <w:pStyle w:val="21"/>
        <w:spacing w:line="500" w:lineRule="exact"/>
        <w:ind w:firstLine="420"/>
        <w:outlineLvl w:val="9"/>
        <w:rPr>
          <w:rFonts w:cs="宋体"/>
          <w:szCs w:val="21"/>
        </w:rPr>
      </w:pPr>
      <w:r>
        <w:rPr>
          <w:rFonts w:hint="eastAsia" w:cs="宋体"/>
          <w:szCs w:val="21"/>
        </w:rPr>
        <w:t>代理人无转委托权。</w:t>
      </w:r>
    </w:p>
    <w:p w14:paraId="306258BB">
      <w:pPr>
        <w:spacing w:line="360" w:lineRule="auto"/>
        <w:ind w:firstLine="420" w:firstLineChars="200"/>
        <w:outlineLvl w:val="9"/>
        <w:rPr>
          <w:rFonts w:ascii="宋体" w:cs="宋体"/>
          <w:szCs w:val="21"/>
        </w:rPr>
      </w:pPr>
    </w:p>
    <w:p w14:paraId="4AA69816">
      <w:pPr>
        <w:pStyle w:val="21"/>
        <w:spacing w:line="500" w:lineRule="exact"/>
        <w:jc w:val="left"/>
        <w:outlineLvl w:val="9"/>
        <w:rPr>
          <w:rFonts w:cs="宋体"/>
          <w:szCs w:val="21"/>
        </w:rPr>
      </w:pPr>
    </w:p>
    <w:p w14:paraId="2C80C45F">
      <w:pPr>
        <w:pStyle w:val="21"/>
        <w:spacing w:line="500" w:lineRule="exact"/>
        <w:jc w:val="left"/>
        <w:outlineLvl w:val="9"/>
        <w:rPr>
          <w:rFonts w:cs="宋体"/>
          <w:szCs w:val="21"/>
        </w:rPr>
      </w:pPr>
      <w:r>
        <w:rPr>
          <w:rFonts w:hint="eastAsia" w:cs="宋体"/>
          <w:szCs w:val="21"/>
        </w:rPr>
        <w:t>供应商（加盖供应商电子公章）：</w:t>
      </w:r>
    </w:p>
    <w:p w14:paraId="10708F63">
      <w:pPr>
        <w:pStyle w:val="21"/>
        <w:spacing w:line="500" w:lineRule="exact"/>
        <w:jc w:val="left"/>
        <w:outlineLvl w:val="9"/>
        <w:rPr>
          <w:rFonts w:cs="宋体"/>
          <w:szCs w:val="21"/>
        </w:rPr>
      </w:pPr>
    </w:p>
    <w:p w14:paraId="678C7C7C">
      <w:pPr>
        <w:pStyle w:val="21"/>
        <w:spacing w:line="500" w:lineRule="exact"/>
        <w:jc w:val="left"/>
        <w:outlineLvl w:val="9"/>
        <w:rPr>
          <w:rFonts w:cs="宋体"/>
          <w:szCs w:val="21"/>
          <w:u w:val="single"/>
        </w:rPr>
      </w:pPr>
      <w:r>
        <w:rPr>
          <w:rFonts w:hint="eastAsia" w:cs="宋体"/>
          <w:szCs w:val="21"/>
        </w:rPr>
        <w:t>法定代表人（电子签名或签章）：</w:t>
      </w:r>
    </w:p>
    <w:p w14:paraId="3D1E1582">
      <w:pPr>
        <w:spacing w:line="360" w:lineRule="auto"/>
        <w:outlineLvl w:val="9"/>
        <w:rPr>
          <w:szCs w:val="21"/>
        </w:rPr>
      </w:pPr>
    </w:p>
    <w:p w14:paraId="351C8A93">
      <w:pPr>
        <w:spacing w:line="360" w:lineRule="auto"/>
        <w:outlineLvl w:val="9"/>
        <w:rPr>
          <w:rFonts w:hint="eastAsia"/>
          <w:szCs w:val="21"/>
        </w:rPr>
      </w:pPr>
      <w:r>
        <w:rPr>
          <w:szCs w:val="21"/>
        </w:rPr>
        <w:t>委托代理人（</w:t>
      </w:r>
      <w:r>
        <w:rPr>
          <w:rFonts w:hint="eastAsia"/>
          <w:szCs w:val="21"/>
        </w:rPr>
        <w:t>电子签名或电子签章或签名或签章</w:t>
      </w:r>
      <w:r>
        <w:rPr>
          <w:szCs w:val="21"/>
        </w:rPr>
        <w:t>）</w:t>
      </w:r>
      <w:r>
        <w:rPr>
          <w:rFonts w:hint="eastAsia"/>
          <w:szCs w:val="21"/>
        </w:rPr>
        <w:t>：</w:t>
      </w:r>
    </w:p>
    <w:p w14:paraId="4CF47A88">
      <w:pPr>
        <w:pStyle w:val="21"/>
        <w:spacing w:line="500" w:lineRule="exact"/>
        <w:outlineLvl w:val="9"/>
        <w:rPr>
          <w:rFonts w:cs="宋体"/>
          <w:szCs w:val="21"/>
        </w:rPr>
      </w:pPr>
      <w:r>
        <w:rPr>
          <w:rFonts w:hint="eastAsia" w:cs="宋体"/>
          <w:szCs w:val="21"/>
        </w:rPr>
        <w:t>日期：</w:t>
      </w:r>
    </w:p>
    <w:tbl>
      <w:tblPr>
        <w:tblStyle w:val="40"/>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8"/>
        <w:gridCol w:w="3960"/>
      </w:tblGrid>
      <w:tr w14:paraId="563C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090D4E5D">
            <w:pPr>
              <w:pStyle w:val="21"/>
              <w:spacing w:line="500" w:lineRule="exact"/>
              <w:outlineLvl w:val="9"/>
              <w:rPr>
                <w:rFonts w:cs="宋体"/>
                <w:szCs w:val="21"/>
              </w:rPr>
            </w:pPr>
            <w:r>
              <w:rPr>
                <w:rFonts w:hint="eastAsia" w:cs="宋体"/>
                <w:szCs w:val="21"/>
              </w:rPr>
              <w:t xml:space="preserve">附： </w:t>
            </w:r>
          </w:p>
        </w:tc>
        <w:tc>
          <w:tcPr>
            <w:tcW w:w="3960" w:type="dxa"/>
            <w:tcBorders>
              <w:top w:val="nil"/>
              <w:left w:val="nil"/>
              <w:bottom w:val="nil"/>
              <w:right w:val="nil"/>
            </w:tcBorders>
            <w:noWrap/>
          </w:tcPr>
          <w:p w14:paraId="08E5FE68">
            <w:pPr>
              <w:pStyle w:val="21"/>
              <w:spacing w:line="500" w:lineRule="exact"/>
              <w:outlineLvl w:val="9"/>
              <w:rPr>
                <w:rFonts w:cs="宋体"/>
                <w:szCs w:val="21"/>
              </w:rPr>
            </w:pPr>
            <w:r>
              <w:rPr>
                <w:rFonts w:hint="eastAsia" w:cs="宋体"/>
                <w:szCs w:val="21"/>
              </w:rPr>
              <w:tab/>
            </w:r>
            <w:r>
              <w:rPr>
                <w:rFonts w:hint="eastAsia" w:cs="宋体"/>
                <w:szCs w:val="21"/>
              </w:rPr>
              <w:tab/>
            </w:r>
            <w:r>
              <w:rPr>
                <w:rFonts w:hint="eastAsia" w:cs="宋体"/>
                <w:szCs w:val="21"/>
              </w:rPr>
              <w:tab/>
            </w:r>
            <w:r>
              <w:rPr>
                <w:rFonts w:hint="eastAsia" w:cs="宋体"/>
                <w:szCs w:val="21"/>
              </w:rPr>
              <w:tab/>
            </w:r>
            <w:r>
              <w:rPr>
                <w:rFonts w:hint="eastAsia" w:cs="宋体"/>
                <w:szCs w:val="21"/>
              </w:rPr>
              <w:tab/>
            </w:r>
          </w:p>
        </w:tc>
      </w:tr>
      <w:tr w14:paraId="5DAC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1B1C3DFF">
            <w:pPr>
              <w:pStyle w:val="21"/>
              <w:spacing w:line="500" w:lineRule="exact"/>
              <w:jc w:val="distribute"/>
              <w:outlineLvl w:val="9"/>
              <w:rPr>
                <w:rFonts w:cs="宋体"/>
                <w:szCs w:val="21"/>
              </w:rPr>
            </w:pPr>
            <w:r>
              <w:rPr>
                <w:rFonts w:hint="eastAsia" w:cs="宋体"/>
                <w:szCs w:val="21"/>
              </w:rPr>
              <w:t>委托代理人姓名：</w:t>
            </w:r>
          </w:p>
        </w:tc>
        <w:tc>
          <w:tcPr>
            <w:tcW w:w="3960" w:type="dxa"/>
            <w:tcBorders>
              <w:top w:val="nil"/>
              <w:left w:val="nil"/>
              <w:bottom w:val="nil"/>
              <w:right w:val="nil"/>
            </w:tcBorders>
            <w:noWrap/>
          </w:tcPr>
          <w:p w14:paraId="462F75EC">
            <w:pPr>
              <w:pStyle w:val="21"/>
              <w:spacing w:line="500" w:lineRule="exact"/>
              <w:outlineLvl w:val="9"/>
              <w:rPr>
                <w:rFonts w:cs="宋体"/>
                <w:szCs w:val="21"/>
              </w:rPr>
            </w:pPr>
          </w:p>
        </w:tc>
      </w:tr>
      <w:tr w14:paraId="54AC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7BB61D76">
            <w:pPr>
              <w:pStyle w:val="21"/>
              <w:spacing w:line="500" w:lineRule="exact"/>
              <w:jc w:val="distribute"/>
              <w:outlineLvl w:val="9"/>
              <w:rPr>
                <w:rFonts w:cs="宋体"/>
                <w:szCs w:val="21"/>
              </w:rPr>
            </w:pPr>
            <w:r>
              <w:rPr>
                <w:rFonts w:hint="eastAsia" w:cs="宋体"/>
                <w:szCs w:val="21"/>
              </w:rPr>
              <w:t>职       务：</w:t>
            </w:r>
          </w:p>
        </w:tc>
        <w:tc>
          <w:tcPr>
            <w:tcW w:w="3960" w:type="dxa"/>
            <w:tcBorders>
              <w:top w:val="nil"/>
              <w:left w:val="nil"/>
              <w:bottom w:val="nil"/>
              <w:right w:val="nil"/>
            </w:tcBorders>
            <w:noWrap/>
          </w:tcPr>
          <w:p w14:paraId="6AD6EE31">
            <w:pPr>
              <w:pStyle w:val="21"/>
              <w:spacing w:line="500" w:lineRule="exact"/>
              <w:outlineLvl w:val="9"/>
              <w:rPr>
                <w:rFonts w:cs="宋体"/>
                <w:szCs w:val="21"/>
              </w:rPr>
            </w:pPr>
          </w:p>
        </w:tc>
      </w:tr>
      <w:tr w14:paraId="66F3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0540E081">
            <w:pPr>
              <w:pStyle w:val="21"/>
              <w:spacing w:line="500" w:lineRule="exact"/>
              <w:jc w:val="distribute"/>
              <w:outlineLvl w:val="9"/>
              <w:rPr>
                <w:rFonts w:cs="宋体"/>
                <w:szCs w:val="21"/>
              </w:rPr>
            </w:pPr>
            <w:r>
              <w:rPr>
                <w:rFonts w:hint="eastAsia" w:cs="宋体"/>
                <w:szCs w:val="21"/>
              </w:rPr>
              <w:t>居民身份证号码：</w:t>
            </w:r>
          </w:p>
        </w:tc>
        <w:tc>
          <w:tcPr>
            <w:tcW w:w="3960" w:type="dxa"/>
            <w:tcBorders>
              <w:top w:val="nil"/>
              <w:left w:val="nil"/>
              <w:bottom w:val="nil"/>
              <w:right w:val="nil"/>
            </w:tcBorders>
            <w:noWrap/>
          </w:tcPr>
          <w:p w14:paraId="738F428F">
            <w:pPr>
              <w:pStyle w:val="21"/>
              <w:spacing w:line="500" w:lineRule="exact"/>
              <w:outlineLvl w:val="9"/>
              <w:rPr>
                <w:rFonts w:cs="宋体"/>
                <w:szCs w:val="21"/>
              </w:rPr>
            </w:pPr>
          </w:p>
        </w:tc>
      </w:tr>
      <w:tr w14:paraId="395B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00A0AA1E">
            <w:pPr>
              <w:pStyle w:val="21"/>
              <w:spacing w:line="500" w:lineRule="exact"/>
              <w:jc w:val="distribute"/>
              <w:outlineLvl w:val="9"/>
              <w:rPr>
                <w:rFonts w:cs="宋体"/>
                <w:szCs w:val="21"/>
              </w:rPr>
            </w:pPr>
            <w:r>
              <w:rPr>
                <w:rFonts w:hint="eastAsia" w:cs="宋体"/>
                <w:szCs w:val="21"/>
              </w:rPr>
              <w:t>详 细  地 址：</w:t>
            </w:r>
          </w:p>
        </w:tc>
        <w:tc>
          <w:tcPr>
            <w:tcW w:w="3960" w:type="dxa"/>
            <w:tcBorders>
              <w:top w:val="nil"/>
              <w:left w:val="nil"/>
              <w:bottom w:val="nil"/>
              <w:right w:val="nil"/>
            </w:tcBorders>
            <w:noWrap/>
          </w:tcPr>
          <w:p w14:paraId="60841973">
            <w:pPr>
              <w:pStyle w:val="21"/>
              <w:spacing w:line="500" w:lineRule="exact"/>
              <w:outlineLvl w:val="9"/>
              <w:rPr>
                <w:rFonts w:cs="宋体"/>
                <w:szCs w:val="21"/>
              </w:rPr>
            </w:pPr>
          </w:p>
        </w:tc>
      </w:tr>
      <w:tr w14:paraId="70AB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2F4D17C4">
            <w:pPr>
              <w:pStyle w:val="21"/>
              <w:spacing w:line="500" w:lineRule="exact"/>
              <w:jc w:val="distribute"/>
              <w:outlineLvl w:val="9"/>
              <w:rPr>
                <w:rFonts w:cs="宋体"/>
                <w:szCs w:val="21"/>
              </w:rPr>
            </w:pPr>
            <w:r>
              <w:rPr>
                <w:rFonts w:hint="eastAsia" w:cs="宋体"/>
                <w:szCs w:val="21"/>
              </w:rPr>
              <w:t>电       话：</w:t>
            </w:r>
          </w:p>
        </w:tc>
        <w:tc>
          <w:tcPr>
            <w:tcW w:w="3960" w:type="dxa"/>
            <w:tcBorders>
              <w:top w:val="nil"/>
              <w:left w:val="nil"/>
              <w:bottom w:val="nil"/>
              <w:right w:val="nil"/>
            </w:tcBorders>
            <w:noWrap/>
          </w:tcPr>
          <w:p w14:paraId="16C9FC64">
            <w:pPr>
              <w:pStyle w:val="21"/>
              <w:spacing w:line="500" w:lineRule="exact"/>
              <w:outlineLvl w:val="9"/>
              <w:rPr>
                <w:rFonts w:cs="宋体"/>
                <w:szCs w:val="21"/>
              </w:rPr>
            </w:pPr>
          </w:p>
        </w:tc>
      </w:tr>
      <w:tr w14:paraId="5B62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08" w:type="dxa"/>
            <w:tcBorders>
              <w:top w:val="nil"/>
              <w:left w:val="nil"/>
              <w:bottom w:val="nil"/>
              <w:right w:val="nil"/>
            </w:tcBorders>
            <w:noWrap/>
          </w:tcPr>
          <w:p w14:paraId="1D432C0F">
            <w:pPr>
              <w:pStyle w:val="21"/>
              <w:spacing w:line="500" w:lineRule="exact"/>
              <w:jc w:val="distribute"/>
              <w:outlineLvl w:val="9"/>
              <w:rPr>
                <w:rFonts w:cs="宋体"/>
                <w:szCs w:val="21"/>
              </w:rPr>
            </w:pPr>
            <w:r>
              <w:rPr>
                <w:rFonts w:hint="eastAsia" w:cs="宋体"/>
                <w:szCs w:val="21"/>
              </w:rPr>
              <w:t>电子邮箱：</w:t>
            </w:r>
          </w:p>
        </w:tc>
        <w:tc>
          <w:tcPr>
            <w:tcW w:w="3960" w:type="dxa"/>
            <w:tcBorders>
              <w:top w:val="nil"/>
              <w:left w:val="nil"/>
              <w:bottom w:val="nil"/>
              <w:right w:val="nil"/>
            </w:tcBorders>
            <w:noWrap/>
          </w:tcPr>
          <w:p w14:paraId="71D49396">
            <w:pPr>
              <w:pStyle w:val="21"/>
              <w:spacing w:line="500" w:lineRule="exact"/>
              <w:outlineLvl w:val="9"/>
              <w:rPr>
                <w:rFonts w:cs="宋体"/>
                <w:szCs w:val="21"/>
              </w:rPr>
            </w:pPr>
          </w:p>
        </w:tc>
      </w:tr>
    </w:tbl>
    <w:p w14:paraId="6B450087">
      <w:pPr>
        <w:pStyle w:val="21"/>
        <w:spacing w:line="500" w:lineRule="exact"/>
        <w:ind w:firstLine="420"/>
        <w:outlineLvl w:val="9"/>
        <w:rPr>
          <w:rFonts w:cs="宋体"/>
          <w:b/>
          <w:bCs/>
          <w:szCs w:val="21"/>
        </w:rPr>
      </w:pPr>
      <w:r>
        <w:rPr>
          <w:rFonts w:hint="eastAsia" w:cs="宋体"/>
          <w:b/>
          <w:bCs/>
          <w:szCs w:val="21"/>
        </w:rPr>
        <w:t>注：附委托代理人居民身份证扫描件。</w:t>
      </w:r>
    </w:p>
    <w:p w14:paraId="7AB19930">
      <w:pPr>
        <w:widowControl/>
        <w:jc w:val="left"/>
        <w:outlineLvl w:val="9"/>
        <w:rPr>
          <w:rFonts w:hint="eastAsia" w:ascii="宋体" w:eastAsia="宋体" w:cs="宋体"/>
          <w:b/>
          <w:sz w:val="32"/>
          <w:szCs w:val="32"/>
          <w:lang w:val="en-US" w:eastAsia="zh-CN"/>
        </w:rPr>
      </w:pPr>
      <w:r>
        <w:rPr>
          <w:rFonts w:hint="eastAsia" w:cs="宋体"/>
          <w:b/>
          <w:sz w:val="28"/>
          <w:szCs w:val="28"/>
        </w:rPr>
        <w:br w:type="page"/>
      </w:r>
      <w:r>
        <w:rPr>
          <w:rFonts w:hint="eastAsia" w:ascii="宋体" w:eastAsia="宋体" w:cs="宋体"/>
          <w:b/>
          <w:sz w:val="28"/>
          <w:szCs w:val="28"/>
        </w:rPr>
        <w:t>格式</w:t>
      </w:r>
      <w:r>
        <w:rPr>
          <w:rFonts w:hint="eastAsia" w:ascii="宋体" w:cs="宋体"/>
          <w:b/>
          <w:sz w:val="28"/>
          <w:szCs w:val="28"/>
          <w:lang w:val="en-US" w:eastAsia="zh-CN"/>
        </w:rPr>
        <w:t>9</w:t>
      </w:r>
    </w:p>
    <w:p w14:paraId="14E79220">
      <w:pPr>
        <w:keepNext/>
        <w:keepLines/>
        <w:widowControl w:val="0"/>
        <w:spacing w:before="120" w:after="120" w:line="360" w:lineRule="auto"/>
        <w:ind w:left="0" w:leftChars="0" w:firstLine="0" w:firstLineChars="0"/>
        <w:jc w:val="center"/>
        <w:outlineLvl w:val="9"/>
        <w:rPr>
          <w:rFonts w:ascii="宋体" w:cs="宋体"/>
          <w:b/>
          <w:bCs/>
          <w:sz w:val="32"/>
          <w:szCs w:val="32"/>
        </w:rPr>
      </w:pPr>
      <w:r>
        <w:rPr>
          <w:rFonts w:hint="eastAsia" w:ascii="宋体" w:cs="宋体"/>
          <w:b/>
          <w:bCs/>
          <w:sz w:val="32"/>
          <w:szCs w:val="32"/>
        </w:rPr>
        <w:t>商务条款偏离表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873"/>
        <w:gridCol w:w="1267"/>
        <w:gridCol w:w="895"/>
      </w:tblGrid>
      <w:tr w14:paraId="28DE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7285AC8C">
            <w:pPr>
              <w:spacing w:line="240" w:lineRule="auto"/>
              <w:jc w:val="center"/>
              <w:outlineLvl w:val="9"/>
              <w:rPr>
                <w:rFonts w:ascii="宋体" w:cs="宋体"/>
                <w:b/>
                <w:szCs w:val="21"/>
              </w:rPr>
            </w:pPr>
            <w:r>
              <w:rPr>
                <w:rFonts w:hint="eastAsia" w:ascii="宋体" w:cs="宋体"/>
                <w:b/>
                <w:szCs w:val="21"/>
              </w:rPr>
              <w:t>序号</w:t>
            </w:r>
          </w:p>
        </w:tc>
        <w:tc>
          <w:tcPr>
            <w:tcW w:w="5873" w:type="dxa"/>
            <w:tcBorders>
              <w:top w:val="single" w:color="auto" w:sz="4" w:space="0"/>
              <w:left w:val="single" w:color="auto" w:sz="4" w:space="0"/>
              <w:bottom w:val="single" w:color="auto" w:sz="4" w:space="0"/>
              <w:right w:val="single" w:color="auto" w:sz="4" w:space="0"/>
            </w:tcBorders>
            <w:noWrap/>
            <w:vAlign w:val="center"/>
          </w:tcPr>
          <w:p w14:paraId="3E23F2A0">
            <w:pPr>
              <w:spacing w:line="240" w:lineRule="auto"/>
              <w:jc w:val="center"/>
              <w:outlineLvl w:val="9"/>
              <w:rPr>
                <w:rFonts w:ascii="宋体" w:cs="宋体"/>
                <w:b/>
                <w:szCs w:val="21"/>
              </w:rPr>
            </w:pPr>
            <w:r>
              <w:rPr>
                <w:rFonts w:hint="eastAsia" w:ascii="宋体" w:cs="宋体"/>
                <w:b/>
                <w:szCs w:val="21"/>
              </w:rPr>
              <w:t>竞争性磋商文件商务条款</w:t>
            </w:r>
          </w:p>
        </w:tc>
        <w:tc>
          <w:tcPr>
            <w:tcW w:w="1267" w:type="dxa"/>
            <w:tcBorders>
              <w:top w:val="single" w:color="auto" w:sz="4" w:space="0"/>
              <w:left w:val="single" w:color="auto" w:sz="4" w:space="0"/>
              <w:bottom w:val="single" w:color="auto" w:sz="4" w:space="0"/>
              <w:right w:val="single" w:color="auto" w:sz="4" w:space="0"/>
            </w:tcBorders>
            <w:noWrap/>
            <w:vAlign w:val="center"/>
          </w:tcPr>
          <w:p w14:paraId="0BFD7FAF">
            <w:pPr>
              <w:spacing w:line="240" w:lineRule="auto"/>
              <w:jc w:val="center"/>
              <w:outlineLvl w:val="9"/>
              <w:rPr>
                <w:rFonts w:ascii="宋体" w:cs="宋体"/>
                <w:b/>
                <w:szCs w:val="21"/>
              </w:rPr>
            </w:pPr>
            <w:r>
              <w:rPr>
                <w:rFonts w:hint="eastAsia" w:ascii="宋体" w:cs="宋体"/>
                <w:b/>
                <w:szCs w:val="21"/>
              </w:rPr>
              <w:t>响应文件响应情况</w:t>
            </w:r>
          </w:p>
        </w:tc>
        <w:tc>
          <w:tcPr>
            <w:tcW w:w="895" w:type="dxa"/>
            <w:tcBorders>
              <w:top w:val="single" w:color="auto" w:sz="4" w:space="0"/>
              <w:left w:val="single" w:color="auto" w:sz="4" w:space="0"/>
              <w:bottom w:val="single" w:color="auto" w:sz="4" w:space="0"/>
              <w:right w:val="single" w:color="auto" w:sz="4" w:space="0"/>
            </w:tcBorders>
            <w:noWrap/>
            <w:vAlign w:val="center"/>
          </w:tcPr>
          <w:p w14:paraId="651D4417">
            <w:pPr>
              <w:spacing w:line="240" w:lineRule="auto"/>
              <w:jc w:val="center"/>
              <w:outlineLvl w:val="9"/>
              <w:rPr>
                <w:rFonts w:ascii="宋体" w:cs="宋体"/>
                <w:b/>
                <w:szCs w:val="21"/>
              </w:rPr>
            </w:pPr>
            <w:r>
              <w:rPr>
                <w:rFonts w:hint="eastAsia" w:ascii="宋体" w:cs="宋体"/>
                <w:b/>
                <w:szCs w:val="21"/>
              </w:rPr>
              <w:t>偏离</w:t>
            </w:r>
          </w:p>
        </w:tc>
      </w:tr>
      <w:tr w14:paraId="4EFF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7A5DBF82">
            <w:pPr>
              <w:pStyle w:val="21"/>
              <w:spacing w:line="240" w:lineRule="auto"/>
              <w:jc w:val="center"/>
              <w:outlineLvl w:val="9"/>
              <w:rPr>
                <w:rFonts w:hint="eastAsia" w:eastAsia="宋体" w:cs="宋体"/>
                <w:szCs w:val="21"/>
                <w:highlight w:val="none"/>
                <w:lang w:val="en-US" w:eastAsia="zh-CN"/>
              </w:rPr>
            </w:pPr>
            <w:r>
              <w:rPr>
                <w:rFonts w:hint="eastAsia" w:cs="宋体"/>
                <w:szCs w:val="21"/>
                <w:highlight w:val="none"/>
                <w:lang w:val="en-US" w:eastAsia="zh-CN"/>
              </w:rPr>
              <w:t>★1</w:t>
            </w:r>
          </w:p>
        </w:tc>
        <w:tc>
          <w:tcPr>
            <w:tcW w:w="5873" w:type="dxa"/>
            <w:tcBorders>
              <w:top w:val="single" w:color="auto" w:sz="4" w:space="0"/>
              <w:left w:val="single" w:color="auto" w:sz="4" w:space="0"/>
              <w:bottom w:val="single" w:color="auto" w:sz="4" w:space="0"/>
              <w:right w:val="single" w:color="auto" w:sz="4" w:space="0"/>
            </w:tcBorders>
            <w:noWrap/>
            <w:vAlign w:val="center"/>
          </w:tcPr>
          <w:p w14:paraId="7FCC74C3">
            <w:pPr>
              <w:pStyle w:val="21"/>
              <w:spacing w:line="360" w:lineRule="auto"/>
              <w:rPr>
                <w:rFonts w:hint="eastAsia" w:cs="宋体"/>
                <w:sz w:val="21"/>
                <w:szCs w:val="21"/>
                <w:highlight w:val="none"/>
              </w:rPr>
            </w:pPr>
            <w:r>
              <w:rPr>
                <w:rFonts w:hint="eastAsia" w:cs="宋体"/>
                <w:sz w:val="21"/>
                <w:szCs w:val="21"/>
                <w:highlight w:val="none"/>
              </w:rPr>
              <w:t>服务地点：</w:t>
            </w:r>
            <w:r>
              <w:rPr>
                <w:rFonts w:hint="eastAsia" w:cs="宋体"/>
                <w:sz w:val="21"/>
                <w:szCs w:val="21"/>
                <w:highlight w:val="none"/>
                <w:lang w:eastAsia="zh-CN"/>
              </w:rPr>
              <w:t>昆明市生态环境局经开分局</w:t>
            </w:r>
            <w:r>
              <w:rPr>
                <w:rFonts w:hint="eastAsia" w:cs="宋体"/>
                <w:sz w:val="21"/>
                <w:szCs w:val="21"/>
                <w:highlight w:val="none"/>
              </w:rPr>
              <w:t>指定地点。</w:t>
            </w:r>
          </w:p>
          <w:p w14:paraId="6B1EA70B">
            <w:pPr>
              <w:pStyle w:val="21"/>
              <w:spacing w:line="360" w:lineRule="auto"/>
              <w:rPr>
                <w:rFonts w:hint="eastAsia" w:cs="宋体"/>
                <w:sz w:val="21"/>
                <w:szCs w:val="21"/>
                <w:highlight w:val="none"/>
              </w:rPr>
            </w:pPr>
            <w:r>
              <w:rPr>
                <w:rFonts w:hint="eastAsia" w:cs="宋体"/>
                <w:sz w:val="21"/>
                <w:szCs w:val="21"/>
                <w:highlight w:val="none"/>
              </w:rPr>
              <w:t>合同履行期限（服务期限）：</w:t>
            </w:r>
            <w:r>
              <w:rPr>
                <w:rFonts w:hint="eastAsia" w:cs="宋体"/>
                <w:sz w:val="21"/>
                <w:szCs w:val="21"/>
                <w:highlight w:val="none"/>
                <w:lang w:eastAsia="zh-CN"/>
              </w:rPr>
              <w:t>2026年6月底前完成《昆明经济技术开发区生态文明建设示范区（生态工业园区）2025年度工作报告》编制，经省生态环境厅审核后提交至协调机制工作组</w:t>
            </w:r>
            <w:r>
              <w:rPr>
                <w:rFonts w:hint="eastAsia" w:cs="宋体"/>
                <w:sz w:val="21"/>
                <w:szCs w:val="21"/>
                <w:highlight w:val="none"/>
              </w:rPr>
              <w:t>。</w:t>
            </w:r>
          </w:p>
        </w:tc>
        <w:tc>
          <w:tcPr>
            <w:tcW w:w="1267" w:type="dxa"/>
            <w:tcBorders>
              <w:top w:val="single" w:color="auto" w:sz="4" w:space="0"/>
              <w:left w:val="single" w:color="auto" w:sz="4" w:space="0"/>
              <w:bottom w:val="single" w:color="auto" w:sz="4" w:space="0"/>
              <w:right w:val="single" w:color="auto" w:sz="4" w:space="0"/>
            </w:tcBorders>
            <w:noWrap/>
            <w:vAlign w:val="center"/>
          </w:tcPr>
          <w:p w14:paraId="32C6DCC2">
            <w:pPr>
              <w:pStyle w:val="21"/>
              <w:spacing w:line="240" w:lineRule="auto"/>
              <w:jc w:val="center"/>
              <w:outlineLvl w:val="9"/>
              <w:rPr>
                <w:rFonts w:cs="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ign w:val="center"/>
          </w:tcPr>
          <w:p w14:paraId="6AC14128">
            <w:pPr>
              <w:pStyle w:val="21"/>
              <w:spacing w:line="240" w:lineRule="auto"/>
              <w:jc w:val="center"/>
              <w:outlineLvl w:val="9"/>
              <w:rPr>
                <w:rFonts w:cs="宋体"/>
                <w:szCs w:val="21"/>
                <w:highlight w:val="none"/>
              </w:rPr>
            </w:pPr>
          </w:p>
        </w:tc>
      </w:tr>
      <w:tr w14:paraId="6BC0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28F8AC03">
            <w:pPr>
              <w:pStyle w:val="21"/>
              <w:spacing w:line="240" w:lineRule="auto"/>
              <w:jc w:val="center"/>
              <w:outlineLvl w:val="9"/>
              <w:rPr>
                <w:rFonts w:hint="eastAsia" w:eastAsia="宋体" w:cs="宋体"/>
                <w:szCs w:val="21"/>
                <w:highlight w:val="none"/>
                <w:lang w:val="en-US" w:eastAsia="zh-CN"/>
              </w:rPr>
            </w:pPr>
            <w:r>
              <w:rPr>
                <w:rFonts w:hint="eastAsia" w:cs="宋体"/>
                <w:szCs w:val="21"/>
                <w:highlight w:val="none"/>
                <w:lang w:val="en-US" w:eastAsia="zh-CN"/>
              </w:rPr>
              <w:t>★2</w:t>
            </w:r>
          </w:p>
        </w:tc>
        <w:tc>
          <w:tcPr>
            <w:tcW w:w="5873" w:type="dxa"/>
            <w:tcBorders>
              <w:top w:val="single" w:color="auto" w:sz="4" w:space="0"/>
              <w:left w:val="single" w:color="auto" w:sz="4" w:space="0"/>
              <w:bottom w:val="single" w:color="auto" w:sz="4" w:space="0"/>
              <w:right w:val="single" w:color="auto" w:sz="4" w:space="0"/>
            </w:tcBorders>
            <w:noWrap/>
            <w:vAlign w:val="center"/>
          </w:tcPr>
          <w:p w14:paraId="40009E49">
            <w:pPr>
              <w:pStyle w:val="21"/>
              <w:spacing w:line="360" w:lineRule="auto"/>
              <w:rPr>
                <w:rFonts w:hint="eastAsia" w:cs="宋体"/>
                <w:sz w:val="21"/>
                <w:szCs w:val="21"/>
                <w:highlight w:val="none"/>
              </w:rPr>
            </w:pPr>
            <w:r>
              <w:rPr>
                <w:rFonts w:hint="eastAsia" w:cs="宋体"/>
                <w:sz w:val="21"/>
                <w:szCs w:val="21"/>
                <w:highlight w:val="none"/>
              </w:rPr>
              <w:t>付款方式</w:t>
            </w:r>
            <w:r>
              <w:rPr>
                <w:rFonts w:hint="eastAsia" w:cs="宋体"/>
                <w:sz w:val="21"/>
                <w:szCs w:val="21"/>
                <w:highlight w:val="none"/>
                <w:lang w:eastAsia="zh-CN"/>
              </w:rPr>
              <w:t>：甲方按照合同约定的工作内容及工作进度一次性支付，项目验收完成后30个工作日内一次性支付合同金额。(注：该部分内容可根据甲方财政预算资金情况进行调整)。</w:t>
            </w:r>
          </w:p>
        </w:tc>
        <w:tc>
          <w:tcPr>
            <w:tcW w:w="1267" w:type="dxa"/>
            <w:tcBorders>
              <w:top w:val="single" w:color="auto" w:sz="4" w:space="0"/>
              <w:left w:val="single" w:color="auto" w:sz="4" w:space="0"/>
              <w:bottom w:val="single" w:color="auto" w:sz="4" w:space="0"/>
              <w:right w:val="single" w:color="auto" w:sz="4" w:space="0"/>
            </w:tcBorders>
            <w:noWrap/>
            <w:vAlign w:val="center"/>
          </w:tcPr>
          <w:p w14:paraId="0FF0CB68">
            <w:pPr>
              <w:pStyle w:val="21"/>
              <w:spacing w:line="240" w:lineRule="auto"/>
              <w:jc w:val="center"/>
              <w:outlineLvl w:val="9"/>
              <w:rPr>
                <w:rFonts w:cs="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ign w:val="center"/>
          </w:tcPr>
          <w:p w14:paraId="4BD4AD37">
            <w:pPr>
              <w:pStyle w:val="21"/>
              <w:spacing w:line="240" w:lineRule="auto"/>
              <w:jc w:val="center"/>
              <w:outlineLvl w:val="9"/>
              <w:rPr>
                <w:rFonts w:cs="宋体"/>
                <w:szCs w:val="21"/>
                <w:highlight w:val="none"/>
              </w:rPr>
            </w:pPr>
          </w:p>
        </w:tc>
      </w:tr>
      <w:tr w14:paraId="2B4E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3" w:type="dxa"/>
            <w:tcBorders>
              <w:top w:val="single" w:color="auto" w:sz="4" w:space="0"/>
              <w:left w:val="single" w:color="auto" w:sz="4" w:space="0"/>
              <w:bottom w:val="single" w:color="auto" w:sz="4" w:space="0"/>
              <w:right w:val="single" w:color="auto" w:sz="4" w:space="0"/>
            </w:tcBorders>
            <w:noWrap/>
            <w:vAlign w:val="center"/>
          </w:tcPr>
          <w:p w14:paraId="41316E34">
            <w:pPr>
              <w:pStyle w:val="21"/>
              <w:spacing w:line="240" w:lineRule="auto"/>
              <w:jc w:val="center"/>
              <w:outlineLvl w:val="9"/>
              <w:rPr>
                <w:rFonts w:hint="eastAsia" w:eastAsia="宋体" w:cs="宋体"/>
                <w:szCs w:val="21"/>
                <w:highlight w:val="none"/>
                <w:lang w:val="en-US" w:eastAsia="zh-CN"/>
              </w:rPr>
            </w:pPr>
            <w:r>
              <w:rPr>
                <w:rFonts w:hint="eastAsia" w:cs="宋体"/>
                <w:szCs w:val="21"/>
                <w:highlight w:val="none"/>
                <w:lang w:val="en-US" w:eastAsia="zh-CN"/>
              </w:rPr>
              <w:t>★3</w:t>
            </w:r>
          </w:p>
        </w:tc>
        <w:tc>
          <w:tcPr>
            <w:tcW w:w="5873" w:type="dxa"/>
            <w:tcBorders>
              <w:top w:val="single" w:color="auto" w:sz="4" w:space="0"/>
              <w:left w:val="single" w:color="auto" w:sz="4" w:space="0"/>
              <w:bottom w:val="single" w:color="auto" w:sz="4" w:space="0"/>
              <w:right w:val="single" w:color="auto" w:sz="4" w:space="0"/>
            </w:tcBorders>
            <w:noWrap/>
            <w:vAlign w:val="center"/>
          </w:tcPr>
          <w:p w14:paraId="3ADAF085">
            <w:pPr>
              <w:pStyle w:val="21"/>
              <w:spacing w:line="360" w:lineRule="auto"/>
              <w:rPr>
                <w:rFonts w:hint="eastAsia" w:cs="宋体"/>
                <w:sz w:val="21"/>
                <w:szCs w:val="21"/>
                <w:highlight w:val="none"/>
              </w:rPr>
            </w:pPr>
            <w:r>
              <w:rPr>
                <w:rFonts w:hint="eastAsia" w:cs="宋体"/>
                <w:sz w:val="21"/>
                <w:szCs w:val="21"/>
                <w:highlight w:val="none"/>
              </w:rPr>
              <w:t>项目成果提交及验收</w:t>
            </w:r>
            <w:r>
              <w:rPr>
                <w:rFonts w:hint="eastAsia" w:cs="宋体"/>
                <w:sz w:val="21"/>
                <w:szCs w:val="21"/>
                <w:highlight w:val="none"/>
                <w:lang w:eastAsia="zh-CN"/>
              </w:rPr>
              <w:t>：</w:t>
            </w:r>
            <w:r>
              <w:rPr>
                <w:rFonts w:hint="eastAsia" w:cs="宋体"/>
                <w:sz w:val="21"/>
                <w:szCs w:val="21"/>
                <w:highlight w:val="none"/>
              </w:rPr>
              <w:t>乙方提交的成果通过</w:t>
            </w:r>
            <w:r>
              <w:rPr>
                <w:rFonts w:hint="eastAsia" w:cs="宋体"/>
                <w:sz w:val="21"/>
                <w:szCs w:val="21"/>
                <w:highlight w:val="none"/>
                <w:lang w:eastAsia="zh-CN"/>
              </w:rPr>
              <w:t>云南省</w:t>
            </w:r>
            <w:r>
              <w:rPr>
                <w:rFonts w:hint="eastAsia" w:cs="宋体"/>
                <w:sz w:val="21"/>
                <w:szCs w:val="21"/>
                <w:highlight w:val="none"/>
              </w:rPr>
              <w:t>生态环境</w:t>
            </w:r>
            <w:r>
              <w:rPr>
                <w:rFonts w:hint="eastAsia" w:cs="宋体"/>
                <w:sz w:val="21"/>
                <w:szCs w:val="21"/>
                <w:highlight w:val="none"/>
                <w:lang w:eastAsia="zh-CN"/>
              </w:rPr>
              <w:t>厅相关职能</w:t>
            </w:r>
            <w:r>
              <w:rPr>
                <w:rFonts w:hint="eastAsia" w:cs="宋体"/>
                <w:sz w:val="21"/>
                <w:szCs w:val="21"/>
                <w:highlight w:val="none"/>
              </w:rPr>
              <w:t>部门的</w:t>
            </w:r>
            <w:r>
              <w:rPr>
                <w:rFonts w:hint="eastAsia" w:cs="宋体"/>
                <w:sz w:val="21"/>
                <w:szCs w:val="21"/>
                <w:highlight w:val="none"/>
                <w:lang w:eastAsia="zh-CN"/>
              </w:rPr>
              <w:t>审核</w:t>
            </w:r>
            <w:r>
              <w:rPr>
                <w:rFonts w:hint="eastAsia" w:cs="宋体"/>
                <w:sz w:val="21"/>
                <w:szCs w:val="21"/>
                <w:highlight w:val="none"/>
              </w:rPr>
              <w:t>，提交至</w:t>
            </w:r>
            <w:r>
              <w:rPr>
                <w:rFonts w:hint="eastAsia" w:cs="宋体"/>
                <w:sz w:val="21"/>
                <w:szCs w:val="21"/>
                <w:highlight w:val="none"/>
                <w:lang w:eastAsia="zh-CN"/>
              </w:rPr>
              <w:t>生态工业园区建设</w:t>
            </w:r>
            <w:r>
              <w:rPr>
                <w:rFonts w:hint="eastAsia" w:cs="宋体"/>
                <w:sz w:val="21"/>
                <w:szCs w:val="21"/>
                <w:highlight w:val="none"/>
              </w:rPr>
              <w:t>协调机制工作组</w:t>
            </w:r>
            <w:r>
              <w:rPr>
                <w:rFonts w:hint="eastAsia" w:cs="宋体"/>
                <w:sz w:val="21"/>
                <w:szCs w:val="21"/>
                <w:highlight w:val="none"/>
                <w:lang w:eastAsia="zh-CN"/>
              </w:rPr>
              <w:t>，若涉及</w:t>
            </w:r>
            <w:r>
              <w:rPr>
                <w:rFonts w:hint="eastAsia" w:cs="宋体"/>
                <w:sz w:val="21"/>
                <w:szCs w:val="21"/>
                <w:highlight w:val="none"/>
              </w:rPr>
              <w:t>费用</w:t>
            </w:r>
            <w:r>
              <w:rPr>
                <w:rFonts w:hint="eastAsia" w:cs="宋体"/>
                <w:sz w:val="21"/>
                <w:szCs w:val="21"/>
                <w:highlight w:val="none"/>
                <w:lang w:eastAsia="zh-CN"/>
              </w:rPr>
              <w:t>，均由</w:t>
            </w:r>
            <w:r>
              <w:rPr>
                <w:rFonts w:hint="eastAsia" w:cs="宋体"/>
                <w:sz w:val="21"/>
                <w:szCs w:val="21"/>
                <w:highlight w:val="none"/>
              </w:rPr>
              <w:t>乙方承担。</w:t>
            </w:r>
          </w:p>
          <w:p w14:paraId="6CFD1DD3">
            <w:pPr>
              <w:pStyle w:val="21"/>
              <w:spacing w:line="360" w:lineRule="auto"/>
              <w:rPr>
                <w:rFonts w:hint="eastAsia" w:cs="宋体"/>
                <w:sz w:val="21"/>
                <w:szCs w:val="21"/>
                <w:highlight w:val="none"/>
              </w:rPr>
            </w:pPr>
            <w:r>
              <w:rPr>
                <w:rFonts w:hint="eastAsia" w:cs="宋体"/>
                <w:sz w:val="21"/>
                <w:szCs w:val="21"/>
                <w:highlight w:val="none"/>
              </w:rPr>
              <w:t>具体的验收标准和要求如下:</w:t>
            </w:r>
          </w:p>
          <w:p w14:paraId="71A3DDC7">
            <w:pPr>
              <w:pStyle w:val="21"/>
              <w:spacing w:line="360" w:lineRule="auto"/>
              <w:rPr>
                <w:rFonts w:hint="eastAsia" w:cs="宋体"/>
                <w:sz w:val="21"/>
                <w:szCs w:val="21"/>
                <w:highlight w:val="none"/>
              </w:rPr>
            </w:pPr>
            <w:r>
              <w:rPr>
                <w:rFonts w:hint="eastAsia" w:cs="宋体"/>
                <w:sz w:val="21"/>
                <w:szCs w:val="21"/>
                <w:highlight w:val="none"/>
              </w:rPr>
              <w:t>1.移交与本项目有关的相关服务成果和资料，具体验收由甲方组织。</w:t>
            </w:r>
          </w:p>
          <w:p w14:paraId="673169C5">
            <w:pPr>
              <w:pStyle w:val="21"/>
              <w:spacing w:line="360" w:lineRule="auto"/>
              <w:rPr>
                <w:rFonts w:hint="eastAsia" w:cs="宋体"/>
                <w:sz w:val="21"/>
                <w:szCs w:val="21"/>
                <w:highlight w:val="none"/>
              </w:rPr>
            </w:pPr>
            <w:r>
              <w:rPr>
                <w:rFonts w:hint="eastAsia" w:cs="宋体"/>
                <w:sz w:val="21"/>
                <w:szCs w:val="21"/>
                <w:highlight w:val="none"/>
              </w:rPr>
              <w:t>2.乙方需协助为项目验收提供相关服务。</w:t>
            </w:r>
          </w:p>
          <w:p w14:paraId="045E97F2">
            <w:pPr>
              <w:pStyle w:val="21"/>
              <w:spacing w:line="360" w:lineRule="auto"/>
              <w:rPr>
                <w:rFonts w:hint="eastAsia" w:cs="宋体"/>
                <w:sz w:val="21"/>
                <w:szCs w:val="21"/>
                <w:highlight w:val="none"/>
              </w:rPr>
            </w:pPr>
            <w:r>
              <w:rPr>
                <w:rFonts w:hint="eastAsia" w:cs="宋体"/>
                <w:sz w:val="21"/>
                <w:szCs w:val="21"/>
                <w:highlight w:val="none"/>
              </w:rPr>
              <w:t>3.验收标准以投标文件和双方签订的合同内容为准。</w:t>
            </w:r>
          </w:p>
        </w:tc>
        <w:tc>
          <w:tcPr>
            <w:tcW w:w="1267" w:type="dxa"/>
            <w:tcBorders>
              <w:top w:val="single" w:color="auto" w:sz="4" w:space="0"/>
              <w:left w:val="single" w:color="auto" w:sz="4" w:space="0"/>
              <w:bottom w:val="single" w:color="auto" w:sz="4" w:space="0"/>
              <w:right w:val="single" w:color="auto" w:sz="4" w:space="0"/>
            </w:tcBorders>
            <w:noWrap/>
            <w:vAlign w:val="center"/>
          </w:tcPr>
          <w:p w14:paraId="262C3A5F">
            <w:pPr>
              <w:pStyle w:val="21"/>
              <w:spacing w:line="240" w:lineRule="auto"/>
              <w:jc w:val="center"/>
              <w:outlineLvl w:val="9"/>
              <w:rPr>
                <w:rFonts w:cs="宋体"/>
                <w:szCs w:val="21"/>
                <w:highlight w:val="none"/>
              </w:rPr>
            </w:pPr>
          </w:p>
        </w:tc>
        <w:tc>
          <w:tcPr>
            <w:tcW w:w="895" w:type="dxa"/>
            <w:tcBorders>
              <w:top w:val="single" w:color="auto" w:sz="4" w:space="0"/>
              <w:left w:val="single" w:color="auto" w:sz="4" w:space="0"/>
              <w:bottom w:val="single" w:color="auto" w:sz="4" w:space="0"/>
              <w:right w:val="single" w:color="auto" w:sz="4" w:space="0"/>
            </w:tcBorders>
            <w:noWrap/>
            <w:vAlign w:val="center"/>
          </w:tcPr>
          <w:p w14:paraId="19C7D86E">
            <w:pPr>
              <w:pStyle w:val="21"/>
              <w:spacing w:line="240" w:lineRule="auto"/>
              <w:jc w:val="center"/>
              <w:outlineLvl w:val="9"/>
              <w:rPr>
                <w:rFonts w:cs="宋体"/>
                <w:szCs w:val="21"/>
                <w:highlight w:val="none"/>
              </w:rPr>
            </w:pPr>
          </w:p>
        </w:tc>
      </w:tr>
    </w:tbl>
    <w:p w14:paraId="66AE7741">
      <w:pPr>
        <w:spacing w:line="360" w:lineRule="auto"/>
        <w:ind w:firstLine="2" w:firstLineChars="1"/>
        <w:jc w:val="left"/>
        <w:outlineLvl w:val="9"/>
        <w:rPr>
          <w:rFonts w:ascii="宋体" w:cs="宋体"/>
          <w:szCs w:val="21"/>
        </w:rPr>
      </w:pPr>
      <w:r>
        <w:rPr>
          <w:rFonts w:hint="eastAsia" w:ascii="宋体" w:cs="宋体"/>
          <w:szCs w:val="21"/>
        </w:rPr>
        <w:t>注：</w:t>
      </w:r>
      <w:r>
        <w:rPr>
          <w:rFonts w:hint="eastAsia" w:ascii="宋体" w:cs="宋体"/>
          <w:szCs w:val="21"/>
          <w:lang w:val="en-US" w:eastAsia="zh-CN"/>
        </w:rPr>
        <w:t>1.</w:t>
      </w:r>
      <w:r>
        <w:rPr>
          <w:rFonts w:hint="eastAsia" w:ascii="宋体" w:cs="宋体"/>
          <w:szCs w:val="21"/>
        </w:rPr>
        <w:t>表格中“响应文件响应情况”一列，供应商须逐条作出全面、真实的反映，若响应文件中响应情况与竞争性磋商文件商务条款不符或无有效证明，而供应商又未在响应文件中作出说明和解释的，</w:t>
      </w:r>
      <w:r>
        <w:rPr>
          <w:rFonts w:hint="eastAsia" w:ascii="宋体" w:cs="宋体"/>
          <w:szCs w:val="21"/>
          <w:lang w:val="en-US" w:eastAsia="zh-CN"/>
        </w:rPr>
        <w:t>磋商小组</w:t>
      </w:r>
      <w:r>
        <w:rPr>
          <w:rFonts w:hint="eastAsia" w:ascii="宋体" w:cs="宋体"/>
          <w:szCs w:val="21"/>
        </w:rPr>
        <w:t>在评审时可以视为不响应该条商务条款的规定。</w:t>
      </w:r>
    </w:p>
    <w:p w14:paraId="041FB463">
      <w:pPr>
        <w:spacing w:line="360" w:lineRule="auto"/>
        <w:ind w:firstLine="2" w:firstLineChars="1"/>
        <w:jc w:val="left"/>
        <w:outlineLvl w:val="9"/>
        <w:rPr>
          <w:rFonts w:ascii="宋体" w:cs="宋体"/>
          <w:szCs w:val="21"/>
        </w:rPr>
      </w:pPr>
      <w:r>
        <w:rPr>
          <w:rFonts w:hint="eastAsia" w:ascii="宋体" w:cs="宋体"/>
          <w:szCs w:val="21"/>
          <w:lang w:val="en-US" w:eastAsia="zh-CN"/>
        </w:rPr>
        <w:t>2</w:t>
      </w:r>
      <w:r>
        <w:rPr>
          <w:rFonts w:hint="eastAsia" w:ascii="宋体" w:cs="宋体"/>
          <w:szCs w:val="21"/>
        </w:rPr>
        <w:t>.表格中“偏离”一列，供应商只能如实填写“正偏离”、“负偏离”或“无偏离”。凡响应内容高于竞争性磋商文件要求的，按“正偏离”填写；低于竞争性磋商文件要求的，按“负偏离”填写；满足竞争性磋商文件要求的，按“无偏离”填写。</w:t>
      </w:r>
    </w:p>
    <w:p w14:paraId="4A259949">
      <w:pPr>
        <w:ind w:firstLine="2" w:firstLineChars="1"/>
        <w:outlineLvl w:val="9"/>
        <w:rPr>
          <w:rFonts w:ascii="宋体" w:cs="宋体"/>
          <w:szCs w:val="21"/>
        </w:rPr>
      </w:pPr>
    </w:p>
    <w:p w14:paraId="6797A7C1">
      <w:pPr>
        <w:ind w:firstLine="2" w:firstLineChars="1"/>
        <w:outlineLvl w:val="9"/>
        <w:rPr>
          <w:rFonts w:hint="eastAsia" w:ascii="宋体" w:cs="宋体"/>
          <w:szCs w:val="21"/>
        </w:rPr>
      </w:pPr>
    </w:p>
    <w:p w14:paraId="5D3C4F56">
      <w:pPr>
        <w:ind w:firstLine="2" w:firstLineChars="1"/>
        <w:outlineLvl w:val="9"/>
        <w:rPr>
          <w:rFonts w:ascii="宋体" w:cs="宋体"/>
          <w:szCs w:val="21"/>
        </w:rPr>
      </w:pPr>
      <w:r>
        <w:rPr>
          <w:rFonts w:hint="eastAsia" w:ascii="宋体" w:cs="宋体"/>
          <w:szCs w:val="21"/>
        </w:rPr>
        <w:t>供应商（加盖供应商电子公章）：</w:t>
      </w:r>
    </w:p>
    <w:p w14:paraId="397918FD">
      <w:pPr>
        <w:ind w:firstLine="2" w:firstLineChars="1"/>
        <w:outlineLvl w:val="9"/>
        <w:rPr>
          <w:rFonts w:ascii="宋体" w:cs="宋体"/>
          <w:szCs w:val="21"/>
        </w:rPr>
      </w:pPr>
      <w:r>
        <w:rPr>
          <w:rFonts w:hint="eastAsia" w:ascii="宋体" w:cs="宋体"/>
          <w:szCs w:val="21"/>
          <w:lang w:eastAsia="zh-CN"/>
        </w:rPr>
        <w:t>法定代表人或委托代理人</w:t>
      </w:r>
      <w:r>
        <w:rPr>
          <w:rFonts w:hint="eastAsia" w:ascii="宋体" w:cs="宋体"/>
          <w:szCs w:val="21"/>
        </w:rPr>
        <w:t>（电子签名或签章）：</w:t>
      </w:r>
    </w:p>
    <w:p w14:paraId="70D60A03">
      <w:pPr>
        <w:ind w:firstLine="2" w:firstLineChars="1"/>
        <w:outlineLvl w:val="9"/>
        <w:rPr>
          <w:rFonts w:hint="eastAsia" w:ascii="宋体" w:cs="宋体"/>
          <w:szCs w:val="21"/>
        </w:rPr>
      </w:pPr>
      <w:r>
        <w:rPr>
          <w:rFonts w:hint="eastAsia" w:ascii="宋体" w:cs="宋体"/>
          <w:szCs w:val="21"/>
        </w:rPr>
        <w:t>日期：</w:t>
      </w:r>
    </w:p>
    <w:p w14:paraId="071D454E">
      <w:pPr>
        <w:rPr>
          <w:rFonts w:hint="eastAsia" w:cs="宋体"/>
          <w:b/>
          <w:sz w:val="28"/>
          <w:szCs w:val="28"/>
        </w:rPr>
      </w:pPr>
      <w:r>
        <w:rPr>
          <w:rFonts w:hint="eastAsia" w:cs="宋体"/>
          <w:b/>
          <w:sz w:val="28"/>
          <w:szCs w:val="28"/>
        </w:rPr>
        <w:br w:type="page"/>
      </w:r>
    </w:p>
    <w:p w14:paraId="07F9B9C2">
      <w:pPr>
        <w:widowControl/>
        <w:jc w:val="left"/>
        <w:outlineLvl w:val="9"/>
        <w:rPr>
          <w:rFonts w:hint="default" w:ascii="宋体" w:eastAsia="宋体" w:cs="宋体"/>
          <w:b/>
          <w:sz w:val="28"/>
          <w:szCs w:val="28"/>
          <w:lang w:val="en-US" w:eastAsia="zh-CN"/>
        </w:rPr>
      </w:pPr>
      <w:r>
        <w:rPr>
          <w:rFonts w:hint="eastAsia" w:ascii="宋体" w:eastAsia="宋体" w:cs="宋体"/>
          <w:b/>
          <w:sz w:val="28"/>
          <w:szCs w:val="28"/>
        </w:rPr>
        <w:t>格式</w:t>
      </w:r>
      <w:r>
        <w:rPr>
          <w:rFonts w:hint="eastAsia" w:ascii="宋体" w:cs="宋体"/>
          <w:b/>
          <w:sz w:val="28"/>
          <w:szCs w:val="28"/>
          <w:lang w:val="en-US" w:eastAsia="zh-CN"/>
        </w:rPr>
        <w:t>10</w:t>
      </w:r>
    </w:p>
    <w:bookmarkEnd w:id="185"/>
    <w:bookmarkEnd w:id="186"/>
    <w:bookmarkEnd w:id="187"/>
    <w:bookmarkEnd w:id="188"/>
    <w:bookmarkEnd w:id="189"/>
    <w:bookmarkEnd w:id="190"/>
    <w:bookmarkEnd w:id="191"/>
    <w:bookmarkEnd w:id="192"/>
    <w:bookmarkEnd w:id="193"/>
    <w:bookmarkEnd w:id="194"/>
    <w:p w14:paraId="1EB04760">
      <w:pPr>
        <w:keepNext/>
        <w:keepLines/>
        <w:widowControl w:val="0"/>
        <w:spacing w:before="120" w:after="120" w:line="360" w:lineRule="auto"/>
        <w:ind w:left="425"/>
        <w:jc w:val="center"/>
        <w:outlineLvl w:val="9"/>
        <w:rPr>
          <w:rFonts w:hint="eastAsia" w:ascii="宋体" w:eastAsia="宋体" w:cs="宋体"/>
          <w:b/>
          <w:bCs/>
          <w:sz w:val="28"/>
          <w:szCs w:val="28"/>
        </w:rPr>
      </w:pPr>
      <w:bookmarkStart w:id="232" w:name="_Toc18794"/>
      <w:bookmarkStart w:id="233" w:name="_Toc14603914"/>
      <w:bookmarkStart w:id="234" w:name="_Toc20721"/>
      <w:bookmarkStart w:id="235" w:name="_Toc24161"/>
      <w:bookmarkStart w:id="236" w:name="_Toc489197861"/>
      <w:bookmarkStart w:id="237" w:name="_Toc213141100"/>
      <w:bookmarkStart w:id="238" w:name="_Toc489145757"/>
      <w:bookmarkStart w:id="239" w:name="_Toc488633622"/>
      <w:bookmarkStart w:id="240" w:name="_Toc32717"/>
      <w:bookmarkStart w:id="241" w:name="_Toc481694851"/>
      <w:bookmarkStart w:id="242" w:name="_Toc18287437"/>
      <w:bookmarkStart w:id="243" w:name="_Toc683"/>
      <w:r>
        <w:rPr>
          <w:rFonts w:hint="eastAsia" w:ascii="宋体" w:eastAsia="宋体" w:cs="宋体"/>
          <w:b/>
          <w:bCs/>
          <w:sz w:val="28"/>
          <w:szCs w:val="28"/>
        </w:rPr>
        <w:t>项目理解及分析</w:t>
      </w:r>
      <w:bookmarkEnd w:id="232"/>
    </w:p>
    <w:p w14:paraId="3545663C">
      <w:pPr>
        <w:pStyle w:val="21"/>
        <w:jc w:val="center"/>
        <w:outlineLvl w:val="9"/>
        <w:rPr>
          <w:rFonts w:cs="宋体"/>
          <w:szCs w:val="21"/>
        </w:rPr>
      </w:pPr>
      <w:r>
        <w:rPr>
          <w:rFonts w:hint="eastAsia" w:cs="宋体"/>
          <w:szCs w:val="21"/>
        </w:rPr>
        <w:t>(内容自拟)</w:t>
      </w:r>
    </w:p>
    <w:p w14:paraId="751AD81F">
      <w:pPr>
        <w:spacing w:line="360" w:lineRule="auto"/>
        <w:outlineLvl w:val="9"/>
        <w:rPr>
          <w:rFonts w:hint="eastAsia" w:ascii="宋体" w:cs="宋体"/>
          <w:b/>
          <w:sz w:val="32"/>
          <w:szCs w:val="32"/>
        </w:rPr>
      </w:pPr>
    </w:p>
    <w:p w14:paraId="5A232F23">
      <w:pPr>
        <w:widowControl/>
        <w:jc w:val="left"/>
        <w:outlineLvl w:val="9"/>
        <w:rPr>
          <w:rFonts w:hint="default" w:ascii="宋体" w:eastAsia="宋体" w:cs="宋体"/>
          <w:b/>
          <w:sz w:val="28"/>
          <w:szCs w:val="28"/>
          <w:lang w:val="en-US" w:eastAsia="zh-CN"/>
        </w:rPr>
      </w:pPr>
      <w:r>
        <w:rPr>
          <w:rFonts w:hint="eastAsia" w:ascii="宋体" w:eastAsia="宋体" w:cs="宋体"/>
          <w:b/>
          <w:sz w:val="28"/>
          <w:szCs w:val="28"/>
        </w:rPr>
        <w:t>格式</w:t>
      </w:r>
      <w:r>
        <w:rPr>
          <w:rFonts w:hint="eastAsia" w:ascii="宋体" w:cs="宋体"/>
          <w:b/>
          <w:sz w:val="28"/>
          <w:szCs w:val="28"/>
          <w:lang w:val="en-US" w:eastAsia="zh-CN"/>
        </w:rPr>
        <w:t>11</w:t>
      </w:r>
    </w:p>
    <w:p w14:paraId="79E8E62B">
      <w:pPr>
        <w:keepNext/>
        <w:keepLines/>
        <w:widowControl w:val="0"/>
        <w:spacing w:before="120" w:after="120" w:line="360" w:lineRule="auto"/>
        <w:ind w:left="425"/>
        <w:jc w:val="center"/>
        <w:outlineLvl w:val="9"/>
        <w:rPr>
          <w:rFonts w:hint="eastAsia" w:ascii="宋体" w:eastAsia="宋体" w:cs="宋体"/>
          <w:b/>
          <w:bCs/>
          <w:sz w:val="28"/>
          <w:szCs w:val="28"/>
        </w:rPr>
      </w:pPr>
      <w:r>
        <w:rPr>
          <w:rFonts w:hint="eastAsia" w:ascii="宋体" w:eastAsia="宋体" w:cs="宋体"/>
          <w:b/>
          <w:bCs/>
          <w:sz w:val="28"/>
          <w:szCs w:val="28"/>
          <w:lang w:val="en-US" w:eastAsia="zh-CN"/>
        </w:rPr>
        <w:t>项目</w:t>
      </w:r>
      <w:r>
        <w:rPr>
          <w:rFonts w:hint="eastAsia" w:ascii="宋体" w:cs="宋体"/>
          <w:b/>
          <w:bCs/>
          <w:sz w:val="28"/>
          <w:szCs w:val="28"/>
          <w:lang w:val="en-US" w:eastAsia="zh-CN"/>
        </w:rPr>
        <w:t>服务</w:t>
      </w:r>
      <w:r>
        <w:rPr>
          <w:rFonts w:hint="eastAsia" w:ascii="宋体" w:eastAsia="宋体" w:cs="宋体"/>
          <w:b/>
          <w:bCs/>
          <w:sz w:val="28"/>
          <w:szCs w:val="28"/>
          <w:lang w:val="en-US" w:eastAsia="zh-CN"/>
        </w:rPr>
        <w:t>实施方案</w:t>
      </w:r>
    </w:p>
    <w:p w14:paraId="4719D971">
      <w:pPr>
        <w:pStyle w:val="21"/>
        <w:jc w:val="center"/>
        <w:outlineLvl w:val="9"/>
        <w:rPr>
          <w:rFonts w:cs="宋体"/>
          <w:szCs w:val="21"/>
        </w:rPr>
      </w:pPr>
      <w:r>
        <w:rPr>
          <w:rFonts w:hint="eastAsia" w:cs="宋体"/>
          <w:szCs w:val="21"/>
        </w:rPr>
        <w:t>(内容自拟)</w:t>
      </w:r>
    </w:p>
    <w:p w14:paraId="741E4108">
      <w:pPr>
        <w:spacing w:line="360" w:lineRule="auto"/>
        <w:outlineLvl w:val="9"/>
        <w:rPr>
          <w:rFonts w:hint="eastAsia" w:ascii="宋体" w:cs="宋体"/>
          <w:b/>
          <w:sz w:val="32"/>
          <w:szCs w:val="32"/>
        </w:rPr>
      </w:pPr>
      <w:bookmarkStart w:id="244" w:name="_Toc6942"/>
    </w:p>
    <w:p w14:paraId="0CF953BB">
      <w:pPr>
        <w:widowControl/>
        <w:jc w:val="left"/>
        <w:outlineLvl w:val="9"/>
        <w:rPr>
          <w:rFonts w:hint="default" w:ascii="宋体" w:eastAsia="宋体" w:cs="宋体"/>
          <w:b/>
          <w:sz w:val="28"/>
          <w:szCs w:val="28"/>
          <w:lang w:val="en-US" w:eastAsia="zh-CN"/>
        </w:rPr>
      </w:pPr>
      <w:r>
        <w:rPr>
          <w:rFonts w:hint="eastAsia" w:ascii="宋体" w:eastAsia="宋体" w:cs="宋体"/>
          <w:b/>
          <w:sz w:val="28"/>
          <w:szCs w:val="28"/>
        </w:rPr>
        <w:t>格式</w:t>
      </w:r>
      <w:r>
        <w:rPr>
          <w:rFonts w:hint="eastAsia" w:ascii="宋体" w:cs="宋体"/>
          <w:b/>
          <w:sz w:val="28"/>
          <w:szCs w:val="28"/>
          <w:lang w:val="en-US" w:eastAsia="zh-CN"/>
        </w:rPr>
        <w:t>12</w:t>
      </w:r>
    </w:p>
    <w:p w14:paraId="5DD08934">
      <w:pPr>
        <w:keepNext/>
        <w:keepLines/>
        <w:widowControl w:val="0"/>
        <w:spacing w:before="120" w:after="120" w:line="360" w:lineRule="auto"/>
        <w:ind w:left="425"/>
        <w:jc w:val="center"/>
        <w:outlineLvl w:val="9"/>
        <w:rPr>
          <w:rFonts w:hint="default" w:ascii="宋体" w:eastAsia="宋体" w:cs="宋体"/>
          <w:b/>
          <w:bCs/>
          <w:sz w:val="28"/>
          <w:szCs w:val="28"/>
          <w:lang w:val="en-US" w:eastAsia="zh-CN"/>
        </w:rPr>
      </w:pPr>
      <w:r>
        <w:rPr>
          <w:rFonts w:hint="eastAsia" w:ascii="宋体" w:eastAsia="宋体" w:cs="宋体"/>
          <w:b/>
          <w:bCs/>
          <w:sz w:val="28"/>
          <w:szCs w:val="28"/>
          <w:lang w:val="en-US" w:eastAsia="zh-CN"/>
        </w:rPr>
        <w:t>重点、难点分析以及建设性意见与建议方案</w:t>
      </w:r>
    </w:p>
    <w:p w14:paraId="512A7B7D">
      <w:pPr>
        <w:pStyle w:val="21"/>
        <w:jc w:val="center"/>
        <w:outlineLvl w:val="9"/>
        <w:rPr>
          <w:rFonts w:cs="宋体"/>
          <w:szCs w:val="21"/>
        </w:rPr>
      </w:pPr>
      <w:r>
        <w:rPr>
          <w:rFonts w:hint="eastAsia" w:cs="宋体"/>
          <w:szCs w:val="21"/>
        </w:rPr>
        <w:t>(内容自拟)</w:t>
      </w:r>
    </w:p>
    <w:p w14:paraId="4BD8A1F4">
      <w:pPr>
        <w:spacing w:line="360" w:lineRule="auto"/>
        <w:outlineLvl w:val="9"/>
        <w:rPr>
          <w:rFonts w:hint="eastAsia" w:ascii="宋体" w:cs="宋体"/>
          <w:b/>
          <w:sz w:val="32"/>
          <w:szCs w:val="32"/>
        </w:rPr>
      </w:pPr>
    </w:p>
    <w:p w14:paraId="7DA25AC4">
      <w:pPr>
        <w:widowControl/>
        <w:jc w:val="left"/>
        <w:outlineLvl w:val="9"/>
        <w:rPr>
          <w:rFonts w:hint="default" w:ascii="宋体" w:eastAsia="宋体" w:cs="宋体"/>
          <w:b/>
          <w:sz w:val="28"/>
          <w:szCs w:val="28"/>
          <w:lang w:val="en-US" w:eastAsia="zh-CN"/>
        </w:rPr>
      </w:pPr>
      <w:r>
        <w:rPr>
          <w:rFonts w:hint="eastAsia" w:ascii="宋体" w:eastAsia="宋体" w:cs="宋体"/>
          <w:b/>
          <w:sz w:val="28"/>
          <w:szCs w:val="28"/>
        </w:rPr>
        <w:t>格式</w:t>
      </w:r>
      <w:r>
        <w:rPr>
          <w:rFonts w:hint="eastAsia" w:ascii="宋体" w:eastAsia="宋体" w:cs="宋体"/>
          <w:b/>
          <w:sz w:val="28"/>
          <w:szCs w:val="28"/>
          <w:lang w:val="en-US" w:eastAsia="zh-CN"/>
        </w:rPr>
        <w:t>1</w:t>
      </w:r>
      <w:r>
        <w:rPr>
          <w:rFonts w:hint="eastAsia" w:ascii="宋体" w:cs="宋体"/>
          <w:b/>
          <w:sz w:val="28"/>
          <w:szCs w:val="28"/>
          <w:lang w:val="en-US" w:eastAsia="zh-CN"/>
        </w:rPr>
        <w:t>3</w:t>
      </w:r>
    </w:p>
    <w:p w14:paraId="16B42BEC">
      <w:pPr>
        <w:keepNext/>
        <w:keepLines/>
        <w:widowControl w:val="0"/>
        <w:spacing w:before="120" w:after="120" w:line="360" w:lineRule="auto"/>
        <w:ind w:left="425"/>
        <w:jc w:val="center"/>
        <w:outlineLvl w:val="9"/>
        <w:rPr>
          <w:rFonts w:hint="default" w:ascii="宋体" w:eastAsia="宋体" w:cs="宋体"/>
          <w:b/>
          <w:bCs/>
          <w:sz w:val="28"/>
          <w:szCs w:val="28"/>
          <w:lang w:val="en-US" w:eastAsia="zh-CN"/>
        </w:rPr>
      </w:pPr>
      <w:r>
        <w:rPr>
          <w:rFonts w:hint="eastAsia" w:ascii="宋体" w:eastAsia="宋体" w:cs="宋体"/>
          <w:b/>
          <w:bCs/>
          <w:sz w:val="28"/>
          <w:szCs w:val="28"/>
          <w:lang w:val="en-US" w:eastAsia="zh-CN"/>
        </w:rPr>
        <w:t>服务质量承诺及保障措施</w:t>
      </w:r>
    </w:p>
    <w:p w14:paraId="30A874D1">
      <w:pPr>
        <w:pStyle w:val="21"/>
        <w:jc w:val="center"/>
        <w:outlineLvl w:val="9"/>
        <w:rPr>
          <w:rFonts w:cs="宋体"/>
          <w:szCs w:val="21"/>
        </w:rPr>
      </w:pPr>
      <w:r>
        <w:rPr>
          <w:rFonts w:hint="eastAsia" w:cs="宋体"/>
          <w:szCs w:val="21"/>
        </w:rPr>
        <w:t>(内容自拟)</w:t>
      </w:r>
    </w:p>
    <w:p w14:paraId="7B45963C">
      <w:pPr>
        <w:spacing w:line="360" w:lineRule="auto"/>
        <w:outlineLvl w:val="9"/>
        <w:rPr>
          <w:rFonts w:hint="eastAsia" w:ascii="宋体" w:cs="宋体"/>
          <w:b/>
          <w:sz w:val="32"/>
          <w:szCs w:val="32"/>
        </w:rPr>
      </w:pPr>
    </w:p>
    <w:p w14:paraId="2717EAA0">
      <w:pPr>
        <w:widowControl/>
        <w:jc w:val="left"/>
        <w:outlineLvl w:val="9"/>
        <w:rPr>
          <w:rFonts w:hint="default" w:ascii="宋体" w:eastAsia="宋体" w:cs="宋体"/>
          <w:b/>
          <w:sz w:val="28"/>
          <w:szCs w:val="28"/>
          <w:lang w:val="en-US" w:eastAsia="zh-CN"/>
        </w:rPr>
      </w:pPr>
      <w:r>
        <w:rPr>
          <w:rFonts w:hint="eastAsia" w:ascii="宋体" w:eastAsia="宋体" w:cs="宋体"/>
          <w:b/>
          <w:sz w:val="28"/>
          <w:szCs w:val="28"/>
        </w:rPr>
        <w:t>格式</w:t>
      </w:r>
      <w:r>
        <w:rPr>
          <w:rFonts w:hint="eastAsia" w:ascii="宋体" w:eastAsia="宋体" w:cs="宋体"/>
          <w:b/>
          <w:sz w:val="28"/>
          <w:szCs w:val="28"/>
          <w:lang w:val="en-US" w:eastAsia="zh-CN"/>
        </w:rPr>
        <w:t>14</w:t>
      </w:r>
    </w:p>
    <w:p w14:paraId="2038F3B5">
      <w:pPr>
        <w:keepNext/>
        <w:keepLines/>
        <w:widowControl w:val="0"/>
        <w:spacing w:before="120" w:after="120" w:line="360" w:lineRule="auto"/>
        <w:ind w:left="425"/>
        <w:jc w:val="center"/>
        <w:outlineLvl w:val="9"/>
        <w:rPr>
          <w:rFonts w:hint="default" w:ascii="宋体" w:eastAsia="宋体" w:cs="宋体"/>
          <w:b/>
          <w:bCs/>
          <w:sz w:val="28"/>
          <w:szCs w:val="28"/>
          <w:lang w:val="en-US" w:eastAsia="zh-CN"/>
        </w:rPr>
      </w:pPr>
      <w:r>
        <w:rPr>
          <w:rFonts w:hint="eastAsia" w:ascii="宋体" w:eastAsia="宋体" w:cs="宋体"/>
          <w:b/>
          <w:bCs/>
          <w:sz w:val="28"/>
          <w:szCs w:val="28"/>
          <w:lang w:val="en-US" w:eastAsia="zh-CN"/>
        </w:rPr>
        <w:t>进度计划安排及承诺</w:t>
      </w:r>
    </w:p>
    <w:p w14:paraId="4D145E29">
      <w:pPr>
        <w:pStyle w:val="21"/>
        <w:jc w:val="center"/>
        <w:outlineLvl w:val="9"/>
        <w:rPr>
          <w:rFonts w:cs="宋体"/>
          <w:szCs w:val="21"/>
        </w:rPr>
      </w:pPr>
      <w:r>
        <w:rPr>
          <w:rFonts w:hint="eastAsia" w:cs="宋体"/>
          <w:szCs w:val="21"/>
        </w:rPr>
        <w:t>(内容自拟)</w:t>
      </w:r>
    </w:p>
    <w:p w14:paraId="04582E29">
      <w:pPr>
        <w:spacing w:line="360" w:lineRule="auto"/>
        <w:outlineLvl w:val="9"/>
        <w:rPr>
          <w:rFonts w:hint="eastAsia" w:ascii="宋体" w:cs="宋体"/>
          <w:b/>
          <w:sz w:val="32"/>
          <w:szCs w:val="32"/>
        </w:rPr>
      </w:pPr>
    </w:p>
    <w:p w14:paraId="1E88D373">
      <w:pPr>
        <w:widowControl/>
        <w:jc w:val="left"/>
        <w:outlineLvl w:val="9"/>
        <w:rPr>
          <w:rFonts w:hint="default" w:ascii="宋体" w:eastAsia="宋体" w:cs="宋体"/>
          <w:b/>
          <w:sz w:val="28"/>
          <w:szCs w:val="28"/>
          <w:lang w:val="en-US" w:eastAsia="zh-CN"/>
        </w:rPr>
      </w:pPr>
      <w:r>
        <w:rPr>
          <w:rFonts w:hint="eastAsia" w:ascii="宋体" w:eastAsia="宋体" w:cs="宋体"/>
          <w:b/>
          <w:sz w:val="28"/>
          <w:szCs w:val="28"/>
        </w:rPr>
        <w:t>格式</w:t>
      </w:r>
      <w:r>
        <w:rPr>
          <w:rFonts w:hint="eastAsia" w:ascii="宋体" w:eastAsia="宋体" w:cs="宋体"/>
          <w:b/>
          <w:sz w:val="28"/>
          <w:szCs w:val="28"/>
          <w:lang w:val="en-US" w:eastAsia="zh-CN"/>
        </w:rPr>
        <w:t>15</w:t>
      </w:r>
    </w:p>
    <w:p w14:paraId="79726016">
      <w:pPr>
        <w:keepNext/>
        <w:keepLines/>
        <w:widowControl w:val="0"/>
        <w:spacing w:before="120" w:after="120" w:line="360" w:lineRule="auto"/>
        <w:ind w:left="425"/>
        <w:jc w:val="center"/>
        <w:outlineLvl w:val="9"/>
        <w:rPr>
          <w:rFonts w:hint="default" w:ascii="宋体" w:eastAsia="宋体" w:cs="宋体"/>
          <w:b/>
          <w:bCs/>
          <w:sz w:val="28"/>
          <w:szCs w:val="28"/>
          <w:lang w:val="en-US" w:eastAsia="zh-CN"/>
        </w:rPr>
      </w:pPr>
      <w:r>
        <w:rPr>
          <w:rFonts w:hint="eastAsia" w:ascii="宋体" w:eastAsia="宋体" w:cs="宋体"/>
          <w:b/>
          <w:bCs/>
          <w:sz w:val="28"/>
          <w:szCs w:val="28"/>
          <w:lang w:val="en-US" w:eastAsia="zh-CN"/>
        </w:rPr>
        <w:t>保密措施及保密承诺</w:t>
      </w:r>
    </w:p>
    <w:p w14:paraId="3DCB9E03">
      <w:pPr>
        <w:pStyle w:val="21"/>
        <w:jc w:val="center"/>
        <w:outlineLvl w:val="9"/>
        <w:rPr>
          <w:rFonts w:cs="宋体"/>
          <w:szCs w:val="21"/>
        </w:rPr>
      </w:pPr>
      <w:r>
        <w:rPr>
          <w:rFonts w:hint="eastAsia" w:cs="宋体"/>
          <w:szCs w:val="21"/>
        </w:rPr>
        <w:t>(内容自拟)</w:t>
      </w:r>
    </w:p>
    <w:p w14:paraId="1C6625D4">
      <w:pPr>
        <w:spacing w:line="360" w:lineRule="auto"/>
        <w:outlineLvl w:val="9"/>
        <w:rPr>
          <w:rFonts w:hint="eastAsia" w:ascii="宋体" w:cs="宋体"/>
          <w:b/>
          <w:sz w:val="32"/>
          <w:szCs w:val="32"/>
        </w:rPr>
      </w:pPr>
    </w:p>
    <w:p w14:paraId="1EE493B2">
      <w:pPr>
        <w:widowControl/>
        <w:jc w:val="left"/>
        <w:outlineLvl w:val="9"/>
        <w:rPr>
          <w:rFonts w:hint="default" w:ascii="宋体" w:eastAsia="宋体" w:cs="宋体"/>
          <w:b/>
          <w:sz w:val="32"/>
          <w:szCs w:val="32"/>
          <w:lang w:val="en-US" w:eastAsia="zh-CN"/>
        </w:rPr>
      </w:pPr>
      <w:r>
        <w:rPr>
          <w:rFonts w:hint="eastAsia" w:ascii="宋体" w:cs="宋体"/>
          <w:b/>
          <w:sz w:val="32"/>
          <w:szCs w:val="32"/>
        </w:rPr>
        <w:br w:type="page"/>
      </w:r>
      <w:r>
        <w:rPr>
          <w:rFonts w:hint="eastAsia" w:ascii="宋体" w:eastAsia="宋体" w:cs="宋体"/>
          <w:b/>
          <w:sz w:val="28"/>
          <w:szCs w:val="28"/>
        </w:rPr>
        <w:t>格式</w:t>
      </w:r>
      <w:r>
        <w:rPr>
          <w:rFonts w:hint="eastAsia" w:ascii="宋体" w:eastAsia="宋体" w:cs="宋体"/>
          <w:b/>
          <w:sz w:val="28"/>
          <w:szCs w:val="28"/>
          <w:lang w:val="en-US" w:eastAsia="zh-CN"/>
        </w:rPr>
        <w:t>1</w:t>
      </w:r>
      <w:r>
        <w:rPr>
          <w:rFonts w:hint="eastAsia" w:ascii="宋体" w:cs="宋体"/>
          <w:b/>
          <w:sz w:val="28"/>
          <w:szCs w:val="28"/>
          <w:lang w:val="en-US" w:eastAsia="zh-CN"/>
        </w:rPr>
        <w:t>6</w:t>
      </w:r>
    </w:p>
    <w:bookmarkEnd w:id="244"/>
    <w:p w14:paraId="4D3FAEEA">
      <w:pPr>
        <w:keepNext/>
        <w:keepLines/>
        <w:widowControl w:val="0"/>
        <w:spacing w:before="120" w:after="120" w:line="360" w:lineRule="auto"/>
        <w:ind w:left="425"/>
        <w:jc w:val="center"/>
        <w:outlineLvl w:val="9"/>
        <w:rPr>
          <w:rFonts w:hint="eastAsia" w:ascii="宋体" w:eastAsia="宋体" w:cs="宋体"/>
          <w:b/>
          <w:bCs/>
          <w:sz w:val="28"/>
          <w:szCs w:val="28"/>
        </w:rPr>
      </w:pPr>
      <w:r>
        <w:rPr>
          <w:rFonts w:hint="eastAsia" w:ascii="宋体" w:eastAsia="宋体" w:cs="宋体"/>
          <w:b/>
          <w:bCs/>
          <w:sz w:val="28"/>
          <w:szCs w:val="28"/>
        </w:rPr>
        <w:t>项目组成员配备</w:t>
      </w:r>
    </w:p>
    <w:p w14:paraId="72AF1A75">
      <w:pPr>
        <w:keepNext/>
        <w:keepLines/>
        <w:widowControl w:val="0"/>
        <w:spacing w:before="120" w:after="120" w:line="360" w:lineRule="auto"/>
        <w:ind w:left="425"/>
        <w:jc w:val="center"/>
        <w:outlineLvl w:val="9"/>
        <w:rPr>
          <w:rFonts w:hint="eastAsia" w:ascii="宋体" w:eastAsia="宋体" w:cs="宋体"/>
          <w:b/>
          <w:bCs/>
          <w:sz w:val="28"/>
          <w:szCs w:val="28"/>
        </w:rPr>
      </w:pPr>
      <w:r>
        <w:rPr>
          <w:rFonts w:hint="eastAsia" w:ascii="宋体" w:eastAsia="宋体" w:cs="宋体"/>
          <w:b/>
          <w:bCs/>
          <w:sz w:val="28"/>
          <w:szCs w:val="28"/>
        </w:rPr>
        <w:t>（1）项目负责人简历表</w:t>
      </w:r>
    </w:p>
    <w:tbl>
      <w:tblPr>
        <w:tblStyle w:val="40"/>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680"/>
        <w:gridCol w:w="1290"/>
        <w:gridCol w:w="1718"/>
        <w:gridCol w:w="1119"/>
        <w:gridCol w:w="1411"/>
      </w:tblGrid>
      <w:tr w14:paraId="6BC9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6" w:type="dxa"/>
            <w:tcBorders>
              <w:top w:val="single" w:color="auto" w:sz="4" w:space="0"/>
              <w:left w:val="single" w:color="auto" w:sz="4" w:space="0"/>
              <w:bottom w:val="single" w:color="auto" w:sz="4" w:space="0"/>
              <w:right w:val="single" w:color="auto" w:sz="4" w:space="0"/>
            </w:tcBorders>
            <w:noWrap/>
            <w:vAlign w:val="center"/>
          </w:tcPr>
          <w:p w14:paraId="5DFF15DF">
            <w:pPr>
              <w:spacing w:line="500" w:lineRule="exact"/>
              <w:jc w:val="center"/>
              <w:outlineLvl w:val="9"/>
              <w:rPr>
                <w:rFonts w:ascii="宋体" w:cs="宋体"/>
                <w:szCs w:val="21"/>
              </w:rPr>
            </w:pPr>
            <w:r>
              <w:rPr>
                <w:rFonts w:hint="eastAsia" w:ascii="宋体" w:cs="宋体"/>
                <w:szCs w:val="21"/>
              </w:rPr>
              <w:t>姓名</w:t>
            </w:r>
          </w:p>
        </w:tc>
        <w:tc>
          <w:tcPr>
            <w:tcW w:w="1680" w:type="dxa"/>
            <w:tcBorders>
              <w:top w:val="single" w:color="auto" w:sz="4" w:space="0"/>
              <w:left w:val="single" w:color="auto" w:sz="4" w:space="0"/>
              <w:bottom w:val="single" w:color="auto" w:sz="4" w:space="0"/>
              <w:right w:val="single" w:color="auto" w:sz="4" w:space="0"/>
            </w:tcBorders>
            <w:noWrap/>
            <w:vAlign w:val="center"/>
          </w:tcPr>
          <w:p w14:paraId="70F1A9B5">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F6AAD7C">
            <w:pPr>
              <w:spacing w:line="500" w:lineRule="exact"/>
              <w:jc w:val="center"/>
              <w:outlineLvl w:val="9"/>
              <w:rPr>
                <w:rFonts w:ascii="宋体" w:cs="宋体"/>
                <w:szCs w:val="21"/>
              </w:rPr>
            </w:pPr>
            <w:r>
              <w:rPr>
                <w:rFonts w:hint="eastAsia" w:ascii="宋体" w:cs="宋体"/>
                <w:szCs w:val="21"/>
              </w:rPr>
              <w:t>性别</w:t>
            </w:r>
          </w:p>
        </w:tc>
        <w:tc>
          <w:tcPr>
            <w:tcW w:w="1718" w:type="dxa"/>
            <w:tcBorders>
              <w:top w:val="single" w:color="auto" w:sz="4" w:space="0"/>
              <w:left w:val="single" w:color="auto" w:sz="4" w:space="0"/>
              <w:bottom w:val="single" w:color="auto" w:sz="4" w:space="0"/>
              <w:right w:val="single" w:color="auto" w:sz="4" w:space="0"/>
            </w:tcBorders>
            <w:noWrap/>
            <w:vAlign w:val="center"/>
          </w:tcPr>
          <w:p w14:paraId="40E2B959">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344DB0E2">
            <w:pPr>
              <w:spacing w:line="500" w:lineRule="exact"/>
              <w:jc w:val="center"/>
              <w:outlineLvl w:val="9"/>
              <w:rPr>
                <w:rFonts w:ascii="宋体" w:cs="宋体"/>
                <w:szCs w:val="21"/>
              </w:rPr>
            </w:pPr>
            <w:r>
              <w:rPr>
                <w:rFonts w:hint="eastAsia" w:ascii="宋体" w:cs="宋体"/>
                <w:szCs w:val="21"/>
              </w:rPr>
              <w:t>年龄</w:t>
            </w:r>
          </w:p>
        </w:tc>
        <w:tc>
          <w:tcPr>
            <w:tcW w:w="1411" w:type="dxa"/>
            <w:tcBorders>
              <w:top w:val="single" w:color="auto" w:sz="4" w:space="0"/>
              <w:left w:val="single" w:color="auto" w:sz="4" w:space="0"/>
              <w:bottom w:val="single" w:color="auto" w:sz="4" w:space="0"/>
              <w:right w:val="single" w:color="auto" w:sz="4" w:space="0"/>
            </w:tcBorders>
            <w:noWrap/>
            <w:vAlign w:val="center"/>
          </w:tcPr>
          <w:p w14:paraId="47631C81">
            <w:pPr>
              <w:spacing w:line="500" w:lineRule="exact"/>
              <w:jc w:val="center"/>
              <w:outlineLvl w:val="9"/>
              <w:rPr>
                <w:rFonts w:ascii="宋体" w:cs="宋体"/>
                <w:szCs w:val="21"/>
              </w:rPr>
            </w:pPr>
          </w:p>
        </w:tc>
      </w:tr>
      <w:tr w14:paraId="694C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66" w:type="dxa"/>
            <w:tcBorders>
              <w:top w:val="single" w:color="auto" w:sz="4" w:space="0"/>
              <w:left w:val="single" w:color="auto" w:sz="4" w:space="0"/>
              <w:bottom w:val="single" w:color="auto" w:sz="4" w:space="0"/>
              <w:right w:val="single" w:color="auto" w:sz="4" w:space="0"/>
            </w:tcBorders>
            <w:noWrap/>
            <w:vAlign w:val="center"/>
          </w:tcPr>
          <w:p w14:paraId="774799D5">
            <w:pPr>
              <w:spacing w:line="500" w:lineRule="exact"/>
              <w:jc w:val="center"/>
              <w:outlineLvl w:val="9"/>
              <w:rPr>
                <w:rFonts w:ascii="宋体" w:cs="宋体"/>
                <w:szCs w:val="21"/>
              </w:rPr>
            </w:pPr>
            <w:r>
              <w:rPr>
                <w:rFonts w:hint="eastAsia" w:ascii="宋体" w:cs="宋体"/>
                <w:szCs w:val="21"/>
              </w:rPr>
              <w:t>职务</w:t>
            </w:r>
          </w:p>
        </w:tc>
        <w:tc>
          <w:tcPr>
            <w:tcW w:w="1680" w:type="dxa"/>
            <w:tcBorders>
              <w:top w:val="single" w:color="auto" w:sz="4" w:space="0"/>
              <w:left w:val="single" w:color="auto" w:sz="4" w:space="0"/>
              <w:bottom w:val="single" w:color="auto" w:sz="4" w:space="0"/>
              <w:right w:val="single" w:color="auto" w:sz="4" w:space="0"/>
            </w:tcBorders>
            <w:noWrap/>
            <w:vAlign w:val="center"/>
          </w:tcPr>
          <w:p w14:paraId="4FAB6F8F">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0BA0A87">
            <w:pPr>
              <w:spacing w:line="500" w:lineRule="exact"/>
              <w:jc w:val="center"/>
              <w:outlineLvl w:val="9"/>
              <w:rPr>
                <w:rFonts w:ascii="宋体" w:cs="宋体"/>
                <w:szCs w:val="21"/>
              </w:rPr>
            </w:pPr>
            <w:r>
              <w:rPr>
                <w:rFonts w:hint="eastAsia" w:ascii="宋体" w:cs="宋体"/>
                <w:szCs w:val="21"/>
              </w:rPr>
              <w:t>毕业院校</w:t>
            </w:r>
          </w:p>
        </w:tc>
        <w:tc>
          <w:tcPr>
            <w:tcW w:w="1718" w:type="dxa"/>
            <w:tcBorders>
              <w:top w:val="single" w:color="auto" w:sz="4" w:space="0"/>
              <w:left w:val="single" w:color="auto" w:sz="4" w:space="0"/>
              <w:bottom w:val="single" w:color="auto" w:sz="4" w:space="0"/>
              <w:right w:val="single" w:color="auto" w:sz="4" w:space="0"/>
            </w:tcBorders>
            <w:noWrap/>
            <w:vAlign w:val="center"/>
          </w:tcPr>
          <w:p w14:paraId="7BD92D7C">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72B9F940">
            <w:pPr>
              <w:spacing w:line="500" w:lineRule="exact"/>
              <w:jc w:val="center"/>
              <w:outlineLvl w:val="9"/>
              <w:rPr>
                <w:rFonts w:ascii="宋体" w:cs="宋体"/>
                <w:szCs w:val="21"/>
              </w:rPr>
            </w:pPr>
            <w:r>
              <w:rPr>
                <w:rFonts w:hint="eastAsia" w:ascii="宋体" w:cs="宋体"/>
                <w:szCs w:val="21"/>
              </w:rPr>
              <w:t>学历</w:t>
            </w:r>
          </w:p>
        </w:tc>
        <w:tc>
          <w:tcPr>
            <w:tcW w:w="1411" w:type="dxa"/>
            <w:tcBorders>
              <w:top w:val="single" w:color="auto" w:sz="4" w:space="0"/>
              <w:left w:val="single" w:color="auto" w:sz="4" w:space="0"/>
              <w:bottom w:val="single" w:color="auto" w:sz="4" w:space="0"/>
              <w:right w:val="single" w:color="auto" w:sz="4" w:space="0"/>
            </w:tcBorders>
            <w:noWrap/>
            <w:vAlign w:val="center"/>
          </w:tcPr>
          <w:p w14:paraId="47703130">
            <w:pPr>
              <w:spacing w:line="500" w:lineRule="exact"/>
              <w:jc w:val="center"/>
              <w:outlineLvl w:val="9"/>
              <w:rPr>
                <w:rFonts w:ascii="宋体" w:cs="宋体"/>
                <w:szCs w:val="21"/>
              </w:rPr>
            </w:pPr>
          </w:p>
        </w:tc>
      </w:tr>
      <w:tr w14:paraId="7BB5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6" w:type="dxa"/>
            <w:tcBorders>
              <w:top w:val="single" w:color="auto" w:sz="4" w:space="0"/>
              <w:left w:val="single" w:color="auto" w:sz="4" w:space="0"/>
              <w:bottom w:val="single" w:color="auto" w:sz="4" w:space="0"/>
              <w:right w:val="single" w:color="auto" w:sz="4" w:space="0"/>
            </w:tcBorders>
            <w:noWrap/>
            <w:vAlign w:val="center"/>
          </w:tcPr>
          <w:p w14:paraId="0CD05108">
            <w:pPr>
              <w:spacing w:line="500" w:lineRule="exact"/>
              <w:jc w:val="center"/>
              <w:outlineLvl w:val="9"/>
              <w:rPr>
                <w:rFonts w:ascii="宋体" w:cs="宋体"/>
                <w:szCs w:val="21"/>
              </w:rPr>
            </w:pPr>
            <w:r>
              <w:rPr>
                <w:rFonts w:hint="eastAsia" w:ascii="宋体" w:cs="宋体"/>
                <w:szCs w:val="21"/>
              </w:rPr>
              <w:t>专业</w:t>
            </w:r>
          </w:p>
        </w:tc>
        <w:tc>
          <w:tcPr>
            <w:tcW w:w="2970" w:type="dxa"/>
            <w:gridSpan w:val="2"/>
            <w:tcBorders>
              <w:top w:val="single" w:color="auto" w:sz="4" w:space="0"/>
              <w:left w:val="single" w:color="auto" w:sz="4" w:space="0"/>
              <w:bottom w:val="single" w:color="auto" w:sz="4" w:space="0"/>
              <w:right w:val="single" w:color="auto" w:sz="4" w:space="0"/>
            </w:tcBorders>
            <w:noWrap/>
            <w:vAlign w:val="center"/>
          </w:tcPr>
          <w:p w14:paraId="1039EDB0">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270A1B57">
            <w:pPr>
              <w:spacing w:line="500" w:lineRule="exact"/>
              <w:jc w:val="center"/>
              <w:outlineLvl w:val="9"/>
              <w:rPr>
                <w:rFonts w:ascii="宋体" w:cs="宋体"/>
                <w:szCs w:val="21"/>
              </w:rPr>
            </w:pPr>
            <w:r>
              <w:rPr>
                <w:rFonts w:hint="eastAsia" w:ascii="宋体" w:cs="宋体"/>
                <w:szCs w:val="21"/>
              </w:rPr>
              <w:t>已获得的相关技术资格证书</w:t>
            </w:r>
          </w:p>
        </w:tc>
        <w:tc>
          <w:tcPr>
            <w:tcW w:w="2530" w:type="dxa"/>
            <w:gridSpan w:val="2"/>
            <w:tcBorders>
              <w:top w:val="single" w:color="auto" w:sz="4" w:space="0"/>
              <w:left w:val="single" w:color="auto" w:sz="4" w:space="0"/>
              <w:bottom w:val="single" w:color="auto" w:sz="4" w:space="0"/>
              <w:right w:val="single" w:color="auto" w:sz="4" w:space="0"/>
            </w:tcBorders>
            <w:noWrap/>
            <w:vAlign w:val="center"/>
          </w:tcPr>
          <w:p w14:paraId="4AF95455">
            <w:pPr>
              <w:spacing w:line="500" w:lineRule="exact"/>
              <w:jc w:val="center"/>
              <w:outlineLvl w:val="9"/>
              <w:rPr>
                <w:rFonts w:ascii="宋体" w:cs="宋体"/>
                <w:szCs w:val="21"/>
              </w:rPr>
            </w:pPr>
          </w:p>
        </w:tc>
      </w:tr>
      <w:tr w14:paraId="378A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6" w:type="dxa"/>
            <w:tcBorders>
              <w:top w:val="single" w:color="auto" w:sz="4" w:space="0"/>
              <w:left w:val="single" w:color="auto" w:sz="4" w:space="0"/>
              <w:bottom w:val="single" w:color="auto" w:sz="4" w:space="0"/>
              <w:right w:val="single" w:color="auto" w:sz="4" w:space="0"/>
            </w:tcBorders>
            <w:noWrap/>
            <w:vAlign w:val="center"/>
          </w:tcPr>
          <w:p w14:paraId="4CE06326">
            <w:pPr>
              <w:spacing w:line="500" w:lineRule="exact"/>
              <w:jc w:val="center"/>
              <w:outlineLvl w:val="9"/>
              <w:rPr>
                <w:rFonts w:ascii="宋体" w:cs="宋体"/>
                <w:szCs w:val="21"/>
              </w:rPr>
            </w:pPr>
            <w:r>
              <w:rPr>
                <w:rFonts w:hint="eastAsia" w:ascii="宋体" w:cs="宋体"/>
                <w:szCs w:val="21"/>
              </w:rPr>
              <w:t>工作年限</w:t>
            </w:r>
          </w:p>
        </w:tc>
        <w:tc>
          <w:tcPr>
            <w:tcW w:w="7218" w:type="dxa"/>
            <w:gridSpan w:val="5"/>
            <w:tcBorders>
              <w:top w:val="single" w:color="auto" w:sz="4" w:space="0"/>
              <w:left w:val="single" w:color="auto" w:sz="4" w:space="0"/>
              <w:bottom w:val="single" w:color="auto" w:sz="4" w:space="0"/>
              <w:right w:val="single" w:color="auto" w:sz="4" w:space="0"/>
            </w:tcBorders>
            <w:noWrap/>
            <w:vAlign w:val="center"/>
          </w:tcPr>
          <w:p w14:paraId="1753D388">
            <w:pPr>
              <w:spacing w:line="500" w:lineRule="exact"/>
              <w:jc w:val="center"/>
              <w:outlineLvl w:val="9"/>
              <w:rPr>
                <w:rFonts w:ascii="宋体" w:cs="宋体"/>
                <w:szCs w:val="21"/>
              </w:rPr>
            </w:pPr>
          </w:p>
        </w:tc>
      </w:tr>
      <w:tr w14:paraId="2F70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84" w:type="dxa"/>
            <w:gridSpan w:val="6"/>
            <w:tcBorders>
              <w:top w:val="single" w:color="auto" w:sz="4" w:space="0"/>
              <w:left w:val="single" w:color="auto" w:sz="4" w:space="0"/>
              <w:bottom w:val="single" w:color="auto" w:sz="4" w:space="0"/>
              <w:right w:val="single" w:color="auto" w:sz="4" w:space="0"/>
            </w:tcBorders>
            <w:noWrap/>
            <w:vAlign w:val="center"/>
          </w:tcPr>
          <w:p w14:paraId="382E3969">
            <w:pPr>
              <w:spacing w:line="500" w:lineRule="exact"/>
              <w:jc w:val="center"/>
              <w:outlineLvl w:val="9"/>
              <w:rPr>
                <w:rFonts w:ascii="宋体" w:cs="宋体"/>
                <w:szCs w:val="21"/>
              </w:rPr>
            </w:pPr>
            <w:r>
              <w:rPr>
                <w:rFonts w:hint="eastAsia" w:ascii="宋体" w:cs="宋体"/>
                <w:kern w:val="0"/>
                <w:szCs w:val="21"/>
                <w:lang w:val="zh-CN"/>
              </w:rPr>
              <w:t>已</w:t>
            </w:r>
            <w:r>
              <w:rPr>
                <w:rFonts w:hint="eastAsia" w:ascii="宋体" w:cs="宋体"/>
                <w:szCs w:val="21"/>
              </w:rPr>
              <w:t>完成的类似项目业绩情况</w:t>
            </w:r>
          </w:p>
        </w:tc>
      </w:tr>
      <w:tr w14:paraId="5D00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540453C3">
            <w:pPr>
              <w:spacing w:line="500" w:lineRule="exact"/>
              <w:jc w:val="center"/>
              <w:outlineLvl w:val="9"/>
              <w:rPr>
                <w:rFonts w:ascii="宋体" w:cs="宋体"/>
                <w:szCs w:val="21"/>
              </w:rPr>
            </w:pPr>
            <w:r>
              <w:rPr>
                <w:rFonts w:hint="eastAsia" w:ascii="宋体" w:cs="宋体"/>
                <w:szCs w:val="21"/>
              </w:rPr>
              <w:t>项目名称</w:t>
            </w:r>
          </w:p>
        </w:tc>
        <w:tc>
          <w:tcPr>
            <w:tcW w:w="1290" w:type="dxa"/>
            <w:tcBorders>
              <w:top w:val="single" w:color="auto" w:sz="4" w:space="0"/>
              <w:left w:val="single" w:color="auto" w:sz="4" w:space="0"/>
              <w:bottom w:val="single" w:color="auto" w:sz="4" w:space="0"/>
              <w:right w:val="single" w:color="auto" w:sz="4" w:space="0"/>
            </w:tcBorders>
            <w:noWrap/>
            <w:vAlign w:val="center"/>
          </w:tcPr>
          <w:p w14:paraId="7F20E8CA">
            <w:pPr>
              <w:spacing w:line="500" w:lineRule="exact"/>
              <w:jc w:val="center"/>
              <w:outlineLvl w:val="9"/>
              <w:rPr>
                <w:rFonts w:ascii="宋体" w:cs="宋体"/>
                <w:szCs w:val="21"/>
              </w:rPr>
            </w:pPr>
            <w:r>
              <w:rPr>
                <w:rFonts w:hint="eastAsia" w:ascii="宋体" w:cs="宋体"/>
                <w:szCs w:val="21"/>
              </w:rPr>
              <w:t>委托方</w:t>
            </w:r>
          </w:p>
        </w:tc>
        <w:tc>
          <w:tcPr>
            <w:tcW w:w="1718" w:type="dxa"/>
            <w:tcBorders>
              <w:top w:val="single" w:color="auto" w:sz="4" w:space="0"/>
              <w:left w:val="single" w:color="auto" w:sz="4" w:space="0"/>
              <w:bottom w:val="single" w:color="auto" w:sz="4" w:space="0"/>
              <w:right w:val="single" w:color="auto" w:sz="4" w:space="0"/>
            </w:tcBorders>
            <w:noWrap/>
            <w:vAlign w:val="center"/>
          </w:tcPr>
          <w:p w14:paraId="4847C202">
            <w:pPr>
              <w:spacing w:line="500" w:lineRule="exact"/>
              <w:jc w:val="center"/>
              <w:outlineLvl w:val="9"/>
              <w:rPr>
                <w:rFonts w:ascii="宋体" w:cs="宋体"/>
                <w:szCs w:val="21"/>
              </w:rPr>
            </w:pPr>
            <w:r>
              <w:rPr>
                <w:rFonts w:hint="eastAsia" w:ascii="宋体" w:cs="宋体"/>
                <w:szCs w:val="21"/>
              </w:rPr>
              <w:t>服务时间</w:t>
            </w:r>
          </w:p>
        </w:tc>
        <w:tc>
          <w:tcPr>
            <w:tcW w:w="1119" w:type="dxa"/>
            <w:tcBorders>
              <w:top w:val="single" w:color="auto" w:sz="4" w:space="0"/>
              <w:left w:val="single" w:color="auto" w:sz="4" w:space="0"/>
              <w:bottom w:val="single" w:color="auto" w:sz="4" w:space="0"/>
              <w:right w:val="single" w:color="auto" w:sz="4" w:space="0"/>
            </w:tcBorders>
            <w:noWrap/>
            <w:vAlign w:val="center"/>
          </w:tcPr>
          <w:p w14:paraId="3A71DD84">
            <w:pPr>
              <w:spacing w:line="500" w:lineRule="exact"/>
              <w:jc w:val="center"/>
              <w:outlineLvl w:val="9"/>
              <w:rPr>
                <w:rFonts w:ascii="宋体" w:cs="宋体"/>
                <w:szCs w:val="21"/>
              </w:rPr>
            </w:pPr>
            <w:r>
              <w:rPr>
                <w:rFonts w:hint="eastAsia" w:ascii="宋体" w:cs="宋体"/>
                <w:szCs w:val="21"/>
              </w:rPr>
              <w:t>担任职务</w:t>
            </w:r>
          </w:p>
        </w:tc>
        <w:tc>
          <w:tcPr>
            <w:tcW w:w="1411" w:type="dxa"/>
            <w:tcBorders>
              <w:top w:val="single" w:color="auto" w:sz="4" w:space="0"/>
              <w:left w:val="single" w:color="auto" w:sz="4" w:space="0"/>
              <w:bottom w:val="single" w:color="auto" w:sz="4" w:space="0"/>
              <w:right w:val="single" w:color="auto" w:sz="4" w:space="0"/>
            </w:tcBorders>
            <w:noWrap/>
            <w:vAlign w:val="center"/>
          </w:tcPr>
          <w:p w14:paraId="21AA7746">
            <w:pPr>
              <w:spacing w:line="500" w:lineRule="exact"/>
              <w:jc w:val="center"/>
              <w:outlineLvl w:val="9"/>
              <w:rPr>
                <w:rFonts w:ascii="宋体" w:cs="宋体"/>
                <w:szCs w:val="21"/>
              </w:rPr>
            </w:pPr>
            <w:r>
              <w:rPr>
                <w:rFonts w:hint="eastAsia" w:ascii="宋体" w:cs="宋体"/>
                <w:szCs w:val="21"/>
              </w:rPr>
              <w:t>合同金额</w:t>
            </w:r>
          </w:p>
        </w:tc>
      </w:tr>
      <w:tr w14:paraId="7C8B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76038BA7">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222A58C">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4EA238C9">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3A765809">
            <w:pPr>
              <w:spacing w:line="500" w:lineRule="exact"/>
              <w:jc w:val="center"/>
              <w:outlineLvl w:val="9"/>
              <w:rPr>
                <w:rFonts w:ascii="宋体" w:cs="宋体"/>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3F4AA6E5">
            <w:pPr>
              <w:spacing w:line="500" w:lineRule="exact"/>
              <w:jc w:val="center"/>
              <w:outlineLvl w:val="9"/>
              <w:rPr>
                <w:rFonts w:ascii="宋体" w:cs="宋体"/>
                <w:szCs w:val="21"/>
              </w:rPr>
            </w:pPr>
          </w:p>
        </w:tc>
      </w:tr>
      <w:tr w14:paraId="5748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76FE11D9">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3BD50A">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6F47292F">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13D44961">
            <w:pPr>
              <w:spacing w:line="500" w:lineRule="exact"/>
              <w:jc w:val="center"/>
              <w:outlineLvl w:val="9"/>
              <w:rPr>
                <w:rFonts w:ascii="宋体" w:cs="宋体"/>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5EBA538E">
            <w:pPr>
              <w:spacing w:line="500" w:lineRule="exact"/>
              <w:jc w:val="center"/>
              <w:outlineLvl w:val="9"/>
              <w:rPr>
                <w:rFonts w:ascii="宋体" w:cs="宋体"/>
                <w:szCs w:val="21"/>
              </w:rPr>
            </w:pPr>
          </w:p>
        </w:tc>
      </w:tr>
      <w:tr w14:paraId="2982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6" w:type="dxa"/>
            <w:gridSpan w:val="2"/>
            <w:tcBorders>
              <w:top w:val="single" w:color="auto" w:sz="4" w:space="0"/>
              <w:left w:val="single" w:color="auto" w:sz="4" w:space="0"/>
              <w:bottom w:val="single" w:color="auto" w:sz="4" w:space="0"/>
              <w:right w:val="single" w:color="auto" w:sz="4" w:space="0"/>
            </w:tcBorders>
            <w:noWrap/>
            <w:vAlign w:val="center"/>
          </w:tcPr>
          <w:p w14:paraId="5CAE9806">
            <w:pPr>
              <w:spacing w:line="500" w:lineRule="exact"/>
              <w:jc w:val="center"/>
              <w:outlineLvl w:val="9"/>
              <w:rPr>
                <w:rFonts w:ascii="宋体" w:cs="宋体"/>
                <w:szCs w:val="21"/>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2DE42EE">
            <w:pPr>
              <w:spacing w:line="500" w:lineRule="exact"/>
              <w:jc w:val="center"/>
              <w:outlineLvl w:val="9"/>
              <w:rPr>
                <w:rFonts w:ascii="宋体" w:cs="宋体"/>
                <w:szCs w:val="21"/>
              </w:rPr>
            </w:pPr>
          </w:p>
        </w:tc>
        <w:tc>
          <w:tcPr>
            <w:tcW w:w="1718" w:type="dxa"/>
            <w:tcBorders>
              <w:top w:val="single" w:color="auto" w:sz="4" w:space="0"/>
              <w:left w:val="single" w:color="auto" w:sz="4" w:space="0"/>
              <w:bottom w:val="single" w:color="auto" w:sz="4" w:space="0"/>
              <w:right w:val="single" w:color="auto" w:sz="4" w:space="0"/>
            </w:tcBorders>
            <w:noWrap/>
            <w:vAlign w:val="center"/>
          </w:tcPr>
          <w:p w14:paraId="7274E85F">
            <w:pPr>
              <w:spacing w:line="500" w:lineRule="exact"/>
              <w:jc w:val="center"/>
              <w:outlineLvl w:val="9"/>
              <w:rPr>
                <w:rFonts w:ascii="宋体" w:cs="宋体"/>
                <w:szCs w:val="21"/>
              </w:rPr>
            </w:pPr>
          </w:p>
        </w:tc>
        <w:tc>
          <w:tcPr>
            <w:tcW w:w="1119" w:type="dxa"/>
            <w:tcBorders>
              <w:top w:val="single" w:color="auto" w:sz="4" w:space="0"/>
              <w:left w:val="single" w:color="auto" w:sz="4" w:space="0"/>
              <w:bottom w:val="single" w:color="auto" w:sz="4" w:space="0"/>
              <w:right w:val="single" w:color="auto" w:sz="4" w:space="0"/>
            </w:tcBorders>
            <w:noWrap/>
            <w:vAlign w:val="center"/>
          </w:tcPr>
          <w:p w14:paraId="39DA1EE1">
            <w:pPr>
              <w:spacing w:line="500" w:lineRule="exact"/>
              <w:jc w:val="center"/>
              <w:outlineLvl w:val="9"/>
              <w:rPr>
                <w:rFonts w:ascii="宋体" w:cs="宋体"/>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41AD493F">
            <w:pPr>
              <w:spacing w:line="500" w:lineRule="exact"/>
              <w:jc w:val="center"/>
              <w:outlineLvl w:val="9"/>
              <w:rPr>
                <w:rFonts w:ascii="宋体" w:cs="宋体"/>
                <w:szCs w:val="21"/>
              </w:rPr>
            </w:pPr>
          </w:p>
        </w:tc>
      </w:tr>
    </w:tbl>
    <w:p w14:paraId="628102DF">
      <w:pPr>
        <w:spacing w:line="360" w:lineRule="auto"/>
        <w:outlineLvl w:val="9"/>
        <w:rPr>
          <w:rFonts w:ascii="宋体" w:cs="宋体"/>
          <w:bCs/>
          <w:szCs w:val="21"/>
        </w:rPr>
      </w:pPr>
      <w:r>
        <w:rPr>
          <w:rFonts w:hint="eastAsia" w:ascii="宋体" w:cs="宋体"/>
          <w:bCs/>
          <w:szCs w:val="21"/>
        </w:rPr>
        <w:t>注：</w:t>
      </w:r>
    </w:p>
    <w:p w14:paraId="5CEA4A84">
      <w:pPr>
        <w:spacing w:line="360" w:lineRule="auto"/>
        <w:outlineLvl w:val="9"/>
        <w:rPr>
          <w:rFonts w:ascii="宋体" w:cs="宋体"/>
          <w:bCs/>
          <w:color w:val="000000"/>
          <w:szCs w:val="21"/>
          <w:highlight w:val="yellow"/>
        </w:rPr>
      </w:pPr>
      <w:r>
        <w:rPr>
          <w:rFonts w:hint="eastAsia" w:ascii="宋体" w:cs="宋体"/>
          <w:bCs/>
          <w:color w:val="000000"/>
          <w:szCs w:val="21"/>
        </w:rPr>
        <w:t>1.响应文件中须提供《项目负责人简历表》及相对应的人员证明材料，证明材料为身份证、职称证书或资格证（如有）、社保缴纳证明（提供缴费所属时间为本项目响应文件提交截止时间前半年内任意1个月的社会保险费缴款书或银行电子缴税（费）凭证或社保管理部门出具的有效的缴款证明，社保缴纳证明中缴费单位须为供应商本单位）、业绩证明材料为供应商与甲方签订的合同或甲方出具的加盖公章的其他委托证明，证明材料上需体现对应人员姓名（如合同无法体现项目负责人名字的应提供相关证明文件或声明函）。无证明材料或未按要求提供证明材料或证明材料无法体现相应内容的，不予认可。</w:t>
      </w:r>
    </w:p>
    <w:p w14:paraId="0021CC4F">
      <w:pPr>
        <w:spacing w:line="360" w:lineRule="auto"/>
        <w:outlineLvl w:val="9"/>
        <w:rPr>
          <w:rFonts w:ascii="宋体" w:cs="宋体"/>
          <w:szCs w:val="21"/>
        </w:rPr>
      </w:pPr>
      <w:r>
        <w:rPr>
          <w:rFonts w:hint="eastAsia" w:ascii="宋体" w:cs="宋体"/>
          <w:bCs/>
          <w:color w:val="000000"/>
          <w:szCs w:val="21"/>
        </w:rPr>
        <w:t>2.供应商可根据实际情况拓展本表，但不</w:t>
      </w:r>
      <w:r>
        <w:rPr>
          <w:rFonts w:hint="eastAsia" w:ascii="宋体" w:cs="宋体"/>
          <w:bCs/>
          <w:szCs w:val="21"/>
        </w:rPr>
        <w:t>得改变格式。</w:t>
      </w:r>
    </w:p>
    <w:p w14:paraId="71BB324A">
      <w:pPr>
        <w:rPr>
          <w:rFonts w:hint="eastAsia" w:ascii="宋体" w:eastAsia="宋体" w:cs="宋体"/>
          <w:b/>
          <w:bCs/>
          <w:sz w:val="32"/>
          <w:szCs w:val="36"/>
        </w:rPr>
      </w:pPr>
      <w:bookmarkStart w:id="245" w:name="_Toc14391"/>
      <w:r>
        <w:rPr>
          <w:rFonts w:hint="eastAsia" w:ascii="宋体" w:eastAsia="宋体" w:cs="宋体"/>
          <w:b/>
          <w:bCs/>
          <w:sz w:val="32"/>
          <w:szCs w:val="36"/>
        </w:rPr>
        <w:br w:type="page"/>
      </w:r>
    </w:p>
    <w:p w14:paraId="3C18644C">
      <w:pPr>
        <w:keepNext/>
        <w:keepLines/>
        <w:widowControl w:val="0"/>
        <w:spacing w:before="120" w:after="120" w:line="360" w:lineRule="auto"/>
        <w:ind w:left="425"/>
        <w:jc w:val="center"/>
        <w:outlineLvl w:val="9"/>
        <w:rPr>
          <w:rFonts w:hint="eastAsia" w:ascii="宋体" w:eastAsia="宋体" w:cs="宋体"/>
          <w:b/>
          <w:bCs/>
          <w:sz w:val="28"/>
          <w:szCs w:val="28"/>
        </w:rPr>
      </w:pPr>
      <w:r>
        <w:rPr>
          <w:rFonts w:hint="eastAsia" w:ascii="宋体" w:eastAsia="宋体" w:cs="宋体"/>
          <w:b/>
          <w:bCs/>
          <w:sz w:val="28"/>
          <w:szCs w:val="28"/>
        </w:rPr>
        <w:t>（2）</w:t>
      </w:r>
      <w:bookmarkEnd w:id="245"/>
      <w:bookmarkStart w:id="246" w:name="_Toc13066"/>
      <w:r>
        <w:rPr>
          <w:rFonts w:hint="eastAsia" w:ascii="宋体" w:eastAsia="宋体" w:cs="宋体"/>
          <w:b/>
          <w:bCs/>
          <w:sz w:val="28"/>
          <w:szCs w:val="28"/>
        </w:rPr>
        <w:t>项目团队人员组成表</w:t>
      </w:r>
    </w:p>
    <w:tbl>
      <w:tblPr>
        <w:tblStyle w:val="40"/>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101"/>
        <w:gridCol w:w="746"/>
        <w:gridCol w:w="904"/>
        <w:gridCol w:w="832"/>
        <w:gridCol w:w="879"/>
        <w:gridCol w:w="1470"/>
        <w:gridCol w:w="1589"/>
        <w:gridCol w:w="981"/>
      </w:tblGrid>
      <w:tr w14:paraId="4A48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176D4567">
            <w:pPr>
              <w:spacing w:line="360" w:lineRule="exact"/>
              <w:jc w:val="center"/>
              <w:outlineLvl w:val="9"/>
              <w:rPr>
                <w:rFonts w:ascii="宋体" w:cs="宋体"/>
                <w:color w:val="000000"/>
                <w:szCs w:val="21"/>
              </w:rPr>
            </w:pPr>
            <w:r>
              <w:rPr>
                <w:rFonts w:hint="eastAsia" w:ascii="宋体" w:cs="宋体"/>
                <w:color w:val="000000"/>
                <w:szCs w:val="21"/>
              </w:rPr>
              <w:t>序号</w:t>
            </w:r>
          </w:p>
        </w:tc>
        <w:tc>
          <w:tcPr>
            <w:tcW w:w="1101" w:type="dxa"/>
            <w:tcBorders>
              <w:top w:val="single" w:color="auto" w:sz="4" w:space="0"/>
              <w:left w:val="single" w:color="auto" w:sz="4" w:space="0"/>
              <w:bottom w:val="single" w:color="auto" w:sz="4" w:space="0"/>
              <w:right w:val="single" w:color="auto" w:sz="4" w:space="0"/>
            </w:tcBorders>
            <w:noWrap/>
            <w:vAlign w:val="center"/>
          </w:tcPr>
          <w:p w14:paraId="4145C30E">
            <w:pPr>
              <w:spacing w:line="360" w:lineRule="exact"/>
              <w:jc w:val="center"/>
              <w:outlineLvl w:val="9"/>
              <w:rPr>
                <w:rFonts w:ascii="宋体" w:cs="宋体"/>
                <w:color w:val="000000"/>
                <w:szCs w:val="21"/>
              </w:rPr>
            </w:pPr>
            <w:r>
              <w:rPr>
                <w:rFonts w:hint="eastAsia" w:ascii="宋体" w:cs="宋体"/>
                <w:color w:val="000000"/>
                <w:szCs w:val="21"/>
              </w:rPr>
              <w:t>姓名</w:t>
            </w:r>
          </w:p>
        </w:tc>
        <w:tc>
          <w:tcPr>
            <w:tcW w:w="746" w:type="dxa"/>
            <w:tcBorders>
              <w:top w:val="single" w:color="auto" w:sz="4" w:space="0"/>
              <w:left w:val="single" w:color="auto" w:sz="4" w:space="0"/>
              <w:bottom w:val="single" w:color="auto" w:sz="4" w:space="0"/>
              <w:right w:val="single" w:color="auto" w:sz="4" w:space="0"/>
            </w:tcBorders>
            <w:noWrap/>
            <w:vAlign w:val="center"/>
          </w:tcPr>
          <w:p w14:paraId="74CD97CC">
            <w:pPr>
              <w:spacing w:line="360" w:lineRule="exact"/>
              <w:jc w:val="center"/>
              <w:outlineLvl w:val="9"/>
              <w:rPr>
                <w:rFonts w:ascii="宋体" w:cs="宋体"/>
                <w:color w:val="000000"/>
                <w:szCs w:val="21"/>
              </w:rPr>
            </w:pPr>
            <w:r>
              <w:rPr>
                <w:rFonts w:hint="eastAsia" w:ascii="宋体" w:cs="宋体"/>
                <w:color w:val="000000"/>
                <w:szCs w:val="21"/>
              </w:rPr>
              <w:t>性别</w:t>
            </w:r>
          </w:p>
        </w:tc>
        <w:tc>
          <w:tcPr>
            <w:tcW w:w="904" w:type="dxa"/>
            <w:tcBorders>
              <w:top w:val="single" w:color="auto" w:sz="4" w:space="0"/>
              <w:left w:val="single" w:color="auto" w:sz="4" w:space="0"/>
              <w:bottom w:val="single" w:color="auto" w:sz="4" w:space="0"/>
              <w:right w:val="single" w:color="auto" w:sz="4" w:space="0"/>
            </w:tcBorders>
            <w:noWrap/>
            <w:vAlign w:val="center"/>
          </w:tcPr>
          <w:p w14:paraId="1CC0BD55">
            <w:pPr>
              <w:spacing w:line="360" w:lineRule="exact"/>
              <w:jc w:val="center"/>
              <w:outlineLvl w:val="9"/>
              <w:rPr>
                <w:rFonts w:ascii="宋体" w:cs="宋体"/>
                <w:color w:val="000000"/>
                <w:szCs w:val="21"/>
              </w:rPr>
            </w:pPr>
            <w:r>
              <w:rPr>
                <w:rFonts w:hint="eastAsia" w:ascii="宋体" w:cs="宋体"/>
                <w:color w:val="000000"/>
                <w:szCs w:val="21"/>
              </w:rPr>
              <w:t>学历</w:t>
            </w:r>
          </w:p>
        </w:tc>
        <w:tc>
          <w:tcPr>
            <w:tcW w:w="832" w:type="dxa"/>
            <w:tcBorders>
              <w:top w:val="single" w:color="auto" w:sz="4" w:space="0"/>
              <w:left w:val="single" w:color="auto" w:sz="4" w:space="0"/>
              <w:bottom w:val="single" w:color="auto" w:sz="4" w:space="0"/>
              <w:right w:val="single" w:color="auto" w:sz="4" w:space="0"/>
            </w:tcBorders>
            <w:noWrap/>
            <w:vAlign w:val="center"/>
          </w:tcPr>
          <w:p w14:paraId="58BA73B3">
            <w:pPr>
              <w:spacing w:line="360" w:lineRule="exact"/>
              <w:jc w:val="center"/>
              <w:outlineLvl w:val="9"/>
              <w:rPr>
                <w:rFonts w:ascii="宋体" w:cs="宋体"/>
                <w:color w:val="000000"/>
                <w:szCs w:val="21"/>
              </w:rPr>
            </w:pPr>
            <w:r>
              <w:rPr>
                <w:rFonts w:hint="eastAsia" w:ascii="宋体" w:cs="宋体"/>
                <w:color w:val="000000"/>
                <w:szCs w:val="21"/>
              </w:rPr>
              <w:t>专业</w:t>
            </w:r>
          </w:p>
        </w:tc>
        <w:tc>
          <w:tcPr>
            <w:tcW w:w="879" w:type="dxa"/>
            <w:tcBorders>
              <w:top w:val="single" w:color="auto" w:sz="4" w:space="0"/>
              <w:left w:val="single" w:color="auto" w:sz="4" w:space="0"/>
              <w:bottom w:val="single" w:color="auto" w:sz="4" w:space="0"/>
              <w:right w:val="single" w:color="auto" w:sz="4" w:space="0"/>
            </w:tcBorders>
            <w:noWrap/>
            <w:vAlign w:val="center"/>
          </w:tcPr>
          <w:p w14:paraId="5A7C8F81">
            <w:pPr>
              <w:spacing w:line="360" w:lineRule="exact"/>
              <w:jc w:val="center"/>
              <w:outlineLvl w:val="9"/>
              <w:rPr>
                <w:rFonts w:ascii="宋体" w:cs="宋体"/>
                <w:color w:val="000000"/>
                <w:szCs w:val="21"/>
              </w:rPr>
            </w:pPr>
            <w:r>
              <w:rPr>
                <w:rFonts w:hint="eastAsia" w:ascii="宋体" w:cs="宋体"/>
                <w:color w:val="000000"/>
                <w:szCs w:val="21"/>
              </w:rPr>
              <w:t>年龄</w:t>
            </w:r>
          </w:p>
        </w:tc>
        <w:tc>
          <w:tcPr>
            <w:tcW w:w="1470" w:type="dxa"/>
            <w:tcBorders>
              <w:top w:val="single" w:color="auto" w:sz="4" w:space="0"/>
              <w:left w:val="single" w:color="auto" w:sz="4" w:space="0"/>
              <w:bottom w:val="single" w:color="auto" w:sz="4" w:space="0"/>
              <w:right w:val="single" w:color="auto" w:sz="4" w:space="0"/>
            </w:tcBorders>
            <w:noWrap/>
            <w:vAlign w:val="center"/>
          </w:tcPr>
          <w:p w14:paraId="7C8D44B4">
            <w:pPr>
              <w:spacing w:line="360" w:lineRule="exact"/>
              <w:jc w:val="center"/>
              <w:outlineLvl w:val="9"/>
              <w:rPr>
                <w:rFonts w:hint="default" w:ascii="宋体" w:eastAsia="宋体" w:cs="宋体"/>
                <w:color w:val="000000"/>
                <w:szCs w:val="21"/>
                <w:lang w:val="en-US" w:eastAsia="zh-CN"/>
              </w:rPr>
            </w:pPr>
            <w:r>
              <w:rPr>
                <w:rFonts w:hint="eastAsia" w:ascii="宋体" w:cs="宋体"/>
                <w:color w:val="000000"/>
                <w:szCs w:val="21"/>
                <w:lang w:val="en-US" w:eastAsia="zh-CN"/>
              </w:rPr>
              <w:t>资质证书</w:t>
            </w:r>
          </w:p>
        </w:tc>
        <w:tc>
          <w:tcPr>
            <w:tcW w:w="1589" w:type="dxa"/>
            <w:tcBorders>
              <w:top w:val="single" w:color="auto" w:sz="4" w:space="0"/>
              <w:left w:val="single" w:color="auto" w:sz="4" w:space="0"/>
              <w:bottom w:val="single" w:color="auto" w:sz="4" w:space="0"/>
              <w:right w:val="single" w:color="auto" w:sz="4" w:space="0"/>
            </w:tcBorders>
            <w:noWrap/>
            <w:vAlign w:val="center"/>
          </w:tcPr>
          <w:p w14:paraId="693CC615">
            <w:pPr>
              <w:spacing w:line="360" w:lineRule="exact"/>
              <w:jc w:val="center"/>
              <w:outlineLvl w:val="9"/>
              <w:rPr>
                <w:rFonts w:ascii="宋体" w:cs="宋体"/>
                <w:color w:val="000000"/>
                <w:szCs w:val="21"/>
              </w:rPr>
            </w:pPr>
            <w:r>
              <w:rPr>
                <w:rFonts w:hint="eastAsia" w:ascii="宋体" w:cs="宋体"/>
                <w:color w:val="000000"/>
                <w:szCs w:val="21"/>
              </w:rPr>
              <w:t>在本项目拟任职务</w:t>
            </w:r>
          </w:p>
        </w:tc>
        <w:tc>
          <w:tcPr>
            <w:tcW w:w="981" w:type="dxa"/>
            <w:tcBorders>
              <w:top w:val="single" w:color="auto" w:sz="4" w:space="0"/>
              <w:left w:val="single" w:color="auto" w:sz="4" w:space="0"/>
              <w:bottom w:val="single" w:color="auto" w:sz="4" w:space="0"/>
              <w:right w:val="single" w:color="auto" w:sz="4" w:space="0"/>
            </w:tcBorders>
            <w:noWrap/>
            <w:vAlign w:val="center"/>
          </w:tcPr>
          <w:p w14:paraId="65E8561A">
            <w:pPr>
              <w:spacing w:line="360" w:lineRule="exact"/>
              <w:jc w:val="center"/>
              <w:outlineLvl w:val="9"/>
              <w:rPr>
                <w:rFonts w:ascii="宋体" w:cs="宋体"/>
                <w:color w:val="000000"/>
                <w:szCs w:val="21"/>
              </w:rPr>
            </w:pPr>
            <w:r>
              <w:rPr>
                <w:rFonts w:hint="eastAsia" w:ascii="宋体" w:cs="宋体"/>
                <w:color w:val="000000"/>
                <w:szCs w:val="21"/>
              </w:rPr>
              <w:t>备注</w:t>
            </w:r>
          </w:p>
        </w:tc>
      </w:tr>
      <w:tr w14:paraId="46EA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0AA1D3CC">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05D00CB0">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12A4EF7A">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3D719F50">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4D77E85E">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2CA0688D">
            <w:pPr>
              <w:outlineLvl w:val="9"/>
              <w:rPr>
                <w:rFonts w:asci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5F94D1E9">
            <w:pPr>
              <w:outlineLvl w:val="9"/>
              <w:rPr>
                <w:rFonts w:asci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ign w:val="center"/>
          </w:tcPr>
          <w:p w14:paraId="5935F76A">
            <w:pPr>
              <w:outlineLvl w:val="9"/>
              <w:rPr>
                <w:rFonts w:ascii="宋体" w:cs="宋体"/>
                <w:color w:val="000000"/>
                <w:szCs w:val="21"/>
              </w:rPr>
            </w:pPr>
          </w:p>
        </w:tc>
        <w:tc>
          <w:tcPr>
            <w:tcW w:w="981" w:type="dxa"/>
            <w:tcBorders>
              <w:top w:val="single" w:color="auto" w:sz="4" w:space="0"/>
              <w:left w:val="single" w:color="auto" w:sz="4" w:space="0"/>
              <w:bottom w:val="single" w:color="auto" w:sz="4" w:space="0"/>
              <w:right w:val="single" w:color="auto" w:sz="4" w:space="0"/>
            </w:tcBorders>
            <w:noWrap/>
            <w:vAlign w:val="center"/>
          </w:tcPr>
          <w:p w14:paraId="1A5CC6A8">
            <w:pPr>
              <w:outlineLvl w:val="9"/>
              <w:rPr>
                <w:rFonts w:ascii="宋体" w:cs="宋体"/>
                <w:color w:val="000000"/>
                <w:szCs w:val="21"/>
              </w:rPr>
            </w:pPr>
          </w:p>
        </w:tc>
      </w:tr>
      <w:tr w14:paraId="031A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03A10B71">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519D76B8">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34D2D63F">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26FE5A8B">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11037A0C">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263D5196">
            <w:pPr>
              <w:outlineLvl w:val="9"/>
              <w:rPr>
                <w:rFonts w:asci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C7CE218">
            <w:pPr>
              <w:outlineLvl w:val="9"/>
              <w:rPr>
                <w:rFonts w:asci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ign w:val="center"/>
          </w:tcPr>
          <w:p w14:paraId="15AA2E84">
            <w:pPr>
              <w:outlineLvl w:val="9"/>
              <w:rPr>
                <w:rFonts w:ascii="宋体" w:cs="宋体"/>
                <w:color w:val="000000"/>
                <w:szCs w:val="21"/>
              </w:rPr>
            </w:pPr>
          </w:p>
        </w:tc>
        <w:tc>
          <w:tcPr>
            <w:tcW w:w="981" w:type="dxa"/>
            <w:tcBorders>
              <w:top w:val="single" w:color="auto" w:sz="4" w:space="0"/>
              <w:left w:val="single" w:color="auto" w:sz="4" w:space="0"/>
              <w:bottom w:val="single" w:color="auto" w:sz="4" w:space="0"/>
              <w:right w:val="single" w:color="auto" w:sz="4" w:space="0"/>
            </w:tcBorders>
            <w:noWrap/>
            <w:vAlign w:val="center"/>
          </w:tcPr>
          <w:p w14:paraId="268132BA">
            <w:pPr>
              <w:outlineLvl w:val="9"/>
              <w:rPr>
                <w:rFonts w:ascii="宋体" w:cs="宋体"/>
                <w:color w:val="000000"/>
                <w:szCs w:val="21"/>
              </w:rPr>
            </w:pPr>
          </w:p>
        </w:tc>
      </w:tr>
      <w:tr w14:paraId="4790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2F019332">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076092C3">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6D3AAF83">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7B1F74B3">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6EC7FEAC">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2CD355AC">
            <w:pPr>
              <w:outlineLvl w:val="9"/>
              <w:rPr>
                <w:rFonts w:asci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5788C634">
            <w:pPr>
              <w:outlineLvl w:val="9"/>
              <w:rPr>
                <w:rFonts w:asci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ign w:val="center"/>
          </w:tcPr>
          <w:p w14:paraId="7DEF1B66">
            <w:pPr>
              <w:outlineLvl w:val="9"/>
              <w:rPr>
                <w:rFonts w:ascii="宋体" w:cs="宋体"/>
                <w:color w:val="000000"/>
                <w:szCs w:val="21"/>
              </w:rPr>
            </w:pPr>
          </w:p>
        </w:tc>
        <w:tc>
          <w:tcPr>
            <w:tcW w:w="981" w:type="dxa"/>
            <w:tcBorders>
              <w:top w:val="single" w:color="auto" w:sz="4" w:space="0"/>
              <w:left w:val="single" w:color="auto" w:sz="4" w:space="0"/>
              <w:bottom w:val="single" w:color="auto" w:sz="4" w:space="0"/>
              <w:right w:val="single" w:color="auto" w:sz="4" w:space="0"/>
            </w:tcBorders>
            <w:noWrap/>
            <w:vAlign w:val="center"/>
          </w:tcPr>
          <w:p w14:paraId="017C9DA7">
            <w:pPr>
              <w:outlineLvl w:val="9"/>
              <w:rPr>
                <w:rFonts w:ascii="宋体" w:cs="宋体"/>
                <w:color w:val="000000"/>
                <w:szCs w:val="21"/>
              </w:rPr>
            </w:pPr>
          </w:p>
        </w:tc>
      </w:tr>
      <w:tr w14:paraId="1C8B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23C6106C">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32CC0011">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154B9A02">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7AC1EC14">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300688E6">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0F004335">
            <w:pPr>
              <w:outlineLvl w:val="9"/>
              <w:rPr>
                <w:rFonts w:asci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4862D82E">
            <w:pPr>
              <w:outlineLvl w:val="9"/>
              <w:rPr>
                <w:rFonts w:asci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ign w:val="center"/>
          </w:tcPr>
          <w:p w14:paraId="5F5714F4">
            <w:pPr>
              <w:outlineLvl w:val="9"/>
              <w:rPr>
                <w:rFonts w:ascii="宋体" w:cs="宋体"/>
                <w:color w:val="000000"/>
                <w:szCs w:val="21"/>
              </w:rPr>
            </w:pPr>
          </w:p>
        </w:tc>
        <w:tc>
          <w:tcPr>
            <w:tcW w:w="981" w:type="dxa"/>
            <w:tcBorders>
              <w:top w:val="single" w:color="auto" w:sz="4" w:space="0"/>
              <w:left w:val="single" w:color="auto" w:sz="4" w:space="0"/>
              <w:bottom w:val="single" w:color="auto" w:sz="4" w:space="0"/>
              <w:right w:val="single" w:color="auto" w:sz="4" w:space="0"/>
            </w:tcBorders>
            <w:noWrap/>
            <w:vAlign w:val="center"/>
          </w:tcPr>
          <w:p w14:paraId="3B207E6D">
            <w:pPr>
              <w:outlineLvl w:val="9"/>
              <w:rPr>
                <w:rFonts w:ascii="宋体" w:cs="宋体"/>
                <w:color w:val="000000"/>
                <w:szCs w:val="21"/>
              </w:rPr>
            </w:pPr>
          </w:p>
        </w:tc>
      </w:tr>
      <w:tr w14:paraId="73FA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26B768E0">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51005777">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3F25FC81">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22BE9116">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5C00D6F1">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264DDA83">
            <w:pPr>
              <w:outlineLvl w:val="9"/>
              <w:rPr>
                <w:rFonts w:asci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287D9768">
            <w:pPr>
              <w:outlineLvl w:val="9"/>
              <w:rPr>
                <w:rFonts w:asci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ign w:val="center"/>
          </w:tcPr>
          <w:p w14:paraId="3B921ED9">
            <w:pPr>
              <w:outlineLvl w:val="9"/>
              <w:rPr>
                <w:rFonts w:ascii="宋体" w:cs="宋体"/>
                <w:color w:val="000000"/>
                <w:szCs w:val="21"/>
              </w:rPr>
            </w:pPr>
          </w:p>
        </w:tc>
        <w:tc>
          <w:tcPr>
            <w:tcW w:w="981" w:type="dxa"/>
            <w:tcBorders>
              <w:top w:val="single" w:color="auto" w:sz="4" w:space="0"/>
              <w:left w:val="single" w:color="auto" w:sz="4" w:space="0"/>
              <w:bottom w:val="single" w:color="auto" w:sz="4" w:space="0"/>
              <w:right w:val="single" w:color="auto" w:sz="4" w:space="0"/>
            </w:tcBorders>
            <w:noWrap/>
            <w:vAlign w:val="center"/>
          </w:tcPr>
          <w:p w14:paraId="3B51BA42">
            <w:pPr>
              <w:outlineLvl w:val="9"/>
              <w:rPr>
                <w:rFonts w:ascii="宋体" w:cs="宋体"/>
                <w:color w:val="000000"/>
                <w:szCs w:val="21"/>
              </w:rPr>
            </w:pPr>
          </w:p>
        </w:tc>
      </w:tr>
      <w:tr w14:paraId="35BD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14:paraId="18711C28">
            <w:pPr>
              <w:outlineLvl w:val="9"/>
              <w:rPr>
                <w:rFonts w:ascii="宋体" w:cs="宋体"/>
                <w:color w:val="000000"/>
                <w:szCs w:val="21"/>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5924293B">
            <w:pPr>
              <w:outlineLvl w:val="9"/>
              <w:rPr>
                <w:rFonts w:ascii="宋体" w:cs="宋体"/>
                <w:color w:val="000000"/>
                <w:szCs w:val="21"/>
              </w:rPr>
            </w:pPr>
          </w:p>
        </w:tc>
        <w:tc>
          <w:tcPr>
            <w:tcW w:w="746" w:type="dxa"/>
            <w:tcBorders>
              <w:top w:val="single" w:color="auto" w:sz="4" w:space="0"/>
              <w:left w:val="single" w:color="auto" w:sz="4" w:space="0"/>
              <w:bottom w:val="single" w:color="auto" w:sz="4" w:space="0"/>
              <w:right w:val="single" w:color="auto" w:sz="4" w:space="0"/>
            </w:tcBorders>
            <w:noWrap/>
            <w:vAlign w:val="center"/>
          </w:tcPr>
          <w:p w14:paraId="0618E3C2">
            <w:pPr>
              <w:outlineLvl w:val="9"/>
              <w:rPr>
                <w:rFonts w:ascii="宋体" w:cs="宋体"/>
                <w:color w:val="000000"/>
                <w:szCs w:val="21"/>
              </w:rPr>
            </w:pPr>
          </w:p>
        </w:tc>
        <w:tc>
          <w:tcPr>
            <w:tcW w:w="904" w:type="dxa"/>
            <w:tcBorders>
              <w:top w:val="single" w:color="auto" w:sz="4" w:space="0"/>
              <w:left w:val="single" w:color="auto" w:sz="4" w:space="0"/>
              <w:bottom w:val="single" w:color="auto" w:sz="4" w:space="0"/>
              <w:right w:val="single" w:color="auto" w:sz="4" w:space="0"/>
            </w:tcBorders>
            <w:noWrap/>
            <w:vAlign w:val="center"/>
          </w:tcPr>
          <w:p w14:paraId="114A5D60">
            <w:pPr>
              <w:outlineLvl w:val="9"/>
              <w:rPr>
                <w:rFonts w:ascii="宋体" w:cs="宋体"/>
                <w:color w:val="000000"/>
                <w:szCs w:val="21"/>
              </w:rPr>
            </w:pPr>
          </w:p>
        </w:tc>
        <w:tc>
          <w:tcPr>
            <w:tcW w:w="832" w:type="dxa"/>
            <w:tcBorders>
              <w:top w:val="single" w:color="auto" w:sz="4" w:space="0"/>
              <w:left w:val="single" w:color="auto" w:sz="4" w:space="0"/>
              <w:bottom w:val="single" w:color="auto" w:sz="4" w:space="0"/>
              <w:right w:val="single" w:color="auto" w:sz="4" w:space="0"/>
            </w:tcBorders>
            <w:noWrap/>
            <w:vAlign w:val="center"/>
          </w:tcPr>
          <w:p w14:paraId="410FD815">
            <w:pPr>
              <w:outlineLvl w:val="9"/>
              <w:rPr>
                <w:rFonts w:ascii="宋体" w:cs="宋体"/>
                <w:color w:val="000000"/>
                <w:szCs w:val="21"/>
              </w:rPr>
            </w:pPr>
          </w:p>
        </w:tc>
        <w:tc>
          <w:tcPr>
            <w:tcW w:w="879" w:type="dxa"/>
            <w:tcBorders>
              <w:top w:val="single" w:color="auto" w:sz="4" w:space="0"/>
              <w:left w:val="single" w:color="auto" w:sz="4" w:space="0"/>
              <w:bottom w:val="single" w:color="auto" w:sz="4" w:space="0"/>
              <w:right w:val="single" w:color="auto" w:sz="4" w:space="0"/>
            </w:tcBorders>
            <w:noWrap/>
            <w:vAlign w:val="center"/>
          </w:tcPr>
          <w:p w14:paraId="71C09EE2">
            <w:pPr>
              <w:outlineLvl w:val="9"/>
              <w:rPr>
                <w:rFonts w:asci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2B565F63">
            <w:pPr>
              <w:outlineLvl w:val="9"/>
              <w:rPr>
                <w:rFonts w:ascii="宋体" w:cs="宋体"/>
                <w:color w:val="000000"/>
                <w:szCs w:val="21"/>
              </w:rPr>
            </w:pPr>
          </w:p>
        </w:tc>
        <w:tc>
          <w:tcPr>
            <w:tcW w:w="1589" w:type="dxa"/>
            <w:tcBorders>
              <w:top w:val="single" w:color="auto" w:sz="4" w:space="0"/>
              <w:left w:val="single" w:color="auto" w:sz="4" w:space="0"/>
              <w:bottom w:val="single" w:color="auto" w:sz="4" w:space="0"/>
              <w:right w:val="single" w:color="auto" w:sz="4" w:space="0"/>
            </w:tcBorders>
            <w:noWrap/>
            <w:vAlign w:val="center"/>
          </w:tcPr>
          <w:p w14:paraId="265EC47A">
            <w:pPr>
              <w:outlineLvl w:val="9"/>
              <w:rPr>
                <w:rFonts w:ascii="宋体" w:cs="宋体"/>
                <w:color w:val="000000"/>
                <w:szCs w:val="21"/>
              </w:rPr>
            </w:pPr>
          </w:p>
        </w:tc>
        <w:tc>
          <w:tcPr>
            <w:tcW w:w="981" w:type="dxa"/>
            <w:tcBorders>
              <w:top w:val="single" w:color="auto" w:sz="4" w:space="0"/>
              <w:left w:val="single" w:color="auto" w:sz="4" w:space="0"/>
              <w:bottom w:val="single" w:color="auto" w:sz="4" w:space="0"/>
              <w:right w:val="single" w:color="auto" w:sz="4" w:space="0"/>
            </w:tcBorders>
            <w:noWrap/>
            <w:vAlign w:val="center"/>
          </w:tcPr>
          <w:p w14:paraId="24034B7A">
            <w:pPr>
              <w:outlineLvl w:val="9"/>
              <w:rPr>
                <w:rFonts w:ascii="宋体" w:cs="宋体"/>
                <w:color w:val="000000"/>
                <w:szCs w:val="21"/>
              </w:rPr>
            </w:pPr>
          </w:p>
        </w:tc>
      </w:tr>
    </w:tbl>
    <w:p w14:paraId="1B8D2CAE">
      <w:pPr>
        <w:spacing w:line="360" w:lineRule="auto"/>
        <w:outlineLvl w:val="9"/>
        <w:rPr>
          <w:rFonts w:ascii="宋体" w:cs="宋体"/>
          <w:bCs/>
          <w:szCs w:val="21"/>
        </w:rPr>
      </w:pPr>
      <w:r>
        <w:rPr>
          <w:rFonts w:hint="eastAsia" w:ascii="宋体" w:cs="宋体"/>
          <w:bCs/>
          <w:szCs w:val="21"/>
        </w:rPr>
        <w:t>注：</w:t>
      </w:r>
    </w:p>
    <w:p w14:paraId="1B730B9D">
      <w:pPr>
        <w:spacing w:line="360" w:lineRule="auto"/>
        <w:outlineLvl w:val="9"/>
        <w:rPr>
          <w:rFonts w:ascii="宋体" w:cs="宋体"/>
          <w:bCs/>
          <w:color w:val="000000"/>
          <w:szCs w:val="21"/>
          <w:highlight w:val="yellow"/>
        </w:rPr>
      </w:pPr>
      <w:r>
        <w:rPr>
          <w:rFonts w:hint="eastAsia" w:ascii="宋体" w:cs="宋体"/>
          <w:bCs/>
          <w:color w:val="000000"/>
          <w:szCs w:val="21"/>
          <w:lang w:val="en-US" w:eastAsia="zh-CN"/>
        </w:rPr>
        <w:t>1.响应文件中须提供《项目团队人员配置情况表》及相对应的人员证明材料，证明材料为身份证、职称证书或资格证（如有）、劳动合同或劳务合同。无证明材料或未按要求提供证明材料或证明材料无法体现相应内容的，不予认可</w:t>
      </w:r>
      <w:r>
        <w:rPr>
          <w:rFonts w:hint="eastAsia" w:ascii="宋体" w:cs="宋体"/>
          <w:bCs/>
          <w:color w:val="000000"/>
          <w:szCs w:val="21"/>
        </w:rPr>
        <w:t>。</w:t>
      </w:r>
    </w:p>
    <w:p w14:paraId="0BA976FE">
      <w:pPr>
        <w:spacing w:line="360" w:lineRule="auto"/>
        <w:outlineLvl w:val="9"/>
        <w:rPr>
          <w:rFonts w:ascii="宋体" w:cs="宋体"/>
          <w:szCs w:val="21"/>
        </w:rPr>
      </w:pPr>
      <w:r>
        <w:rPr>
          <w:rFonts w:hint="eastAsia" w:ascii="宋体" w:cs="宋体"/>
          <w:bCs/>
          <w:color w:val="000000"/>
          <w:szCs w:val="21"/>
        </w:rPr>
        <w:t>2.供应商可根据实际情况拓展本表，但不</w:t>
      </w:r>
      <w:r>
        <w:rPr>
          <w:rFonts w:hint="eastAsia" w:ascii="宋体" w:cs="宋体"/>
          <w:bCs/>
          <w:szCs w:val="21"/>
        </w:rPr>
        <w:t>得改变格式。</w:t>
      </w:r>
    </w:p>
    <w:bookmarkEnd w:id="246"/>
    <w:p w14:paraId="533ABBC1">
      <w:pPr>
        <w:keepNext/>
        <w:keepLines/>
        <w:widowControl w:val="0"/>
        <w:spacing w:before="120" w:after="120" w:line="360" w:lineRule="auto"/>
        <w:jc w:val="center"/>
        <w:outlineLvl w:val="9"/>
        <w:rPr>
          <w:rFonts w:hint="eastAsia" w:cs="宋体"/>
          <w:b/>
          <w:spacing w:val="40"/>
          <w:sz w:val="30"/>
          <w:szCs w:val="30"/>
        </w:rPr>
      </w:pPr>
      <w:bookmarkStart w:id="247" w:name="_Toc8149"/>
    </w:p>
    <w:p w14:paraId="0518238E">
      <w:pPr>
        <w:jc w:val="center"/>
        <w:outlineLvl w:val="9"/>
        <w:rPr>
          <w:rFonts w:hint="eastAsia" w:ascii="宋体" w:hAnsi="宋体" w:eastAsia="宋体" w:cs="宋体"/>
          <w:b/>
          <w:bCs/>
          <w:sz w:val="32"/>
          <w:szCs w:val="36"/>
          <w:highlight w:val="none"/>
          <w:lang w:val="en-US" w:eastAsia="zh-CN"/>
        </w:rPr>
      </w:pPr>
    </w:p>
    <w:p w14:paraId="7B1F61F1">
      <w:pPr>
        <w:outlineLvl w:val="9"/>
        <w:rPr>
          <w:rFonts w:hint="eastAsia" w:ascii="宋体" w:hAnsi="宋体" w:eastAsia="宋体" w:cs="宋体"/>
          <w:b/>
          <w:bCs/>
          <w:sz w:val="32"/>
          <w:szCs w:val="36"/>
          <w:highlight w:val="none"/>
          <w:lang w:val="en-US" w:eastAsia="zh-CN"/>
        </w:rPr>
      </w:pPr>
      <w:r>
        <w:rPr>
          <w:rFonts w:hint="eastAsia" w:ascii="宋体" w:hAnsi="宋体" w:eastAsia="宋体" w:cs="宋体"/>
          <w:b/>
          <w:bCs/>
          <w:sz w:val="32"/>
          <w:szCs w:val="36"/>
          <w:highlight w:val="none"/>
          <w:lang w:val="en-US" w:eastAsia="zh-CN"/>
        </w:rPr>
        <w:br w:type="page"/>
      </w:r>
    </w:p>
    <w:bookmarkEnd w:id="233"/>
    <w:bookmarkEnd w:id="234"/>
    <w:bookmarkEnd w:id="235"/>
    <w:bookmarkEnd w:id="236"/>
    <w:bookmarkEnd w:id="237"/>
    <w:bookmarkEnd w:id="238"/>
    <w:bookmarkEnd w:id="239"/>
    <w:bookmarkEnd w:id="240"/>
    <w:bookmarkEnd w:id="241"/>
    <w:bookmarkEnd w:id="242"/>
    <w:bookmarkEnd w:id="247"/>
    <w:p w14:paraId="1F06A2E6">
      <w:pPr>
        <w:widowControl/>
        <w:jc w:val="left"/>
        <w:outlineLvl w:val="9"/>
        <w:rPr>
          <w:rFonts w:hint="eastAsia" w:ascii="宋体" w:eastAsia="宋体" w:cs="宋体"/>
          <w:b/>
          <w:sz w:val="28"/>
          <w:szCs w:val="28"/>
          <w:lang w:val="en-US" w:eastAsia="zh-CN"/>
        </w:rPr>
      </w:pPr>
      <w:bookmarkStart w:id="248" w:name="_Toc6642"/>
      <w:bookmarkStart w:id="249" w:name="_Toc3018"/>
      <w:bookmarkStart w:id="250" w:name="_Toc25241"/>
      <w:bookmarkStart w:id="251" w:name="_Toc489197873"/>
      <w:bookmarkStart w:id="252" w:name="_Toc488633634"/>
      <w:bookmarkStart w:id="253" w:name="_Toc481694862"/>
      <w:bookmarkStart w:id="254" w:name="_Toc489145769"/>
      <w:r>
        <w:rPr>
          <w:rFonts w:hint="eastAsia" w:ascii="宋体" w:eastAsia="宋体" w:cs="宋体"/>
          <w:b/>
          <w:sz w:val="28"/>
          <w:szCs w:val="28"/>
        </w:rPr>
        <w:t>格式</w:t>
      </w:r>
      <w:bookmarkEnd w:id="248"/>
      <w:r>
        <w:rPr>
          <w:rFonts w:hint="eastAsia" w:ascii="宋体" w:eastAsia="宋体" w:cs="宋体"/>
          <w:b/>
          <w:sz w:val="28"/>
          <w:szCs w:val="28"/>
        </w:rPr>
        <w:t>1</w:t>
      </w:r>
      <w:bookmarkEnd w:id="249"/>
      <w:r>
        <w:rPr>
          <w:rFonts w:hint="eastAsia" w:ascii="宋体" w:cs="宋体"/>
          <w:b/>
          <w:sz w:val="28"/>
          <w:szCs w:val="28"/>
          <w:lang w:val="en-US" w:eastAsia="zh-CN"/>
        </w:rPr>
        <w:t>7</w:t>
      </w:r>
    </w:p>
    <w:bookmarkEnd w:id="250"/>
    <w:p w14:paraId="42644E7D">
      <w:pPr>
        <w:keepNext/>
        <w:keepLines/>
        <w:widowControl w:val="0"/>
        <w:spacing w:before="120" w:after="120" w:line="360" w:lineRule="auto"/>
        <w:ind w:left="425"/>
        <w:jc w:val="center"/>
        <w:outlineLvl w:val="9"/>
        <w:rPr>
          <w:rFonts w:hint="eastAsia" w:ascii="宋体" w:eastAsia="宋体" w:cs="宋体"/>
          <w:b/>
          <w:bCs/>
          <w:sz w:val="28"/>
          <w:szCs w:val="28"/>
          <w:lang w:val="en-US" w:eastAsia="zh-CN"/>
        </w:rPr>
      </w:pPr>
      <w:r>
        <w:rPr>
          <w:rFonts w:hint="eastAsia" w:ascii="宋体" w:eastAsia="宋体" w:cs="宋体"/>
          <w:b/>
          <w:bCs/>
          <w:sz w:val="28"/>
          <w:szCs w:val="28"/>
          <w:lang w:val="en-US" w:eastAsia="zh-CN"/>
        </w:rPr>
        <w:t>供应商类似项目履约能力情况表</w:t>
      </w:r>
    </w:p>
    <w:p w14:paraId="6E8AED9E">
      <w:pPr>
        <w:pStyle w:val="21"/>
        <w:outlineLvl w:val="9"/>
        <w:rPr>
          <w:rFonts w:cs="宋体"/>
          <w:b/>
          <w:szCs w:val="21"/>
          <w:u w:val="single"/>
        </w:rPr>
      </w:pPr>
      <w:r>
        <w:rPr>
          <w:rFonts w:hint="eastAsia" w:cs="宋体"/>
          <w:b/>
          <w:szCs w:val="21"/>
        </w:rPr>
        <w:t>项目名称：</w:t>
      </w:r>
    </w:p>
    <w:p w14:paraId="7833C8A9">
      <w:pPr>
        <w:pStyle w:val="21"/>
        <w:outlineLvl w:val="9"/>
        <w:rPr>
          <w:rFonts w:cs="宋体"/>
          <w:b/>
          <w:szCs w:val="21"/>
          <w:u w:val="single"/>
        </w:rPr>
      </w:pPr>
      <w:r>
        <w:rPr>
          <w:rFonts w:hint="eastAsia" w:cs="宋体"/>
          <w:b/>
          <w:szCs w:val="21"/>
        </w:rPr>
        <w:t>项目编号：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540"/>
        <w:gridCol w:w="1283"/>
        <w:gridCol w:w="1149"/>
        <w:gridCol w:w="854"/>
        <w:gridCol w:w="1218"/>
        <w:gridCol w:w="820"/>
      </w:tblGrid>
      <w:tr w14:paraId="3FBE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08C79A6E">
            <w:pPr>
              <w:spacing w:line="360" w:lineRule="auto"/>
              <w:jc w:val="center"/>
              <w:outlineLvl w:val="9"/>
              <w:rPr>
                <w:rFonts w:ascii="宋体" w:cs="宋体"/>
                <w:szCs w:val="21"/>
              </w:rPr>
            </w:pPr>
            <w:r>
              <w:rPr>
                <w:rFonts w:hint="eastAsia" w:ascii="宋体" w:cs="宋体"/>
                <w:szCs w:val="21"/>
              </w:rPr>
              <w:t>序号</w:t>
            </w:r>
          </w:p>
        </w:tc>
        <w:tc>
          <w:tcPr>
            <w:tcW w:w="2540" w:type="dxa"/>
            <w:tcBorders>
              <w:top w:val="single" w:color="auto" w:sz="4" w:space="0"/>
              <w:left w:val="single" w:color="auto" w:sz="4" w:space="0"/>
              <w:bottom w:val="single" w:color="auto" w:sz="4" w:space="0"/>
              <w:right w:val="single" w:color="auto" w:sz="4" w:space="0"/>
            </w:tcBorders>
            <w:noWrap/>
            <w:vAlign w:val="center"/>
          </w:tcPr>
          <w:p w14:paraId="3C9BA2D3">
            <w:pPr>
              <w:spacing w:line="360" w:lineRule="auto"/>
              <w:jc w:val="center"/>
              <w:outlineLvl w:val="9"/>
              <w:rPr>
                <w:rFonts w:ascii="宋体" w:cs="宋体"/>
                <w:szCs w:val="21"/>
              </w:rPr>
            </w:pPr>
            <w:r>
              <w:rPr>
                <w:rFonts w:hint="eastAsia" w:ascii="宋体" w:cs="宋体"/>
                <w:szCs w:val="21"/>
              </w:rPr>
              <w:t>类似项目业绩名称</w:t>
            </w:r>
          </w:p>
        </w:tc>
        <w:tc>
          <w:tcPr>
            <w:tcW w:w="1283" w:type="dxa"/>
            <w:tcBorders>
              <w:top w:val="single" w:color="auto" w:sz="4" w:space="0"/>
              <w:left w:val="single" w:color="auto" w:sz="4" w:space="0"/>
              <w:bottom w:val="single" w:color="auto" w:sz="4" w:space="0"/>
              <w:right w:val="single" w:color="auto" w:sz="4" w:space="0"/>
            </w:tcBorders>
            <w:noWrap/>
            <w:vAlign w:val="center"/>
          </w:tcPr>
          <w:p w14:paraId="06B545DF">
            <w:pPr>
              <w:spacing w:line="360" w:lineRule="auto"/>
              <w:jc w:val="center"/>
              <w:outlineLvl w:val="9"/>
              <w:rPr>
                <w:rFonts w:ascii="宋体" w:cs="宋体"/>
                <w:szCs w:val="21"/>
              </w:rPr>
            </w:pPr>
            <w:r>
              <w:rPr>
                <w:rFonts w:hint="eastAsia" w:ascii="宋体" w:cs="宋体"/>
                <w:szCs w:val="21"/>
              </w:rPr>
              <w:t>用户单位</w:t>
            </w:r>
          </w:p>
        </w:tc>
        <w:tc>
          <w:tcPr>
            <w:tcW w:w="1149" w:type="dxa"/>
            <w:tcBorders>
              <w:top w:val="single" w:color="auto" w:sz="4" w:space="0"/>
              <w:left w:val="single" w:color="auto" w:sz="4" w:space="0"/>
              <w:bottom w:val="single" w:color="auto" w:sz="4" w:space="0"/>
              <w:right w:val="single" w:color="auto" w:sz="4" w:space="0"/>
            </w:tcBorders>
            <w:noWrap/>
            <w:vAlign w:val="center"/>
          </w:tcPr>
          <w:p w14:paraId="7B3067A6">
            <w:pPr>
              <w:spacing w:line="360" w:lineRule="auto"/>
              <w:jc w:val="center"/>
              <w:outlineLvl w:val="9"/>
              <w:rPr>
                <w:rFonts w:ascii="宋体" w:cs="宋体"/>
                <w:szCs w:val="21"/>
              </w:rPr>
            </w:pPr>
            <w:r>
              <w:rPr>
                <w:rFonts w:hint="eastAsia" w:ascii="宋体" w:cs="宋体"/>
                <w:szCs w:val="21"/>
              </w:rPr>
              <w:t>联系人</w:t>
            </w:r>
          </w:p>
        </w:tc>
        <w:tc>
          <w:tcPr>
            <w:tcW w:w="854" w:type="dxa"/>
            <w:tcBorders>
              <w:top w:val="single" w:color="auto" w:sz="4" w:space="0"/>
              <w:left w:val="single" w:color="auto" w:sz="4" w:space="0"/>
              <w:bottom w:val="single" w:color="auto" w:sz="4" w:space="0"/>
              <w:right w:val="single" w:color="auto" w:sz="4" w:space="0"/>
            </w:tcBorders>
            <w:noWrap/>
            <w:vAlign w:val="center"/>
          </w:tcPr>
          <w:p w14:paraId="77A6BD4A">
            <w:pPr>
              <w:spacing w:line="360" w:lineRule="auto"/>
              <w:jc w:val="center"/>
              <w:outlineLvl w:val="9"/>
              <w:rPr>
                <w:rFonts w:ascii="宋体" w:cs="宋体"/>
                <w:szCs w:val="21"/>
              </w:rPr>
            </w:pPr>
            <w:r>
              <w:rPr>
                <w:rFonts w:hint="eastAsia" w:ascii="宋体" w:cs="宋体"/>
                <w:szCs w:val="21"/>
              </w:rPr>
              <w:t>电话</w:t>
            </w:r>
          </w:p>
        </w:tc>
        <w:tc>
          <w:tcPr>
            <w:tcW w:w="1218" w:type="dxa"/>
            <w:tcBorders>
              <w:top w:val="single" w:color="auto" w:sz="4" w:space="0"/>
              <w:left w:val="single" w:color="auto" w:sz="4" w:space="0"/>
              <w:bottom w:val="single" w:color="auto" w:sz="4" w:space="0"/>
              <w:right w:val="single" w:color="auto" w:sz="4" w:space="0"/>
            </w:tcBorders>
            <w:noWrap/>
            <w:vAlign w:val="center"/>
          </w:tcPr>
          <w:p w14:paraId="744B90C1">
            <w:pPr>
              <w:spacing w:line="360" w:lineRule="auto"/>
              <w:jc w:val="center"/>
              <w:outlineLvl w:val="9"/>
              <w:rPr>
                <w:rFonts w:ascii="宋体" w:cs="宋体"/>
                <w:szCs w:val="21"/>
              </w:rPr>
            </w:pPr>
            <w:r>
              <w:rPr>
                <w:rFonts w:hint="eastAsia" w:ascii="宋体" w:cs="宋体"/>
                <w:szCs w:val="32"/>
              </w:rPr>
              <w:t>合同金额（万元）</w:t>
            </w:r>
          </w:p>
        </w:tc>
        <w:tc>
          <w:tcPr>
            <w:tcW w:w="820" w:type="dxa"/>
            <w:tcBorders>
              <w:top w:val="single" w:color="auto" w:sz="4" w:space="0"/>
              <w:left w:val="single" w:color="auto" w:sz="4" w:space="0"/>
              <w:bottom w:val="single" w:color="auto" w:sz="4" w:space="0"/>
              <w:right w:val="single" w:color="auto" w:sz="4" w:space="0"/>
            </w:tcBorders>
            <w:noWrap/>
            <w:vAlign w:val="center"/>
          </w:tcPr>
          <w:p w14:paraId="2A734059">
            <w:pPr>
              <w:spacing w:line="360" w:lineRule="auto"/>
              <w:jc w:val="center"/>
              <w:outlineLvl w:val="9"/>
              <w:rPr>
                <w:rFonts w:ascii="宋体" w:cs="宋体"/>
                <w:szCs w:val="21"/>
              </w:rPr>
            </w:pPr>
            <w:r>
              <w:rPr>
                <w:rFonts w:hint="eastAsia" w:ascii="宋体" w:cs="宋体"/>
                <w:szCs w:val="21"/>
              </w:rPr>
              <w:t>备注</w:t>
            </w:r>
          </w:p>
        </w:tc>
      </w:tr>
      <w:tr w14:paraId="0CF6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tcPr>
          <w:p w14:paraId="0FE237C5">
            <w:pPr>
              <w:spacing w:line="360" w:lineRule="auto"/>
              <w:outlineLvl w:val="9"/>
              <w:rPr>
                <w:rFonts w:ascii="宋体" w:cs="宋体"/>
                <w:szCs w:val="21"/>
              </w:rPr>
            </w:pPr>
          </w:p>
        </w:tc>
        <w:tc>
          <w:tcPr>
            <w:tcW w:w="2540" w:type="dxa"/>
            <w:tcBorders>
              <w:top w:val="single" w:color="auto" w:sz="4" w:space="0"/>
              <w:left w:val="single" w:color="auto" w:sz="4" w:space="0"/>
              <w:bottom w:val="single" w:color="auto" w:sz="4" w:space="0"/>
              <w:right w:val="single" w:color="auto" w:sz="4" w:space="0"/>
            </w:tcBorders>
            <w:noWrap/>
          </w:tcPr>
          <w:p w14:paraId="37B04AB6">
            <w:pPr>
              <w:spacing w:line="360" w:lineRule="auto"/>
              <w:outlineLvl w:val="9"/>
              <w:rPr>
                <w:rFonts w:ascii="宋体" w:cs="宋体"/>
                <w:szCs w:val="21"/>
              </w:rPr>
            </w:pPr>
          </w:p>
        </w:tc>
        <w:tc>
          <w:tcPr>
            <w:tcW w:w="1283" w:type="dxa"/>
            <w:tcBorders>
              <w:top w:val="single" w:color="auto" w:sz="4" w:space="0"/>
              <w:left w:val="single" w:color="auto" w:sz="4" w:space="0"/>
              <w:bottom w:val="single" w:color="auto" w:sz="4" w:space="0"/>
              <w:right w:val="single" w:color="auto" w:sz="4" w:space="0"/>
            </w:tcBorders>
            <w:noWrap/>
          </w:tcPr>
          <w:p w14:paraId="320C1AD6">
            <w:pPr>
              <w:spacing w:line="360" w:lineRule="auto"/>
              <w:outlineLvl w:val="9"/>
              <w:rPr>
                <w:rFonts w:ascii="宋体" w:cs="宋体"/>
                <w:szCs w:val="21"/>
              </w:rPr>
            </w:pPr>
          </w:p>
        </w:tc>
        <w:tc>
          <w:tcPr>
            <w:tcW w:w="1149" w:type="dxa"/>
            <w:tcBorders>
              <w:top w:val="single" w:color="auto" w:sz="4" w:space="0"/>
              <w:left w:val="single" w:color="auto" w:sz="4" w:space="0"/>
              <w:bottom w:val="single" w:color="auto" w:sz="4" w:space="0"/>
              <w:right w:val="single" w:color="auto" w:sz="4" w:space="0"/>
            </w:tcBorders>
            <w:noWrap/>
          </w:tcPr>
          <w:p w14:paraId="491A774B">
            <w:pPr>
              <w:spacing w:line="360" w:lineRule="auto"/>
              <w:outlineLvl w:val="9"/>
              <w:rPr>
                <w:rFonts w:ascii="宋体" w:cs="宋体"/>
                <w:szCs w:val="21"/>
              </w:rPr>
            </w:pPr>
          </w:p>
        </w:tc>
        <w:tc>
          <w:tcPr>
            <w:tcW w:w="854" w:type="dxa"/>
            <w:tcBorders>
              <w:top w:val="single" w:color="auto" w:sz="4" w:space="0"/>
              <w:left w:val="single" w:color="auto" w:sz="4" w:space="0"/>
              <w:bottom w:val="single" w:color="auto" w:sz="4" w:space="0"/>
              <w:right w:val="single" w:color="auto" w:sz="4" w:space="0"/>
            </w:tcBorders>
            <w:noWrap/>
          </w:tcPr>
          <w:p w14:paraId="370887C9">
            <w:pPr>
              <w:spacing w:line="360" w:lineRule="auto"/>
              <w:outlineLvl w:val="9"/>
              <w:rPr>
                <w:rFonts w:ascii="宋体" w:cs="宋体"/>
                <w:szCs w:val="21"/>
              </w:rPr>
            </w:pPr>
          </w:p>
        </w:tc>
        <w:tc>
          <w:tcPr>
            <w:tcW w:w="1218" w:type="dxa"/>
            <w:tcBorders>
              <w:top w:val="single" w:color="auto" w:sz="4" w:space="0"/>
              <w:left w:val="single" w:color="auto" w:sz="4" w:space="0"/>
              <w:bottom w:val="single" w:color="auto" w:sz="4" w:space="0"/>
              <w:right w:val="single" w:color="auto" w:sz="4" w:space="0"/>
            </w:tcBorders>
            <w:noWrap/>
          </w:tcPr>
          <w:p w14:paraId="2A5B8C41">
            <w:pPr>
              <w:spacing w:line="360" w:lineRule="auto"/>
              <w:outlineLvl w:val="9"/>
              <w:rPr>
                <w:rFonts w:ascii="宋体" w:cs="宋体"/>
                <w:szCs w:val="21"/>
              </w:rPr>
            </w:pPr>
          </w:p>
        </w:tc>
        <w:tc>
          <w:tcPr>
            <w:tcW w:w="820" w:type="dxa"/>
            <w:tcBorders>
              <w:top w:val="single" w:color="auto" w:sz="4" w:space="0"/>
              <w:left w:val="single" w:color="auto" w:sz="4" w:space="0"/>
              <w:bottom w:val="single" w:color="auto" w:sz="4" w:space="0"/>
              <w:right w:val="single" w:color="auto" w:sz="4" w:space="0"/>
            </w:tcBorders>
            <w:noWrap/>
          </w:tcPr>
          <w:p w14:paraId="7CFE70BA">
            <w:pPr>
              <w:spacing w:line="360" w:lineRule="auto"/>
              <w:outlineLvl w:val="9"/>
              <w:rPr>
                <w:rFonts w:ascii="宋体" w:cs="宋体"/>
                <w:szCs w:val="21"/>
              </w:rPr>
            </w:pPr>
          </w:p>
        </w:tc>
      </w:tr>
      <w:tr w14:paraId="2FF9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tcPr>
          <w:p w14:paraId="56D9DB90">
            <w:pPr>
              <w:spacing w:line="360" w:lineRule="auto"/>
              <w:outlineLvl w:val="9"/>
              <w:rPr>
                <w:rFonts w:ascii="宋体" w:cs="宋体"/>
                <w:szCs w:val="21"/>
              </w:rPr>
            </w:pPr>
          </w:p>
        </w:tc>
        <w:tc>
          <w:tcPr>
            <w:tcW w:w="2540" w:type="dxa"/>
            <w:tcBorders>
              <w:top w:val="single" w:color="auto" w:sz="4" w:space="0"/>
              <w:left w:val="single" w:color="auto" w:sz="4" w:space="0"/>
              <w:bottom w:val="single" w:color="auto" w:sz="4" w:space="0"/>
              <w:right w:val="single" w:color="auto" w:sz="4" w:space="0"/>
            </w:tcBorders>
            <w:noWrap/>
          </w:tcPr>
          <w:p w14:paraId="4FEEE746">
            <w:pPr>
              <w:spacing w:line="360" w:lineRule="auto"/>
              <w:outlineLvl w:val="9"/>
              <w:rPr>
                <w:rFonts w:ascii="宋体" w:cs="宋体"/>
                <w:szCs w:val="21"/>
              </w:rPr>
            </w:pPr>
          </w:p>
        </w:tc>
        <w:tc>
          <w:tcPr>
            <w:tcW w:w="1283" w:type="dxa"/>
            <w:tcBorders>
              <w:top w:val="single" w:color="auto" w:sz="4" w:space="0"/>
              <w:left w:val="single" w:color="auto" w:sz="4" w:space="0"/>
              <w:bottom w:val="single" w:color="auto" w:sz="4" w:space="0"/>
              <w:right w:val="single" w:color="auto" w:sz="4" w:space="0"/>
            </w:tcBorders>
            <w:noWrap/>
          </w:tcPr>
          <w:p w14:paraId="02FDBB8B">
            <w:pPr>
              <w:spacing w:line="360" w:lineRule="auto"/>
              <w:outlineLvl w:val="9"/>
              <w:rPr>
                <w:rFonts w:ascii="宋体" w:cs="宋体"/>
                <w:szCs w:val="21"/>
              </w:rPr>
            </w:pPr>
          </w:p>
        </w:tc>
        <w:tc>
          <w:tcPr>
            <w:tcW w:w="1149" w:type="dxa"/>
            <w:tcBorders>
              <w:top w:val="single" w:color="auto" w:sz="4" w:space="0"/>
              <w:left w:val="single" w:color="auto" w:sz="4" w:space="0"/>
              <w:bottom w:val="single" w:color="auto" w:sz="4" w:space="0"/>
              <w:right w:val="single" w:color="auto" w:sz="4" w:space="0"/>
            </w:tcBorders>
            <w:noWrap/>
          </w:tcPr>
          <w:p w14:paraId="26EAEE4A">
            <w:pPr>
              <w:spacing w:line="360" w:lineRule="auto"/>
              <w:outlineLvl w:val="9"/>
              <w:rPr>
                <w:rFonts w:ascii="宋体" w:cs="宋体"/>
                <w:szCs w:val="21"/>
              </w:rPr>
            </w:pPr>
          </w:p>
        </w:tc>
        <w:tc>
          <w:tcPr>
            <w:tcW w:w="854" w:type="dxa"/>
            <w:tcBorders>
              <w:top w:val="single" w:color="auto" w:sz="4" w:space="0"/>
              <w:left w:val="single" w:color="auto" w:sz="4" w:space="0"/>
              <w:bottom w:val="single" w:color="auto" w:sz="4" w:space="0"/>
              <w:right w:val="single" w:color="auto" w:sz="4" w:space="0"/>
            </w:tcBorders>
            <w:noWrap/>
          </w:tcPr>
          <w:p w14:paraId="6DF07D09">
            <w:pPr>
              <w:spacing w:line="360" w:lineRule="auto"/>
              <w:outlineLvl w:val="9"/>
              <w:rPr>
                <w:rFonts w:ascii="宋体" w:cs="宋体"/>
                <w:szCs w:val="21"/>
              </w:rPr>
            </w:pPr>
          </w:p>
        </w:tc>
        <w:tc>
          <w:tcPr>
            <w:tcW w:w="1218" w:type="dxa"/>
            <w:tcBorders>
              <w:top w:val="single" w:color="auto" w:sz="4" w:space="0"/>
              <w:left w:val="single" w:color="auto" w:sz="4" w:space="0"/>
              <w:bottom w:val="single" w:color="auto" w:sz="4" w:space="0"/>
              <w:right w:val="single" w:color="auto" w:sz="4" w:space="0"/>
            </w:tcBorders>
            <w:noWrap/>
          </w:tcPr>
          <w:p w14:paraId="16C264C0">
            <w:pPr>
              <w:spacing w:line="360" w:lineRule="auto"/>
              <w:outlineLvl w:val="9"/>
              <w:rPr>
                <w:rFonts w:ascii="宋体" w:cs="宋体"/>
                <w:szCs w:val="21"/>
              </w:rPr>
            </w:pPr>
          </w:p>
        </w:tc>
        <w:tc>
          <w:tcPr>
            <w:tcW w:w="820" w:type="dxa"/>
            <w:tcBorders>
              <w:top w:val="single" w:color="auto" w:sz="4" w:space="0"/>
              <w:left w:val="single" w:color="auto" w:sz="4" w:space="0"/>
              <w:bottom w:val="single" w:color="auto" w:sz="4" w:space="0"/>
              <w:right w:val="single" w:color="auto" w:sz="4" w:space="0"/>
            </w:tcBorders>
            <w:noWrap/>
          </w:tcPr>
          <w:p w14:paraId="09D7FADA">
            <w:pPr>
              <w:spacing w:line="360" w:lineRule="auto"/>
              <w:outlineLvl w:val="9"/>
              <w:rPr>
                <w:rFonts w:ascii="宋体" w:cs="宋体"/>
                <w:szCs w:val="21"/>
              </w:rPr>
            </w:pPr>
          </w:p>
        </w:tc>
      </w:tr>
      <w:tr w14:paraId="0E7F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tcPr>
          <w:p w14:paraId="43DE5434">
            <w:pPr>
              <w:spacing w:line="360" w:lineRule="auto"/>
              <w:outlineLvl w:val="9"/>
              <w:rPr>
                <w:rFonts w:ascii="宋体" w:cs="宋体"/>
                <w:szCs w:val="21"/>
              </w:rPr>
            </w:pPr>
          </w:p>
        </w:tc>
        <w:tc>
          <w:tcPr>
            <w:tcW w:w="2540" w:type="dxa"/>
            <w:tcBorders>
              <w:top w:val="single" w:color="auto" w:sz="4" w:space="0"/>
              <w:left w:val="single" w:color="auto" w:sz="4" w:space="0"/>
              <w:bottom w:val="single" w:color="auto" w:sz="4" w:space="0"/>
              <w:right w:val="single" w:color="auto" w:sz="4" w:space="0"/>
            </w:tcBorders>
            <w:noWrap/>
          </w:tcPr>
          <w:p w14:paraId="1BBEB7EC">
            <w:pPr>
              <w:spacing w:line="360" w:lineRule="auto"/>
              <w:outlineLvl w:val="9"/>
              <w:rPr>
                <w:rFonts w:ascii="宋体" w:cs="宋体"/>
                <w:szCs w:val="21"/>
              </w:rPr>
            </w:pPr>
          </w:p>
        </w:tc>
        <w:tc>
          <w:tcPr>
            <w:tcW w:w="1283" w:type="dxa"/>
            <w:tcBorders>
              <w:top w:val="single" w:color="auto" w:sz="4" w:space="0"/>
              <w:left w:val="single" w:color="auto" w:sz="4" w:space="0"/>
              <w:bottom w:val="single" w:color="auto" w:sz="4" w:space="0"/>
              <w:right w:val="single" w:color="auto" w:sz="4" w:space="0"/>
            </w:tcBorders>
            <w:noWrap/>
          </w:tcPr>
          <w:p w14:paraId="7B736167">
            <w:pPr>
              <w:spacing w:line="360" w:lineRule="auto"/>
              <w:outlineLvl w:val="9"/>
              <w:rPr>
                <w:rFonts w:ascii="宋体" w:cs="宋体"/>
                <w:szCs w:val="21"/>
              </w:rPr>
            </w:pPr>
          </w:p>
        </w:tc>
        <w:tc>
          <w:tcPr>
            <w:tcW w:w="1149" w:type="dxa"/>
            <w:tcBorders>
              <w:top w:val="single" w:color="auto" w:sz="4" w:space="0"/>
              <w:left w:val="single" w:color="auto" w:sz="4" w:space="0"/>
              <w:bottom w:val="single" w:color="auto" w:sz="4" w:space="0"/>
              <w:right w:val="single" w:color="auto" w:sz="4" w:space="0"/>
            </w:tcBorders>
            <w:noWrap/>
          </w:tcPr>
          <w:p w14:paraId="7E0DDDBB">
            <w:pPr>
              <w:spacing w:line="360" w:lineRule="auto"/>
              <w:outlineLvl w:val="9"/>
              <w:rPr>
                <w:rFonts w:ascii="宋体" w:cs="宋体"/>
                <w:szCs w:val="21"/>
              </w:rPr>
            </w:pPr>
          </w:p>
        </w:tc>
        <w:tc>
          <w:tcPr>
            <w:tcW w:w="854" w:type="dxa"/>
            <w:tcBorders>
              <w:top w:val="single" w:color="auto" w:sz="4" w:space="0"/>
              <w:left w:val="single" w:color="auto" w:sz="4" w:space="0"/>
              <w:bottom w:val="single" w:color="auto" w:sz="4" w:space="0"/>
              <w:right w:val="single" w:color="auto" w:sz="4" w:space="0"/>
            </w:tcBorders>
            <w:noWrap/>
          </w:tcPr>
          <w:p w14:paraId="3B7D2AE8">
            <w:pPr>
              <w:spacing w:line="360" w:lineRule="auto"/>
              <w:outlineLvl w:val="9"/>
              <w:rPr>
                <w:rFonts w:ascii="宋体" w:cs="宋体"/>
                <w:szCs w:val="21"/>
              </w:rPr>
            </w:pPr>
          </w:p>
        </w:tc>
        <w:tc>
          <w:tcPr>
            <w:tcW w:w="1218" w:type="dxa"/>
            <w:tcBorders>
              <w:top w:val="single" w:color="auto" w:sz="4" w:space="0"/>
              <w:left w:val="single" w:color="auto" w:sz="4" w:space="0"/>
              <w:bottom w:val="single" w:color="auto" w:sz="4" w:space="0"/>
              <w:right w:val="single" w:color="auto" w:sz="4" w:space="0"/>
            </w:tcBorders>
            <w:noWrap/>
          </w:tcPr>
          <w:p w14:paraId="1FE0D070">
            <w:pPr>
              <w:spacing w:line="360" w:lineRule="auto"/>
              <w:outlineLvl w:val="9"/>
              <w:rPr>
                <w:rFonts w:ascii="宋体" w:cs="宋体"/>
                <w:szCs w:val="21"/>
              </w:rPr>
            </w:pPr>
          </w:p>
        </w:tc>
        <w:tc>
          <w:tcPr>
            <w:tcW w:w="820" w:type="dxa"/>
            <w:tcBorders>
              <w:top w:val="single" w:color="auto" w:sz="4" w:space="0"/>
              <w:left w:val="single" w:color="auto" w:sz="4" w:space="0"/>
              <w:bottom w:val="single" w:color="auto" w:sz="4" w:space="0"/>
              <w:right w:val="single" w:color="auto" w:sz="4" w:space="0"/>
            </w:tcBorders>
            <w:noWrap/>
          </w:tcPr>
          <w:p w14:paraId="6DFCF533">
            <w:pPr>
              <w:spacing w:line="360" w:lineRule="auto"/>
              <w:outlineLvl w:val="9"/>
              <w:rPr>
                <w:rFonts w:ascii="宋体" w:cs="宋体"/>
                <w:szCs w:val="21"/>
              </w:rPr>
            </w:pPr>
          </w:p>
        </w:tc>
      </w:tr>
      <w:tr w14:paraId="2716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tcPr>
          <w:p w14:paraId="055ACBEF">
            <w:pPr>
              <w:spacing w:line="360" w:lineRule="auto"/>
              <w:outlineLvl w:val="9"/>
              <w:rPr>
                <w:rFonts w:ascii="宋体" w:cs="宋体"/>
                <w:szCs w:val="21"/>
              </w:rPr>
            </w:pPr>
          </w:p>
        </w:tc>
        <w:tc>
          <w:tcPr>
            <w:tcW w:w="2540" w:type="dxa"/>
            <w:tcBorders>
              <w:top w:val="single" w:color="auto" w:sz="4" w:space="0"/>
              <w:left w:val="single" w:color="auto" w:sz="4" w:space="0"/>
              <w:bottom w:val="single" w:color="auto" w:sz="4" w:space="0"/>
              <w:right w:val="single" w:color="auto" w:sz="4" w:space="0"/>
            </w:tcBorders>
            <w:noWrap/>
          </w:tcPr>
          <w:p w14:paraId="769C55E1">
            <w:pPr>
              <w:spacing w:line="360" w:lineRule="auto"/>
              <w:outlineLvl w:val="9"/>
              <w:rPr>
                <w:rFonts w:ascii="宋体" w:cs="宋体"/>
                <w:szCs w:val="21"/>
              </w:rPr>
            </w:pPr>
          </w:p>
        </w:tc>
        <w:tc>
          <w:tcPr>
            <w:tcW w:w="1283" w:type="dxa"/>
            <w:tcBorders>
              <w:top w:val="single" w:color="auto" w:sz="4" w:space="0"/>
              <w:left w:val="single" w:color="auto" w:sz="4" w:space="0"/>
              <w:bottom w:val="single" w:color="auto" w:sz="4" w:space="0"/>
              <w:right w:val="single" w:color="auto" w:sz="4" w:space="0"/>
            </w:tcBorders>
            <w:noWrap/>
          </w:tcPr>
          <w:p w14:paraId="4FD53768">
            <w:pPr>
              <w:spacing w:line="360" w:lineRule="auto"/>
              <w:outlineLvl w:val="9"/>
              <w:rPr>
                <w:rFonts w:ascii="宋体" w:cs="宋体"/>
                <w:szCs w:val="21"/>
              </w:rPr>
            </w:pPr>
          </w:p>
        </w:tc>
        <w:tc>
          <w:tcPr>
            <w:tcW w:w="1149" w:type="dxa"/>
            <w:tcBorders>
              <w:top w:val="single" w:color="auto" w:sz="4" w:space="0"/>
              <w:left w:val="single" w:color="auto" w:sz="4" w:space="0"/>
              <w:bottom w:val="single" w:color="auto" w:sz="4" w:space="0"/>
              <w:right w:val="single" w:color="auto" w:sz="4" w:space="0"/>
            </w:tcBorders>
            <w:noWrap/>
          </w:tcPr>
          <w:p w14:paraId="715509A1">
            <w:pPr>
              <w:spacing w:line="360" w:lineRule="auto"/>
              <w:outlineLvl w:val="9"/>
              <w:rPr>
                <w:rFonts w:ascii="宋体" w:cs="宋体"/>
                <w:szCs w:val="21"/>
              </w:rPr>
            </w:pPr>
          </w:p>
        </w:tc>
        <w:tc>
          <w:tcPr>
            <w:tcW w:w="854" w:type="dxa"/>
            <w:tcBorders>
              <w:top w:val="single" w:color="auto" w:sz="4" w:space="0"/>
              <w:left w:val="single" w:color="auto" w:sz="4" w:space="0"/>
              <w:bottom w:val="single" w:color="auto" w:sz="4" w:space="0"/>
              <w:right w:val="single" w:color="auto" w:sz="4" w:space="0"/>
            </w:tcBorders>
            <w:noWrap/>
          </w:tcPr>
          <w:p w14:paraId="0F9D8A49">
            <w:pPr>
              <w:spacing w:line="360" w:lineRule="auto"/>
              <w:outlineLvl w:val="9"/>
              <w:rPr>
                <w:rFonts w:ascii="宋体" w:cs="宋体"/>
                <w:szCs w:val="21"/>
              </w:rPr>
            </w:pPr>
          </w:p>
        </w:tc>
        <w:tc>
          <w:tcPr>
            <w:tcW w:w="1218" w:type="dxa"/>
            <w:tcBorders>
              <w:top w:val="single" w:color="auto" w:sz="4" w:space="0"/>
              <w:left w:val="single" w:color="auto" w:sz="4" w:space="0"/>
              <w:bottom w:val="single" w:color="auto" w:sz="4" w:space="0"/>
              <w:right w:val="single" w:color="auto" w:sz="4" w:space="0"/>
            </w:tcBorders>
            <w:noWrap/>
          </w:tcPr>
          <w:p w14:paraId="16599157">
            <w:pPr>
              <w:spacing w:line="360" w:lineRule="auto"/>
              <w:outlineLvl w:val="9"/>
              <w:rPr>
                <w:rFonts w:ascii="宋体" w:cs="宋体"/>
                <w:szCs w:val="21"/>
              </w:rPr>
            </w:pPr>
          </w:p>
        </w:tc>
        <w:tc>
          <w:tcPr>
            <w:tcW w:w="820" w:type="dxa"/>
            <w:tcBorders>
              <w:top w:val="single" w:color="auto" w:sz="4" w:space="0"/>
              <w:left w:val="single" w:color="auto" w:sz="4" w:space="0"/>
              <w:bottom w:val="single" w:color="auto" w:sz="4" w:space="0"/>
              <w:right w:val="single" w:color="auto" w:sz="4" w:space="0"/>
            </w:tcBorders>
            <w:noWrap/>
          </w:tcPr>
          <w:p w14:paraId="309A174A">
            <w:pPr>
              <w:spacing w:line="360" w:lineRule="auto"/>
              <w:outlineLvl w:val="9"/>
              <w:rPr>
                <w:rFonts w:ascii="宋体" w:cs="宋体"/>
                <w:szCs w:val="21"/>
              </w:rPr>
            </w:pPr>
          </w:p>
        </w:tc>
      </w:tr>
      <w:tr w14:paraId="4774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3" w:type="dxa"/>
            <w:tcBorders>
              <w:top w:val="single" w:color="auto" w:sz="4" w:space="0"/>
              <w:left w:val="single" w:color="auto" w:sz="4" w:space="0"/>
              <w:bottom w:val="single" w:color="auto" w:sz="4" w:space="0"/>
              <w:right w:val="single" w:color="auto" w:sz="4" w:space="0"/>
            </w:tcBorders>
            <w:noWrap/>
          </w:tcPr>
          <w:p w14:paraId="2A01F7CE">
            <w:pPr>
              <w:spacing w:line="360" w:lineRule="auto"/>
              <w:outlineLvl w:val="9"/>
              <w:rPr>
                <w:rFonts w:ascii="宋体" w:cs="宋体"/>
                <w:szCs w:val="21"/>
              </w:rPr>
            </w:pPr>
          </w:p>
        </w:tc>
        <w:tc>
          <w:tcPr>
            <w:tcW w:w="2540" w:type="dxa"/>
            <w:tcBorders>
              <w:top w:val="single" w:color="auto" w:sz="4" w:space="0"/>
              <w:left w:val="single" w:color="auto" w:sz="4" w:space="0"/>
              <w:bottom w:val="single" w:color="auto" w:sz="4" w:space="0"/>
              <w:right w:val="single" w:color="auto" w:sz="4" w:space="0"/>
            </w:tcBorders>
            <w:noWrap/>
          </w:tcPr>
          <w:p w14:paraId="73E958F8">
            <w:pPr>
              <w:spacing w:line="360" w:lineRule="auto"/>
              <w:outlineLvl w:val="9"/>
              <w:rPr>
                <w:rFonts w:ascii="宋体" w:cs="宋体"/>
                <w:szCs w:val="21"/>
              </w:rPr>
            </w:pPr>
          </w:p>
        </w:tc>
        <w:tc>
          <w:tcPr>
            <w:tcW w:w="1283" w:type="dxa"/>
            <w:tcBorders>
              <w:top w:val="single" w:color="auto" w:sz="4" w:space="0"/>
              <w:left w:val="single" w:color="auto" w:sz="4" w:space="0"/>
              <w:bottom w:val="single" w:color="auto" w:sz="4" w:space="0"/>
              <w:right w:val="single" w:color="auto" w:sz="4" w:space="0"/>
            </w:tcBorders>
            <w:noWrap/>
          </w:tcPr>
          <w:p w14:paraId="00D0761E">
            <w:pPr>
              <w:spacing w:line="360" w:lineRule="auto"/>
              <w:outlineLvl w:val="9"/>
              <w:rPr>
                <w:rFonts w:ascii="宋体" w:cs="宋体"/>
                <w:szCs w:val="21"/>
              </w:rPr>
            </w:pPr>
          </w:p>
        </w:tc>
        <w:tc>
          <w:tcPr>
            <w:tcW w:w="1149" w:type="dxa"/>
            <w:tcBorders>
              <w:top w:val="single" w:color="auto" w:sz="4" w:space="0"/>
              <w:left w:val="single" w:color="auto" w:sz="4" w:space="0"/>
              <w:bottom w:val="single" w:color="auto" w:sz="4" w:space="0"/>
              <w:right w:val="single" w:color="auto" w:sz="4" w:space="0"/>
            </w:tcBorders>
            <w:noWrap/>
          </w:tcPr>
          <w:p w14:paraId="0BEDD6EB">
            <w:pPr>
              <w:spacing w:line="360" w:lineRule="auto"/>
              <w:outlineLvl w:val="9"/>
              <w:rPr>
                <w:rFonts w:ascii="宋体" w:cs="宋体"/>
                <w:szCs w:val="21"/>
              </w:rPr>
            </w:pPr>
          </w:p>
        </w:tc>
        <w:tc>
          <w:tcPr>
            <w:tcW w:w="854" w:type="dxa"/>
            <w:tcBorders>
              <w:top w:val="single" w:color="auto" w:sz="4" w:space="0"/>
              <w:left w:val="single" w:color="auto" w:sz="4" w:space="0"/>
              <w:bottom w:val="single" w:color="auto" w:sz="4" w:space="0"/>
              <w:right w:val="single" w:color="auto" w:sz="4" w:space="0"/>
            </w:tcBorders>
            <w:noWrap/>
          </w:tcPr>
          <w:p w14:paraId="7D527DEB">
            <w:pPr>
              <w:spacing w:line="360" w:lineRule="auto"/>
              <w:outlineLvl w:val="9"/>
              <w:rPr>
                <w:rFonts w:ascii="宋体" w:cs="宋体"/>
                <w:szCs w:val="21"/>
              </w:rPr>
            </w:pPr>
          </w:p>
        </w:tc>
        <w:tc>
          <w:tcPr>
            <w:tcW w:w="1218" w:type="dxa"/>
            <w:tcBorders>
              <w:top w:val="single" w:color="auto" w:sz="4" w:space="0"/>
              <w:left w:val="single" w:color="auto" w:sz="4" w:space="0"/>
              <w:bottom w:val="single" w:color="auto" w:sz="4" w:space="0"/>
              <w:right w:val="single" w:color="auto" w:sz="4" w:space="0"/>
            </w:tcBorders>
            <w:noWrap/>
          </w:tcPr>
          <w:p w14:paraId="3A1D7754">
            <w:pPr>
              <w:spacing w:line="360" w:lineRule="auto"/>
              <w:outlineLvl w:val="9"/>
              <w:rPr>
                <w:rFonts w:ascii="宋体" w:cs="宋体"/>
                <w:szCs w:val="21"/>
              </w:rPr>
            </w:pPr>
          </w:p>
        </w:tc>
        <w:tc>
          <w:tcPr>
            <w:tcW w:w="820" w:type="dxa"/>
            <w:tcBorders>
              <w:top w:val="single" w:color="auto" w:sz="4" w:space="0"/>
              <w:left w:val="single" w:color="auto" w:sz="4" w:space="0"/>
              <w:bottom w:val="single" w:color="auto" w:sz="4" w:space="0"/>
              <w:right w:val="single" w:color="auto" w:sz="4" w:space="0"/>
            </w:tcBorders>
            <w:noWrap/>
          </w:tcPr>
          <w:p w14:paraId="53BB707E">
            <w:pPr>
              <w:spacing w:line="360" w:lineRule="auto"/>
              <w:outlineLvl w:val="9"/>
              <w:rPr>
                <w:rFonts w:ascii="宋体" w:cs="宋体"/>
                <w:szCs w:val="21"/>
              </w:rPr>
            </w:pPr>
          </w:p>
        </w:tc>
      </w:tr>
    </w:tbl>
    <w:p w14:paraId="01B8CA66">
      <w:pPr>
        <w:spacing w:line="360" w:lineRule="auto"/>
        <w:outlineLvl w:val="9"/>
        <w:rPr>
          <w:rFonts w:ascii="宋体" w:cs="宋体"/>
          <w:szCs w:val="21"/>
        </w:rPr>
      </w:pPr>
      <w:r>
        <w:rPr>
          <w:rFonts w:hint="eastAsia" w:ascii="宋体" w:cs="宋体"/>
          <w:szCs w:val="21"/>
        </w:rPr>
        <w:t>注：</w:t>
      </w:r>
    </w:p>
    <w:p w14:paraId="780C0B85">
      <w:pPr>
        <w:spacing w:line="360" w:lineRule="auto"/>
        <w:outlineLvl w:val="9"/>
        <w:rPr>
          <w:rFonts w:ascii="宋体" w:cs="宋体"/>
          <w:bCs/>
          <w:szCs w:val="21"/>
        </w:rPr>
      </w:pPr>
      <w:r>
        <w:rPr>
          <w:rFonts w:hint="eastAsia" w:ascii="宋体" w:cs="宋体"/>
          <w:bCs/>
          <w:szCs w:val="21"/>
        </w:rPr>
        <w:t>1.响应文件中须提供供应商类似项目履约能力情况表及相对应的履约能力证明材料，履约能力证明材料为供应商与委托方签订的合同（合同包括：合同首页、标的及金额所在页及合同签字盖章页）或委托方出具委托证明，无证明材料或证明材料不明确、无法体现业绩内容的，不予认可。</w:t>
      </w:r>
    </w:p>
    <w:p w14:paraId="2F8055A8">
      <w:pPr>
        <w:spacing w:line="360" w:lineRule="auto"/>
        <w:outlineLvl w:val="9"/>
        <w:rPr>
          <w:rFonts w:hint="eastAsia" w:ascii="宋体" w:cs="宋体"/>
          <w:bCs/>
          <w:szCs w:val="21"/>
        </w:rPr>
      </w:pPr>
      <w:r>
        <w:rPr>
          <w:rFonts w:hint="eastAsia" w:ascii="宋体" w:cs="宋体"/>
          <w:bCs/>
          <w:szCs w:val="21"/>
          <w:lang w:val="en-US" w:eastAsia="zh-CN"/>
        </w:rPr>
        <w:t>2</w:t>
      </w:r>
      <w:r>
        <w:rPr>
          <w:rFonts w:hint="eastAsia" w:ascii="宋体" w:cs="宋体"/>
          <w:bCs/>
          <w:szCs w:val="21"/>
        </w:rPr>
        <w:t>.供应商可根据实际情况拓展本表。</w:t>
      </w:r>
      <w:bookmarkEnd w:id="251"/>
      <w:bookmarkEnd w:id="252"/>
      <w:bookmarkEnd w:id="253"/>
      <w:bookmarkEnd w:id="254"/>
    </w:p>
    <w:p w14:paraId="12AB6A8D">
      <w:pPr>
        <w:spacing w:line="360" w:lineRule="auto"/>
        <w:outlineLvl w:val="9"/>
        <w:rPr>
          <w:rFonts w:hint="eastAsia" w:ascii="宋体" w:cs="宋体"/>
          <w:bCs/>
          <w:szCs w:val="21"/>
        </w:rPr>
      </w:pPr>
    </w:p>
    <w:p w14:paraId="51A77A72">
      <w:pPr>
        <w:spacing w:line="360" w:lineRule="auto"/>
        <w:outlineLvl w:val="9"/>
        <w:rPr>
          <w:rFonts w:hint="eastAsia" w:ascii="宋体" w:cs="宋体"/>
          <w:b/>
          <w:sz w:val="32"/>
          <w:szCs w:val="32"/>
        </w:rPr>
      </w:pPr>
    </w:p>
    <w:p w14:paraId="7472DEF2">
      <w:pPr>
        <w:widowControl/>
        <w:jc w:val="left"/>
        <w:outlineLvl w:val="9"/>
        <w:rPr>
          <w:rFonts w:hint="eastAsia" w:ascii="宋体" w:eastAsia="宋体" w:cs="宋体"/>
          <w:b/>
          <w:sz w:val="28"/>
          <w:szCs w:val="28"/>
          <w:lang w:val="en-US" w:eastAsia="zh-CN"/>
        </w:rPr>
      </w:pPr>
      <w:r>
        <w:rPr>
          <w:rFonts w:hint="eastAsia" w:ascii="宋体" w:eastAsia="宋体" w:cs="宋体"/>
          <w:b/>
          <w:sz w:val="28"/>
          <w:szCs w:val="28"/>
        </w:rPr>
        <w:t>格式</w:t>
      </w:r>
      <w:bookmarkEnd w:id="243"/>
      <w:bookmarkStart w:id="255" w:name="_Toc20636"/>
      <w:r>
        <w:rPr>
          <w:rFonts w:hint="eastAsia" w:ascii="宋体" w:eastAsia="宋体" w:cs="宋体"/>
          <w:b/>
          <w:sz w:val="28"/>
          <w:szCs w:val="28"/>
        </w:rPr>
        <w:t>1</w:t>
      </w:r>
      <w:r>
        <w:rPr>
          <w:rFonts w:hint="eastAsia" w:ascii="宋体" w:cs="宋体"/>
          <w:b/>
          <w:sz w:val="28"/>
          <w:szCs w:val="28"/>
          <w:lang w:val="en-US" w:eastAsia="zh-CN"/>
        </w:rPr>
        <w:t>7</w:t>
      </w:r>
    </w:p>
    <w:p w14:paraId="3C921C9B">
      <w:pPr>
        <w:keepNext/>
        <w:keepLines/>
        <w:widowControl w:val="0"/>
        <w:spacing w:before="120" w:after="120" w:line="360" w:lineRule="auto"/>
        <w:ind w:left="425"/>
        <w:jc w:val="center"/>
        <w:outlineLvl w:val="9"/>
        <w:rPr>
          <w:rFonts w:ascii="宋体" w:cs="宋体"/>
          <w:b/>
          <w:bCs/>
          <w:sz w:val="32"/>
          <w:szCs w:val="32"/>
        </w:rPr>
      </w:pPr>
      <w:bookmarkStart w:id="256" w:name="_Toc13616"/>
      <w:bookmarkStart w:id="257" w:name="_Toc22008"/>
      <w:bookmarkStart w:id="258" w:name="_Toc18731"/>
      <w:bookmarkStart w:id="259" w:name="_Toc15519"/>
      <w:bookmarkStart w:id="260" w:name="_Toc18287450"/>
      <w:bookmarkStart w:id="261" w:name="_Toc14603927"/>
      <w:r>
        <w:rPr>
          <w:rFonts w:hint="eastAsia" w:ascii="宋体" w:cs="宋体"/>
          <w:b/>
          <w:bCs/>
          <w:sz w:val="28"/>
          <w:szCs w:val="28"/>
        </w:rPr>
        <w:t>构成响应文件的</w:t>
      </w:r>
      <w:r>
        <w:rPr>
          <w:rFonts w:hint="eastAsia" w:ascii="宋体" w:cs="宋体"/>
          <w:b/>
          <w:bCs/>
          <w:sz w:val="28"/>
          <w:szCs w:val="28"/>
          <w:lang w:eastAsia="zh-CN"/>
        </w:rPr>
        <w:t>其他</w:t>
      </w:r>
      <w:r>
        <w:rPr>
          <w:rFonts w:hint="eastAsia" w:ascii="宋体" w:cs="宋体"/>
          <w:b/>
          <w:bCs/>
          <w:sz w:val="28"/>
          <w:szCs w:val="28"/>
        </w:rPr>
        <w:t>资料</w:t>
      </w:r>
      <w:bookmarkEnd w:id="255"/>
      <w:bookmarkEnd w:id="256"/>
      <w:bookmarkEnd w:id="257"/>
      <w:bookmarkEnd w:id="258"/>
      <w:bookmarkEnd w:id="259"/>
      <w:bookmarkEnd w:id="260"/>
      <w:bookmarkEnd w:id="261"/>
    </w:p>
    <w:p w14:paraId="64A6E914">
      <w:pPr>
        <w:widowControl/>
        <w:spacing w:line="480" w:lineRule="auto"/>
        <w:jc w:val="left"/>
        <w:outlineLvl w:val="9"/>
        <w:rPr>
          <w:rFonts w:hint="eastAsia" w:ascii="宋体" w:eastAsia="宋体" w:cs="宋体"/>
          <w:kern w:val="0"/>
          <w:szCs w:val="21"/>
          <w:lang w:eastAsia="zh-CN"/>
        </w:rPr>
      </w:pPr>
      <w:r>
        <w:rPr>
          <w:rFonts w:hint="eastAsia" w:ascii="宋体" w:cs="宋体"/>
          <w:kern w:val="0"/>
          <w:szCs w:val="21"/>
        </w:rPr>
        <w:t>1.磋商保证金交纳凭证或保函（复印件加盖供应商电子公章）</w:t>
      </w:r>
      <w:r>
        <w:rPr>
          <w:rFonts w:hint="eastAsia" w:ascii="宋体" w:cs="宋体"/>
          <w:kern w:val="0"/>
          <w:szCs w:val="21"/>
          <w:lang w:eastAsia="zh-CN"/>
        </w:rPr>
        <w:t>；</w:t>
      </w:r>
    </w:p>
    <w:p w14:paraId="19C0CDFB">
      <w:pPr>
        <w:widowControl/>
        <w:spacing w:line="480" w:lineRule="auto"/>
        <w:jc w:val="left"/>
        <w:outlineLvl w:val="9"/>
        <w:rPr>
          <w:rFonts w:hint="eastAsia" w:ascii="宋体" w:cs="宋体"/>
          <w:kern w:val="0"/>
          <w:szCs w:val="21"/>
        </w:rPr>
      </w:pPr>
      <w:r>
        <w:rPr>
          <w:rFonts w:hint="eastAsia" w:ascii="宋体" w:cs="宋体"/>
          <w:kern w:val="0"/>
          <w:szCs w:val="21"/>
        </w:rPr>
        <w:t>2.第五章《采购需求》中要求提供的其他资料；</w:t>
      </w:r>
    </w:p>
    <w:p w14:paraId="6968BF69">
      <w:pPr>
        <w:widowControl/>
        <w:spacing w:line="480" w:lineRule="auto"/>
        <w:jc w:val="left"/>
        <w:outlineLvl w:val="9"/>
        <w:rPr>
          <w:rFonts w:ascii="宋体" w:cs="宋体"/>
          <w:kern w:val="0"/>
          <w:szCs w:val="21"/>
        </w:rPr>
      </w:pPr>
      <w:r>
        <w:rPr>
          <w:rFonts w:hint="eastAsia" w:ascii="宋体" w:cs="宋体"/>
          <w:kern w:val="0"/>
          <w:szCs w:val="21"/>
        </w:rPr>
        <w:t>3.竞争性磋商文件中所涉及到的相关资料及证明文件或供应商认为必须提供的其他相关资料。</w:t>
      </w:r>
    </w:p>
    <w:p w14:paraId="7EA11CCE">
      <w:pPr>
        <w:widowControl/>
        <w:spacing w:line="480" w:lineRule="auto"/>
        <w:jc w:val="left"/>
        <w:rPr>
          <w:rFonts w:ascii="宋体" w:cs="宋体"/>
          <w:szCs w:val="21"/>
        </w:rPr>
      </w:pPr>
      <w:r>
        <w:rPr>
          <w:rFonts w:hint="eastAsia" w:ascii="宋体" w:cs="宋体"/>
          <w:b/>
          <w:szCs w:val="21"/>
        </w:rPr>
        <w:br w:type="page"/>
      </w:r>
    </w:p>
    <w:p w14:paraId="50ED8377">
      <w:pPr>
        <w:pStyle w:val="3"/>
        <w:rPr>
          <w:rFonts w:ascii="宋体" w:cs="黑体"/>
          <w:szCs w:val="32"/>
        </w:rPr>
      </w:pPr>
      <w:bookmarkStart w:id="262" w:name="_Toc489145771"/>
      <w:bookmarkStart w:id="263" w:name="_Toc3309"/>
      <w:r>
        <w:rPr>
          <w:rFonts w:hint="eastAsia" w:ascii="宋体" w:cs="黑体"/>
          <w:szCs w:val="32"/>
        </w:rPr>
        <w:t>第五章</w:t>
      </w:r>
      <w:r>
        <w:rPr>
          <w:rFonts w:ascii="宋体" w:cs="黑体"/>
          <w:szCs w:val="32"/>
        </w:rPr>
        <w:t xml:space="preserve">  </w:t>
      </w:r>
      <w:bookmarkEnd w:id="262"/>
      <w:r>
        <w:rPr>
          <w:rFonts w:hint="eastAsia" w:ascii="宋体" w:cs="黑体"/>
          <w:szCs w:val="32"/>
        </w:rPr>
        <w:t>采购需求</w:t>
      </w:r>
      <w:bookmarkEnd w:id="263"/>
    </w:p>
    <w:bookmarkEnd w:id="7"/>
    <w:bookmarkEnd w:id="8"/>
    <w:p w14:paraId="7EAC4A59">
      <w:pPr>
        <w:adjustRightInd w:val="0"/>
        <w:spacing w:line="360" w:lineRule="auto"/>
        <w:ind w:firstLine="211" w:firstLineChars="100"/>
        <w:rPr>
          <w:rFonts w:ascii="宋体" w:cs="宋体"/>
          <w:b/>
          <w:bCs/>
          <w:szCs w:val="21"/>
        </w:rPr>
      </w:pPr>
      <w:bookmarkStart w:id="264" w:name="_Toc480817651"/>
      <w:bookmarkStart w:id="265" w:name="_Toc8419"/>
      <w:bookmarkStart w:id="266" w:name="_Toc401342142"/>
      <w:bookmarkStart w:id="267" w:name="_Toc18287452"/>
      <w:bookmarkStart w:id="268" w:name="_Toc29379757"/>
      <w:bookmarkStart w:id="269" w:name="_Toc489145773"/>
      <w:r>
        <w:rPr>
          <w:rFonts w:hint="eastAsia" w:ascii="宋体" w:cs="宋体"/>
          <w:b/>
          <w:bCs/>
          <w:szCs w:val="21"/>
        </w:rPr>
        <w:t>说明：</w:t>
      </w:r>
    </w:p>
    <w:p w14:paraId="1F5C9332">
      <w:pPr>
        <w:adjustRightInd w:val="0"/>
        <w:spacing w:line="360" w:lineRule="auto"/>
        <w:ind w:firstLine="211" w:firstLineChars="100"/>
        <w:rPr>
          <w:rFonts w:ascii="宋体" w:cs="宋体"/>
          <w:b/>
          <w:bCs/>
          <w:szCs w:val="21"/>
        </w:rPr>
      </w:pPr>
      <w:r>
        <w:rPr>
          <w:rFonts w:hint="eastAsia" w:ascii="宋体" w:cs="宋体"/>
          <w:b/>
          <w:bCs/>
          <w:szCs w:val="21"/>
        </w:rPr>
        <w:t>1.供应商应保证其提供的货物、工程或者服务在采购人使用期间不受第三方可能提出的侵犯其所有权、知识产权、商标权、专利权、著作权等相关权利的起诉。本项目工作成果所有权归采购人拥有，在没有经过</w:t>
      </w:r>
      <w:r>
        <w:rPr>
          <w:rFonts w:hint="eastAsia" w:ascii="宋体" w:cs="宋体"/>
          <w:b/>
          <w:bCs/>
          <w:szCs w:val="21"/>
          <w:lang w:val="en-US" w:eastAsia="zh-CN"/>
        </w:rPr>
        <w:t>采购人</w:t>
      </w:r>
      <w:r>
        <w:rPr>
          <w:rFonts w:hint="eastAsia" w:ascii="宋体" w:cs="宋体"/>
          <w:b/>
          <w:bCs/>
          <w:szCs w:val="21"/>
        </w:rPr>
        <w:t>认可情况下，不得向第三方转让。</w:t>
      </w:r>
    </w:p>
    <w:p w14:paraId="5D71C21B">
      <w:pPr>
        <w:adjustRightInd w:val="0"/>
        <w:spacing w:line="360" w:lineRule="auto"/>
        <w:ind w:firstLine="211" w:firstLineChars="100"/>
        <w:rPr>
          <w:rFonts w:ascii="宋体" w:cs="宋体"/>
          <w:b/>
          <w:bCs/>
          <w:szCs w:val="21"/>
        </w:rPr>
      </w:pPr>
      <w:bookmarkStart w:id="270" w:name="_Toc491307332"/>
      <w:bookmarkStart w:id="271" w:name="_Toc491307394"/>
      <w:r>
        <w:rPr>
          <w:rFonts w:hint="eastAsia" w:ascii="宋体" w:cs="宋体"/>
          <w:b/>
          <w:bCs/>
          <w:szCs w:val="21"/>
        </w:rPr>
        <w:t>2.供应商应对在项目服务的过程中，涉及到</w:t>
      </w:r>
      <w:r>
        <w:rPr>
          <w:rFonts w:hint="eastAsia" w:ascii="宋体" w:cs="宋体"/>
          <w:b/>
          <w:bCs/>
          <w:szCs w:val="21"/>
          <w:lang w:val="en-US" w:eastAsia="zh-CN"/>
        </w:rPr>
        <w:t>采购人</w:t>
      </w:r>
      <w:r>
        <w:rPr>
          <w:rFonts w:hint="eastAsia" w:ascii="宋体" w:cs="宋体"/>
          <w:b/>
          <w:bCs/>
          <w:szCs w:val="21"/>
        </w:rPr>
        <w:t>的工作信息等秘密内容进行保密。双方应共同对工作中涉及的技术情报和资料进行保密。</w:t>
      </w:r>
      <w:bookmarkEnd w:id="270"/>
      <w:bookmarkEnd w:id="271"/>
    </w:p>
    <w:bookmarkEnd w:id="264"/>
    <w:bookmarkEnd w:id="265"/>
    <w:bookmarkEnd w:id="266"/>
    <w:p w14:paraId="6CF6BA9D">
      <w:pPr>
        <w:rPr>
          <w:rFonts w:hint="eastAsia" w:ascii="宋体" w:hAnsi="宋体" w:eastAsia="宋体" w:cs="宋体"/>
          <w:b/>
          <w:bCs/>
          <w:sz w:val="21"/>
          <w:szCs w:val="21"/>
        </w:rPr>
      </w:pPr>
      <w:r>
        <w:rPr>
          <w:rFonts w:hint="eastAsia" w:ascii="宋体" w:hAnsi="宋体" w:eastAsia="宋体" w:cs="宋体"/>
          <w:b/>
          <w:bCs/>
          <w:sz w:val="21"/>
          <w:szCs w:val="21"/>
        </w:rPr>
        <w:br w:type="page"/>
      </w:r>
    </w:p>
    <w:p w14:paraId="3478F4AF">
      <w:pPr>
        <w:widowControl/>
        <w:adjustRightInd w:val="0"/>
        <w:snapToGrid w:val="0"/>
        <w:spacing w:line="360" w:lineRule="auto"/>
        <w:jc w:val="left"/>
        <w:rPr>
          <w:rFonts w:hint="eastAsia" w:ascii="宋体" w:hAnsi="Calibri" w:eastAsia="宋体" w:cs="宋体"/>
          <w:b/>
          <w:bCs/>
          <w:color w:val="auto"/>
          <w:spacing w:val="0"/>
          <w:kern w:val="2"/>
          <w:sz w:val="21"/>
          <w:szCs w:val="21"/>
          <w:highlight w:val="none"/>
          <w:lang w:val="en-US" w:eastAsia="zh-CN" w:bidi="ar-SA"/>
        </w:rPr>
      </w:pPr>
      <w:bookmarkStart w:id="272" w:name="_Toc28876"/>
      <w:bookmarkStart w:id="273" w:name="_Toc27119"/>
      <w:bookmarkStart w:id="274" w:name="_Toc29022"/>
      <w:bookmarkStart w:id="275" w:name="_Toc18446"/>
      <w:r>
        <w:rPr>
          <w:rFonts w:hint="eastAsia" w:ascii="宋体" w:hAnsi="Calibri" w:eastAsia="宋体" w:cs="宋体"/>
          <w:b/>
          <w:bCs/>
          <w:color w:val="auto"/>
          <w:spacing w:val="0"/>
          <w:kern w:val="2"/>
          <w:sz w:val="21"/>
          <w:szCs w:val="21"/>
          <w:highlight w:val="none"/>
          <w:lang w:val="en-US" w:eastAsia="zh-CN" w:bidi="ar-SA"/>
        </w:rPr>
        <w:t>一、采购标的需实现的功能或目标，以及为落实政府采购政策需满足的要求</w:t>
      </w:r>
      <w:bookmarkEnd w:id="272"/>
      <w:bookmarkEnd w:id="273"/>
      <w:bookmarkEnd w:id="274"/>
      <w:bookmarkEnd w:id="275"/>
    </w:p>
    <w:p w14:paraId="7B3D6253">
      <w:pPr>
        <w:adjustRightInd w:val="0"/>
        <w:snapToGrid w:val="0"/>
        <w:spacing w:line="360" w:lineRule="auto"/>
        <w:ind w:firstLine="420" w:firstLineChars="200"/>
        <w:rPr>
          <w:rFonts w:hint="eastAsia" w:ascii="宋体" w:hAnsi="Calibri" w:eastAsia="宋体" w:cs="宋体"/>
          <w:b w:val="0"/>
          <w:color w:val="auto"/>
          <w:spacing w:val="0"/>
          <w:kern w:val="2"/>
          <w:sz w:val="21"/>
          <w:szCs w:val="21"/>
          <w:highlight w:val="none"/>
          <w:lang w:val="en-US" w:eastAsia="zh-CN" w:bidi="ar-SA"/>
        </w:rPr>
      </w:pPr>
      <w:bookmarkStart w:id="276" w:name="_Toc3922"/>
      <w:bookmarkStart w:id="277" w:name="_Toc24892"/>
      <w:bookmarkStart w:id="278" w:name="_Toc22055"/>
      <w:bookmarkStart w:id="279" w:name="_Toc28434"/>
      <w:r>
        <w:rPr>
          <w:rFonts w:hint="eastAsia" w:ascii="宋体" w:hAnsi="Calibri" w:eastAsia="宋体" w:cs="宋体"/>
          <w:b w:val="0"/>
          <w:color w:val="auto"/>
          <w:spacing w:val="0"/>
          <w:kern w:val="2"/>
          <w:sz w:val="21"/>
          <w:szCs w:val="21"/>
          <w:highlight w:val="none"/>
          <w:lang w:val="en-US" w:eastAsia="zh-CN" w:bidi="ar-SA"/>
        </w:rPr>
        <w:t>（1）要实现的功能或者目标：根据《生态文明建设示范区（生态工业园区）管理办法》（环科财〔2026〕4号）第二十四条的规定，“生态工业园区每年编制《生态文明建设示范区（生态工业园区）年度工作报告》于次年6月30日前经省级生态环境厅报送协调机制工作组。”。</w:t>
      </w:r>
      <w:bookmarkEnd w:id="276"/>
      <w:bookmarkEnd w:id="277"/>
    </w:p>
    <w:p w14:paraId="27517E53">
      <w:pPr>
        <w:adjustRightInd w:val="0"/>
        <w:snapToGrid w:val="0"/>
        <w:spacing w:line="360" w:lineRule="auto"/>
        <w:ind w:firstLine="420" w:firstLineChars="200"/>
        <w:rPr>
          <w:rFonts w:hint="eastAsia" w:ascii="宋体" w:hAnsi="Calibri" w:eastAsia="宋体" w:cs="宋体"/>
          <w:b w:val="0"/>
          <w:color w:val="auto"/>
          <w:spacing w:val="0"/>
          <w:kern w:val="2"/>
          <w:sz w:val="21"/>
          <w:szCs w:val="21"/>
          <w:highlight w:val="none"/>
          <w:lang w:val="en-US" w:eastAsia="zh-CN" w:bidi="ar-SA"/>
        </w:rPr>
      </w:pPr>
      <w:bookmarkStart w:id="280" w:name="_Toc16268"/>
      <w:bookmarkStart w:id="281" w:name="_Toc26949"/>
      <w:r>
        <w:rPr>
          <w:rFonts w:hint="eastAsia" w:ascii="宋体" w:hAnsi="Calibri" w:eastAsia="宋体" w:cs="宋体"/>
          <w:b w:val="0"/>
          <w:color w:val="auto"/>
          <w:spacing w:val="0"/>
          <w:kern w:val="2"/>
          <w:sz w:val="21"/>
          <w:szCs w:val="21"/>
          <w:highlight w:val="none"/>
          <w:lang w:val="en-US" w:eastAsia="zh-CN" w:bidi="ar-SA"/>
        </w:rPr>
        <w:t>（2）落实政府采购政策需满足的要求：</w:t>
      </w:r>
      <w:bookmarkEnd w:id="280"/>
      <w:bookmarkEnd w:id="281"/>
      <w:r>
        <w:rPr>
          <w:rFonts w:hint="eastAsia" w:ascii="宋体" w:hAnsi="Calibri" w:eastAsia="宋体" w:cs="宋体"/>
          <w:b w:val="0"/>
          <w:color w:val="auto"/>
          <w:spacing w:val="0"/>
          <w:kern w:val="2"/>
          <w:sz w:val="21"/>
          <w:szCs w:val="21"/>
          <w:highlight w:val="none"/>
          <w:lang w:val="en-US" w:eastAsia="zh-CN" w:bidi="ar-SA"/>
        </w:rPr>
        <w:t>符合《中华人民共和国政府采购法》、《中华人民共和国政府采购法实施条例》、《政府采购竞争性磋商采购方式管理暂行办法》《政府采购非招标采购方式管理办法》等有关法律、法规和规章的规定。</w:t>
      </w:r>
    </w:p>
    <w:bookmarkEnd w:id="278"/>
    <w:bookmarkEnd w:id="279"/>
    <w:p w14:paraId="03C4084E">
      <w:pPr>
        <w:widowControl/>
        <w:adjustRightInd w:val="0"/>
        <w:snapToGrid w:val="0"/>
        <w:spacing w:line="360" w:lineRule="auto"/>
        <w:jc w:val="left"/>
        <w:rPr>
          <w:rFonts w:hint="eastAsia" w:ascii="宋体" w:hAnsi="Calibri" w:eastAsia="宋体" w:cs="宋体"/>
          <w:b/>
          <w:bCs/>
          <w:color w:val="auto"/>
          <w:spacing w:val="0"/>
          <w:kern w:val="2"/>
          <w:sz w:val="21"/>
          <w:szCs w:val="21"/>
          <w:highlight w:val="none"/>
          <w:lang w:val="en-US" w:eastAsia="zh-CN" w:bidi="ar-SA"/>
        </w:rPr>
      </w:pPr>
      <w:bookmarkStart w:id="282" w:name="_Toc6086"/>
      <w:bookmarkStart w:id="283" w:name="_Toc22557"/>
      <w:r>
        <w:rPr>
          <w:rFonts w:hint="eastAsia" w:ascii="宋体" w:hAnsi="Calibri" w:eastAsia="宋体" w:cs="宋体"/>
          <w:b/>
          <w:bCs/>
          <w:color w:val="auto"/>
          <w:spacing w:val="0"/>
          <w:kern w:val="2"/>
          <w:sz w:val="21"/>
          <w:szCs w:val="21"/>
          <w:highlight w:val="none"/>
          <w:lang w:val="en-US" w:eastAsia="zh-CN" w:bidi="ar-SA"/>
        </w:rPr>
        <w:t>二、采购标的需执行的国家相关标准、行业标准、地方标准或者其他标准、规范</w:t>
      </w:r>
      <w:bookmarkEnd w:id="282"/>
      <w:bookmarkEnd w:id="283"/>
    </w:p>
    <w:p w14:paraId="064BC0C1">
      <w:pPr>
        <w:widowControl/>
        <w:adjustRightInd w:val="0"/>
        <w:snapToGrid w:val="0"/>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bookmarkStart w:id="284" w:name="_Toc31068"/>
      <w:bookmarkStart w:id="285" w:name="_Toc1095"/>
      <w:r>
        <w:rPr>
          <w:rFonts w:hint="eastAsia" w:ascii="宋体" w:hAnsi="Calibri" w:eastAsia="宋体" w:cs="宋体"/>
          <w:b w:val="0"/>
          <w:color w:val="auto"/>
          <w:spacing w:val="0"/>
          <w:kern w:val="2"/>
          <w:sz w:val="21"/>
          <w:szCs w:val="21"/>
          <w:highlight w:val="none"/>
          <w:lang w:val="en-US" w:eastAsia="zh-CN" w:bidi="ar-SA"/>
        </w:rPr>
        <w:t>符合国家和省级相关法律法规规定、行业标准或者其他标准、规范，满足采购人的需求。</w:t>
      </w:r>
    </w:p>
    <w:p w14:paraId="6C4B807E">
      <w:pPr>
        <w:widowControl/>
        <w:adjustRightInd w:val="0"/>
        <w:snapToGrid w:val="0"/>
        <w:spacing w:line="360" w:lineRule="auto"/>
        <w:jc w:val="left"/>
        <w:rPr>
          <w:rFonts w:hint="eastAsia" w:ascii="宋体" w:hAnsi="Calibri" w:eastAsia="宋体" w:cs="宋体"/>
          <w:b/>
          <w:bCs/>
          <w:color w:val="auto"/>
          <w:spacing w:val="0"/>
          <w:kern w:val="2"/>
          <w:sz w:val="21"/>
          <w:szCs w:val="21"/>
          <w:highlight w:val="none"/>
          <w:lang w:val="en-US" w:eastAsia="zh-CN" w:bidi="ar-SA"/>
        </w:rPr>
      </w:pPr>
      <w:r>
        <w:rPr>
          <w:rFonts w:hint="eastAsia" w:ascii="宋体" w:hAnsi="Calibri" w:eastAsia="宋体" w:cs="宋体"/>
          <w:b/>
          <w:bCs/>
          <w:color w:val="auto"/>
          <w:spacing w:val="0"/>
          <w:kern w:val="2"/>
          <w:sz w:val="21"/>
          <w:szCs w:val="21"/>
          <w:highlight w:val="none"/>
          <w:lang w:val="en-US" w:eastAsia="zh-CN" w:bidi="ar-SA"/>
        </w:rPr>
        <w:t>三、采购标的需满足的质量、安全、技术参数、物理特性等要求</w:t>
      </w:r>
    </w:p>
    <w:bookmarkEnd w:id="284"/>
    <w:bookmarkEnd w:id="285"/>
    <w:p w14:paraId="34C1FA17">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cs="宋体"/>
          <w:b w:val="0"/>
          <w:color w:val="auto"/>
          <w:spacing w:val="0"/>
          <w:kern w:val="2"/>
          <w:sz w:val="21"/>
          <w:szCs w:val="21"/>
          <w:highlight w:val="none"/>
          <w:lang w:val="en-US" w:eastAsia="zh-CN" w:bidi="ar-SA"/>
        </w:rPr>
        <w:t>根据《生态文明建设示范区（生态工业园区）管理办法》（环科财〔2026〕4号）第二十四条的规定，“生态工业园区每年编制《生态文明建设示范区（生态工业园区）年度工作报告》于次年6月30日前经省级生态环境厅报送协调机制工作组。”。</w:t>
      </w:r>
    </w:p>
    <w:p w14:paraId="42737A3D">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1.基础资料收集调研</w:t>
      </w:r>
    </w:p>
    <w:p w14:paraId="2FDF7416">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2026年5月对2025年度昆明经开区开展生态文明建设示范区（生态工业园区）建设情况进行资料调研；收集园区基本情况、经济产业状况、环境现状、重点项目建设情况等方面的基础数据和工作情况。</w:t>
      </w:r>
    </w:p>
    <w:p w14:paraId="74F86FD1">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2.编制报告</w:t>
      </w:r>
    </w:p>
    <w:p w14:paraId="6E6EA2B2">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宋体" w:cs="宋体"/>
          <w:color w:val="auto"/>
          <w:szCs w:val="21"/>
        </w:rPr>
        <w:t>按照《生态工业园区建设标准》的指标体系，从评价基本要求和选</w:t>
      </w:r>
      <w:r>
        <w:rPr>
          <w:rFonts w:hint="eastAsia" w:ascii="宋体" w:hAnsi="宋体" w:cs="宋体"/>
          <w:color w:val="auto"/>
          <w:szCs w:val="21"/>
          <w:lang w:eastAsia="zh-CN"/>
        </w:rPr>
        <w:t>取的</w:t>
      </w:r>
      <w:r>
        <w:rPr>
          <w:rFonts w:hint="eastAsia" w:ascii="宋体" w:hAnsi="宋体" w:cs="宋体"/>
          <w:color w:val="auto"/>
          <w:szCs w:val="21"/>
        </w:rPr>
        <w:t>指标总结园区2025年度生态建设情况，计算各指标的达标情况，</w:t>
      </w:r>
      <w:r>
        <w:rPr>
          <w:rFonts w:hint="eastAsia" w:ascii="宋体" w:hAnsi="Calibri" w:eastAsia="宋体" w:cs="宋体"/>
          <w:b w:val="0"/>
          <w:color w:val="auto"/>
          <w:spacing w:val="0"/>
          <w:kern w:val="2"/>
          <w:sz w:val="21"/>
          <w:szCs w:val="21"/>
          <w:highlight w:val="none"/>
          <w:lang w:val="en-US" w:eastAsia="zh-CN" w:bidi="ar-SA"/>
        </w:rPr>
        <w:t>分析存在问题，提出下一步工作计划和对策，2026年5月底前编制形成《昆明经济技术开发区生态文明建设示范区（生态工业园区）2025年度工作报告》。</w:t>
      </w:r>
    </w:p>
    <w:p w14:paraId="41AD7523">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3.征求意见</w:t>
      </w:r>
    </w:p>
    <w:p w14:paraId="1CCA8651">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2026年6月上旬报告初稿形成后，采购人征求各相关部门意见建议，供应商根据反馈意见修改完善报告内容。</w:t>
      </w:r>
    </w:p>
    <w:p w14:paraId="39D2E9FA">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4.提交报送</w:t>
      </w:r>
    </w:p>
    <w:p w14:paraId="3E1C1659">
      <w:pPr>
        <w:widowControl/>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2026年6月</w:t>
      </w:r>
      <w:r>
        <w:rPr>
          <w:rFonts w:hint="eastAsia" w:ascii="宋体" w:cs="宋体"/>
          <w:b w:val="0"/>
          <w:color w:val="auto"/>
          <w:spacing w:val="0"/>
          <w:kern w:val="2"/>
          <w:sz w:val="21"/>
          <w:szCs w:val="21"/>
          <w:highlight w:val="none"/>
          <w:lang w:val="en-US" w:eastAsia="zh-CN" w:bidi="ar-SA"/>
        </w:rPr>
        <w:t>20日</w:t>
      </w:r>
      <w:r>
        <w:rPr>
          <w:rFonts w:hint="eastAsia" w:ascii="宋体" w:hAnsi="Calibri" w:eastAsia="宋体" w:cs="宋体"/>
          <w:b w:val="0"/>
          <w:color w:val="auto"/>
          <w:spacing w:val="0"/>
          <w:kern w:val="2"/>
          <w:sz w:val="21"/>
          <w:szCs w:val="21"/>
          <w:highlight w:val="none"/>
          <w:lang w:val="en-US" w:eastAsia="zh-CN" w:bidi="ar-SA"/>
        </w:rPr>
        <w:t>前报告完善后报省生态环境厅审核，</w:t>
      </w:r>
      <w:r>
        <w:rPr>
          <w:rFonts w:hint="eastAsia" w:ascii="宋体" w:cs="宋体"/>
          <w:b w:val="0"/>
          <w:color w:val="auto"/>
          <w:spacing w:val="0"/>
          <w:kern w:val="2"/>
          <w:sz w:val="21"/>
          <w:szCs w:val="21"/>
          <w:highlight w:val="none"/>
          <w:lang w:val="en-US" w:eastAsia="zh-CN" w:bidi="ar-SA"/>
        </w:rPr>
        <w:t>6月30日前</w:t>
      </w:r>
      <w:r>
        <w:rPr>
          <w:rFonts w:hint="eastAsia" w:ascii="宋体" w:hAnsi="Calibri" w:eastAsia="宋体" w:cs="宋体"/>
          <w:b w:val="0"/>
          <w:color w:val="auto"/>
          <w:spacing w:val="0"/>
          <w:kern w:val="2"/>
          <w:sz w:val="21"/>
          <w:szCs w:val="21"/>
          <w:highlight w:val="none"/>
          <w:lang w:val="en-US" w:eastAsia="zh-CN" w:bidi="ar-SA"/>
        </w:rPr>
        <w:t>最终提交报至协调机制工作组。</w:t>
      </w:r>
    </w:p>
    <w:p w14:paraId="7E46A2D5">
      <w:pPr>
        <w:pStyle w:val="11"/>
        <w:tabs>
          <w:tab w:val="left" w:pos="750"/>
        </w:tabs>
        <w:adjustRightInd w:val="0"/>
        <w:snapToGrid w:val="0"/>
        <w:spacing w:beforeLines="0" w:line="360" w:lineRule="auto"/>
        <w:ind w:firstLine="0" w:firstLineChars="0"/>
        <w:rPr>
          <w:rFonts w:hint="eastAsia" w:ascii="宋体" w:hAnsi="Calibri" w:eastAsia="宋体" w:cs="宋体"/>
          <w:b/>
          <w:bCs/>
          <w:color w:val="auto"/>
          <w:spacing w:val="0"/>
          <w:kern w:val="2"/>
          <w:sz w:val="21"/>
          <w:szCs w:val="21"/>
          <w:highlight w:val="none"/>
          <w:lang w:val="en-US" w:eastAsia="zh-CN" w:bidi="ar-SA"/>
        </w:rPr>
      </w:pPr>
      <w:r>
        <w:rPr>
          <w:rFonts w:hint="eastAsia" w:ascii="宋体" w:hAnsi="Calibri" w:eastAsia="宋体" w:cs="宋体"/>
          <w:b/>
          <w:bCs/>
          <w:color w:val="auto"/>
          <w:spacing w:val="0"/>
          <w:kern w:val="2"/>
          <w:sz w:val="21"/>
          <w:szCs w:val="21"/>
          <w:highlight w:val="none"/>
          <w:lang w:val="en-US" w:eastAsia="zh-CN" w:bidi="ar-SA"/>
        </w:rPr>
        <w:t>四、采购标的的数量、采购项目交付或者实施的时间和地点</w:t>
      </w:r>
    </w:p>
    <w:p w14:paraId="7C0937D7">
      <w:pPr>
        <w:adjustRightInd w:val="0"/>
        <w:snapToGrid w:val="0"/>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（1）采购标的数量：</w:t>
      </w:r>
    </w:p>
    <w:p w14:paraId="3F9EE484">
      <w:pPr>
        <w:adjustRightInd w:val="0"/>
        <w:snapToGrid w:val="0"/>
        <w:spacing w:line="360" w:lineRule="auto"/>
        <w:ind w:firstLine="420" w:firstLineChars="200"/>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采购标的数量：1</w:t>
      </w:r>
      <w:r>
        <w:rPr>
          <w:rFonts w:hint="eastAsia" w:ascii="宋体" w:eastAsia="宋体" w:cs="宋体"/>
          <w:b w:val="0"/>
          <w:color w:val="auto"/>
          <w:spacing w:val="0"/>
          <w:kern w:val="2"/>
          <w:sz w:val="21"/>
          <w:szCs w:val="21"/>
          <w:highlight w:val="none"/>
          <w:lang w:val="en-US" w:eastAsia="zh-CN" w:bidi="ar-SA"/>
        </w:rPr>
        <w:t>项</w:t>
      </w:r>
      <w:r>
        <w:rPr>
          <w:rFonts w:hint="eastAsia" w:ascii="宋体" w:hAnsi="Calibri" w:eastAsia="宋体" w:cs="宋体"/>
          <w:b w:val="0"/>
          <w:color w:val="auto"/>
          <w:spacing w:val="0"/>
          <w:kern w:val="2"/>
          <w:sz w:val="21"/>
          <w:szCs w:val="21"/>
          <w:highlight w:val="none"/>
          <w:lang w:val="en-US" w:eastAsia="zh-CN" w:bidi="ar-SA"/>
        </w:rPr>
        <w:t>；</w:t>
      </w:r>
    </w:p>
    <w:p w14:paraId="15CAB475">
      <w:pPr>
        <w:adjustRightInd w:val="0"/>
        <w:snapToGrid w:val="0"/>
        <w:spacing w:line="360" w:lineRule="auto"/>
        <w:ind w:firstLine="420" w:firstLineChars="200"/>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标的名称：昆明经济技术开发区2025年度生态建设绩效追踪项目；</w:t>
      </w:r>
    </w:p>
    <w:p w14:paraId="5F8031A5">
      <w:pPr>
        <w:pStyle w:val="11"/>
        <w:tabs>
          <w:tab w:val="left" w:pos="750"/>
        </w:tabs>
        <w:adjustRightInd w:val="0"/>
        <w:snapToGrid w:val="0"/>
        <w:spacing w:beforeLines="0" w:line="360" w:lineRule="auto"/>
        <w:ind w:firstLine="420"/>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采购预算总额：30.00万元。</w:t>
      </w:r>
    </w:p>
    <w:p w14:paraId="69F763B5">
      <w:pPr>
        <w:numPr>
          <w:ilvl w:val="0"/>
          <w:numId w:val="0"/>
        </w:numPr>
        <w:adjustRightInd w:val="0"/>
        <w:snapToGrid w:val="0"/>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（2）合同履行期限（服务期限）：</w:t>
      </w:r>
      <w:r>
        <w:rPr>
          <w:rFonts w:hint="eastAsia" w:ascii="宋体" w:cs="宋体"/>
          <w:b w:val="0"/>
          <w:color w:val="auto"/>
          <w:spacing w:val="0"/>
          <w:kern w:val="2"/>
          <w:sz w:val="21"/>
          <w:szCs w:val="21"/>
          <w:highlight w:val="none"/>
          <w:lang w:val="en-US" w:eastAsia="zh-CN" w:bidi="ar-SA"/>
        </w:rPr>
        <w:t>2026年6月底前完成《昆明经济技术开发区生态文明建设示范区（生态工业园区）2025年度工作报告》编制，经省生态环境厅审核后提交至协调机制工作组</w:t>
      </w:r>
      <w:r>
        <w:rPr>
          <w:rFonts w:hint="eastAsia" w:ascii="宋体" w:hAnsi="Calibri" w:eastAsia="宋体" w:cs="宋体"/>
          <w:b w:val="0"/>
          <w:color w:val="auto"/>
          <w:spacing w:val="0"/>
          <w:kern w:val="2"/>
          <w:sz w:val="21"/>
          <w:szCs w:val="21"/>
          <w:highlight w:val="none"/>
          <w:lang w:val="en-US" w:eastAsia="zh-CN" w:bidi="ar-SA"/>
        </w:rPr>
        <w:t>。</w:t>
      </w:r>
    </w:p>
    <w:p w14:paraId="19A25F1D">
      <w:pPr>
        <w:numPr>
          <w:ilvl w:val="0"/>
          <w:numId w:val="0"/>
        </w:numPr>
        <w:adjustRightInd w:val="0"/>
        <w:snapToGrid w:val="0"/>
        <w:spacing w:line="360" w:lineRule="auto"/>
        <w:ind w:firstLine="420" w:firstLineChars="200"/>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（3）采购项目交付或者实施地点：</w:t>
      </w:r>
    </w:p>
    <w:p w14:paraId="1D6C04CE">
      <w:pPr>
        <w:adjustRightInd w:val="0"/>
        <w:snapToGrid w:val="0"/>
        <w:spacing w:line="360" w:lineRule="auto"/>
        <w:ind w:firstLine="630" w:firstLineChars="300"/>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实施地点：采购人指定地点。</w:t>
      </w:r>
    </w:p>
    <w:p w14:paraId="07D2F43E">
      <w:pPr>
        <w:pStyle w:val="71"/>
        <w:adjustRightInd w:val="0"/>
        <w:snapToGrid w:val="0"/>
        <w:spacing w:line="360" w:lineRule="auto"/>
        <w:ind w:firstLine="630" w:firstLineChars="3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交付地点：昆明市。</w:t>
      </w:r>
    </w:p>
    <w:p w14:paraId="791F1985">
      <w:pPr>
        <w:pStyle w:val="71"/>
        <w:adjustRightInd w:val="0"/>
        <w:snapToGrid w:val="0"/>
        <w:spacing w:line="360" w:lineRule="auto"/>
        <w:ind w:firstLine="0" w:firstLineChars="0"/>
        <w:jc w:val="left"/>
        <w:rPr>
          <w:rFonts w:hint="eastAsia" w:ascii="宋体" w:hAnsi="Calibri" w:eastAsia="宋体" w:cs="宋体"/>
          <w:b/>
          <w:bCs/>
          <w:color w:val="auto"/>
          <w:spacing w:val="0"/>
          <w:kern w:val="2"/>
          <w:sz w:val="21"/>
          <w:szCs w:val="21"/>
          <w:highlight w:val="none"/>
          <w:lang w:val="en-US" w:eastAsia="zh-CN" w:bidi="ar-SA"/>
        </w:rPr>
      </w:pPr>
      <w:r>
        <w:rPr>
          <w:rFonts w:hint="eastAsia" w:ascii="宋体" w:hAnsi="Calibri" w:eastAsia="宋体" w:cs="宋体"/>
          <w:b/>
          <w:bCs/>
          <w:color w:val="auto"/>
          <w:spacing w:val="0"/>
          <w:kern w:val="2"/>
          <w:sz w:val="21"/>
          <w:szCs w:val="21"/>
          <w:highlight w:val="none"/>
          <w:lang w:val="en-US" w:eastAsia="zh-CN" w:bidi="ar-SA"/>
        </w:rPr>
        <w:t>五、采购标的需满足的服务标准、期限、效率等要求</w:t>
      </w:r>
    </w:p>
    <w:p w14:paraId="3FEEDB46">
      <w:pPr>
        <w:pStyle w:val="5"/>
        <w:tabs>
          <w:tab w:val="left" w:pos="0"/>
        </w:tabs>
        <w:spacing w:line="360" w:lineRule="auto"/>
        <w:ind w:firstLine="420" w:firstLineChars="200"/>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2026年6月底前完成《昆明经济技术开发区生态文明建设示范区（生态工业园区）2025年度工作报告》编制，经省生态环境厅审核后提交至协调机制工作组。</w:t>
      </w:r>
    </w:p>
    <w:p w14:paraId="253A9F81">
      <w:pPr>
        <w:pStyle w:val="4"/>
        <w:spacing w:line="360" w:lineRule="auto"/>
        <w:rPr>
          <w:rFonts w:hint="eastAsia" w:ascii="宋体" w:hAnsi="Calibri" w:eastAsia="宋体" w:cs="宋体"/>
          <w:b/>
          <w:bCs/>
          <w:color w:val="auto"/>
          <w:spacing w:val="0"/>
          <w:kern w:val="2"/>
          <w:sz w:val="21"/>
          <w:szCs w:val="21"/>
          <w:highlight w:val="none"/>
          <w:lang w:val="en-US" w:eastAsia="zh-CN" w:bidi="ar-SA"/>
        </w:rPr>
      </w:pPr>
      <w:bookmarkStart w:id="286" w:name="_Toc15159"/>
      <w:bookmarkStart w:id="287" w:name="_Toc16857"/>
      <w:bookmarkStart w:id="288" w:name="_Toc5184"/>
      <w:bookmarkStart w:id="289" w:name="_Toc28750"/>
      <w:r>
        <w:rPr>
          <w:rFonts w:hint="eastAsia" w:ascii="宋体" w:hAnsi="Calibri" w:eastAsia="宋体" w:cs="宋体"/>
          <w:b/>
          <w:bCs/>
          <w:color w:val="auto"/>
          <w:spacing w:val="0"/>
          <w:kern w:val="2"/>
          <w:sz w:val="21"/>
          <w:szCs w:val="21"/>
          <w:highlight w:val="none"/>
          <w:lang w:val="en-US" w:eastAsia="zh-CN" w:bidi="ar-SA"/>
        </w:rPr>
        <w:t>六、采购标的的验收标准</w:t>
      </w:r>
      <w:bookmarkEnd w:id="286"/>
      <w:bookmarkEnd w:id="287"/>
    </w:p>
    <w:bookmarkEnd w:id="288"/>
    <w:bookmarkEnd w:id="289"/>
    <w:p w14:paraId="651AEC3D">
      <w:pPr>
        <w:widowControl/>
        <w:adjustRightInd w:val="0"/>
        <w:snapToGrid w:val="0"/>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eastAsia="宋体" w:cs="宋体"/>
          <w:b w:val="0"/>
          <w:color w:val="auto"/>
          <w:spacing w:val="0"/>
          <w:kern w:val="2"/>
          <w:sz w:val="21"/>
          <w:szCs w:val="21"/>
          <w:highlight w:val="none"/>
          <w:lang w:val="en-US" w:eastAsia="zh-CN" w:bidi="ar-SA"/>
        </w:rPr>
        <w:t>成交供应商</w:t>
      </w:r>
      <w:r>
        <w:rPr>
          <w:rFonts w:hint="eastAsia" w:ascii="宋体" w:hAnsi="Calibri" w:eastAsia="宋体" w:cs="宋体"/>
          <w:b w:val="0"/>
          <w:color w:val="auto"/>
          <w:spacing w:val="0"/>
          <w:kern w:val="2"/>
          <w:sz w:val="21"/>
          <w:szCs w:val="21"/>
          <w:highlight w:val="none"/>
          <w:lang w:val="en-US" w:eastAsia="zh-CN" w:bidi="ar-SA"/>
        </w:rPr>
        <w:t>提交的成果通过</w:t>
      </w:r>
      <w:r>
        <w:rPr>
          <w:rFonts w:hint="eastAsia" w:ascii="宋体" w:cs="宋体"/>
          <w:b w:val="0"/>
          <w:color w:val="auto"/>
          <w:spacing w:val="0"/>
          <w:kern w:val="2"/>
          <w:sz w:val="21"/>
          <w:szCs w:val="21"/>
          <w:highlight w:val="none"/>
          <w:lang w:val="en-US" w:eastAsia="zh-CN" w:bidi="ar-SA"/>
        </w:rPr>
        <w:t>云南</w:t>
      </w:r>
      <w:r>
        <w:rPr>
          <w:rFonts w:hint="eastAsia" w:ascii="宋体" w:hAnsi="Calibri" w:eastAsia="宋体" w:cs="宋体"/>
          <w:b w:val="0"/>
          <w:color w:val="auto"/>
          <w:spacing w:val="0"/>
          <w:kern w:val="2"/>
          <w:sz w:val="21"/>
          <w:szCs w:val="21"/>
          <w:highlight w:val="none"/>
          <w:lang w:val="en-US" w:eastAsia="zh-CN" w:bidi="ar-SA"/>
        </w:rPr>
        <w:t>省生态环境厅审核。</w:t>
      </w:r>
    </w:p>
    <w:p w14:paraId="0B1C0E2E">
      <w:pPr>
        <w:widowControl/>
        <w:adjustRightInd w:val="0"/>
        <w:snapToGrid w:val="0"/>
        <w:spacing w:line="360" w:lineRule="auto"/>
        <w:jc w:val="left"/>
        <w:rPr>
          <w:rFonts w:hint="eastAsia" w:ascii="宋体" w:hAnsi="Calibri" w:eastAsia="宋体" w:cs="宋体"/>
          <w:b/>
          <w:bCs/>
          <w:color w:val="auto"/>
          <w:spacing w:val="0"/>
          <w:kern w:val="2"/>
          <w:sz w:val="21"/>
          <w:szCs w:val="21"/>
          <w:highlight w:val="none"/>
          <w:lang w:val="en-US" w:eastAsia="zh-CN" w:bidi="ar-SA"/>
        </w:rPr>
      </w:pPr>
      <w:r>
        <w:rPr>
          <w:rFonts w:hint="eastAsia" w:ascii="宋体" w:hAnsi="Calibri" w:eastAsia="宋体" w:cs="宋体"/>
          <w:b/>
          <w:bCs/>
          <w:color w:val="auto"/>
          <w:spacing w:val="0"/>
          <w:kern w:val="2"/>
          <w:sz w:val="21"/>
          <w:szCs w:val="21"/>
          <w:highlight w:val="none"/>
          <w:lang w:val="en-US" w:eastAsia="zh-CN" w:bidi="ar-SA"/>
        </w:rPr>
        <w:t>七、采购标的的其他技术、服务等要求</w:t>
      </w:r>
    </w:p>
    <w:p w14:paraId="3D9B4184">
      <w:pPr>
        <w:pageBreakBefore w:val="0"/>
        <w:widowControl/>
        <w:kinsoku/>
        <w:overflowPunct/>
        <w:topLinePunct w:val="0"/>
        <w:autoSpaceDE/>
        <w:autoSpaceDN/>
        <w:bidi w:val="0"/>
        <w:adjustRightInd/>
        <w:snapToGrid/>
        <w:spacing w:line="360" w:lineRule="auto"/>
        <w:ind w:firstLine="420" w:firstLineChars="200"/>
        <w:jc w:val="left"/>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按照相关标准和合同约定的相关要求，为采购人提供高质量服务，并随时接受采购人的检查、监督。满足国家和省级关于廉政和保密的相关要求。</w:t>
      </w:r>
    </w:p>
    <w:p w14:paraId="4EC5FB0E">
      <w:pPr>
        <w:widowControl/>
        <w:adjustRightInd w:val="0"/>
        <w:snapToGrid w:val="0"/>
        <w:spacing w:line="360" w:lineRule="auto"/>
        <w:jc w:val="left"/>
        <w:rPr>
          <w:rFonts w:hint="eastAsia" w:ascii="宋体" w:hAnsi="Calibri" w:eastAsia="宋体" w:cs="宋体"/>
          <w:b/>
          <w:bCs/>
          <w:color w:val="auto"/>
          <w:spacing w:val="0"/>
          <w:kern w:val="2"/>
          <w:sz w:val="21"/>
          <w:szCs w:val="21"/>
          <w:highlight w:val="none"/>
          <w:lang w:val="en-US" w:eastAsia="zh-CN" w:bidi="ar-SA"/>
        </w:rPr>
      </w:pPr>
      <w:r>
        <w:rPr>
          <w:rFonts w:hint="eastAsia" w:ascii="宋体" w:hAnsi="Calibri" w:eastAsia="宋体" w:cs="宋体"/>
          <w:b/>
          <w:bCs/>
          <w:color w:val="auto"/>
          <w:spacing w:val="0"/>
          <w:kern w:val="2"/>
          <w:sz w:val="21"/>
          <w:szCs w:val="21"/>
          <w:highlight w:val="none"/>
          <w:lang w:val="en-US" w:eastAsia="zh-CN" w:bidi="ar-SA"/>
        </w:rPr>
        <w:t>八、商务要求（条款）</w:t>
      </w:r>
    </w:p>
    <w:p w14:paraId="1383B96B">
      <w:pPr>
        <w:adjustRightInd w:val="0"/>
        <w:snapToGrid w:val="0"/>
        <w:spacing w:line="360" w:lineRule="auto"/>
        <w:ind w:firstLine="420" w:firstLineChars="200"/>
        <w:rPr>
          <w:rFonts w:hint="eastAsia" w:ascii="宋体" w:hAnsi="Calibri" w:eastAsia="宋体" w:cs="宋体"/>
          <w:b w:val="0"/>
          <w:color w:val="auto"/>
          <w:spacing w:val="0"/>
          <w:kern w:val="2"/>
          <w:sz w:val="21"/>
          <w:szCs w:val="21"/>
          <w:highlight w:val="none"/>
          <w:lang w:val="en-US" w:eastAsia="zh-CN" w:bidi="ar-SA"/>
        </w:rPr>
      </w:pPr>
      <w:r>
        <w:rPr>
          <w:rFonts w:hint="eastAsia" w:ascii="宋体" w:hAnsi="Calibri" w:eastAsia="宋体" w:cs="宋体"/>
          <w:b w:val="0"/>
          <w:color w:val="auto"/>
          <w:spacing w:val="0"/>
          <w:kern w:val="2"/>
          <w:sz w:val="21"/>
          <w:szCs w:val="21"/>
          <w:highlight w:val="none"/>
          <w:lang w:val="en-US" w:eastAsia="zh-CN" w:bidi="ar-SA"/>
        </w:rPr>
        <w:t>付款方式：甲方按照合同约定的工作内容及工作进度一次性支付，</w:t>
      </w:r>
      <w:r>
        <w:rPr>
          <w:rFonts w:hint="eastAsia" w:ascii="宋体" w:eastAsia="宋体" w:cs="宋体"/>
          <w:b w:val="0"/>
          <w:color w:val="auto"/>
          <w:spacing w:val="0"/>
          <w:kern w:val="2"/>
          <w:sz w:val="21"/>
          <w:szCs w:val="21"/>
          <w:highlight w:val="none"/>
          <w:lang w:val="en-US" w:eastAsia="zh-CN" w:bidi="ar-SA"/>
        </w:rPr>
        <w:t>项目验收</w:t>
      </w:r>
      <w:r>
        <w:rPr>
          <w:rFonts w:hint="eastAsia" w:ascii="宋体" w:hAnsi="Calibri" w:eastAsia="宋体" w:cs="宋体"/>
          <w:b w:val="0"/>
          <w:color w:val="auto"/>
          <w:spacing w:val="0"/>
          <w:kern w:val="2"/>
          <w:sz w:val="21"/>
          <w:szCs w:val="21"/>
          <w:highlight w:val="none"/>
          <w:lang w:val="zh-CN" w:eastAsia="zh-CN" w:bidi="ar-SA"/>
        </w:rPr>
        <w:t>完成后</w:t>
      </w:r>
      <w:r>
        <w:rPr>
          <w:rFonts w:hint="eastAsia" w:ascii="宋体" w:hAnsi="Calibri" w:eastAsia="宋体" w:cs="宋体"/>
          <w:b w:val="0"/>
          <w:color w:val="auto"/>
          <w:spacing w:val="0"/>
          <w:kern w:val="2"/>
          <w:sz w:val="21"/>
          <w:szCs w:val="21"/>
          <w:highlight w:val="none"/>
          <w:lang w:val="en-US" w:eastAsia="zh-CN" w:bidi="ar-SA"/>
        </w:rPr>
        <w:t>30个工作日内</w:t>
      </w:r>
      <w:r>
        <w:rPr>
          <w:rFonts w:hint="eastAsia" w:ascii="宋体" w:hAnsi="Calibri" w:eastAsia="宋体" w:cs="宋体"/>
          <w:b w:val="0"/>
          <w:color w:val="auto"/>
          <w:spacing w:val="0"/>
          <w:kern w:val="2"/>
          <w:sz w:val="21"/>
          <w:szCs w:val="21"/>
          <w:highlight w:val="none"/>
          <w:lang w:val="zh-CN" w:eastAsia="zh-CN" w:bidi="ar-SA"/>
        </w:rPr>
        <w:t>一次性支付</w:t>
      </w:r>
      <w:r>
        <w:rPr>
          <w:rFonts w:hint="eastAsia" w:ascii="宋体" w:eastAsia="宋体" w:cs="宋体"/>
          <w:b w:val="0"/>
          <w:color w:val="auto"/>
          <w:spacing w:val="0"/>
          <w:kern w:val="2"/>
          <w:sz w:val="21"/>
          <w:szCs w:val="21"/>
          <w:highlight w:val="none"/>
          <w:lang w:val="en-US" w:eastAsia="zh-CN" w:bidi="ar-SA"/>
        </w:rPr>
        <w:t>合同金额</w:t>
      </w:r>
      <w:r>
        <w:rPr>
          <w:rFonts w:hint="eastAsia" w:ascii="宋体" w:hAnsi="Calibri" w:eastAsia="宋体" w:cs="宋体"/>
          <w:b w:val="0"/>
          <w:color w:val="auto"/>
          <w:spacing w:val="0"/>
          <w:kern w:val="2"/>
          <w:sz w:val="21"/>
          <w:szCs w:val="21"/>
          <w:highlight w:val="none"/>
          <w:lang w:val="en-US" w:eastAsia="zh-CN" w:bidi="ar-SA"/>
        </w:rPr>
        <w:t>。(注：该部分内容可根据甲方财政预算资金情况进行调整)</w:t>
      </w:r>
    </w:p>
    <w:p w14:paraId="0F2D2CF0">
      <w:pPr>
        <w:spacing w:line="360" w:lineRule="auto"/>
        <w:ind w:firstLine="420" w:firstLineChars="200"/>
        <w:rPr>
          <w:rFonts w:hint="eastAsia" w:ascii="宋体" w:hAnsi="宋体" w:eastAsia="宋体" w:cs="宋体"/>
          <w:color w:val="auto"/>
          <w:sz w:val="21"/>
          <w:szCs w:val="21"/>
        </w:rPr>
      </w:pPr>
    </w:p>
    <w:p w14:paraId="21DE0433">
      <w:pPr>
        <w:spacing w:line="440" w:lineRule="exact"/>
        <w:ind w:firstLine="420" w:firstLineChars="200"/>
        <w:rPr>
          <w:rFonts w:ascii="宋体"/>
        </w:rPr>
      </w:pPr>
      <w:r>
        <w:rPr>
          <w:rFonts w:hint="eastAsia" w:ascii="宋体"/>
        </w:rPr>
        <w:br w:type="page"/>
      </w:r>
    </w:p>
    <w:p w14:paraId="1F708120">
      <w:pPr>
        <w:pStyle w:val="3"/>
        <w:rPr>
          <w:rFonts w:ascii="宋体"/>
          <w:spacing w:val="40"/>
          <w:kern w:val="2"/>
        </w:rPr>
      </w:pPr>
      <w:bookmarkStart w:id="290" w:name="_Toc23482"/>
      <w:r>
        <w:rPr>
          <w:rFonts w:hint="eastAsia" w:ascii="宋体"/>
          <w:spacing w:val="40"/>
          <w:kern w:val="2"/>
        </w:rPr>
        <w:t xml:space="preserve">第六章 </w:t>
      </w:r>
      <w:bookmarkEnd w:id="267"/>
      <w:bookmarkEnd w:id="268"/>
      <w:bookmarkEnd w:id="269"/>
      <w:bookmarkStart w:id="291" w:name="_Toc481694866"/>
      <w:bookmarkStart w:id="292" w:name="_Toc979"/>
      <w:bookmarkStart w:id="293" w:name="_Toc480817655"/>
      <w:r>
        <w:rPr>
          <w:rFonts w:hint="eastAsia" w:ascii="宋体"/>
          <w:spacing w:val="40"/>
          <w:kern w:val="2"/>
        </w:rPr>
        <w:t>评审方法</w:t>
      </w:r>
      <w:bookmarkEnd w:id="290"/>
    </w:p>
    <w:p w14:paraId="40B1FE47">
      <w:pPr>
        <w:pStyle w:val="4"/>
        <w:jc w:val="center"/>
        <w:rPr>
          <w:rFonts w:ascii="宋体"/>
          <w:color w:val="auto"/>
        </w:rPr>
      </w:pPr>
      <w:bookmarkStart w:id="294" w:name="_Toc27780"/>
      <w:bookmarkStart w:id="295" w:name="_Toc22093"/>
      <w:bookmarkStart w:id="296" w:name="_Toc488633639"/>
      <w:bookmarkStart w:id="297" w:name="_Toc489145774"/>
      <w:r>
        <w:rPr>
          <w:rFonts w:hint="eastAsia" w:ascii="宋体"/>
          <w:color w:val="auto"/>
        </w:rPr>
        <w:t>评审方法前附表</w:t>
      </w:r>
      <w:bookmarkEnd w:id="291"/>
      <w:bookmarkEnd w:id="294"/>
      <w:bookmarkEnd w:id="295"/>
      <w:bookmarkEnd w:id="296"/>
      <w:bookmarkEnd w:id="297"/>
    </w:p>
    <w:bookmarkEnd w:id="292"/>
    <w:bookmarkEnd w:id="293"/>
    <w:tbl>
      <w:tblPr>
        <w:tblStyle w:val="40"/>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67"/>
        <w:gridCol w:w="1411"/>
        <w:gridCol w:w="975"/>
        <w:gridCol w:w="5615"/>
      </w:tblGrid>
      <w:tr w14:paraId="0288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2" w:type="dxa"/>
            <w:gridSpan w:val="2"/>
            <w:tcBorders>
              <w:top w:val="single" w:color="auto" w:sz="4" w:space="0"/>
              <w:left w:val="single" w:color="auto" w:sz="4" w:space="0"/>
              <w:bottom w:val="single" w:color="auto" w:sz="4" w:space="0"/>
              <w:right w:val="single" w:color="auto" w:sz="4" w:space="0"/>
            </w:tcBorders>
            <w:noWrap/>
            <w:vAlign w:val="center"/>
          </w:tcPr>
          <w:p w14:paraId="291472FB">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条款号</w:t>
            </w:r>
          </w:p>
        </w:tc>
        <w:tc>
          <w:tcPr>
            <w:tcW w:w="1411" w:type="dxa"/>
            <w:tcBorders>
              <w:top w:val="single" w:color="auto" w:sz="4" w:space="0"/>
              <w:left w:val="single" w:color="auto" w:sz="4" w:space="0"/>
              <w:bottom w:val="single" w:color="auto" w:sz="4" w:space="0"/>
              <w:right w:val="single" w:color="auto" w:sz="4" w:space="0"/>
            </w:tcBorders>
            <w:noWrap/>
            <w:vAlign w:val="center"/>
          </w:tcPr>
          <w:p w14:paraId="25AEFB4C">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评 审 内 容</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69CA312A">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评 审 标 准</w:t>
            </w:r>
          </w:p>
        </w:tc>
      </w:tr>
      <w:tr w14:paraId="227C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14:paraId="3034413C">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2.1</w:t>
            </w:r>
          </w:p>
        </w:tc>
        <w:tc>
          <w:tcPr>
            <w:tcW w:w="767" w:type="dxa"/>
            <w:vMerge w:val="restart"/>
            <w:tcBorders>
              <w:top w:val="single" w:color="auto" w:sz="4" w:space="0"/>
              <w:left w:val="single" w:color="auto" w:sz="4" w:space="0"/>
              <w:bottom w:val="single" w:color="auto" w:sz="4" w:space="0"/>
              <w:right w:val="single" w:color="auto" w:sz="4" w:space="0"/>
            </w:tcBorders>
            <w:noWrap/>
            <w:vAlign w:val="center"/>
          </w:tcPr>
          <w:p w14:paraId="688064F2">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实质性评审标准</w:t>
            </w:r>
          </w:p>
        </w:tc>
        <w:tc>
          <w:tcPr>
            <w:tcW w:w="1411" w:type="dxa"/>
            <w:tcBorders>
              <w:top w:val="single" w:color="auto" w:sz="4" w:space="0"/>
              <w:left w:val="single" w:color="auto" w:sz="4" w:space="0"/>
              <w:bottom w:val="single" w:color="auto" w:sz="4" w:space="0"/>
              <w:right w:val="single" w:color="auto" w:sz="4" w:space="0"/>
            </w:tcBorders>
            <w:noWrap/>
            <w:vAlign w:val="center"/>
          </w:tcPr>
          <w:p w14:paraId="62414FC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资格条件</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4339FF1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符合第二章“供应商须知”第4项规定</w:t>
            </w:r>
          </w:p>
        </w:tc>
      </w:tr>
      <w:tr w14:paraId="21BE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63C435FD">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2C9CE1C2">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7DEF48E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磋商有效期</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7360235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符合第二章“供应商须知”第17.1项规定</w:t>
            </w:r>
          </w:p>
        </w:tc>
      </w:tr>
      <w:tr w14:paraId="1290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0ED680D8">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308FD783">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5367AA3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磋商申请函</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75C2A61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符合第四章“响应文件格式”中规定的格式及内容。有</w:t>
            </w:r>
            <w:r>
              <w:rPr>
                <w:rFonts w:hint="eastAsia" w:ascii="宋体" w:hAnsi="宋体" w:eastAsia="宋体" w:cs="宋体"/>
                <w:sz w:val="21"/>
                <w:szCs w:val="21"/>
                <w:lang w:eastAsia="zh-CN"/>
              </w:rPr>
              <w:t>法定代表人或委托代理人</w:t>
            </w:r>
            <w:r>
              <w:rPr>
                <w:rFonts w:hint="eastAsia" w:ascii="宋体" w:hAnsi="宋体" w:eastAsia="宋体" w:cs="宋体"/>
                <w:sz w:val="21"/>
                <w:szCs w:val="21"/>
              </w:rPr>
              <w:t>电子签名或盖章，并加盖供应商电子公章；</w:t>
            </w:r>
          </w:p>
        </w:tc>
      </w:tr>
      <w:tr w14:paraId="3B14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282191CE">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534207AD">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0C84F86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法定代表人身份证明书</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12A0B58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符合竞争性磋商文件规定的格式及内容，并加盖供应商电子公章；</w:t>
            </w:r>
          </w:p>
        </w:tc>
      </w:tr>
      <w:tr w14:paraId="2157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023EA39F">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2C07D7BA">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61E91FD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法定代表人授权委托书</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5E18E66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符合竞争性磋商文件规定的格式及内容；有法定代表人电子签名或盖章，并加盖供应商电子公章；</w:t>
            </w:r>
          </w:p>
        </w:tc>
      </w:tr>
      <w:tr w14:paraId="5C2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08F2F105">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0EBD5AC2">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3ADB20C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报价</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1ED3BBB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最后报价未超过预算金额或最高限价</w:t>
            </w:r>
          </w:p>
        </w:tc>
      </w:tr>
      <w:tr w14:paraId="2D54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7923CC7D">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6E492F5F">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32BDBC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cs="宋体"/>
                <w:b/>
                <w:bCs/>
                <w:sz w:val="21"/>
                <w:szCs w:val="21"/>
                <w:lang w:eastAsia="zh-CN"/>
              </w:rPr>
              <w:t>其他</w:t>
            </w:r>
            <w:r>
              <w:rPr>
                <w:rFonts w:hint="eastAsia" w:ascii="宋体" w:hAnsi="宋体" w:eastAsia="宋体" w:cs="宋体"/>
                <w:b/>
                <w:bCs/>
                <w:sz w:val="21"/>
                <w:szCs w:val="21"/>
              </w:rPr>
              <w:t>实质性条件</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3D1F6FE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响应文件实质性响应磋商文件中标注★条款内容且未出现竞争性磋商文件规定的其他无效情形</w:t>
            </w:r>
          </w:p>
        </w:tc>
      </w:tr>
      <w:tr w14:paraId="0A3B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14:paraId="1E171B40">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4.1</w:t>
            </w:r>
          </w:p>
        </w:tc>
        <w:tc>
          <w:tcPr>
            <w:tcW w:w="767" w:type="dxa"/>
            <w:vMerge w:val="restart"/>
            <w:tcBorders>
              <w:top w:val="single" w:color="auto" w:sz="4" w:space="0"/>
              <w:left w:val="single" w:color="auto" w:sz="4" w:space="0"/>
              <w:bottom w:val="single" w:color="auto" w:sz="4" w:space="0"/>
              <w:right w:val="single" w:color="auto" w:sz="4" w:space="0"/>
            </w:tcBorders>
            <w:noWrap/>
            <w:vAlign w:val="center"/>
          </w:tcPr>
          <w:p w14:paraId="471B0922">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分值构成与评分标准</w:t>
            </w:r>
          </w:p>
        </w:tc>
        <w:tc>
          <w:tcPr>
            <w:tcW w:w="1411" w:type="dxa"/>
            <w:tcBorders>
              <w:top w:val="single" w:color="auto" w:sz="4" w:space="0"/>
              <w:left w:val="single" w:color="auto" w:sz="4" w:space="0"/>
              <w:bottom w:val="single" w:color="auto" w:sz="4" w:space="0"/>
              <w:right w:val="single" w:color="auto" w:sz="4" w:space="0"/>
            </w:tcBorders>
            <w:noWrap/>
            <w:vAlign w:val="center"/>
          </w:tcPr>
          <w:p w14:paraId="7B4A1081">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（1）评审总得分计算公式</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0C993A2C">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r>
              <w:rPr>
                <w:rFonts w:hint="eastAsia" w:ascii="宋体" w:hAnsi="宋体" w:eastAsia="宋体" w:cs="宋体"/>
                <w:sz w:val="21"/>
                <w:szCs w:val="21"/>
              </w:rPr>
              <w:t>供应商的评审总得分＝F1＋F2</w:t>
            </w:r>
          </w:p>
          <w:p w14:paraId="062843F6">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r>
              <w:rPr>
                <w:rFonts w:hint="eastAsia" w:ascii="宋体" w:hAnsi="宋体" w:eastAsia="宋体" w:cs="宋体"/>
                <w:sz w:val="21"/>
                <w:szCs w:val="21"/>
              </w:rPr>
              <w:t>其中：F1、F2分别为报价评分、技术商务部分评分2项评分因素的汇总得分；</w:t>
            </w:r>
          </w:p>
        </w:tc>
      </w:tr>
      <w:tr w14:paraId="2245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4AFDDD3C">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50B91EB0">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67A052E4">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sz w:val="21"/>
                <w:szCs w:val="21"/>
              </w:rPr>
            </w:pPr>
            <w:r>
              <w:rPr>
                <w:rFonts w:hint="eastAsia" w:ascii="宋体" w:hAnsi="宋体" w:eastAsia="宋体" w:cs="宋体"/>
                <w:b/>
                <w:bCs/>
                <w:sz w:val="21"/>
                <w:szCs w:val="21"/>
              </w:rPr>
              <w:t>（2）评分因素权重</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6E297F6F">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r>
              <w:rPr>
                <w:rFonts w:hint="eastAsia" w:ascii="宋体" w:hAnsi="宋体" w:eastAsia="宋体" w:cs="宋体"/>
                <w:sz w:val="21"/>
                <w:szCs w:val="21"/>
              </w:rPr>
              <w:t>报价评分F1：</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287E4FF9">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r>
              <w:rPr>
                <w:rFonts w:hint="eastAsia" w:ascii="宋体" w:hAnsi="宋体" w:eastAsia="宋体" w:cs="宋体"/>
                <w:sz w:val="21"/>
                <w:szCs w:val="21"/>
              </w:rPr>
              <w:t>技术商务部分F2：</w:t>
            </w:r>
            <w:r>
              <w:rPr>
                <w:rFonts w:hint="eastAsia" w:ascii="宋体" w:hAnsi="宋体" w:eastAsia="宋体" w:cs="宋体"/>
                <w:sz w:val="21"/>
                <w:szCs w:val="21"/>
                <w:lang w:val="en-US" w:eastAsia="zh-CN"/>
              </w:rPr>
              <w:t>9</w:t>
            </w:r>
            <w:r>
              <w:rPr>
                <w:rFonts w:hint="eastAsia" w:ascii="宋体" w:hAnsi="宋体" w:eastAsia="宋体" w:cs="宋体"/>
                <w:sz w:val="21"/>
                <w:szCs w:val="21"/>
              </w:rPr>
              <w:t>0分。</w:t>
            </w:r>
          </w:p>
        </w:tc>
      </w:tr>
      <w:tr w14:paraId="26E6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35637EDD">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43D311F9">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tcBorders>
              <w:top w:val="single" w:color="auto" w:sz="4" w:space="0"/>
              <w:left w:val="single" w:color="auto" w:sz="4" w:space="0"/>
              <w:bottom w:val="single" w:color="auto" w:sz="4" w:space="0"/>
              <w:right w:val="single" w:color="auto" w:sz="4" w:space="0"/>
            </w:tcBorders>
            <w:noWrap/>
            <w:vAlign w:val="center"/>
          </w:tcPr>
          <w:p w14:paraId="11376CD4">
            <w:pPr>
              <w:keepNext w:val="0"/>
              <w:keepLines w:val="0"/>
              <w:pageBreakBefore w:val="0"/>
              <w:kinsoku/>
              <w:autoSpaceDE/>
              <w:autoSpaceDN/>
              <w:bidi w:val="0"/>
              <w:spacing w:beforeAutospacing="0" w:afterAutospacing="0" w:line="360" w:lineRule="auto"/>
              <w:jc w:val="center"/>
              <w:textAlignment w:val="auto"/>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rPr>
              <w:t>（3）报价评分F1（满分</w:t>
            </w:r>
            <w:r>
              <w:rPr>
                <w:rFonts w:hint="eastAsia" w:ascii="宋体" w:hAnsi="宋体" w:eastAsia="宋体" w:cs="宋体"/>
                <w:b/>
                <w:bCs/>
                <w:sz w:val="21"/>
                <w:szCs w:val="21"/>
                <w:highlight w:val="none"/>
                <w:lang w:val="en-US" w:eastAsia="zh-CN"/>
              </w:rPr>
              <w:t>10</w:t>
            </w:r>
            <w:r>
              <w:rPr>
                <w:rFonts w:hint="eastAsia" w:ascii="宋体" w:hAnsi="宋体" w:eastAsia="宋体" w:cs="宋体"/>
                <w:b/>
                <w:bCs/>
                <w:sz w:val="21"/>
                <w:szCs w:val="21"/>
                <w:highlight w:val="none"/>
              </w:rPr>
              <w:t>分）</w:t>
            </w:r>
          </w:p>
        </w:tc>
        <w:tc>
          <w:tcPr>
            <w:tcW w:w="6590" w:type="dxa"/>
            <w:gridSpan w:val="2"/>
            <w:tcBorders>
              <w:top w:val="single" w:color="auto" w:sz="4" w:space="0"/>
              <w:left w:val="single" w:color="auto" w:sz="4" w:space="0"/>
              <w:bottom w:val="single" w:color="auto" w:sz="4" w:space="0"/>
              <w:right w:val="single" w:color="auto" w:sz="4" w:space="0"/>
            </w:tcBorders>
            <w:noWrap/>
            <w:vAlign w:val="center"/>
          </w:tcPr>
          <w:p w14:paraId="21C7D68C">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报价评分采用低价优先法计算，即满足竞争性磋商文件要求且最后报价最低的供应商的价格为磋商基准价，其报价分为满分。其他供应商的报价分统一按照下列公式计算：</w:t>
            </w:r>
          </w:p>
          <w:p w14:paraId="74E75330">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磋商报价得分=磋商基准价/最后报价×</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w:t>
            </w:r>
          </w:p>
          <w:p w14:paraId="2568D629">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即：F1=C/（B1，B2，…，Bn）×</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w:t>
            </w:r>
          </w:p>
          <w:p w14:paraId="325C186E">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C为磋商基准价，即满足竞争性磋商文件要求且最后报价最低的供应商的价格为磋商基准价；</w:t>
            </w:r>
          </w:p>
          <w:p w14:paraId="6FB9198B">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B1，B2，…，Bn为第n个经实质性审查合格的最后报价。</w:t>
            </w:r>
          </w:p>
          <w:p w14:paraId="20E2FD56">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注：本项目针对小型和微型企业或残疾人福利性单位或监狱企业的价格给予10%的扣除，用扣除后的价格参与评审，残疾人福利性单位或监狱企业属于小型、微型企业的，不重复享受政策；</w:t>
            </w:r>
          </w:p>
        </w:tc>
      </w:tr>
      <w:tr w14:paraId="53CB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764DD11C">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541C9B5A">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restart"/>
            <w:tcBorders>
              <w:top w:val="single" w:color="auto" w:sz="4" w:space="0"/>
              <w:left w:val="single" w:color="auto" w:sz="4" w:space="0"/>
              <w:bottom w:val="single" w:color="auto" w:sz="4" w:space="0"/>
              <w:right w:val="single" w:color="auto" w:sz="4" w:space="0"/>
            </w:tcBorders>
            <w:noWrap/>
            <w:vAlign w:val="center"/>
          </w:tcPr>
          <w:p w14:paraId="6B51929A">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（4）技术商务部分评分F2评审评分（满分</w:t>
            </w:r>
            <w:r>
              <w:rPr>
                <w:rFonts w:hint="eastAsia" w:ascii="宋体" w:hAnsi="宋体" w:cs="宋体"/>
                <w:b/>
                <w:bCs/>
                <w:sz w:val="21"/>
                <w:szCs w:val="21"/>
                <w:highlight w:val="none"/>
                <w:lang w:val="en-US" w:eastAsia="zh-CN"/>
              </w:rPr>
              <w:t>9</w:t>
            </w:r>
            <w:r>
              <w:rPr>
                <w:rFonts w:hint="eastAsia" w:ascii="宋体" w:hAnsi="宋体" w:eastAsia="宋体" w:cs="宋体"/>
                <w:b/>
                <w:bCs/>
                <w:sz w:val="21"/>
                <w:szCs w:val="21"/>
                <w:highlight w:val="none"/>
                <w:lang w:val="en-US" w:eastAsia="zh-CN"/>
              </w:rPr>
              <w:t>0</w:t>
            </w:r>
            <w:r>
              <w:rPr>
                <w:rFonts w:hint="eastAsia" w:ascii="宋体" w:hAnsi="宋体" w:eastAsia="宋体" w:cs="宋体"/>
                <w:b/>
                <w:bCs/>
                <w:sz w:val="21"/>
                <w:szCs w:val="21"/>
                <w:highlight w:val="none"/>
              </w:rPr>
              <w:t>分）</w:t>
            </w:r>
          </w:p>
        </w:tc>
        <w:tc>
          <w:tcPr>
            <w:tcW w:w="975" w:type="dxa"/>
            <w:tcBorders>
              <w:top w:val="single" w:color="auto" w:sz="4" w:space="0"/>
              <w:left w:val="single" w:color="auto" w:sz="4" w:space="0"/>
              <w:right w:val="single" w:color="auto" w:sz="4" w:space="0"/>
            </w:tcBorders>
            <w:noWrap/>
            <w:vAlign w:val="center"/>
          </w:tcPr>
          <w:p w14:paraId="7F96D6E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w:t>
            </w:r>
            <w:r>
              <w:rPr>
                <w:rFonts w:hint="eastAsia" w:ascii="宋体" w:hAnsi="宋体" w:eastAsia="宋体" w:cs="宋体"/>
                <w:b/>
                <w:bCs/>
                <w:color w:val="auto"/>
                <w:sz w:val="21"/>
                <w:szCs w:val="21"/>
                <w:highlight w:val="none"/>
              </w:rPr>
              <w:t>项目理解及分析</w:t>
            </w:r>
            <w:r>
              <w:rPr>
                <w:rFonts w:hint="eastAsia" w:ascii="宋体" w:hAnsi="宋体" w:eastAsia="宋体" w:cs="宋体"/>
                <w:b/>
                <w:bCs/>
                <w:color w:val="auto"/>
                <w:sz w:val="21"/>
                <w:szCs w:val="21"/>
                <w:highlight w:val="none"/>
                <w:lang w:val="en-US" w:eastAsia="zh-CN"/>
              </w:rPr>
              <w:t>评审评分</w:t>
            </w:r>
            <w:r>
              <w:rPr>
                <w:rFonts w:hint="eastAsia" w:ascii="宋体" w:hAnsi="宋体" w:eastAsia="宋体" w:cs="宋体"/>
                <w:b/>
                <w:sz w:val="21"/>
                <w:szCs w:val="21"/>
                <w:highlight w:val="none"/>
                <w:lang w:val="en-US" w:eastAsia="zh-CN"/>
              </w:rPr>
              <w:t>（满分</w:t>
            </w:r>
            <w:r>
              <w:rPr>
                <w:rFonts w:hint="eastAsia" w:ascii="宋体" w:hAnsi="宋体" w:cs="宋体"/>
                <w:b/>
                <w:sz w:val="21"/>
                <w:szCs w:val="21"/>
                <w:highlight w:val="none"/>
                <w:lang w:val="en-US" w:eastAsia="zh-CN"/>
              </w:rPr>
              <w:t>5</w:t>
            </w:r>
            <w:r>
              <w:rPr>
                <w:rFonts w:hint="eastAsia" w:ascii="宋体" w:hAnsi="宋体" w:eastAsia="宋体" w:cs="宋体"/>
                <w:b/>
                <w:sz w:val="21"/>
                <w:szCs w:val="21"/>
                <w:highlight w:val="none"/>
                <w:lang w:val="en-US" w:eastAsia="zh-CN"/>
              </w:rPr>
              <w:t>分）</w:t>
            </w:r>
          </w:p>
        </w:tc>
        <w:tc>
          <w:tcPr>
            <w:tcW w:w="5615" w:type="dxa"/>
            <w:tcBorders>
              <w:top w:val="single" w:color="auto" w:sz="4" w:space="0"/>
              <w:left w:val="single" w:color="auto" w:sz="4" w:space="0"/>
              <w:bottom w:val="single" w:color="auto" w:sz="4" w:space="0"/>
              <w:right w:val="single" w:color="auto" w:sz="4" w:space="0"/>
            </w:tcBorders>
            <w:noWrap/>
            <w:vAlign w:val="center"/>
          </w:tcPr>
          <w:p w14:paraId="2BD85038">
            <w:pPr>
              <w:adjustRightInd w:val="0"/>
              <w:snapToGrid w:val="0"/>
              <w:spacing w:line="360" w:lineRule="auto"/>
              <w:rPr>
                <w:rFonts w:hint="eastAsia" w:ascii="宋体" w:hAnsi="宋体" w:eastAsia="宋体" w:cs="宋体"/>
              </w:rPr>
            </w:pPr>
            <w:r>
              <w:rPr>
                <w:rFonts w:hint="eastAsia" w:ascii="宋体" w:hAnsi="宋体" w:eastAsia="宋体" w:cs="宋体"/>
              </w:rPr>
              <w:t>第一档次（</w:t>
            </w:r>
            <w:r>
              <w:rPr>
                <w:rFonts w:hint="eastAsia" w:ascii="宋体" w:hAnsi="宋体" w:eastAsia="宋体" w:cs="宋体"/>
                <w:lang w:val="en-US" w:eastAsia="zh-CN"/>
              </w:rPr>
              <w:t>5</w:t>
            </w:r>
            <w:r>
              <w:rPr>
                <w:rFonts w:hint="eastAsia" w:ascii="宋体" w:hAnsi="宋体" w:eastAsia="宋体" w:cs="宋体"/>
              </w:rPr>
              <w:t>分）：供应商对项目的工作需求分析目标定位把握准确，描述详细完整，分析深入透彻，完全符合采购人实际工作需求；</w:t>
            </w:r>
          </w:p>
          <w:p w14:paraId="6CFC6F21">
            <w:pPr>
              <w:adjustRightInd w:val="0"/>
              <w:snapToGrid w:val="0"/>
              <w:spacing w:line="360" w:lineRule="auto"/>
              <w:rPr>
                <w:rFonts w:hint="eastAsia" w:ascii="宋体" w:hAnsi="宋体" w:eastAsia="宋体" w:cs="宋体"/>
              </w:rPr>
            </w:pPr>
            <w:r>
              <w:rPr>
                <w:rFonts w:hint="eastAsia" w:ascii="宋体" w:hAnsi="宋体" w:eastAsia="宋体" w:cs="宋体"/>
              </w:rPr>
              <w:t>第二档次（</w:t>
            </w:r>
            <w:r>
              <w:rPr>
                <w:rFonts w:hint="eastAsia" w:ascii="宋体" w:hAnsi="宋体" w:eastAsia="宋体" w:cs="宋体"/>
                <w:lang w:val="en-US" w:eastAsia="zh-CN"/>
              </w:rPr>
              <w:t>3</w:t>
            </w:r>
            <w:r>
              <w:rPr>
                <w:rFonts w:hint="eastAsia" w:ascii="宋体" w:hAnsi="宋体" w:eastAsia="宋体" w:cs="宋体"/>
              </w:rPr>
              <w:t>分）：供应商对项目的工作需求分析基本把握准确，服务需求描述详细，分析到位，符合采购人实际工作需求；</w:t>
            </w:r>
          </w:p>
          <w:p w14:paraId="7C2D63E2">
            <w:pPr>
              <w:adjustRightInd w:val="0"/>
              <w:snapToGrid w:val="0"/>
              <w:spacing w:line="360" w:lineRule="auto"/>
              <w:rPr>
                <w:rFonts w:hint="eastAsia" w:ascii="宋体" w:hAnsi="宋体" w:eastAsia="宋体" w:cs="宋体"/>
              </w:rPr>
            </w:pPr>
            <w:r>
              <w:rPr>
                <w:rFonts w:hint="eastAsia" w:ascii="宋体" w:hAnsi="宋体" w:eastAsia="宋体" w:cs="宋体"/>
              </w:rPr>
              <w:t>第三档次（</w:t>
            </w:r>
            <w:r>
              <w:rPr>
                <w:rFonts w:hint="eastAsia" w:ascii="宋体" w:hAnsi="宋体" w:eastAsia="宋体" w:cs="宋体"/>
                <w:lang w:val="en-US" w:eastAsia="zh-CN"/>
              </w:rPr>
              <w:t>1</w:t>
            </w:r>
            <w:r>
              <w:rPr>
                <w:rFonts w:hint="eastAsia" w:ascii="宋体" w:hAnsi="宋体" w:eastAsia="宋体" w:cs="宋体"/>
              </w:rPr>
              <w:t>分）：供应商对项目工作需求分析把握一般，服务需求描述基本完整，分析基本符合采购人实际工作需求；</w:t>
            </w:r>
          </w:p>
          <w:p w14:paraId="26CF2698">
            <w:pPr>
              <w:adjustRightInd w:val="0"/>
              <w:snapToGrid w:val="0"/>
              <w:spacing w:line="360" w:lineRule="auto"/>
              <w:rPr>
                <w:rFonts w:hint="eastAsia" w:ascii="宋体" w:hAnsi="宋体" w:eastAsia="宋体" w:cs="宋体"/>
                <w:lang w:val="en-US" w:eastAsia="zh-CN"/>
              </w:rPr>
            </w:pPr>
            <w:r>
              <w:rPr>
                <w:rFonts w:hint="eastAsia" w:ascii="宋体" w:hAnsi="宋体" w:eastAsia="宋体" w:cs="宋体"/>
              </w:rPr>
              <w:t>第四档次（0分）：供应商对项目工作需求分析定位模糊，服务需求描述空洞不具体，分析难以符合采购人实际工作需求。</w:t>
            </w:r>
          </w:p>
        </w:tc>
      </w:tr>
      <w:tr w14:paraId="7FF6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56F2B8C1">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0A440605">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5AC560DB">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p>
        </w:tc>
        <w:tc>
          <w:tcPr>
            <w:tcW w:w="975" w:type="dxa"/>
            <w:vMerge w:val="restart"/>
            <w:tcBorders>
              <w:top w:val="single" w:color="auto" w:sz="4" w:space="0"/>
              <w:left w:val="single" w:color="auto" w:sz="4" w:space="0"/>
              <w:right w:val="single" w:color="auto" w:sz="4" w:space="0"/>
            </w:tcBorders>
            <w:noWrap/>
            <w:vAlign w:val="center"/>
          </w:tcPr>
          <w:p w14:paraId="728421A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w:t>
            </w:r>
            <w:r>
              <w:rPr>
                <w:rFonts w:hint="eastAsia" w:ascii="宋体" w:hAnsi="宋体" w:cs="宋体"/>
                <w:b/>
                <w:sz w:val="21"/>
                <w:szCs w:val="21"/>
                <w:highlight w:val="none"/>
                <w:lang w:val="en-US" w:eastAsia="zh-CN"/>
              </w:rPr>
              <w:t>项目服务实施</w:t>
            </w:r>
            <w:r>
              <w:rPr>
                <w:rFonts w:hint="eastAsia" w:ascii="宋体" w:hAnsi="宋体" w:eastAsia="宋体" w:cs="宋体"/>
                <w:b/>
                <w:sz w:val="21"/>
                <w:szCs w:val="21"/>
                <w:highlight w:val="none"/>
                <w:lang w:val="en-US" w:eastAsia="zh-CN"/>
              </w:rPr>
              <w:t>方案评审评分（满分</w:t>
            </w:r>
            <w:r>
              <w:rPr>
                <w:rFonts w:hint="eastAsia" w:ascii="宋体" w:hAnsi="宋体" w:cs="宋体"/>
                <w:b/>
                <w:sz w:val="21"/>
                <w:szCs w:val="21"/>
                <w:highlight w:val="none"/>
                <w:lang w:val="en-US" w:eastAsia="zh-CN"/>
              </w:rPr>
              <w:t>35</w:t>
            </w:r>
            <w:r>
              <w:rPr>
                <w:rFonts w:hint="eastAsia" w:ascii="宋体" w:hAnsi="宋体" w:eastAsia="宋体" w:cs="宋体"/>
                <w:b/>
                <w:sz w:val="21"/>
                <w:szCs w:val="21"/>
                <w:highlight w:val="none"/>
                <w:lang w:val="en-US" w:eastAsia="zh-CN"/>
              </w:rPr>
              <w:t>分）</w:t>
            </w:r>
          </w:p>
        </w:tc>
        <w:tc>
          <w:tcPr>
            <w:tcW w:w="5615" w:type="dxa"/>
            <w:tcBorders>
              <w:top w:val="single" w:color="auto" w:sz="4" w:space="0"/>
              <w:left w:val="single" w:color="auto" w:sz="4" w:space="0"/>
              <w:bottom w:val="single" w:color="auto" w:sz="4" w:space="0"/>
              <w:right w:val="single" w:color="auto" w:sz="4" w:space="0"/>
            </w:tcBorders>
            <w:noWrap/>
            <w:vAlign w:val="center"/>
          </w:tcPr>
          <w:p w14:paraId="746BEE48">
            <w:pPr>
              <w:adjustRightInd w:val="0"/>
              <w:snapToGrid w:val="0"/>
              <w:spacing w:line="360" w:lineRule="auto"/>
              <w:rPr>
                <w:rFonts w:hint="eastAsia" w:ascii="宋体" w:hAnsi="宋体" w:eastAsia="宋体" w:cs="宋体"/>
                <w:b/>
                <w:bCs/>
              </w:rPr>
            </w:pPr>
            <w:r>
              <w:rPr>
                <w:rFonts w:hint="default" w:ascii="Calibri" w:hAnsi="Calibri" w:eastAsia="宋体" w:cs="Calibri"/>
                <w:b/>
                <w:bCs/>
                <w:lang w:val="en-US" w:eastAsia="zh-CN"/>
              </w:rPr>
              <w:t>①</w:t>
            </w:r>
            <w:r>
              <w:rPr>
                <w:rFonts w:hint="eastAsia" w:ascii="宋体" w:hAnsi="宋体" w:eastAsia="宋体" w:cs="宋体"/>
                <w:b/>
                <w:bCs/>
              </w:rPr>
              <w:t>项目整体</w:t>
            </w:r>
            <w:r>
              <w:rPr>
                <w:rFonts w:hint="eastAsia" w:ascii="宋体" w:hAnsi="宋体" w:eastAsia="宋体" w:cs="宋体"/>
                <w:b/>
                <w:bCs/>
                <w:lang w:val="en-US" w:eastAsia="zh-CN"/>
              </w:rPr>
              <w:t>服务</w:t>
            </w:r>
            <w:r>
              <w:rPr>
                <w:rFonts w:hint="eastAsia" w:ascii="宋体" w:hAnsi="宋体" w:eastAsia="宋体" w:cs="宋体"/>
                <w:b/>
                <w:bCs/>
              </w:rPr>
              <w:t>实施方案评审评分（满分</w:t>
            </w:r>
            <w:r>
              <w:rPr>
                <w:rFonts w:hint="eastAsia" w:ascii="宋体" w:hAnsi="宋体" w:eastAsia="宋体" w:cs="宋体"/>
                <w:b/>
                <w:bCs/>
                <w:lang w:val="en-US" w:eastAsia="zh-CN"/>
              </w:rPr>
              <w:t>7</w:t>
            </w:r>
            <w:r>
              <w:rPr>
                <w:rFonts w:hint="eastAsia" w:ascii="宋体" w:hAnsi="宋体" w:eastAsia="宋体" w:cs="宋体"/>
                <w:b/>
                <w:bCs/>
              </w:rPr>
              <w:t>分）</w:t>
            </w:r>
          </w:p>
          <w:p w14:paraId="3215A567">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第一个档次（7分）：供应商针对本项目提出的项目整体服务实施方案完整规范、科学合理、内容详细、切实可行，完全满足采购人实际工作需求；</w:t>
            </w:r>
          </w:p>
          <w:p w14:paraId="2371A589">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第二个档次（5分）：供应商针对本项目提出的项目整体服务实施方案合理可行，内容完整，满足采购人实际工作需求；</w:t>
            </w:r>
          </w:p>
          <w:p w14:paraId="46BCC3DF">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第三个档次（3分）：供应商针对本项目提出的项目整体服务实施方案基本完整、较为合理，内容基本完整，具有一定可行性，基本满足采购人实际工作需求；</w:t>
            </w:r>
          </w:p>
          <w:p w14:paraId="111D4D66">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第四个档次（1分）：供应商针对本项目提出的项目整体服务实施方案不完整、缺乏合理性，内容缺漏，可行性差，难以满足采购人实际工作需求；</w:t>
            </w:r>
          </w:p>
          <w:p w14:paraId="37D598EC">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第五个档次（0分）：供应商针对本项目提出的项目整体服务实施方案内容不合理，不具有可行性，无法满足采购人实际工作需求。</w:t>
            </w:r>
          </w:p>
        </w:tc>
      </w:tr>
      <w:tr w14:paraId="4F07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11700CCA">
            <w:pPr>
              <w:tabs>
                <w:tab w:val="left" w:pos="540"/>
              </w:tabs>
              <w:adjustRightInd w:val="0"/>
              <w:snapToGrid w:val="0"/>
              <w:spacing w:line="360" w:lineRule="auto"/>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0A8CC1E3">
            <w:pPr>
              <w:tabs>
                <w:tab w:val="left" w:pos="540"/>
              </w:tabs>
              <w:adjustRightInd w:val="0"/>
              <w:snapToGrid w:val="0"/>
              <w:spacing w:line="360" w:lineRule="auto"/>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419A247C">
            <w:pPr>
              <w:tabs>
                <w:tab w:val="left" w:pos="540"/>
              </w:tabs>
              <w:adjustRightInd w:val="0"/>
              <w:snapToGrid w:val="0"/>
              <w:spacing w:line="360" w:lineRule="auto"/>
            </w:pPr>
          </w:p>
        </w:tc>
        <w:tc>
          <w:tcPr>
            <w:tcW w:w="975" w:type="dxa"/>
            <w:vMerge w:val="continue"/>
            <w:tcBorders>
              <w:left w:val="single" w:color="auto" w:sz="4" w:space="0"/>
              <w:right w:val="single" w:color="auto" w:sz="4" w:space="0"/>
            </w:tcBorders>
            <w:noWrap/>
            <w:vAlign w:val="center"/>
          </w:tcPr>
          <w:p w14:paraId="622A2C97">
            <w:pPr>
              <w:tabs>
                <w:tab w:val="left" w:pos="540"/>
              </w:tabs>
              <w:adjustRightInd w:val="0"/>
              <w:snapToGrid w:val="0"/>
              <w:spacing w:line="360" w:lineRule="auto"/>
            </w:pPr>
          </w:p>
        </w:tc>
        <w:tc>
          <w:tcPr>
            <w:tcW w:w="5615" w:type="dxa"/>
            <w:tcBorders>
              <w:top w:val="single" w:color="auto" w:sz="4" w:space="0"/>
              <w:left w:val="single" w:color="auto" w:sz="4" w:space="0"/>
              <w:bottom w:val="single" w:color="auto" w:sz="4" w:space="0"/>
              <w:right w:val="single" w:color="auto" w:sz="4" w:space="0"/>
            </w:tcBorders>
            <w:noWrap/>
            <w:vAlign w:val="center"/>
          </w:tcPr>
          <w:p w14:paraId="43BDFEF3">
            <w:pPr>
              <w:adjustRightInd w:val="0"/>
              <w:snapToGrid w:val="0"/>
              <w:spacing w:line="360" w:lineRule="auto"/>
              <w:rPr>
                <w:rFonts w:hint="eastAsia" w:ascii="宋体" w:hAnsi="宋体" w:eastAsia="宋体" w:cs="宋体"/>
                <w:b/>
                <w:bCs/>
                <w:lang w:eastAsia="zh-CN"/>
              </w:rPr>
            </w:pPr>
            <w:r>
              <w:rPr>
                <w:rFonts w:hint="default" w:ascii="Calibri" w:hAnsi="Calibri" w:eastAsia="宋体" w:cs="Calibri"/>
                <w:b/>
                <w:bCs/>
                <w:lang w:val="en-US" w:eastAsia="zh-CN"/>
              </w:rPr>
              <w:t>②</w:t>
            </w:r>
            <w:r>
              <w:rPr>
                <w:rFonts w:hint="eastAsia" w:ascii="宋体" w:hAnsi="宋体" w:eastAsia="宋体" w:cs="宋体"/>
                <w:b/>
                <w:bCs/>
                <w:lang w:val="en-US" w:eastAsia="zh-CN"/>
              </w:rPr>
              <w:t>基础资料收集调研实施方案</w:t>
            </w:r>
            <w:r>
              <w:rPr>
                <w:rFonts w:hint="eastAsia" w:ascii="宋体" w:hAnsi="宋体" w:eastAsia="宋体" w:cs="宋体"/>
                <w:b/>
                <w:bCs/>
                <w:lang w:eastAsia="zh-CN"/>
              </w:rPr>
              <w:t>评审评分（满分</w:t>
            </w:r>
            <w:r>
              <w:rPr>
                <w:rFonts w:hint="eastAsia" w:ascii="宋体" w:hAnsi="宋体" w:eastAsia="宋体" w:cs="宋体"/>
                <w:b/>
                <w:bCs/>
                <w:lang w:val="en-US" w:eastAsia="zh-CN"/>
              </w:rPr>
              <w:t>7</w:t>
            </w:r>
            <w:r>
              <w:rPr>
                <w:rFonts w:hint="eastAsia" w:ascii="宋体" w:hAnsi="宋体" w:eastAsia="宋体" w:cs="宋体"/>
                <w:b/>
                <w:bCs/>
                <w:lang w:eastAsia="zh-CN"/>
              </w:rPr>
              <w:t>分）</w:t>
            </w:r>
          </w:p>
          <w:p w14:paraId="3E49C70F">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第一个档次（7分）：供应商针对本项目提出的基础资料收集调研实施方案全面完整、科学合理、标准规范、切实可行，针对性强，满足采购人实际需求；</w:t>
            </w:r>
          </w:p>
          <w:p w14:paraId="72C2925F">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第二个档次（5分）：供应商针对本项目提出的基础资料收集调研实施方案完整具体、合理可行、针对性较强，满足采购人实际需求；</w:t>
            </w:r>
          </w:p>
          <w:p w14:paraId="0C14FEE9">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第三个档次（3分）：供应商针对本项目提出的基础资料收集调研实施方案基本完整，可行性一般，针对性一般，基本满足采购人实际需求；</w:t>
            </w:r>
          </w:p>
          <w:p w14:paraId="47F63888">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第四个档次（1分）：供应商针对本项目提出的基础资料收集调研实施方案内容不完整，可行性较差，针对性较差，难以满足采购人实际需求；</w:t>
            </w:r>
          </w:p>
          <w:p w14:paraId="31DA718D">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第五个档次（0分）：供应商针对本项目提出的基础资料收集调研实施方案内容缺漏，不具有可行性、针对性，不能满足采购人实际需求。</w:t>
            </w:r>
          </w:p>
        </w:tc>
      </w:tr>
      <w:tr w14:paraId="1671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743CCD03">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13096F8F">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53AA806D">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975" w:type="dxa"/>
            <w:vMerge w:val="continue"/>
            <w:tcBorders>
              <w:left w:val="single" w:color="auto" w:sz="4" w:space="0"/>
              <w:right w:val="single" w:color="auto" w:sz="4" w:space="0"/>
            </w:tcBorders>
            <w:noWrap/>
            <w:vAlign w:val="center"/>
          </w:tcPr>
          <w:p w14:paraId="1517BA3C">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5615" w:type="dxa"/>
            <w:tcBorders>
              <w:top w:val="single" w:color="auto" w:sz="4" w:space="0"/>
              <w:left w:val="single" w:color="auto" w:sz="4" w:space="0"/>
              <w:bottom w:val="single" w:color="auto" w:sz="4" w:space="0"/>
              <w:right w:val="single" w:color="auto" w:sz="4" w:space="0"/>
            </w:tcBorders>
            <w:noWrap/>
            <w:vAlign w:val="center"/>
          </w:tcPr>
          <w:p w14:paraId="694A2C85">
            <w:pPr>
              <w:adjustRightInd w:val="0"/>
              <w:snapToGrid w:val="0"/>
              <w:spacing w:line="360" w:lineRule="auto"/>
              <w:rPr>
                <w:rFonts w:hint="eastAsia" w:ascii="宋体" w:hAnsi="宋体" w:eastAsia="宋体" w:cs="宋体"/>
                <w:b/>
                <w:bCs/>
              </w:rPr>
            </w:pPr>
            <w:r>
              <w:rPr>
                <w:rFonts w:hint="default" w:ascii="Calibri" w:hAnsi="Calibri" w:eastAsia="宋体" w:cs="Calibri"/>
                <w:b/>
                <w:bCs/>
                <w:lang w:eastAsia="zh-CN"/>
              </w:rPr>
              <w:t>③</w:t>
            </w:r>
            <w:r>
              <w:rPr>
                <w:rFonts w:hint="eastAsia" w:ascii="宋体" w:hAnsi="宋体" w:eastAsia="宋体" w:cs="宋体"/>
                <w:b/>
                <w:bCs/>
                <w:lang w:eastAsia="zh-CN"/>
              </w:rPr>
              <w:t>项目报告编制工作方案</w:t>
            </w:r>
            <w:r>
              <w:rPr>
                <w:rFonts w:hint="eastAsia" w:ascii="宋体" w:hAnsi="宋体" w:eastAsia="宋体" w:cs="宋体"/>
                <w:b/>
                <w:bCs/>
              </w:rPr>
              <w:t>评审评分（满分</w:t>
            </w:r>
            <w:r>
              <w:rPr>
                <w:rFonts w:hint="eastAsia" w:ascii="宋体" w:hAnsi="宋体" w:eastAsia="宋体" w:cs="宋体"/>
                <w:b/>
                <w:bCs/>
                <w:lang w:val="en-US" w:eastAsia="zh-CN"/>
              </w:rPr>
              <w:t>7</w:t>
            </w:r>
            <w:r>
              <w:rPr>
                <w:rFonts w:hint="eastAsia" w:ascii="宋体" w:hAnsi="宋体" w:eastAsia="宋体" w:cs="宋体"/>
                <w:b/>
                <w:bCs/>
              </w:rPr>
              <w:t>分）</w:t>
            </w:r>
          </w:p>
          <w:p w14:paraId="50BE4E6C">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第一个档次（7分）：供应商针对本项目提出的项目报告编制工作方案完整规范、科学合理、内容详细、切实可行，完全满足采购人实际工作需求；</w:t>
            </w:r>
          </w:p>
          <w:p w14:paraId="6645364C">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第二个档次（5分）：供应商针对本项目提出的项目报告编制工作方案合理可行，内容完整，满足采购人实际工作需求；</w:t>
            </w:r>
          </w:p>
          <w:p w14:paraId="47746593">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第三个档次（3分）：供应商针对本项目提出的项目报告编制工作方案基本完整、较为合理，内容基本完整，具有一定可行性，基本满足采购人实际工作需求；</w:t>
            </w:r>
          </w:p>
          <w:p w14:paraId="6264F5D2">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第四个档次（1分）：供应商针对本项目提出的项目报告编制工作方案不完整、缺乏合理性，内容缺漏，可行性差，难以满足采购人实际工作需求；</w:t>
            </w:r>
          </w:p>
          <w:p w14:paraId="504BF898">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第五个档次（0分）：供应商针对本项目提出的项目报告编制工作方案内容不合理，不具有可行性，无法满足采购人实际工作需求。</w:t>
            </w:r>
          </w:p>
        </w:tc>
      </w:tr>
      <w:tr w14:paraId="677E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6275AF56">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26AA30E9">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228DCD16">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975" w:type="dxa"/>
            <w:vMerge w:val="continue"/>
            <w:tcBorders>
              <w:left w:val="single" w:color="auto" w:sz="4" w:space="0"/>
              <w:right w:val="single" w:color="auto" w:sz="4" w:space="0"/>
            </w:tcBorders>
            <w:noWrap/>
            <w:vAlign w:val="center"/>
          </w:tcPr>
          <w:p w14:paraId="6C15B047">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5615" w:type="dxa"/>
            <w:tcBorders>
              <w:top w:val="single" w:color="auto" w:sz="4" w:space="0"/>
              <w:left w:val="single" w:color="auto" w:sz="4" w:space="0"/>
              <w:bottom w:val="single" w:color="auto" w:sz="4" w:space="0"/>
              <w:right w:val="single" w:color="auto" w:sz="4" w:space="0"/>
            </w:tcBorders>
            <w:noWrap/>
            <w:vAlign w:val="center"/>
          </w:tcPr>
          <w:p w14:paraId="0B2FA529">
            <w:pPr>
              <w:adjustRightInd w:val="0"/>
              <w:snapToGrid w:val="0"/>
              <w:spacing w:line="360" w:lineRule="auto"/>
              <w:rPr>
                <w:rFonts w:hint="eastAsia" w:ascii="宋体" w:hAnsi="宋体" w:eastAsia="宋体" w:cs="宋体"/>
                <w:b/>
                <w:bCs/>
              </w:rPr>
            </w:pPr>
            <w:r>
              <w:rPr>
                <w:rFonts w:hint="default" w:ascii="Calibri" w:hAnsi="Calibri" w:eastAsia="宋体" w:cs="Calibri"/>
                <w:b/>
                <w:bCs/>
                <w:lang w:val="en-US" w:eastAsia="zh-CN"/>
              </w:rPr>
              <w:t>④</w:t>
            </w:r>
            <w:r>
              <w:rPr>
                <w:rFonts w:hint="eastAsia" w:ascii="宋体" w:hAnsi="宋体" w:eastAsia="宋体" w:cs="宋体"/>
                <w:b/>
                <w:bCs/>
                <w:lang w:val="en-US" w:eastAsia="zh-CN"/>
              </w:rPr>
              <w:t>报告反馈意见修改工作方案</w:t>
            </w:r>
            <w:r>
              <w:rPr>
                <w:rFonts w:hint="eastAsia" w:ascii="宋体" w:hAnsi="宋体" w:eastAsia="宋体" w:cs="宋体"/>
                <w:b/>
                <w:bCs/>
              </w:rPr>
              <w:t>评审评分（满分</w:t>
            </w:r>
            <w:r>
              <w:rPr>
                <w:rFonts w:hint="eastAsia" w:ascii="宋体" w:hAnsi="宋体" w:eastAsia="宋体" w:cs="宋体"/>
                <w:b/>
                <w:bCs/>
                <w:lang w:val="en-US" w:eastAsia="zh-CN"/>
              </w:rPr>
              <w:t>7</w:t>
            </w:r>
            <w:r>
              <w:rPr>
                <w:rFonts w:hint="eastAsia" w:ascii="宋体" w:hAnsi="宋体" w:eastAsia="宋体" w:cs="宋体"/>
                <w:b/>
                <w:bCs/>
              </w:rPr>
              <w:t>分）</w:t>
            </w:r>
          </w:p>
          <w:p w14:paraId="033DF0BF">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第一个档次（7分）：供应商针对本项目提出的报告反馈意见修改工作方案全面完整、科学合理、标准规范、切实可行，针对性强，满足采购人实际需求；</w:t>
            </w:r>
          </w:p>
          <w:p w14:paraId="75BC2C71">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第二个档次（5分）：供应商针对本项目提出的报告反馈意见修改工作方案完整具体、合理可行、针对性较强，满足采购人实际需求；</w:t>
            </w:r>
          </w:p>
          <w:p w14:paraId="6565B34D">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第三个档次（3分）：供应商针对本项目提出的报告反馈意见修改工作方案基本完整，可行性一般，针对性一般，基本满足采购人实际需求；</w:t>
            </w:r>
          </w:p>
          <w:p w14:paraId="2BACFA3B">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第四个档次（1分）：供应商针对本项目提出的报告反馈意见修改工作方案内容不完整，可行性较差，针对性较差，难以满足采购人实际需求；</w:t>
            </w:r>
          </w:p>
          <w:p w14:paraId="3FAADAB3">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第五个档次（0分）：供应商针对本项目提出的报告反馈意见修改工作方案内容缺漏，不具有可行性、针对性，不能满足采购人实际需求。</w:t>
            </w:r>
          </w:p>
        </w:tc>
      </w:tr>
      <w:tr w14:paraId="285B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5" w:type="dxa"/>
            <w:vMerge w:val="continue"/>
            <w:tcBorders>
              <w:left w:val="single" w:color="auto" w:sz="4" w:space="0"/>
              <w:bottom w:val="single" w:color="auto" w:sz="4" w:space="0"/>
              <w:right w:val="single" w:color="auto" w:sz="4" w:space="0"/>
            </w:tcBorders>
            <w:noWrap/>
            <w:vAlign w:val="center"/>
          </w:tcPr>
          <w:p w14:paraId="7628BC23">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767" w:type="dxa"/>
            <w:vMerge w:val="continue"/>
            <w:tcBorders>
              <w:left w:val="single" w:color="auto" w:sz="4" w:space="0"/>
              <w:bottom w:val="single" w:color="auto" w:sz="4" w:space="0"/>
              <w:right w:val="single" w:color="auto" w:sz="4" w:space="0"/>
            </w:tcBorders>
            <w:noWrap/>
            <w:vAlign w:val="center"/>
          </w:tcPr>
          <w:p w14:paraId="5D631B61">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1411" w:type="dxa"/>
            <w:vMerge w:val="continue"/>
            <w:tcBorders>
              <w:left w:val="single" w:color="auto" w:sz="4" w:space="0"/>
              <w:bottom w:val="single" w:color="auto" w:sz="4" w:space="0"/>
              <w:right w:val="single" w:color="auto" w:sz="4" w:space="0"/>
            </w:tcBorders>
            <w:noWrap/>
            <w:vAlign w:val="center"/>
          </w:tcPr>
          <w:p w14:paraId="7230C6D9">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975" w:type="dxa"/>
            <w:vMerge w:val="continue"/>
            <w:tcBorders>
              <w:left w:val="single" w:color="auto" w:sz="4" w:space="0"/>
              <w:bottom w:val="single" w:color="auto" w:sz="4" w:space="0"/>
              <w:right w:val="single" w:color="auto" w:sz="4" w:space="0"/>
            </w:tcBorders>
            <w:noWrap/>
            <w:vAlign w:val="center"/>
          </w:tcPr>
          <w:p w14:paraId="2B4CB961">
            <w:pPr>
              <w:tabs>
                <w:tab w:val="left" w:pos="540"/>
              </w:tabs>
              <w:adjustRightInd w:val="0"/>
              <w:snapToGrid w:val="0"/>
              <w:spacing w:line="360" w:lineRule="auto"/>
              <w:rPr>
                <w:rFonts w:hint="eastAsia" w:ascii="宋体" w:hAnsi="宋体" w:eastAsia="宋体" w:cs="宋体"/>
                <w:b w:val="0"/>
                <w:bCs w:val="0"/>
                <w:sz w:val="21"/>
                <w:szCs w:val="21"/>
                <w:highlight w:val="none"/>
                <w:lang w:val="en-US" w:eastAsia="zh-CN"/>
              </w:rPr>
            </w:pPr>
          </w:p>
        </w:tc>
        <w:tc>
          <w:tcPr>
            <w:tcW w:w="5615" w:type="dxa"/>
            <w:tcBorders>
              <w:top w:val="single" w:color="auto" w:sz="4" w:space="0"/>
              <w:left w:val="single" w:color="auto" w:sz="4" w:space="0"/>
              <w:bottom w:val="single" w:color="auto" w:sz="4" w:space="0"/>
              <w:right w:val="single" w:color="auto" w:sz="4" w:space="0"/>
            </w:tcBorders>
            <w:noWrap/>
            <w:vAlign w:val="center"/>
          </w:tcPr>
          <w:p w14:paraId="430432E6">
            <w:pPr>
              <w:adjustRightInd w:val="0"/>
              <w:snapToGrid w:val="0"/>
              <w:spacing w:line="360" w:lineRule="auto"/>
              <w:rPr>
                <w:rFonts w:hint="eastAsia" w:ascii="宋体" w:hAnsi="宋体" w:eastAsia="宋体" w:cs="宋体"/>
                <w:b/>
                <w:bCs/>
              </w:rPr>
            </w:pPr>
            <w:r>
              <w:rPr>
                <w:rFonts w:hint="eastAsia" w:ascii="宋体" w:hAnsi="宋体" w:eastAsia="宋体" w:cs="宋体"/>
                <w:b/>
                <w:bCs/>
                <w:lang w:val="en-US" w:eastAsia="zh-CN"/>
              </w:rPr>
              <w:t>⑤协助提交项目报告报送工作方案</w:t>
            </w:r>
            <w:r>
              <w:rPr>
                <w:rFonts w:hint="eastAsia" w:ascii="宋体" w:hAnsi="宋体" w:eastAsia="宋体" w:cs="宋体"/>
                <w:b/>
                <w:bCs/>
              </w:rPr>
              <w:t>评审评分（满分</w:t>
            </w:r>
            <w:r>
              <w:rPr>
                <w:rFonts w:hint="eastAsia" w:ascii="宋体" w:hAnsi="宋体" w:eastAsia="宋体" w:cs="宋体"/>
                <w:b/>
                <w:bCs/>
                <w:lang w:val="en-US" w:eastAsia="zh-CN"/>
              </w:rPr>
              <w:t>7</w:t>
            </w:r>
            <w:r>
              <w:rPr>
                <w:rFonts w:hint="eastAsia" w:ascii="宋体" w:hAnsi="宋体" w:eastAsia="宋体" w:cs="宋体"/>
                <w:b/>
                <w:bCs/>
              </w:rPr>
              <w:t>分）</w:t>
            </w:r>
          </w:p>
          <w:p w14:paraId="25089FCD">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第一个档次（7分）：供应商针对本项目提出的协助提交项目报告报送工作方案全面完整、科学合理、标准规范、切实可行，针对性强，满足采购人实际需求；</w:t>
            </w:r>
          </w:p>
          <w:p w14:paraId="49410585">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第二个档次（5分）：供应商针对本项目提出的协助提交项目报告报送工作方案完整具体、合理可行、针对性较强，满足采购人实际需求；</w:t>
            </w:r>
          </w:p>
          <w:p w14:paraId="7F00A3E8">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第三个档次（3分）：供应商针对本项目提出的协助提交项目报告报送工作方案基本完整，可行性一般，针对性一般，基本满足采购人实际需求；</w:t>
            </w:r>
          </w:p>
          <w:p w14:paraId="446BE0D7">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第四个档次（1分）：供应商针对本项目提出的协助提交项目报告报送工作方案内容不完整，可行性较差，针对性较差，难以满足采购人实际需求；</w:t>
            </w:r>
          </w:p>
          <w:p w14:paraId="2582AFAF">
            <w:pPr>
              <w:adjustRightInd w:val="0"/>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第五个档次（0分）：供应商针对本项目提出的协助提交项目报告报送工作方案内容缺漏，不具有可行性、针对性，不能满足采购人实际需求。</w:t>
            </w:r>
          </w:p>
        </w:tc>
      </w:tr>
      <w:tr w14:paraId="64DD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4B1B926F">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4FD6CC37">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324376B5">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p>
        </w:tc>
        <w:tc>
          <w:tcPr>
            <w:tcW w:w="975" w:type="dxa"/>
            <w:tcBorders>
              <w:top w:val="single" w:color="auto" w:sz="4" w:space="0"/>
              <w:left w:val="single" w:color="auto" w:sz="4" w:space="0"/>
              <w:right w:val="single" w:color="auto" w:sz="4" w:space="0"/>
            </w:tcBorders>
            <w:noWrap/>
            <w:vAlign w:val="center"/>
          </w:tcPr>
          <w:p w14:paraId="40F101F8">
            <w:pPr>
              <w:adjustRightInd w:val="0"/>
              <w:snapToGrid w:val="0"/>
              <w:spacing w:line="360" w:lineRule="auto"/>
              <w:rPr>
                <w:rFonts w:hint="eastAsia" w:ascii="宋体" w:hAnsi="宋体" w:eastAsia="宋体" w:cs="宋体"/>
                <w:b/>
                <w:sz w:val="21"/>
                <w:szCs w:val="21"/>
                <w:highlight w:val="none"/>
                <w:lang w:val="en-US" w:eastAsia="zh-CN"/>
              </w:rPr>
            </w:pPr>
            <w:r>
              <w:rPr>
                <w:rFonts w:hint="eastAsia" w:ascii="宋体" w:hAnsi="宋体" w:cs="宋体"/>
                <w:b/>
                <w:szCs w:val="21"/>
                <w:highlight w:val="none"/>
                <w:lang w:val="en-US" w:eastAsia="zh-CN"/>
              </w:rPr>
              <w:t>3）</w:t>
            </w:r>
            <w:r>
              <w:rPr>
                <w:rFonts w:hint="eastAsia" w:ascii="宋体" w:cs="宋体"/>
                <w:b/>
                <w:szCs w:val="21"/>
              </w:rPr>
              <w:t>重点、难点分析以及建设性意见与建议方案评审评分（满分</w:t>
            </w:r>
            <w:r>
              <w:rPr>
                <w:rFonts w:hint="eastAsia" w:ascii="宋体" w:cs="宋体"/>
                <w:b/>
                <w:szCs w:val="21"/>
                <w:lang w:val="en-US" w:eastAsia="zh-CN"/>
              </w:rPr>
              <w:t>10</w:t>
            </w:r>
            <w:r>
              <w:rPr>
                <w:rFonts w:hint="eastAsia" w:ascii="宋体" w:cs="宋体"/>
                <w:b/>
                <w:szCs w:val="21"/>
              </w:rPr>
              <w:t>分）</w:t>
            </w:r>
          </w:p>
        </w:tc>
        <w:tc>
          <w:tcPr>
            <w:tcW w:w="5615" w:type="dxa"/>
            <w:tcBorders>
              <w:top w:val="single" w:color="auto" w:sz="4" w:space="0"/>
              <w:left w:val="single" w:color="auto" w:sz="4" w:space="0"/>
              <w:bottom w:val="single" w:color="auto" w:sz="4" w:space="0"/>
              <w:right w:val="single" w:color="auto" w:sz="4" w:space="0"/>
            </w:tcBorders>
            <w:noWrap/>
            <w:vAlign w:val="center"/>
          </w:tcPr>
          <w:p w14:paraId="2CDBEC6E">
            <w:pPr>
              <w:adjustRightInd w:val="0"/>
              <w:snapToGrid w:val="0"/>
              <w:spacing w:line="360" w:lineRule="auto"/>
              <w:rPr>
                <w:rFonts w:hint="eastAsia" w:ascii="宋体" w:hAnsi="宋体" w:cs="宋体"/>
                <w:szCs w:val="21"/>
              </w:rPr>
            </w:pPr>
            <w:r>
              <w:rPr>
                <w:rFonts w:hint="eastAsia" w:ascii="宋体" w:hAnsi="宋体" w:cs="宋体"/>
                <w:szCs w:val="21"/>
              </w:rPr>
              <w:t>第一个档次(</w:t>
            </w:r>
            <w:r>
              <w:rPr>
                <w:rFonts w:hint="eastAsia" w:ascii="宋体" w:hAnsi="宋体" w:cs="宋体"/>
                <w:szCs w:val="21"/>
                <w:lang w:val="en-US" w:eastAsia="zh-CN"/>
              </w:rPr>
              <w:t>10</w:t>
            </w:r>
            <w:r>
              <w:rPr>
                <w:rFonts w:hint="eastAsia" w:ascii="宋体" w:hAnsi="宋体" w:cs="宋体"/>
                <w:szCs w:val="21"/>
              </w:rPr>
              <w:t>分)：供应商针对本项目提出的重点、难点分析以及建设性意见与建议方案针对性强、可行性好，能够帮助采购人合理提升项目服务成果质量；</w:t>
            </w:r>
          </w:p>
          <w:p w14:paraId="5D03AC36">
            <w:pPr>
              <w:adjustRightInd w:val="0"/>
              <w:snapToGrid w:val="0"/>
              <w:spacing w:line="360" w:lineRule="auto"/>
              <w:rPr>
                <w:rFonts w:hint="eastAsia" w:ascii="宋体" w:hAnsi="宋体" w:cs="宋体"/>
                <w:szCs w:val="21"/>
              </w:rPr>
            </w:pPr>
            <w:r>
              <w:rPr>
                <w:rFonts w:hint="eastAsia" w:ascii="宋体" w:hAnsi="宋体" w:cs="宋体"/>
                <w:szCs w:val="21"/>
              </w:rPr>
              <w:t>第二个档次(</w:t>
            </w:r>
            <w:r>
              <w:rPr>
                <w:rFonts w:hint="eastAsia" w:ascii="宋体" w:hAnsi="宋体" w:cs="宋体"/>
                <w:szCs w:val="21"/>
                <w:lang w:val="en-US" w:eastAsia="zh-CN"/>
              </w:rPr>
              <w:t>7</w:t>
            </w:r>
            <w:r>
              <w:rPr>
                <w:rFonts w:hint="eastAsia" w:ascii="宋体" w:hAnsi="宋体" w:cs="宋体"/>
                <w:szCs w:val="21"/>
              </w:rPr>
              <w:t>分)：供应商针对本项目提出的重点、难点分析以及建设性意见与建议方案有一定针对性、可行性，对采购人合理提升项目服务成果质量有一定帮助；</w:t>
            </w:r>
          </w:p>
          <w:p w14:paraId="0795CB7C">
            <w:pPr>
              <w:adjustRightInd w:val="0"/>
              <w:snapToGrid w:val="0"/>
              <w:spacing w:line="360" w:lineRule="auto"/>
              <w:rPr>
                <w:rFonts w:hint="eastAsia" w:ascii="宋体" w:hAnsi="宋体" w:cs="宋体"/>
                <w:szCs w:val="21"/>
              </w:rPr>
            </w:pPr>
            <w:r>
              <w:rPr>
                <w:rFonts w:hint="eastAsia" w:ascii="宋体" w:hAnsi="宋体" w:cs="宋体"/>
                <w:szCs w:val="21"/>
              </w:rPr>
              <w:t>第三个档次（</w:t>
            </w:r>
            <w:r>
              <w:rPr>
                <w:rFonts w:hint="eastAsia" w:ascii="宋体" w:hAnsi="宋体" w:cs="宋体"/>
                <w:szCs w:val="21"/>
                <w:lang w:val="en-US" w:eastAsia="zh-CN"/>
              </w:rPr>
              <w:t>4</w:t>
            </w:r>
            <w:r>
              <w:rPr>
                <w:rFonts w:hint="eastAsia" w:ascii="宋体" w:hAnsi="宋体" w:cs="宋体"/>
                <w:szCs w:val="21"/>
              </w:rPr>
              <w:t>分）：供应商针对本项目提出的重点、难点分析以及建设性意见与建议方案不具有针对性、缺乏可行性，难以帮助采购人提升项目服务成果质量。</w:t>
            </w:r>
          </w:p>
          <w:p w14:paraId="7B7D7474">
            <w:pPr>
              <w:adjustRightInd w:val="0"/>
              <w:snapToGrid w:val="0"/>
              <w:spacing w:line="360" w:lineRule="auto"/>
              <w:rPr>
                <w:rFonts w:hint="eastAsia" w:ascii="宋体" w:hAnsi="宋体" w:cs="宋体"/>
                <w:szCs w:val="21"/>
              </w:rPr>
            </w:pPr>
            <w:r>
              <w:rPr>
                <w:rFonts w:hint="eastAsia" w:ascii="宋体" w:hAnsi="宋体" w:cs="宋体"/>
                <w:szCs w:val="21"/>
              </w:rPr>
              <w:t>第四个档次（</w:t>
            </w:r>
            <w:r>
              <w:rPr>
                <w:rFonts w:hint="eastAsia" w:ascii="宋体" w:hAnsi="宋体" w:cs="宋体"/>
                <w:szCs w:val="21"/>
                <w:lang w:val="en-US" w:eastAsia="zh-CN"/>
              </w:rPr>
              <w:t>1</w:t>
            </w:r>
            <w:r>
              <w:rPr>
                <w:rFonts w:hint="eastAsia" w:ascii="宋体" w:hAnsi="宋体" w:cs="宋体"/>
                <w:szCs w:val="21"/>
              </w:rPr>
              <w:t>分）：供应商针对本项目提供</w:t>
            </w:r>
            <w:r>
              <w:rPr>
                <w:rFonts w:hint="eastAsia" w:ascii="宋体" w:hAnsi="宋体" w:cs="宋体"/>
                <w:szCs w:val="21"/>
                <w:lang w:val="en-US" w:eastAsia="zh-CN"/>
              </w:rPr>
              <w:t>的</w:t>
            </w:r>
            <w:r>
              <w:rPr>
                <w:rFonts w:hint="eastAsia" w:ascii="宋体" w:hAnsi="宋体" w:cs="宋体"/>
                <w:szCs w:val="21"/>
              </w:rPr>
              <w:t>重点、难点分析以及建设性意见与建议</w:t>
            </w:r>
            <w:r>
              <w:rPr>
                <w:rFonts w:hint="eastAsia" w:ascii="宋体" w:hAnsi="宋体" w:cs="宋体"/>
                <w:szCs w:val="21"/>
                <w:lang w:val="en-US" w:eastAsia="zh-CN"/>
              </w:rPr>
              <w:t>无针对性和可行性</w:t>
            </w:r>
            <w:r>
              <w:rPr>
                <w:rFonts w:hint="eastAsia" w:ascii="宋体" w:hAnsi="宋体" w:cs="宋体"/>
                <w:szCs w:val="21"/>
              </w:rPr>
              <w:t>。</w:t>
            </w:r>
          </w:p>
          <w:p w14:paraId="3C0E3377">
            <w:pPr>
              <w:adjustRightInd w:val="0"/>
              <w:snapToGrid w:val="0"/>
              <w:spacing w:line="360" w:lineRule="auto"/>
              <w:jc w:val="left"/>
              <w:rPr>
                <w:rFonts w:hint="eastAsia" w:ascii="宋体" w:hAnsi="宋体" w:eastAsia="宋体" w:cs="宋体"/>
                <w:b w:val="0"/>
                <w:bCs w:val="0"/>
                <w:sz w:val="21"/>
                <w:szCs w:val="21"/>
                <w:highlight w:val="none"/>
                <w:lang w:val="en-US" w:eastAsia="zh-CN"/>
              </w:rPr>
            </w:pPr>
            <w:r>
              <w:rPr>
                <w:rFonts w:hint="eastAsia" w:ascii="宋体" w:hAnsi="宋体" w:cs="宋体"/>
                <w:szCs w:val="21"/>
              </w:rPr>
              <w:t>第</w:t>
            </w:r>
            <w:r>
              <w:rPr>
                <w:rFonts w:hint="eastAsia" w:ascii="宋体" w:hAnsi="宋体" w:cs="宋体"/>
                <w:szCs w:val="21"/>
                <w:lang w:val="en-US" w:eastAsia="zh-CN"/>
              </w:rPr>
              <w:t>五</w:t>
            </w:r>
            <w:r>
              <w:rPr>
                <w:rFonts w:hint="eastAsia" w:ascii="宋体" w:hAnsi="宋体" w:cs="宋体"/>
                <w:szCs w:val="21"/>
              </w:rPr>
              <w:t>个档次（0分）：</w:t>
            </w:r>
            <w:r>
              <w:rPr>
                <w:rFonts w:hint="eastAsia" w:ascii="宋体" w:hAnsi="宋体" w:cs="宋体"/>
                <w:szCs w:val="21"/>
                <w:lang w:val="en-US" w:eastAsia="zh-CN"/>
              </w:rPr>
              <w:t>未提供不得分</w:t>
            </w:r>
            <w:r>
              <w:rPr>
                <w:rFonts w:hint="eastAsia" w:ascii="宋体" w:hAnsi="宋体" w:cs="宋体"/>
                <w:szCs w:val="21"/>
              </w:rPr>
              <w:t>。</w:t>
            </w:r>
          </w:p>
        </w:tc>
      </w:tr>
      <w:tr w14:paraId="0C02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0101B5C6">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5409BDF8">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521CFCEA">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p>
        </w:tc>
        <w:tc>
          <w:tcPr>
            <w:tcW w:w="975" w:type="dxa"/>
            <w:tcBorders>
              <w:top w:val="single" w:color="auto" w:sz="4" w:space="0"/>
              <w:left w:val="single" w:color="auto" w:sz="4" w:space="0"/>
              <w:right w:val="single" w:color="auto" w:sz="4" w:space="0"/>
            </w:tcBorders>
            <w:noWrap/>
            <w:vAlign w:val="center"/>
          </w:tcPr>
          <w:p w14:paraId="7B3C3CCE">
            <w:pPr>
              <w:adjustRightInd w:val="0"/>
              <w:snapToGrid w:val="0"/>
              <w:spacing w:line="360" w:lineRule="auto"/>
              <w:rPr>
                <w:rFonts w:hint="eastAsia" w:ascii="宋体" w:hAnsi="宋体" w:eastAsia="宋体" w:cs="宋体"/>
                <w:b/>
                <w:sz w:val="21"/>
                <w:szCs w:val="21"/>
                <w:highlight w:val="none"/>
                <w:lang w:val="en-US" w:eastAsia="zh-CN"/>
              </w:rPr>
            </w:pPr>
            <w:r>
              <w:rPr>
                <w:rFonts w:hint="eastAsia" w:ascii="宋体" w:hAnsi="宋体" w:cs="宋体"/>
                <w:b/>
                <w:bCs/>
                <w:szCs w:val="21"/>
              </w:rPr>
              <w:t>4</w:t>
            </w:r>
            <w:r>
              <w:rPr>
                <w:rFonts w:hint="eastAsia" w:ascii="宋体" w:hAnsi="宋体" w:cs="宋体"/>
                <w:b/>
                <w:bCs/>
                <w:szCs w:val="21"/>
                <w:lang w:eastAsia="zh-CN"/>
              </w:rPr>
              <w:t>）</w:t>
            </w:r>
            <w:r>
              <w:rPr>
                <w:rFonts w:hint="eastAsia" w:ascii="宋体" w:hAnsi="宋体" w:cs="宋体"/>
                <w:b/>
                <w:bCs/>
              </w:rPr>
              <w:t>服务质量承诺及保障措施评审评分（满分5分）</w:t>
            </w:r>
          </w:p>
        </w:tc>
        <w:tc>
          <w:tcPr>
            <w:tcW w:w="5615" w:type="dxa"/>
            <w:tcBorders>
              <w:top w:val="single" w:color="auto" w:sz="4" w:space="0"/>
              <w:left w:val="single" w:color="auto" w:sz="4" w:space="0"/>
              <w:bottom w:val="single" w:color="auto" w:sz="4" w:space="0"/>
              <w:right w:val="single" w:color="auto" w:sz="4" w:space="0"/>
            </w:tcBorders>
            <w:noWrap/>
            <w:vAlign w:val="center"/>
          </w:tcPr>
          <w:p w14:paraId="3B721E5B">
            <w:pPr>
              <w:adjustRightInd w:val="0"/>
              <w:snapToGrid w:val="0"/>
              <w:spacing w:line="360" w:lineRule="auto"/>
              <w:rPr>
                <w:rFonts w:hint="eastAsia" w:ascii="宋体" w:hAnsi="宋体" w:cs="宋体"/>
              </w:rPr>
            </w:pPr>
            <w:r>
              <w:rPr>
                <w:rFonts w:hint="eastAsia" w:ascii="宋体" w:hAnsi="宋体" w:cs="宋体"/>
              </w:rPr>
              <w:t>第一个档次（5分）：供应商针对本项目提出的质量控制方案科学合理、设置有健全的质量控制及管理体系，制定有详细的工作流程和质量管理措施，能保证项目高质量、高效率完成，完全满足采购人实际需求情况；</w:t>
            </w:r>
          </w:p>
          <w:p w14:paraId="5DC8329F">
            <w:pPr>
              <w:adjustRightInd w:val="0"/>
              <w:snapToGrid w:val="0"/>
              <w:spacing w:line="360" w:lineRule="auto"/>
              <w:rPr>
                <w:rFonts w:hint="eastAsia" w:ascii="宋体" w:hAnsi="宋体" w:cs="宋体"/>
              </w:rPr>
            </w:pPr>
            <w:r>
              <w:rPr>
                <w:rFonts w:hint="eastAsia" w:ascii="宋体" w:hAnsi="宋体" w:cs="宋体"/>
              </w:rPr>
              <w:t>第二个档次（3分）：供应商针对本项目提出的质量控制方案完整，设置了质量控制及管理体系，制定了工作流程和质量管理措施，能保证项目顺利完成，基本满足采购人实际需求情况；</w:t>
            </w:r>
          </w:p>
          <w:p w14:paraId="2D12873E">
            <w:pPr>
              <w:adjustRightInd w:val="0"/>
              <w:snapToGrid w:val="0"/>
              <w:spacing w:line="360" w:lineRule="auto"/>
              <w:rPr>
                <w:rFonts w:hint="eastAsia" w:ascii="宋体" w:hAnsi="宋体" w:cs="宋体"/>
              </w:rPr>
            </w:pPr>
            <w:r>
              <w:rPr>
                <w:rFonts w:hint="eastAsia" w:ascii="宋体" w:hAnsi="宋体" w:cs="宋体"/>
              </w:rPr>
              <w:t>第三个档次（1分）：供应商针对本项目提出的质量控制方案内容空洞、有缺陷，可行性差，难以满足采购人实际需求情况；</w:t>
            </w:r>
          </w:p>
          <w:p w14:paraId="755D1635">
            <w:pPr>
              <w:adjustRightInd w:val="0"/>
              <w:snapToGrid w:val="0"/>
              <w:spacing w:line="360" w:lineRule="auto"/>
              <w:rPr>
                <w:rFonts w:hint="eastAsia" w:ascii="宋体" w:hAnsi="宋体" w:eastAsia="宋体" w:cs="宋体"/>
                <w:b w:val="0"/>
                <w:bCs w:val="0"/>
                <w:sz w:val="21"/>
                <w:szCs w:val="21"/>
                <w:highlight w:val="none"/>
                <w:lang w:val="en-US" w:eastAsia="zh-CN"/>
              </w:rPr>
            </w:pPr>
            <w:r>
              <w:rPr>
                <w:rFonts w:hint="eastAsia" w:ascii="宋体" w:hAnsi="宋体" w:cs="宋体"/>
              </w:rPr>
              <w:t>第四个档次（0分）：供应商针对本项目提出的质量控制方案不合理，不具备可行性。</w:t>
            </w:r>
          </w:p>
        </w:tc>
      </w:tr>
      <w:tr w14:paraId="5BD5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7F02F111">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061AFEF0">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3CA289ED">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p>
        </w:tc>
        <w:tc>
          <w:tcPr>
            <w:tcW w:w="975" w:type="dxa"/>
            <w:tcBorders>
              <w:top w:val="single" w:color="auto" w:sz="4" w:space="0"/>
              <w:left w:val="single" w:color="auto" w:sz="4" w:space="0"/>
              <w:right w:val="single" w:color="auto" w:sz="4" w:space="0"/>
            </w:tcBorders>
            <w:noWrap/>
            <w:vAlign w:val="center"/>
          </w:tcPr>
          <w:p w14:paraId="096D986E">
            <w:pPr>
              <w:adjustRightInd w:val="0"/>
              <w:snapToGrid w:val="0"/>
              <w:spacing w:line="360" w:lineRule="auto"/>
              <w:rPr>
                <w:rFonts w:hint="eastAsia" w:ascii="宋体" w:hAnsi="宋体" w:cs="宋体"/>
                <w:b/>
                <w:bCs/>
                <w:szCs w:val="21"/>
              </w:rPr>
            </w:pPr>
          </w:p>
          <w:p w14:paraId="37439D2D">
            <w:pPr>
              <w:adjustRightInd w:val="0"/>
              <w:snapToGrid w:val="0"/>
              <w:spacing w:line="360" w:lineRule="auto"/>
              <w:rPr>
                <w:rFonts w:hint="eastAsia" w:hAnsi="宋体" w:cs="宋体"/>
                <w:b/>
                <w:color w:val="auto"/>
                <w:kern w:val="0"/>
                <w:sz w:val="21"/>
                <w:szCs w:val="21"/>
                <w:highlight w:val="none"/>
                <w:lang w:val="en-US" w:eastAsia="zh-CN"/>
              </w:rPr>
            </w:pPr>
            <w:r>
              <w:rPr>
                <w:rFonts w:hint="eastAsia" w:ascii="宋体" w:hAnsi="宋体" w:cs="宋体"/>
                <w:b/>
                <w:bCs/>
                <w:szCs w:val="21"/>
              </w:rPr>
              <w:t>5</w:t>
            </w:r>
            <w:r>
              <w:rPr>
                <w:rFonts w:hint="eastAsia" w:ascii="宋体" w:hAnsi="宋体" w:cs="宋体"/>
                <w:b/>
                <w:bCs/>
                <w:szCs w:val="21"/>
                <w:lang w:eastAsia="zh-CN"/>
              </w:rPr>
              <w:t>）</w:t>
            </w:r>
            <w:r>
              <w:rPr>
                <w:rFonts w:hint="eastAsia" w:ascii="宋体" w:hAnsi="宋体" w:cs="宋体"/>
                <w:b/>
                <w:bCs/>
              </w:rPr>
              <w:t>进度计划安排及承诺评审评分(满分5分)</w:t>
            </w:r>
          </w:p>
        </w:tc>
        <w:tc>
          <w:tcPr>
            <w:tcW w:w="5615" w:type="dxa"/>
            <w:tcBorders>
              <w:top w:val="single" w:color="auto" w:sz="4" w:space="0"/>
              <w:left w:val="single" w:color="auto" w:sz="4" w:space="0"/>
              <w:bottom w:val="single" w:color="auto" w:sz="4" w:space="0"/>
              <w:right w:val="single" w:color="auto" w:sz="4" w:space="0"/>
            </w:tcBorders>
            <w:noWrap/>
            <w:vAlign w:val="center"/>
          </w:tcPr>
          <w:p w14:paraId="44001739">
            <w:pPr>
              <w:adjustRightInd w:val="0"/>
              <w:snapToGrid w:val="0"/>
              <w:spacing w:line="360" w:lineRule="auto"/>
              <w:rPr>
                <w:rFonts w:hint="eastAsia" w:ascii="宋体" w:hAnsi="宋体" w:cs="宋体"/>
              </w:rPr>
            </w:pPr>
            <w:r>
              <w:rPr>
                <w:rFonts w:hint="eastAsia" w:ascii="宋体" w:hAnsi="宋体" w:cs="宋体"/>
              </w:rPr>
              <w:t>第一个档次（5分）：供应商时间进度计划安排及承诺完全满足相关规定和采购人需求实际情况，内容完整、安排合理、切实可行、科学规范、针对性好；</w:t>
            </w:r>
          </w:p>
          <w:p w14:paraId="2F2AB926">
            <w:pPr>
              <w:adjustRightInd w:val="0"/>
              <w:snapToGrid w:val="0"/>
              <w:spacing w:line="360" w:lineRule="auto"/>
              <w:rPr>
                <w:rFonts w:hint="eastAsia" w:ascii="宋体" w:hAnsi="宋体" w:cs="宋体"/>
              </w:rPr>
            </w:pPr>
            <w:r>
              <w:rPr>
                <w:rFonts w:hint="eastAsia" w:ascii="宋体" w:hAnsi="宋体" w:cs="宋体"/>
              </w:rPr>
              <w:t>第二个档次（3分）：供应商时间进度计划安排及承诺满足相关规定和采购人需求实际情况，内容基本完整、安排较合理、具有一定针对性；</w:t>
            </w:r>
          </w:p>
          <w:p w14:paraId="42A1A8A4">
            <w:pPr>
              <w:adjustRightInd w:val="0"/>
              <w:snapToGrid w:val="0"/>
              <w:spacing w:line="360" w:lineRule="auto"/>
              <w:rPr>
                <w:rFonts w:hint="eastAsia" w:ascii="宋体" w:hAnsi="宋体" w:cs="宋体"/>
              </w:rPr>
            </w:pPr>
            <w:r>
              <w:rPr>
                <w:rFonts w:hint="eastAsia" w:ascii="宋体" w:hAnsi="宋体" w:cs="宋体"/>
              </w:rPr>
              <w:t>第三个档次（1分）：供应商时间进度计划安排及承诺满足相关规定和采购人需求实际情况，进度计划内容空洞缺漏合理性差、可行性、针对性差；</w:t>
            </w:r>
          </w:p>
          <w:p w14:paraId="4E23E05E">
            <w:pPr>
              <w:adjustRightInd w:val="0"/>
              <w:snapToGrid w:val="0"/>
              <w:spacing w:line="360" w:lineRule="auto"/>
              <w:rPr>
                <w:rFonts w:hint="eastAsia" w:ascii="宋体" w:hAnsi="宋体" w:eastAsia="宋体" w:cs="宋体"/>
                <w:b w:val="0"/>
                <w:bCs w:val="0"/>
                <w:sz w:val="21"/>
                <w:szCs w:val="21"/>
                <w:highlight w:val="none"/>
                <w:lang w:val="en-US" w:eastAsia="zh-CN"/>
              </w:rPr>
            </w:pPr>
            <w:r>
              <w:rPr>
                <w:rFonts w:hint="eastAsia" w:ascii="宋体" w:hAnsi="宋体" w:cs="宋体"/>
              </w:rPr>
              <w:t>第四个档次（0分）：供应商时间进度计划安排及承诺不满足相关规定和采购人需求实际情况，内容缺漏、安排不合理、无可行性、无针对性。</w:t>
            </w:r>
          </w:p>
        </w:tc>
      </w:tr>
      <w:tr w14:paraId="1663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5931C0F8">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3DD7CDB4">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0569898A">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p>
        </w:tc>
        <w:tc>
          <w:tcPr>
            <w:tcW w:w="975" w:type="dxa"/>
            <w:tcBorders>
              <w:top w:val="single" w:color="auto" w:sz="4" w:space="0"/>
              <w:left w:val="single" w:color="auto" w:sz="4" w:space="0"/>
              <w:right w:val="single" w:color="auto" w:sz="4" w:space="0"/>
            </w:tcBorders>
            <w:noWrap/>
            <w:vAlign w:val="center"/>
          </w:tcPr>
          <w:p w14:paraId="31474E6B">
            <w:pPr>
              <w:adjustRightInd w:val="0"/>
              <w:snapToGrid w:val="0"/>
              <w:spacing w:line="360" w:lineRule="auto"/>
              <w:rPr>
                <w:rFonts w:hint="eastAsia" w:ascii="宋体" w:hAnsi="宋体" w:eastAsia="宋体" w:cs="宋体"/>
                <w:b/>
                <w:sz w:val="21"/>
                <w:szCs w:val="21"/>
                <w:highlight w:val="none"/>
                <w:lang w:val="en-US" w:eastAsia="zh-CN"/>
              </w:rPr>
            </w:pPr>
            <w:r>
              <w:rPr>
                <w:rFonts w:hint="eastAsia" w:ascii="宋体" w:hAnsi="宋体" w:cs="宋体"/>
                <w:b/>
                <w:bCs/>
                <w:lang w:val="en-US" w:eastAsia="zh-CN"/>
              </w:rPr>
              <w:t>6)</w:t>
            </w:r>
            <w:r>
              <w:rPr>
                <w:rFonts w:hint="eastAsia" w:ascii="宋体" w:hAnsi="宋体" w:cs="宋体"/>
                <w:b/>
                <w:bCs/>
              </w:rPr>
              <w:t>保密措施及保密承诺评审评分（满分5分）</w:t>
            </w:r>
          </w:p>
        </w:tc>
        <w:tc>
          <w:tcPr>
            <w:tcW w:w="5615" w:type="dxa"/>
            <w:tcBorders>
              <w:top w:val="single" w:color="auto" w:sz="4" w:space="0"/>
              <w:left w:val="single" w:color="auto" w:sz="4" w:space="0"/>
              <w:bottom w:val="single" w:color="auto" w:sz="4" w:space="0"/>
              <w:right w:val="single" w:color="auto" w:sz="4" w:space="0"/>
            </w:tcBorders>
            <w:noWrap/>
            <w:vAlign w:val="center"/>
          </w:tcPr>
          <w:p w14:paraId="205C06FE">
            <w:pPr>
              <w:adjustRightInd w:val="0"/>
              <w:snapToGrid w:val="0"/>
              <w:spacing w:line="360" w:lineRule="auto"/>
              <w:rPr>
                <w:rFonts w:hint="eastAsia" w:ascii="宋体" w:hAnsi="宋体" w:cs="宋体"/>
              </w:rPr>
            </w:pPr>
            <w:r>
              <w:rPr>
                <w:rFonts w:hint="eastAsia" w:ascii="宋体" w:hAnsi="宋体" w:cs="宋体"/>
              </w:rPr>
              <w:t>第一个档（5分）：供应商的保密措施及保密承诺等科学合理、完整具体，针对性强，可行性强。</w:t>
            </w:r>
          </w:p>
          <w:p w14:paraId="5199BAB9">
            <w:pPr>
              <w:adjustRightInd w:val="0"/>
              <w:snapToGrid w:val="0"/>
              <w:spacing w:line="360" w:lineRule="auto"/>
              <w:rPr>
                <w:rFonts w:hint="eastAsia" w:ascii="宋体" w:hAnsi="宋体" w:cs="宋体"/>
              </w:rPr>
            </w:pPr>
            <w:r>
              <w:rPr>
                <w:rFonts w:hint="eastAsia" w:ascii="宋体" w:hAnsi="宋体" w:cs="宋体"/>
              </w:rPr>
              <w:t>第二个档（3分）供应商的保密措施及保密承诺等内容存在瑕疵，缺乏可行性、针对性与项目联系不紧密；</w:t>
            </w:r>
          </w:p>
          <w:p w14:paraId="308E1BB2">
            <w:pPr>
              <w:adjustRightInd w:val="0"/>
              <w:snapToGrid w:val="0"/>
              <w:spacing w:line="360" w:lineRule="auto"/>
              <w:rPr>
                <w:rFonts w:hint="eastAsia" w:ascii="宋体" w:hAnsi="宋体" w:cs="宋体"/>
              </w:rPr>
            </w:pPr>
            <w:r>
              <w:rPr>
                <w:rFonts w:hint="eastAsia" w:ascii="宋体" w:hAnsi="宋体" w:cs="宋体"/>
              </w:rPr>
              <w:t>第三个档（1分）供应商的保密措施及保密承诺等对实际情况表述不明确不具体，内容过于简略不足以支撑项目；</w:t>
            </w:r>
          </w:p>
          <w:p w14:paraId="159B177C">
            <w:pPr>
              <w:adjustRightInd w:val="0"/>
              <w:snapToGrid w:val="0"/>
              <w:spacing w:line="360" w:lineRule="auto"/>
              <w:rPr>
                <w:rFonts w:hint="eastAsia" w:ascii="宋体" w:hAnsi="宋体" w:eastAsia="宋体" w:cs="宋体"/>
                <w:b/>
                <w:sz w:val="21"/>
                <w:szCs w:val="21"/>
                <w:highlight w:val="none"/>
                <w:lang w:val="en-US" w:eastAsia="zh-CN"/>
              </w:rPr>
            </w:pPr>
            <w:r>
              <w:rPr>
                <w:rFonts w:hint="eastAsia" w:ascii="宋体" w:hAnsi="宋体" w:cs="宋体"/>
              </w:rPr>
              <w:t>第四个档次（0分）：供应商无针对项目的保密措施及保密承诺等。</w:t>
            </w:r>
          </w:p>
        </w:tc>
      </w:tr>
      <w:tr w14:paraId="6EB1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7B5DFC65">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41C58517">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20C6CF33">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p>
        </w:tc>
        <w:tc>
          <w:tcPr>
            <w:tcW w:w="975" w:type="dxa"/>
            <w:vMerge w:val="restart"/>
            <w:tcBorders>
              <w:top w:val="single" w:color="auto" w:sz="4" w:space="0"/>
              <w:left w:val="single" w:color="auto" w:sz="4" w:space="0"/>
              <w:right w:val="single" w:color="auto" w:sz="4" w:space="0"/>
            </w:tcBorders>
            <w:noWrap/>
            <w:vAlign w:val="center"/>
          </w:tcPr>
          <w:p w14:paraId="083029A5">
            <w:pPr>
              <w:spacing w:line="360" w:lineRule="auto"/>
              <w:jc w:val="center"/>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7</w:t>
            </w:r>
            <w:r>
              <w:rPr>
                <w:rFonts w:hint="eastAsia" w:ascii="宋体" w:hAnsi="宋体" w:eastAsia="宋体" w:cs="宋体"/>
                <w:b/>
                <w:sz w:val="21"/>
                <w:szCs w:val="21"/>
                <w:highlight w:val="none"/>
                <w:lang w:val="en-US" w:eastAsia="zh-CN"/>
              </w:rPr>
              <w:t>）项目服务团队配置方案评审评分(满分</w:t>
            </w:r>
            <w:r>
              <w:rPr>
                <w:rFonts w:hint="eastAsia" w:ascii="宋体" w:hAnsi="宋体" w:cs="宋体"/>
                <w:b/>
                <w:sz w:val="21"/>
                <w:szCs w:val="21"/>
                <w:highlight w:val="none"/>
                <w:lang w:val="en-US" w:eastAsia="zh-CN"/>
              </w:rPr>
              <w:t>15</w:t>
            </w:r>
            <w:r>
              <w:rPr>
                <w:rFonts w:hint="eastAsia" w:ascii="宋体" w:hAnsi="宋体" w:eastAsia="宋体" w:cs="宋体"/>
                <w:b/>
                <w:sz w:val="21"/>
                <w:szCs w:val="21"/>
                <w:highlight w:val="none"/>
                <w:lang w:val="en-US" w:eastAsia="zh-CN"/>
              </w:rPr>
              <w:t>分)</w:t>
            </w:r>
          </w:p>
        </w:tc>
        <w:tc>
          <w:tcPr>
            <w:tcW w:w="5615" w:type="dxa"/>
            <w:tcBorders>
              <w:top w:val="single" w:color="auto" w:sz="4" w:space="0"/>
              <w:left w:val="single" w:color="auto" w:sz="4" w:space="0"/>
              <w:bottom w:val="single" w:color="auto" w:sz="4" w:space="0"/>
              <w:right w:val="single" w:color="auto" w:sz="4" w:space="0"/>
            </w:tcBorders>
            <w:noWrap/>
            <w:vAlign w:val="center"/>
          </w:tcPr>
          <w:p w14:paraId="4240053B">
            <w:pPr>
              <w:adjustRightInd w:val="0"/>
              <w:snapToGrid w:val="0"/>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lang w:val="en-US" w:eastAsia="zh-CN"/>
              </w:rPr>
              <w:t>①</w:t>
            </w:r>
            <w:r>
              <w:rPr>
                <w:rFonts w:hint="eastAsia" w:ascii="宋体" w:hAnsi="宋体" w:cs="宋体"/>
                <w:b/>
                <w:color w:val="000000"/>
                <w:szCs w:val="21"/>
                <w:highlight w:val="none"/>
              </w:rPr>
              <w:t>项目负责人评审评分（满分</w:t>
            </w:r>
            <w:r>
              <w:rPr>
                <w:rFonts w:hint="eastAsia" w:ascii="宋体" w:hAnsi="宋体" w:cs="宋体"/>
                <w:b/>
                <w:color w:val="000000"/>
                <w:szCs w:val="21"/>
                <w:highlight w:val="none"/>
                <w:lang w:val="en-US" w:eastAsia="zh-CN"/>
              </w:rPr>
              <w:t>5</w:t>
            </w:r>
            <w:r>
              <w:rPr>
                <w:rFonts w:hint="eastAsia" w:ascii="宋体" w:hAnsi="宋体" w:cs="宋体"/>
                <w:b/>
                <w:color w:val="000000"/>
                <w:szCs w:val="21"/>
                <w:highlight w:val="none"/>
              </w:rPr>
              <w:t>分）</w:t>
            </w:r>
          </w:p>
          <w:p w14:paraId="7B5AE469">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拟派往本项目的项目负责人具有环境类相关专业正高级职称证书的得5分；具有环境类相关专业高级职称证书的得3分，其余不得分。</w:t>
            </w:r>
          </w:p>
          <w:p w14:paraId="7643F708">
            <w:pPr>
              <w:spacing w:line="360" w:lineRule="auto"/>
              <w:rPr>
                <w:rFonts w:hint="eastAsia" w:ascii="宋体" w:hAnsi="宋体" w:cs="宋体"/>
                <w:highlight w:val="none"/>
              </w:rPr>
            </w:pPr>
            <w:r>
              <w:rPr>
                <w:rFonts w:hint="eastAsia" w:ascii="宋体" w:hAnsi="宋体" w:cs="宋体"/>
                <w:color w:val="000000"/>
                <w:szCs w:val="21"/>
                <w:highlight w:val="none"/>
              </w:rPr>
              <w:t>注：</w:t>
            </w:r>
            <w:r>
              <w:rPr>
                <w:rFonts w:hint="eastAsia" w:ascii="宋体" w:hAnsi="宋体" w:cs="宋体"/>
                <w:color w:val="000000"/>
                <w:szCs w:val="21"/>
                <w:highlight w:val="none"/>
                <w:lang w:eastAsia="zh-CN"/>
              </w:rPr>
              <w:t>响应文件</w:t>
            </w:r>
            <w:r>
              <w:rPr>
                <w:rFonts w:hint="eastAsia" w:ascii="宋体" w:hAnsi="宋体" w:cs="宋体"/>
                <w:color w:val="000000"/>
                <w:szCs w:val="21"/>
                <w:highlight w:val="none"/>
              </w:rPr>
              <w:t>中须提供《项目负责人简历表》及相对应的人员证明材料，证明材料为身份证、职称证书</w:t>
            </w:r>
            <w:r>
              <w:rPr>
                <w:rFonts w:hint="eastAsia" w:ascii="宋体" w:hAnsi="宋体" w:cs="宋体"/>
                <w:color w:val="000000"/>
                <w:szCs w:val="22"/>
                <w:highlight w:val="none"/>
              </w:rPr>
              <w:t>或资格证（如有）</w:t>
            </w:r>
            <w:r>
              <w:rPr>
                <w:rFonts w:hint="eastAsia" w:ascii="宋体" w:hAnsi="宋体" w:cs="宋体"/>
                <w:color w:val="000000"/>
                <w:szCs w:val="21"/>
                <w:highlight w:val="none"/>
              </w:rPr>
              <w:t>、社保缴纳证明（提供缴费所属时间为本项目</w:t>
            </w:r>
            <w:r>
              <w:rPr>
                <w:rFonts w:hint="eastAsia" w:ascii="宋体" w:hAnsi="宋体" w:cs="宋体"/>
                <w:color w:val="000000"/>
                <w:szCs w:val="21"/>
                <w:highlight w:val="none"/>
                <w:lang w:eastAsia="zh-CN"/>
              </w:rPr>
              <w:t>响应文件</w:t>
            </w:r>
            <w:r>
              <w:rPr>
                <w:rFonts w:hint="eastAsia" w:ascii="宋体" w:hAnsi="宋体" w:cs="宋体"/>
                <w:color w:val="000000"/>
                <w:szCs w:val="21"/>
                <w:highlight w:val="none"/>
              </w:rPr>
              <w:t>提交截止时间前半年内任意1个月的社会保险费缴款书或银行电子缴税（费）凭证或社保管理部门出具的有效的缴款证明，社保缴纳证明中缴费单位须为</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本单位）、业绩证明材料为</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与甲方签订的合同或甲方出具的加盖公章的其他委托证明，证明材料上需体现对应人员姓名（如合同无法体现项目负责人名字的应提供相关证明文件或声明函）。无证明材料或未按要求提供证明材料或证明材料无法体现相应内容的，不予认可</w:t>
            </w:r>
            <w:r>
              <w:rPr>
                <w:rFonts w:hint="eastAsia" w:ascii="宋体" w:hAnsi="宋体" w:cs="宋体"/>
                <w:color w:val="000000"/>
                <w:szCs w:val="22"/>
                <w:highlight w:val="none"/>
              </w:rPr>
              <w:t>。</w:t>
            </w:r>
          </w:p>
        </w:tc>
      </w:tr>
      <w:tr w14:paraId="4C04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0A7A8783">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3B72C432">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003E4932">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p>
        </w:tc>
        <w:tc>
          <w:tcPr>
            <w:tcW w:w="975" w:type="dxa"/>
            <w:vMerge w:val="continue"/>
            <w:tcBorders>
              <w:left w:val="single" w:color="auto" w:sz="4" w:space="0"/>
              <w:right w:val="single" w:color="auto" w:sz="4" w:space="0"/>
            </w:tcBorders>
            <w:noWrap/>
            <w:vAlign w:val="center"/>
          </w:tcPr>
          <w:p w14:paraId="685B8EC5">
            <w:pPr>
              <w:spacing w:line="360" w:lineRule="auto"/>
              <w:jc w:val="center"/>
              <w:rPr>
                <w:rFonts w:hint="eastAsia" w:ascii="宋体" w:hAnsi="宋体" w:eastAsia="宋体" w:cs="宋体"/>
                <w:b/>
                <w:sz w:val="21"/>
                <w:szCs w:val="21"/>
                <w:highlight w:val="none"/>
                <w:lang w:val="en-US" w:eastAsia="zh-CN"/>
              </w:rPr>
            </w:pPr>
          </w:p>
        </w:tc>
        <w:tc>
          <w:tcPr>
            <w:tcW w:w="5615" w:type="dxa"/>
            <w:tcBorders>
              <w:top w:val="single" w:color="auto" w:sz="4" w:space="0"/>
              <w:left w:val="single" w:color="auto" w:sz="4" w:space="0"/>
              <w:bottom w:val="single" w:color="auto" w:sz="4" w:space="0"/>
              <w:right w:val="single" w:color="auto" w:sz="4" w:space="0"/>
            </w:tcBorders>
            <w:noWrap/>
            <w:vAlign w:val="center"/>
          </w:tcPr>
          <w:p w14:paraId="7A7A82FE">
            <w:pPr>
              <w:snapToGrid w:val="0"/>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lang w:val="en-US" w:eastAsia="zh-CN"/>
              </w:rPr>
              <w:t>②</w:t>
            </w:r>
            <w:r>
              <w:rPr>
                <w:rFonts w:hint="eastAsia" w:ascii="宋体" w:hAnsi="宋体" w:cs="宋体"/>
                <w:b/>
                <w:color w:val="000000"/>
                <w:szCs w:val="21"/>
                <w:highlight w:val="none"/>
              </w:rPr>
              <w:t>团队人员配备评审评分（</w:t>
            </w:r>
            <w:r>
              <w:rPr>
                <w:rFonts w:hint="eastAsia" w:ascii="宋体" w:hAnsi="宋体" w:cs="宋体"/>
                <w:b/>
                <w:color w:val="000000"/>
                <w:szCs w:val="21"/>
                <w:highlight w:val="none"/>
                <w:lang w:val="en-US" w:eastAsia="zh-CN"/>
              </w:rPr>
              <w:t>10</w:t>
            </w:r>
            <w:r>
              <w:rPr>
                <w:rFonts w:hint="eastAsia" w:ascii="宋体" w:hAnsi="宋体" w:cs="宋体"/>
                <w:b/>
                <w:color w:val="000000"/>
                <w:szCs w:val="21"/>
                <w:highlight w:val="none"/>
              </w:rPr>
              <w:t>分）</w:t>
            </w:r>
          </w:p>
          <w:p w14:paraId="4B0B277C">
            <w:pPr>
              <w:spacing w:line="360" w:lineRule="auto"/>
              <w:rPr>
                <w:rFonts w:hint="eastAsia" w:ascii="宋体" w:hAnsi="宋体" w:cs="宋体"/>
                <w:color w:val="auto"/>
              </w:rPr>
            </w:pPr>
            <w:r>
              <w:rPr>
                <w:rFonts w:hint="eastAsia" w:ascii="宋体" w:hAnsi="宋体" w:cs="宋体"/>
                <w:color w:val="auto"/>
              </w:rPr>
              <w:t>第一个档次（</w:t>
            </w:r>
            <w:r>
              <w:rPr>
                <w:rFonts w:hint="eastAsia" w:ascii="宋体" w:hAnsi="宋体" w:cs="宋体"/>
                <w:color w:val="auto"/>
                <w:lang w:val="en-US" w:eastAsia="zh-CN"/>
              </w:rPr>
              <w:t>10</w:t>
            </w:r>
            <w:r>
              <w:rPr>
                <w:rFonts w:hint="eastAsia" w:ascii="宋体" w:hAnsi="宋体" w:cs="宋体"/>
                <w:color w:val="auto"/>
              </w:rPr>
              <w:t>分）：人员配备满足需求（6人以上（不含6人））且学科专业（环保相关专业）搭配合理，年龄层次结构合理，具有环保相关专业正高级职称人数大于或等于4人的；</w:t>
            </w:r>
          </w:p>
          <w:p w14:paraId="411444EC">
            <w:pPr>
              <w:spacing w:line="360" w:lineRule="auto"/>
              <w:rPr>
                <w:rFonts w:hint="eastAsia" w:ascii="宋体" w:hAnsi="宋体" w:cs="宋体"/>
                <w:color w:val="auto"/>
              </w:rPr>
            </w:pPr>
            <w:r>
              <w:rPr>
                <w:rFonts w:hint="eastAsia" w:ascii="宋体" w:hAnsi="宋体" w:cs="宋体"/>
                <w:color w:val="auto"/>
              </w:rPr>
              <w:t>第二个档次（6分）：人员配备满足需求（3-6人）且学科专业（环保相关专业）搭配较合理，年龄层次结构较合理，具有环保相关专业正高级职称人数2</w:t>
            </w:r>
            <w:r>
              <w:rPr>
                <w:rFonts w:hint="eastAsia" w:ascii="宋体" w:hAnsi="宋体" w:cs="宋体"/>
                <w:color w:val="auto"/>
                <w:lang w:val="en-US" w:eastAsia="zh-CN"/>
              </w:rPr>
              <w:t>-3</w:t>
            </w:r>
            <w:r>
              <w:rPr>
                <w:rFonts w:hint="eastAsia" w:ascii="宋体" w:hAnsi="宋体" w:cs="宋体"/>
                <w:color w:val="auto"/>
              </w:rPr>
              <w:t>人的；</w:t>
            </w:r>
          </w:p>
          <w:p w14:paraId="160951F1">
            <w:pPr>
              <w:spacing w:line="360" w:lineRule="auto"/>
              <w:rPr>
                <w:rFonts w:hint="eastAsia" w:ascii="宋体" w:hAnsi="宋体" w:cs="宋体"/>
                <w:color w:val="auto"/>
              </w:rPr>
            </w:pPr>
            <w:r>
              <w:rPr>
                <w:rFonts w:hint="eastAsia" w:ascii="宋体" w:hAnsi="宋体" w:cs="宋体"/>
                <w:color w:val="auto"/>
              </w:rPr>
              <w:t>第三个档次（3分）：人员配备满足基本需求（3人以下</w:t>
            </w:r>
            <w:r>
              <w:rPr>
                <w:rFonts w:hint="eastAsia" w:ascii="宋体" w:hAnsi="宋体" w:cs="宋体"/>
                <w:color w:val="auto"/>
                <w:lang w:eastAsia="zh-CN"/>
              </w:rPr>
              <w:t>，</w:t>
            </w:r>
            <w:r>
              <w:rPr>
                <w:rFonts w:hint="eastAsia" w:ascii="宋体" w:hAnsi="宋体" w:cs="宋体"/>
                <w:color w:val="auto"/>
                <w:lang w:val="en-US" w:eastAsia="zh-CN"/>
              </w:rPr>
              <w:t>不含3人</w:t>
            </w:r>
            <w:r>
              <w:rPr>
                <w:rFonts w:hint="eastAsia" w:ascii="宋体" w:hAnsi="宋体" w:cs="宋体"/>
                <w:color w:val="auto"/>
              </w:rPr>
              <w:t>），学科专业（环保相关专业）搭配不合理或年龄层次结构不合理，具有相关专业正高级职称人数小于</w:t>
            </w:r>
            <w:r>
              <w:rPr>
                <w:rFonts w:hint="eastAsia" w:ascii="宋体" w:hAnsi="宋体" w:cs="宋体"/>
                <w:color w:val="auto"/>
                <w:lang w:val="en-US" w:eastAsia="zh-CN"/>
              </w:rPr>
              <w:t>2</w:t>
            </w:r>
            <w:r>
              <w:rPr>
                <w:rFonts w:hint="eastAsia" w:ascii="宋体" w:hAnsi="宋体" w:cs="宋体"/>
                <w:color w:val="auto"/>
              </w:rPr>
              <w:t>人的；</w:t>
            </w:r>
          </w:p>
          <w:p w14:paraId="2E3F6A57">
            <w:pPr>
              <w:keepNext w:val="0"/>
              <w:keepLines w:val="0"/>
              <w:pageBreakBefore w:val="0"/>
              <w:widowControl w:val="0"/>
              <w:kinsoku/>
              <w:overflowPunct/>
              <w:autoSpaceDE/>
              <w:autoSpaceDN/>
              <w:bidi w:val="0"/>
              <w:spacing w:beforeAutospacing="0" w:afterAutospacing="0" w:line="360" w:lineRule="auto"/>
              <w:textAlignment w:val="auto"/>
              <w:rPr>
                <w:rFonts w:hint="eastAsia" w:ascii="宋体" w:hAnsi="宋体" w:cs="宋体"/>
                <w:sz w:val="21"/>
                <w:szCs w:val="21"/>
                <w:lang w:eastAsia="zh-CN"/>
              </w:rPr>
            </w:pPr>
            <w:r>
              <w:rPr>
                <w:rFonts w:hint="eastAsia" w:ascii="宋体" w:hAnsi="宋体" w:cs="宋体"/>
                <w:sz w:val="21"/>
                <w:szCs w:val="21"/>
              </w:rPr>
              <w:t>第四个档次（0分）：人员配备不满足本项目需求的</w:t>
            </w:r>
            <w:r>
              <w:rPr>
                <w:rFonts w:hint="eastAsia" w:ascii="宋体" w:hAnsi="宋体" w:cs="宋体"/>
                <w:sz w:val="21"/>
                <w:szCs w:val="21"/>
                <w:lang w:eastAsia="zh-CN"/>
              </w:rPr>
              <w:t>。</w:t>
            </w:r>
          </w:p>
          <w:p w14:paraId="17AADEC7">
            <w:pPr>
              <w:keepNext w:val="0"/>
              <w:keepLines w:val="0"/>
              <w:pageBreakBefore w:val="0"/>
              <w:widowControl w:val="0"/>
              <w:kinsoku/>
              <w:overflowPunct/>
              <w:autoSpaceDE/>
              <w:autoSpaceDN/>
              <w:bidi w:val="0"/>
              <w:spacing w:beforeAutospacing="0" w:afterAutospacing="0" w:line="360" w:lineRule="auto"/>
              <w:textAlignment w:val="auto"/>
              <w:rPr>
                <w:rFonts w:hint="eastAsia" w:ascii="宋体" w:hAnsi="宋体" w:cs="宋体"/>
                <w:highlight w:val="none"/>
              </w:rPr>
            </w:pPr>
            <w:r>
              <w:rPr>
                <w:rFonts w:hint="eastAsia" w:ascii="宋体" w:hAnsi="宋体" w:cs="宋体"/>
                <w:bCs/>
                <w:color w:val="000000"/>
                <w:szCs w:val="21"/>
                <w:highlight w:val="none"/>
              </w:rPr>
              <w:t>注：</w:t>
            </w:r>
            <w:r>
              <w:rPr>
                <w:rFonts w:hint="eastAsia" w:ascii="宋体" w:hAnsi="宋体" w:cs="宋体"/>
                <w:bCs/>
                <w:color w:val="000000"/>
                <w:szCs w:val="21"/>
                <w:highlight w:val="none"/>
                <w:lang w:eastAsia="zh-CN"/>
              </w:rPr>
              <w:t>响应文件</w:t>
            </w:r>
            <w:r>
              <w:rPr>
                <w:rFonts w:hint="eastAsia" w:ascii="宋体" w:hAnsi="宋体" w:cs="宋体"/>
                <w:bCs/>
                <w:color w:val="000000"/>
                <w:szCs w:val="21"/>
                <w:highlight w:val="none"/>
              </w:rPr>
              <w:t>中须提供《项目团队人员配置情况表》及相对应的人员证明材料，证明材料为身份证、职称证书或资格证（如有）、</w:t>
            </w:r>
            <w:r>
              <w:rPr>
                <w:rFonts w:hint="eastAsia" w:ascii="宋体" w:cs="宋体"/>
                <w:bCs/>
                <w:color w:val="000000"/>
                <w:szCs w:val="21"/>
                <w:lang w:val="en-US" w:eastAsia="zh-CN"/>
              </w:rPr>
              <w:t>劳动合同或劳务合同</w:t>
            </w:r>
            <w:r>
              <w:rPr>
                <w:rFonts w:hint="eastAsia" w:ascii="宋体" w:hAnsi="宋体" w:cs="宋体"/>
                <w:bCs/>
                <w:color w:val="000000"/>
                <w:szCs w:val="21"/>
                <w:highlight w:val="none"/>
              </w:rPr>
              <w:t>。无证明材料或未按要求提供证明材料或证明材料无法体现相应内容的，不予认可。</w:t>
            </w:r>
          </w:p>
        </w:tc>
      </w:tr>
      <w:tr w14:paraId="578E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ign w:val="center"/>
          </w:tcPr>
          <w:p w14:paraId="085C96B8">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noWrap/>
            <w:vAlign w:val="center"/>
          </w:tcPr>
          <w:p w14:paraId="2F5A628C">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rPr>
            </w:pPr>
          </w:p>
        </w:tc>
        <w:tc>
          <w:tcPr>
            <w:tcW w:w="1411" w:type="dxa"/>
            <w:vMerge w:val="continue"/>
            <w:tcBorders>
              <w:top w:val="single" w:color="auto" w:sz="4" w:space="0"/>
              <w:left w:val="single" w:color="auto" w:sz="4" w:space="0"/>
              <w:bottom w:val="single" w:color="auto" w:sz="4" w:space="0"/>
              <w:right w:val="single" w:color="auto" w:sz="4" w:space="0"/>
            </w:tcBorders>
            <w:noWrap/>
            <w:vAlign w:val="center"/>
          </w:tcPr>
          <w:p w14:paraId="1B768335">
            <w:pPr>
              <w:keepNext w:val="0"/>
              <w:keepLines w:val="0"/>
              <w:pageBreakBefore w:val="0"/>
              <w:kinsoku/>
              <w:autoSpaceDE/>
              <w:autoSpaceDN/>
              <w:bidi w:val="0"/>
              <w:spacing w:beforeAutospacing="0" w:afterAutospacing="0" w:line="360" w:lineRule="auto"/>
              <w:textAlignment w:val="auto"/>
              <w:outlineLvl w:val="9"/>
              <w:rPr>
                <w:rFonts w:hint="eastAsia" w:ascii="宋体" w:hAnsi="宋体" w:eastAsia="宋体" w:cs="宋体"/>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ign w:val="center"/>
          </w:tcPr>
          <w:p w14:paraId="5C45E4D6">
            <w:pPr>
              <w:keepNext w:val="0"/>
              <w:keepLines w:val="0"/>
              <w:pageBreakBefore w:val="0"/>
              <w:widowControl w:val="0"/>
              <w:kinsoku/>
              <w:overflowPunct/>
              <w:autoSpaceDE/>
              <w:autoSpaceDN/>
              <w:bidi w:val="0"/>
              <w:adjustRightInd w:val="0"/>
              <w:snapToGrid w:val="0"/>
              <w:spacing w:beforeAutospacing="0" w:afterAutospacing="0" w:line="360" w:lineRule="auto"/>
              <w:textAlignment w:val="auto"/>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8</w:t>
            </w:r>
            <w:r>
              <w:rPr>
                <w:rFonts w:hint="eastAsia" w:ascii="宋体" w:hAnsi="宋体" w:eastAsia="宋体" w:cs="宋体"/>
                <w:b/>
                <w:bCs/>
                <w:sz w:val="21"/>
                <w:szCs w:val="21"/>
                <w:highlight w:val="none"/>
              </w:rPr>
              <w:t>）供应商履约能力评审评分（满分</w:t>
            </w:r>
            <w:r>
              <w:rPr>
                <w:rFonts w:hint="eastAsia" w:ascii="宋体" w:hAnsi="宋体" w:cs="宋体"/>
                <w:b/>
                <w:bCs/>
                <w:sz w:val="21"/>
                <w:szCs w:val="21"/>
                <w:highlight w:val="none"/>
                <w:lang w:val="en-US" w:eastAsia="zh-CN"/>
              </w:rPr>
              <w:t>10</w:t>
            </w:r>
            <w:r>
              <w:rPr>
                <w:rFonts w:hint="eastAsia" w:ascii="宋体" w:hAnsi="宋体" w:eastAsia="宋体" w:cs="宋体"/>
                <w:b/>
                <w:bCs/>
                <w:sz w:val="21"/>
                <w:szCs w:val="21"/>
                <w:highlight w:val="none"/>
              </w:rPr>
              <w:t>分）</w:t>
            </w:r>
          </w:p>
        </w:tc>
        <w:tc>
          <w:tcPr>
            <w:tcW w:w="5615" w:type="dxa"/>
            <w:tcBorders>
              <w:top w:val="single" w:color="auto" w:sz="4" w:space="0"/>
              <w:left w:val="single" w:color="auto" w:sz="4" w:space="0"/>
              <w:bottom w:val="single" w:color="auto" w:sz="4" w:space="0"/>
              <w:right w:val="single" w:color="auto" w:sz="4" w:space="0"/>
            </w:tcBorders>
            <w:noWrap/>
            <w:vAlign w:val="top"/>
          </w:tcPr>
          <w:p w14:paraId="5F8BEC7A">
            <w:pPr>
              <w:keepNext w:val="0"/>
              <w:keepLines w:val="0"/>
              <w:pageBreakBefore w:val="0"/>
              <w:widowControl w:val="0"/>
              <w:kinsoku/>
              <w:overflowPunct/>
              <w:autoSpaceDE/>
              <w:autoSpaceDN/>
              <w:bidi w:val="0"/>
              <w:snapToGrid w:val="0"/>
              <w:spacing w:beforeAutospacing="0" w:afterAutospacing="0" w:line="360" w:lineRule="auto"/>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根据供应商独立承担过的类似项目履约情况进行打分，每提供一项类似项目履约能力证明材料得</w:t>
            </w: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分，本项满分</w:t>
            </w:r>
            <w:r>
              <w:rPr>
                <w:rFonts w:hint="eastAsia" w:ascii="宋体"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lang w:val="en-US" w:eastAsia="zh-CN"/>
              </w:rPr>
              <w:t>分。</w:t>
            </w:r>
          </w:p>
          <w:p w14:paraId="14EEA416">
            <w:pPr>
              <w:keepNext w:val="0"/>
              <w:keepLines w:val="0"/>
              <w:pageBreakBefore w:val="0"/>
              <w:widowControl w:val="0"/>
              <w:kinsoku/>
              <w:overflowPunct/>
              <w:autoSpaceDE/>
              <w:autoSpaceDN/>
              <w:bidi w:val="0"/>
              <w:spacing w:beforeAutospacing="0" w:afterAutospacing="0"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bCs/>
                <w:color w:val="auto"/>
                <w:sz w:val="21"/>
                <w:szCs w:val="21"/>
                <w:highlight w:val="none"/>
                <w:lang w:val="en-US" w:eastAsia="zh-CN"/>
              </w:rPr>
              <w:t>注：响应文件中须提供供应商类似项目履约能力情况表及相对应的履约能力证明材料，履约能力证明材料为供应商与委托方签订的合同（合同包括：合同首页、标的及金额所在页及合同签字盖章页）或委托方出具委托证明，无证明材料或证明材料不明确、无法体现业绩内容的，不予认可。</w:t>
            </w:r>
          </w:p>
        </w:tc>
      </w:tr>
    </w:tbl>
    <w:p w14:paraId="3210CD4E">
      <w:pPr>
        <w:pStyle w:val="75"/>
        <w:tabs>
          <w:tab w:val="left" w:pos="105"/>
          <w:tab w:val="left" w:pos="945"/>
          <w:tab w:val="left" w:pos="3360"/>
        </w:tabs>
        <w:adjustRightInd w:val="0"/>
        <w:snapToGrid w:val="0"/>
        <w:spacing w:line="360" w:lineRule="auto"/>
        <w:ind w:left="420"/>
        <w:outlineLvl w:val="9"/>
        <w:rPr>
          <w:rFonts w:hint="eastAsia" w:ascii="宋体" w:hAnsi="宋体" w:eastAsia="宋体" w:cs="宋体"/>
          <w:b/>
          <w:bCs/>
          <w:sz w:val="21"/>
          <w:szCs w:val="21"/>
        </w:rPr>
      </w:pPr>
      <w:r>
        <w:rPr>
          <w:rFonts w:hint="eastAsia" w:ascii="宋体" w:hAnsi="宋体" w:eastAsia="宋体" w:cs="宋体"/>
          <w:b/>
          <w:bCs/>
          <w:sz w:val="21"/>
          <w:szCs w:val="21"/>
        </w:rPr>
        <w:t>1.评审原则及方法</w:t>
      </w:r>
    </w:p>
    <w:p w14:paraId="1D8FF987">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1.1评审原则：磋商小组成员应当按照客观、公正、审慎的原则，根据磋商文件规定的评审程序、评审方法和评审标准进行独立评审。未实质性响应竞争性磋商文件的响应文件按无效响应处理，磋商小组将告知提交响应文件的供应商，供应商不得再继续参加磋商。</w:t>
      </w:r>
    </w:p>
    <w:p w14:paraId="7B1D14A3">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1.2评审方法：综合评分法，是指响应文件满足磋商文件全部实质性要求且按评审因素的量化指标评审得分最高的供应商为成交候选供应商的评审方法。</w:t>
      </w:r>
    </w:p>
    <w:p w14:paraId="2B6F147C">
      <w:pPr>
        <w:pStyle w:val="75"/>
        <w:tabs>
          <w:tab w:val="left" w:pos="105"/>
          <w:tab w:val="left" w:pos="945"/>
          <w:tab w:val="left" w:pos="3360"/>
        </w:tabs>
        <w:adjustRightInd w:val="0"/>
        <w:snapToGrid w:val="0"/>
        <w:spacing w:line="360" w:lineRule="auto"/>
        <w:ind w:left="420"/>
        <w:outlineLvl w:val="9"/>
        <w:rPr>
          <w:rFonts w:hint="eastAsia" w:ascii="宋体" w:hAnsi="宋体" w:eastAsia="宋体" w:cs="宋体"/>
          <w:b/>
          <w:bCs/>
          <w:sz w:val="21"/>
          <w:szCs w:val="21"/>
        </w:rPr>
      </w:pPr>
      <w:r>
        <w:rPr>
          <w:rFonts w:hint="eastAsia" w:ascii="宋体" w:hAnsi="宋体" w:eastAsia="宋体" w:cs="宋体"/>
          <w:b/>
          <w:bCs/>
          <w:sz w:val="21"/>
          <w:szCs w:val="21"/>
        </w:rPr>
        <w:t>2.实质性评审</w:t>
      </w:r>
    </w:p>
    <w:p w14:paraId="09F7E6EA">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2.1磋商小组依据竞争性磋商文件第六章《评审方法》2.1实质性评审标准规定的内容，对供应商响应文件中进行审查，以确定供应商是否具备参加本项目竞争性磋商采购活动的资格，未实质性响应竞争性磋商文件的响应文件按无效响应处理，磋商小组将告知提交响应文件的供应商，供应商不得再继续参加磋商。</w:t>
      </w:r>
    </w:p>
    <w:p w14:paraId="15253A24">
      <w:pPr>
        <w:tabs>
          <w:tab w:val="left" w:pos="105"/>
          <w:tab w:val="left" w:pos="945"/>
          <w:tab w:val="left" w:pos="3360"/>
        </w:tabs>
        <w:adjustRightInd w:val="0"/>
        <w:snapToGrid w:val="0"/>
        <w:spacing w:line="360" w:lineRule="auto"/>
        <w:ind w:firstLine="422" w:firstLineChars="200"/>
        <w:outlineLvl w:val="9"/>
        <w:rPr>
          <w:rFonts w:hint="eastAsia" w:ascii="宋体" w:hAnsi="宋体" w:eastAsia="宋体" w:cs="宋体"/>
          <w:b/>
          <w:sz w:val="21"/>
          <w:szCs w:val="21"/>
        </w:rPr>
      </w:pPr>
      <w:r>
        <w:rPr>
          <w:rFonts w:hint="eastAsia" w:ascii="宋体" w:hAnsi="宋体" w:eastAsia="宋体" w:cs="宋体"/>
          <w:b/>
          <w:sz w:val="21"/>
          <w:szCs w:val="21"/>
        </w:rPr>
        <w:t>3</w:t>
      </w:r>
      <w:r>
        <w:rPr>
          <w:rFonts w:hint="eastAsia" w:ascii="宋体" w:hAnsi="宋体" w:eastAsia="宋体" w:cs="宋体"/>
          <w:b/>
          <w:bCs/>
          <w:sz w:val="21"/>
          <w:szCs w:val="21"/>
        </w:rPr>
        <w:t>.磋商及最后报价</w:t>
      </w:r>
    </w:p>
    <w:p w14:paraId="134C2C62">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368335">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3.2磋商小组要求供应商澄清、说明或者更正响应文件应当以书面形式作出。供应商的澄清、说明或者更正应当由法定代表人或其授权代表签字或者加盖供应商电子公章。由授权代表签字的，应当附法定代表人授权书。供应商为自然人的，应当由本人签字并附身份证明。</w:t>
      </w:r>
    </w:p>
    <w:p w14:paraId="55A0B87A">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3.3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39482BB1">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3.4对磋商文件作出的实质性变动是磋商文件的有效组成部分，磋商小组将及时以书面形式同时通知所有参加磋商的供应商。</w:t>
      </w:r>
    </w:p>
    <w:p w14:paraId="0DDE1E83">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3.5磋商结束后，磋商小组将要求所有实质性响应的供应商在规定时间内提交最后报价，提交最后报价的供应商不得少于</w:t>
      </w:r>
      <w:r>
        <w:rPr>
          <w:rFonts w:hint="eastAsia" w:ascii="宋体" w:hAnsi="宋体" w:eastAsia="宋体" w:cs="宋体"/>
          <w:sz w:val="21"/>
          <w:szCs w:val="21"/>
          <w:lang w:val="en-US" w:eastAsia="zh-CN"/>
        </w:rPr>
        <w:t>2</w:t>
      </w:r>
      <w:r>
        <w:rPr>
          <w:rFonts w:hint="eastAsia" w:ascii="宋体" w:hAnsi="宋体" w:eastAsia="宋体" w:cs="宋体"/>
          <w:sz w:val="21"/>
          <w:szCs w:val="21"/>
        </w:rPr>
        <w:t>家，最后报价应由法定代表人或其委托代理人签字，在规定的时间统一密封递交，最后报价是供应商响应文件的有效组成部分。在提交最后报价之前，供应商可以根据磋商情况退出磋商，其磋商保证金按规定的时间予以退还。</w:t>
      </w:r>
    </w:p>
    <w:p w14:paraId="716A54E0">
      <w:pPr>
        <w:spacing w:line="360" w:lineRule="auto"/>
        <w:ind w:firstLine="420"/>
        <w:outlineLvl w:val="9"/>
        <w:rPr>
          <w:rFonts w:hint="eastAsia" w:ascii="宋体" w:hAnsi="宋体" w:eastAsia="宋体" w:cs="宋体"/>
          <w:b/>
          <w:bCs/>
          <w:sz w:val="21"/>
          <w:szCs w:val="21"/>
        </w:rPr>
      </w:pPr>
      <w:r>
        <w:rPr>
          <w:rFonts w:hint="eastAsia" w:ascii="宋体" w:hAnsi="宋体" w:eastAsia="宋体" w:cs="宋体"/>
          <w:b/>
          <w:sz w:val="21"/>
          <w:szCs w:val="21"/>
        </w:rPr>
        <w:t>4</w:t>
      </w:r>
      <w:r>
        <w:rPr>
          <w:rFonts w:hint="eastAsia" w:ascii="宋体" w:hAnsi="宋体" w:eastAsia="宋体" w:cs="宋体"/>
          <w:b/>
          <w:bCs/>
          <w:sz w:val="21"/>
          <w:szCs w:val="21"/>
        </w:rPr>
        <w:t>.详细评审</w:t>
      </w:r>
      <w:r>
        <w:rPr>
          <w:rFonts w:hint="eastAsia" w:ascii="宋体" w:hAnsi="宋体" w:eastAsia="宋体" w:cs="宋体"/>
          <w:b/>
          <w:sz w:val="21"/>
          <w:szCs w:val="21"/>
        </w:rPr>
        <w:t>及</w:t>
      </w:r>
      <w:r>
        <w:rPr>
          <w:rFonts w:hint="eastAsia" w:ascii="宋体" w:hAnsi="宋体" w:eastAsia="宋体" w:cs="宋体"/>
          <w:b/>
          <w:bCs/>
          <w:sz w:val="21"/>
          <w:szCs w:val="21"/>
        </w:rPr>
        <w:t>统分原则</w:t>
      </w:r>
    </w:p>
    <w:p w14:paraId="426CB000">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4.1磋商小组各成员将按照竞争性磋商文件中规定的详细评审标准独立对每个有效响应的文件进行评价、打分，然后汇总每个供应商每项评分因素的得分，最终按以下公式计算出各供应商的评审得分。</w:t>
      </w:r>
    </w:p>
    <w:p w14:paraId="09448358">
      <w:pPr>
        <w:spacing w:line="360" w:lineRule="auto"/>
        <w:ind w:left="420" w:leftChars="200"/>
        <w:jc w:val="left"/>
        <w:outlineLvl w:val="9"/>
        <w:rPr>
          <w:rFonts w:hint="eastAsia" w:ascii="宋体" w:hAnsi="宋体" w:eastAsia="宋体" w:cs="宋体"/>
          <w:sz w:val="21"/>
          <w:szCs w:val="21"/>
        </w:rPr>
      </w:pPr>
      <w:r>
        <w:rPr>
          <w:rFonts w:hint="eastAsia" w:ascii="宋体" w:hAnsi="宋体" w:eastAsia="宋体" w:cs="宋体"/>
          <w:sz w:val="21"/>
          <w:szCs w:val="21"/>
        </w:rPr>
        <w:t>评审得分=F1＋F2</w:t>
      </w:r>
    </w:p>
    <w:p w14:paraId="6BB78B9A">
      <w:pPr>
        <w:spacing w:line="360" w:lineRule="auto"/>
        <w:ind w:left="420" w:leftChars="200"/>
        <w:jc w:val="left"/>
        <w:outlineLvl w:val="9"/>
        <w:rPr>
          <w:rFonts w:hint="eastAsia" w:ascii="宋体" w:hAnsi="宋体" w:eastAsia="宋体" w:cs="宋体"/>
          <w:sz w:val="21"/>
          <w:szCs w:val="21"/>
        </w:rPr>
      </w:pPr>
      <w:r>
        <w:rPr>
          <w:rFonts w:hint="eastAsia" w:ascii="宋体" w:hAnsi="宋体" w:eastAsia="宋体" w:cs="宋体"/>
          <w:sz w:val="21"/>
          <w:szCs w:val="21"/>
        </w:rPr>
        <w:t>其中：F1、F2分别为报价评分、技术商务部分评分2项评审因素的汇总得分。</w:t>
      </w:r>
    </w:p>
    <w:p w14:paraId="04348E94">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4.2磋商小组成员要依法独立审查，并对审查意见承担个人责任。磋商小组成员对需要共同认定的事项存在争议的，按照少数服从多数的原则做出结论。持不同意见的磋商小组成员应当在评审报告上签署不同意见并说明理由，否则视为同意。</w:t>
      </w:r>
    </w:p>
    <w:p w14:paraId="1E854878">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4.3</w:t>
      </w:r>
      <w:r>
        <w:rPr>
          <w:rFonts w:hint="eastAsia" w:ascii="宋体" w:hAnsi="宋体" w:cs="宋体"/>
          <w:sz w:val="21"/>
          <w:szCs w:val="21"/>
          <w:lang w:eastAsia="zh-CN"/>
        </w:rPr>
        <w:t>磋商小组</w:t>
      </w:r>
      <w:r>
        <w:rPr>
          <w:rFonts w:hint="eastAsia" w:ascii="宋体" w:hAnsi="宋体" w:eastAsia="宋体" w:cs="宋体"/>
          <w:sz w:val="21"/>
          <w:szCs w:val="21"/>
        </w:rPr>
        <w:t>启动异常低价投标（响应）审查后，应当要求相关供应商在评审现场</w:t>
      </w:r>
      <w:r>
        <w:rPr>
          <w:rFonts w:hint="eastAsia" w:ascii="宋体" w:hAnsi="宋体" w:cs="宋体"/>
          <w:sz w:val="21"/>
          <w:szCs w:val="21"/>
          <w:lang w:eastAsia="zh-CN"/>
        </w:rPr>
        <w:t>（</w:t>
      </w:r>
      <w:r>
        <w:rPr>
          <w:rFonts w:hint="eastAsia" w:ascii="宋体" w:hAnsi="宋体" w:cs="宋体"/>
          <w:sz w:val="21"/>
          <w:szCs w:val="21"/>
          <w:lang w:val="en-US" w:eastAsia="zh-CN"/>
        </w:rPr>
        <w:t>政采云</w:t>
      </w:r>
      <w:r>
        <w:rPr>
          <w:rFonts w:hint="eastAsia" w:ascii="宋体" w:hAnsi="宋体" w:cs="宋体"/>
          <w:sz w:val="21"/>
          <w:szCs w:val="21"/>
          <w:lang w:eastAsia="zh-CN"/>
        </w:rPr>
        <w:t>）</w:t>
      </w:r>
      <w:r>
        <w:rPr>
          <w:rFonts w:hint="eastAsia" w:ascii="宋体" w:hAnsi="宋体" w:eastAsia="宋体" w:cs="宋体"/>
          <w:sz w:val="21"/>
          <w:szCs w:val="21"/>
        </w:rPr>
        <w:t>合理的时间内对投标（响应）价格作出解释，提供项目具体成本测算等与报价合理性相关的书面说明及必要的证明材料，包括但不限于原材料成本、人工成本、制造费用等，给予相关供应商的合理时间一般不少于30分钟。其中，属于本项目</w:t>
      </w:r>
      <w:r>
        <w:rPr>
          <w:rFonts w:hint="eastAsia" w:ascii="宋体" w:hAnsi="宋体" w:cs="宋体"/>
          <w:sz w:val="21"/>
          <w:szCs w:val="21"/>
          <w:lang w:eastAsia="zh-CN"/>
        </w:rPr>
        <w:t>竞争性磋商文件</w:t>
      </w:r>
      <w:r>
        <w:rPr>
          <w:rFonts w:hint="eastAsia" w:ascii="宋体" w:hAnsi="宋体" w:eastAsia="宋体" w:cs="宋体"/>
          <w:sz w:val="21"/>
          <w:szCs w:val="21"/>
        </w:rPr>
        <w:t>中关于异常低价投标（响应）程序中第3项情形，供应商已随投标（响应）文件一并提交相关书面说明及必要的证明材料的，在评审现场可不再重复提交。</w:t>
      </w:r>
      <w:r>
        <w:rPr>
          <w:rFonts w:hint="eastAsia" w:ascii="宋体" w:hAnsi="宋体" w:cs="宋体"/>
          <w:sz w:val="21"/>
          <w:szCs w:val="21"/>
          <w:lang w:eastAsia="zh-CN"/>
        </w:rPr>
        <w:t>磋商小组</w:t>
      </w:r>
      <w:r>
        <w:rPr>
          <w:rFonts w:hint="eastAsia" w:ascii="宋体" w:hAnsi="宋体" w:eastAsia="宋体" w:cs="宋体"/>
          <w:sz w:val="21"/>
          <w:szCs w:val="21"/>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sz w:val="21"/>
          <w:szCs w:val="21"/>
          <w:lang w:eastAsia="zh-CN"/>
        </w:rPr>
        <w:t>磋商小组</w:t>
      </w:r>
      <w:r>
        <w:rPr>
          <w:rFonts w:hint="eastAsia" w:ascii="宋体" w:hAnsi="宋体" w:eastAsia="宋体" w:cs="宋体"/>
          <w:sz w:val="21"/>
          <w:szCs w:val="21"/>
        </w:rPr>
        <w:t>应当将其作为无效投标处理。</w:t>
      </w:r>
    </w:p>
    <w:p w14:paraId="3FCE7EFD">
      <w:pPr>
        <w:spacing w:line="360" w:lineRule="auto"/>
        <w:ind w:firstLine="420" w:firstLineChars="200"/>
        <w:jc w:val="left"/>
        <w:outlineLvl w:val="9"/>
        <w:rPr>
          <w:rFonts w:hint="eastAsia" w:ascii="宋体" w:hAnsi="宋体" w:eastAsia="宋体" w:cs="宋体"/>
          <w:sz w:val="21"/>
          <w:szCs w:val="21"/>
        </w:rPr>
      </w:pPr>
      <w:r>
        <w:rPr>
          <w:rFonts w:hint="eastAsia" w:ascii="宋体" w:hAnsi="宋体" w:cs="宋体"/>
          <w:sz w:val="21"/>
          <w:szCs w:val="21"/>
          <w:lang w:val="en-US" w:eastAsia="zh-CN"/>
        </w:rPr>
        <w:t>4.4</w:t>
      </w:r>
      <w:r>
        <w:rPr>
          <w:rFonts w:hint="eastAsia" w:ascii="宋体" w:hAnsi="宋体" w:eastAsia="宋体" w:cs="宋体"/>
          <w:sz w:val="21"/>
          <w:szCs w:val="21"/>
        </w:rPr>
        <w:t>磋商小组对供应商的价格分等客观评分项的评分应当一致，对其他需要借助专业知识评判的主观评分项，应当严格按照评分细则公正评分。</w:t>
      </w:r>
    </w:p>
    <w:p w14:paraId="2FCA3DB8">
      <w:pPr>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sz w:val="21"/>
          <w:szCs w:val="21"/>
          <w:lang w:val="en-US" w:eastAsia="zh-CN"/>
        </w:rPr>
        <w:t>5</w:t>
      </w:r>
      <w:r>
        <w:rPr>
          <w:rFonts w:hint="eastAsia" w:ascii="宋体" w:hAnsi="宋体" w:eastAsia="宋体" w:cs="宋体"/>
          <w:sz w:val="21"/>
          <w:szCs w:val="21"/>
        </w:rPr>
        <w:t>供应商各项评分因素得分为该项因素各成员评分的算术平均值（保留小数点后两位），小数点后第三位“四舍五入”。</w:t>
      </w:r>
    </w:p>
    <w:p w14:paraId="75088E4C">
      <w:pPr>
        <w:spacing w:line="360" w:lineRule="auto"/>
        <w:ind w:firstLine="420"/>
        <w:outlineLvl w:val="9"/>
        <w:rPr>
          <w:rFonts w:hint="eastAsia" w:ascii="宋体" w:hAnsi="宋体" w:eastAsia="宋体" w:cs="宋体"/>
          <w:b/>
          <w:bCs/>
          <w:sz w:val="21"/>
          <w:szCs w:val="21"/>
        </w:rPr>
      </w:pPr>
      <w:r>
        <w:rPr>
          <w:rFonts w:hint="eastAsia" w:ascii="宋体" w:hAnsi="宋体" w:eastAsia="宋体" w:cs="宋体"/>
          <w:b/>
          <w:bCs/>
          <w:sz w:val="21"/>
          <w:szCs w:val="21"/>
        </w:rPr>
        <w:t>5.推荐成交候选供应商及确定成交供应商</w:t>
      </w:r>
    </w:p>
    <w:p w14:paraId="25165D5A">
      <w:pPr>
        <w:spacing w:line="360" w:lineRule="auto"/>
        <w:ind w:firstLine="420" w:firstLineChars="20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5.1磋商小组按照评审得分由高到低顺序推荐</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名以上成交候选供应商，并编写评审报告。评审得分相同的，按照最后报价由低到高的顺序推荐。评审得分且最后报价相同的，按照技术指标优劣顺序推荐。</w:t>
      </w:r>
    </w:p>
    <w:p w14:paraId="5DA605CD">
      <w:pPr>
        <w:spacing w:line="360" w:lineRule="auto"/>
        <w:ind w:firstLine="420" w:firstLineChars="20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5.2采购人从评审报告提出的成交候选供应商中，按照排序由高到低的原则确定成交供应商。</w:t>
      </w:r>
    </w:p>
    <w:sectPr>
      <w:footerReference r:id="rId5" w:type="default"/>
      <w:pgSz w:w="12240" w:h="15840"/>
      <w:pgMar w:top="1440" w:right="1800" w:bottom="1168" w:left="1800" w:header="720" w:footer="720"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ejaVu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56AE">
    <w:pPr>
      <w:pStyle w:val="26"/>
      <w:jc w:val="right"/>
    </w:pPr>
    <w:r>
      <w:drawing>
        <wp:inline distT="0" distB="0" distL="114300" distR="114300">
          <wp:extent cx="1438275" cy="266700"/>
          <wp:effectExtent l="0" t="0" r="22" b="5"/>
          <wp:docPr id="7" name="图片 3"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冠睿小标"/>
                  <pic:cNvPicPr>
                    <a:picLocks noChangeAspect="1"/>
                  </pic:cNvPicPr>
                </pic:nvPicPr>
                <pic:blipFill>
                  <a:blip r:embed="rId1"/>
                  <a:stretch>
                    <a:fillRect/>
                  </a:stretch>
                </pic:blipFill>
                <pic:spPr>
                  <a:xfrm>
                    <a:off x="0" y="0"/>
                    <a:ext cx="1438275" cy="266700"/>
                  </a:xfrm>
                  <a:prstGeom prst="rect">
                    <a:avLst/>
                  </a:prstGeom>
                  <a:noFill/>
                  <a:ln w="9525" cap="flat" cmpd="sng">
                    <a:noFill/>
                    <a:prstDash val="solid"/>
                    <a:round/>
                  </a:ln>
                </pic:spPr>
              </pic:pic>
            </a:graphicData>
          </a:graphic>
        </wp:inline>
      </w:drawing>
    </w:r>
  </w:p>
  <w:p w14:paraId="2A6001A0">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ABB28">
    <w:pPr>
      <w:pStyle w:val="26"/>
      <w:spacing w:before="120" w:after="120"/>
      <w:jc w:val="center"/>
    </w:pPr>
    <w:r>
      <w:fldChar w:fldCharType="begin"/>
    </w:r>
    <w:r>
      <w:instrText xml:space="preserve">PAGE   \* MERGEFORMAT</w:instrText>
    </w:r>
    <w:r>
      <w:fldChar w:fldCharType="separate"/>
    </w:r>
    <w:r>
      <w:rPr>
        <w:lang w:val="zh-CN"/>
      </w:rPr>
      <w:t>66</w:t>
    </w:r>
    <w:r>
      <w:fldChar w:fldCharType="end"/>
    </w:r>
  </w:p>
  <w:p w14:paraId="1BBCAB72">
    <w:pPr>
      <w:pStyle w:val="26"/>
      <w:spacing w:before="120" w:after="120"/>
      <w:jc w:val="right"/>
    </w:pPr>
    <w:r>
      <w:drawing>
        <wp:inline distT="0" distB="0" distL="114300" distR="114300">
          <wp:extent cx="1438275" cy="266700"/>
          <wp:effectExtent l="0" t="0" r="22" b="5"/>
          <wp:docPr id="12" name="图片 5"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冠睿小标"/>
                  <pic:cNvPicPr>
                    <a:picLocks noChangeAspect="1"/>
                  </pic:cNvPicPr>
                </pic:nvPicPr>
                <pic:blipFill>
                  <a:blip r:embed="rId1"/>
                  <a:stretch>
                    <a:fillRect/>
                  </a:stretch>
                </pic:blipFill>
                <pic:spPr>
                  <a:xfrm>
                    <a:off x="0" y="0"/>
                    <a:ext cx="1438275" cy="266700"/>
                  </a:xfrm>
                  <a:prstGeom prst="rect">
                    <a:avLst/>
                  </a:prstGeom>
                  <a:noFill/>
                  <a:ln w="9525" cap="flat" cmpd="sng">
                    <a:noFill/>
                    <a:prstDash val="solid"/>
                    <a:rou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1428">
    <w:pPr>
      <w:pStyle w:val="27"/>
      <w:jc w:val="center"/>
      <w:rPr>
        <w:sz w:val="18"/>
        <w:szCs w:val="20"/>
      </w:rPr>
    </w:pPr>
    <w:r>
      <w:rPr>
        <w:rFonts w:hint="eastAsia" w:ascii="宋体"/>
        <w:kern w:val="0"/>
        <w:sz w:val="20"/>
        <w:szCs w:val="22"/>
        <w:highlight w:val="none"/>
        <w:lang w:val="en-US" w:eastAsia="zh-CN"/>
      </w:rPr>
      <w:t xml:space="preserve">昆明经济技术开发区2025年度生态建设绩效追踪项目                       </w:t>
    </w:r>
    <w:r>
      <w:rPr>
        <w:rFonts w:hint="eastAsia" w:ascii="宋体"/>
        <w:kern w:val="0"/>
        <w:sz w:val="20"/>
        <w:szCs w:val="22"/>
        <w:lang w:val="en-US" w:eastAsia="zh-CN"/>
      </w:rPr>
      <w:t>竞争性</w:t>
    </w:r>
    <w:r>
      <w:rPr>
        <w:rFonts w:hint="eastAsia" w:ascii="宋体"/>
        <w:kern w:val="0"/>
        <w:sz w:val="20"/>
        <w:szCs w:val="22"/>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C3B85"/>
    <w:multiLevelType w:val="singleLevel"/>
    <w:tmpl w:val="C88C3B85"/>
    <w:lvl w:ilvl="0" w:tentative="0">
      <w:start w:val="1"/>
      <w:numFmt w:val="chineseCounting"/>
      <w:suff w:val="nothing"/>
      <w:lvlText w:val="（%1）"/>
      <w:lvlJc w:val="left"/>
      <w:pPr>
        <w:ind w:left="0" w:firstLine="0"/>
      </w:pPr>
      <w:rPr>
        <w:rFonts w:hint="eastAsia"/>
      </w:rPr>
    </w:lvl>
  </w:abstractNum>
  <w:abstractNum w:abstractNumId="1">
    <w:nsid w:val="1D365DC3"/>
    <w:multiLevelType w:val="multilevel"/>
    <w:tmpl w:val="1D365DC3"/>
    <w:lvl w:ilvl="0" w:tentative="0">
      <w:start w:val="1"/>
      <w:numFmt w:val="decimal"/>
      <w:pStyle w:val="116"/>
      <w:lvlText w:val="%1."/>
      <w:lvlJc w:val="left"/>
      <w:pPr>
        <w:ind w:left="420" w:hanging="420"/>
      </w:pPr>
      <w:rPr>
        <w:rFonts w:hint="eastAsia"/>
      </w:rPr>
    </w:lvl>
    <w:lvl w:ilvl="1" w:tentative="0">
      <w:start w:val="1"/>
      <w:numFmt w:val="lowerLetter"/>
      <w:lvlText w:val="%2)"/>
      <w:lvlJc w:val="left"/>
      <w:pPr>
        <w:ind w:left="600" w:hanging="420"/>
      </w:pPr>
    </w:lvl>
    <w:lvl w:ilvl="2" w:tentative="0">
      <w:start w:val="1"/>
      <w:numFmt w:val="lowerRoman"/>
      <w:lvlText w:val="%3."/>
      <w:lvlJc w:val="right"/>
      <w:pPr>
        <w:ind w:left="1020" w:hanging="420"/>
      </w:pPr>
    </w:lvl>
    <w:lvl w:ilvl="3" w:tentative="0">
      <w:start w:val="1"/>
      <w:numFmt w:val="decimal"/>
      <w:lvlText w:val="%4."/>
      <w:lvlJc w:val="left"/>
      <w:pPr>
        <w:ind w:left="1440" w:hanging="420"/>
      </w:pPr>
    </w:lvl>
    <w:lvl w:ilvl="4" w:tentative="0">
      <w:start w:val="1"/>
      <w:numFmt w:val="lowerLetter"/>
      <w:lvlText w:val="%5)"/>
      <w:lvlJc w:val="left"/>
      <w:pPr>
        <w:ind w:left="1860" w:hanging="420"/>
      </w:pPr>
    </w:lvl>
    <w:lvl w:ilvl="5" w:tentative="0">
      <w:start w:val="1"/>
      <w:numFmt w:val="lowerRoman"/>
      <w:lvlText w:val="%6."/>
      <w:lvlJc w:val="right"/>
      <w:pPr>
        <w:ind w:left="2280" w:hanging="420"/>
      </w:pPr>
    </w:lvl>
    <w:lvl w:ilvl="6" w:tentative="0">
      <w:start w:val="1"/>
      <w:numFmt w:val="decimal"/>
      <w:lvlText w:val="%7."/>
      <w:lvlJc w:val="left"/>
      <w:pPr>
        <w:ind w:left="2700" w:hanging="420"/>
      </w:pPr>
    </w:lvl>
    <w:lvl w:ilvl="7" w:tentative="0">
      <w:start w:val="1"/>
      <w:numFmt w:val="lowerLetter"/>
      <w:lvlText w:val="%8)"/>
      <w:lvlJc w:val="left"/>
      <w:pPr>
        <w:ind w:left="3120" w:hanging="420"/>
      </w:pPr>
    </w:lvl>
    <w:lvl w:ilvl="8" w:tentative="0">
      <w:start w:val="1"/>
      <w:numFmt w:val="lowerRoman"/>
      <w:lvlText w:val="%9."/>
      <w:lvlJc w:val="right"/>
      <w:pPr>
        <w:ind w:left="3540" w:hanging="420"/>
      </w:pPr>
    </w:lvl>
  </w:abstractNum>
  <w:abstractNum w:abstractNumId="2">
    <w:nsid w:val="3B0B21A3"/>
    <w:multiLevelType w:val="singleLevel"/>
    <w:tmpl w:val="3B0B21A3"/>
    <w:lvl w:ilvl="0" w:tentative="0">
      <w:start w:val="1"/>
      <w:numFmt w:val="decimal"/>
      <w:pStyle w:val="8"/>
      <w:lvlText w:val="%1."/>
      <w:lvlJc w:val="left"/>
      <w:pPr>
        <w:tabs>
          <w:tab w:val="left" w:pos="780"/>
        </w:tabs>
        <w:ind w:left="7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dit="readOnly" w:enforcement="0"/>
  <w:defaultTabStop w:val="424"/>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MjJmYTY2NWIxMjczY2E4MzdkNzQ5MjhhOGZkNTQyNDcifQ=="/>
  </w:docVars>
  <w:rsids>
    <w:rsidRoot w:val="00000000"/>
    <w:rsid w:val="00022373"/>
    <w:rsid w:val="001D7D62"/>
    <w:rsid w:val="002A0059"/>
    <w:rsid w:val="003F5F2A"/>
    <w:rsid w:val="004376E7"/>
    <w:rsid w:val="005136FB"/>
    <w:rsid w:val="00692FA7"/>
    <w:rsid w:val="007500CA"/>
    <w:rsid w:val="0075194C"/>
    <w:rsid w:val="00951F59"/>
    <w:rsid w:val="009A13B3"/>
    <w:rsid w:val="00BB6D7D"/>
    <w:rsid w:val="00BF58A4"/>
    <w:rsid w:val="00CF16A4"/>
    <w:rsid w:val="00D96721"/>
    <w:rsid w:val="00F44F67"/>
    <w:rsid w:val="00FD74AF"/>
    <w:rsid w:val="010F51A7"/>
    <w:rsid w:val="01231C88"/>
    <w:rsid w:val="0136732D"/>
    <w:rsid w:val="01593C77"/>
    <w:rsid w:val="015974C0"/>
    <w:rsid w:val="01C901A1"/>
    <w:rsid w:val="01F92B98"/>
    <w:rsid w:val="020F0807"/>
    <w:rsid w:val="021767C4"/>
    <w:rsid w:val="027125E7"/>
    <w:rsid w:val="028A4E3F"/>
    <w:rsid w:val="029307AF"/>
    <w:rsid w:val="02F70D3E"/>
    <w:rsid w:val="03082F4B"/>
    <w:rsid w:val="0315776F"/>
    <w:rsid w:val="03483329"/>
    <w:rsid w:val="03600692"/>
    <w:rsid w:val="0364380A"/>
    <w:rsid w:val="038F71C9"/>
    <w:rsid w:val="03B7483B"/>
    <w:rsid w:val="03BB08A6"/>
    <w:rsid w:val="03D177E1"/>
    <w:rsid w:val="0401090C"/>
    <w:rsid w:val="04150C15"/>
    <w:rsid w:val="0472717F"/>
    <w:rsid w:val="047D34C5"/>
    <w:rsid w:val="04876471"/>
    <w:rsid w:val="04BC1B67"/>
    <w:rsid w:val="04D12DFA"/>
    <w:rsid w:val="04EC4DC2"/>
    <w:rsid w:val="05110760"/>
    <w:rsid w:val="05212BF6"/>
    <w:rsid w:val="0561453D"/>
    <w:rsid w:val="05715BAA"/>
    <w:rsid w:val="05961137"/>
    <w:rsid w:val="05A61144"/>
    <w:rsid w:val="05B86DE2"/>
    <w:rsid w:val="05F41565"/>
    <w:rsid w:val="062A0C1E"/>
    <w:rsid w:val="06345D7F"/>
    <w:rsid w:val="063D32BC"/>
    <w:rsid w:val="066A692A"/>
    <w:rsid w:val="0721408E"/>
    <w:rsid w:val="07247C28"/>
    <w:rsid w:val="07314E96"/>
    <w:rsid w:val="07504465"/>
    <w:rsid w:val="07575085"/>
    <w:rsid w:val="07671414"/>
    <w:rsid w:val="07A5520D"/>
    <w:rsid w:val="07BC05D8"/>
    <w:rsid w:val="07BC4D2A"/>
    <w:rsid w:val="07D60915"/>
    <w:rsid w:val="081F57DA"/>
    <w:rsid w:val="08204790"/>
    <w:rsid w:val="082600C2"/>
    <w:rsid w:val="083375A0"/>
    <w:rsid w:val="08365E65"/>
    <w:rsid w:val="084C34CD"/>
    <w:rsid w:val="08626C5A"/>
    <w:rsid w:val="08640C24"/>
    <w:rsid w:val="08686160"/>
    <w:rsid w:val="086E0253"/>
    <w:rsid w:val="087D22FB"/>
    <w:rsid w:val="08A07782"/>
    <w:rsid w:val="08AB3E69"/>
    <w:rsid w:val="08B01A1D"/>
    <w:rsid w:val="08B02111"/>
    <w:rsid w:val="090650D7"/>
    <w:rsid w:val="090703F4"/>
    <w:rsid w:val="0919178E"/>
    <w:rsid w:val="09475D37"/>
    <w:rsid w:val="09611779"/>
    <w:rsid w:val="09652406"/>
    <w:rsid w:val="097A7FD3"/>
    <w:rsid w:val="0993046C"/>
    <w:rsid w:val="09A34AFA"/>
    <w:rsid w:val="09C83435"/>
    <w:rsid w:val="09EA6F07"/>
    <w:rsid w:val="0A2012E9"/>
    <w:rsid w:val="0A4800D1"/>
    <w:rsid w:val="0A481E7F"/>
    <w:rsid w:val="0A680E2B"/>
    <w:rsid w:val="0A683F81"/>
    <w:rsid w:val="0A841228"/>
    <w:rsid w:val="0A892BC4"/>
    <w:rsid w:val="0AA07F0D"/>
    <w:rsid w:val="0AC0410C"/>
    <w:rsid w:val="0AE3357A"/>
    <w:rsid w:val="0AFE32DE"/>
    <w:rsid w:val="0B24120B"/>
    <w:rsid w:val="0B246449"/>
    <w:rsid w:val="0B4A2AED"/>
    <w:rsid w:val="0B5A00BC"/>
    <w:rsid w:val="0B5D195B"/>
    <w:rsid w:val="0B7B2615"/>
    <w:rsid w:val="0B8E5FB8"/>
    <w:rsid w:val="0B911AD5"/>
    <w:rsid w:val="0BA60342"/>
    <w:rsid w:val="0C434FF4"/>
    <w:rsid w:val="0C437409"/>
    <w:rsid w:val="0C4B4C0A"/>
    <w:rsid w:val="0C730BF4"/>
    <w:rsid w:val="0C7B653C"/>
    <w:rsid w:val="0C8E4358"/>
    <w:rsid w:val="0C96376F"/>
    <w:rsid w:val="0CA737D5"/>
    <w:rsid w:val="0CAE6912"/>
    <w:rsid w:val="0CB050CF"/>
    <w:rsid w:val="0CB200C5"/>
    <w:rsid w:val="0CB832EC"/>
    <w:rsid w:val="0CC71781"/>
    <w:rsid w:val="0CC872A8"/>
    <w:rsid w:val="0CE24029"/>
    <w:rsid w:val="0D026C5D"/>
    <w:rsid w:val="0D15394E"/>
    <w:rsid w:val="0D2D2AA5"/>
    <w:rsid w:val="0D4A1E72"/>
    <w:rsid w:val="0D6668AB"/>
    <w:rsid w:val="0D735465"/>
    <w:rsid w:val="0D8B00FE"/>
    <w:rsid w:val="0DA16476"/>
    <w:rsid w:val="0DA54DAD"/>
    <w:rsid w:val="0DC43625"/>
    <w:rsid w:val="0DEE0F90"/>
    <w:rsid w:val="0DF06AB6"/>
    <w:rsid w:val="0DF94527"/>
    <w:rsid w:val="0E2C59C2"/>
    <w:rsid w:val="0E5C05EF"/>
    <w:rsid w:val="0E6D40C4"/>
    <w:rsid w:val="0E772D33"/>
    <w:rsid w:val="0EBF1F8F"/>
    <w:rsid w:val="0EC04A02"/>
    <w:rsid w:val="0ED137EB"/>
    <w:rsid w:val="0F213035"/>
    <w:rsid w:val="0F2E736C"/>
    <w:rsid w:val="0F4C5357"/>
    <w:rsid w:val="0FC150CF"/>
    <w:rsid w:val="0FF8479A"/>
    <w:rsid w:val="100920B1"/>
    <w:rsid w:val="100B5E29"/>
    <w:rsid w:val="103226B0"/>
    <w:rsid w:val="10523A58"/>
    <w:rsid w:val="106B06BB"/>
    <w:rsid w:val="109B028B"/>
    <w:rsid w:val="10B6067D"/>
    <w:rsid w:val="10BC5375"/>
    <w:rsid w:val="10DB1C9F"/>
    <w:rsid w:val="10E15E2F"/>
    <w:rsid w:val="10E741A0"/>
    <w:rsid w:val="11205904"/>
    <w:rsid w:val="115B2DE0"/>
    <w:rsid w:val="11665A0D"/>
    <w:rsid w:val="116E48C1"/>
    <w:rsid w:val="119F4AF9"/>
    <w:rsid w:val="11FE2AA3"/>
    <w:rsid w:val="120D5E88"/>
    <w:rsid w:val="12172CF1"/>
    <w:rsid w:val="12665599"/>
    <w:rsid w:val="127D74D6"/>
    <w:rsid w:val="127E1905"/>
    <w:rsid w:val="12961F72"/>
    <w:rsid w:val="129640D0"/>
    <w:rsid w:val="12A362E5"/>
    <w:rsid w:val="12F45E36"/>
    <w:rsid w:val="132F0080"/>
    <w:rsid w:val="13421B62"/>
    <w:rsid w:val="136F66A5"/>
    <w:rsid w:val="13781A27"/>
    <w:rsid w:val="1382348A"/>
    <w:rsid w:val="13A32C29"/>
    <w:rsid w:val="142851FC"/>
    <w:rsid w:val="143A231E"/>
    <w:rsid w:val="146D2C0E"/>
    <w:rsid w:val="148C78E7"/>
    <w:rsid w:val="14D05CA0"/>
    <w:rsid w:val="14E353FD"/>
    <w:rsid w:val="150E311E"/>
    <w:rsid w:val="155F7720"/>
    <w:rsid w:val="158A3C94"/>
    <w:rsid w:val="159C3623"/>
    <w:rsid w:val="159E329B"/>
    <w:rsid w:val="15A62D19"/>
    <w:rsid w:val="15A922C4"/>
    <w:rsid w:val="160F7CF5"/>
    <w:rsid w:val="162714E3"/>
    <w:rsid w:val="1632283F"/>
    <w:rsid w:val="165D0268"/>
    <w:rsid w:val="165E3157"/>
    <w:rsid w:val="16663DB9"/>
    <w:rsid w:val="167B4357"/>
    <w:rsid w:val="16A44B2E"/>
    <w:rsid w:val="16AF07A6"/>
    <w:rsid w:val="16C65B9C"/>
    <w:rsid w:val="16D10448"/>
    <w:rsid w:val="17101F77"/>
    <w:rsid w:val="17164887"/>
    <w:rsid w:val="1758293B"/>
    <w:rsid w:val="17620FC6"/>
    <w:rsid w:val="17641D15"/>
    <w:rsid w:val="179039C4"/>
    <w:rsid w:val="17AF1790"/>
    <w:rsid w:val="17BD71FF"/>
    <w:rsid w:val="17DC3D7C"/>
    <w:rsid w:val="180A2E6A"/>
    <w:rsid w:val="180C01B6"/>
    <w:rsid w:val="18610CDC"/>
    <w:rsid w:val="188A049E"/>
    <w:rsid w:val="18B90B18"/>
    <w:rsid w:val="18BC67D2"/>
    <w:rsid w:val="18CE3E98"/>
    <w:rsid w:val="18DE057F"/>
    <w:rsid w:val="18E24A74"/>
    <w:rsid w:val="190E0134"/>
    <w:rsid w:val="19233336"/>
    <w:rsid w:val="192E41F3"/>
    <w:rsid w:val="19B60BB4"/>
    <w:rsid w:val="19D8128E"/>
    <w:rsid w:val="1A0F77B0"/>
    <w:rsid w:val="1A206975"/>
    <w:rsid w:val="1A351458"/>
    <w:rsid w:val="1A443A2F"/>
    <w:rsid w:val="1A6A6422"/>
    <w:rsid w:val="1A706810"/>
    <w:rsid w:val="1A7D3DC7"/>
    <w:rsid w:val="1A89276C"/>
    <w:rsid w:val="1A9F09B9"/>
    <w:rsid w:val="1AC47878"/>
    <w:rsid w:val="1AC76DF0"/>
    <w:rsid w:val="1ADD0F44"/>
    <w:rsid w:val="1AF51BB0"/>
    <w:rsid w:val="1B157ABC"/>
    <w:rsid w:val="1B3A57CA"/>
    <w:rsid w:val="1B4F4E1D"/>
    <w:rsid w:val="1B5C578B"/>
    <w:rsid w:val="1B6C77FA"/>
    <w:rsid w:val="1B707488"/>
    <w:rsid w:val="1B726910"/>
    <w:rsid w:val="1B7E1BA5"/>
    <w:rsid w:val="1B9E5DA3"/>
    <w:rsid w:val="1BEF65FF"/>
    <w:rsid w:val="1BFE2CE6"/>
    <w:rsid w:val="1BFF50E5"/>
    <w:rsid w:val="1C0025BA"/>
    <w:rsid w:val="1C107633"/>
    <w:rsid w:val="1C3F5943"/>
    <w:rsid w:val="1C782A98"/>
    <w:rsid w:val="1CA67605"/>
    <w:rsid w:val="1CB11B06"/>
    <w:rsid w:val="1CBD04AB"/>
    <w:rsid w:val="1CE609D0"/>
    <w:rsid w:val="1D1B5428"/>
    <w:rsid w:val="1D2A2EDE"/>
    <w:rsid w:val="1D4727E4"/>
    <w:rsid w:val="1D4A2339"/>
    <w:rsid w:val="1D7C0366"/>
    <w:rsid w:val="1D7D279D"/>
    <w:rsid w:val="1D7D680A"/>
    <w:rsid w:val="1DB056D7"/>
    <w:rsid w:val="1DCD7032"/>
    <w:rsid w:val="1DF12B02"/>
    <w:rsid w:val="1DF779ED"/>
    <w:rsid w:val="1E186735"/>
    <w:rsid w:val="1E1A592E"/>
    <w:rsid w:val="1E3743A7"/>
    <w:rsid w:val="1E3824DF"/>
    <w:rsid w:val="1E756685"/>
    <w:rsid w:val="1E7948A6"/>
    <w:rsid w:val="1ED8781E"/>
    <w:rsid w:val="1EF8256F"/>
    <w:rsid w:val="1EFA2F0E"/>
    <w:rsid w:val="1F1A3993"/>
    <w:rsid w:val="1F642E60"/>
    <w:rsid w:val="1F66307C"/>
    <w:rsid w:val="1F6E70F2"/>
    <w:rsid w:val="1F8C72B0"/>
    <w:rsid w:val="1FAB16CB"/>
    <w:rsid w:val="1FD9384E"/>
    <w:rsid w:val="1FDB75C6"/>
    <w:rsid w:val="1FFE5E18"/>
    <w:rsid w:val="20510884"/>
    <w:rsid w:val="205A3A72"/>
    <w:rsid w:val="206B1596"/>
    <w:rsid w:val="20710D0B"/>
    <w:rsid w:val="208324A5"/>
    <w:rsid w:val="208C08C0"/>
    <w:rsid w:val="209A7F17"/>
    <w:rsid w:val="20D83B05"/>
    <w:rsid w:val="20E3388B"/>
    <w:rsid w:val="20F55C78"/>
    <w:rsid w:val="215869F4"/>
    <w:rsid w:val="21690C01"/>
    <w:rsid w:val="216929AF"/>
    <w:rsid w:val="21B50629"/>
    <w:rsid w:val="21BA18CA"/>
    <w:rsid w:val="21D00EC7"/>
    <w:rsid w:val="21FD1DF2"/>
    <w:rsid w:val="221D5B8D"/>
    <w:rsid w:val="22866796"/>
    <w:rsid w:val="228F5837"/>
    <w:rsid w:val="22A20E20"/>
    <w:rsid w:val="22A25C39"/>
    <w:rsid w:val="22B01A03"/>
    <w:rsid w:val="22CA03BC"/>
    <w:rsid w:val="22DF6D75"/>
    <w:rsid w:val="22F64DD9"/>
    <w:rsid w:val="23160BB0"/>
    <w:rsid w:val="23276340"/>
    <w:rsid w:val="2331574F"/>
    <w:rsid w:val="23532319"/>
    <w:rsid w:val="2355768F"/>
    <w:rsid w:val="235F22BC"/>
    <w:rsid w:val="238735C1"/>
    <w:rsid w:val="238C0BD7"/>
    <w:rsid w:val="23903CAB"/>
    <w:rsid w:val="23AD3ACA"/>
    <w:rsid w:val="23BA4245"/>
    <w:rsid w:val="23D762F6"/>
    <w:rsid w:val="240B336F"/>
    <w:rsid w:val="241237D2"/>
    <w:rsid w:val="24172B97"/>
    <w:rsid w:val="24305A06"/>
    <w:rsid w:val="245F009A"/>
    <w:rsid w:val="246D27B7"/>
    <w:rsid w:val="24857B00"/>
    <w:rsid w:val="248F6BD1"/>
    <w:rsid w:val="24975A86"/>
    <w:rsid w:val="249F61B2"/>
    <w:rsid w:val="24DF2E79"/>
    <w:rsid w:val="24E61D04"/>
    <w:rsid w:val="24E753F8"/>
    <w:rsid w:val="250C1FD0"/>
    <w:rsid w:val="250F2A0B"/>
    <w:rsid w:val="25163BE4"/>
    <w:rsid w:val="251B66B7"/>
    <w:rsid w:val="25317C88"/>
    <w:rsid w:val="25473008"/>
    <w:rsid w:val="25564726"/>
    <w:rsid w:val="255A71DF"/>
    <w:rsid w:val="25626CCB"/>
    <w:rsid w:val="25826736"/>
    <w:rsid w:val="258E02F8"/>
    <w:rsid w:val="25CD100C"/>
    <w:rsid w:val="25F62FD2"/>
    <w:rsid w:val="2609642C"/>
    <w:rsid w:val="261E1534"/>
    <w:rsid w:val="262B147C"/>
    <w:rsid w:val="262E26A7"/>
    <w:rsid w:val="264D28A0"/>
    <w:rsid w:val="266F0A68"/>
    <w:rsid w:val="26A56238"/>
    <w:rsid w:val="26A9214B"/>
    <w:rsid w:val="26B27B4D"/>
    <w:rsid w:val="26BA3FAA"/>
    <w:rsid w:val="26EA00EF"/>
    <w:rsid w:val="26FC5A54"/>
    <w:rsid w:val="270D1F18"/>
    <w:rsid w:val="271368F1"/>
    <w:rsid w:val="27387234"/>
    <w:rsid w:val="27391565"/>
    <w:rsid w:val="27411D21"/>
    <w:rsid w:val="27545CBD"/>
    <w:rsid w:val="279C1686"/>
    <w:rsid w:val="27B958AE"/>
    <w:rsid w:val="27D32B97"/>
    <w:rsid w:val="27E17743"/>
    <w:rsid w:val="28100029"/>
    <w:rsid w:val="28133675"/>
    <w:rsid w:val="28182AAA"/>
    <w:rsid w:val="2888100C"/>
    <w:rsid w:val="28884F9B"/>
    <w:rsid w:val="28C12480"/>
    <w:rsid w:val="28D92B11"/>
    <w:rsid w:val="29253660"/>
    <w:rsid w:val="293E526C"/>
    <w:rsid w:val="29C44CF4"/>
    <w:rsid w:val="29DC5491"/>
    <w:rsid w:val="29F6324E"/>
    <w:rsid w:val="2A093583"/>
    <w:rsid w:val="2A0D63FD"/>
    <w:rsid w:val="2A164F5A"/>
    <w:rsid w:val="2A1D6A2D"/>
    <w:rsid w:val="2A2A2571"/>
    <w:rsid w:val="2A2E7118"/>
    <w:rsid w:val="2A3F69A3"/>
    <w:rsid w:val="2A750012"/>
    <w:rsid w:val="2AC1385C"/>
    <w:rsid w:val="2AC34A37"/>
    <w:rsid w:val="2AD417E1"/>
    <w:rsid w:val="2AD8589F"/>
    <w:rsid w:val="2ADC66A6"/>
    <w:rsid w:val="2B433905"/>
    <w:rsid w:val="2B4F0E68"/>
    <w:rsid w:val="2B4F557A"/>
    <w:rsid w:val="2B681065"/>
    <w:rsid w:val="2B880CA5"/>
    <w:rsid w:val="2B917730"/>
    <w:rsid w:val="2BAF1907"/>
    <w:rsid w:val="2BB2746D"/>
    <w:rsid w:val="2BC95FD7"/>
    <w:rsid w:val="2C541062"/>
    <w:rsid w:val="2C5B195F"/>
    <w:rsid w:val="2C602C01"/>
    <w:rsid w:val="2CC46878"/>
    <w:rsid w:val="2CC91616"/>
    <w:rsid w:val="2CCD0296"/>
    <w:rsid w:val="2D0C7054"/>
    <w:rsid w:val="2D2060D7"/>
    <w:rsid w:val="2D33395D"/>
    <w:rsid w:val="2D5B4FFC"/>
    <w:rsid w:val="2D686211"/>
    <w:rsid w:val="2DAA05D8"/>
    <w:rsid w:val="2DC31699"/>
    <w:rsid w:val="2DD73979"/>
    <w:rsid w:val="2DDA2821"/>
    <w:rsid w:val="2E1B3283"/>
    <w:rsid w:val="2E3A4108"/>
    <w:rsid w:val="2E4117A3"/>
    <w:rsid w:val="2E954DE4"/>
    <w:rsid w:val="2E985CF4"/>
    <w:rsid w:val="2EA66FF1"/>
    <w:rsid w:val="2EBC64B7"/>
    <w:rsid w:val="2F1228D8"/>
    <w:rsid w:val="2F1E5661"/>
    <w:rsid w:val="2F8135BA"/>
    <w:rsid w:val="2F9D33B5"/>
    <w:rsid w:val="303E14AB"/>
    <w:rsid w:val="3049057C"/>
    <w:rsid w:val="30586A11"/>
    <w:rsid w:val="306A22A0"/>
    <w:rsid w:val="306B04F2"/>
    <w:rsid w:val="307564D5"/>
    <w:rsid w:val="30850E88"/>
    <w:rsid w:val="3095556F"/>
    <w:rsid w:val="30A92DC8"/>
    <w:rsid w:val="30DE6015"/>
    <w:rsid w:val="30FA096F"/>
    <w:rsid w:val="31012C04"/>
    <w:rsid w:val="31445AD2"/>
    <w:rsid w:val="31591D87"/>
    <w:rsid w:val="31603BBB"/>
    <w:rsid w:val="316D5DCF"/>
    <w:rsid w:val="31A37EB4"/>
    <w:rsid w:val="31F0593E"/>
    <w:rsid w:val="323B0398"/>
    <w:rsid w:val="323B207D"/>
    <w:rsid w:val="323D1A1A"/>
    <w:rsid w:val="32936626"/>
    <w:rsid w:val="32D83E66"/>
    <w:rsid w:val="32DD3349"/>
    <w:rsid w:val="32EE5A1E"/>
    <w:rsid w:val="33044D0B"/>
    <w:rsid w:val="334824AD"/>
    <w:rsid w:val="335334BF"/>
    <w:rsid w:val="3353378D"/>
    <w:rsid w:val="33833CFC"/>
    <w:rsid w:val="33A532CB"/>
    <w:rsid w:val="33A87B99"/>
    <w:rsid w:val="33B6494D"/>
    <w:rsid w:val="33C527CB"/>
    <w:rsid w:val="33F46A50"/>
    <w:rsid w:val="34094F65"/>
    <w:rsid w:val="34254E5C"/>
    <w:rsid w:val="34571EED"/>
    <w:rsid w:val="34697483"/>
    <w:rsid w:val="347100A1"/>
    <w:rsid w:val="347B4B3A"/>
    <w:rsid w:val="348D5BC3"/>
    <w:rsid w:val="3498562E"/>
    <w:rsid w:val="34A83397"/>
    <w:rsid w:val="34AA1DEA"/>
    <w:rsid w:val="34C24459"/>
    <w:rsid w:val="34FF194B"/>
    <w:rsid w:val="35103416"/>
    <w:rsid w:val="351C1540"/>
    <w:rsid w:val="354A2ECE"/>
    <w:rsid w:val="355C0EFB"/>
    <w:rsid w:val="355E6877"/>
    <w:rsid w:val="355F439E"/>
    <w:rsid w:val="35610116"/>
    <w:rsid w:val="3566365E"/>
    <w:rsid w:val="357C4F4F"/>
    <w:rsid w:val="359619A5"/>
    <w:rsid w:val="35A52AAF"/>
    <w:rsid w:val="35BC7482"/>
    <w:rsid w:val="35BF6BEA"/>
    <w:rsid w:val="35F27157"/>
    <w:rsid w:val="35F81894"/>
    <w:rsid w:val="35F9034E"/>
    <w:rsid w:val="361C3EBD"/>
    <w:rsid w:val="361F010B"/>
    <w:rsid w:val="36200AE6"/>
    <w:rsid w:val="363718D7"/>
    <w:rsid w:val="36541307"/>
    <w:rsid w:val="365A6A30"/>
    <w:rsid w:val="366F6862"/>
    <w:rsid w:val="36785717"/>
    <w:rsid w:val="36871DCF"/>
    <w:rsid w:val="369E4A52"/>
    <w:rsid w:val="36A45CAD"/>
    <w:rsid w:val="36C81818"/>
    <w:rsid w:val="36E25286"/>
    <w:rsid w:val="36EF34FF"/>
    <w:rsid w:val="36FB6FA8"/>
    <w:rsid w:val="37024FE0"/>
    <w:rsid w:val="372907BF"/>
    <w:rsid w:val="373831EE"/>
    <w:rsid w:val="37451E4D"/>
    <w:rsid w:val="375B62C1"/>
    <w:rsid w:val="37721B96"/>
    <w:rsid w:val="378C0D4E"/>
    <w:rsid w:val="37C46192"/>
    <w:rsid w:val="383329A9"/>
    <w:rsid w:val="387E0FDF"/>
    <w:rsid w:val="38880A4F"/>
    <w:rsid w:val="389E5782"/>
    <w:rsid w:val="38B46593"/>
    <w:rsid w:val="38CC4AB9"/>
    <w:rsid w:val="39785A2E"/>
    <w:rsid w:val="39A877B8"/>
    <w:rsid w:val="39F01AC5"/>
    <w:rsid w:val="39F252BA"/>
    <w:rsid w:val="3A080BE1"/>
    <w:rsid w:val="3A1439A9"/>
    <w:rsid w:val="3A222C6E"/>
    <w:rsid w:val="3A3052A6"/>
    <w:rsid w:val="3A541FF7"/>
    <w:rsid w:val="3A5835DF"/>
    <w:rsid w:val="3A5F7E3C"/>
    <w:rsid w:val="3A667F7C"/>
    <w:rsid w:val="3A751F6D"/>
    <w:rsid w:val="3A886068"/>
    <w:rsid w:val="3AB40CE8"/>
    <w:rsid w:val="3ACA0F0B"/>
    <w:rsid w:val="3ADD1FEC"/>
    <w:rsid w:val="3AE96BE3"/>
    <w:rsid w:val="3AF53CDC"/>
    <w:rsid w:val="3AFD6C08"/>
    <w:rsid w:val="3B094DAD"/>
    <w:rsid w:val="3B0C28D2"/>
    <w:rsid w:val="3B1479D8"/>
    <w:rsid w:val="3B2220F5"/>
    <w:rsid w:val="3B337E2C"/>
    <w:rsid w:val="3B345984"/>
    <w:rsid w:val="3B3B065E"/>
    <w:rsid w:val="3B6049CB"/>
    <w:rsid w:val="3B9B7493"/>
    <w:rsid w:val="3B9D57BB"/>
    <w:rsid w:val="3B9F22E6"/>
    <w:rsid w:val="3BC82C9D"/>
    <w:rsid w:val="3BC875A5"/>
    <w:rsid w:val="3BF33A92"/>
    <w:rsid w:val="3BF37E78"/>
    <w:rsid w:val="3C101EF8"/>
    <w:rsid w:val="3C4300BE"/>
    <w:rsid w:val="3C531794"/>
    <w:rsid w:val="3C666012"/>
    <w:rsid w:val="3C6B3628"/>
    <w:rsid w:val="3C7715BB"/>
    <w:rsid w:val="3C8D34DA"/>
    <w:rsid w:val="3CA11B1D"/>
    <w:rsid w:val="3CEA63B8"/>
    <w:rsid w:val="3D0B7F1C"/>
    <w:rsid w:val="3D261663"/>
    <w:rsid w:val="3D4C16AB"/>
    <w:rsid w:val="3D5C03A4"/>
    <w:rsid w:val="3D7758EB"/>
    <w:rsid w:val="3D981A3A"/>
    <w:rsid w:val="3D9B1CEB"/>
    <w:rsid w:val="3DDF607B"/>
    <w:rsid w:val="3DEB4A20"/>
    <w:rsid w:val="3DF0503B"/>
    <w:rsid w:val="3E377DEB"/>
    <w:rsid w:val="3E642A0C"/>
    <w:rsid w:val="3EA64DEB"/>
    <w:rsid w:val="3EBC016B"/>
    <w:rsid w:val="3EE822C0"/>
    <w:rsid w:val="3F0F2990"/>
    <w:rsid w:val="3F1528D7"/>
    <w:rsid w:val="3F2F3033"/>
    <w:rsid w:val="3F3A3478"/>
    <w:rsid w:val="3F485EA2"/>
    <w:rsid w:val="3F4F492A"/>
    <w:rsid w:val="3F7722E4"/>
    <w:rsid w:val="3F882875"/>
    <w:rsid w:val="3F8F3AD1"/>
    <w:rsid w:val="3F9478A2"/>
    <w:rsid w:val="3F9D1D4A"/>
    <w:rsid w:val="40275AB8"/>
    <w:rsid w:val="40356427"/>
    <w:rsid w:val="40381A73"/>
    <w:rsid w:val="40493C80"/>
    <w:rsid w:val="405A7C3B"/>
    <w:rsid w:val="40A47732"/>
    <w:rsid w:val="40AD4AA8"/>
    <w:rsid w:val="40E4749D"/>
    <w:rsid w:val="41087697"/>
    <w:rsid w:val="410D4CAE"/>
    <w:rsid w:val="411F7641"/>
    <w:rsid w:val="41362456"/>
    <w:rsid w:val="414D77A0"/>
    <w:rsid w:val="41594397"/>
    <w:rsid w:val="416D2444"/>
    <w:rsid w:val="41DE4C7E"/>
    <w:rsid w:val="41FE6A9E"/>
    <w:rsid w:val="42134546"/>
    <w:rsid w:val="426E5C20"/>
    <w:rsid w:val="428B6983"/>
    <w:rsid w:val="42C57127"/>
    <w:rsid w:val="42D33CD5"/>
    <w:rsid w:val="42DB23BC"/>
    <w:rsid w:val="42E3702F"/>
    <w:rsid w:val="42EF6D61"/>
    <w:rsid w:val="42F06635"/>
    <w:rsid w:val="42F74D3A"/>
    <w:rsid w:val="42FE0D52"/>
    <w:rsid w:val="43251253"/>
    <w:rsid w:val="434D3A87"/>
    <w:rsid w:val="43642539"/>
    <w:rsid w:val="43827C8E"/>
    <w:rsid w:val="438F5E4E"/>
    <w:rsid w:val="439E42E3"/>
    <w:rsid w:val="43C024AB"/>
    <w:rsid w:val="43E23908"/>
    <w:rsid w:val="43E3619A"/>
    <w:rsid w:val="44120AC8"/>
    <w:rsid w:val="441319D4"/>
    <w:rsid w:val="445A46AE"/>
    <w:rsid w:val="4467501D"/>
    <w:rsid w:val="44676030"/>
    <w:rsid w:val="446F1942"/>
    <w:rsid w:val="448D3975"/>
    <w:rsid w:val="44D85CB2"/>
    <w:rsid w:val="450E3618"/>
    <w:rsid w:val="45225864"/>
    <w:rsid w:val="455B75B6"/>
    <w:rsid w:val="4561381A"/>
    <w:rsid w:val="457402B2"/>
    <w:rsid w:val="45752507"/>
    <w:rsid w:val="45976BC3"/>
    <w:rsid w:val="45A95D7E"/>
    <w:rsid w:val="45B407E1"/>
    <w:rsid w:val="45BA2FB1"/>
    <w:rsid w:val="45C36283"/>
    <w:rsid w:val="45C8337C"/>
    <w:rsid w:val="45D52FE5"/>
    <w:rsid w:val="45F36B68"/>
    <w:rsid w:val="464A59ED"/>
    <w:rsid w:val="46AC2953"/>
    <w:rsid w:val="46B5206F"/>
    <w:rsid w:val="46F30DEA"/>
    <w:rsid w:val="47134143"/>
    <w:rsid w:val="47470862"/>
    <w:rsid w:val="4769234B"/>
    <w:rsid w:val="47881613"/>
    <w:rsid w:val="47B16CDB"/>
    <w:rsid w:val="47D57C86"/>
    <w:rsid w:val="48005001"/>
    <w:rsid w:val="482128D5"/>
    <w:rsid w:val="484336AB"/>
    <w:rsid w:val="485458B8"/>
    <w:rsid w:val="485748F0"/>
    <w:rsid w:val="486D24D6"/>
    <w:rsid w:val="48783354"/>
    <w:rsid w:val="488F069E"/>
    <w:rsid w:val="489857A5"/>
    <w:rsid w:val="48BC0B6E"/>
    <w:rsid w:val="48C2506C"/>
    <w:rsid w:val="48C540C0"/>
    <w:rsid w:val="48EE4BD9"/>
    <w:rsid w:val="48F771DF"/>
    <w:rsid w:val="49175E2A"/>
    <w:rsid w:val="492928A1"/>
    <w:rsid w:val="4953791E"/>
    <w:rsid w:val="499C439D"/>
    <w:rsid w:val="49B4660E"/>
    <w:rsid w:val="49E50EBD"/>
    <w:rsid w:val="49E55BB5"/>
    <w:rsid w:val="4A28386B"/>
    <w:rsid w:val="4A2E7EC3"/>
    <w:rsid w:val="4A474D96"/>
    <w:rsid w:val="4A9961AC"/>
    <w:rsid w:val="4AA51EA6"/>
    <w:rsid w:val="4ADA02F6"/>
    <w:rsid w:val="4AE0477F"/>
    <w:rsid w:val="4AF4653B"/>
    <w:rsid w:val="4B425E9C"/>
    <w:rsid w:val="4B5D4A84"/>
    <w:rsid w:val="4BA6642B"/>
    <w:rsid w:val="4BA93D64"/>
    <w:rsid w:val="4BF8760A"/>
    <w:rsid w:val="4C215AB1"/>
    <w:rsid w:val="4C2326EE"/>
    <w:rsid w:val="4C2A52EF"/>
    <w:rsid w:val="4C5E3796"/>
    <w:rsid w:val="4CBE77A4"/>
    <w:rsid w:val="4CC2367B"/>
    <w:rsid w:val="4CC27294"/>
    <w:rsid w:val="4CD945DE"/>
    <w:rsid w:val="4CDA2830"/>
    <w:rsid w:val="4CEA67EB"/>
    <w:rsid w:val="4CF338F1"/>
    <w:rsid w:val="4D052FC8"/>
    <w:rsid w:val="4D0E24D9"/>
    <w:rsid w:val="4D2C0BB1"/>
    <w:rsid w:val="4D5266C3"/>
    <w:rsid w:val="4D691B0A"/>
    <w:rsid w:val="4D9A119B"/>
    <w:rsid w:val="4DAB5F7A"/>
    <w:rsid w:val="4DAC1BAF"/>
    <w:rsid w:val="4DBB1AD3"/>
    <w:rsid w:val="4DC35C9C"/>
    <w:rsid w:val="4DC42B98"/>
    <w:rsid w:val="4DE566F3"/>
    <w:rsid w:val="4DF43A57"/>
    <w:rsid w:val="4E07740D"/>
    <w:rsid w:val="4E2F31D3"/>
    <w:rsid w:val="4E6C395B"/>
    <w:rsid w:val="4E9A285F"/>
    <w:rsid w:val="4EB726FD"/>
    <w:rsid w:val="4EBA53C2"/>
    <w:rsid w:val="4ED16F74"/>
    <w:rsid w:val="4EF120B3"/>
    <w:rsid w:val="4F111E0D"/>
    <w:rsid w:val="4F1D3BE3"/>
    <w:rsid w:val="4F1D5F1B"/>
    <w:rsid w:val="4F1F09CE"/>
    <w:rsid w:val="4F204746"/>
    <w:rsid w:val="4F766114"/>
    <w:rsid w:val="4F801E6F"/>
    <w:rsid w:val="4F9121C3"/>
    <w:rsid w:val="4FC414BB"/>
    <w:rsid w:val="4FC81DBA"/>
    <w:rsid w:val="4FC829C5"/>
    <w:rsid w:val="4FDA2A69"/>
    <w:rsid w:val="4FF52BAA"/>
    <w:rsid w:val="4FFC5772"/>
    <w:rsid w:val="500E53BA"/>
    <w:rsid w:val="50882859"/>
    <w:rsid w:val="50A83F8E"/>
    <w:rsid w:val="50B53614"/>
    <w:rsid w:val="50BB0282"/>
    <w:rsid w:val="50E615A0"/>
    <w:rsid w:val="51183927"/>
    <w:rsid w:val="5144296E"/>
    <w:rsid w:val="5156444F"/>
    <w:rsid w:val="519136D9"/>
    <w:rsid w:val="51A76A58"/>
    <w:rsid w:val="51B72342"/>
    <w:rsid w:val="520B25A1"/>
    <w:rsid w:val="521F1DDE"/>
    <w:rsid w:val="523A78CD"/>
    <w:rsid w:val="524D031B"/>
    <w:rsid w:val="526B3F2A"/>
    <w:rsid w:val="52B508CE"/>
    <w:rsid w:val="531719E3"/>
    <w:rsid w:val="5325057D"/>
    <w:rsid w:val="53281E1B"/>
    <w:rsid w:val="532E5683"/>
    <w:rsid w:val="533308FD"/>
    <w:rsid w:val="53395B77"/>
    <w:rsid w:val="533B7DA0"/>
    <w:rsid w:val="5340221F"/>
    <w:rsid w:val="5343652A"/>
    <w:rsid w:val="53A067B5"/>
    <w:rsid w:val="53B03F05"/>
    <w:rsid w:val="53C953AC"/>
    <w:rsid w:val="53CC6C4A"/>
    <w:rsid w:val="53E261A4"/>
    <w:rsid w:val="53FC12DE"/>
    <w:rsid w:val="53FF492A"/>
    <w:rsid w:val="54001407"/>
    <w:rsid w:val="54031810"/>
    <w:rsid w:val="54420CBA"/>
    <w:rsid w:val="547F7CF9"/>
    <w:rsid w:val="548E1678"/>
    <w:rsid w:val="548F2152"/>
    <w:rsid w:val="55020B76"/>
    <w:rsid w:val="55097B6F"/>
    <w:rsid w:val="552830AF"/>
    <w:rsid w:val="5531180B"/>
    <w:rsid w:val="55345047"/>
    <w:rsid w:val="553E1482"/>
    <w:rsid w:val="55592415"/>
    <w:rsid w:val="55C71477"/>
    <w:rsid w:val="55CC644B"/>
    <w:rsid w:val="55DE5100"/>
    <w:rsid w:val="55EF0512"/>
    <w:rsid w:val="55FB20AD"/>
    <w:rsid w:val="560C1580"/>
    <w:rsid w:val="56147B3D"/>
    <w:rsid w:val="561F12B3"/>
    <w:rsid w:val="562253FD"/>
    <w:rsid w:val="5623032F"/>
    <w:rsid w:val="56290384"/>
    <w:rsid w:val="56646DA2"/>
    <w:rsid w:val="566B4549"/>
    <w:rsid w:val="567B0501"/>
    <w:rsid w:val="567E118D"/>
    <w:rsid w:val="56977F51"/>
    <w:rsid w:val="56B75990"/>
    <w:rsid w:val="56CB4F97"/>
    <w:rsid w:val="56FB1D20"/>
    <w:rsid w:val="571D2F37"/>
    <w:rsid w:val="5774783B"/>
    <w:rsid w:val="577B69BD"/>
    <w:rsid w:val="577FBE61"/>
    <w:rsid w:val="579147E0"/>
    <w:rsid w:val="57CF4904"/>
    <w:rsid w:val="58006EC2"/>
    <w:rsid w:val="580E6E7E"/>
    <w:rsid w:val="58116D20"/>
    <w:rsid w:val="58117322"/>
    <w:rsid w:val="58201313"/>
    <w:rsid w:val="58302DCF"/>
    <w:rsid w:val="58423DEF"/>
    <w:rsid w:val="585E19AD"/>
    <w:rsid w:val="5875165E"/>
    <w:rsid w:val="58E230FD"/>
    <w:rsid w:val="58E6255C"/>
    <w:rsid w:val="58E67940"/>
    <w:rsid w:val="58ED7447"/>
    <w:rsid w:val="58F370D3"/>
    <w:rsid w:val="590F5B0B"/>
    <w:rsid w:val="595F0A89"/>
    <w:rsid w:val="59641B83"/>
    <w:rsid w:val="59824370"/>
    <w:rsid w:val="599B22AB"/>
    <w:rsid w:val="599B4DC7"/>
    <w:rsid w:val="59B61F2F"/>
    <w:rsid w:val="59CF4D9E"/>
    <w:rsid w:val="5A007FC9"/>
    <w:rsid w:val="5A0C1B4F"/>
    <w:rsid w:val="5AA2241F"/>
    <w:rsid w:val="5AD05272"/>
    <w:rsid w:val="5AED1980"/>
    <w:rsid w:val="5B182775"/>
    <w:rsid w:val="5B555777"/>
    <w:rsid w:val="5B5A4B3C"/>
    <w:rsid w:val="5B73475E"/>
    <w:rsid w:val="5B8A7FC1"/>
    <w:rsid w:val="5BC8419B"/>
    <w:rsid w:val="5BD46845"/>
    <w:rsid w:val="5C02145B"/>
    <w:rsid w:val="5C16035D"/>
    <w:rsid w:val="5C177E32"/>
    <w:rsid w:val="5C427AAA"/>
    <w:rsid w:val="5C8956D8"/>
    <w:rsid w:val="5C9F111E"/>
    <w:rsid w:val="5CCE3A33"/>
    <w:rsid w:val="5CCF0C19"/>
    <w:rsid w:val="5CD96A3B"/>
    <w:rsid w:val="5D02548B"/>
    <w:rsid w:val="5D0A075D"/>
    <w:rsid w:val="5D1F428F"/>
    <w:rsid w:val="5D321D7B"/>
    <w:rsid w:val="5D7874FB"/>
    <w:rsid w:val="5D7C00E8"/>
    <w:rsid w:val="5D814602"/>
    <w:rsid w:val="5DD9443E"/>
    <w:rsid w:val="5DE60909"/>
    <w:rsid w:val="5E40706E"/>
    <w:rsid w:val="5E613920"/>
    <w:rsid w:val="5E7303EE"/>
    <w:rsid w:val="5EB427B5"/>
    <w:rsid w:val="5F0B5B73"/>
    <w:rsid w:val="5F1E2D5F"/>
    <w:rsid w:val="5F261904"/>
    <w:rsid w:val="5F4C772C"/>
    <w:rsid w:val="5F5024DD"/>
    <w:rsid w:val="5F655DAB"/>
    <w:rsid w:val="5F6B1EFE"/>
    <w:rsid w:val="5F7E1F93"/>
    <w:rsid w:val="5F954394"/>
    <w:rsid w:val="5FB23198"/>
    <w:rsid w:val="5FBE1B3D"/>
    <w:rsid w:val="5FD135AF"/>
    <w:rsid w:val="5FF50BE3"/>
    <w:rsid w:val="60172FFB"/>
    <w:rsid w:val="60196D73"/>
    <w:rsid w:val="601E6EE1"/>
    <w:rsid w:val="605C4EFD"/>
    <w:rsid w:val="607048EA"/>
    <w:rsid w:val="60824A3D"/>
    <w:rsid w:val="608508AD"/>
    <w:rsid w:val="60905C41"/>
    <w:rsid w:val="60913754"/>
    <w:rsid w:val="60B70E3E"/>
    <w:rsid w:val="60BA0556"/>
    <w:rsid w:val="60CC4D63"/>
    <w:rsid w:val="60D97379"/>
    <w:rsid w:val="610B0DB2"/>
    <w:rsid w:val="61151C31"/>
    <w:rsid w:val="611B37B9"/>
    <w:rsid w:val="611D417E"/>
    <w:rsid w:val="61336843"/>
    <w:rsid w:val="613E58AF"/>
    <w:rsid w:val="61686204"/>
    <w:rsid w:val="617E0B40"/>
    <w:rsid w:val="61D05B58"/>
    <w:rsid w:val="61D373F6"/>
    <w:rsid w:val="61E6537B"/>
    <w:rsid w:val="620A72BB"/>
    <w:rsid w:val="623000AB"/>
    <w:rsid w:val="62516C98"/>
    <w:rsid w:val="6333660A"/>
    <w:rsid w:val="6353483B"/>
    <w:rsid w:val="63544A34"/>
    <w:rsid w:val="637A0EC4"/>
    <w:rsid w:val="637D0FF2"/>
    <w:rsid w:val="637D6386"/>
    <w:rsid w:val="63812494"/>
    <w:rsid w:val="63844E4C"/>
    <w:rsid w:val="63C17E4E"/>
    <w:rsid w:val="63DB6033"/>
    <w:rsid w:val="640B6BEB"/>
    <w:rsid w:val="641F5CF2"/>
    <w:rsid w:val="64266CFB"/>
    <w:rsid w:val="642F3009"/>
    <w:rsid w:val="644A4A48"/>
    <w:rsid w:val="64664551"/>
    <w:rsid w:val="648570CD"/>
    <w:rsid w:val="649D61FE"/>
    <w:rsid w:val="64B1461A"/>
    <w:rsid w:val="64EF4547"/>
    <w:rsid w:val="64F352EC"/>
    <w:rsid w:val="65017861"/>
    <w:rsid w:val="650A7ED3"/>
    <w:rsid w:val="65102B2C"/>
    <w:rsid w:val="652561BA"/>
    <w:rsid w:val="65294DFC"/>
    <w:rsid w:val="65371580"/>
    <w:rsid w:val="654A341E"/>
    <w:rsid w:val="654B3E73"/>
    <w:rsid w:val="657038D9"/>
    <w:rsid w:val="65757142"/>
    <w:rsid w:val="65956E9C"/>
    <w:rsid w:val="659A0956"/>
    <w:rsid w:val="659A2704"/>
    <w:rsid w:val="65BB267B"/>
    <w:rsid w:val="65CE6852"/>
    <w:rsid w:val="65E9368C"/>
    <w:rsid w:val="662326FA"/>
    <w:rsid w:val="662B6B25"/>
    <w:rsid w:val="667473F9"/>
    <w:rsid w:val="66AE7B7D"/>
    <w:rsid w:val="66CA0DC7"/>
    <w:rsid w:val="66EA0678"/>
    <w:rsid w:val="671868DB"/>
    <w:rsid w:val="673E29E9"/>
    <w:rsid w:val="67637D09"/>
    <w:rsid w:val="67B36479"/>
    <w:rsid w:val="67BC6868"/>
    <w:rsid w:val="67FE69BA"/>
    <w:rsid w:val="683D39DA"/>
    <w:rsid w:val="68437083"/>
    <w:rsid w:val="68857E17"/>
    <w:rsid w:val="688A0868"/>
    <w:rsid w:val="689F6284"/>
    <w:rsid w:val="68B7537B"/>
    <w:rsid w:val="690507DD"/>
    <w:rsid w:val="69173643"/>
    <w:rsid w:val="692C785D"/>
    <w:rsid w:val="694357D9"/>
    <w:rsid w:val="698A0CE2"/>
    <w:rsid w:val="69A36249"/>
    <w:rsid w:val="69B131BC"/>
    <w:rsid w:val="69B875FD"/>
    <w:rsid w:val="69C70B64"/>
    <w:rsid w:val="6A096B38"/>
    <w:rsid w:val="6A1F05DB"/>
    <w:rsid w:val="6A334ED5"/>
    <w:rsid w:val="6A5F5CCB"/>
    <w:rsid w:val="6A9534A4"/>
    <w:rsid w:val="6AB778B5"/>
    <w:rsid w:val="6AD3009F"/>
    <w:rsid w:val="6ADA01A9"/>
    <w:rsid w:val="6AF324D6"/>
    <w:rsid w:val="6B4A697B"/>
    <w:rsid w:val="6B560E7C"/>
    <w:rsid w:val="6B595E89"/>
    <w:rsid w:val="6B5C52B4"/>
    <w:rsid w:val="6B621A43"/>
    <w:rsid w:val="6B7D10C1"/>
    <w:rsid w:val="6BA633F2"/>
    <w:rsid w:val="6BC522B6"/>
    <w:rsid w:val="6BCF3FC4"/>
    <w:rsid w:val="6BF43F27"/>
    <w:rsid w:val="6BF73296"/>
    <w:rsid w:val="6C0E13BA"/>
    <w:rsid w:val="6C0F7AF4"/>
    <w:rsid w:val="6C386F35"/>
    <w:rsid w:val="6C44161C"/>
    <w:rsid w:val="6CDA2D94"/>
    <w:rsid w:val="6CE626D3"/>
    <w:rsid w:val="6D042B59"/>
    <w:rsid w:val="6D047526"/>
    <w:rsid w:val="6D222AAF"/>
    <w:rsid w:val="6D2A69D9"/>
    <w:rsid w:val="6D2D0302"/>
    <w:rsid w:val="6D4F0278"/>
    <w:rsid w:val="6DC9057F"/>
    <w:rsid w:val="6DCD1AD1"/>
    <w:rsid w:val="6DD8201C"/>
    <w:rsid w:val="6E035861"/>
    <w:rsid w:val="6E74363E"/>
    <w:rsid w:val="6E7D0E15"/>
    <w:rsid w:val="6E8403F6"/>
    <w:rsid w:val="6E927C1A"/>
    <w:rsid w:val="6E936550"/>
    <w:rsid w:val="6EA165BF"/>
    <w:rsid w:val="6EB83BFB"/>
    <w:rsid w:val="6ED52606"/>
    <w:rsid w:val="6F1A48B6"/>
    <w:rsid w:val="6F1A6664"/>
    <w:rsid w:val="6F27734B"/>
    <w:rsid w:val="6F355C1A"/>
    <w:rsid w:val="6F3B6D06"/>
    <w:rsid w:val="6F616041"/>
    <w:rsid w:val="6F7961E1"/>
    <w:rsid w:val="6F8B1310"/>
    <w:rsid w:val="6F99373A"/>
    <w:rsid w:val="6FF505A3"/>
    <w:rsid w:val="70083694"/>
    <w:rsid w:val="700B1339"/>
    <w:rsid w:val="700E61C9"/>
    <w:rsid w:val="70383246"/>
    <w:rsid w:val="706B2A50"/>
    <w:rsid w:val="70981F36"/>
    <w:rsid w:val="70B12FF8"/>
    <w:rsid w:val="70FE7947"/>
    <w:rsid w:val="71096990"/>
    <w:rsid w:val="71744751"/>
    <w:rsid w:val="717C509C"/>
    <w:rsid w:val="718216FA"/>
    <w:rsid w:val="71850DA9"/>
    <w:rsid w:val="71902C0D"/>
    <w:rsid w:val="719C5A56"/>
    <w:rsid w:val="71B21F4E"/>
    <w:rsid w:val="71C805F9"/>
    <w:rsid w:val="71CF3736"/>
    <w:rsid w:val="71FC36C2"/>
    <w:rsid w:val="720F6228"/>
    <w:rsid w:val="721147C0"/>
    <w:rsid w:val="725A3947"/>
    <w:rsid w:val="7285473C"/>
    <w:rsid w:val="728E539F"/>
    <w:rsid w:val="72985791"/>
    <w:rsid w:val="72A746B3"/>
    <w:rsid w:val="72AC1CC9"/>
    <w:rsid w:val="72CC5BD6"/>
    <w:rsid w:val="73005B71"/>
    <w:rsid w:val="730218E9"/>
    <w:rsid w:val="730E64E0"/>
    <w:rsid w:val="734D7008"/>
    <w:rsid w:val="734E622F"/>
    <w:rsid w:val="735806BD"/>
    <w:rsid w:val="7358252E"/>
    <w:rsid w:val="736E36E9"/>
    <w:rsid w:val="7370719A"/>
    <w:rsid w:val="738C6FB0"/>
    <w:rsid w:val="73BB1451"/>
    <w:rsid w:val="73FF24A5"/>
    <w:rsid w:val="74014590"/>
    <w:rsid w:val="74713C5C"/>
    <w:rsid w:val="74A7099A"/>
    <w:rsid w:val="74CC2B9D"/>
    <w:rsid w:val="74D0782C"/>
    <w:rsid w:val="74FB1883"/>
    <w:rsid w:val="750430CC"/>
    <w:rsid w:val="75327FD9"/>
    <w:rsid w:val="75596138"/>
    <w:rsid w:val="755E374E"/>
    <w:rsid w:val="75610B49"/>
    <w:rsid w:val="75711A3B"/>
    <w:rsid w:val="75986535"/>
    <w:rsid w:val="75B570E6"/>
    <w:rsid w:val="75B64038"/>
    <w:rsid w:val="75BE0042"/>
    <w:rsid w:val="762C22E1"/>
    <w:rsid w:val="763C5112"/>
    <w:rsid w:val="7641097A"/>
    <w:rsid w:val="76443835"/>
    <w:rsid w:val="7658544E"/>
    <w:rsid w:val="76746FA2"/>
    <w:rsid w:val="76A258BD"/>
    <w:rsid w:val="76E61C4D"/>
    <w:rsid w:val="76E71522"/>
    <w:rsid w:val="76EA29FC"/>
    <w:rsid w:val="76EC6B38"/>
    <w:rsid w:val="76F15EB7"/>
    <w:rsid w:val="76F16902"/>
    <w:rsid w:val="76F667DF"/>
    <w:rsid w:val="76FEA524"/>
    <w:rsid w:val="77156AC5"/>
    <w:rsid w:val="771E06AB"/>
    <w:rsid w:val="7735228D"/>
    <w:rsid w:val="775A1CF3"/>
    <w:rsid w:val="777D59E2"/>
    <w:rsid w:val="7783749C"/>
    <w:rsid w:val="77844FC2"/>
    <w:rsid w:val="779F0A5A"/>
    <w:rsid w:val="77A358D1"/>
    <w:rsid w:val="77C41863"/>
    <w:rsid w:val="77D91364"/>
    <w:rsid w:val="77DD3FEB"/>
    <w:rsid w:val="77E31CE9"/>
    <w:rsid w:val="77F959B0"/>
    <w:rsid w:val="786642FA"/>
    <w:rsid w:val="788D4326"/>
    <w:rsid w:val="789126B2"/>
    <w:rsid w:val="789818B8"/>
    <w:rsid w:val="78A05E2C"/>
    <w:rsid w:val="78C5709B"/>
    <w:rsid w:val="78C733B9"/>
    <w:rsid w:val="79030169"/>
    <w:rsid w:val="79166218"/>
    <w:rsid w:val="792C02C8"/>
    <w:rsid w:val="792C5912"/>
    <w:rsid w:val="79667BFB"/>
    <w:rsid w:val="796706F8"/>
    <w:rsid w:val="79751067"/>
    <w:rsid w:val="799040F2"/>
    <w:rsid w:val="79A52C74"/>
    <w:rsid w:val="79AA1BD9"/>
    <w:rsid w:val="79AD76D8"/>
    <w:rsid w:val="79DE4E5E"/>
    <w:rsid w:val="79DF7AAA"/>
    <w:rsid w:val="7A2D495B"/>
    <w:rsid w:val="7A366693"/>
    <w:rsid w:val="7A4B1DC7"/>
    <w:rsid w:val="7A5613BF"/>
    <w:rsid w:val="7AF67F85"/>
    <w:rsid w:val="7B14665D"/>
    <w:rsid w:val="7B273FF1"/>
    <w:rsid w:val="7B452CBB"/>
    <w:rsid w:val="7B640A94"/>
    <w:rsid w:val="7B826934"/>
    <w:rsid w:val="7B89704B"/>
    <w:rsid w:val="7BC448B8"/>
    <w:rsid w:val="7BD61208"/>
    <w:rsid w:val="7BDB2C3D"/>
    <w:rsid w:val="7C431659"/>
    <w:rsid w:val="7C4D2193"/>
    <w:rsid w:val="7C4D7905"/>
    <w:rsid w:val="7C7A6994"/>
    <w:rsid w:val="7C8B0BA1"/>
    <w:rsid w:val="7CB7071B"/>
    <w:rsid w:val="7CC85951"/>
    <w:rsid w:val="7D055A9A"/>
    <w:rsid w:val="7D1142C2"/>
    <w:rsid w:val="7D6F401F"/>
    <w:rsid w:val="7D891584"/>
    <w:rsid w:val="7DBF151D"/>
    <w:rsid w:val="7DBF4575"/>
    <w:rsid w:val="7DEE1DD0"/>
    <w:rsid w:val="7E082EA4"/>
    <w:rsid w:val="7E17093E"/>
    <w:rsid w:val="7E3747A6"/>
    <w:rsid w:val="7E5C45A3"/>
    <w:rsid w:val="7E627DC8"/>
    <w:rsid w:val="7E6301BD"/>
    <w:rsid w:val="7E6B2A38"/>
    <w:rsid w:val="7E7B7369"/>
    <w:rsid w:val="7E811205"/>
    <w:rsid w:val="7E812823"/>
    <w:rsid w:val="7EB517AA"/>
    <w:rsid w:val="7EB838C2"/>
    <w:rsid w:val="7EC0795C"/>
    <w:rsid w:val="7ECE2DC1"/>
    <w:rsid w:val="7ED6195B"/>
    <w:rsid w:val="7EE051D4"/>
    <w:rsid w:val="7EFF7750"/>
    <w:rsid w:val="7F08472B"/>
    <w:rsid w:val="7F0E1136"/>
    <w:rsid w:val="7F1D63D2"/>
    <w:rsid w:val="7F315A30"/>
    <w:rsid w:val="7F34439B"/>
    <w:rsid w:val="7F411DDA"/>
    <w:rsid w:val="7F5D1E68"/>
    <w:rsid w:val="7F7C38D3"/>
    <w:rsid w:val="7FAA18E6"/>
    <w:rsid w:val="7FEF00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0"/>
      <w:lang w:val="en-US" w:eastAsia="zh-CN" w:bidi="ar-SA"/>
    </w:rPr>
  </w:style>
  <w:style w:type="paragraph" w:styleId="3">
    <w:name w:val="heading 1"/>
    <w:basedOn w:val="1"/>
    <w:next w:val="1"/>
    <w:qFormat/>
    <w:uiPriority w:val="0"/>
    <w:pPr>
      <w:keepNext/>
      <w:keepLines/>
      <w:widowControl w:val="0"/>
      <w:spacing w:before="120" w:after="120"/>
      <w:jc w:val="center"/>
      <w:outlineLvl w:val="0"/>
    </w:pPr>
    <w:rPr>
      <w:rFonts w:ascii="Times New Roman" w:hAnsi="Times New Roman"/>
      <w:b/>
      <w:spacing w:val="20"/>
      <w:kern w:val="44"/>
      <w:sz w:val="32"/>
    </w:rPr>
  </w:style>
  <w:style w:type="paragraph" w:styleId="4">
    <w:name w:val="heading 2"/>
    <w:basedOn w:val="1"/>
    <w:next w:val="1"/>
    <w:link w:val="126"/>
    <w:qFormat/>
    <w:uiPriority w:val="0"/>
    <w:pPr>
      <w:keepNext/>
      <w:keepLines/>
      <w:widowControl w:val="0"/>
      <w:spacing w:before="240" w:line="400" w:lineRule="exact"/>
      <w:outlineLvl w:val="1"/>
    </w:pPr>
    <w:rPr>
      <w:rFonts w:ascii="Arial" w:hAnsi="Arial"/>
      <w:b/>
      <w:color w:val="000000"/>
      <w:spacing w:val="40"/>
      <w:sz w:val="32"/>
    </w:rPr>
  </w:style>
  <w:style w:type="paragraph" w:styleId="5">
    <w:name w:val="heading 3"/>
    <w:basedOn w:val="1"/>
    <w:next w:val="1"/>
    <w:qFormat/>
    <w:uiPriority w:val="0"/>
    <w:pPr>
      <w:keepNext/>
      <w:keepLines/>
      <w:widowControl w:val="0"/>
      <w:spacing w:before="60" w:after="60" w:line="400" w:lineRule="exact"/>
      <w:ind w:firstLine="510"/>
      <w:outlineLvl w:val="2"/>
    </w:pPr>
    <w:rPr>
      <w:rFonts w:ascii="宋体"/>
      <w:b/>
      <w:sz w:val="24"/>
    </w:rPr>
  </w:style>
  <w:style w:type="paragraph" w:styleId="6">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7">
    <w:name w:val="heading 5"/>
    <w:basedOn w:val="8"/>
    <w:next w:val="9"/>
    <w:qFormat/>
    <w:uiPriority w:val="0"/>
    <w:pPr>
      <w:keepNext/>
      <w:keepLines/>
      <w:widowControl w:val="0"/>
      <w:tabs>
        <w:tab w:val="left" w:pos="780"/>
      </w:tabs>
      <w:adjustRightInd w:val="0"/>
      <w:spacing w:before="280" w:after="290" w:line="376" w:lineRule="atLeast"/>
      <w:textAlignment w:val="baseline"/>
      <w:outlineLvl w:val="4"/>
    </w:pPr>
    <w:rPr>
      <w:rFonts w:ascii="Times New Roman" w:hAnsi="Times New Roman"/>
      <w:b/>
      <w:kern w:val="0"/>
      <w:sz w:val="28"/>
      <w:szCs w:val="24"/>
    </w:rPr>
  </w:style>
  <w:style w:type="character" w:default="1" w:styleId="42">
    <w:name w:val="Default Paragraph Font"/>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sz w:val="24"/>
    </w:rPr>
  </w:style>
  <w:style w:type="paragraph" w:styleId="8">
    <w:name w:val="List Number 2"/>
    <w:basedOn w:val="1"/>
    <w:qFormat/>
    <w:uiPriority w:val="0"/>
    <w:pPr>
      <w:numPr>
        <w:ilvl w:val="0"/>
        <w:numId w:val="1"/>
      </w:numPr>
    </w:pPr>
  </w:style>
  <w:style w:type="paragraph" w:styleId="9">
    <w:name w:val="Normal (Web)"/>
    <w:basedOn w:val="1"/>
    <w:qFormat/>
    <w:uiPriority w:val="0"/>
    <w:pPr>
      <w:widowControl/>
      <w:spacing w:before="100" w:beforeAutospacing="1" w:after="100" w:afterAutospacing="1"/>
      <w:jc w:val="left"/>
    </w:pPr>
    <w:rPr>
      <w:rFonts w:ascii="宋体"/>
      <w:kern w:val="0"/>
      <w:sz w:val="24"/>
      <w:szCs w:val="24"/>
    </w:rPr>
  </w:style>
  <w:style w:type="paragraph" w:styleId="10">
    <w:name w:val="toc 7"/>
    <w:basedOn w:val="1"/>
    <w:next w:val="1"/>
    <w:qFormat/>
    <w:uiPriority w:val="0"/>
    <w:pPr>
      <w:ind w:left="1260"/>
      <w:jc w:val="left"/>
    </w:pPr>
    <w:rPr>
      <w:sz w:val="18"/>
      <w:szCs w:val="18"/>
    </w:rPr>
  </w:style>
  <w:style w:type="paragraph" w:styleId="11">
    <w:name w:val="Normal Indent"/>
    <w:basedOn w:val="1"/>
    <w:qFormat/>
    <w:uiPriority w:val="0"/>
    <w:pPr>
      <w:ind w:firstLine="420"/>
    </w:pPr>
  </w:style>
  <w:style w:type="paragraph" w:styleId="12">
    <w:name w:val="index 5"/>
    <w:basedOn w:val="1"/>
    <w:next w:val="1"/>
    <w:qFormat/>
    <w:uiPriority w:val="0"/>
    <w:pPr>
      <w:widowControl w:val="0"/>
      <w:ind w:left="1680"/>
      <w:jc w:val="left"/>
    </w:pPr>
    <w:rPr>
      <w:rFonts w:ascii="方正小标宋_GBK" w:eastAsia="方正小标宋_GBK" w:cs="Times New Roman"/>
      <w:kern w:val="2"/>
      <w:sz w:val="44"/>
      <w:szCs w:val="44"/>
      <w:lang w:val="en-US" w:eastAsia="zh-CN" w:bidi="ar-SA"/>
    </w:r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rPr>
      <w:rFonts w:ascii="Times New Roman" w:hAnsi="Times New Roman"/>
    </w:rPr>
  </w:style>
  <w:style w:type="paragraph" w:styleId="15">
    <w:name w:val="index 6"/>
    <w:basedOn w:val="1"/>
    <w:next w:val="1"/>
    <w:qFormat/>
    <w:uiPriority w:val="0"/>
    <w:pPr>
      <w:widowControl w:val="0"/>
      <w:ind w:left="2100"/>
      <w:jc w:val="both"/>
    </w:pPr>
    <w:rPr>
      <w:rFonts w:ascii="Times New Roman" w:hAnsi="Times New Roman" w:eastAsia="方正仿宋_GBK" w:cs="Times New Roman"/>
      <w:kern w:val="2"/>
      <w:sz w:val="21"/>
      <w:szCs w:val="21"/>
      <w:lang w:val="en-US" w:eastAsia="zh-CN" w:bidi="ar-SA"/>
    </w:rPr>
  </w:style>
  <w:style w:type="paragraph" w:styleId="16">
    <w:name w:val="Body Text 3"/>
    <w:basedOn w:val="1"/>
    <w:qFormat/>
    <w:uiPriority w:val="0"/>
    <w:pPr>
      <w:spacing w:after="120"/>
    </w:pPr>
    <w:rPr>
      <w:sz w:val="16"/>
      <w:szCs w:val="16"/>
    </w:rPr>
  </w:style>
  <w:style w:type="paragraph" w:styleId="17">
    <w:name w:val="Body Text Indent"/>
    <w:basedOn w:val="1"/>
    <w:next w:val="18"/>
    <w:qFormat/>
    <w:uiPriority w:val="0"/>
    <w:pPr>
      <w:spacing w:line="460" w:lineRule="exact"/>
      <w:ind w:firstLine="510"/>
    </w:pPr>
    <w:rPr>
      <w:rFonts w:ascii="Times New Roman" w:hAnsi="Times New Roman"/>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0"/>
    <w:pPr>
      <w:ind w:left="420"/>
      <w:jc w:val="left"/>
    </w:pPr>
    <w:rPr>
      <w:i/>
      <w:iCs/>
      <w:sz w:val="20"/>
    </w:rPr>
  </w:style>
  <w:style w:type="paragraph" w:styleId="21">
    <w:name w:val="Plain Text"/>
    <w:basedOn w:val="1"/>
    <w:next w:val="1"/>
    <w:qFormat/>
    <w:uiPriority w:val="0"/>
    <w:rPr>
      <w:rFonts w:ascii="宋体"/>
    </w:rPr>
  </w:style>
  <w:style w:type="paragraph" w:styleId="22">
    <w:name w:val="toc 8"/>
    <w:basedOn w:val="1"/>
    <w:next w:val="1"/>
    <w:qFormat/>
    <w:uiPriority w:val="0"/>
    <w:pPr>
      <w:ind w:left="1470"/>
      <w:jc w:val="left"/>
    </w:pPr>
    <w:rPr>
      <w:sz w:val="18"/>
      <w:szCs w:val="18"/>
    </w:rPr>
  </w:style>
  <w:style w:type="paragraph" w:styleId="23">
    <w:name w:val="Date"/>
    <w:basedOn w:val="1"/>
    <w:next w:val="1"/>
    <w:qFormat/>
    <w:uiPriority w:val="0"/>
    <w:rPr>
      <w:rFonts w:ascii="Times New Roman" w:hAnsi="Times New Roman"/>
      <w:kern w:val="0"/>
      <w:sz w:val="28"/>
    </w:rPr>
  </w:style>
  <w:style w:type="paragraph" w:styleId="24">
    <w:name w:val="Body Text Indent 2"/>
    <w:basedOn w:val="1"/>
    <w:qFormat/>
    <w:uiPriority w:val="0"/>
    <w:pPr>
      <w:spacing w:line="500" w:lineRule="exact"/>
      <w:ind w:firstLine="510"/>
    </w:pPr>
    <w:rPr>
      <w:rFonts w:ascii="宋体"/>
      <w:sz w:val="24"/>
    </w:rPr>
  </w:style>
  <w:style w:type="paragraph" w:styleId="25">
    <w:name w:val="Balloon Text"/>
    <w:basedOn w:val="1"/>
    <w:qFormat/>
    <w:uiPriority w:val="0"/>
    <w:rPr>
      <w:rFonts w:ascii="Times New Roman" w:hAnsi="Times New Roman"/>
      <w:sz w:val="18"/>
      <w:szCs w:val="18"/>
    </w:rPr>
  </w:style>
  <w:style w:type="paragraph" w:styleId="26">
    <w:name w:val="footer"/>
    <w:basedOn w:val="1"/>
    <w:qFormat/>
    <w:uiPriority w:val="0"/>
    <w:pPr>
      <w:tabs>
        <w:tab w:val="center" w:pos="4153"/>
        <w:tab w:val="right" w:pos="8306"/>
      </w:tabs>
      <w:snapToGrid w:val="0"/>
      <w:jc w:val="left"/>
    </w:pPr>
    <w:rPr>
      <w:rFonts w:ascii="Times New Roman" w:hAnsi="Times New Roman"/>
      <w:sz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pPr>
      <w:tabs>
        <w:tab w:val="right" w:leader="dot" w:pos="9663"/>
      </w:tabs>
      <w:spacing w:before="120" w:after="120"/>
      <w:jc w:val="left"/>
    </w:pPr>
    <w:rPr>
      <w:b/>
      <w:bCs/>
      <w:caps/>
      <w:sz w:val="28"/>
      <w:szCs w:val="28"/>
    </w:rPr>
  </w:style>
  <w:style w:type="paragraph" w:styleId="29">
    <w:name w:val="toc 4"/>
    <w:basedOn w:val="1"/>
    <w:next w:val="1"/>
    <w:qFormat/>
    <w:uiPriority w:val="0"/>
    <w:pPr>
      <w:ind w:left="630"/>
      <w:jc w:val="left"/>
    </w:pPr>
    <w:rPr>
      <w:sz w:val="18"/>
      <w:szCs w:val="18"/>
    </w:rPr>
  </w:style>
  <w:style w:type="paragraph" w:styleId="30">
    <w:name w:val="footnote text"/>
    <w:basedOn w:val="1"/>
    <w:qFormat/>
    <w:uiPriority w:val="0"/>
    <w:pPr>
      <w:spacing w:line="240" w:lineRule="auto"/>
      <w:jc w:val="left"/>
    </w:pPr>
    <w:rPr>
      <w:sz w:val="24"/>
    </w:rPr>
  </w:style>
  <w:style w:type="paragraph" w:styleId="31">
    <w:name w:val="toc 6"/>
    <w:basedOn w:val="1"/>
    <w:next w:val="1"/>
    <w:qFormat/>
    <w:uiPriority w:val="0"/>
    <w:pPr>
      <w:ind w:left="1050"/>
      <w:jc w:val="left"/>
    </w:pPr>
    <w:rPr>
      <w:sz w:val="18"/>
      <w:szCs w:val="18"/>
    </w:rPr>
  </w:style>
  <w:style w:type="paragraph" w:styleId="32">
    <w:name w:val="Body Text Indent 3"/>
    <w:basedOn w:val="1"/>
    <w:qFormat/>
    <w:uiPriority w:val="0"/>
    <w:pPr>
      <w:spacing w:line="500" w:lineRule="exact"/>
      <w:ind w:firstLine="510"/>
    </w:pPr>
    <w:rPr>
      <w:rFonts w:ascii="宋体"/>
      <w:color w:val="000000"/>
      <w:sz w:val="26"/>
    </w:rPr>
  </w:style>
  <w:style w:type="paragraph" w:styleId="33">
    <w:name w:val="table of figures"/>
    <w:basedOn w:val="1"/>
    <w:next w:val="1"/>
    <w:qFormat/>
    <w:uiPriority w:val="0"/>
    <w:pPr>
      <w:ind w:left="840" w:hanging="420"/>
    </w:pPr>
  </w:style>
  <w:style w:type="paragraph" w:styleId="34">
    <w:name w:val="toc 2"/>
    <w:basedOn w:val="1"/>
    <w:next w:val="1"/>
    <w:qFormat/>
    <w:uiPriority w:val="0"/>
    <w:pPr>
      <w:ind w:left="210"/>
      <w:jc w:val="left"/>
    </w:pPr>
    <w:rPr>
      <w:smallCaps/>
      <w:sz w:val="20"/>
    </w:rPr>
  </w:style>
  <w:style w:type="paragraph" w:styleId="35">
    <w:name w:val="toc 9"/>
    <w:basedOn w:val="1"/>
    <w:next w:val="1"/>
    <w:qFormat/>
    <w:uiPriority w:val="0"/>
    <w:pPr>
      <w:ind w:left="1680"/>
      <w:jc w:val="left"/>
    </w:pPr>
    <w:rPr>
      <w:sz w:val="18"/>
      <w:szCs w:val="18"/>
    </w:rPr>
  </w:style>
  <w:style w:type="paragraph" w:styleId="36">
    <w:name w:val="Title"/>
    <w:basedOn w:val="1"/>
    <w:next w:val="1"/>
    <w:qFormat/>
    <w:uiPriority w:val="0"/>
    <w:pPr>
      <w:spacing w:before="50" w:beforeLines="50" w:after="100" w:afterAutospacing="1" w:line="600" w:lineRule="exact"/>
      <w:jc w:val="center"/>
    </w:pPr>
    <w:rPr>
      <w:b/>
      <w:sz w:val="32"/>
      <w:szCs w:val="32"/>
    </w:rPr>
  </w:style>
  <w:style w:type="paragraph" w:styleId="37">
    <w:name w:val="annotation subject"/>
    <w:basedOn w:val="14"/>
    <w:next w:val="1"/>
    <w:qFormat/>
    <w:uiPriority w:val="0"/>
    <w:rPr>
      <w:b/>
      <w:bCs/>
    </w:rPr>
  </w:style>
  <w:style w:type="paragraph" w:styleId="38">
    <w:name w:val="Body Text First Indent"/>
    <w:basedOn w:val="2"/>
    <w:next w:val="1"/>
    <w:qFormat/>
    <w:uiPriority w:val="0"/>
    <w:pPr>
      <w:ind w:firstLine="100" w:firstLineChars="100"/>
    </w:pPr>
    <w:rPr>
      <w:rFonts w:ascii="Calibri" w:hAnsi="Calibri"/>
      <w:szCs w:val="22"/>
    </w:rPr>
  </w:style>
  <w:style w:type="paragraph" w:styleId="39">
    <w:name w:val="Body Text First Indent 2"/>
    <w:basedOn w:val="17"/>
    <w:next w:val="38"/>
    <w:qFormat/>
    <w:uiPriority w:val="0"/>
    <w:pPr>
      <w:spacing w:after="120" w:line="240" w:lineRule="auto"/>
      <w:ind w:left="200" w:leftChars="200" w:firstLine="200" w:firstLineChars="200"/>
    </w:pPr>
  </w:style>
  <w:style w:type="table" w:styleId="41">
    <w:name w:val="Table Grid"/>
    <w:basedOn w:val="4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0"/>
    <w:rPr>
      <w:color w:val="000084"/>
      <w:u w:val="none"/>
    </w:rPr>
  </w:style>
  <w:style w:type="character" w:styleId="46">
    <w:name w:val="Hyperlink"/>
    <w:basedOn w:val="42"/>
    <w:qFormat/>
    <w:uiPriority w:val="0"/>
    <w:rPr>
      <w:rFonts w:ascii="宋体" w:eastAsia="宋体" w:cs="Times New Roman"/>
      <w:color w:val="0033CC"/>
      <w:sz w:val="18"/>
      <w:u w:val="none"/>
    </w:rPr>
  </w:style>
  <w:style w:type="character" w:styleId="47">
    <w:name w:val="annotation reference"/>
    <w:basedOn w:val="42"/>
    <w:qFormat/>
    <w:uiPriority w:val="0"/>
    <w:rPr>
      <w:rFonts w:cs="Times New Roman"/>
      <w:sz w:val="21"/>
    </w:rPr>
  </w:style>
  <w:style w:type="paragraph" w:customStyle="1" w:styleId="48">
    <w:name w:val="正文1"/>
    <w:next w:val="38"/>
    <w:qFormat/>
    <w:uiPriority w:val="0"/>
    <w:pPr>
      <w:jc w:val="both"/>
    </w:pPr>
    <w:rPr>
      <w:rFonts w:ascii="Calibri" w:hAnsi="Calibri" w:eastAsia="宋体" w:cs="Times New Roman"/>
      <w:kern w:val="2"/>
      <w:sz w:val="21"/>
      <w:szCs w:val="21"/>
      <w:lang w:val="en-US" w:eastAsia="zh-CN" w:bidi="ar-SA"/>
    </w:rPr>
  </w:style>
  <w:style w:type="paragraph" w:customStyle="1" w:styleId="49">
    <w:name w:val="style4"/>
    <w:basedOn w:val="48"/>
    <w:next w:val="50"/>
    <w:qFormat/>
    <w:uiPriority w:val="0"/>
    <w:pPr>
      <w:spacing w:before="100" w:beforeAutospacing="1" w:after="100" w:afterAutospacing="1"/>
      <w:jc w:val="left"/>
    </w:pPr>
    <w:rPr>
      <w:rFonts w:ascii="宋体" w:cs="宋体"/>
      <w:kern w:val="0"/>
      <w:sz w:val="18"/>
      <w:szCs w:val="18"/>
    </w:rPr>
  </w:style>
  <w:style w:type="paragraph" w:customStyle="1" w:styleId="50">
    <w:name w:val="2"/>
    <w:basedOn w:val="1"/>
    <w:next w:val="1"/>
    <w:qFormat/>
    <w:uiPriority w:val="0"/>
    <w:pPr>
      <w:spacing w:line="360" w:lineRule="auto"/>
    </w:pPr>
    <w:rPr>
      <w:rFonts w:ascii="Times New Roman" w:hAnsi="Times New Roman" w:eastAsia="仿宋_GB2312"/>
      <w:sz w:val="28"/>
      <w:szCs w:val="28"/>
    </w:rPr>
  </w:style>
  <w:style w:type="character" w:customStyle="1" w:styleId="51">
    <w:name w:val="标题 1 Char"/>
    <w:basedOn w:val="42"/>
    <w:qFormat/>
    <w:uiPriority w:val="0"/>
    <w:rPr>
      <w:b/>
      <w:spacing w:val="20"/>
      <w:kern w:val="44"/>
      <w:sz w:val="32"/>
    </w:rPr>
  </w:style>
  <w:style w:type="character" w:customStyle="1" w:styleId="52">
    <w:name w:val="访问过的超链接1"/>
    <w:qFormat/>
    <w:uiPriority w:val="0"/>
    <w:rPr>
      <w:rFonts w:ascii="宋体" w:eastAsia="宋体"/>
      <w:color w:val="0033CC"/>
      <w:sz w:val="18"/>
      <w:u w:val="none"/>
    </w:rPr>
  </w:style>
  <w:style w:type="paragraph" w:customStyle="1" w:styleId="53">
    <w:name w:val="GW-正文"/>
    <w:basedOn w:val="1"/>
    <w:qFormat/>
    <w:uiPriority w:val="0"/>
    <w:pPr>
      <w:spacing w:line="360" w:lineRule="auto"/>
      <w:ind w:firstLine="200" w:firstLineChars="200"/>
    </w:pPr>
    <w:rPr>
      <w:rFonts w:ascii="Times New Roman" w:hAnsi="Times New Roman" w:eastAsia="仿宋_GB2312"/>
      <w:sz w:val="24"/>
      <w:szCs w:val="24"/>
    </w:rPr>
  </w:style>
  <w:style w:type="character" w:customStyle="1" w:styleId="54">
    <w:name w:val="font81"/>
    <w:qFormat/>
    <w:uiPriority w:val="0"/>
    <w:rPr>
      <w:rFonts w:ascii="宋体" w:eastAsia="宋体"/>
      <w:color w:val="auto"/>
      <w:sz w:val="22"/>
      <w:u w:val="single"/>
    </w:rPr>
  </w:style>
  <w:style w:type="character" w:customStyle="1" w:styleId="55">
    <w:name w:val="grame"/>
    <w:qFormat/>
    <w:uiPriority w:val="0"/>
  </w:style>
  <w:style w:type="character" w:customStyle="1" w:styleId="56">
    <w:name w:val="font51"/>
    <w:qFormat/>
    <w:uiPriority w:val="0"/>
    <w:rPr>
      <w:rFonts w:ascii="宋体" w:eastAsia="宋体"/>
      <w:color w:val="auto"/>
      <w:sz w:val="22"/>
      <w:u w:val="none"/>
    </w:rPr>
  </w:style>
  <w:style w:type="character" w:customStyle="1" w:styleId="57">
    <w:name w:val="纯文本 Char2"/>
    <w:qFormat/>
    <w:uiPriority w:val="0"/>
    <w:rPr>
      <w:rFonts w:ascii="宋体" w:eastAsia="宋体"/>
      <w:kern w:val="2"/>
      <w:sz w:val="21"/>
      <w:lang w:val="en-US" w:eastAsia="zh-CN"/>
    </w:rPr>
  </w:style>
  <w:style w:type="character" w:customStyle="1" w:styleId="58">
    <w:name w:val="font41"/>
    <w:qFormat/>
    <w:uiPriority w:val="0"/>
    <w:rPr>
      <w:rFonts w:ascii="宋体" w:eastAsia="宋体"/>
      <w:color w:val="FF0000"/>
      <w:sz w:val="20"/>
      <w:u w:val="none"/>
    </w:rPr>
  </w:style>
  <w:style w:type="character" w:customStyle="1" w:styleId="59">
    <w:name w:val="short_text1"/>
    <w:qFormat/>
    <w:uiPriority w:val="0"/>
    <w:rPr>
      <w:sz w:val="26"/>
    </w:rPr>
  </w:style>
  <w:style w:type="character" w:customStyle="1" w:styleId="60">
    <w:name w:val="不明显强调1"/>
    <w:qFormat/>
    <w:uiPriority w:val="0"/>
    <w:rPr>
      <w:rFonts w:eastAsia="仿宋_GB2312"/>
      <w:color w:val="auto"/>
      <w:sz w:val="24"/>
    </w:rPr>
  </w:style>
  <w:style w:type="character" w:customStyle="1" w:styleId="61">
    <w:name w:val="标题 3 Char1"/>
    <w:qFormat/>
    <w:uiPriority w:val="0"/>
    <w:rPr>
      <w:rFonts w:eastAsia="宋体"/>
      <w:b/>
      <w:kern w:val="2"/>
      <w:sz w:val="32"/>
      <w:lang w:val="en-US" w:eastAsia="zh-CN"/>
    </w:rPr>
  </w:style>
  <w:style w:type="character" w:customStyle="1" w:styleId="62">
    <w:name w:val="style131"/>
    <w:qFormat/>
    <w:uiPriority w:val="0"/>
    <w:rPr>
      <w:sz w:val="18"/>
    </w:rPr>
  </w:style>
  <w:style w:type="character" w:customStyle="1" w:styleId="63">
    <w:name w:val="纯文本 Char1"/>
    <w:qFormat/>
    <w:uiPriority w:val="0"/>
    <w:rPr>
      <w:rFonts w:ascii="宋体" w:eastAsia="宋体"/>
      <w:kern w:val="2"/>
      <w:sz w:val="21"/>
      <w:lang w:val="en-US" w:eastAsia="zh-CN"/>
    </w:rPr>
  </w:style>
  <w:style w:type="character" w:customStyle="1" w:styleId="64">
    <w:name w:val="孙普文字 Char"/>
    <w:qFormat/>
    <w:uiPriority w:val="0"/>
    <w:rPr>
      <w:rFonts w:ascii="宋体" w:eastAsia="宋体"/>
      <w:sz w:val="20"/>
    </w:rPr>
  </w:style>
  <w:style w:type="character" w:customStyle="1" w:styleId="65">
    <w:name w:val="font31"/>
    <w:qFormat/>
    <w:uiPriority w:val="0"/>
    <w:rPr>
      <w:rFonts w:ascii="font-weight : 400" w:hAnsi="font-weight : 400" w:eastAsia="Times New Roman"/>
      <w:color w:val="000000"/>
      <w:sz w:val="20"/>
      <w:u w:val="none"/>
    </w:rPr>
  </w:style>
  <w:style w:type="character" w:customStyle="1" w:styleId="66">
    <w:name w:val="标题 3 Char"/>
    <w:qFormat/>
    <w:uiPriority w:val="0"/>
    <w:rPr>
      <w:rFonts w:eastAsia="宋体"/>
      <w:b/>
      <w:kern w:val="2"/>
      <w:sz w:val="32"/>
      <w:lang w:val="en-US" w:eastAsia="zh-CN"/>
    </w:rPr>
  </w:style>
  <w:style w:type="paragraph" w:customStyle="1" w:styleId="67">
    <w:name w:val="目录"/>
    <w:basedOn w:val="1"/>
    <w:qFormat/>
    <w:uiPriority w:val="0"/>
    <w:pPr>
      <w:widowControl/>
      <w:jc w:val="center"/>
    </w:pPr>
    <w:rPr>
      <w:rFonts w:ascii="宋体"/>
      <w:b/>
      <w:kern w:val="0"/>
      <w:sz w:val="36"/>
    </w:rPr>
  </w:style>
  <w:style w:type="paragraph" w:customStyle="1" w:styleId="68">
    <w:name w:val="抬头"/>
    <w:basedOn w:val="1"/>
    <w:qFormat/>
    <w:uiPriority w:val="0"/>
    <w:pPr>
      <w:spacing w:before="50" w:beforeLines="50" w:line="360" w:lineRule="auto"/>
    </w:pPr>
    <w:rPr>
      <w:rFonts w:ascii="宋体"/>
      <w:sz w:val="24"/>
      <w:szCs w:val="24"/>
    </w:rPr>
  </w:style>
  <w:style w:type="paragraph" w:customStyle="1" w:styleId="69">
    <w:name w:val="无间距"/>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Char"/>
    <w:basedOn w:val="1"/>
    <w:qFormat/>
    <w:uiPriority w:val="0"/>
    <w:pPr>
      <w:widowControl/>
      <w:spacing w:after="160" w:line="240" w:lineRule="exact"/>
      <w:jc w:val="left"/>
    </w:pPr>
    <w:rPr>
      <w:rFonts w:ascii="Verdana" w:hAnsi="Verdana"/>
      <w:kern w:val="0"/>
      <w:sz w:val="20"/>
    </w:rPr>
  </w:style>
  <w:style w:type="paragraph" w:styleId="71">
    <w:name w:val="List Paragraph"/>
    <w:basedOn w:val="1"/>
    <w:qFormat/>
    <w:uiPriority w:val="0"/>
    <w:pPr>
      <w:ind w:firstLine="200" w:firstLineChars="200"/>
    </w:pPr>
    <w:rPr>
      <w:szCs w:val="24"/>
    </w:rPr>
  </w:style>
  <w:style w:type="paragraph" w:customStyle="1" w:styleId="72">
    <w:name w:val="子弹"/>
    <w:basedOn w:val="1"/>
    <w:qFormat/>
    <w:uiPriority w:val="0"/>
    <w:pPr>
      <w:tabs>
        <w:tab w:val="left" w:pos="1134"/>
        <w:tab w:val="right" w:pos="9356"/>
      </w:tabs>
      <w:ind w:left="720" w:hanging="360"/>
    </w:pPr>
    <w:rPr>
      <w:rFonts w:ascii="新宋体" w:eastAsia="新宋体"/>
      <w:sz w:val="28"/>
      <w:szCs w:val="28"/>
    </w:rPr>
  </w:style>
  <w:style w:type="paragraph" w:customStyle="1" w:styleId="73">
    <w:name w:val="xl23"/>
    <w:next w:val="35"/>
    <w:qFormat/>
    <w:uiPriority w:val="0"/>
    <w:pPr>
      <w:spacing w:before="100" w:beforeAutospacing="1" w:after="100" w:afterAutospacing="1"/>
      <w:jc w:val="center"/>
    </w:pPr>
    <w:rPr>
      <w:rFonts w:ascii="Arial Unicode MS" w:hAnsi="Arial Unicode MS" w:eastAsia="宋体" w:cs="Times New Roman"/>
      <w:sz w:val="24"/>
      <w:szCs w:val="20"/>
      <w:lang w:val="en-US" w:eastAsia="zh-CN" w:bidi="ar-SA"/>
    </w:rPr>
  </w:style>
  <w:style w:type="paragraph" w:customStyle="1" w:styleId="74">
    <w:name w:val="1"/>
    <w:qFormat/>
    <w:uiPriority w:val="0"/>
    <w:pPr>
      <w:widowControl w:val="0"/>
      <w:jc w:val="both"/>
    </w:pPr>
    <w:rPr>
      <w:rFonts w:ascii="Calibri" w:hAnsi="Calibri" w:eastAsia="宋体" w:cs="Times New Roman"/>
      <w:kern w:val="2"/>
      <w:sz w:val="21"/>
      <w:szCs w:val="20"/>
      <w:lang w:val="en-US" w:eastAsia="zh-CN" w:bidi="ar-SA"/>
    </w:rPr>
  </w:style>
  <w:style w:type="paragraph" w:customStyle="1" w:styleId="75">
    <w:name w:val="正文五号"/>
    <w:basedOn w:val="1"/>
    <w:qFormat/>
    <w:uiPriority w:val="0"/>
    <w:rPr>
      <w:rFonts w:ascii="宋体" w:hAnsi="宋体" w:eastAsia="仿宋_GB2312"/>
    </w:rPr>
  </w:style>
  <w:style w:type="paragraph" w:customStyle="1" w:styleId="76">
    <w:name w:val="子弹１"/>
    <w:basedOn w:val="72"/>
    <w:qFormat/>
    <w:uiPriority w:val="0"/>
    <w:pPr>
      <w:tabs>
        <w:tab w:val="left" w:pos="873"/>
        <w:tab w:val="clear" w:pos="1134"/>
        <w:tab w:val="clear" w:pos="9356"/>
      </w:tabs>
    </w:pPr>
  </w:style>
  <w:style w:type="paragraph" w:customStyle="1" w:styleId="77">
    <w:name w:val="修订1"/>
    <w:qFormat/>
    <w:uiPriority w:val="0"/>
    <w:rPr>
      <w:rFonts w:ascii="Calibri" w:hAnsi="Calibri" w:eastAsia="宋体" w:cs="Times New Roman"/>
      <w:kern w:val="2"/>
      <w:sz w:val="21"/>
      <w:szCs w:val="20"/>
      <w:lang w:val="en-US" w:eastAsia="zh-CN" w:bidi="ar-SA"/>
    </w:rPr>
  </w:style>
  <w:style w:type="paragraph" w:customStyle="1" w:styleId="78">
    <w:name w:val="表格"/>
    <w:basedOn w:val="1"/>
    <w:qFormat/>
    <w:uiPriority w:val="0"/>
    <w:pPr>
      <w:tabs>
        <w:tab w:val="left" w:pos="1200"/>
      </w:tabs>
      <w:spacing w:line="500" w:lineRule="exact"/>
      <w:jc w:val="center"/>
    </w:pPr>
    <w:rPr>
      <w:rFonts w:ascii="宋体"/>
      <w:sz w:val="24"/>
      <w:szCs w:val="18"/>
    </w:rPr>
  </w:style>
  <w:style w:type="paragraph" w:customStyle="1" w:styleId="79">
    <w:name w:val="样式1"/>
    <w:basedOn w:val="4"/>
    <w:qFormat/>
    <w:uiPriority w:val="0"/>
    <w:pPr>
      <w:adjustRightInd w:val="0"/>
      <w:spacing w:line="416" w:lineRule="atLeast"/>
      <w:jc w:val="left"/>
      <w:textAlignment w:val="baseline"/>
    </w:pPr>
    <w:rPr>
      <w:rFonts w:eastAsia="黑体"/>
      <w:spacing w:val="0"/>
      <w:kern w:val="0"/>
      <w:sz w:val="30"/>
    </w:rPr>
  </w:style>
  <w:style w:type="paragraph" w:customStyle="1" w:styleId="80">
    <w:name w:val="Char Char Char Char"/>
    <w:basedOn w:val="1"/>
    <w:qFormat/>
    <w:uiPriority w:val="0"/>
    <w:rPr>
      <w:szCs w:val="24"/>
    </w:rPr>
  </w:style>
  <w:style w:type="paragraph" w:customStyle="1" w:styleId="81">
    <w:name w:val="正文 New New New"/>
    <w:qFormat/>
    <w:uiPriority w:val="0"/>
    <w:pPr>
      <w:jc w:val="both"/>
    </w:pPr>
    <w:rPr>
      <w:rFonts w:ascii="Calibri" w:hAnsi="Calibri" w:eastAsia="宋体" w:cs="Times New Roman"/>
      <w:kern w:val="2"/>
      <w:sz w:val="21"/>
      <w:szCs w:val="20"/>
      <w:lang w:val="en-US" w:eastAsia="zh-CN" w:bidi="ar-SA"/>
    </w:rPr>
  </w:style>
  <w:style w:type="paragraph" w:customStyle="1" w:styleId="82">
    <w:name w:val="Absatz2AL"/>
    <w:basedOn w:val="2"/>
    <w:next w:val="1"/>
    <w:qFormat/>
    <w:uiPriority w:val="0"/>
    <w:pPr>
      <w:widowControl/>
      <w:overflowPunct w:val="0"/>
      <w:autoSpaceDE w:val="0"/>
      <w:autoSpaceDN w:val="0"/>
      <w:adjustRightInd w:val="0"/>
      <w:textAlignment w:val="baseline"/>
    </w:pPr>
    <w:rPr>
      <w:rFonts w:ascii="Times New Roman" w:hAnsi="Times New Roman" w:eastAsia="楷体_GB2312"/>
      <w:kern w:val="0"/>
      <w:lang w:val="de-DE" w:eastAsia="de-DE"/>
    </w:rPr>
  </w:style>
  <w:style w:type="paragraph" w:customStyle="1" w:styleId="83">
    <w:name w:val="Char Char1 Char Char"/>
    <w:basedOn w:val="1"/>
    <w:qFormat/>
    <w:uiPriority w:val="0"/>
    <w:pPr>
      <w:tabs>
        <w:tab w:val="left" w:pos="360"/>
      </w:tabs>
    </w:pPr>
  </w:style>
  <w:style w:type="paragraph" w:customStyle="1" w:styleId="84">
    <w:name w:val="样式2"/>
    <w:basedOn w:val="1"/>
    <w:qFormat/>
    <w:uiPriority w:val="0"/>
    <w:pPr>
      <w:spacing w:line="360" w:lineRule="auto"/>
    </w:pPr>
    <w:rPr>
      <w:rFonts w:ascii="Century Gothic" w:hAnsi="Century Gothic" w:eastAsia="黑体"/>
      <w:b/>
      <w:sz w:val="32"/>
      <w:szCs w:val="30"/>
    </w:rPr>
  </w:style>
  <w:style w:type="paragraph" w:customStyle="1" w:styleId="85">
    <w:name w:val="_Style 1"/>
    <w:basedOn w:val="1"/>
    <w:qFormat/>
    <w:uiPriority w:val="0"/>
    <w:pPr>
      <w:spacing w:line="276" w:lineRule="auto"/>
      <w:ind w:left="720"/>
      <w:contextualSpacing/>
    </w:pPr>
    <w:rPr>
      <w:szCs w:val="24"/>
    </w:rPr>
  </w:style>
  <w:style w:type="paragraph" w:customStyle="1" w:styleId="86">
    <w:name w:val="Char Char Char Char1"/>
    <w:basedOn w:val="13"/>
    <w:qFormat/>
    <w:uiPriority w:val="0"/>
    <w:pPr>
      <w:adjustRightInd w:val="0"/>
      <w:snapToGrid w:val="0"/>
      <w:spacing w:line="360" w:lineRule="auto"/>
    </w:pPr>
    <w:rPr>
      <w:rFonts w:ascii="Tahoma" w:hAnsi="Tahoma"/>
      <w:sz w:val="24"/>
      <w:szCs w:val="24"/>
    </w:rPr>
  </w:style>
  <w:style w:type="paragraph" w:customStyle="1" w:styleId="87">
    <w:name w:val="p0"/>
    <w:basedOn w:val="1"/>
    <w:qFormat/>
    <w:uiPriority w:val="0"/>
    <w:pPr>
      <w:widowControl/>
      <w:spacing w:before="100" w:beforeAutospacing="1" w:after="100" w:afterAutospacing="1"/>
      <w:jc w:val="left"/>
    </w:pPr>
    <w:rPr>
      <w:rFonts w:ascii="宋体" w:cs="宋体"/>
      <w:kern w:val="0"/>
      <w:sz w:val="24"/>
      <w:szCs w:val="24"/>
    </w:rPr>
  </w:style>
  <w:style w:type="paragraph" w:customStyle="1" w:styleId="88">
    <w:name w:val="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89">
    <w:name w:val="Char1"/>
    <w:basedOn w:val="1"/>
    <w:qFormat/>
    <w:uiPriority w:val="0"/>
    <w:rPr>
      <w:rFonts w:ascii="Tahoma" w:hAnsi="Tahoma"/>
      <w:sz w:val="24"/>
    </w:rPr>
  </w:style>
  <w:style w:type="paragraph" w:customStyle="1" w:styleId="90">
    <w:name w:val="Char Char1"/>
    <w:basedOn w:val="1"/>
    <w:qFormat/>
    <w:uiPriority w:val="0"/>
    <w:pPr>
      <w:widowControl/>
      <w:spacing w:after="160" w:line="240" w:lineRule="exact"/>
      <w:jc w:val="left"/>
    </w:pPr>
    <w:rPr>
      <w:rFonts w:ascii="Verdana" w:hAnsi="Verdana" w:eastAsia="仿宋_GB2312"/>
      <w:kern w:val="0"/>
      <w:sz w:val="20"/>
    </w:rPr>
  </w:style>
  <w:style w:type="paragraph" w:customStyle="1" w:styleId="91">
    <w:name w:val="TOC 标题1"/>
    <w:basedOn w:val="3"/>
    <w:next w:val="1"/>
    <w:qFormat/>
    <w:uiPriority w:val="0"/>
    <w:pPr>
      <w:keepNext/>
      <w:keepLines/>
      <w:widowControl/>
      <w:spacing w:before="480" w:after="0" w:line="276" w:lineRule="auto"/>
      <w:jc w:val="left"/>
      <w:outlineLvl w:val="9"/>
    </w:pPr>
    <w:rPr>
      <w:rFonts w:ascii="Cambria" w:hAnsi="Cambria"/>
      <w:bCs/>
      <w:color w:val="366091"/>
      <w:spacing w:val="0"/>
      <w:kern w:val="0"/>
      <w:sz w:val="28"/>
      <w:szCs w:val="28"/>
    </w:rPr>
  </w:style>
  <w:style w:type="paragraph" w:customStyle="1" w:styleId="92">
    <w:name w:val="Char13"/>
    <w:basedOn w:val="1"/>
    <w:qFormat/>
    <w:uiPriority w:val="0"/>
    <w:rPr>
      <w:szCs w:val="24"/>
    </w:rPr>
  </w:style>
  <w:style w:type="paragraph" w:customStyle="1" w:styleId="93">
    <w:name w:val="默认段落字体 Para Char Char Char Char"/>
    <w:basedOn w:val="1"/>
    <w:qFormat/>
    <w:uiPriority w:val="0"/>
    <w:rPr>
      <w:szCs w:val="24"/>
    </w:rPr>
  </w:style>
  <w:style w:type="paragraph" w:customStyle="1" w:styleId="94">
    <w:name w:val="5"/>
    <w:basedOn w:val="1"/>
    <w:qFormat/>
    <w:uiPriority w:val="0"/>
    <w:pPr>
      <w:tabs>
        <w:tab w:val="right" w:pos="-2120"/>
      </w:tabs>
      <w:snapToGrid w:val="0"/>
    </w:pPr>
    <w:rPr>
      <w:rFonts w:ascii="Tahoma" w:hAnsi="Tahoma"/>
      <w:spacing w:val="6"/>
      <w:sz w:val="24"/>
    </w:rPr>
  </w:style>
  <w:style w:type="paragraph" w:customStyle="1" w:styleId="95">
    <w:name w:val="缺省文本"/>
    <w:basedOn w:val="1"/>
    <w:qFormat/>
    <w:uiPriority w:val="0"/>
    <w:pPr>
      <w:autoSpaceDE w:val="0"/>
      <w:autoSpaceDN w:val="0"/>
      <w:adjustRightInd w:val="0"/>
      <w:jc w:val="left"/>
    </w:pPr>
    <w:rPr>
      <w:kern w:val="0"/>
      <w:sz w:val="24"/>
    </w:rPr>
  </w:style>
  <w:style w:type="paragraph" w:customStyle="1" w:styleId="96">
    <w:name w:val="Char Char Char"/>
    <w:basedOn w:val="1"/>
    <w:qFormat/>
    <w:uiPriority w:val="0"/>
    <w:pPr>
      <w:ind w:firstLine="200" w:firstLineChars="200"/>
    </w:pPr>
    <w:rPr>
      <w:sz w:val="24"/>
      <w:szCs w:val="24"/>
    </w:rPr>
  </w:style>
  <w:style w:type="paragraph" w:customStyle="1" w:styleId="97">
    <w:name w:val="p2"/>
    <w:basedOn w:val="1"/>
    <w:qFormat/>
    <w:uiPriority w:val="0"/>
    <w:pPr>
      <w:widowControl/>
      <w:spacing w:line="480" w:lineRule="auto"/>
      <w:ind w:firstLine="420"/>
      <w:jc w:val="left"/>
    </w:pPr>
    <w:rPr>
      <w:rFonts w:ascii="宋体" w:cs="宋体"/>
      <w:kern w:val="0"/>
      <w:szCs w:val="21"/>
    </w:rPr>
  </w:style>
  <w:style w:type="paragraph" w:customStyle="1" w:styleId="98">
    <w:name w:val="列出段落1"/>
    <w:basedOn w:val="1"/>
    <w:qFormat/>
    <w:uiPriority w:val="0"/>
    <w:pPr>
      <w:ind w:firstLine="200" w:firstLineChars="200"/>
    </w:pPr>
    <w:rPr>
      <w:szCs w:val="22"/>
    </w:rPr>
  </w:style>
  <w:style w:type="paragraph" w:customStyle="1" w:styleId="99">
    <w:name w:val="xl7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8"/>
      <w:szCs w:val="18"/>
    </w:rPr>
  </w:style>
  <w:style w:type="character" w:customStyle="1" w:styleId="100">
    <w:name w:val="more"/>
    <w:basedOn w:val="42"/>
    <w:qFormat/>
    <w:uiPriority w:val="0"/>
  </w:style>
  <w:style w:type="paragraph" w:customStyle="1" w:styleId="101">
    <w:name w:val="_Style 111"/>
    <w:basedOn w:val="1"/>
    <w:next w:val="1"/>
    <w:qFormat/>
    <w:uiPriority w:val="0"/>
    <w:pPr>
      <w:pBdr>
        <w:bottom w:val="single" w:color="auto" w:sz="6" w:space="1"/>
      </w:pBdr>
      <w:jc w:val="center"/>
    </w:pPr>
    <w:rPr>
      <w:rFonts w:ascii="Arial" w:hAnsi="Arial"/>
      <w:vanish/>
      <w:sz w:val="16"/>
    </w:rPr>
  </w:style>
  <w:style w:type="paragraph" w:customStyle="1" w:styleId="102">
    <w:name w:val="_Style 112"/>
    <w:basedOn w:val="1"/>
    <w:next w:val="1"/>
    <w:qFormat/>
    <w:uiPriority w:val="0"/>
    <w:pPr>
      <w:pBdr>
        <w:top w:val="single" w:color="auto" w:sz="6" w:space="1"/>
      </w:pBdr>
      <w:jc w:val="center"/>
    </w:pPr>
    <w:rPr>
      <w:rFonts w:ascii="Arial" w:hAnsi="Arial"/>
      <w:vanish/>
      <w:sz w:val="16"/>
    </w:rPr>
  </w:style>
  <w:style w:type="paragraph" w:customStyle="1" w:styleId="103">
    <w:name w:val="M报告正文"/>
    <w:basedOn w:val="1"/>
    <w:qFormat/>
    <w:uiPriority w:val="0"/>
    <w:pPr>
      <w:widowControl/>
      <w:ind w:firstLine="200" w:firstLineChars="200"/>
      <w:contextualSpacing/>
    </w:pPr>
    <w:rPr>
      <w:kern w:val="0"/>
      <w:szCs w:val="21"/>
    </w:rPr>
  </w:style>
  <w:style w:type="paragraph" w:customStyle="1" w:styleId="104">
    <w:name w:val="M表中文字"/>
    <w:basedOn w:val="1"/>
    <w:next w:val="1"/>
    <w:qFormat/>
    <w:uiPriority w:val="0"/>
    <w:pPr>
      <w:jc w:val="center"/>
    </w:pPr>
    <w:rPr>
      <w:szCs w:val="36"/>
    </w:rPr>
  </w:style>
  <w:style w:type="paragraph" w:customStyle="1" w:styleId="105">
    <w:name w:val="M表标题"/>
    <w:basedOn w:val="1"/>
    <w:qFormat/>
    <w:uiPriority w:val="0"/>
    <w:pPr>
      <w:jc w:val="center"/>
    </w:pPr>
    <w:rPr>
      <w:b/>
      <w:bCs/>
      <w:sz w:val="24"/>
      <w:szCs w:val="21"/>
    </w:rPr>
  </w:style>
  <w:style w:type="paragraph" w:customStyle="1" w:styleId="106">
    <w:name w:val="图表标题"/>
    <w:basedOn w:val="1"/>
    <w:qFormat/>
    <w:uiPriority w:val="0"/>
    <w:pPr>
      <w:adjustRightInd w:val="0"/>
      <w:snapToGrid w:val="0"/>
      <w:jc w:val="center"/>
    </w:pPr>
    <w:rPr>
      <w:rFonts w:ascii="仿宋_GB2312" w:hAnsi="仿宋_GB2312"/>
      <w:b/>
      <w:color w:val="000000"/>
      <w:sz w:val="24"/>
    </w:rPr>
  </w:style>
  <w:style w:type="character" w:customStyle="1" w:styleId="107">
    <w:name w:val="font01"/>
    <w:basedOn w:val="42"/>
    <w:qFormat/>
    <w:uiPriority w:val="0"/>
    <w:rPr>
      <w:rFonts w:ascii="微软雅黑" w:eastAsia="微软雅黑" w:cs="微软雅黑"/>
      <w:color w:val="000000"/>
      <w:sz w:val="21"/>
      <w:szCs w:val="21"/>
      <w:u w:val="none"/>
    </w:rPr>
  </w:style>
  <w:style w:type="character" w:customStyle="1" w:styleId="108">
    <w:name w:val="font11"/>
    <w:basedOn w:val="42"/>
    <w:qFormat/>
    <w:uiPriority w:val="0"/>
    <w:rPr>
      <w:rFonts w:ascii="仿宋_GB2312" w:eastAsia="仿宋_GB2312" w:cs="仿宋_GB2312"/>
      <w:color w:val="000000"/>
      <w:sz w:val="21"/>
      <w:szCs w:val="21"/>
      <w:u w:val="none"/>
    </w:rPr>
  </w:style>
  <w:style w:type="character" w:customStyle="1" w:styleId="109">
    <w:name w:val="font21"/>
    <w:basedOn w:val="42"/>
    <w:qFormat/>
    <w:uiPriority w:val="0"/>
    <w:rPr>
      <w:rFonts w:ascii="Times New Roman" w:hAnsi="Times New Roman" w:cs="Times New Roman"/>
      <w:color w:val="000000"/>
      <w:sz w:val="21"/>
      <w:szCs w:val="21"/>
      <w:u w:val="none"/>
    </w:rPr>
  </w:style>
  <w:style w:type="paragraph" w:customStyle="1" w:styleId="110">
    <w:name w:val="Heading1"/>
    <w:basedOn w:val="1"/>
    <w:next w:val="1"/>
    <w:qFormat/>
    <w:uiPriority w:val="0"/>
    <w:pPr>
      <w:keepNext/>
      <w:keepLines/>
      <w:widowControl w:val="0"/>
      <w:spacing w:before="340" w:after="330" w:line="578" w:lineRule="auto"/>
      <w:textAlignment w:val="baseline"/>
    </w:pPr>
    <w:rPr>
      <w:b/>
      <w:bCs/>
      <w:kern w:val="44"/>
      <w:sz w:val="44"/>
      <w:szCs w:val="44"/>
    </w:rPr>
  </w:style>
  <w:style w:type="paragraph" w:customStyle="1" w:styleId="111">
    <w:name w:val="Table Text"/>
    <w:basedOn w:val="1"/>
    <w:qFormat/>
    <w:uiPriority w:val="0"/>
    <w:rPr>
      <w:rFonts w:ascii="宋体" w:cs="宋体"/>
      <w:sz w:val="26"/>
      <w:szCs w:val="26"/>
    </w:rPr>
  </w:style>
  <w:style w:type="paragraph" w:customStyle="1" w:styleId="112">
    <w:name w:val="B正文"/>
    <w:basedOn w:val="1"/>
    <w:qFormat/>
    <w:uiPriority w:val="0"/>
    <w:pPr>
      <w:ind w:firstLine="200"/>
    </w:pPr>
    <w:rPr>
      <w:rFonts w:ascii="Times New Roman" w:hAnsi="Times New Roman"/>
    </w:rPr>
  </w:style>
  <w:style w:type="paragraph" w:customStyle="1" w:styleId="113">
    <w:name w:val="小正常"/>
    <w:basedOn w:val="1"/>
    <w:qFormat/>
    <w:uiPriority w:val="0"/>
    <w:rPr>
      <w:sz w:val="20"/>
    </w:rPr>
  </w:style>
  <w:style w:type="paragraph" w:customStyle="1" w:styleId="114">
    <w:name w:val="正常"/>
    <w:basedOn w:val="113"/>
    <w:qFormat/>
    <w:uiPriority w:val="0"/>
    <w:rPr>
      <w:sz w:val="24"/>
    </w:rPr>
  </w:style>
  <w:style w:type="paragraph" w:customStyle="1" w:styleId="115">
    <w:name w:val="表格 正文"/>
    <w:basedOn w:val="1"/>
    <w:qFormat/>
    <w:uiPriority w:val="0"/>
    <w:pPr>
      <w:widowControl/>
    </w:pPr>
  </w:style>
  <w:style w:type="paragraph" w:customStyle="1" w:styleId="116">
    <w:name w:val="表格2"/>
    <w:basedOn w:val="115"/>
    <w:qFormat/>
    <w:uiPriority w:val="0"/>
    <w:pPr>
      <w:numPr>
        <w:ilvl w:val="0"/>
        <w:numId w:val="2"/>
      </w:numPr>
      <w:ind w:left="704"/>
    </w:pPr>
  </w:style>
  <w:style w:type="paragraph" w:customStyle="1" w:styleId="117">
    <w:name w:val="表格1"/>
    <w:basedOn w:val="116"/>
    <w:qFormat/>
    <w:uiPriority w:val="0"/>
    <w:pPr>
      <w:ind w:left="562"/>
    </w:pPr>
  </w:style>
  <w:style w:type="character" w:customStyle="1" w:styleId="118">
    <w:name w:val="fontstyle01"/>
    <w:basedOn w:val="42"/>
    <w:qFormat/>
    <w:uiPriority w:val="0"/>
    <w:rPr>
      <w:rFonts w:ascii="宋体" w:hAnsi="宋体" w:eastAsia="宋体" w:cs="宋体"/>
      <w:color w:val="000000"/>
      <w:sz w:val="24"/>
      <w:szCs w:val="24"/>
    </w:rPr>
  </w:style>
  <w:style w:type="character" w:customStyle="1" w:styleId="119">
    <w:name w:val="fontstyle31"/>
    <w:basedOn w:val="42"/>
    <w:qFormat/>
    <w:uiPriority w:val="0"/>
    <w:rPr>
      <w:rFonts w:ascii="DejaVuSans" w:hAnsi="DejaVuSans" w:eastAsia="DejaVuSans" w:cs="DejaVuSans"/>
      <w:color w:val="000000"/>
      <w:sz w:val="20"/>
      <w:szCs w:val="20"/>
    </w:rPr>
  </w:style>
  <w:style w:type="paragraph" w:customStyle="1" w:styleId="120">
    <w:name w:val="样式 标题 1 + 两端对齐 段前: 17 磅 段后: 16.5 磅"/>
    <w:basedOn w:val="3"/>
    <w:next w:val="3"/>
    <w:qFormat/>
    <w:uiPriority w:val="0"/>
    <w:pPr>
      <w:tabs>
        <w:tab w:val="left" w:pos="432"/>
      </w:tabs>
      <w:spacing w:before="120" w:after="120"/>
    </w:pPr>
    <w:rPr>
      <w:rFonts w:cs="宋体"/>
    </w:rPr>
  </w:style>
  <w:style w:type="paragraph" w:customStyle="1" w:styleId="121">
    <w:name w:val="null3"/>
    <w:qFormat/>
    <w:uiPriority w:val="0"/>
    <w:rPr>
      <w:rFonts w:hint="eastAsia" w:ascii="Calibri" w:hAnsi="Calibri" w:eastAsia="宋体" w:cs="Times New Roman"/>
      <w:lang w:val="en-US" w:eastAsia="zh-Hans" w:bidi="ar-SA"/>
    </w:rPr>
  </w:style>
  <w:style w:type="paragraph" w:customStyle="1" w:styleId="122">
    <w:name w:val="Normal Indent1"/>
    <w:basedOn w:val="123"/>
    <w:qFormat/>
    <w:uiPriority w:val="99"/>
    <w:pPr>
      <w:ind w:firstLine="420" w:firstLineChars="200"/>
    </w:pPr>
    <w:rPr>
      <w:rFonts w:cs="Times New Roman"/>
    </w:rPr>
  </w:style>
  <w:style w:type="paragraph" w:customStyle="1" w:styleId="123">
    <w:name w:val="正文 New"/>
    <w:next w:val="124"/>
    <w:qFormat/>
    <w:uiPriority w:val="0"/>
    <w:pPr>
      <w:widowControl w:val="0"/>
      <w:jc w:val="both"/>
    </w:pPr>
    <w:rPr>
      <w:rFonts w:ascii="Calibri" w:hAnsi="Calibri" w:eastAsia="宋体" w:cs="黑体"/>
      <w:kern w:val="2"/>
      <w:sz w:val="21"/>
      <w:szCs w:val="22"/>
      <w:lang w:val="en-US" w:eastAsia="zh-CN" w:bidi="ar-SA"/>
    </w:rPr>
  </w:style>
  <w:style w:type="paragraph" w:customStyle="1" w:styleId="124">
    <w:name w:val="图表目录1"/>
    <w:basedOn w:val="125"/>
    <w:next w:val="125"/>
    <w:qFormat/>
    <w:uiPriority w:val="0"/>
    <w:pPr>
      <w:spacing w:line="480" w:lineRule="exact"/>
      <w:ind w:left="200" w:leftChars="200" w:hanging="200" w:hangingChars="200"/>
      <w:jc w:val="left"/>
    </w:pPr>
    <w:rPr>
      <w:color w:val="7030A0"/>
      <w:sz w:val="24"/>
    </w:rPr>
  </w:style>
  <w:style w:type="paragraph" w:customStyle="1" w:styleId="12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24"/>
    <w:qFormat/>
    <w:uiPriority w:val="0"/>
    <w:rPr>
      <w:rFonts w:ascii="Calibri" w:hAnsi="Calibri" w:cs="宋体"/>
    </w:rPr>
  </w:style>
  <w:style w:type="character" w:customStyle="1" w:styleId="126">
    <w:name w:val="标题 2 字符"/>
    <w:link w:val="4"/>
    <w:qFormat/>
    <w:locked/>
    <w:uiPriority w:val="0"/>
    <w:rPr>
      <w:rFonts w:ascii="Arial" w:hAnsi="Arial"/>
      <w:b/>
      <w:color w:val="000000"/>
      <w:spacing w:val="4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578ba0cd-fd4a-4fb8-9791-0f3371df4872</errorID>
      <errorWord>2026年04月</errorWord>
      <group>L1_Knowledge</group>
      <groupName>知识性问题</groupName>
      <ability>L2_Time</ability>
      <abilityName>日期时间</abilityName>
      <candidateList>
        <item>2026年4月</item>
      </candidateList>
      <explain>根据日常书写习惯，月份一般会省略前导零。</explain>
      <paraID>52776225</paraID>
      <start>0</start>
      <end>8</end>
      <status>unmodified</status>
      <modifiedWord/>
      <trackRevisions>false</trackRevisions>
    </reviewItem>
    <reviewItem>
      <errorID>7b0386b6-1d96-44fc-98f8-7feb57ed9feb</errorID>
      <errorWord>（</errorWord>
      <group>L1_Punc</group>
      <groupName>标点问题</groupName>
      <ability>L2_Punc</ability>
      <abilityName>标点符号检查</abilityName>
      <candidateList/>
      <explain>同一形式括号套用。</explain>
      <paraID>28874126</paraID>
      <start>97</start>
      <end>98</end>
      <status>unmodified</status>
      <modifiedWord/>
      <trackRevisions>false</trackRevisions>
    </reviewItem>
    <reviewItem>
      <errorID>e0c29279-80cd-4c8e-9d50-c9949acebdeb</errorID>
      <errorWord>）</errorWord>
      <group>L1_Punc</group>
      <groupName>标点问题</groupName>
      <ability>L2_Punc</ability>
      <abilityName>标点符号检查</abilityName>
      <candidateList/>
      <explain>同一形式括号套用。</explain>
      <paraID>28874126</paraID>
      <start>101</start>
      <end>102</end>
      <status>unmodified</status>
      <modifiedWord/>
      <trackRevisions>false</trackRevisions>
    </reviewItem>
    <reviewItem>
      <errorID>ee36b379-d538-402b-8d98-d623af4e568b</errorID>
      <errorWord>2025年01月</errorWord>
      <group>L1_Knowledge</group>
      <groupName>知识性问题</groupName>
      <ability>L2_Time</ability>
      <abilityName>日期时间</abilityName>
      <candidateList>
        <item>2025年1月</item>
      </candidateList>
      <explain>根据日常书写习惯，月份一般会省略前导零。</explain>
      <paraID>2B346C8A</paraID>
      <start>17</start>
      <end>25</end>
      <status>unmodified</status>
      <modifiedWord/>
      <trackRevisions>false</trackRevisions>
    </reviewItem>
    <reviewItem>
      <errorID>52540258-9357-455e-a97e-29b11a7e9006</errorID>
      <errorWord>2025年01月</errorWord>
      <group>L1_Knowledge</group>
      <groupName>知识性问题</groupName>
      <ability>L2_Time</ability>
      <abilityName>日期时间</abilityName>
      <candidateList>
        <item>2025年1月</item>
      </candidateList>
      <explain>根据日常书写习惯，月份一般会省略前导零。</explain>
      <paraID>4076ED7E</paraID>
      <start>17</start>
      <end>25</end>
      <status>unmodified</status>
      <modifiedWord/>
      <trackRevisions>false</trackRevisions>
    </reviewItem>
    <reviewItem>
      <errorID>2120ab7b-c249-41da-b0d2-3fd47f4c256c</errorID>
      <errorWord>（</errorWord>
      <group>L1_Punc</group>
      <groupName>标点问题</groupName>
      <ability>L2_Punc</ability>
      <abilityName>标点符号检查</abilityName>
      <candidateList/>
      <explain>同一形式括号套用。</explain>
      <paraID>2603396F</paraID>
      <start>61</start>
      <end>62</end>
      <status>unmodified</status>
      <modifiedWord/>
      <trackRevisions>false</trackRevisions>
    </reviewItem>
    <reviewItem>
      <errorID>b35846a6-e1ae-4ddb-8c0b-c6a55d142cce</errorID>
      <errorWord>）</errorWord>
      <group>L1_Punc</group>
      <groupName>标点问题</groupName>
      <ability>L2_Punc</ability>
      <abilityName>标点符号检查</abilityName>
      <candidateList/>
      <explain>同一形式括号套用。</explain>
      <paraID>2603396F</paraID>
      <start>65</start>
      <end>66</end>
      <status>unmodified</status>
      <modifiedWord/>
      <trackRevisions>false</trackRevisions>
    </reviewItem>
    <reviewItem>
      <errorID>f25862ee-5dc9-482a-b072-842ccb788c55</errorID>
      <errorWord>-</errorWord>
      <group>L1_Format</group>
      <groupName>格式问题</groupName>
      <ability>L2_HalfPunc</ability>
      <abilityName>全半角检查</abilityName>
      <candidateList>
        <item>－</item>
      </candidateList>
      <explain>文本全半角错误。</explain>
      <paraID>2603396F</paraID>
      <start>66</start>
      <end>67</end>
      <status>unmodified</status>
      <modifiedWord/>
      <trackRevisions>false</trackRevisions>
    </reviewItem>
    <reviewItem>
      <errorID>7c48f287-2434-422a-a23f-c2893d03c344</errorID>
      <errorWord>-</errorWord>
      <group>L1_Format</group>
      <groupName>格式问题</groupName>
      <ability>L2_HalfPunc</ability>
      <abilityName>全半角检查</abilityName>
      <candidateList>
        <item>－</item>
      </candidateList>
      <explain>文本全半角错误。</explain>
      <paraID>2603396F</paraID>
      <start>71</start>
      <end>72</end>
      <status>unmodified</status>
      <modifiedWord/>
      <trackRevisions>false</trackRevisions>
    </reviewItem>
    <reviewItem>
      <errorID>094da035-d36f-4d3b-ace4-46284c0a19be</errorID>
      <errorWord>-</errorWord>
      <group>L1_Format</group>
      <groupName>格式问题</groupName>
      <ability>L2_HalfPunc</ability>
      <abilityName>全半角检查</abilityName>
      <candidateList>
        <item>－</item>
      </candidateList>
      <explain>文本全半角错误。</explain>
      <paraID>2603396F</paraID>
      <start>79</start>
      <end>80</end>
      <status>unmodified</status>
      <modifiedWord/>
      <trackRevisions>false</trackRevisions>
    </reviewItem>
    <reviewItem>
      <errorID>8e7cb390-2393-457b-bca6-40c82cd4a71e</errorID>
      <errorWord>-</errorWord>
      <group>L1_Format</group>
      <groupName>格式问题</groupName>
      <ability>L2_HalfPunc</ability>
      <abilityName>全半角检查</abilityName>
      <candidateList>
        <item>－</item>
      </candidateList>
      <explain>文本全半角错误。</explain>
      <paraID>2603396F</paraID>
      <start>85</start>
      <end>86</end>
      <status>unmodified</status>
      <modifiedWord/>
      <trackRevisions>false</trackRevisions>
    </reviewItem>
    <reviewItem>
      <errorID>09737bad-d1cd-4287-9ae6-864c04e3717b</errorID>
      <errorWord>、</errorWord>
      <group>L1_Word</group>
      <groupName>字词问题</groupName>
      <ability>L2_Typo</ability>
      <abilityName>字词错误</abilityName>
      <candidateList>
        <item>、在</item>
      </candidateList>
      <explain/>
      <paraID>6C57C04D</paraID>
      <start>42</start>
      <end>43</end>
      <status>unmodified</status>
      <modifiedWord/>
      <trackRevisions>false</trackRevisions>
    </reviewItem>
    <reviewItem>
      <errorID>bd0265ad-4385-4413-8738-ca93a7b2dd72</errorID>
      <errorWord>涉及到</errorWord>
      <group>L1_Grammar</group>
      <groupName>语法问题</groupName>
      <ability>L2_Grammar</ability>
      <abilityName>语法错误</abilityName>
      <candidateList>
        <item>涉及</item>
      </candidateList>
      <explain>〈动〉牵涉到；关联到：案子～好几个人｜这个问题～面很广。</explain>
      <paraID> 3750B43</paraID>
      <start>11</start>
      <end>14</end>
      <status>unmodified</status>
      <modifiedWord/>
      <trackRevisions>false</trackRevisions>
    </reviewItem>
    <reviewItem>
      <errorID>d4d9b197-24cf-4c17-b994-cb9c2e838ef9</errorID>
      <errorWord>（</errorWord>
      <group>L1_Punc</group>
      <groupName>标点问题</groupName>
      <ability>L2_Punc</ability>
      <abilityName>标点符号检查</abilityName>
      <candidateList/>
      <explain>同一形式括号套用。</explain>
      <paraID>59D22421</paraID>
      <start>83</start>
      <end>84</end>
      <status>unmodified</status>
      <modifiedWord/>
      <trackRevisions>false</trackRevisions>
    </reviewItem>
    <reviewItem>
      <errorID>e06e0872-73d1-42c1-811d-0adecedfacc0</errorID>
      <errorWord>）</errorWord>
      <group>L1_Punc</group>
      <groupName>标点问题</groupName>
      <ability>L2_Punc</ability>
      <abilityName>标点符号检查</abilityName>
      <candidateList/>
      <explain>同一形式括号套用。</explain>
      <paraID>59D22421</paraID>
      <start>86</start>
      <end>87</end>
      <status>unmodified</status>
      <modifiedWord/>
      <trackRevisions>false</trackRevisions>
    </reviewItem>
    <reviewItem>
      <errorID>12ad6d83-be67-4105-a8fe-d316a0f68d51</errorID>
      <errorWord>，</errorWord>
      <group>L1_Word</group>
      <groupName>字词问题</groupName>
      <ability>L2_Typo</ability>
      <abilityName>字词错误</abilityName>
      <candidateList>
        <item>，在</item>
      </candidateList>
      <explain/>
      <paraID>239823DE</paraID>
      <start>62</start>
      <end>63</end>
      <status>unmodified</status>
      <modifiedWord/>
      <trackRevisions>false</trackRevisions>
    </reviewItem>
    <reviewItem>
      <errorID>2ba63254-d793-4747-9fce-907ccb2128cd</errorID>
      <errorWord>[2002]1980号</errorWord>
      <group>L1_Knowledge</group>
      <groupName>知识性问题</groupName>
      <ability>L2_Knowledge</ability>
      <abilityName>其他知识</abilityName>
      <candidateList>
        <item>〔2002〕1980号</item>
      </candidateList>
      <explain>发文字号格式错误。</explain>
      <paraID>48A7CC43</paraID>
      <start>13</start>
      <end>24</end>
      <status>unmodified</status>
      <modifiedWord/>
      <trackRevisions>false</trackRevisions>
    </reviewItem>
    <reviewItem>
      <errorID>5f8d004b-e7d4-4956-b1ed-f0cd667bf5e3</errorID>
      <errorWord>法律、法规</errorWord>
      <group>L1_Word</group>
      <groupName>字词问题</groupName>
      <ability>L2_Typo</ability>
      <abilityName>字词错误</abilityName>
      <candidateList>
        <item>法律法规</item>
      </candidateList>
      <explain/>
      <paraID>7C6C6090</paraID>
      <start>61</start>
      <end>66</end>
      <status>unmodified</status>
      <modifiedWord/>
      <trackRevisions>false</trackRevisions>
    </reviewItem>
    <reviewItem>
      <errorID>4cc2ab02-756f-4b6b-b5f4-9f61ba214e94</errorID>
      <errorWord>,</errorWord>
      <group>L1_Format</group>
      <groupName>格式问题</groupName>
      <ability>L2_HalfPunc</ability>
      <abilityName>全半角检查</abilityName>
      <candidateList>
        <item>，</item>
      </candidateList>
      <explain>文本全半角错误。</explain>
      <paraID>7C6C6090</paraID>
      <start>72</start>
      <end>73</end>
      <status>unmodified</status>
      <modifiedWord/>
      <trackRevisions>false</trackRevisions>
    </reviewItem>
    <reviewItem>
      <errorID>51f2921c-1579-4dbd-9267-45b61a72ce55</errorID>
      <errorWord>为</errorWord>
      <group>L1_Word</group>
      <groupName>字词问题</groupName>
      <ability>L2_Typo</ability>
      <abilityName>字词错误</abilityName>
      <candidateList>
        <item>未</item>
      </candidateList>
      <explain>〈副〉❶没（跟“已”相对）：尚～成年｜健康仍～恢复。❷不：～便｜～敢苟同｜～可厚非。</explain>
      <paraID>50687380</paraID>
      <start>7</start>
      <end>8</end>
      <status>unmodified</status>
      <modifiedWord/>
      <trackRevisions>false</trackRevisions>
    </reviewItem>
    <reviewItem>
      <errorID>f214a0f5-0a83-4c6c-830f-77c5b2fcfa04</errorID>
      <errorWord>地与</errorWord>
      <group>L1_Word</group>
      <groupName>字词问题</groupName>
      <ability>L2_Typo</ability>
      <abilityName>字词错误</abilityName>
      <candidateList>
        <item>地</item>
      </candidateList>
      <explain>“地”常用于连接修饰语与动词性中心语，表示动作的方式、状态或程度。</explain>
      <paraID>40A8FAEE</paraID>
      <start>13</start>
      <end>15</end>
      <status>unmodified</status>
      <modifiedWord/>
      <trackRevisions>false</trackRevisions>
    </reviewItem>
    <reviewItem>
      <errorID>a30156d3-8d82-4424-9fd5-4761edaff404</errorID>
      <errorWord>》</errorWord>
      <group>L1_Word</group>
      <groupName>字词问题</groupName>
      <ability>L2_Typo</ability>
      <abilityName>字词错误</abilityName>
      <candidateList>
        <item>》第</item>
      </candidateList>
      <explain/>
      <paraID>659FBCDF</paraID>
      <start>19</start>
      <end>20</end>
      <status>unmodified</status>
      <modifiedWord/>
      <trackRevisions>false</trackRevisions>
    </reviewItem>
    <reviewItem>
      <errorID>56a2bf56-630c-43f5-8a45-9633946e1c24</errorID>
      <errorWord>涉及对</errorWord>
      <group>L1_Word</group>
      <groupName>字词问题</groupName>
      <ability>L2_Typo</ability>
      <abilityName>字词错误</abilityName>
      <candidateList>
        <item>涉及</item>
      </candidateList>
      <explain>〈动〉牵涉到；关联到：案子～好几个人｜这个问题～面很广。</explain>
      <paraID>419F70F4</paraID>
      <start>33</start>
      <end>36</end>
      <status>unmodified</status>
      <modifiedWord/>
      <trackRevisions>false</trackRevisions>
    </reviewItem>
    <reviewItem>
      <errorID>b94aad5d-8b49-4128-9862-06a9f7d04dc7</errorID>
      <errorWord>（</errorWord>
      <group>L1_Punc</group>
      <groupName>标点问题</groupName>
      <ability>L2_Punc</ability>
      <abilityName>标点符号检查</abilityName>
      <candidateList/>
      <explain>同一形式括号套用。</explain>
      <paraID>192A1541</paraID>
      <start>90</start>
      <end>91</end>
      <status>unmodified</status>
      <modifiedWord/>
      <trackRevisions>false</trackRevisions>
    </reviewItem>
    <reviewItem>
      <errorID>d180774a-8ee8-4ce0-b54a-5b44a9de6d16</errorID>
      <errorWord>）</errorWord>
      <group>L1_Punc</group>
      <groupName>标点问题</groupName>
      <ability>L2_Punc</ability>
      <abilityName>标点符号检查</abilityName>
      <candidateList/>
      <explain>同一形式括号套用。</explain>
      <paraID>192A1541</paraID>
      <start>93</start>
      <end>94</end>
      <status>unmodified</status>
      <modifiedWord/>
      <trackRevisions>false</trackRevisions>
    </reviewItem>
    <reviewItem>
      <errorID>8e2256cf-c261-440c-be3c-45592782505c</errorID>
      <errorWord>间</errorWord>
      <group>L1_Word</group>
      <groupName>字词问题</groupName>
      <ability>L2_Typo</ability>
      <abilityName>字词错误</abilityName>
      <candidateList>
        <item>间之</item>
      </candidateList>
      <explain/>
      <paraID>43A3327E</paraID>
      <start>17</start>
      <end>18</end>
      <status>unmodified</status>
      <modifiedWord/>
      <trackRevisions>false</trackRevisions>
    </reviewItem>
    <reviewItem>
      <errorID>6f1990d7-da4a-41da-a0d8-3cc313a29f68</errorID>
      <errorWord>[2002]1980号</errorWord>
      <group>L1_Knowledge</group>
      <groupName>知识性问题</groupName>
      <ability>L2_Knowledge</ability>
      <abilityName>其他知识</abilityName>
      <candidateList>
        <item>〔2002〕1980号</item>
      </candidateList>
      <explain>发文字号格式错误。</explain>
      <paraID>51B75222</paraID>
      <start>17</start>
      <end>28</end>
      <status>unmodified</status>
      <modifiedWord/>
      <trackRevisions>false</trackRevisions>
    </reviewItem>
    <reviewItem>
      <errorID>02dafffa-477e-4584-8279-8521e95728a8</errorID>
      <errorWord>法律、法规</errorWord>
      <group>L1_Word</group>
      <groupName>字词问题</groupName>
      <ability>L2_Typo</ability>
      <abilityName>字词错误</abilityName>
      <candidateList>
        <item>法律法规</item>
      </candidateList>
      <explain/>
      <paraID>792E0D59</paraID>
      <start>70</start>
      <end>75</end>
      <status>unmodified</status>
      <modifiedWord/>
      <trackRevisions>false</trackRevisions>
    </reviewItem>
    <reviewItem>
      <errorID>d1c92a38-04a4-4835-82eb-4c3cded299ca</errorID>
      <errorWord>&lt;</errorWord>
      <group>L1_Format</group>
      <groupName>格式问题</groupName>
      <ability>L2_HalfPunc</ability>
      <abilityName>全半角检查</abilityName>
      <candidateList>
        <item>〈</item>
      </candidateList>
      <explain>文本全半角错误。</explain>
      <paraID>54E96B94</paraID>
      <start>13</start>
      <end>14</end>
      <status>unmodified</status>
      <modifiedWord/>
      <trackRevisions>false</trackRevisions>
    </reviewItem>
    <reviewItem>
      <errorID>1c8af101-622c-42b8-b21e-28e1bc843243</errorID>
      <errorWord>&gt;的通知》</errorWord>
      <group>L1_Punc</group>
      <groupName>标点问题</groupName>
      <ability>L2_Punc</ability>
      <abilityName>标点符号检查</abilityName>
      <candidateList>
        <item>〉的通知》</item>
      </candidateList>
      <explain/>
      <paraID>54E96B94</paraID>
      <start>30</start>
      <end>35</end>
      <status>unmodified</status>
      <modifiedWord/>
      <trackRevisions>false</trackRevisions>
    </reviewItem>
    <reviewItem>
      <errorID>8347e211-4afe-48f9-9b54-67d7e54f4a42</errorID>
      <errorWord>&lt;</errorWord>
      <group>L1_Format</group>
      <groupName>格式问题</groupName>
      <ability>L2_HalfPunc</ability>
      <abilityName>全半角检查</abilityName>
      <candidateList>
        <item>〈</item>
      </candidateList>
      <explain>文本全半角错误。</explain>
      <paraID>455C9C45</paraID>
      <start>45</start>
      <end>46</end>
      <status>unmodified</status>
      <modifiedWord/>
      <trackRevisions>false</trackRevisions>
    </reviewItem>
    <reviewItem>
      <errorID>9866875d-9a35-4067-a5ce-83667769e3f1</errorID>
      <errorWord>&gt;的通知》</errorWord>
      <group>L1_Punc</group>
      <groupName>标点问题</groupName>
      <ability>L2_Punc</ability>
      <abilityName>标点符号检查</abilityName>
      <candidateList>
        <item>〉的通知》</item>
      </candidateList>
      <explain/>
      <paraID>455C9C45</paraID>
      <start>62</start>
      <end>67</end>
      <status>unmodified</status>
      <modifiedWord/>
      <trackRevisions>false</trackRevisions>
    </reviewItem>
    <reviewItem>
      <errorID>657e2b95-70a5-49de-9042-32f40b38fe96</errorID>
      <errorWord>,</errorWord>
      <group>L1_Format</group>
      <groupName>格式问题</groupName>
      <ability>L2_HalfPunc</ability>
      <abilityName>全半角检查</abilityName>
      <candidateList>
        <item>，</item>
      </candidateList>
      <explain>文本全半角错误。</explain>
      <paraID>33803708</paraID>
      <start>59</start>
      <end>60</end>
      <status>unmodified</status>
      <modifiedWord/>
      <trackRevisions>false</trackRevisions>
    </reviewItem>
    <reviewItem>
      <errorID>41b3d532-1d8f-410d-8a04-9b10887a3a3f</errorID>
      <errorWord>&lt;</errorWord>
      <group>L1_Format</group>
      <groupName>格式问题</groupName>
      <ability>L2_HalfPunc</ability>
      <abilityName>全半角检查</abilityName>
      <candidateList>
        <item>〈</item>
      </candidateList>
      <explain>文本全半角错误。</explain>
      <paraID>20DBD33D</paraID>
      <start>28</start>
      <end>29</end>
      <status>unmodified</status>
      <modifiedWord/>
      <trackRevisions>false</trackRevisions>
    </reviewItem>
    <reviewItem>
      <errorID>63cffa97-13ad-4405-93ab-1f3d272885c1</errorID>
      <errorWord>&gt;的通知》</errorWord>
      <group>L1_Punc</group>
      <groupName>标点问题</groupName>
      <ability>L2_Punc</ability>
      <abilityName>标点符号检查</abilityName>
      <candidateList>
        <item>〉的通知》</item>
      </candidateList>
      <explain/>
      <paraID>20DBD33D</paraID>
      <start>45</start>
      <end>50</end>
      <status>unmodified</status>
      <modifiedWord/>
      <trackRevisions>false</trackRevisions>
    </reviewItem>
    <reviewItem>
      <errorID>97b9efe4-aaaf-41e7-94d1-0e5aeb6735dc</errorID>
      <errorWord>&lt;</errorWord>
      <group>L1_Format</group>
      <groupName>格式问题</groupName>
      <ability>L2_HalfPunc</ability>
      <abilityName>全半角检查</abilityName>
      <candidateList>
        <item>〈</item>
      </candidateList>
      <explain>文本全半角错误。</explain>
      <paraID>51302FCF</paraID>
      <start>15</start>
      <end>16</end>
      <status>unmodified</status>
      <modifiedWord/>
      <trackRevisions>false</trackRevisions>
    </reviewItem>
    <reviewItem>
      <errorID>719b5b24-5bf2-4218-b40b-046ef7b3aea8</errorID>
      <errorWord>&gt;的通知》</errorWord>
      <group>L1_Punc</group>
      <groupName>标点问题</groupName>
      <ability>L2_Punc</ability>
      <abilityName>标点符号检查</abilityName>
      <candidateList>
        <item>〉的通知》</item>
      </candidateList>
      <explain/>
      <paraID>51302FCF</paraID>
      <start>32</start>
      <end>37</end>
      <status>unmodified</status>
      <modifiedWord/>
      <trackRevisions>false</trackRevisions>
    </reviewItem>
    <reviewItem>
      <errorID>6f866e8d-1c47-48bf-a8cc-58ee69091bd3</errorID>
      <errorWord>(</errorWord>
      <group>L1_Format</group>
      <groupName>格式问题</groupName>
      <ability>L2_HalfPunc</ability>
      <abilityName>全半角检查</abilityName>
      <candidateList>
        <item>（</item>
      </candidateList>
      <explain>文本全半角错误。</explain>
      <paraID> ACF0FBF</paraID>
      <start>53</start>
      <end>54</end>
      <status>unmodified</status>
      <modifiedWord/>
      <trackRevisions>false</trackRevisions>
    </reviewItem>
    <reviewItem>
      <errorID>70a5e31b-1ccc-487b-b1be-7efc2c8e3814</errorID>
      <errorWord>)(</errorWord>
      <group>L1_Format</group>
      <groupName>格式问题</groupName>
      <ability>L2_HalfPunc</ability>
      <abilityName>全半角检查</abilityName>
      <candidateList>
        <item>）（</item>
      </candidateList>
      <explain>文本全半角错误。</explain>
      <paraID> ACF0FBF</paraID>
      <start>59</start>
      <end>61</end>
      <status>unmodified</status>
      <modifiedWord/>
      <trackRevisions>false</trackRevisions>
    </reviewItem>
    <reviewItem>
      <errorID>81c584f3-6c28-439c-929c-4bc52b71dd6d</errorID>
      <errorWord>)</errorWord>
      <group>L1_Format</group>
      <groupName>格式问题</groupName>
      <ability>L2_HalfPunc</ability>
      <abilityName>全半角检查</abilityName>
      <candidateList>
        <item>）</item>
      </candidateList>
      <explain>文本全半角错误。</explain>
      <paraID> ACF0FBF</paraID>
      <start>70</start>
      <end>71</end>
      <status>unmodified</status>
      <modifiedWord/>
      <trackRevisions>false</trackRevisions>
    </reviewItem>
    <reviewItem>
      <errorID>ea35adca-2e7e-4a69-a6c5-a51137da42ac</errorID>
      <errorWord>(</errorWord>
      <group>L1_Format</group>
      <groupName>格式问题</groupName>
      <ability>L2_HalfPunc</ability>
      <abilityName>全半角检查</abilityName>
      <candidateList>
        <item>（</item>
      </candidateList>
      <explain>文本全半角错误。</explain>
      <paraID> ACF0FBF</paraID>
      <start>100</start>
      <end>101</end>
      <status>unmodified</status>
      <modifiedWord/>
      <trackRevisions>false</trackRevisions>
    </reviewItem>
    <reviewItem>
      <errorID>49285f89-bd95-4745-96fd-b0b88a3ca5f6</errorID>
      <errorWord>)(</errorWord>
      <group>L1_Format</group>
      <groupName>格式问题</groupName>
      <ability>L2_HalfPunc</ability>
      <abilityName>全半角检查</abilityName>
      <candidateList>
        <item>）（</item>
      </candidateList>
      <explain>文本全半角错误。</explain>
      <paraID> ACF0FBF</paraID>
      <start>108</start>
      <end>110</end>
      <status>unmodified</status>
      <modifiedWord/>
      <trackRevisions>false</trackRevisions>
    </reviewItem>
    <reviewItem>
      <errorID>e738c6e0-4d96-4fc6-b9d3-0eefebe89dc6</errorID>
      <errorWord>)</errorWord>
      <group>L1_Format</group>
      <groupName>格式问题</groupName>
      <ability>L2_HalfPunc</ability>
      <abilityName>全半角检查</abilityName>
      <candidateList>
        <item>）</item>
      </candidateList>
      <explain>文本全半角错误。</explain>
      <paraID> ACF0FBF</paraID>
      <start>119</start>
      <end>120</end>
      <status>unmodified</status>
      <modifiedWord/>
      <trackRevisions>false</trackRevisions>
    </reviewItem>
    <reviewItem>
      <errorID>41afae72-b319-424b-902c-631e32cfa84b</errorID>
      <errorWord>)</errorWord>
      <group>L1_Format</group>
      <groupName>格式问题</groupName>
      <ability>L2_HalfPunc</ability>
      <abilityName>全半角检查</abilityName>
      <candidateList>
        <item>）</item>
      </candidateList>
      <explain>文本全半角错误。</explain>
      <paraID> ACF0FBF</paraID>
      <start>200</start>
      <end>201</end>
      <status>unmodified</status>
      <modifiedWord/>
      <trackRevisions>false</trackRevisions>
    </reviewItem>
    <reviewItem>
      <errorID>14ef3f7a-5d34-43cb-b127-7ffb4da1ec7c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31DF4A9C</paraID>
      <start>0</start>
      <end>2</end>
      <status>unmodified</status>
      <modifiedWord/>
      <trackRevisions>false</trackRevisions>
    </reviewItem>
    <reviewItem>
      <errorID>c30defec-400a-4cf2-bed1-f529661c32e6</errorID>
      <errorWord>县（市）区</errorWord>
      <group>L1_Word</group>
      <groupName>字词问题</groupName>
      <ability>L2_Typo</ability>
      <abilityName>字词错误</abilityName>
      <candidateList>
        <item>县（市、区）</item>
      </candidateList>
      <explain/>
      <paraID>2F43B825</paraID>
      <start>110</start>
      <end>115</end>
      <status>unmodified</status>
      <modifiedWord/>
      <trackRevisions>false</trackRevisions>
    </reviewItem>
    <reviewItem>
      <errorID>f9e8bc70-1a15-4377-9d1e-11f6a9b6e10e</errorID>
      <errorWord>的联接</errorWord>
      <group>L1_Word</group>
      <groupName>字词问题</groupName>
      <ability>L2_Variant</ability>
      <abilityName>异形词</abilityName>
      <candidateList>
        <item>的连接</item>
      </candidateList>
      <explain>词汇[的联接]的规范词形写作[的连接]。</explain>
      <paraID>6F56E2DC</paraID>
      <start>12</start>
      <end>15</end>
      <status>unmodified</status>
      <modifiedWord/>
      <trackRevisions>false</trackRevisions>
    </reviewItem>
    <reviewItem>
      <errorID>b5f0d612-1b15-4bc4-af8f-ffdd6177d6c7</errorID>
      <errorWord>各</errorWord>
      <group>L1_Word</group>
      <groupName>字词问题</groupName>
      <ability>L2_Typo</ability>
      <abilityName>字词错误</abilityName>
      <candidateList>
        <item>各项</item>
      </candidateList>
      <explain/>
      <paraID>6F56E2DC</paraID>
      <start>108</start>
      <end>109</end>
      <status>unmodified</status>
      <modifiedWord/>
      <trackRevisions>false</trackRevisions>
    </reviewItem>
    <reviewItem>
      <errorID>b33cb065-c5d8-4a40-9f5d-bbe93d2e24c2</errorID>
      <errorWord>1万3千</errorWord>
      <group>L1_Knowledge</group>
      <groupName>知识性问题</groupName>
      <ability>L2_Knowledge</ability>
      <abilityName>其他知识</abilityName>
      <candidateList>
        <item>1万3000</item>
      </candidateList>
      <explain/>
      <paraID>34E88CFD</paraID>
      <start>21</start>
      <end>25</end>
      <status>unmodified</status>
      <modifiedWord/>
      <trackRevisions>false</trackRevisions>
    </reviewItem>
    <reviewItem>
      <errorID>dbb2659a-0ac5-4abf-9019-70f7f00938f4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69CFDE96</paraID>
      <start>34</start>
      <end>35</end>
      <status>unmodified</status>
      <modifiedWord/>
      <trackRevisions>false</trackRevisions>
    </reviewItem>
    <reviewItem>
      <errorID>ead64ead-ea04-4475-a1dc-7beea83eca6c</errorID>
      <errorWord>县（市）区</errorWord>
      <group>L1_Punc</group>
      <groupName>标点问题</groupName>
      <ability>L2_Punc</ability>
      <abilityName>标点符号检查</abilityName>
      <candidateList>
        <item>县（市、区）</item>
      </candidateList>
      <explain/>
      <paraID>412B480B</paraID>
      <start>67</start>
      <end>72</end>
      <status>unmodified</status>
      <modifiedWord/>
      <trackRevisions>false</trackRevisions>
    </reviewItem>
    <reviewItem>
      <errorID>8113f23e-f519-4a8b-b4c1-441a9ae17486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455BA114</paraID>
      <start>0</start>
      <end>2</end>
      <status>unmodified</status>
      <modifiedWord/>
      <trackRevisions>false</trackRevisions>
    </reviewItem>
    <reviewItem>
      <errorID>6fad7d34-ab36-4743-9534-51ae312782eb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468D7F37</paraID>
      <start>0</start>
      <end>2</end>
      <status>unmodified</status>
      <modifiedWord/>
      <trackRevisions>false</trackRevisions>
    </reviewItem>
    <reviewItem>
      <errorID>1e0ba529-87d6-4a29-b912-4621bced81e9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12C4DC60</paraID>
      <start>0</start>
      <end>2</end>
      <status>unmodified</status>
      <modifiedWord/>
      <trackRevisions>false</trackRevisions>
    </reviewItem>
    <reviewItem>
      <errorID>b1484fd0-b2ba-4b51-b729-5f6b4c705bcf</errorID>
      <errorWord>；</errorWord>
      <group>L1_Word</group>
      <groupName>字词问题</groupName>
      <ability>L2_Typo</ability>
      <abilityName>字词错误</abilityName>
      <candidateList>
        <item>；在</item>
      </candidateList>
      <explain/>
      <paraID>38F561E5</paraID>
      <start>60</start>
      <end>61</end>
      <status>unmodified</status>
      <modifiedWord/>
      <trackRevisions>false</trackRevisions>
    </reviewItem>
    <reviewItem>
      <errorID>f9d74473-3077-426b-9523-59d44472291c</errorID>
      <errorWord>衔结</errorWord>
      <group>L1_Word</group>
      <groupName>字词问题</groupName>
      <ability>L2_Typo</ability>
      <abilityName>字词错误</abilityName>
      <candidateList>
        <item>衔接</item>
      </candidateList>
      <explain>〈动〉事物相连接：两个阶段必须～起来。</explain>
      <paraID>3A7CCF5C</paraID>
      <start>27</start>
      <end>29</end>
      <status>unmodified</status>
      <modifiedWord/>
      <trackRevisions>false</trackRevisions>
    </reviewItem>
    <reviewItem>
      <errorID>686a574f-f81d-49d6-858c-6b06addfe37d</errorID>
      <errorWord>参与</errorWord>
      <group>L1_Word</group>
      <groupName>字词问题</groupName>
      <ability>L2_Typo</ability>
      <abilityName>字词错误</abilityName>
      <candidateList>
        <item>与</item>
      </candidateList>
      <explain>（舆）yù参与：～会。</explain>
      <paraID>7C0E5968</paraID>
      <start>2</start>
      <end>4</end>
      <status>unmodified</status>
      <modifiedWord/>
      <trackRevisions>false</trackRevisions>
    </reviewItem>
    <reviewItem>
      <errorID>55322e09-ba22-4506-b8b4-c1dc467400be</errorID>
      <errorWord>（</errorWord>
      <group>L1_Punc</group>
      <groupName>标点问题</groupName>
      <ability>L2_Punc</ability>
      <abilityName>标点符号检查</abilityName>
      <candidateList/>
      <explain>同一形式括号套用。</explain>
      <paraID>10DD800C</paraID>
      <start>94</start>
      <end>95</end>
      <status>unmodified</status>
      <modifiedWord/>
      <trackRevisions>false</trackRevisions>
    </reviewItem>
    <reviewItem>
      <errorID>5e0d0344-164c-49fe-891e-164a17af652d</errorID>
      <errorWord>）</errorWord>
      <group>L1_Punc</group>
      <groupName>标点问题</groupName>
      <ability>L2_Punc</ability>
      <abilityName>标点符号检查</abilityName>
      <candidateList/>
      <explain>同一形式括号套用。</explain>
      <paraID>10DD800C</paraID>
      <start>98</start>
      <end>99</end>
      <status>unmodified</status>
      <modifiedWord/>
      <trackRevisions>false</trackRevisions>
    </reviewItem>
    <reviewItem>
      <errorID>7235130c-abfb-41b9-9fba-9adc1614765b</errorID>
      <errorWord>2025年01月</errorWord>
      <group>L1_Knowledge</group>
      <groupName>知识性问题</groupName>
      <ability>L2_Time</ability>
      <abilityName>日期时间</abilityName>
      <candidateList>
        <item>2025年1月</item>
      </candidateList>
      <explain>根据日常书写习惯，月份一般会省略前导零。</explain>
      <paraID>75F2C97E</paraID>
      <start>14</start>
      <end>22</end>
      <status>unmodified</status>
      <modifiedWord/>
      <trackRevisions>false</trackRevisions>
    </reviewItem>
    <reviewItem>
      <errorID>51cbc80f-d62d-4ca1-abc7-f235a70169c7</errorID>
      <errorWord>2025年01月</errorWord>
      <group>L1_Knowledge</group>
      <groupName>知识性问题</groupName>
      <ability>L2_Time</ability>
      <abilityName>日期时间</abilityName>
      <candidateList>
        <item>2025年1月</item>
      </candidateList>
      <explain>根据日常书写习惯，月份一般会省略前导零。</explain>
      <paraID>6DFB3500</paraID>
      <start>14</start>
      <end>22</end>
      <status>unmodified</status>
      <modifiedWord/>
      <trackRevisions>false</trackRevisions>
    </reviewItem>
    <reviewItem>
      <errorID>919c46b8-0045-4ddd-82f4-6f8e804165cc</errorID>
      <errorWord>[2014]68号</errorWord>
      <group>L1_Knowledge</group>
      <groupName>知识性问题</groupName>
      <ability>L2_Knowledge</ability>
      <abilityName>其他知识</abilityName>
      <candidateList>
        <item>〔2014〕68号</item>
      </candidateList>
      <explain>发文字号格式错误。</explain>
      <paraID>220BDB5C</paraID>
      <start>58</start>
      <end>67</end>
      <status>unmodified</status>
      <modifiedWord/>
      <trackRevisions>false</trackRevisions>
    </reviewItem>
    <reviewItem>
      <errorID>55d8c31d-657d-49c7-a86b-b9035c321afc</errorID>
      <errorWord>〔2017〕 141号</errorWord>
      <group>L1_Knowledge</group>
      <groupName>知识性问题</groupName>
      <ability>L2_Knowledge</ability>
      <abilityName>其他知识</abilityName>
      <candidateList>
        <item>〔2017〕141号</item>
      </candidateList>
      <explain>发文字号格式错误。</explain>
      <paraID>5A0ABF89</paraID>
      <start>49</start>
      <end>60</end>
      <status>unmodified</status>
      <modifiedWord/>
      <trackRevisions>false</trackRevisions>
    </reviewItem>
    <reviewItem>
      <errorID>d893c943-2864-4fd7-8cbf-e5061611eb13</errorID>
      <errorWord>(</errorWord>
      <group>L1_Format</group>
      <groupName>格式问题</groupName>
      <ability>L2_HalfPunc</ability>
      <abilityName>全半角检查</abilityName>
      <candidateList>
        <item>（</item>
      </candidateList>
      <explain>文本全半角错误。</explain>
      <paraID>47A3FED9</paraID>
      <start>36</start>
      <end>37</end>
      <status>unmodified</status>
      <modifiedWord/>
      <trackRevisions>false</trackRevisions>
    </reviewItem>
    <reviewItem>
      <errorID>0e498c71-2c0d-4f0d-bd13-03946547805c</errorID>
      <errorWord>)</errorWord>
      <group>L1_Format</group>
      <groupName>格式问题</groupName>
      <ability>L2_HalfPunc</ability>
      <abilityName>全半角检查</abilityName>
      <candidateList>
        <item>）</item>
      </candidateList>
      <explain>文本全半角错误。</explain>
      <paraID>47A3FED9</paraID>
      <start>46</start>
      <end>47</end>
      <status>unmodified</status>
      <modifiedWord/>
      <trackRevisions>false</trackRevisions>
    </reviewItem>
    <reviewItem>
      <errorID>794f9795-14d4-4e9e-ae92-8821e385484c</errorID>
      <errorWord>(</errorWord>
      <group>L1_Format</group>
      <groupName>格式问题</groupName>
      <ability>L2_HalfPunc</ability>
      <abilityName>全半角检查</abilityName>
      <candidateList>
        <item>（</item>
      </candidateList>
      <explain>文本全半角错误。</explain>
      <paraID>40128C77</paraID>
      <start>30</start>
      <end>31</end>
      <status>unmodified</status>
      <modifiedWord/>
      <trackRevisions>false</trackRevisions>
    </reviewItem>
    <reviewItem>
      <errorID>9f40e45d-b397-445c-97b5-506140baaf19</errorID>
      <errorWord>)</errorWord>
      <group>L1_Format</group>
      <groupName>格式问题</groupName>
      <ability>L2_HalfPunc</ability>
      <abilityName>全半角检查</abilityName>
      <candidateList>
        <item>）</item>
      </candidateList>
      <explain>文本全半角错误。</explain>
      <paraID>40128C77</paraID>
      <start>34</start>
      <end>35</end>
      <status>unmodified</status>
      <modifiedWord/>
      <trackRevisions>false</trackRevisions>
    </reviewItem>
    <reviewItem>
      <errorID>e1de16c6-f50f-430e-b993-65353dcfb679</errorID>
      <errorWord>予</errorWord>
      <group>L1_Word</group>
      <groupName>字词问题</groupName>
      <ability>L2_Typo</ability>
      <abilityName>字词错误</abilityName>
      <candidateList>
        <item>予以</item>
      </candidateList>
      <explain>〈动〉给以：～支持｜～警告｜～表扬｜～批评。</explain>
      <paraID>49B9F6DF</paraID>
      <start>136</start>
      <end>137</end>
      <status>unmodified</status>
      <modifiedWord/>
      <trackRevisions>false</trackRevisions>
    </reviewItem>
    <reviewItem>
      <errorID>24bc4457-c825-44ed-9f91-3fd50abcbffd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5D48EC7A</paraID>
      <start>25</start>
      <end>28</end>
      <status>unmodified</status>
      <modifiedWord/>
      <trackRevisions>false</trackRevisions>
    </reviewItem>
    <reviewItem>
      <errorID>46f3cb47-f843-4e20-872a-4702ab68a69c</errorID>
      <errorWord>(</errorWord>
      <group>L1_Format</group>
      <groupName>格式问题</groupName>
      <ability>L2_HalfPunc</ability>
      <abilityName>全半角检查</abilityName>
      <candidateList>
        <item>（</item>
      </candidateList>
      <explain>文本全半角错误。</explain>
      <paraID>2F018A55</paraID>
      <start>0</start>
      <end>1</end>
      <status>unmodified</status>
      <modifiedWord/>
      <trackRevisions>false</trackRevisions>
    </reviewItem>
    <reviewItem>
      <errorID>359f5545-9b5d-4094-9823-21e532331c12</errorID>
      <errorWord>)</errorWord>
      <group>L1_Format</group>
      <groupName>格式问题</groupName>
      <ability>L2_HalfPunc</ability>
      <abilityName>全半角检查</abilityName>
      <candidateList>
        <item>）</item>
      </candidateList>
      <explain>文本全半角错误。</explain>
      <paraID>2F018A55</paraID>
      <start>5</start>
      <end>6</end>
      <status>unmodified</status>
      <modifiedWord/>
      <trackRevisions>false</trackRevisions>
    </reviewItem>
    <reviewItem>
      <errorID>b805b33f-1650-40db-84d7-f598d4bbfc81</errorID>
      <errorWord>(</errorWord>
      <group>L1_Format</group>
      <groupName>格式问题</groupName>
      <ability>L2_HalfPunc</ability>
      <abilityName>全半角检查</abilityName>
      <candidateList>
        <item>（</item>
      </candidateList>
      <explain>文本全半角错误。</explain>
      <paraID>552472CE</paraID>
      <start>0</start>
      <end>1</end>
      <status>unmodified</status>
      <modifiedWord/>
      <trackRevisions>false</trackRevisions>
    </reviewItem>
    <reviewItem>
      <errorID>3943f5dc-c47f-4d5f-8844-7ba2519b82f1</errorID>
      <errorWord>)</errorWord>
      <group>L1_Format</group>
      <groupName>格式问题</groupName>
      <ability>L2_HalfPunc</ability>
      <abilityName>全半角检查</abilityName>
      <candidateList>
        <item>）</item>
      </candidateList>
      <explain>文本全半角错误。</explain>
      <paraID>552472CE</paraID>
      <start>5</start>
      <end>6</end>
      <status>unmodified</status>
      <modifiedWord/>
      <trackRevisions>false</trackRevisions>
    </reviewItem>
    <reviewItem>
      <errorID>af4c2173-d743-460a-8e21-3861ceffd787</errorID>
      <errorWord>(</errorWord>
      <group>L1_Format</group>
      <groupName>格式问题</groupName>
      <ability>L2_HalfPunc</ability>
      <abilityName>全半角检查</abilityName>
      <candidateList>
        <item>（</item>
      </candidateList>
      <explain>文本全半角错误。</explain>
      <paraID>15ED7A72</paraID>
      <start>0</start>
      <end>1</end>
      <status>unmodified</status>
      <modifiedWord/>
      <trackRevisions>false</trackRevisions>
    </reviewItem>
    <reviewItem>
      <errorID>16e7709d-54fe-45da-bbe5-b1f0c4d6b4b9</errorID>
      <errorWord>)</errorWord>
      <group>L1_Format</group>
      <groupName>格式问题</groupName>
      <ability>L2_HalfPunc</ability>
      <abilityName>全半角检查</abilityName>
      <candidateList>
        <item>）</item>
      </candidateList>
      <explain>文本全半角错误。</explain>
      <paraID>15ED7A72</paraID>
      <start>5</start>
      <end>6</end>
      <status>unmodified</status>
      <modifiedWord/>
      <trackRevisions>false</trackRevisions>
    </reviewItem>
    <reviewItem>
      <errorID>23f978c5-6c30-41f2-8c55-cfe63f28399f</errorID>
      <errorWord>(</errorWord>
      <group>L1_Format</group>
      <groupName>格式问题</groupName>
      <ability>L2_HalfPunc</ability>
      <abilityName>全半角检查</abilityName>
      <candidateList>
        <item>（</item>
      </candidateList>
      <explain>文本全半角错误。</explain>
      <paraID>1B86FCA9</paraID>
      <start>0</start>
      <end>1</end>
      <status>unmodified</status>
      <modifiedWord/>
      <trackRevisions>false</trackRevisions>
    </reviewItem>
    <reviewItem>
      <errorID>387fc869-ec45-4b50-968e-16ecd6a7c49b</errorID>
      <errorWord>)</errorWord>
      <group>L1_Format</group>
      <groupName>格式问题</groupName>
      <ability>L2_HalfPunc</ability>
      <abilityName>全半角检查</abilityName>
      <candidateList>
        <item>）</item>
      </candidateList>
      <explain>文本全半角错误。</explain>
      <paraID>1B86FCA9</paraID>
      <start>5</start>
      <end>6</end>
      <status>unmodified</status>
      <modifiedWord/>
      <trackRevisions>false</trackRevisions>
    </reviewItem>
    <reviewItem>
      <errorID>e2a83a65-8ea8-43d8-8ec4-745a4e9732c3</errorID>
      <errorWord>（</errorWord>
      <group>L1_Punc</group>
      <groupName>标点问题</groupName>
      <ability>L2_Punc</ability>
      <abilityName>标点符号检查</abilityName>
      <candidateList/>
      <explain>同一形式括号套用。</explain>
      <paraID>54797459</paraID>
      <start>108</start>
      <end>109</end>
      <status>unmodified</status>
      <modifiedWord/>
      <trackRevisions>false</trackRevisions>
    </reviewItem>
    <reviewItem>
      <errorID>286fd44e-2c82-4554-9eec-7e00d6c36e5b</errorID>
      <errorWord>）</errorWord>
      <group>L1_Punc</group>
      <groupName>标点问题</groupName>
      <ability>L2_Punc</ability>
      <abilityName>标点符号检查</abilityName>
      <candidateList/>
      <explain>同一形式括号套用。</explain>
      <paraID>54797459</paraID>
      <start>110</start>
      <end>111</end>
      <status>unmodified</status>
      <modifiedWord/>
      <trackRevisions>false</trackRevisions>
    </reviewItem>
    <reviewItem>
      <errorID>223d508e-bba3-4fd3-84a7-d314df12050c</errorID>
      <errorWord>须</errorWord>
      <group>L1_Word</group>
      <groupName>字词问题</groupName>
      <ability>L2_Typo</ability>
      <abilityName>字词错误</abilityName>
      <candidateList>
        <item>需</item>
      </candidateList>
      <explain>存在发音相同字词的误用。</explain>
      <paraID>6CE2B431</paraID>
      <start>7</start>
      <end>8</end>
      <status>unmodified</status>
      <modifiedWord/>
      <trackRevisions>false</trackRevisions>
    </reviewItem>
    <reviewItem>
      <errorID>62814e7d-c681-4f54-bf9b-76cd5a9151cc</errorID>
      <errorWord>（</errorWord>
      <group>L1_Punc</group>
      <groupName>标点问题</groupName>
      <ability>L2_Punc</ability>
      <abilityName>标点符号检查</abilityName>
      <candidateList/>
      <explain>同一形式括号套用。</explain>
      <paraID>6CE2B431</paraID>
      <start>113</start>
      <end>114</end>
      <status>unmodified</status>
      <modifiedWord/>
      <trackRevisions>false</trackRevisions>
    </reviewItem>
    <reviewItem>
      <errorID>e22a59e8-e421-481a-99b8-1b2b3b46e80d</errorID>
      <errorWord>）</errorWord>
      <group>L1_Punc</group>
      <groupName>标点问题</groupName>
      <ability>L2_Punc</ability>
      <abilityName>标点符号检查</abilityName>
      <candidateList/>
      <explain>同一形式括号套用。</explain>
      <paraID>6CE2B431</paraID>
      <start>115</start>
      <end>116</end>
      <status>unmodified</status>
      <modifiedWord/>
      <trackRevisions>false</trackRevisions>
    </reviewItem>
    <reviewItem>
      <errorID>35fce072-fee1-4339-8eaa-c24d926d0f6b</errorID>
      <errorWord>涉及到</errorWord>
      <group>L1_Grammar</group>
      <groupName>语法问题</groupName>
      <ability>L2_Grammar</ability>
      <abilityName>语法错误</abilityName>
      <candidateList>
        <item>涉及</item>
      </candidateList>
      <explain>〈动〉牵涉到；关联到：案子～好几个人｜这个问题～面很广。</explain>
      <paraID>128E4401</paraID>
      <start>11</start>
      <end>14</end>
      <status>unmodified</status>
      <modifiedWord/>
      <trackRevisions>false</trackRevisions>
    </reviewItem>
    <reviewItem>
      <errorID>44987bac-2059-4a99-8fe7-ea83714b3db1</errorID>
      <errorWord>涉及到</errorWord>
      <group>L1_Grammar</group>
      <groupName>语法问题</groupName>
      <ability>L2_Grammar</ability>
      <abilityName>语法错误</abilityName>
      <candidateList>
        <item>涉及</item>
      </candidateList>
      <explain>〈动〉牵涉到；关联到：案子～好几个人｜这个问题～面很广。</explain>
      <paraID>5E66AACC</paraID>
      <start>17</start>
      <end>20</end>
      <status>unmodified</status>
      <modifiedWord/>
      <trackRevisions>false</trackRevisions>
    </reviewItem>
    <reviewItem>
      <errorID>08b3f68c-358a-4b36-bf14-f9080cae60b1</errorID>
      <errorWord>县（市）区</errorWord>
      <group>L1_Word</group>
      <groupName>字词问题</groupName>
      <ability>L2_Typo</ability>
      <abilityName>字词错误</abilityName>
      <candidateList>
        <item>县（市、区）</item>
      </candidateList>
      <explain/>
      <paraID>74BE9251</paraID>
      <start>110</start>
      <end>115</end>
      <status>unmodified</status>
      <modifiedWord/>
      <trackRevisions>false</trackRevisions>
    </reviewItem>
    <reviewItem>
      <errorID>da9abafe-084e-4a18-b4d0-3d6a9c692463</errorID>
      <errorWord>的联接</errorWord>
      <group>L1_Word</group>
      <groupName>字词问题</groupName>
      <ability>L2_Variant</ability>
      <abilityName>异形词</abilityName>
      <candidateList>
        <item>的连接</item>
      </candidateList>
      <explain>词汇[的联接]的规范词形写作[的连接]。</explain>
      <paraID>1CAB538E</paraID>
      <start>12</start>
      <end>15</end>
      <status>unmodified</status>
      <modifiedWord/>
      <trackRevisions>false</trackRevisions>
    </reviewItem>
    <reviewItem>
      <errorID>a64e3435-34cf-4c0c-b3cf-2101c1355bb3</errorID>
      <errorWord>各</errorWord>
      <group>L1_Word</group>
      <groupName>字词问题</groupName>
      <ability>L2_Typo</ability>
      <abilityName>字词错误</abilityName>
      <candidateList>
        <item>各项</item>
      </candidateList>
      <explain/>
      <paraID>1CAB538E</paraID>
      <start>108</start>
      <end>109</end>
      <status>unmodified</status>
      <modifiedWord/>
      <trackRevisions>false</trackRevisions>
    </reviewItem>
    <reviewItem>
      <errorID>d7892669-8a88-445a-9b44-aeace90c3ff6</errorID>
      <errorWord>1万3千</errorWord>
      <group>L1_Knowledge</group>
      <groupName>知识性问题</groupName>
      <ability>L2_Knowledge</ability>
      <abilityName>其他知识</abilityName>
      <candidateList>
        <item>1万3000</item>
      </candidateList>
      <explain/>
      <paraID>4220C1C2</paraID>
      <start>21</start>
      <end>25</end>
      <status>unmodified</status>
      <modifiedWord/>
      <trackRevisions>false</trackRevisions>
    </reviewItem>
    <reviewItem>
      <errorID>7f7665f7-77a9-4e4d-adaa-24b8ec82e791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7AAF8B92</paraID>
      <start>34</start>
      <end>35</end>
      <status>unmodified</status>
      <modifiedWord/>
      <trackRevisions>false</trackRevisions>
    </reviewItem>
    <reviewItem>
      <errorID>ee77a3cc-ab23-4d1c-8f6b-70f3d529d105</errorID>
      <errorWord>县（市）区</errorWord>
      <group>L1_Punc</group>
      <groupName>标点问题</groupName>
      <ability>L2_Punc</ability>
      <abilityName>标点符号检查</abilityName>
      <candidateList>
        <item>县（市、区）</item>
      </candidateList>
      <explain/>
      <paraID>2350B75A</paraID>
      <start>67</start>
      <end>72</end>
      <status>unmodified</status>
      <modifiedWord/>
      <trackRevisions>false</trackRevisions>
    </reviewItem>
    <reviewItem>
      <errorID>f65aef5b-5d10-4db1-abfa-54ed5fe726c3</errorID>
      <errorWord>；</errorWord>
      <group>L1_Word</group>
      <groupName>字词问题</groupName>
      <ability>L2_Typo</ability>
      <abilityName>字词错误</abilityName>
      <candidateList>
        <item>；在</item>
      </candidateList>
      <explain/>
      <paraID> D0606A5</paraID>
      <start>57</start>
      <end>58</end>
      <status>unmodified</status>
      <modifiedWord/>
      <trackRevisions>false</trackRevisions>
    </reviewItem>
    <reviewItem>
      <errorID>69b06f03-5d8b-441f-a429-0a28b90ec6bd</errorID>
      <errorWord>前</errorWord>
      <group>L1_Word</group>
      <groupName>字词问题</groupName>
      <ability>L2_Typo</ability>
      <abilityName>字词错误</abilityName>
      <candidateList>
        <item>见</item>
      </candidateList>
      <explain/>
      <paraID>7190A47C</paraID>
      <start>4</start>
      <end>5</end>
      <status>unmodified</status>
      <modifiedWord/>
      <trackRevisions>false</trackRevisions>
    </reviewItem>
    <reviewItem>
      <errorID>83f40d0b-314c-4173-bced-abb20e689f0c</errorID>
      <errorWord>：</errorWord>
      <group>L1_Format</group>
      <groupName>格式问题</groupName>
      <ability>L2_HalfPunc</ability>
      <abilityName>全半角检查</abilityName>
      <candidateList>
        <item>:</item>
      </candidateList>
      <explain>文本全半角错误。</explain>
      <paraID>7FC1D850</paraID>
      <start>6</start>
      <end>7</end>
      <status>unmodified</status>
      <modifiedWord/>
      <trackRevisions>false</trackRevisions>
    </reviewItem>
    <reviewItem>
      <errorID>1b1f431e-b69f-4545-bc47-4c1ec17ed224</errorID>
      <errorWord>：</errorWord>
      <group>L1_Format</group>
      <groupName>格式问题</groupName>
      <ability>L2_HalfPunc</ability>
      <abilityName>全半角检查</abilityName>
      <candidateList>
        <item>:</item>
      </candidateList>
      <explain>文本全半角错误。</explain>
      <paraID>3FAC7947</paraID>
      <start>8</start>
      <end>9</end>
      <status>unmodified</status>
      <modifiedWord/>
      <trackRevisions>false</trackRevisions>
    </reviewItem>
    <reviewItem>
      <errorID>b69f7b8d-93f8-4051-9a4b-eb67246119fd</errorID>
      <errorWord>，…，</errorWord>
      <group>L1_Punc</group>
      <groupName>标点问题</groupName>
      <ability>L2_Punc</ability>
      <abilityName>标点符号检查</abilityName>
      <candidateList>
        <item>，</item>
      </candidateList>
      <explain/>
      <paraID>190A34A0</paraID>
      <start>13</start>
      <end>16</end>
      <status>unmodified</status>
      <modifiedWord/>
      <trackRevisions>false</trackRevisions>
    </reviewItem>
    <reviewItem>
      <errorID>8982e1ef-8532-4c44-9624-dcf276b3a2de</errorID>
      <errorWord>，…，</errorWord>
      <group>L1_Punc</group>
      <groupName>标点问题</groupName>
      <ability>L2_Punc</ability>
      <abilityName>标点符号检查</abilityName>
      <candidateList>
        <item>，</item>
      </candidateList>
      <explain/>
      <paraID>45A63337</paraID>
      <start>5</start>
      <end>8</end>
      <status>unmodified</status>
      <modifiedWord/>
      <trackRevisions>false</trackRevisions>
    </reviewItem>
    <reviewItem>
      <errorID>2a51aebe-c736-4b89-bfc9-90e990823f0a</errorID>
      <errorWord>)</errorWord>
      <group>L1_Format</group>
      <groupName>格式问题</groupName>
      <ability>L2_HalfPunc</ability>
      <abilityName>全半角检查</abilityName>
      <candidateList>
        <item>）</item>
      </candidateList>
      <explain>文本全半角错误。</explain>
      <paraID> 217EB37</paraID>
      <start>157</start>
      <end>158</end>
      <status>unmodified</status>
      <modifiedWord/>
      <trackRevisions>false</trackRevisions>
    </reviewItem>
    <reviewItem>
      <errorID>1e57cbd9-31ab-481a-ad68-83917fc93734</errorID>
      <errorWord>)</errorWord>
      <group>L1_Format</group>
      <groupName>格式问题</groupName>
      <ability>L2_HalfPunc</ability>
      <abilityName>全半角检查</abilityName>
      <candidateList>
        <item>）</item>
      </candidateList>
      <explain>文本全半角错误。</explain>
      <paraID>5E71E874</paraID>
      <start>157</start>
      <end>158</end>
      <status>unmodified</status>
      <modifiedWord/>
      <trackRevisions>false</trackRevisions>
    </reviewItem>
    <reviewItem>
      <errorID>0b56aa5b-4476-4802-b82c-3d433c6d2ca7</errorID>
      <errorWord>)</errorWord>
      <group>L1_Format</group>
      <groupName>格式问题</groupName>
      <ability>L2_HalfPunc</ability>
      <abilityName>全半角检查</abilityName>
      <candidateList>
        <item>）</item>
      </candidateList>
      <explain>文本全半角错误。</explain>
      <paraID>22A64161</paraID>
      <start>157</start>
      <end>158</end>
      <status>unmodified</status>
      <modifiedWord/>
      <trackRevisions>false</trackRevisions>
    </reviewItem>
    <reviewItem>
      <errorID>25f74dd1-3d45-45dc-acf0-42f7d8cdeac0</errorID>
      <errorWord>)</errorWord>
      <group>L1_Format</group>
      <groupName>格式问题</groupName>
      <ability>L2_HalfPunc</ability>
      <abilityName>全半角检查</abilityName>
      <candidateList>
        <item>）</item>
      </candidateList>
      <explain>文本全半角错误。</explain>
      <paraID>5CDE4984</paraID>
      <start>157</start>
      <end>158</end>
      <status>unmodified</status>
      <modifiedWord/>
      <trackRevisions>false</trackRevisions>
    </reviewItem>
    <reviewItem>
      <errorID>bd9aaa7c-01f9-47b1-b9ec-cbc3674d4df1</errorID>
      <errorWord>)</errorWord>
      <group>L1_Format</group>
      <groupName>格式问题</groupName>
      <ability>L2_HalfPunc</ability>
      <abilityName>全半角检查</abilityName>
      <candidateList>
        <item>）</item>
      </candidateList>
      <explain>文本全半角错误。</explain>
      <paraID>13AC65BF</paraID>
      <start>157</start>
      <end>158</end>
      <status>unmodified</status>
      <modifiedWord/>
      <trackRevisions>false</trackRevisions>
    </reviewItem>
    <reviewItem>
      <errorID>b08dd6bb-0b64-42f3-98b5-06754fd7183b</errorID>
      <errorWord>(</errorWord>
      <group>L1_Format</group>
      <groupName>格式问题</groupName>
      <ability>L2_HalfPunc</ability>
      <abilityName>全半角检查</abilityName>
      <candidateList>
        <item>（</item>
      </candidateList>
      <explain>文本全半角错误。</explain>
      <paraID>7B488C00</paraID>
      <start>17</start>
      <end>18</end>
      <status>unmodified</status>
      <modifiedWord/>
      <trackRevisions>false</trackRevisions>
    </reviewItem>
    <reviewItem>
      <errorID>d6fcd8c4-144f-41a1-a61a-24fc7e63ea3f</errorID>
      <errorWord>)</errorWord>
      <group>L1_Format</group>
      <groupName>格式问题</groupName>
      <ability>L2_HalfPunc</ability>
      <abilityName>全半角检查</abilityName>
      <candidateList>
        <item>）</item>
      </candidateList>
      <explain>文本全半角错误。</explain>
      <paraID>7B488C00</paraID>
      <start>22</start>
      <end>23</end>
      <status>unmodified</status>
      <modifiedWord/>
      <trackRevisions>false</trackRevisions>
    </reviewItem>
    <reviewItem>
      <errorID>ef6f63e0-0145-48a9-8c6f-34f5ab022f2a</errorID>
      <errorWord>)</errorWord>
      <group>L1_Format</group>
      <groupName>格式问题</groupName>
      <ability>L2_HalfPunc</ability>
      <abilityName>全半角检查</abilityName>
      <candidateList>
        <item>）</item>
      </candidateList>
      <explain>文本全半角错误。</explain>
      <paraID>4EA3959F</paraID>
      <start>156</start>
      <end>157</end>
      <status>unmodified</status>
      <modifiedWord/>
      <trackRevisions>false</trackRevisions>
    </reviewItem>
    <reviewItem>
      <errorID>d444ba52-94de-408f-ac50-230e19ed975f</errorID>
      <errorWord>文件中</errorWord>
      <group>L1_Word</group>
      <groupName>字词问题</groupName>
      <ability>L2_Typo</ability>
      <abilityName>字词错误</abilityName>
      <candidateList>
        <item>文件</item>
      </candidateList>
      <explain/>
      <paraID>2DB19819</paraID>
      <start>47</start>
      <end>50</end>
      <status>unmodified</status>
      <modifiedWord/>
      <trackRevisions>false</trackRevisions>
    </reviewItem>
    <reviewItem>
      <errorID>5ce98dc0-b184-49f2-b3ea-d2667b05baab</errorID>
      <errorWord>间</errorWord>
      <group>L1_Word</group>
      <groupName>字词问题</groupName>
      <ability>L2_Typo</ability>
      <abilityName>字词错误</abilityName>
      <candidateList>
        <item>间内</item>
      </candidateList>
      <explain/>
      <paraID>6CA344EE</paraID>
      <start>83</start>
      <end>84</end>
      <status>unmodified</status>
      <modifiedWord/>
      <trackRevisions>false</trackRevisions>
    </reviewItem>
    <reviewItem>
      <errorID>eca2a30f-0c37-43ef-aea1-36c9664540c6</errorID>
      <errorWord>做出</errorWord>
      <group>L1_Word</group>
      <groupName>字词问题</groupName>
      <ability>L2_Typo</ability>
      <abilityName>字词错误</abilityName>
      <candidateList>
        <item>作出</item>
      </candidateList>
      <explain/>
      <paraID>20CAE85F</paraID>
      <start>63</start>
      <end>65</end>
      <status>unmodified</status>
      <modifiedWord/>
      <trackRevisions>false</trackRevisions>
    </reviewItem>
    <reviewItem>
      <errorID>2bf3af0c-9398-47ed-80d2-0722648cdadf</errorID>
      <errorWord>，</errorWord>
      <group>L1_Word</group>
      <groupName>字词问题</groupName>
      <ability>L2_Typo</ability>
      <abilityName>字词错误</abilityName>
      <candidateList>
        <item>，并</item>
      </candidateList>
      <explain/>
      <paraID>2C99D858</paraID>
      <start>61</start>
      <end>62</end>
      <status>unmodified</status>
      <modifiedWord/>
      <trackRevisions>false</trackRevisions>
    </reviewItem>
  </reviewItems>
  <config/>
</contractReview>
</file>

<file path=customXml/itemProps1.xml><?xml version="1.0" encoding="utf-8"?>
<ds:datastoreItem xmlns:ds="http://schemas.openxmlformats.org/officeDocument/2006/customXml" ds:itemID="{8c00478e-481a-4d50-8e2c-08b0930ac249}">
  <ds:schemaRefs/>
</ds:datastoreItem>
</file>

<file path=docProps/app.xml><?xml version="1.0" encoding="utf-8"?>
<Properties xmlns="http://schemas.openxmlformats.org/officeDocument/2006/extended-properties" xmlns:vt="http://schemas.openxmlformats.org/officeDocument/2006/docPropsVTypes">
  <Template>Normal.eit</Template>
  <Company>Users</Company>
  <Pages>63</Pages>
  <Words>19775</Words>
  <Characters>21438</Characters>
  <Lines>1</Lines>
  <Paragraphs>0</Paragraphs>
  <TotalTime>14</TotalTime>
  <ScaleCrop>false</ScaleCrop>
  <LinksUpToDate>false</LinksUpToDate>
  <CharactersWithSpaces>21545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2024-03-06T18:39:00Z</dcterms:created>
  <dc:creator>Windows 用户</dc:creator>
  <cp:lastModifiedBy>李腾芳</cp:lastModifiedBy>
  <cp:lastPrinted>2026-01-26T13:44:00Z</cp:lastPrinted>
  <dcterms:modified xsi:type="dcterms:W3CDTF">2026-05-11T07:46:41Z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767175E2B29144C1898D787667A6110C_13</vt:lpwstr>
  </property>
  <property fmtid="{D5CDD505-2E9C-101B-9397-08002B2CF9AE}" pid="4" name="KSOTemplateDocerSaveRecord">
    <vt:lpwstr>eyJoZGlkIjoiMjJmYTY2NWIxMjczY2E4MzdkNzQ5MjhhOGZkNTQyNDciLCJ1c2VySWQiOiIyNjIxMTQ4ODEifQ==</vt:lpwstr>
  </property>
</Properties>
</file>