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249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8"/>
          <w:szCs w:val="48"/>
          <w:highlight w:val="none"/>
          <w:lang w:eastAsia="zh-CN"/>
        </w:rPr>
      </w:pPr>
    </w:p>
    <w:p w14:paraId="14C659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陇川县2026年职业教育能力提升项目</w:t>
      </w:r>
    </w:p>
    <w:p w14:paraId="36D0AE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（制衣设备）</w:t>
      </w:r>
    </w:p>
    <w:p w14:paraId="71DF8294">
      <w:pPr>
        <w:rPr>
          <w:rFonts w:ascii="仿宋" w:hAnsi="仿宋" w:eastAsia="仿宋" w:cs="仿宋"/>
          <w:b/>
          <w:bCs/>
          <w:color w:val="auto"/>
          <w:sz w:val="72"/>
          <w:szCs w:val="72"/>
          <w:highlight w:val="none"/>
        </w:rPr>
      </w:pPr>
    </w:p>
    <w:p w14:paraId="175AC897">
      <w:pPr>
        <w:rPr>
          <w:rFonts w:ascii="仿宋" w:hAnsi="仿宋" w:eastAsia="仿宋" w:cs="仿宋"/>
          <w:b/>
          <w:bCs/>
          <w:color w:val="auto"/>
          <w:sz w:val="72"/>
          <w:szCs w:val="72"/>
          <w:highlight w:val="none"/>
        </w:rPr>
      </w:pPr>
      <w:bookmarkStart w:id="118" w:name="_GoBack"/>
      <w:bookmarkEnd w:id="118"/>
    </w:p>
    <w:p w14:paraId="459157CE">
      <w:pPr>
        <w:jc w:val="center"/>
        <w:rPr>
          <w:rFonts w:ascii="仿宋" w:hAnsi="仿宋" w:eastAsia="仿宋" w:cs="仿宋"/>
          <w:b/>
          <w:bCs/>
          <w:color w:val="auto"/>
          <w:sz w:val="72"/>
          <w:szCs w:val="72"/>
          <w:highlight w:val="none"/>
        </w:rPr>
      </w:pPr>
    </w:p>
    <w:p w14:paraId="4137C112">
      <w:pPr>
        <w:jc w:val="center"/>
        <w:rPr>
          <w:rFonts w:ascii="仿宋" w:hAnsi="仿宋" w:eastAsia="仿宋" w:cs="仿宋"/>
          <w:b/>
          <w:bCs/>
          <w:color w:val="auto"/>
          <w:sz w:val="52"/>
          <w:szCs w:val="52"/>
          <w:highlight w:val="none"/>
        </w:rPr>
      </w:pPr>
      <w:r>
        <w:rPr>
          <w:rFonts w:hint="eastAsia" w:ascii="仿宋" w:hAnsi="仿宋" w:eastAsia="仿宋" w:cs="仿宋"/>
          <w:b/>
          <w:bCs/>
          <w:color w:val="auto"/>
          <w:sz w:val="72"/>
          <w:szCs w:val="72"/>
          <w:highlight w:val="none"/>
        </w:rPr>
        <w:t>招标文件</w:t>
      </w:r>
    </w:p>
    <w:p w14:paraId="44CDF598">
      <w:pPr>
        <w:ind w:firstLine="1303" w:firstLineChars="543"/>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b/>
      </w:r>
    </w:p>
    <w:p w14:paraId="77D8F48B">
      <w:pPr>
        <w:ind w:firstLine="1303" w:firstLineChars="54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FD2B2DA">
      <w:pPr>
        <w:spacing w:line="46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4172C412">
      <w:pPr>
        <w:spacing w:line="4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167CE780">
      <w:pPr>
        <w:spacing w:line="46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2FF5D6FB">
      <w:pPr>
        <w:spacing w:line="460" w:lineRule="exact"/>
        <w:rPr>
          <w:rFonts w:ascii="仿宋" w:hAnsi="仿宋" w:eastAsia="仿宋" w:cs="仿宋"/>
          <w:b/>
          <w:color w:val="auto"/>
          <w:sz w:val="30"/>
          <w:szCs w:val="30"/>
          <w:highlight w:val="none"/>
        </w:rPr>
      </w:pPr>
      <w:r>
        <w:rPr>
          <w:rFonts w:hint="eastAsia" w:ascii="仿宋" w:hAnsi="仿宋" w:eastAsia="仿宋" w:cs="仿宋"/>
          <w:color w:val="auto"/>
          <w:sz w:val="32"/>
          <w:szCs w:val="32"/>
          <w:highlight w:val="none"/>
        </w:rPr>
        <w:t xml:space="preserve"> </w:t>
      </w:r>
    </w:p>
    <w:p w14:paraId="2F6872F1">
      <w:pPr>
        <w:autoSpaceDE w:val="0"/>
        <w:spacing w:line="720" w:lineRule="auto"/>
        <w:ind w:firstLine="602" w:firstLineChars="200"/>
        <w:outlineLvl w:val="0"/>
        <w:rPr>
          <w:rFonts w:hint="eastAsia" w:ascii="仿宋" w:hAnsi="仿宋" w:eastAsia="仿宋" w:cs="仿宋"/>
          <w:b/>
          <w:color w:val="auto"/>
          <w:sz w:val="30"/>
          <w:szCs w:val="30"/>
          <w:highlight w:val="none"/>
        </w:rPr>
      </w:pPr>
    </w:p>
    <w:p w14:paraId="1B263867">
      <w:pPr>
        <w:autoSpaceDE w:val="0"/>
        <w:spacing w:line="720" w:lineRule="auto"/>
        <w:ind w:firstLine="602" w:firstLineChars="200"/>
        <w:outlineLvl w:val="0"/>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招标编号：</w:t>
      </w:r>
      <w:r>
        <w:rPr>
          <w:rFonts w:hint="eastAsia" w:ascii="仿宋" w:hAnsi="仿宋" w:eastAsia="仿宋" w:cs="仿宋"/>
          <w:b/>
          <w:color w:val="auto"/>
          <w:sz w:val="30"/>
          <w:szCs w:val="30"/>
          <w:highlight w:val="none"/>
          <w:lang w:eastAsia="zh-CN"/>
        </w:rPr>
        <w:t>德润招（202</w:t>
      </w:r>
      <w:r>
        <w:rPr>
          <w:rFonts w:hint="eastAsia" w:ascii="仿宋" w:hAnsi="仿宋" w:eastAsia="仿宋" w:cs="仿宋"/>
          <w:b/>
          <w:color w:val="auto"/>
          <w:sz w:val="30"/>
          <w:szCs w:val="30"/>
          <w:highlight w:val="none"/>
          <w:lang w:val="en-US" w:eastAsia="zh-CN"/>
        </w:rPr>
        <w:t>6</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046</w:t>
      </w:r>
    </w:p>
    <w:p w14:paraId="5080A72C">
      <w:pPr>
        <w:autoSpaceDE w:val="0"/>
        <w:spacing w:line="720" w:lineRule="auto"/>
        <w:ind w:firstLine="602" w:firstLineChars="200"/>
        <w:outlineLvl w:val="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采购单位</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公章）</w:t>
      </w:r>
      <w:r>
        <w:rPr>
          <w:rFonts w:hint="eastAsia" w:ascii="仿宋" w:hAnsi="仿宋" w:eastAsia="仿宋" w:cs="仿宋"/>
          <w:b/>
          <w:color w:val="auto"/>
          <w:sz w:val="30"/>
          <w:szCs w:val="30"/>
          <w:highlight w:val="none"/>
          <w:lang w:eastAsia="zh-CN"/>
        </w:rPr>
        <w:t>：陇川县教育体育局</w:t>
      </w:r>
    </w:p>
    <w:p w14:paraId="34E27508">
      <w:pPr>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采购代理机构（公章）：德宏州润宇招标代理有限公司</w:t>
      </w:r>
    </w:p>
    <w:sdt>
      <w:sdtPr>
        <w:rPr>
          <w:rFonts w:hint="eastAsia" w:ascii="仿宋" w:hAnsi="仿宋" w:eastAsia="仿宋" w:cs="仿宋"/>
          <w:b/>
          <w:bCs/>
          <w:color w:val="auto"/>
          <w:sz w:val="44"/>
          <w:szCs w:val="44"/>
          <w:highlight w:val="none"/>
        </w:rPr>
        <w:id w:val="147469939"/>
        <w:docPartObj>
          <w:docPartGallery w:val="Table of Contents"/>
          <w:docPartUnique/>
        </w:docPartObj>
      </w:sdtPr>
      <w:sdtEndPr>
        <w:rPr>
          <w:rFonts w:hint="eastAsia" w:ascii="仿宋" w:hAnsi="仿宋" w:eastAsia="仿宋" w:cs="仿宋"/>
          <w:b/>
          <w:bCs/>
          <w:color w:val="auto"/>
          <w:sz w:val="21"/>
          <w:szCs w:val="21"/>
          <w:highlight w:val="none"/>
        </w:rPr>
      </w:sdtEndPr>
      <w:sdtContent>
        <w:p w14:paraId="7E068BAE">
          <w:pPr>
            <w:jc w:val="center"/>
            <w:rPr>
              <w:rFonts w:hint="eastAsia" w:ascii="仿宋" w:hAnsi="仿宋" w:eastAsia="仿宋" w:cs="仿宋"/>
              <w:b/>
              <w:bCs/>
              <w:color w:val="auto"/>
              <w:sz w:val="44"/>
              <w:szCs w:val="44"/>
              <w:highlight w:val="none"/>
            </w:rPr>
          </w:pPr>
        </w:p>
        <w:p w14:paraId="37BDD6C0">
          <w:pPr>
            <w:jc w:val="center"/>
            <w:rPr>
              <w:rFonts w:hint="eastAsia" w:ascii="仿宋" w:hAnsi="仿宋" w:eastAsia="仿宋" w:cs="仿宋"/>
              <w:b/>
              <w:bCs/>
              <w:color w:val="auto"/>
              <w:sz w:val="32"/>
              <w:szCs w:val="32"/>
              <w:highlight w:val="none"/>
            </w:rPr>
            <w:sectPr>
              <w:headerReference r:id="rId3" w:type="default"/>
              <w:footerReference r:id="rId4" w:type="default"/>
              <w:pgSz w:w="11922" w:h="16838"/>
              <w:pgMar w:top="1355" w:right="1321" w:bottom="1355" w:left="1321" w:header="850" w:footer="964" w:gutter="0"/>
              <w:pgNumType w:start="1"/>
              <w:cols w:space="720" w:num="1"/>
              <w:docGrid w:linePitch="312" w:charSpace="0"/>
            </w:sectPr>
          </w:pPr>
        </w:p>
        <w:p w14:paraId="4498D92F">
          <w:pPr>
            <w:jc w:val="center"/>
            <w:rPr>
              <w:rFonts w:ascii="仿宋" w:hAnsi="仿宋" w:eastAsia="仿宋" w:cs="仿宋"/>
              <w:b/>
              <w:bCs/>
              <w:color w:val="auto"/>
              <w:sz w:val="44"/>
              <w:szCs w:val="44"/>
              <w:highlight w:val="none"/>
            </w:rPr>
          </w:pPr>
          <w:r>
            <w:rPr>
              <w:rFonts w:hint="eastAsia" w:ascii="仿宋" w:hAnsi="仿宋" w:eastAsia="仿宋" w:cs="仿宋"/>
              <w:b/>
              <w:bCs/>
              <w:color w:val="auto"/>
              <w:sz w:val="32"/>
              <w:szCs w:val="32"/>
              <w:highlight w:val="none"/>
            </w:rPr>
            <w:t>目录</w:t>
          </w:r>
        </w:p>
        <w:p w14:paraId="49D2F698">
          <w:pPr>
            <w:pStyle w:val="47"/>
            <w:tabs>
              <w:tab w:val="right" w:leader="dot" w:pos="9280"/>
            </w:tabs>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p>
        <w:p w14:paraId="49C55EDC">
          <w:pPr>
            <w:pStyle w:val="47"/>
            <w:keepNext w:val="0"/>
            <w:keepLines w:val="0"/>
            <w:pageBreakBefore w:val="0"/>
            <w:widowControl/>
            <w:tabs>
              <w:tab w:val="right" w:leader="dot" w:pos="9280"/>
            </w:tabs>
            <w:kinsoku/>
            <w:wordWrap/>
            <w:overflowPunct/>
            <w:topLinePunct w:val="0"/>
            <w:autoSpaceDE/>
            <w:autoSpaceDN/>
            <w:bidi w:val="0"/>
            <w:adjustRightInd/>
            <w:snapToGrid/>
            <w:spacing w:line="480" w:lineRule="auto"/>
            <w:textAlignment w:val="auto"/>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ascii="仿宋" w:hAnsi="仿宋" w:eastAsia="仿宋" w:cs="仿宋"/>
              <w:bCs/>
              <w:caps/>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_Toc6280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p>
        <w:p w14:paraId="535E5017">
          <w:pPr>
            <w:pStyle w:val="47"/>
            <w:keepNext w:val="0"/>
            <w:keepLines w:val="0"/>
            <w:pageBreakBefore w:val="0"/>
            <w:widowControl/>
            <w:tabs>
              <w:tab w:val="right" w:leader="dot" w:pos="9280"/>
            </w:tabs>
            <w:kinsoku/>
            <w:wordWrap/>
            <w:overflowPunct/>
            <w:topLinePunct w:val="0"/>
            <w:autoSpaceDE/>
            <w:autoSpaceDN/>
            <w:bidi w:val="0"/>
            <w:adjustRightInd/>
            <w:snapToGrid/>
            <w:spacing w:line="480" w:lineRule="auto"/>
            <w:textAlignment w:val="auto"/>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"_Toc14399" </w:instrText>
          </w:r>
          <w:r>
            <w:rPr>
              <w:color w:val="auto"/>
              <w:highlight w:val="none"/>
            </w:rPr>
            <w:fldChar w:fldCharType="separate"/>
          </w:r>
          <w:r>
            <w:rPr>
              <w:rFonts w:hint="eastAsia" w:ascii="仿宋" w:hAnsi="仿宋" w:eastAsia="仿宋" w:cs="仿宋"/>
              <w:bCs/>
              <w:caps/>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w:t>
          </w:r>
        </w:p>
        <w:p w14:paraId="6C68F3FB">
          <w:pPr>
            <w:pStyle w:val="47"/>
            <w:keepNext w:val="0"/>
            <w:keepLines w:val="0"/>
            <w:pageBreakBefore w:val="0"/>
            <w:widowControl/>
            <w:tabs>
              <w:tab w:val="right" w:leader="dot" w:pos="9280"/>
            </w:tabs>
            <w:kinsoku/>
            <w:wordWrap/>
            <w:overflowPunct/>
            <w:topLinePunct w:val="0"/>
            <w:autoSpaceDE/>
            <w:autoSpaceDN/>
            <w:bidi w:val="0"/>
            <w:adjustRightInd/>
            <w:snapToGrid/>
            <w:spacing w:line="480" w:lineRule="auto"/>
            <w:textAlignment w:val="auto"/>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"_Toc6120" </w:instrText>
          </w:r>
          <w:r>
            <w:rPr>
              <w:color w:val="auto"/>
              <w:highlight w:val="none"/>
            </w:rPr>
            <w:fldChar w:fldCharType="separate"/>
          </w:r>
          <w:r>
            <w:rPr>
              <w:rFonts w:hint="eastAsia" w:ascii="仿宋" w:hAnsi="仿宋" w:eastAsia="仿宋" w:cs="仿宋"/>
              <w:caps/>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w:t>
          </w:r>
        </w:p>
        <w:p w14:paraId="36CF4F8F">
          <w:pPr>
            <w:pStyle w:val="47"/>
            <w:keepNext w:val="0"/>
            <w:keepLines w:val="0"/>
            <w:pageBreakBefore w:val="0"/>
            <w:widowControl/>
            <w:tabs>
              <w:tab w:val="right" w:leader="dot" w:pos="9280"/>
            </w:tabs>
            <w:kinsoku/>
            <w:wordWrap/>
            <w:overflowPunct/>
            <w:topLinePunct w:val="0"/>
            <w:autoSpaceDE/>
            <w:autoSpaceDN/>
            <w:bidi w:val="0"/>
            <w:adjustRightInd/>
            <w:snapToGrid/>
            <w:spacing w:line="480" w:lineRule="auto"/>
            <w:textAlignment w:val="auto"/>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"_Toc15006" </w:instrText>
          </w:r>
          <w:r>
            <w:rPr>
              <w:color w:val="auto"/>
              <w:highlight w:val="none"/>
            </w:rPr>
            <w:fldChar w:fldCharType="separate"/>
          </w:r>
          <w:r>
            <w:rPr>
              <w:rFonts w:hint="eastAsia" w:ascii="仿宋" w:hAnsi="仿宋" w:eastAsia="仿宋" w:cs="仿宋"/>
              <w:bCs/>
              <w:caps/>
              <w:color w:val="auto"/>
              <w:sz w:val="28"/>
              <w:szCs w:val="28"/>
              <w:highlight w:val="none"/>
            </w:rPr>
            <w:t>第四章  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 xml:space="preserve"> -</w:t>
          </w:r>
        </w:p>
        <w:p w14:paraId="74198706">
          <w:pPr>
            <w:pStyle w:val="47"/>
            <w:keepNext w:val="0"/>
            <w:keepLines w:val="0"/>
            <w:pageBreakBefore w:val="0"/>
            <w:widowControl/>
            <w:tabs>
              <w:tab w:val="right" w:leader="dot" w:pos="9280"/>
            </w:tabs>
            <w:kinsoku/>
            <w:wordWrap/>
            <w:overflowPunct/>
            <w:topLinePunct w:val="0"/>
            <w:autoSpaceDE/>
            <w:autoSpaceDN/>
            <w:bidi w:val="0"/>
            <w:adjustRightInd/>
            <w:snapToGrid/>
            <w:spacing w:line="480" w:lineRule="auto"/>
            <w:textAlignment w:val="auto"/>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"_Toc25434" </w:instrText>
          </w:r>
          <w:r>
            <w:rPr>
              <w:color w:val="auto"/>
              <w:highlight w:val="none"/>
            </w:rPr>
            <w:fldChar w:fldCharType="separate"/>
          </w:r>
          <w:r>
            <w:rPr>
              <w:rFonts w:hint="eastAsia" w:ascii="仿宋" w:hAnsi="仿宋" w:eastAsia="仿宋" w:cs="仿宋"/>
              <w:caps/>
              <w:color w:val="auto"/>
              <w:sz w:val="28"/>
              <w:szCs w:val="28"/>
              <w:highlight w:val="none"/>
            </w:rPr>
            <w:t xml:space="preserve">第五章  </w:t>
          </w:r>
          <w:r>
            <w:rPr>
              <w:rFonts w:hint="eastAsia" w:ascii="仿宋" w:hAnsi="仿宋" w:eastAsia="仿宋" w:cs="仿宋"/>
              <w:bCs/>
              <w:color w:val="auto"/>
              <w:sz w:val="28"/>
              <w:szCs w:val="28"/>
              <w:highlight w:val="none"/>
            </w:rPr>
            <w:t>合同条款及合同书样式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37</w:t>
          </w:r>
          <w:r>
            <w:rPr>
              <w:rFonts w:hint="eastAsia" w:ascii="仿宋" w:hAnsi="仿宋" w:eastAsia="仿宋" w:cs="仿宋"/>
              <w:color w:val="auto"/>
              <w:sz w:val="28"/>
              <w:szCs w:val="28"/>
              <w:highlight w:val="none"/>
            </w:rPr>
            <w:t xml:space="preserve"> -</w:t>
          </w:r>
        </w:p>
        <w:p w14:paraId="63A20F66">
          <w:pPr>
            <w:pStyle w:val="47"/>
            <w:keepNext w:val="0"/>
            <w:keepLines w:val="0"/>
            <w:pageBreakBefore w:val="0"/>
            <w:widowControl/>
            <w:tabs>
              <w:tab w:val="right" w:leader="dot" w:pos="9280"/>
            </w:tabs>
            <w:kinsoku/>
            <w:wordWrap/>
            <w:overflowPunct/>
            <w:topLinePunct w:val="0"/>
            <w:autoSpaceDE/>
            <w:autoSpaceDN/>
            <w:bidi w:val="0"/>
            <w:adjustRightInd/>
            <w:snapToGrid/>
            <w:spacing w:line="480" w:lineRule="auto"/>
            <w:textAlignment w:val="auto"/>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"_Toc30922" </w:instrText>
          </w:r>
          <w:r>
            <w:rPr>
              <w:color w:val="auto"/>
              <w:highlight w:val="none"/>
            </w:rPr>
            <w:fldChar w:fldCharType="separate"/>
          </w:r>
          <w:r>
            <w:rPr>
              <w:rFonts w:hint="eastAsia" w:ascii="仿宋" w:hAnsi="仿宋" w:eastAsia="仿宋" w:cs="仿宋"/>
              <w:bCs/>
              <w:caps/>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 xml:space="preserve"> - </w:t>
          </w:r>
        </w:p>
        <w:p w14:paraId="1B397AE7">
          <w:pPr>
            <w:widowControl/>
            <w:jc w:val="left"/>
            <w:rPr>
              <w:rFonts w:ascii="仿宋" w:hAnsi="仿宋" w:eastAsia="仿宋" w:cs="仿宋"/>
              <w:color w:val="auto"/>
              <w:highlight w:val="none"/>
            </w:rPr>
            <w:sectPr>
              <w:footerReference r:id="rId5" w:type="default"/>
              <w:pgSz w:w="11922" w:h="16838"/>
              <w:pgMar w:top="1355" w:right="1321" w:bottom="1355" w:left="1321" w:header="850" w:footer="964" w:gutter="0"/>
              <w:pgNumType w:fmt="decimal" w:start="1"/>
              <w:cols w:space="720" w:num="1"/>
              <w:docGrid w:linePitch="312" w:charSpace="0"/>
            </w:sectPr>
          </w:pPr>
          <w:r>
            <w:rPr>
              <w:rFonts w:hint="eastAsia" w:ascii="仿宋" w:hAnsi="仿宋" w:eastAsia="仿宋" w:cs="仿宋"/>
              <w:color w:val="auto"/>
              <w:sz w:val="28"/>
              <w:szCs w:val="28"/>
              <w:highlight w:val="none"/>
            </w:rPr>
            <w:fldChar w:fldCharType="end"/>
          </w:r>
        </w:p>
      </w:sdtContent>
    </w:sdt>
    <w:p w14:paraId="438F4351">
      <w:pPr>
        <w:tabs>
          <w:tab w:val="center" w:pos="4691"/>
          <w:tab w:val="left" w:pos="7942"/>
        </w:tabs>
        <w:spacing w:line="360" w:lineRule="auto"/>
        <w:jc w:val="center"/>
        <w:outlineLvl w:val="0"/>
        <w:rPr>
          <w:rFonts w:ascii="仿宋" w:hAnsi="仿宋" w:eastAsia="仿宋" w:cs="仿宋"/>
          <w:b/>
          <w:bCs/>
          <w:caps/>
          <w:color w:val="auto"/>
          <w:sz w:val="36"/>
          <w:szCs w:val="36"/>
          <w:highlight w:val="none"/>
        </w:rPr>
      </w:pPr>
      <w:bookmarkStart w:id="0" w:name="_Toc1957"/>
      <w:bookmarkEnd w:id="0"/>
      <w:bookmarkStart w:id="1" w:name="_Toc427678297"/>
      <w:bookmarkStart w:id="2" w:name="_Toc6280"/>
      <w:r>
        <w:rPr>
          <w:rFonts w:hint="eastAsia" w:ascii="仿宋" w:hAnsi="仿宋" w:eastAsia="仿宋" w:cs="仿宋"/>
          <w:b/>
          <w:bCs/>
          <w:caps/>
          <w:color w:val="auto"/>
          <w:sz w:val="36"/>
          <w:szCs w:val="36"/>
          <w:highlight w:val="none"/>
        </w:rPr>
        <w:t xml:space="preserve">第一章  </w:t>
      </w:r>
      <w:bookmarkEnd w:id="1"/>
      <w:r>
        <w:rPr>
          <w:rFonts w:hint="eastAsia" w:ascii="仿宋" w:hAnsi="仿宋" w:eastAsia="仿宋" w:cs="仿宋"/>
          <w:b/>
          <w:bCs/>
          <w:caps/>
          <w:color w:val="auto"/>
          <w:sz w:val="36"/>
          <w:szCs w:val="36"/>
          <w:highlight w:val="none"/>
        </w:rPr>
        <w:t>招标公告</w:t>
      </w:r>
      <w:bookmarkEnd w:id="2"/>
    </w:p>
    <w:p w14:paraId="6A325F66">
      <w:pPr>
        <w:pageBreakBefore w:val="0"/>
        <w:pBdr>
          <w:top w:val="single" w:color="auto" w:sz="4" w:space="1"/>
          <w:left w:val="single" w:color="auto" w:sz="4" w:space="4"/>
          <w:bottom w:val="single" w:color="auto" w:sz="4" w:space="1"/>
          <w:right w:val="single" w:color="auto" w:sz="4" w:space="4"/>
        </w:pBdr>
        <w:kinsoku/>
        <w:overflowPunct/>
        <w:topLinePunct w:val="0"/>
        <w:autoSpaceDE w:val="0"/>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bookmarkStart w:id="3" w:name="_Toc277776488"/>
      <w:bookmarkEnd w:id="3"/>
      <w:bookmarkStart w:id="4" w:name="_Toc427678298"/>
      <w:bookmarkEnd w:id="4"/>
      <w:bookmarkStart w:id="5" w:name="_Toc9497710"/>
      <w:bookmarkEnd w:id="5"/>
      <w:r>
        <w:rPr>
          <w:rFonts w:hint="eastAsia" w:ascii="仿宋" w:hAnsi="仿宋" w:eastAsia="仿宋" w:cs="仿宋"/>
          <w:color w:val="auto"/>
          <w:sz w:val="24"/>
          <w:szCs w:val="24"/>
          <w:highlight w:val="none"/>
          <w:lang w:eastAsia="zh-CN"/>
        </w:rPr>
        <w:t>陇川县2026年职业教育能力提升项目（制衣设备）</w:t>
      </w:r>
      <w:r>
        <w:rPr>
          <w:rFonts w:hint="eastAsia" w:ascii="仿宋" w:hAnsi="仿宋" w:eastAsia="仿宋" w:cs="仿宋"/>
          <w:color w:val="auto"/>
          <w:sz w:val="24"/>
          <w:szCs w:val="24"/>
          <w:highlight w:val="none"/>
        </w:rPr>
        <w:t>的潜在投标人应进入政采云平台（https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获取（下载）招标文件，并于</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09</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00</w:t>
      </w:r>
      <w:r>
        <w:rPr>
          <w:rFonts w:hint="eastAsia" w:ascii="仿宋" w:hAnsi="仿宋" w:eastAsia="仿宋" w:cs="仿宋"/>
          <w:color w:val="auto"/>
          <w:sz w:val="24"/>
          <w:szCs w:val="24"/>
          <w:highlight w:val="none"/>
        </w:rPr>
        <w:t>（北京时间）前提交投标文件。</w:t>
      </w:r>
    </w:p>
    <w:p w14:paraId="17070DBD">
      <w:pPr>
        <w:pStyle w:val="3"/>
        <w:keepLines w:val="0"/>
        <w:pageBreakBefore w:val="0"/>
        <w:kinsoku/>
        <w:overflowPunct/>
        <w:topLinePunct w:val="0"/>
        <w:autoSpaceDE w:val="0"/>
        <w:autoSpaceDN/>
        <w:bidi w:val="0"/>
        <w:adjustRightInd/>
        <w:snapToGrid/>
        <w:spacing w:before="0" w:after="0" w:line="360" w:lineRule="auto"/>
        <w:textAlignment w:val="auto"/>
        <w:rPr>
          <w:rFonts w:ascii="仿宋" w:hAnsi="仿宋" w:eastAsia="仿宋" w:cs="仿宋"/>
          <w:bCs/>
          <w:color w:val="auto"/>
          <w:sz w:val="24"/>
          <w:szCs w:val="24"/>
          <w:highlight w:val="none"/>
        </w:rPr>
      </w:pPr>
      <w:bookmarkStart w:id="6" w:name="_Toc35393629"/>
      <w:bookmarkEnd w:id="6"/>
      <w:bookmarkStart w:id="7" w:name="_Toc28359089"/>
      <w:bookmarkEnd w:id="7"/>
      <w:bookmarkStart w:id="8" w:name="_Toc28359012"/>
      <w:bookmarkEnd w:id="8"/>
      <w:bookmarkStart w:id="9" w:name="_Toc35393798"/>
      <w:r>
        <w:rPr>
          <w:rFonts w:hint="eastAsia" w:ascii="仿宋" w:hAnsi="仿宋" w:eastAsia="仿宋" w:cs="仿宋"/>
          <w:bCs/>
          <w:color w:val="auto"/>
          <w:sz w:val="24"/>
          <w:szCs w:val="24"/>
          <w:highlight w:val="none"/>
        </w:rPr>
        <w:t>一、项目基本情况</w:t>
      </w:r>
      <w:bookmarkEnd w:id="9"/>
    </w:p>
    <w:p w14:paraId="7EE9BFDF">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1.项目名称：</w:t>
      </w:r>
      <w:r>
        <w:rPr>
          <w:rFonts w:hint="eastAsia" w:ascii="仿宋" w:hAnsi="仿宋" w:eastAsia="仿宋" w:cs="仿宋"/>
          <w:color w:val="auto"/>
          <w:sz w:val="24"/>
          <w:szCs w:val="24"/>
          <w:highlight w:val="none"/>
          <w:lang w:eastAsia="zh-CN"/>
        </w:rPr>
        <w:t>陇川县2026年职业教育能力提升项目（制衣设备）</w:t>
      </w:r>
    </w:p>
    <w:p w14:paraId="69A458E8">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2.招标编号：</w:t>
      </w:r>
      <w:r>
        <w:rPr>
          <w:rFonts w:hint="eastAsia" w:ascii="仿宋" w:hAnsi="仿宋" w:eastAsia="仿宋" w:cs="仿宋"/>
          <w:color w:val="auto"/>
          <w:sz w:val="24"/>
          <w:szCs w:val="24"/>
          <w:highlight w:val="none"/>
          <w:lang w:eastAsia="zh-CN"/>
        </w:rPr>
        <w:t>德润招（202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046</w:t>
      </w:r>
    </w:p>
    <w:p w14:paraId="607DBBBE">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3.采购方式：公开招标</w:t>
      </w:r>
    </w:p>
    <w:p w14:paraId="4BB3BC12">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lang w:eastAsia="zh-CN"/>
        </w:rPr>
        <w:t>万元</w:t>
      </w:r>
    </w:p>
    <w:p w14:paraId="4FD339FD">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5.最高限价：</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lang w:eastAsia="zh-CN"/>
        </w:rPr>
        <w:t>万元</w:t>
      </w:r>
    </w:p>
    <w:p w14:paraId="207C635E">
      <w:pPr>
        <w:keepNext w:val="0"/>
        <w:keepLines w:val="0"/>
        <w:pageBreakBefore w:val="0"/>
        <w:widowControl w:val="0"/>
        <w:numPr>
          <w:ilvl w:val="0"/>
          <w:numId w:val="0"/>
        </w:numPr>
        <w:kinsoku/>
        <w:wordWrap/>
        <w:overflowPunct/>
        <w:topLinePunct w:val="0"/>
        <w:autoSpaceDN/>
        <w:bidi w:val="0"/>
        <w:adjustRightInd/>
        <w:snapToGrid/>
        <w:spacing w:line="360" w:lineRule="auto"/>
        <w:ind w:firstLine="240" w:firstLineChars="10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6.采购需求：</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制衣设备</w:t>
      </w:r>
      <w:r>
        <w:rPr>
          <w:rFonts w:hint="eastAsia" w:ascii="仿宋" w:hAnsi="仿宋" w:eastAsia="仿宋" w:cs="仿宋"/>
          <w:color w:val="auto"/>
          <w:sz w:val="24"/>
          <w:szCs w:val="24"/>
          <w:highlight w:val="none"/>
          <w:lang w:val="en-US" w:eastAsia="zh-CN"/>
        </w:rPr>
        <w:t>一批，具体内容详见第三章采购需求。</w:t>
      </w:r>
    </w:p>
    <w:p w14:paraId="0E4B4E9D">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7.合同履行期限：</w:t>
      </w:r>
      <w:r>
        <w:rPr>
          <w:rFonts w:hint="eastAsia" w:ascii="仿宋" w:hAnsi="仿宋" w:eastAsia="仿宋" w:cs="仿宋"/>
          <w:color w:val="auto"/>
          <w:sz w:val="24"/>
          <w:szCs w:val="28"/>
          <w:highlight w:val="none"/>
          <w:lang w:val="en-US" w:eastAsia="zh-CN"/>
        </w:rPr>
        <w:t>合同签订之日起60天</w:t>
      </w:r>
      <w:r>
        <w:rPr>
          <w:rFonts w:hint="eastAsia" w:ascii="仿宋" w:hAnsi="仿宋" w:eastAsia="仿宋" w:cs="仿宋"/>
          <w:color w:val="auto"/>
          <w:sz w:val="24"/>
          <w:szCs w:val="24"/>
          <w:highlight w:val="none"/>
        </w:rPr>
        <w:t>。</w:t>
      </w:r>
    </w:p>
    <w:p w14:paraId="294CE01C">
      <w:pPr>
        <w:keepNext w:val="0"/>
        <w:keepLines w:val="0"/>
        <w:pageBreakBefore w:val="0"/>
        <w:widowControl w:val="0"/>
        <w:kinsoku/>
        <w:wordWrap/>
        <w:overflowPunct/>
        <w:topLinePunct w:val="0"/>
        <w:autoSpaceDN/>
        <w:bidi w:val="0"/>
        <w:adjustRightInd/>
        <w:snapToGrid/>
        <w:spacing w:line="360" w:lineRule="auto"/>
        <w:ind w:firstLine="240" w:firstLineChars="100"/>
        <w:textAlignment w:val="auto"/>
        <w:rPr>
          <w:rFonts w:hint="eastAsia" w:eastAsia="宋体"/>
          <w:highlight w:val="none"/>
          <w:lang w:eastAsia="zh-CN"/>
        </w:rPr>
      </w:pPr>
      <w:r>
        <w:rPr>
          <w:rFonts w:hint="eastAsia" w:ascii="仿宋" w:hAnsi="仿宋" w:eastAsia="仿宋" w:cs="仿宋"/>
          <w:color w:val="auto"/>
          <w:sz w:val="24"/>
          <w:szCs w:val="24"/>
          <w:highlight w:val="none"/>
        </w:rPr>
        <w:t>8.质保期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不低于3年</w:t>
      </w:r>
      <w:r>
        <w:rPr>
          <w:rFonts w:hint="eastAsia" w:ascii="仿宋" w:hAnsi="仿宋" w:eastAsia="仿宋" w:cs="仿宋"/>
          <w:color w:val="auto"/>
          <w:kern w:val="0"/>
          <w:sz w:val="24"/>
          <w:szCs w:val="24"/>
          <w:highlight w:val="none"/>
          <w:lang w:val="en-US" w:eastAsia="zh-CN"/>
        </w:rPr>
        <w:t>（自安装验收合格之日起计算），期间非人为故障提供免费维修及更换服务。</w:t>
      </w:r>
    </w:p>
    <w:p w14:paraId="4C205A20">
      <w:pPr>
        <w:keepNext w:val="0"/>
        <w:keepLines w:val="0"/>
        <w:pageBreakBefore w:val="0"/>
        <w:widowControl w:val="0"/>
        <w:kinsoku/>
        <w:wordWrap/>
        <w:overflowPunct/>
        <w:topLinePunct w:val="0"/>
        <w:autoSpaceDE w:val="0"/>
        <w:autoSpaceDN/>
        <w:bidi w:val="0"/>
        <w:adjustRightInd/>
        <w:snapToGrid/>
        <w:spacing w:line="360" w:lineRule="auto"/>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9.本项目不接受联合体投标，不接受进口产品投标。</w:t>
      </w:r>
    </w:p>
    <w:p w14:paraId="409AE4DB">
      <w:pPr>
        <w:pStyle w:val="3"/>
        <w:pageBreakBefore w:val="0"/>
        <w:kinsoku/>
        <w:overflowPunct/>
        <w:topLinePunct w:val="0"/>
        <w:autoSpaceDE w:val="0"/>
        <w:autoSpaceDN/>
        <w:bidi w:val="0"/>
        <w:adjustRightInd/>
        <w:snapToGrid/>
        <w:spacing w:before="0" w:after="0" w:line="360" w:lineRule="auto"/>
        <w:textAlignment w:val="auto"/>
        <w:rPr>
          <w:rFonts w:ascii="仿宋" w:hAnsi="仿宋" w:eastAsia="仿宋" w:cs="仿宋"/>
          <w:bCs/>
          <w:color w:val="auto"/>
          <w:sz w:val="24"/>
          <w:szCs w:val="24"/>
          <w:highlight w:val="none"/>
        </w:rPr>
      </w:pPr>
      <w:bookmarkStart w:id="10" w:name="_Toc28359090"/>
      <w:bookmarkEnd w:id="10"/>
      <w:bookmarkStart w:id="11" w:name="_Toc35393630"/>
      <w:bookmarkEnd w:id="11"/>
      <w:bookmarkStart w:id="12" w:name="_Toc35393799"/>
      <w:bookmarkEnd w:id="12"/>
      <w:bookmarkStart w:id="13" w:name="_Toc28359013"/>
      <w:r>
        <w:rPr>
          <w:rFonts w:hint="eastAsia" w:ascii="仿宋" w:hAnsi="仿宋" w:eastAsia="仿宋" w:cs="仿宋"/>
          <w:bCs/>
          <w:color w:val="auto"/>
          <w:sz w:val="24"/>
          <w:szCs w:val="24"/>
          <w:highlight w:val="none"/>
        </w:rPr>
        <w:t>二、</w:t>
      </w:r>
      <w:bookmarkEnd w:id="13"/>
      <w:r>
        <w:rPr>
          <w:rFonts w:hint="eastAsia" w:ascii="仿宋" w:hAnsi="仿宋" w:eastAsia="仿宋" w:cs="仿宋"/>
          <w:bCs/>
          <w:color w:val="auto"/>
          <w:sz w:val="24"/>
          <w:szCs w:val="24"/>
          <w:highlight w:val="none"/>
        </w:rPr>
        <w:t>投标人资格要求</w:t>
      </w:r>
    </w:p>
    <w:p w14:paraId="46C74B8F">
      <w:pPr>
        <w:pageBreakBefore w:val="0"/>
        <w:kinsoku/>
        <w:overflowPunct/>
        <w:topLinePunct w:val="0"/>
        <w:autoSpaceDE w:val="0"/>
        <w:autoSpaceDN/>
        <w:bidi w:val="0"/>
        <w:adjustRightInd/>
        <w:snapToGrid/>
        <w:spacing w:line="360" w:lineRule="auto"/>
        <w:ind w:firstLine="241" w:firstLineChars="100"/>
        <w:textAlignment w:val="auto"/>
        <w:rPr>
          <w:rFonts w:ascii="仿宋" w:hAnsi="仿宋" w:eastAsia="仿宋" w:cs="仿宋"/>
          <w:b/>
          <w:bCs/>
          <w:color w:val="auto"/>
          <w:sz w:val="24"/>
          <w:szCs w:val="24"/>
          <w:highlight w:val="none"/>
        </w:rPr>
      </w:pPr>
      <w:bookmarkStart w:id="14" w:name="_Toc35393623"/>
      <w:bookmarkEnd w:id="14"/>
      <w:bookmarkStart w:id="15" w:name="_Toc35393792"/>
      <w:r>
        <w:rPr>
          <w:rFonts w:hint="eastAsia" w:ascii="仿宋" w:hAnsi="仿宋" w:eastAsia="仿宋" w:cs="仿宋"/>
          <w:b/>
          <w:bCs/>
          <w:color w:val="auto"/>
          <w:sz w:val="24"/>
          <w:szCs w:val="24"/>
          <w:highlight w:val="none"/>
        </w:rPr>
        <w:t>1.满足《中华人民共和国政府采购法》第二十二条规定：</w:t>
      </w:r>
      <w:bookmarkEnd w:id="15"/>
    </w:p>
    <w:p w14:paraId="533DB681">
      <w:pPr>
        <w:pageBreakBefore w:val="0"/>
        <w:kinsoku/>
        <w:overflowPunct/>
        <w:topLinePunct w:val="0"/>
        <w:autoSpaceDE w:val="0"/>
        <w:autoSpaceDN/>
        <w:bidi w:val="0"/>
        <w:adjustRightInd/>
        <w:snapToGrid/>
        <w:spacing w:line="360" w:lineRule="auto"/>
        <w:ind w:firstLine="243" w:firstLineChars="100"/>
        <w:textAlignment w:val="auto"/>
        <w:rPr>
          <w:rFonts w:ascii="仿宋" w:hAnsi="仿宋" w:eastAsia="仿宋" w:cs="仿宋"/>
          <w:color w:val="auto"/>
          <w:kern w:val="0"/>
          <w:sz w:val="24"/>
          <w:szCs w:val="24"/>
          <w:highlight w:val="none"/>
        </w:rPr>
      </w:pPr>
      <w:r>
        <w:rPr>
          <w:rFonts w:hint="eastAsia" w:ascii="仿宋" w:hAnsi="仿宋" w:eastAsia="仿宋" w:cs="仿宋"/>
          <w:b/>
          <w:bCs/>
          <w:color w:val="auto"/>
          <w:spacing w:val="1"/>
          <w:sz w:val="24"/>
          <w:szCs w:val="24"/>
          <w:highlight w:val="none"/>
        </w:rPr>
        <w:t>（1）营业执照：</w:t>
      </w:r>
      <w:r>
        <w:rPr>
          <w:rFonts w:hint="eastAsia" w:ascii="仿宋" w:hAnsi="仿宋" w:eastAsia="仿宋" w:cs="仿宋"/>
          <w:color w:val="auto"/>
          <w:spacing w:val="1"/>
          <w:sz w:val="24"/>
          <w:szCs w:val="24"/>
          <w:highlight w:val="none"/>
        </w:rPr>
        <w:t>具有独立承担民事责任的能力，具备营业执照或事业单位法人证书或民办非企业单位登记证书或社会团体法人登记证书或基金会法人登记证书或自然人的身份证明。</w:t>
      </w:r>
    </w:p>
    <w:p w14:paraId="6E4FF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43" w:firstLineChars="100"/>
        <w:textAlignment w:val="auto"/>
        <w:rPr>
          <w:rFonts w:hint="default" w:ascii="仿宋" w:hAnsi="仿宋" w:eastAsia="仿宋" w:cs="仿宋"/>
          <w:spacing w:val="1"/>
          <w:w w:val="100"/>
          <w:sz w:val="24"/>
          <w:szCs w:val="24"/>
          <w:highlight w:val="none"/>
          <w:lang w:val="en-US" w:eastAsia="zh-CN"/>
        </w:rPr>
      </w:pPr>
      <w:r>
        <w:rPr>
          <w:rFonts w:hint="eastAsia" w:ascii="仿宋" w:hAnsi="仿宋" w:eastAsia="仿宋" w:cs="仿宋"/>
          <w:b/>
          <w:bCs/>
          <w:color w:val="auto"/>
          <w:spacing w:val="1"/>
          <w:sz w:val="24"/>
          <w:szCs w:val="24"/>
          <w:highlight w:val="none"/>
        </w:rPr>
        <w:t>（2）财务要求：</w:t>
      </w:r>
      <w:r>
        <w:rPr>
          <w:rFonts w:hint="eastAsia" w:ascii="仿宋" w:hAnsi="仿宋" w:eastAsia="仿宋" w:cs="仿宋"/>
          <w:spacing w:val="1"/>
          <w:w w:val="100"/>
          <w:sz w:val="24"/>
          <w:szCs w:val="24"/>
          <w:highlight w:val="none"/>
        </w:rPr>
        <w:t>提供</w:t>
      </w:r>
      <w:r>
        <w:rPr>
          <w:rFonts w:hint="eastAsia" w:ascii="仿宋" w:hAnsi="仿宋" w:eastAsia="仿宋" w:cs="仿宋"/>
          <w:spacing w:val="1"/>
          <w:w w:val="100"/>
          <w:sz w:val="24"/>
          <w:szCs w:val="24"/>
          <w:highlight w:val="none"/>
          <w:lang w:val="en-US" w:eastAsia="zh-CN"/>
        </w:rPr>
        <w:t>投标人</w:t>
      </w:r>
      <w:r>
        <w:rPr>
          <w:rFonts w:hint="eastAsia" w:ascii="仿宋" w:hAnsi="仿宋" w:eastAsia="仿宋" w:cs="仿宋"/>
          <w:spacing w:val="1"/>
          <w:w w:val="100"/>
          <w:sz w:val="24"/>
          <w:szCs w:val="24"/>
          <w:highlight w:val="none"/>
        </w:rPr>
        <w:t>2024年</w:t>
      </w:r>
      <w:r>
        <w:rPr>
          <w:rFonts w:hint="eastAsia" w:ascii="仿宋" w:hAnsi="仿宋" w:eastAsia="仿宋" w:cs="仿宋"/>
          <w:spacing w:val="1"/>
          <w:w w:val="100"/>
          <w:sz w:val="24"/>
          <w:szCs w:val="24"/>
          <w:highlight w:val="none"/>
          <w:lang w:val="en-US" w:eastAsia="zh-CN"/>
        </w:rPr>
        <w:t>或2025年</w:t>
      </w:r>
      <w:r>
        <w:rPr>
          <w:rFonts w:hint="eastAsia" w:ascii="仿宋" w:hAnsi="仿宋" w:eastAsia="仿宋" w:cs="仿宋"/>
          <w:spacing w:val="1"/>
          <w:w w:val="100"/>
          <w:sz w:val="24"/>
          <w:szCs w:val="24"/>
          <w:highlight w:val="none"/>
        </w:rPr>
        <w:t>财务状况报告</w:t>
      </w:r>
      <w:r>
        <w:rPr>
          <w:rFonts w:hint="eastAsia" w:ascii="仿宋" w:hAnsi="仿宋" w:eastAsia="仿宋" w:cs="仿宋"/>
          <w:spacing w:val="1"/>
          <w:w w:val="100"/>
          <w:sz w:val="24"/>
          <w:szCs w:val="24"/>
          <w:highlight w:val="none"/>
          <w:lang w:eastAsia="zh-CN"/>
        </w:rPr>
        <w:t>（</w:t>
      </w:r>
      <w:r>
        <w:rPr>
          <w:rFonts w:hint="eastAsia" w:ascii="仿宋" w:hAnsi="仿宋" w:eastAsia="仿宋" w:cs="仿宋"/>
          <w:spacing w:val="1"/>
          <w:w w:val="100"/>
          <w:sz w:val="24"/>
          <w:szCs w:val="24"/>
          <w:highlight w:val="none"/>
        </w:rPr>
        <w:t>至少包含审计报告、资产负债表、利润表、现金流量表</w:t>
      </w:r>
      <w:r>
        <w:rPr>
          <w:rFonts w:hint="eastAsia" w:ascii="仿宋" w:hAnsi="仿宋" w:eastAsia="仿宋" w:cs="仿宋"/>
          <w:spacing w:val="1"/>
          <w:w w:val="100"/>
          <w:sz w:val="24"/>
          <w:szCs w:val="24"/>
          <w:highlight w:val="none"/>
          <w:lang w:eastAsia="zh-CN"/>
        </w:rPr>
        <w:t>）。</w:t>
      </w:r>
      <w:r>
        <w:rPr>
          <w:rFonts w:hint="eastAsia" w:ascii="仿宋" w:hAnsi="仿宋" w:eastAsia="仿宋" w:cs="仿宋"/>
          <w:spacing w:val="1"/>
          <w:w w:val="100"/>
          <w:sz w:val="24"/>
          <w:szCs w:val="24"/>
          <w:highlight w:val="none"/>
        </w:rPr>
        <w:t>成立未满1年或成立至今未产生经营活动的</w:t>
      </w:r>
      <w:r>
        <w:rPr>
          <w:rFonts w:hint="eastAsia" w:ascii="仿宋" w:hAnsi="仿宋" w:eastAsia="仿宋" w:cs="仿宋"/>
          <w:spacing w:val="1"/>
          <w:w w:val="100"/>
          <w:sz w:val="24"/>
          <w:szCs w:val="24"/>
          <w:highlight w:val="none"/>
          <w:lang w:val="en-US" w:eastAsia="zh-CN"/>
        </w:rPr>
        <w:t>投标人</w:t>
      </w:r>
      <w:r>
        <w:rPr>
          <w:rFonts w:hint="eastAsia" w:ascii="仿宋" w:hAnsi="仿宋" w:eastAsia="仿宋" w:cs="仿宋"/>
          <w:spacing w:val="1"/>
          <w:w w:val="100"/>
          <w:sz w:val="24"/>
          <w:szCs w:val="24"/>
          <w:highlight w:val="none"/>
        </w:rPr>
        <w:t>提供自成立至今的财务报表或财务情况说明</w:t>
      </w:r>
      <w:r>
        <w:rPr>
          <w:rFonts w:hint="eastAsia" w:ascii="仿宋" w:hAnsi="仿宋" w:eastAsia="仿宋" w:cs="仿宋"/>
          <w:spacing w:val="1"/>
          <w:w w:val="100"/>
          <w:sz w:val="24"/>
          <w:szCs w:val="24"/>
          <w:highlight w:val="none"/>
          <w:lang w:val="en-US" w:eastAsia="zh-CN"/>
        </w:rPr>
        <w:t>，</w:t>
      </w:r>
      <w:r>
        <w:rPr>
          <w:rFonts w:hint="eastAsia" w:ascii="仿宋" w:hAnsi="仿宋" w:eastAsia="仿宋" w:cs="仿宋"/>
          <w:spacing w:val="1"/>
          <w:w w:val="100"/>
          <w:sz w:val="24"/>
          <w:szCs w:val="24"/>
          <w:highlight w:val="none"/>
        </w:rPr>
        <w:t>或提供自</w:t>
      </w:r>
      <w:r>
        <w:rPr>
          <w:rFonts w:hint="eastAsia" w:ascii="仿宋" w:hAnsi="仿宋" w:eastAsia="仿宋" w:cs="仿宋"/>
          <w:spacing w:val="1"/>
          <w:w w:val="100"/>
          <w:sz w:val="24"/>
          <w:szCs w:val="24"/>
          <w:highlight w:val="none"/>
          <w:lang w:val="en-US" w:eastAsia="zh-CN"/>
        </w:rPr>
        <w:t>投标</w:t>
      </w:r>
      <w:r>
        <w:rPr>
          <w:rFonts w:hint="eastAsia" w:ascii="仿宋" w:hAnsi="仿宋" w:eastAsia="仿宋" w:cs="仿宋"/>
          <w:spacing w:val="1"/>
          <w:w w:val="100"/>
          <w:sz w:val="24"/>
          <w:szCs w:val="24"/>
          <w:highlight w:val="none"/>
        </w:rPr>
        <w:t>文件提交截止时间前三个月内基本开户银行出具的资信证明。</w:t>
      </w:r>
    </w:p>
    <w:p w14:paraId="1F6D4124">
      <w:pPr>
        <w:pageBreakBefore w:val="0"/>
        <w:kinsoku/>
        <w:overflowPunct/>
        <w:topLinePunct w:val="0"/>
        <w:autoSpaceDE w:val="0"/>
        <w:autoSpaceDN/>
        <w:bidi w:val="0"/>
        <w:adjustRightInd/>
        <w:snapToGrid/>
        <w:spacing w:line="360" w:lineRule="auto"/>
        <w:ind w:firstLine="243" w:firstLineChars="100"/>
        <w:textAlignment w:val="auto"/>
        <w:rPr>
          <w:rFonts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（3）税收要求：</w:t>
      </w:r>
      <w:r>
        <w:rPr>
          <w:rFonts w:hint="eastAsia" w:ascii="仿宋" w:hAnsi="仿宋" w:eastAsia="仿宋" w:cs="仿宋"/>
          <w:color w:val="auto"/>
          <w:sz w:val="24"/>
          <w:szCs w:val="24"/>
          <w:highlight w:val="none"/>
        </w:rPr>
        <w:t>提供投标人缴税所属时间在202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1月至本项目投标文件提交截止时间前任意1个月的税务局税收通用缴款书或银行电子缴税（费）凭证或税务局出具纳税情况的相关证明，依法免税的，应提供依法免税的相关证明文件；投标人成立不足一年的，无需提供。</w:t>
      </w:r>
    </w:p>
    <w:p w14:paraId="0E818954">
      <w:pPr>
        <w:pageBreakBefore w:val="0"/>
        <w:kinsoku/>
        <w:overflowPunct/>
        <w:topLinePunct w:val="0"/>
        <w:autoSpaceDE w:val="0"/>
        <w:autoSpaceDN/>
        <w:bidi w:val="0"/>
        <w:adjustRightInd/>
        <w:snapToGrid/>
        <w:spacing w:line="360" w:lineRule="auto"/>
        <w:ind w:firstLine="243" w:firstLineChars="100"/>
        <w:textAlignment w:val="auto"/>
        <w:rPr>
          <w:rFonts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（4）社保要求：</w:t>
      </w:r>
      <w:r>
        <w:rPr>
          <w:rFonts w:hint="eastAsia" w:ascii="仿宋" w:hAnsi="仿宋" w:eastAsia="仿宋" w:cs="仿宋"/>
          <w:color w:val="auto"/>
          <w:sz w:val="24"/>
          <w:szCs w:val="24"/>
          <w:highlight w:val="none"/>
        </w:rPr>
        <w:t>提供投标人缴费所属时间在202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1月至本项目投标文件提交截止时间前任意1个月的社会保险费缴款书或银行电子缴税（费）凭证或社保管理部门出具的有效的缴款证明，依法免缴的，应提供依法免缴的相关证明文件；投标人成立不足一年的，无需提供。</w:t>
      </w:r>
    </w:p>
    <w:p w14:paraId="1D4A85F9">
      <w:pPr>
        <w:pageBreakBefore w:val="0"/>
        <w:kinsoku/>
        <w:overflowPunct/>
        <w:topLinePunct w:val="0"/>
        <w:autoSpaceDE w:val="0"/>
        <w:autoSpaceDN/>
        <w:bidi w:val="0"/>
        <w:adjustRightInd/>
        <w:snapToGrid/>
        <w:spacing w:line="360" w:lineRule="auto"/>
        <w:ind w:firstLine="241" w:firstLineChars="1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（5）专业技术能力：</w:t>
      </w:r>
      <w:r>
        <w:rPr>
          <w:rFonts w:hint="eastAsia" w:ascii="仿宋" w:hAnsi="仿宋" w:eastAsia="仿宋" w:cs="仿宋"/>
          <w:color w:val="auto"/>
          <w:sz w:val="24"/>
          <w:szCs w:val="24"/>
          <w:highlight w:val="none"/>
        </w:rPr>
        <w:t>提供投标人具有履行合同所必需的设备和专业技术能力证明材料或书面声明。</w:t>
      </w:r>
    </w:p>
    <w:p w14:paraId="75CE6EB2">
      <w:pPr>
        <w:pStyle w:val="7"/>
        <w:pageBreakBefore w:val="0"/>
        <w:kinsoku/>
        <w:overflowPunct/>
        <w:topLinePunct w:val="0"/>
        <w:autoSpaceDE w:val="0"/>
        <w:autoSpaceDN/>
        <w:bidi w:val="0"/>
        <w:adjustRightInd/>
        <w:snapToGrid/>
        <w:spacing w:before="0" w:beforeAutospacing="0" w:after="0" w:line="360" w:lineRule="auto"/>
        <w:ind w:firstLine="243" w:firstLineChars="100"/>
        <w:textAlignment w:val="auto"/>
        <w:rPr>
          <w:rFonts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（6）书面声明：</w:t>
      </w:r>
      <w:r>
        <w:rPr>
          <w:rFonts w:hint="eastAsia" w:ascii="仿宋" w:hAnsi="仿宋" w:eastAsia="仿宋" w:cs="仿宋"/>
          <w:color w:val="auto"/>
          <w:spacing w:val="1"/>
          <w:sz w:val="24"/>
          <w:szCs w:val="24"/>
          <w:highlight w:val="none"/>
        </w:rPr>
        <w:t>提供参加</w:t>
      </w:r>
      <w:r>
        <w:rPr>
          <w:rFonts w:hint="eastAsia" w:ascii="仿宋" w:hAnsi="仿宋" w:eastAsia="仿宋" w:cs="仿宋"/>
          <w:color w:val="auto"/>
          <w:spacing w:val="1"/>
          <w:sz w:val="24"/>
          <w:szCs w:val="24"/>
          <w:highlight w:val="none"/>
          <w:lang w:val="en-US" w:eastAsia="zh-CN"/>
        </w:rPr>
        <w:t>本次</w:t>
      </w:r>
      <w:r>
        <w:rPr>
          <w:rFonts w:hint="eastAsia" w:ascii="仿宋" w:hAnsi="仿宋" w:eastAsia="仿宋" w:cs="仿宋"/>
          <w:color w:val="auto"/>
          <w:spacing w:val="1"/>
          <w:sz w:val="24"/>
          <w:szCs w:val="24"/>
          <w:highlight w:val="none"/>
        </w:rPr>
        <w:t>政府采购活动前3年内在经营活动中没有重大违法记录的书面声明（重大违法记录，是指投标人因违法经营受到刑事处罚或者责令停产停业、吊销许可证或者执照、较大数额罚款等行政处罚）。</w:t>
      </w:r>
    </w:p>
    <w:p w14:paraId="287F0FC1">
      <w:pPr>
        <w:pageBreakBefore w:val="0"/>
        <w:kinsoku/>
        <w:overflowPunct/>
        <w:topLinePunct w:val="0"/>
        <w:autoSpaceDE w:val="0"/>
        <w:autoSpaceDN/>
        <w:bidi w:val="0"/>
        <w:adjustRightInd/>
        <w:snapToGrid/>
        <w:spacing w:line="360" w:lineRule="auto"/>
        <w:ind w:firstLine="241" w:firstLineChars="1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（7）法律、行政法规规定的其他条件：</w:t>
      </w:r>
    </w:p>
    <w:p w14:paraId="16CEA72D">
      <w:pPr>
        <w:pageBreakBefore w:val="0"/>
        <w:kinsoku/>
        <w:overflowPunct/>
        <w:topLinePunct w:val="0"/>
        <w:autoSpaceDE w:val="0"/>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①投标人应在“信用中国”网站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未被列入失信被执行人、重大税收违法失信主体，中国政府采购网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没有政府采购严重违法失信行为记录。（注：采购人或采购代理机构通过“信用中国”网、“中国政府采购网”等渠道查询相关主体信用记录，若投标人存在被列入失信被执行人、重大税收违法失信主体、政府采购严重违法失信行为记录名单，则投标无效。）</w:t>
      </w:r>
    </w:p>
    <w:p w14:paraId="4418508B">
      <w:pPr>
        <w:pageBreakBefore w:val="0"/>
        <w:kinsoku/>
        <w:overflowPunct/>
        <w:topLinePunct w:val="0"/>
        <w:autoSpaceDE w:val="0"/>
        <w:autoSpaceDN/>
        <w:bidi w:val="0"/>
        <w:adjustRightInd/>
        <w:snapToGrid/>
        <w:spacing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②单位负责人为同一人或者存在直接控股、管理关系的不同投标人，不得参加同一合同项下的政府采购活动。</w:t>
      </w:r>
    </w:p>
    <w:p w14:paraId="28D3E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lang w:val="en-US" w:eastAsia="zh-CN"/>
          <w14:textFill>
            <w14:solidFill>
              <w14:schemeClr w14:val="tx1"/>
            </w14:solidFill>
          </w14:textFill>
        </w:rPr>
        <w:t>分支机构参与投标的，分支机构还须获得总公司（或总公司授权的分公司）出具的授权书。同一家公司的总公司和下属的不同分支机构不能同时参与本项目的采购活动。</w:t>
      </w:r>
    </w:p>
    <w:p w14:paraId="60759AF9">
      <w:pPr>
        <w:pageBreakBefore w:val="0"/>
        <w:kinsoku/>
        <w:overflowPunct/>
        <w:topLinePunct w:val="0"/>
        <w:autoSpaceDE w:val="0"/>
        <w:autoSpaceDN/>
        <w:bidi w:val="0"/>
        <w:adjustRightInd/>
        <w:snapToGrid/>
        <w:spacing w:line="360" w:lineRule="auto"/>
        <w:ind w:firstLine="241" w:firstLineChars="1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2.落实政府采购政策需满足的资格要求：</w:t>
      </w:r>
    </w:p>
    <w:p w14:paraId="27471DAB">
      <w:pPr>
        <w:pageBreakBefore w:val="0"/>
        <w:kinsoku/>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（1）本项目非专门面向中小型企业采购；根据《关于进一步加大政府采购支持中小企业力度的通知》（财库〔2022〕19号），对符合采购文件要求的小型</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微型企业给予价格扣除10%，用扣除后的价格参与评审；监狱企业及残疾人福利性单位视同小微企业。</w:t>
      </w:r>
    </w:p>
    <w:p w14:paraId="7BC6852A">
      <w:pPr>
        <w:pageBreakBefore w:val="0"/>
        <w:kinsoku/>
        <w:overflowPunct/>
        <w:topLinePunct w:val="0"/>
        <w:autoSpaceDE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（2）根据《关于印发中小企业划型标准规定的通知》（工信部联企业〔2011〕300号）文件规定的划分标准，本项目对应的中小企业划分标准所属行业为：工业。</w:t>
      </w:r>
    </w:p>
    <w:p w14:paraId="0EF326D2">
      <w:pPr>
        <w:pageBreakBefore w:val="0"/>
        <w:kinsoku/>
        <w:overflowPunct/>
        <w:topLinePunct w:val="0"/>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本项目强制采购节能产品：无。</w:t>
      </w:r>
    </w:p>
    <w:p w14:paraId="102DD8EE">
      <w:pPr>
        <w:pageBreakBefore w:val="0"/>
        <w:numPr>
          <w:ilvl w:val="0"/>
          <w:numId w:val="0"/>
        </w:numPr>
        <w:kinsoku/>
        <w:overflowPunct/>
        <w:topLinePunct w:val="0"/>
        <w:autoSpaceDE w:val="0"/>
        <w:autoSpaceDN/>
        <w:bidi w:val="0"/>
        <w:adjustRightInd/>
        <w:snapToGrid/>
        <w:spacing w:line="360" w:lineRule="auto"/>
        <w:ind w:firstLine="241"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无。</w:t>
      </w:r>
    </w:p>
    <w:p w14:paraId="6AF987F5">
      <w:pPr>
        <w:pageBreakBefore w:val="0"/>
        <w:kinsoku/>
        <w:overflowPunct/>
        <w:topLinePunct w:val="0"/>
        <w:autoSpaceDE w:val="0"/>
        <w:autoSpaceDN/>
        <w:bidi w:val="0"/>
        <w:adjustRightInd/>
        <w:snapToGrid/>
        <w:spacing w:line="360" w:lineRule="auto"/>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5C6F6B1B">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1.时间：</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bCs/>
          <w:color w:val="auto"/>
          <w:sz w:val="24"/>
          <w:szCs w:val="24"/>
          <w:highlight w:val="none"/>
        </w:rPr>
        <w:t>日18</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00至202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日23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59。</w:t>
      </w:r>
    </w:p>
    <w:p w14:paraId="26054089">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2.地点：政采云平台线上获取。</w:t>
      </w:r>
    </w:p>
    <w:p w14:paraId="437CD9C5">
      <w:pPr>
        <w:pageBreakBefore w:val="0"/>
        <w:kinsoku/>
        <w:wordWrap w:val="0"/>
        <w:overflowPunct/>
        <w:topLinePunct w:val="0"/>
        <w:autoSpaceDE w:val="0"/>
        <w:autoSpaceDN/>
        <w:bidi w:val="0"/>
        <w:adjustRightInd/>
        <w:snapToGrid/>
        <w:spacing w:line="360" w:lineRule="auto"/>
        <w:ind w:firstLine="240" w:firstLineChars="100"/>
        <w:textAlignment w:val="auto"/>
        <w:rPr>
          <w:rFonts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t>3.方式：（1）有意参加投标的投标人</w:t>
      </w:r>
      <w:r>
        <w:rPr>
          <w:rFonts w:hint="eastAsia" w:ascii="仿宋" w:hAnsi="仿宋" w:eastAsia="仿宋" w:cs="仿宋"/>
          <w:color w:val="auto"/>
          <w:spacing w:val="1"/>
          <w:sz w:val="24"/>
          <w:szCs w:val="24"/>
          <w:highlight w:val="none"/>
        </w:rPr>
        <w:t>须注册政采云平台账号并登录办理数字证书（CA），支持云南CA、云南壹证通CA，云南CA申领链接：https</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//cap.yunnanca.net/login，请投标人自行注册办理，云南CA客服热线400-6727-666，紧急联系方式：15288315056；云南壹证通CA申领链接：http</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//yzt.ynsmartcert.cn/登录名bszb（凭此登录名可直接登录）</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云南壹证通CA客服热线：0871-67276028，壹证通CA紧急联系方式：19988166369。</w:t>
      </w:r>
    </w:p>
    <w:p w14:paraId="5ECA7333">
      <w:pPr>
        <w:pageBreakBefore w:val="0"/>
        <w:kinsoku/>
        <w:wordWrap w:val="0"/>
        <w:overflowPunct/>
        <w:topLinePunct w:val="0"/>
        <w:autoSpaceDE w:val="0"/>
        <w:autoSpaceDN/>
        <w:bidi w:val="0"/>
        <w:adjustRightInd/>
        <w:snapToGrid/>
        <w:spacing w:line="360" w:lineRule="auto"/>
        <w:ind w:firstLine="484" w:firstLineChars="200"/>
        <w:textAlignment w:val="auto"/>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（2）数字证书（CA）申领完成后进入政采云平台，企业账号与数字证书（CA）进行绑定，凭企业数字证书（CA）进行项目报名及免费下载招标文件。</w:t>
      </w:r>
    </w:p>
    <w:p w14:paraId="653AC690">
      <w:pPr>
        <w:pageBreakBefore w:val="0"/>
        <w:kinsoku/>
        <w:wordWrap w:val="0"/>
        <w:overflowPunct/>
        <w:topLinePunct w:val="0"/>
        <w:autoSpaceDE w:val="0"/>
        <w:autoSpaceDN/>
        <w:bidi w:val="0"/>
        <w:adjustRightInd/>
        <w:snapToGrid/>
        <w:spacing w:line="360" w:lineRule="auto"/>
        <w:ind w:firstLine="484" w:firstLineChars="200"/>
        <w:textAlignment w:val="auto"/>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（3）按上述要求获取文件的投标人视为已合法获取本项目招标文件，具备本项目的投标资格。</w:t>
      </w:r>
    </w:p>
    <w:p w14:paraId="28E84C2A">
      <w:pPr>
        <w:pageBreakBefore w:val="0"/>
        <w:kinsoku/>
        <w:wordWrap w:val="0"/>
        <w:overflowPunct/>
        <w:topLinePunct w:val="0"/>
        <w:autoSpaceDE w:val="0"/>
        <w:autoSpaceDN/>
        <w:bidi w:val="0"/>
        <w:adjustRightInd/>
        <w:snapToGrid/>
        <w:spacing w:line="360" w:lineRule="auto"/>
        <w:ind w:firstLine="484" w:firstLineChars="200"/>
        <w:textAlignment w:val="auto"/>
        <w:rPr>
          <w:rFonts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（4）如有问题可拨打政采云客户服务热线95763进行咨询。</w:t>
      </w:r>
    </w:p>
    <w:p w14:paraId="5B140AF0">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4.售价：0元/份。</w:t>
      </w:r>
    </w:p>
    <w:p w14:paraId="18146E8C">
      <w:pPr>
        <w:pageBreakBefore w:val="0"/>
        <w:kinsoku/>
        <w:overflowPunct/>
        <w:topLinePunct w:val="0"/>
        <w:autoSpaceDE w:val="0"/>
        <w:autoSpaceDN/>
        <w:bidi w:val="0"/>
        <w:adjustRightInd/>
        <w:snapToGrid/>
        <w:spacing w:line="360" w:lineRule="auto"/>
        <w:jc w:val="left"/>
        <w:textAlignment w:val="auto"/>
        <w:rPr>
          <w:rFonts w:ascii="仿宋" w:hAnsi="仿宋" w:eastAsia="仿宋" w:cs="仿宋"/>
          <w:b/>
          <w:color w:val="auto"/>
          <w:sz w:val="24"/>
          <w:szCs w:val="24"/>
          <w:highlight w:val="none"/>
        </w:rPr>
      </w:pPr>
      <w:bookmarkStart w:id="16" w:name="_Toc35393793"/>
      <w:bookmarkEnd w:id="16"/>
      <w:bookmarkStart w:id="17" w:name="_Toc28359082"/>
      <w:bookmarkEnd w:id="17"/>
      <w:bookmarkStart w:id="18" w:name="_Toc35393624"/>
      <w:bookmarkEnd w:id="18"/>
      <w:bookmarkStart w:id="19" w:name="_Toc28359005"/>
      <w:r>
        <w:rPr>
          <w:rFonts w:hint="eastAsia" w:ascii="仿宋" w:hAnsi="仿宋" w:eastAsia="仿宋" w:cs="仿宋"/>
          <w:b/>
          <w:color w:val="auto"/>
          <w:sz w:val="24"/>
          <w:szCs w:val="24"/>
          <w:highlight w:val="none"/>
        </w:rPr>
        <w:t>四、</w:t>
      </w:r>
      <w:bookmarkEnd w:id="19"/>
      <w:r>
        <w:rPr>
          <w:rFonts w:hint="eastAsia" w:ascii="仿宋" w:hAnsi="仿宋" w:eastAsia="仿宋" w:cs="仿宋"/>
          <w:b/>
          <w:bCs/>
          <w:color w:val="auto"/>
          <w:sz w:val="24"/>
          <w:szCs w:val="24"/>
          <w:highlight w:val="none"/>
        </w:rPr>
        <w:t>提交投标文件截止时间、开标时间和地点</w:t>
      </w:r>
    </w:p>
    <w:p w14:paraId="5CDBBF6D">
      <w:pPr>
        <w:pageBreakBefore w:val="0"/>
        <w:widowControl/>
        <w:kinsoku/>
        <w:overflowPunct/>
        <w:topLinePunct w:val="0"/>
        <w:autoSpaceDE w:val="0"/>
        <w:autoSpaceDN/>
        <w:bidi w:val="0"/>
        <w:adjustRightInd/>
        <w:snapToGrid/>
        <w:spacing w:line="360" w:lineRule="auto"/>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递交投标文件</w:t>
      </w:r>
      <w:r>
        <w:rPr>
          <w:rFonts w:hint="eastAsia" w:ascii="仿宋" w:hAnsi="仿宋" w:eastAsia="仿宋" w:cs="仿宋"/>
          <w:color w:val="auto"/>
          <w:kern w:val="0"/>
          <w:sz w:val="24"/>
          <w:szCs w:val="24"/>
          <w:highlight w:val="none"/>
        </w:rPr>
        <w:t>截止</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09</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00。</w:t>
      </w:r>
    </w:p>
    <w:p w14:paraId="56F51F9A">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2.开标时间：</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09</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00。</w:t>
      </w:r>
    </w:p>
    <w:p w14:paraId="4182F1D5">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3.开标地点：</w:t>
      </w:r>
      <w:r>
        <w:rPr>
          <w:rFonts w:hint="eastAsia" w:ascii="仿宋" w:hAnsi="仿宋" w:eastAsia="仿宋" w:cs="仿宋"/>
          <w:color w:val="auto"/>
          <w:sz w:val="24"/>
          <w:szCs w:val="24"/>
          <w:highlight w:val="none"/>
          <w:lang w:eastAsia="zh-CN"/>
        </w:rPr>
        <w:t>陇川县章凤镇卫国南路26号政务服务中心4楼3号会议室</w:t>
      </w:r>
      <w:r>
        <w:rPr>
          <w:rFonts w:hint="eastAsia" w:ascii="仿宋" w:hAnsi="仿宋" w:eastAsia="仿宋" w:cs="仿宋"/>
          <w:color w:val="auto"/>
          <w:sz w:val="24"/>
          <w:szCs w:val="24"/>
          <w:highlight w:val="none"/>
        </w:rPr>
        <w:t xml:space="preserve">。           </w:t>
      </w:r>
    </w:p>
    <w:p w14:paraId="6D880DEF">
      <w:pPr>
        <w:pageBreakBefore w:val="0"/>
        <w:kinsoku/>
        <w:overflowPunct/>
        <w:topLinePunct w:val="0"/>
        <w:autoSpaceDE w:val="0"/>
        <w:autoSpaceDN/>
        <w:bidi w:val="0"/>
        <w:adjustRightInd/>
        <w:snapToGrid/>
        <w:spacing w:line="360" w:lineRule="auto"/>
        <w:ind w:firstLine="482" w:firstLineChars="200"/>
        <w:jc w:val="left"/>
        <w:textAlignment w:val="auto"/>
        <w:rPr>
          <w:rFonts w:ascii="仿宋" w:hAnsi="仿宋" w:eastAsia="仿宋" w:cs="仿宋"/>
          <w:color w:val="auto"/>
          <w:sz w:val="24"/>
          <w:szCs w:val="24"/>
          <w:highlight w:val="none"/>
        </w:rPr>
      </w:pPr>
      <w:bookmarkStart w:id="20" w:name="_Toc28359094"/>
      <w:bookmarkEnd w:id="20"/>
      <w:bookmarkStart w:id="21" w:name="_Toc35393634"/>
      <w:bookmarkEnd w:id="21"/>
      <w:bookmarkStart w:id="22" w:name="_Toc35393803"/>
      <w:bookmarkEnd w:id="22"/>
      <w:bookmarkStart w:id="23" w:name="_Toc28359017"/>
      <w:r>
        <w:rPr>
          <w:rFonts w:hint="eastAsia" w:ascii="仿宋" w:hAnsi="仿宋" w:eastAsia="仿宋" w:cs="仿宋"/>
          <w:b/>
          <w:bCs/>
          <w:color w:val="auto"/>
          <w:sz w:val="24"/>
          <w:szCs w:val="24"/>
          <w:highlight w:val="none"/>
        </w:rPr>
        <w:t>注：</w:t>
      </w:r>
      <w:bookmarkEnd w:id="23"/>
      <w:r>
        <w:rPr>
          <w:rFonts w:hint="eastAsia" w:ascii="仿宋" w:hAnsi="仿宋" w:eastAsia="仿宋" w:cs="仿宋"/>
          <w:color w:val="auto"/>
          <w:sz w:val="24"/>
          <w:szCs w:val="24"/>
          <w:highlight w:val="none"/>
        </w:rPr>
        <w:t>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668C3867">
      <w:pPr>
        <w:pageBreakBefore w:val="0"/>
        <w:kinsoku/>
        <w:overflowPunct/>
        <w:topLinePunct w:val="0"/>
        <w:autoSpaceDE w:val="0"/>
        <w:autoSpaceDN/>
        <w:bidi w:val="0"/>
        <w:adjustRightInd/>
        <w:snapToGrid/>
        <w:spacing w:line="360" w:lineRule="auto"/>
        <w:jc w:val="left"/>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五、公告期限</w:t>
      </w:r>
    </w:p>
    <w:p w14:paraId="7D8EBF20">
      <w:pPr>
        <w:pageBreakBefore w:val="0"/>
        <w:kinsoku/>
        <w:overflowPunct/>
        <w:topLinePunct w:val="0"/>
        <w:autoSpaceDE w:val="0"/>
        <w:autoSpaceDN/>
        <w:bidi w:val="0"/>
        <w:adjustRightInd/>
        <w:snapToGrid/>
        <w:spacing w:line="360" w:lineRule="auto"/>
        <w:ind w:firstLine="480" w:firstLineChars="200"/>
        <w:textAlignment w:val="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21FA5F85">
      <w:pPr>
        <w:pageBreakBefore w:val="0"/>
        <w:kinsoku/>
        <w:overflowPunct/>
        <w:topLinePunct w:val="0"/>
        <w:autoSpaceDE w:val="0"/>
        <w:autoSpaceDN/>
        <w:bidi w:val="0"/>
        <w:adjustRightInd/>
        <w:snapToGrid/>
        <w:spacing w:line="360" w:lineRule="auto"/>
        <w:jc w:val="left"/>
        <w:textAlignment w:val="auto"/>
        <w:rPr>
          <w:rFonts w:ascii="仿宋" w:hAnsi="仿宋" w:eastAsia="仿宋" w:cs="仿宋"/>
          <w:b/>
          <w:color w:val="auto"/>
          <w:kern w:val="0"/>
          <w:sz w:val="24"/>
          <w:szCs w:val="24"/>
          <w:highlight w:val="none"/>
        </w:rPr>
      </w:pPr>
      <w:bookmarkStart w:id="24" w:name="_Toc35393626"/>
      <w:bookmarkEnd w:id="24"/>
      <w:bookmarkStart w:id="25" w:name="_Toc35393795"/>
      <w:r>
        <w:rPr>
          <w:rFonts w:hint="eastAsia" w:ascii="仿宋" w:hAnsi="仿宋" w:eastAsia="仿宋" w:cs="仿宋"/>
          <w:b/>
          <w:color w:val="auto"/>
          <w:kern w:val="0"/>
          <w:sz w:val="24"/>
          <w:szCs w:val="24"/>
          <w:highlight w:val="none"/>
        </w:rPr>
        <w:t>六、其他补充事宜</w:t>
      </w:r>
      <w:bookmarkEnd w:id="25"/>
    </w:p>
    <w:p w14:paraId="0DC59471">
      <w:pPr>
        <w:pageBreakBefore w:val="0"/>
        <w:kinsoku/>
        <w:overflowPunct/>
        <w:topLinePunct w:val="0"/>
        <w:autoSpaceDE w:val="0"/>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1.开标方式：网上开标</w:t>
      </w:r>
      <w:r>
        <w:rPr>
          <w:rFonts w:hint="eastAsia" w:ascii="仿宋" w:hAnsi="仿宋" w:eastAsia="仿宋" w:cs="仿宋"/>
          <w:color w:val="auto"/>
          <w:sz w:val="24"/>
          <w:szCs w:val="24"/>
          <w:highlight w:val="none"/>
          <w:lang w:eastAsia="zh-CN"/>
        </w:rPr>
        <w:t>。</w:t>
      </w:r>
    </w:p>
    <w:p w14:paraId="5CE040A8">
      <w:pPr>
        <w:pageBreakBefore w:val="0"/>
        <w:kinsoku/>
        <w:overflowPunct/>
        <w:topLinePunct w:val="0"/>
        <w:autoSpaceDE w:val="0"/>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2.是否需要缴纳投标保证金：是</w:t>
      </w:r>
      <w:r>
        <w:rPr>
          <w:rFonts w:hint="eastAsia" w:ascii="仿宋" w:hAnsi="仿宋" w:eastAsia="仿宋" w:cs="仿宋"/>
          <w:color w:val="auto"/>
          <w:sz w:val="24"/>
          <w:szCs w:val="24"/>
          <w:highlight w:val="none"/>
          <w:lang w:eastAsia="zh-CN"/>
        </w:rPr>
        <w:t>。</w:t>
      </w:r>
    </w:p>
    <w:p w14:paraId="003A281C">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3.保证金金额：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000.00元。</w:t>
      </w:r>
    </w:p>
    <w:p w14:paraId="5BA6AF09">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4.保证金缴纳方式：银行转账或银行保函或保证保险及法律法规规定的其他情形。</w:t>
      </w:r>
    </w:p>
    <w:p w14:paraId="706145B4">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5.保证金缴纳截止时间：</w:t>
      </w: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09</w:t>
      </w:r>
      <w:r>
        <w:rPr>
          <w:rFonts w:hint="eastAsia" w:ascii="仿宋" w:hAnsi="仿宋" w:eastAsia="仿宋" w:cs="仿宋"/>
          <w:b/>
          <w:bCs/>
          <w:color w:val="auto"/>
          <w:sz w:val="24"/>
          <w:szCs w:val="24"/>
          <w:highlight w:val="none"/>
          <w:lang w:eastAsia="zh-CN"/>
        </w:rPr>
        <w:t>:00</w:t>
      </w:r>
      <w:r>
        <w:rPr>
          <w:rFonts w:hint="eastAsia" w:ascii="仿宋" w:hAnsi="仿宋" w:eastAsia="仿宋" w:cs="仿宋"/>
          <w:b/>
          <w:bCs/>
          <w:color w:val="auto"/>
          <w:sz w:val="24"/>
          <w:szCs w:val="24"/>
          <w:highlight w:val="none"/>
        </w:rPr>
        <w:t>前</w:t>
      </w:r>
      <w:r>
        <w:rPr>
          <w:rFonts w:hint="eastAsia" w:ascii="仿宋" w:hAnsi="仿宋" w:eastAsia="仿宋" w:cs="仿宋"/>
          <w:color w:val="auto"/>
          <w:sz w:val="24"/>
          <w:szCs w:val="24"/>
          <w:highlight w:val="none"/>
        </w:rPr>
        <w:t>（北京时间）。</w:t>
      </w:r>
    </w:p>
    <w:p w14:paraId="29ED7C73">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6.其他：</w:t>
      </w:r>
    </w:p>
    <w:p w14:paraId="41DBFDEB">
      <w:pPr>
        <w:pageBreakBefore w:val="0"/>
        <w:kinsoku/>
        <w:overflowPunct/>
        <w:topLinePunct w:val="0"/>
        <w:autoSpaceDE w:val="0"/>
        <w:autoSpaceDN/>
        <w:bidi w:val="0"/>
        <w:adjustRightInd/>
        <w:snapToGrid/>
        <w:spacing w:line="360" w:lineRule="auto"/>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（1）本次招标公告在云南省政府采购网（http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上发布，公告内容和时间以云南省政府采购网发布的信息为准。</w:t>
      </w:r>
    </w:p>
    <w:p w14:paraId="218E193C">
      <w:pPr>
        <w:pageBreakBefore w:val="0"/>
        <w:kinsoku/>
        <w:overflowPunct/>
        <w:topLinePunct w:val="0"/>
        <w:autoSpaceDE w:val="0"/>
        <w:autoSpaceDN/>
        <w:bidi w:val="0"/>
        <w:adjustRightInd/>
        <w:snapToGrid/>
        <w:spacing w:line="360" w:lineRule="auto"/>
        <w:ind w:firstLine="240" w:firstLineChars="1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（2）本项目执行政府采购促进中小企业发展、支持监狱企业、促进残疾人就业等政府采购政策。</w:t>
      </w:r>
    </w:p>
    <w:p w14:paraId="35F403EB">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（3）本项目实行网上投标，采用电子投标文件；</w:t>
      </w:r>
    </w:p>
    <w:p w14:paraId="7135F8FA">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（4）各投标人应在开标前应确保成为政采云平台投标人，并完成CA数字证书申领。因未注册入库、未办理CA数字证书等原因造成无法投标或投标失败等后果由投标人自行承担。</w:t>
      </w:r>
    </w:p>
    <w:p w14:paraId="2EEA5784">
      <w:pPr>
        <w:pageBreakBefore w:val="0"/>
        <w:kinsoku/>
        <w:overflowPunct/>
        <w:topLinePunct w:val="0"/>
        <w:autoSpaceDE w:val="0"/>
        <w:autoSpaceDN/>
        <w:bidi w:val="0"/>
        <w:adjustRightInd/>
        <w:snapToGrid/>
        <w:spacing w:line="360" w:lineRule="auto"/>
        <w:ind w:firstLine="240" w:firstLineChars="1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将政采云电子交易客户端下载、安装完成后，可通过账号密码或CA登录客户端进行投标文件的制作。在使用政采云投标客户端时，建议使用WIN7（64位）及以上操作系统。客户端请至政采云公司网站（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edu.zcygov.cn/luban/yunnan-dzjy-gys）进行查看下载，如有问题可拨打政采云客户服务热线95763进行咨询，如因投标人自身原因导致在规定时间内无法正常解密的（如：浏览器故障、未安装相关驱动、网络故障、加密CA与解密CA不一致等），代理机构不予异常处理，视为投标人自动弃标。</w:t>
      </w:r>
    </w:p>
    <w:p w14:paraId="3F746465">
      <w:pPr>
        <w:pageBreakBefore w:val="0"/>
        <w:kinsoku/>
        <w:overflowPunct/>
        <w:topLinePunct w:val="0"/>
        <w:autoSpaceDE w:val="0"/>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7.监督部门及电话</w:t>
      </w:r>
    </w:p>
    <w:p w14:paraId="507A7762">
      <w:pPr>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color w:val="000000" w:themeColor="text1"/>
          <w:sz w:val="24"/>
          <w:szCs w:val="22"/>
          <w:highlight w:val="none"/>
          <w:lang w:val="en-US" w:eastAsia="zh-CN"/>
          <w14:textFill>
            <w14:solidFill>
              <w14:schemeClr w14:val="tx1"/>
            </w14:solidFill>
          </w14:textFill>
        </w:rPr>
      </w:pPr>
      <w:bookmarkStart w:id="26" w:name="_Toc28359008"/>
      <w:bookmarkEnd w:id="26"/>
      <w:bookmarkStart w:id="27" w:name="_Toc28359085"/>
      <w:bookmarkEnd w:id="27"/>
      <w:bookmarkStart w:id="28" w:name="_Toc35393796"/>
      <w:bookmarkEnd w:id="28"/>
      <w:r>
        <w:rPr>
          <w:rFonts w:hint="eastAsia" w:ascii="仿宋" w:hAnsi="仿宋" w:eastAsia="仿宋" w:cs="仿宋"/>
          <w:color w:val="000000"/>
          <w:sz w:val="24"/>
          <w:szCs w:val="22"/>
          <w:highlight w:val="none"/>
          <w:lang w:val="en-US" w:eastAsia="zh-CN"/>
        </w:rPr>
        <w:t>行业监督部门及联系电</w:t>
      </w:r>
      <w:r>
        <w:rPr>
          <w:rFonts w:hint="eastAsia" w:ascii="仿宋" w:hAnsi="仿宋" w:eastAsia="仿宋" w:cs="仿宋"/>
          <w:color w:val="000000" w:themeColor="text1"/>
          <w:sz w:val="24"/>
          <w:szCs w:val="24"/>
          <w:highlight w:val="none"/>
          <w:lang w:val="en-US" w:eastAsia="zh-CN"/>
          <w14:textFill>
            <w14:solidFill>
              <w14:schemeClr w14:val="tx1"/>
            </w14:solidFill>
          </w14:textFill>
        </w:rPr>
        <w:t>话：</w:t>
      </w:r>
      <w:r>
        <w:rPr>
          <w:rFonts w:hint="eastAsia" w:ascii="仿宋" w:hAnsi="仿宋" w:eastAsia="仿宋" w:cs="仿宋"/>
          <w:color w:val="auto"/>
          <w:sz w:val="24"/>
          <w:szCs w:val="24"/>
          <w:highlight w:val="none"/>
          <w:lang w:val="en-US" w:eastAsia="zh-CN"/>
        </w:rPr>
        <w:t>陇川县财政局0692-7173146</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7B8D6281">
      <w:pPr>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纪检监督联系电话：0692-12388。</w:t>
      </w:r>
    </w:p>
    <w:p w14:paraId="12640629">
      <w:pPr>
        <w:pageBreakBefore w:val="0"/>
        <w:kinsoku/>
        <w:overflowPunct/>
        <w:topLinePunct w:val="0"/>
        <w:autoSpaceDE w:val="0"/>
        <w:autoSpaceDN/>
        <w:bidi w:val="0"/>
        <w:adjustRightInd/>
        <w:snapToGrid/>
        <w:spacing w:line="360" w:lineRule="auto"/>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七、对本次采购提出询问，请按以下方式联系</w:t>
      </w:r>
    </w:p>
    <w:p w14:paraId="4ACF48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1"/>
        <w:rPr>
          <w:rFonts w:hint="eastAsia" w:ascii="仿宋" w:hAnsi="仿宋" w:eastAsia="仿宋" w:cs="仿宋"/>
          <w:color w:val="000000" w:themeColor="text1"/>
          <w:sz w:val="24"/>
          <w:szCs w:val="24"/>
          <w:highlight w:val="none"/>
          <w:u w:val="none"/>
          <w14:textFill>
            <w14:solidFill>
              <w14:schemeClr w14:val="tx1"/>
            </w14:solidFill>
          </w14:textFill>
        </w:rPr>
      </w:pPr>
      <w:bookmarkStart w:id="29" w:name="_Toc35393808"/>
      <w:bookmarkEnd w:id="29"/>
      <w:r>
        <w:rPr>
          <w:rFonts w:hint="eastAsia" w:ascii="仿宋" w:hAnsi="仿宋" w:eastAsia="仿宋" w:cs="仿宋"/>
          <w:color w:val="000000" w:themeColor="text1"/>
          <w:sz w:val="24"/>
          <w:szCs w:val="24"/>
          <w:highlight w:val="none"/>
          <w:u w:val="none"/>
          <w14:textFill>
            <w14:solidFill>
              <w14:schemeClr w14:val="tx1"/>
            </w14:solidFill>
          </w14:textFill>
        </w:rPr>
        <w:t>1.采购人信息</w:t>
      </w:r>
    </w:p>
    <w:p w14:paraId="66044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名称：陇川县教育体育局</w:t>
      </w:r>
    </w:p>
    <w:p w14:paraId="51F981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t>陇川县章凤镇卫国南路1号</w:t>
      </w:r>
      <w:r>
        <w:rPr>
          <w:rFonts w:hint="eastAsia" w:ascii="仿宋" w:hAnsi="仿宋" w:eastAsia="仿宋" w:cs="仿宋"/>
          <w:caps w:val="0"/>
          <w:color w:val="000000" w:themeColor="text1"/>
          <w:spacing w:val="0"/>
          <w:sz w:val="24"/>
          <w:szCs w:val="24"/>
          <w:highlight w:val="none"/>
          <w:u w:val="none"/>
          <w:lang w:val="en-US" w:eastAsia="zh-CN"/>
          <w14:textFill>
            <w14:solidFill>
              <w14:schemeClr w14:val="tx1"/>
            </w14:solidFill>
          </w14:textFill>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p>
    <w:p w14:paraId="553908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aps w:val="0"/>
          <w:spacing w:val="0"/>
          <w:sz w:val="24"/>
          <w:szCs w:val="24"/>
          <w:highlight w:val="none"/>
          <w:u w:val="none"/>
          <w:lang w:val="en-US" w:eastAsia="zh-CN"/>
        </w:rPr>
        <w:t>18988223392</w:t>
      </w:r>
    </w:p>
    <w:p w14:paraId="74CD453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2.采购代理机构信息</w:t>
      </w:r>
    </w:p>
    <w:p w14:paraId="12668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名称：德宏州润宇招标代理有限公司 </w:t>
      </w:r>
    </w:p>
    <w:p w14:paraId="08EF2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地址：云南省德宏州芒市华江水岸星城S1-35号</w:t>
      </w:r>
    </w:p>
    <w:p w14:paraId="52DD60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联系方式：0692-2982116</w:t>
      </w:r>
    </w:p>
    <w:p w14:paraId="4B37CA5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instrText xml:space="preserve"> HYPERLINK "http:///" </w:instrTex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end"/>
      </w:r>
      <w:bookmarkStart w:id="30" w:name="_Toc28359098"/>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instrText xml:space="preserve"> HYPERLINK "http:///" </w:instrTex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separate"/>
      </w:r>
      <w:bookmarkEnd w:id="30"/>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end"/>
      </w:r>
      <w:bookmarkStart w:id="31" w:name="_Toc28359021"/>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instrText xml:space="preserve"> HYPERLINK "http:///" </w:instrTex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separate"/>
      </w:r>
      <w:bookmarkEnd w:id="31"/>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3.项目联系方式</w:t>
      </w:r>
    </w:p>
    <w:p w14:paraId="2EFB3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项目联系人：</w:t>
      </w:r>
      <w:r>
        <w:rPr>
          <w:rFonts w:hint="eastAsia" w:ascii="仿宋" w:hAnsi="仿宋" w:eastAsia="仿宋" w:cs="仿宋"/>
          <w:color w:val="auto"/>
          <w:sz w:val="24"/>
          <w:szCs w:val="24"/>
          <w:highlight w:val="none"/>
          <w:lang w:val="en-US" w:eastAsia="zh-CN"/>
        </w:rPr>
        <w:t>杨荣可</w:t>
      </w:r>
    </w:p>
    <w:p w14:paraId="6B3CE3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电话：</w:t>
      </w:r>
      <w:r>
        <w:rPr>
          <w:rFonts w:hint="eastAsia" w:ascii="仿宋" w:hAnsi="仿宋" w:eastAsia="仿宋" w:cs="仿宋"/>
          <w:color w:val="auto"/>
          <w:sz w:val="24"/>
          <w:szCs w:val="24"/>
          <w:highlight w:val="none"/>
          <w:lang w:val="en-US" w:eastAsia="zh-CN"/>
        </w:rPr>
        <w:t>13629489459</w:t>
      </w:r>
    </w:p>
    <w:p w14:paraId="18C8C58C">
      <w:pPr>
        <w:spacing w:line="360" w:lineRule="auto"/>
        <w:ind w:firstLine="480" w:firstLineChars="200"/>
        <w:rPr>
          <w:rFonts w:ascii="仿宋" w:hAnsi="仿宋" w:eastAsia="仿宋" w:cs="仿宋"/>
          <w:color w:val="auto"/>
          <w:sz w:val="24"/>
          <w:szCs w:val="24"/>
          <w:highlight w:val="none"/>
        </w:rPr>
      </w:pPr>
    </w:p>
    <w:p w14:paraId="57848391">
      <w:pPr>
        <w:spacing w:line="360" w:lineRule="auto"/>
        <w:ind w:firstLine="480" w:firstLineChars="200"/>
        <w:rPr>
          <w:rFonts w:ascii="仿宋" w:hAnsi="仿宋" w:eastAsia="仿宋" w:cs="仿宋"/>
          <w:color w:val="auto"/>
          <w:sz w:val="24"/>
          <w:szCs w:val="24"/>
          <w:highlight w:val="none"/>
        </w:rPr>
      </w:pPr>
    </w:p>
    <w:p w14:paraId="5FB39458">
      <w:pPr>
        <w:rPr>
          <w:rFonts w:ascii="仿宋" w:hAnsi="仿宋" w:eastAsia="仿宋" w:cs="仿宋"/>
          <w:b/>
          <w:bCs/>
          <w:caps/>
          <w:color w:val="auto"/>
          <w:sz w:val="32"/>
          <w:szCs w:val="32"/>
          <w:highlight w:val="none"/>
        </w:rPr>
      </w:pPr>
      <w:bookmarkStart w:id="32" w:name="_Toc14399"/>
      <w:r>
        <w:rPr>
          <w:rFonts w:hint="eastAsia" w:ascii="仿宋" w:hAnsi="仿宋" w:eastAsia="仿宋" w:cs="仿宋"/>
          <w:b/>
          <w:bCs/>
          <w:caps/>
          <w:color w:val="auto"/>
          <w:sz w:val="32"/>
          <w:szCs w:val="32"/>
          <w:highlight w:val="none"/>
        </w:rPr>
        <w:br w:type="page"/>
      </w:r>
    </w:p>
    <w:p w14:paraId="425D339D">
      <w:pPr>
        <w:autoSpaceDE w:val="0"/>
        <w:spacing w:line="360" w:lineRule="auto"/>
        <w:jc w:val="center"/>
        <w:outlineLvl w:val="0"/>
        <w:rPr>
          <w:rFonts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第二章  投标人须知</w:t>
      </w:r>
      <w:bookmarkEnd w:id="32"/>
    </w:p>
    <w:p w14:paraId="1FA53868">
      <w:pPr>
        <w:pStyle w:val="3"/>
        <w:keepLines w:val="0"/>
        <w:autoSpaceDE w:val="0"/>
        <w:spacing w:before="0" w:after="0" w:line="360" w:lineRule="auto"/>
        <w:jc w:val="center"/>
        <w:rPr>
          <w:rFonts w:ascii="仿宋" w:hAnsi="仿宋" w:eastAsia="仿宋" w:cs="仿宋"/>
          <w:color w:val="auto"/>
          <w:highlight w:val="none"/>
        </w:rPr>
      </w:pPr>
      <w:bookmarkStart w:id="33" w:name="_Toc27959"/>
      <w:bookmarkEnd w:id="33"/>
      <w:bookmarkStart w:id="34" w:name="_Toc393354829"/>
      <w:bookmarkEnd w:id="34"/>
      <w:bookmarkStart w:id="35" w:name="_Toc486885395"/>
      <w:r>
        <w:rPr>
          <w:rFonts w:hint="eastAsia" w:ascii="仿宋" w:hAnsi="仿宋" w:eastAsia="仿宋" w:cs="仿宋"/>
          <w:color w:val="auto"/>
          <w:highlight w:val="none"/>
        </w:rPr>
        <w:t>投标人</w:t>
      </w:r>
      <w:bookmarkEnd w:id="35"/>
      <w:r>
        <w:rPr>
          <w:rFonts w:hint="eastAsia" w:ascii="仿宋" w:hAnsi="仿宋" w:eastAsia="仿宋" w:cs="仿宋"/>
          <w:color w:val="auto"/>
          <w:highlight w:val="none"/>
        </w:rPr>
        <w:t>须知前附表</w:t>
      </w:r>
    </w:p>
    <w:tbl>
      <w:tblPr>
        <w:tblStyle w:val="2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27"/>
        <w:gridCol w:w="6647"/>
      </w:tblGrid>
      <w:tr w14:paraId="731C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0537074">
            <w:pPr>
              <w:pStyle w:val="10"/>
              <w:spacing w:line="360" w:lineRule="auto"/>
              <w:jc w:val="center"/>
              <w:rPr>
                <w:rFonts w:ascii="仿宋" w:hAnsi="仿宋" w:eastAsia="仿宋" w:cs="仿宋"/>
                <w:b/>
                <w:color w:val="auto"/>
                <w:sz w:val="24"/>
                <w:szCs w:val="24"/>
                <w:highlight w:val="none"/>
              </w:rPr>
            </w:pPr>
            <w:bookmarkStart w:id="36" w:name="_Toc19039"/>
            <w:r>
              <w:rPr>
                <w:rFonts w:hint="eastAsia" w:ascii="仿宋" w:hAnsi="仿宋" w:eastAsia="仿宋" w:cs="仿宋"/>
                <w:b/>
                <w:color w:val="auto"/>
                <w:sz w:val="24"/>
                <w:szCs w:val="24"/>
                <w:highlight w:val="none"/>
              </w:rPr>
              <w:t>条款号</w:t>
            </w:r>
            <w:bookmarkEnd w:id="36"/>
          </w:p>
        </w:tc>
        <w:tc>
          <w:tcPr>
            <w:tcW w:w="1727" w:type="dxa"/>
            <w:tcBorders>
              <w:top w:val="single" w:color="auto" w:sz="4" w:space="0"/>
              <w:left w:val="single" w:color="auto" w:sz="4" w:space="0"/>
              <w:bottom w:val="single" w:color="auto" w:sz="4" w:space="0"/>
              <w:right w:val="single" w:color="auto" w:sz="4" w:space="0"/>
            </w:tcBorders>
            <w:vAlign w:val="center"/>
          </w:tcPr>
          <w:p w14:paraId="5B1ECF64">
            <w:pPr>
              <w:pStyle w:val="1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 款 名 称</w:t>
            </w:r>
          </w:p>
        </w:tc>
        <w:tc>
          <w:tcPr>
            <w:tcW w:w="6647" w:type="dxa"/>
            <w:tcBorders>
              <w:top w:val="single" w:color="auto" w:sz="4" w:space="0"/>
              <w:left w:val="single" w:color="auto" w:sz="4" w:space="0"/>
              <w:bottom w:val="single" w:color="auto" w:sz="4" w:space="0"/>
              <w:right w:val="single" w:color="auto" w:sz="4" w:space="0"/>
            </w:tcBorders>
            <w:vAlign w:val="center"/>
          </w:tcPr>
          <w:p w14:paraId="601325B7">
            <w:pPr>
              <w:pStyle w:val="1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14:paraId="63D6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5DFA3868">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w:t>
            </w:r>
          </w:p>
        </w:tc>
        <w:tc>
          <w:tcPr>
            <w:tcW w:w="1727" w:type="dxa"/>
            <w:tcBorders>
              <w:top w:val="single" w:color="auto" w:sz="4" w:space="0"/>
              <w:left w:val="single" w:color="auto" w:sz="4" w:space="0"/>
              <w:bottom w:val="single" w:color="auto" w:sz="4" w:space="0"/>
              <w:right w:val="single" w:color="auto" w:sz="4" w:space="0"/>
            </w:tcBorders>
            <w:vAlign w:val="center"/>
          </w:tcPr>
          <w:p w14:paraId="4FFC15B0">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采购人</w:t>
            </w:r>
          </w:p>
        </w:tc>
        <w:tc>
          <w:tcPr>
            <w:tcW w:w="6647" w:type="dxa"/>
            <w:tcBorders>
              <w:top w:val="single" w:color="auto" w:sz="4" w:space="0"/>
              <w:left w:val="single" w:color="auto" w:sz="4" w:space="0"/>
              <w:bottom w:val="single" w:color="auto" w:sz="4" w:space="0"/>
              <w:right w:val="single" w:color="auto" w:sz="4" w:space="0"/>
            </w:tcBorders>
            <w:vAlign w:val="center"/>
          </w:tcPr>
          <w:p w14:paraId="0BE4EA1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bCs/>
                <w:color w:val="auto"/>
                <w:sz w:val="24"/>
                <w:szCs w:val="24"/>
                <w:highlight w:val="none"/>
                <w:lang w:val="en-US" w:eastAsia="zh-CN"/>
              </w:rPr>
              <w:t>名称</w:t>
            </w:r>
            <w:r>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t>：</w:t>
            </w:r>
            <w:r>
              <w:rPr>
                <w:rFonts w:hint="eastAsia" w:ascii="仿宋" w:hAnsi="仿宋" w:eastAsia="仿宋" w:cs="仿宋"/>
                <w:caps w:val="0"/>
                <w:spacing w:val="0"/>
                <w:sz w:val="24"/>
                <w:szCs w:val="24"/>
                <w:highlight w:val="none"/>
                <w:u w:val="none"/>
                <w:lang w:val="en-US" w:eastAsia="zh-CN"/>
              </w:rPr>
              <w:t>陇川县教育体育局</w:t>
            </w:r>
          </w:p>
          <w:p w14:paraId="6173A700">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t>统一社会信用代码：11533124015270580X</w:t>
            </w:r>
          </w:p>
          <w:p w14:paraId="42C783CE">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t>地址：陇川县章凤镇卫国南路1号</w:t>
            </w:r>
            <w:r>
              <w:rPr>
                <w:rFonts w:hint="eastAsia" w:ascii="仿宋" w:hAnsi="仿宋" w:eastAsia="仿宋" w:cs="仿宋"/>
                <w:caps w:val="0"/>
                <w:color w:val="000000" w:themeColor="text1"/>
                <w:spacing w:val="0"/>
                <w:sz w:val="24"/>
                <w:szCs w:val="24"/>
                <w:highlight w:val="none"/>
                <w:u w:val="none"/>
                <w:lang w:val="en-US" w:eastAsia="zh-CN"/>
                <w14:textFill>
                  <w14:solidFill>
                    <w14:schemeClr w14:val="tx1"/>
                  </w14:solidFill>
                </w14:textFill>
              </w:rPr>
              <w:t xml:space="preserve"> </w:t>
            </w:r>
          </w:p>
          <w:p w14:paraId="54F052EA">
            <w:pPr>
              <w:spacing w:line="360" w:lineRule="auto"/>
              <w:rPr>
                <w:rFonts w:ascii="仿宋" w:hAnsi="仿宋" w:eastAsia="仿宋" w:cs="仿宋"/>
                <w:color w:val="auto"/>
                <w:highlight w:val="none"/>
              </w:rPr>
            </w:pPr>
            <w:r>
              <w:rPr>
                <w:rFonts w:hint="eastAsia" w:ascii="仿宋" w:hAnsi="仿宋" w:eastAsia="仿宋" w:cs="仿宋"/>
                <w:bCs/>
                <w:caps w:val="0"/>
                <w:color w:val="000000" w:themeColor="text1"/>
                <w:spacing w:val="0"/>
                <w:sz w:val="24"/>
                <w:szCs w:val="24"/>
                <w:highlight w:val="none"/>
                <w:lang w:val="en-US" w:eastAsia="zh-CN"/>
                <w14:textFill>
                  <w14:solidFill>
                    <w14:schemeClr w14:val="tx1"/>
                  </w14:solidFill>
                </w14:textFill>
              </w:rPr>
              <w:t xml:space="preserve">联系人及联系方式：许老师 </w:t>
            </w:r>
            <w:r>
              <w:rPr>
                <w:rFonts w:hint="eastAsia" w:ascii="仿宋" w:hAnsi="仿宋" w:eastAsia="仿宋" w:cs="仿宋"/>
                <w:caps w:val="0"/>
                <w:spacing w:val="0"/>
                <w:sz w:val="24"/>
                <w:szCs w:val="24"/>
                <w:highlight w:val="none"/>
                <w:u w:val="none"/>
                <w:lang w:val="en-US" w:eastAsia="zh-CN"/>
              </w:rPr>
              <w:t>18988223392</w:t>
            </w:r>
          </w:p>
        </w:tc>
      </w:tr>
      <w:tr w14:paraId="483D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50DE74BC">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w:t>
            </w:r>
          </w:p>
        </w:tc>
        <w:tc>
          <w:tcPr>
            <w:tcW w:w="1727" w:type="dxa"/>
            <w:tcBorders>
              <w:top w:val="single" w:color="auto" w:sz="4" w:space="0"/>
              <w:left w:val="single" w:color="auto" w:sz="4" w:space="0"/>
              <w:bottom w:val="single" w:color="auto" w:sz="4" w:space="0"/>
              <w:right w:val="single" w:color="auto" w:sz="4" w:space="0"/>
            </w:tcBorders>
            <w:vAlign w:val="center"/>
          </w:tcPr>
          <w:p w14:paraId="5BB136FA">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47" w:type="dxa"/>
            <w:tcBorders>
              <w:top w:val="single" w:color="auto" w:sz="4" w:space="0"/>
              <w:left w:val="single" w:color="auto" w:sz="4" w:space="0"/>
              <w:bottom w:val="single" w:color="auto" w:sz="4" w:space="0"/>
              <w:right w:val="single" w:color="auto" w:sz="4" w:space="0"/>
            </w:tcBorders>
            <w:vAlign w:val="center"/>
          </w:tcPr>
          <w:p w14:paraId="59333CC9">
            <w:pPr>
              <w:autoSpaceDE w:val="0"/>
              <w:spacing w:line="360" w:lineRule="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 xml:space="preserve">代理机构：德宏州润宇招标代理有限公司 </w:t>
            </w:r>
          </w:p>
          <w:p w14:paraId="5715F502">
            <w:pPr>
              <w:autoSpaceDE w:val="0"/>
              <w:spacing w:line="360" w:lineRule="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统一社会信用代码：91533103MA6MYWY66B</w:t>
            </w:r>
          </w:p>
          <w:p w14:paraId="70664418">
            <w:pPr>
              <w:autoSpaceDE w:val="0"/>
              <w:spacing w:line="360" w:lineRule="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公司地址：德宏州芒市华江水岸星城S1-35号</w:t>
            </w:r>
          </w:p>
          <w:p w14:paraId="631270EF">
            <w:pPr>
              <w:pStyle w:val="10"/>
              <w:spacing w:line="360" w:lineRule="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联系人及联系方式：杨荣可13629489459</w:t>
            </w:r>
          </w:p>
        </w:tc>
      </w:tr>
      <w:tr w14:paraId="5FBA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30931D3">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w:t>
            </w:r>
          </w:p>
        </w:tc>
        <w:tc>
          <w:tcPr>
            <w:tcW w:w="1727" w:type="dxa"/>
            <w:tcBorders>
              <w:top w:val="single" w:color="auto" w:sz="4" w:space="0"/>
              <w:left w:val="single" w:color="auto" w:sz="4" w:space="0"/>
              <w:bottom w:val="single" w:color="auto" w:sz="4" w:space="0"/>
              <w:right w:val="single" w:color="auto" w:sz="4" w:space="0"/>
            </w:tcBorders>
            <w:vAlign w:val="center"/>
          </w:tcPr>
          <w:p w14:paraId="4DAB86E1">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647" w:type="dxa"/>
            <w:tcBorders>
              <w:top w:val="single" w:color="auto" w:sz="4" w:space="0"/>
              <w:left w:val="single" w:color="auto" w:sz="4" w:space="0"/>
              <w:bottom w:val="single" w:color="auto" w:sz="4" w:space="0"/>
              <w:right w:val="single" w:color="auto" w:sz="4" w:space="0"/>
            </w:tcBorders>
            <w:vAlign w:val="center"/>
          </w:tcPr>
          <w:p w14:paraId="5A9DF316">
            <w:pPr>
              <w:autoSpaceDE w:val="0"/>
              <w:spacing w:line="360" w:lineRule="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陇川县2026年职业教育能力提升项目（制衣设备）</w:t>
            </w:r>
          </w:p>
        </w:tc>
      </w:tr>
      <w:tr w14:paraId="0C04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9349CE1">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1727" w:type="dxa"/>
            <w:tcBorders>
              <w:top w:val="single" w:color="auto" w:sz="4" w:space="0"/>
              <w:left w:val="single" w:color="auto" w:sz="4" w:space="0"/>
              <w:bottom w:val="single" w:color="auto" w:sz="4" w:space="0"/>
              <w:right w:val="single" w:color="auto" w:sz="4" w:space="0"/>
            </w:tcBorders>
            <w:vAlign w:val="center"/>
          </w:tcPr>
          <w:p w14:paraId="25A2F997">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647" w:type="dxa"/>
            <w:tcBorders>
              <w:top w:val="single" w:color="auto" w:sz="4" w:space="0"/>
              <w:left w:val="single" w:color="auto" w:sz="4" w:space="0"/>
              <w:bottom w:val="single" w:color="auto" w:sz="4" w:space="0"/>
              <w:right w:val="single" w:color="auto" w:sz="4" w:space="0"/>
            </w:tcBorders>
            <w:vAlign w:val="center"/>
          </w:tcPr>
          <w:p w14:paraId="30D6322A">
            <w:pPr>
              <w:pStyle w:val="10"/>
              <w:spacing w:line="360" w:lineRule="auto"/>
              <w:jc w:val="left"/>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已落实</w:t>
            </w:r>
          </w:p>
        </w:tc>
      </w:tr>
      <w:tr w14:paraId="68DE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5DABC903">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1727" w:type="dxa"/>
            <w:tcBorders>
              <w:top w:val="single" w:color="auto" w:sz="4" w:space="0"/>
              <w:left w:val="single" w:color="auto" w:sz="4" w:space="0"/>
              <w:bottom w:val="single" w:color="auto" w:sz="4" w:space="0"/>
              <w:right w:val="single" w:color="auto" w:sz="4" w:space="0"/>
            </w:tcBorders>
            <w:vAlign w:val="center"/>
          </w:tcPr>
          <w:p w14:paraId="5E7D9628">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6647" w:type="dxa"/>
            <w:tcBorders>
              <w:top w:val="single" w:color="auto" w:sz="4" w:space="0"/>
              <w:left w:val="single" w:color="auto" w:sz="4" w:space="0"/>
              <w:bottom w:val="single" w:color="auto" w:sz="4" w:space="0"/>
              <w:right w:val="single" w:color="auto" w:sz="4" w:space="0"/>
            </w:tcBorders>
            <w:vAlign w:val="center"/>
          </w:tcPr>
          <w:p w14:paraId="4E396445">
            <w:pPr>
              <w:pageBreakBefore w:val="0"/>
              <w:numPr>
                <w:ilvl w:val="0"/>
                <w:numId w:val="0"/>
              </w:numPr>
              <w:kinsoku/>
              <w:overflowPunct/>
              <w:topLinePunct w:val="0"/>
              <w:autoSpaceDN/>
              <w:bidi w:val="0"/>
              <w:adjustRightInd/>
              <w:snapToGrid/>
              <w:spacing w:line="348" w:lineRule="auto"/>
              <w:jc w:val="left"/>
              <w:textAlignment w:val="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采购采购制衣设备一批，具体内容详见第三章采购需求。</w:t>
            </w:r>
          </w:p>
        </w:tc>
      </w:tr>
      <w:tr w14:paraId="3676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9E0E521">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w:t>
            </w:r>
          </w:p>
        </w:tc>
        <w:tc>
          <w:tcPr>
            <w:tcW w:w="1727" w:type="dxa"/>
            <w:tcBorders>
              <w:top w:val="single" w:color="auto" w:sz="4" w:space="0"/>
              <w:left w:val="single" w:color="auto" w:sz="4" w:space="0"/>
              <w:bottom w:val="single" w:color="auto" w:sz="4" w:space="0"/>
              <w:right w:val="single" w:color="auto" w:sz="4" w:space="0"/>
            </w:tcBorders>
            <w:vAlign w:val="center"/>
          </w:tcPr>
          <w:p w14:paraId="0D57106B">
            <w:pPr>
              <w:pStyle w:val="1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6647" w:type="dxa"/>
            <w:tcBorders>
              <w:top w:val="single" w:color="auto" w:sz="4" w:space="0"/>
              <w:left w:val="single" w:color="auto" w:sz="4" w:space="0"/>
              <w:bottom w:val="single" w:color="auto" w:sz="4" w:space="0"/>
              <w:right w:val="single" w:color="auto" w:sz="4" w:space="0"/>
            </w:tcBorders>
            <w:vAlign w:val="center"/>
          </w:tcPr>
          <w:p w14:paraId="22E4F034">
            <w:pPr>
              <w:pStyle w:val="10"/>
              <w:spacing w:line="360" w:lineRule="auto"/>
              <w:jc w:val="left"/>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合同签订之日起60天</w:t>
            </w:r>
          </w:p>
        </w:tc>
      </w:tr>
      <w:tr w14:paraId="79B3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0169048">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w:t>
            </w:r>
          </w:p>
        </w:tc>
        <w:tc>
          <w:tcPr>
            <w:tcW w:w="1727" w:type="dxa"/>
            <w:tcBorders>
              <w:top w:val="single" w:color="auto" w:sz="4" w:space="0"/>
              <w:left w:val="single" w:color="auto" w:sz="4" w:space="0"/>
              <w:bottom w:val="single" w:color="auto" w:sz="4" w:space="0"/>
              <w:right w:val="single" w:color="auto" w:sz="4" w:space="0"/>
            </w:tcBorders>
            <w:vAlign w:val="center"/>
          </w:tcPr>
          <w:p w14:paraId="12ECA40A">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c>
          <w:tcPr>
            <w:tcW w:w="6647" w:type="dxa"/>
            <w:tcBorders>
              <w:top w:val="single" w:color="auto" w:sz="4" w:space="0"/>
              <w:left w:val="single" w:color="auto" w:sz="4" w:space="0"/>
              <w:bottom w:val="single" w:color="auto" w:sz="4" w:space="0"/>
              <w:right w:val="single" w:color="auto" w:sz="4" w:space="0"/>
            </w:tcBorders>
            <w:vAlign w:val="center"/>
          </w:tcPr>
          <w:p w14:paraId="311191F4">
            <w:pPr>
              <w:spacing w:line="360" w:lineRule="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 xml:space="preserve">采购人指定地点   </w:t>
            </w:r>
          </w:p>
        </w:tc>
      </w:tr>
      <w:tr w14:paraId="344A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6175A1D">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p>
        </w:tc>
        <w:tc>
          <w:tcPr>
            <w:tcW w:w="1727" w:type="dxa"/>
            <w:tcBorders>
              <w:top w:val="single" w:color="auto" w:sz="4" w:space="0"/>
              <w:left w:val="single" w:color="auto" w:sz="4" w:space="0"/>
              <w:bottom w:val="single" w:color="auto" w:sz="4" w:space="0"/>
              <w:right w:val="single" w:color="auto" w:sz="4" w:space="0"/>
            </w:tcBorders>
            <w:vAlign w:val="center"/>
          </w:tcPr>
          <w:p w14:paraId="3BBEF3C9">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647" w:type="dxa"/>
            <w:tcBorders>
              <w:top w:val="single" w:color="auto" w:sz="4" w:space="0"/>
              <w:left w:val="single" w:color="auto" w:sz="4" w:space="0"/>
              <w:bottom w:val="single" w:color="auto" w:sz="4" w:space="0"/>
              <w:right w:val="single" w:color="auto" w:sz="4" w:space="0"/>
            </w:tcBorders>
            <w:vAlign w:val="center"/>
          </w:tcPr>
          <w:p w14:paraId="47D0476B">
            <w:pPr>
              <w:keepNext w:val="0"/>
              <w:keepLines w:val="0"/>
              <w:pageBreakBefore w:val="0"/>
              <w:widowControl w:val="0"/>
              <w:kinsoku/>
              <w:wordWrap/>
              <w:overflowPunct/>
              <w:topLinePunct w:val="0"/>
              <w:autoSpaceDN/>
              <w:bidi w:val="0"/>
              <w:adjustRightInd/>
              <w:snapToGrid/>
              <w:spacing w:line="360" w:lineRule="auto"/>
              <w:textAlignment w:val="auto"/>
              <w:rPr>
                <w:rFonts w:hint="eastAsia" w:ascii="仿宋" w:hAnsi="仿宋" w:eastAsia="仿宋" w:cs="仿宋"/>
                <w:color w:val="auto"/>
                <w:kern w:val="2"/>
                <w:sz w:val="24"/>
                <w:szCs w:val="28"/>
                <w:highlight w:val="none"/>
                <w:lang w:val="en-US" w:eastAsia="zh-CN" w:bidi="ar-SA"/>
              </w:rPr>
            </w:pPr>
            <w:r>
              <w:rPr>
                <w:rFonts w:hint="eastAsia" w:ascii="仿宋" w:hAnsi="仿宋" w:eastAsia="仿宋" w:cs="仿宋"/>
                <w:color w:val="auto"/>
                <w:kern w:val="2"/>
                <w:sz w:val="24"/>
                <w:szCs w:val="28"/>
                <w:highlight w:val="none"/>
                <w:lang w:val="en-US" w:eastAsia="zh-CN" w:bidi="ar-SA"/>
              </w:rPr>
              <w:t>不低于3年（自安装验收合格之日起计算），期间非人为故障提供免费维修及更换服务。</w:t>
            </w:r>
          </w:p>
        </w:tc>
      </w:tr>
      <w:tr w14:paraId="4411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AD85892">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727" w:type="dxa"/>
            <w:tcBorders>
              <w:top w:val="single" w:color="auto" w:sz="4" w:space="0"/>
              <w:left w:val="single" w:color="auto" w:sz="4" w:space="0"/>
              <w:bottom w:val="single" w:color="auto" w:sz="4" w:space="0"/>
              <w:right w:val="single" w:color="auto" w:sz="4" w:space="0"/>
            </w:tcBorders>
            <w:vAlign w:val="center"/>
          </w:tcPr>
          <w:p w14:paraId="26B10216">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w:t>
            </w:r>
          </w:p>
          <w:p w14:paraId="04A8B00A">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6647" w:type="dxa"/>
            <w:tcBorders>
              <w:top w:val="single" w:color="auto" w:sz="4" w:space="0"/>
              <w:left w:val="single" w:color="auto" w:sz="4" w:space="0"/>
              <w:bottom w:val="single" w:color="auto" w:sz="4" w:space="0"/>
              <w:right w:val="single" w:color="auto" w:sz="4" w:space="0"/>
            </w:tcBorders>
            <w:vAlign w:val="center"/>
          </w:tcPr>
          <w:p w14:paraId="536FD8F9">
            <w:pPr>
              <w:pStyle w:val="1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详见招标文件第一章《招标公告》“二、投标人资格要求”。</w:t>
            </w:r>
          </w:p>
        </w:tc>
      </w:tr>
      <w:tr w14:paraId="72CC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F4130ED">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w:t>
            </w:r>
          </w:p>
        </w:tc>
        <w:tc>
          <w:tcPr>
            <w:tcW w:w="1727" w:type="dxa"/>
            <w:tcBorders>
              <w:top w:val="single" w:color="auto" w:sz="4" w:space="0"/>
              <w:left w:val="single" w:color="auto" w:sz="4" w:space="0"/>
              <w:bottom w:val="single" w:color="auto" w:sz="4" w:space="0"/>
              <w:right w:val="single" w:color="auto" w:sz="4" w:space="0"/>
            </w:tcBorders>
            <w:vAlign w:val="center"/>
          </w:tcPr>
          <w:p w14:paraId="17C58E8C">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投标人提出问题的截止时间</w:t>
            </w:r>
          </w:p>
        </w:tc>
        <w:tc>
          <w:tcPr>
            <w:tcW w:w="6647" w:type="dxa"/>
            <w:tcBorders>
              <w:top w:val="single" w:color="auto" w:sz="4" w:space="0"/>
              <w:left w:val="single" w:color="auto" w:sz="4" w:space="0"/>
              <w:bottom w:val="single" w:color="auto" w:sz="4" w:space="0"/>
              <w:right w:val="single" w:color="auto" w:sz="4" w:space="0"/>
            </w:tcBorders>
            <w:vAlign w:val="center"/>
          </w:tcPr>
          <w:p w14:paraId="7878D682">
            <w:pPr>
              <w:autoSpaceDE w:val="0"/>
              <w:autoSpaceDN w:val="0"/>
              <w:adjustRightInd w:val="0"/>
              <w:spacing w:line="360" w:lineRule="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rPr>
              <w:t>即</w:t>
            </w:r>
            <w:r>
              <w:rPr>
                <w:rFonts w:hint="eastAsia" w:ascii="仿宋" w:hAnsi="仿宋" w:eastAsia="仿宋" w:cs="仿宋"/>
                <w:color w:val="auto"/>
                <w:kern w:val="2"/>
                <w:sz w:val="24"/>
                <w:szCs w:val="24"/>
                <w:highlight w:val="none"/>
                <w:lang w:val="en-US" w:eastAsia="zh-CN" w:bidi="ar-SA"/>
              </w:rPr>
              <w:t>获取采购文件或者采购文件公告期限届满之日起7个工作日内一次性提出针对同一采购程序环节的质疑，所有潜在投标人凭企业数字证书（CA）登录“政采云”</w:t>
            </w:r>
            <w:r>
              <w:rPr>
                <w:rFonts w:hint="eastAsia" w:ascii="仿宋" w:hAnsi="仿宋" w:eastAsia="仿宋" w:cs="仿宋"/>
                <w:color w:val="000000" w:themeColor="text1"/>
                <w:sz w:val="24"/>
                <w:highlight w:val="none"/>
                <w:lang w:val="en-US" w:eastAsia="zh-CN"/>
                <w14:textFill>
                  <w14:solidFill>
                    <w14:schemeClr w14:val="tx1"/>
                  </w14:solidFill>
                </w14:textFill>
              </w:rPr>
              <w:t>平台（http://www.zcygov.cn），通过网络在线方式进行提问或以书面形式向采购代理机构提出。</w:t>
            </w:r>
          </w:p>
          <w:p w14:paraId="67BB998C">
            <w:pPr>
              <w:autoSpaceDE w:val="0"/>
              <w:autoSpaceDN w:val="0"/>
              <w:adjustRightInd w:val="0"/>
              <w:spacing w:line="360" w:lineRule="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接收质疑函的方式：纸质书面接收或电子邮件接收</w:t>
            </w:r>
          </w:p>
          <w:p w14:paraId="1AC5FCF1">
            <w:pPr>
              <w:autoSpaceDE w:val="0"/>
              <w:autoSpaceDN w:val="0"/>
              <w:adjustRightInd w:val="0"/>
              <w:spacing w:line="360" w:lineRule="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电子邮箱：</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1258776853@qq.com</w:t>
            </w:r>
          </w:p>
          <w:p w14:paraId="40750D65">
            <w:pPr>
              <w:pageBreakBefore w:val="0"/>
              <w:kinsoku/>
              <w:overflowPunct/>
              <w:topLinePunct w:val="0"/>
              <w:autoSpaceDN/>
              <w:bidi w:val="0"/>
              <w:adjustRightInd/>
              <w:snapToGrid/>
              <w:spacing w:line="348" w:lineRule="auto"/>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联系方式：0692-2982116</w:t>
            </w:r>
          </w:p>
          <w:p w14:paraId="4F3B5DCC">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通讯地址：云南省</w:t>
            </w:r>
            <w:r>
              <w:rPr>
                <w:rFonts w:hint="eastAsia" w:ascii="仿宋" w:hAnsi="仿宋" w:eastAsia="仿宋" w:cs="仿宋"/>
                <w:bCs/>
                <w:color w:val="auto"/>
                <w:sz w:val="24"/>
                <w:szCs w:val="24"/>
                <w:highlight w:val="none"/>
              </w:rPr>
              <w:t>德宏州芒市华江水岸星城S1-35号</w:t>
            </w:r>
          </w:p>
        </w:tc>
      </w:tr>
      <w:tr w14:paraId="4E02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B445F9D">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w:t>
            </w:r>
          </w:p>
        </w:tc>
        <w:tc>
          <w:tcPr>
            <w:tcW w:w="1727" w:type="dxa"/>
            <w:tcBorders>
              <w:top w:val="single" w:color="auto" w:sz="4" w:space="0"/>
              <w:left w:val="single" w:color="auto" w:sz="4" w:space="0"/>
              <w:bottom w:val="single" w:color="auto" w:sz="4" w:space="0"/>
              <w:right w:val="single" w:color="auto" w:sz="4" w:space="0"/>
            </w:tcBorders>
            <w:vAlign w:val="center"/>
          </w:tcPr>
          <w:p w14:paraId="77CD4A46">
            <w:pPr>
              <w:autoSpaceDE w:val="0"/>
              <w:autoSpaceDN w:val="0"/>
              <w:snapToGrid w:val="0"/>
              <w:spacing w:line="360" w:lineRule="auto"/>
              <w:jc w:val="center"/>
              <w:textAlignment w:val="bottom"/>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招标文件澄清截止时间</w:t>
            </w:r>
          </w:p>
        </w:tc>
        <w:tc>
          <w:tcPr>
            <w:tcW w:w="6647" w:type="dxa"/>
            <w:tcBorders>
              <w:top w:val="single" w:color="auto" w:sz="4" w:space="0"/>
              <w:left w:val="single" w:color="auto" w:sz="4" w:space="0"/>
              <w:bottom w:val="single" w:color="auto" w:sz="4" w:space="0"/>
              <w:right w:val="single" w:color="auto" w:sz="4" w:space="0"/>
            </w:tcBorders>
            <w:vAlign w:val="center"/>
          </w:tcPr>
          <w:p w14:paraId="58351FB2">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即投标截止时间至少15日前，由采购人</w:t>
            </w:r>
            <w:r>
              <w:rPr>
                <w:rFonts w:hint="eastAsia" w:ascii="仿宋" w:hAnsi="仿宋" w:eastAsia="仿宋" w:cs="仿宋"/>
                <w:color w:val="auto"/>
                <w:sz w:val="24"/>
                <w:szCs w:val="24"/>
                <w:highlight w:val="none"/>
                <w:lang w:val="en-US" w:eastAsia="zh-CN"/>
              </w:rPr>
              <w:t>或者采购代理机构</w:t>
            </w:r>
            <w:r>
              <w:rPr>
                <w:rFonts w:hint="eastAsia" w:ascii="仿宋" w:hAnsi="仿宋" w:eastAsia="仿宋" w:cs="仿宋"/>
                <w:color w:val="auto"/>
                <w:sz w:val="24"/>
                <w:szCs w:val="24"/>
                <w:highlight w:val="none"/>
              </w:rPr>
              <w:t>以补遗书方式按程序报有关主管部门备案后，提交“政采云”平台统一通过网络向潜在投标人发布，且投标人不须回函确认，所有获取了招标文件的潜在投标人凭企业数字证书（CA）登录“政采云”平台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查看澄清内容。</w:t>
            </w:r>
          </w:p>
        </w:tc>
      </w:tr>
      <w:tr w14:paraId="09F6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74A564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727" w:type="dxa"/>
            <w:tcBorders>
              <w:top w:val="single" w:color="auto" w:sz="4" w:space="0"/>
              <w:left w:val="single" w:color="auto" w:sz="4" w:space="0"/>
              <w:bottom w:val="single" w:color="auto" w:sz="4" w:space="0"/>
              <w:right w:val="single" w:color="auto" w:sz="4" w:space="0"/>
            </w:tcBorders>
            <w:vAlign w:val="center"/>
          </w:tcPr>
          <w:p w14:paraId="44E58D32">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tc>
        <w:tc>
          <w:tcPr>
            <w:tcW w:w="6647" w:type="dxa"/>
            <w:tcBorders>
              <w:top w:val="single" w:color="auto" w:sz="4" w:space="0"/>
              <w:left w:val="single" w:color="auto" w:sz="4" w:space="0"/>
              <w:bottom w:val="single" w:color="auto" w:sz="4" w:space="0"/>
              <w:right w:val="single" w:color="auto" w:sz="4" w:space="0"/>
            </w:tcBorders>
            <w:vAlign w:val="center"/>
          </w:tcPr>
          <w:p w14:paraId="6EA99D87">
            <w:pPr>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202</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09</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00</w:t>
            </w:r>
          </w:p>
        </w:tc>
      </w:tr>
      <w:tr w14:paraId="5D62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CCF22F2">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1727" w:type="dxa"/>
            <w:tcBorders>
              <w:top w:val="single" w:color="auto" w:sz="4" w:space="0"/>
              <w:left w:val="single" w:color="auto" w:sz="4" w:space="0"/>
              <w:bottom w:val="single" w:color="auto" w:sz="4" w:space="0"/>
              <w:right w:val="single" w:color="auto" w:sz="4" w:space="0"/>
            </w:tcBorders>
            <w:vAlign w:val="center"/>
          </w:tcPr>
          <w:p w14:paraId="4555294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投标人确认收到招标文件澄清的时间</w:t>
            </w:r>
          </w:p>
        </w:tc>
        <w:tc>
          <w:tcPr>
            <w:tcW w:w="6647" w:type="dxa"/>
            <w:tcBorders>
              <w:top w:val="single" w:color="auto" w:sz="4" w:space="0"/>
              <w:left w:val="single" w:color="auto" w:sz="4" w:space="0"/>
              <w:bottom w:val="single" w:color="auto" w:sz="4" w:space="0"/>
              <w:right w:val="single" w:color="auto" w:sz="4" w:space="0"/>
            </w:tcBorders>
            <w:vAlign w:val="center"/>
          </w:tcPr>
          <w:p w14:paraId="4A7720BC">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投标人自行登录“政采云”平台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获取澄清，无须回复确认已收到该澄清。</w:t>
            </w:r>
          </w:p>
        </w:tc>
      </w:tr>
      <w:tr w14:paraId="148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BD6CDF8">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1727" w:type="dxa"/>
            <w:tcBorders>
              <w:top w:val="single" w:color="auto" w:sz="4" w:space="0"/>
              <w:left w:val="single" w:color="auto" w:sz="4" w:space="0"/>
              <w:bottom w:val="single" w:color="auto" w:sz="4" w:space="0"/>
              <w:right w:val="single" w:color="auto" w:sz="4" w:space="0"/>
            </w:tcBorders>
            <w:vAlign w:val="center"/>
          </w:tcPr>
          <w:p w14:paraId="119E1A2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投标人确认收到招标文件修改的时间</w:t>
            </w:r>
          </w:p>
        </w:tc>
        <w:tc>
          <w:tcPr>
            <w:tcW w:w="6647" w:type="dxa"/>
            <w:tcBorders>
              <w:top w:val="single" w:color="auto" w:sz="4" w:space="0"/>
              <w:left w:val="single" w:color="auto" w:sz="4" w:space="0"/>
              <w:bottom w:val="single" w:color="auto" w:sz="4" w:space="0"/>
              <w:right w:val="single" w:color="auto" w:sz="4" w:space="0"/>
            </w:tcBorders>
            <w:vAlign w:val="center"/>
          </w:tcPr>
          <w:p w14:paraId="37982416">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投标人自行登录“政采云”平台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收取修改内容，无须回复确认已收到该修改。</w:t>
            </w:r>
          </w:p>
        </w:tc>
      </w:tr>
      <w:tr w14:paraId="1058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D82CA8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1727" w:type="dxa"/>
            <w:tcBorders>
              <w:top w:val="single" w:color="auto" w:sz="4" w:space="0"/>
              <w:left w:val="single" w:color="auto" w:sz="4" w:space="0"/>
              <w:bottom w:val="single" w:color="auto" w:sz="4" w:space="0"/>
              <w:right w:val="single" w:color="auto" w:sz="4" w:space="0"/>
            </w:tcBorders>
            <w:vAlign w:val="center"/>
          </w:tcPr>
          <w:p w14:paraId="53B6F32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647" w:type="dxa"/>
            <w:tcBorders>
              <w:top w:val="single" w:color="auto" w:sz="4" w:space="0"/>
              <w:left w:val="single" w:color="auto" w:sz="4" w:space="0"/>
              <w:bottom w:val="single" w:color="auto" w:sz="4" w:space="0"/>
              <w:right w:val="single" w:color="auto" w:sz="4" w:space="0"/>
            </w:tcBorders>
            <w:vAlign w:val="center"/>
          </w:tcPr>
          <w:p w14:paraId="2057119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投标截止之日起90日历天</w:t>
            </w:r>
          </w:p>
        </w:tc>
      </w:tr>
      <w:tr w14:paraId="2E0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2593AA1">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1727" w:type="dxa"/>
            <w:tcBorders>
              <w:top w:val="single" w:color="auto" w:sz="4" w:space="0"/>
              <w:left w:val="single" w:color="auto" w:sz="4" w:space="0"/>
              <w:bottom w:val="single" w:color="auto" w:sz="4" w:space="0"/>
              <w:right w:val="single" w:color="auto" w:sz="4" w:space="0"/>
            </w:tcBorders>
            <w:vAlign w:val="center"/>
          </w:tcPr>
          <w:p w14:paraId="0B9A5978">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647" w:type="dxa"/>
            <w:tcBorders>
              <w:top w:val="single" w:color="auto" w:sz="4" w:space="0"/>
              <w:left w:val="single" w:color="auto" w:sz="4" w:space="0"/>
              <w:bottom w:val="single" w:color="auto" w:sz="4" w:space="0"/>
              <w:right w:val="single" w:color="auto" w:sz="4" w:space="0"/>
            </w:tcBorders>
            <w:vAlign w:val="center"/>
          </w:tcPr>
          <w:p w14:paraId="4609254E">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根据《云南省发展和改革委员会等部门关于鼓励减免政府投资项目投标保证金的通知》（云发改交易管理〔2023〕397号）规定，本项目收取投标保证金：</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000.00元。</w:t>
            </w:r>
          </w:p>
          <w:p w14:paraId="62F054DE">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截止时间：递交投标文件截止时间。</w:t>
            </w:r>
          </w:p>
          <w:p w14:paraId="711A8C4F">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交纳形式：可以采用“银行转账”“银行保函”“投标保证保险”任一方式，其中采用“银行转账”方式的，投标人以支票、汇票、本票、网上银行支付等非现金形式汇入指定账户：</w:t>
            </w:r>
          </w:p>
          <w:p w14:paraId="3BD75241">
            <w:pPr>
              <w:autoSpaceDE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账户户名：德宏州润宇招标代理有限公司</w:t>
            </w:r>
          </w:p>
          <w:p w14:paraId="2C7F9B85">
            <w:pPr>
              <w:autoSpaceDE w:val="0"/>
              <w:adjustRightInd w:val="0"/>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rPr>
              <w:t>开户银行：</w:t>
            </w:r>
            <w:r>
              <w:rPr>
                <w:rFonts w:hint="eastAsia" w:ascii="仿宋" w:hAnsi="仿宋" w:eastAsia="仿宋" w:cs="仿宋"/>
                <w:color w:val="000000" w:themeColor="text1"/>
                <w:sz w:val="24"/>
                <w:szCs w:val="24"/>
                <w:highlight w:val="none"/>
                <w:lang w:val="en-US" w:eastAsia="zh-CN"/>
                <w14:textFill>
                  <w14:solidFill>
                    <w14:schemeClr w14:val="tx1"/>
                  </w14:solidFill>
                </w14:textFill>
              </w:rPr>
              <w:t>德宏农村商业银行芒市支行</w:t>
            </w:r>
          </w:p>
          <w:p w14:paraId="76EFD98C">
            <w:pPr>
              <w:autoSpaceDE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账号：5400019549733012</w:t>
            </w:r>
          </w:p>
          <w:p w14:paraId="6FFF6966">
            <w:pPr>
              <w:autoSpaceDE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行号：402754000012</w:t>
            </w:r>
          </w:p>
          <w:p w14:paraId="58582D96">
            <w:pPr>
              <w:autoSpaceDE w:val="0"/>
              <w:adjustRightIn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电话：0692-2982116</w:t>
            </w:r>
          </w:p>
          <w:p w14:paraId="20620256">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1.保证金必须从投标方的法人基本账户划出。</w:t>
            </w:r>
          </w:p>
          <w:p w14:paraId="2CF113C5">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2.保证金截止时间为投标截止时间，到账时间以保证金专用账户实际到账时间为准，未按时到账的保证金无效。</w:t>
            </w:r>
          </w:p>
          <w:p w14:paraId="57BEBD28">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请潜在投标人在跨行转账时考虑以下因素：按照人民银行相关规定，跨行转账在工作日下午</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点半前办理手续，可以保证实时跨行到账。</w:t>
            </w:r>
          </w:p>
        </w:tc>
      </w:tr>
      <w:tr w14:paraId="569A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81050AC">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3.4.3</w:t>
            </w:r>
          </w:p>
        </w:tc>
        <w:tc>
          <w:tcPr>
            <w:tcW w:w="1727" w:type="dxa"/>
            <w:tcBorders>
              <w:top w:val="single" w:color="auto" w:sz="4" w:space="0"/>
              <w:left w:val="single" w:color="auto" w:sz="4" w:space="0"/>
              <w:bottom w:val="single" w:color="auto" w:sz="4" w:space="0"/>
              <w:right w:val="single" w:color="auto" w:sz="4" w:space="0"/>
            </w:tcBorders>
            <w:vAlign w:val="center"/>
          </w:tcPr>
          <w:p w14:paraId="4B09513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投标保证金的退还</w:t>
            </w:r>
          </w:p>
        </w:tc>
        <w:tc>
          <w:tcPr>
            <w:tcW w:w="6647" w:type="dxa"/>
            <w:tcBorders>
              <w:top w:val="single" w:color="auto" w:sz="4" w:space="0"/>
              <w:left w:val="single" w:color="auto" w:sz="4" w:space="0"/>
              <w:bottom w:val="single" w:color="auto" w:sz="4" w:space="0"/>
              <w:right w:val="single" w:color="auto" w:sz="4" w:space="0"/>
            </w:tcBorders>
            <w:vAlign w:val="center"/>
          </w:tcPr>
          <w:p w14:paraId="52D5D30D">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投标保证金退还到投标人的基本账户</w:t>
            </w:r>
          </w:p>
        </w:tc>
      </w:tr>
      <w:tr w14:paraId="182B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5A72B97">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1727" w:type="dxa"/>
            <w:tcBorders>
              <w:top w:val="single" w:color="auto" w:sz="4" w:space="0"/>
              <w:left w:val="single" w:color="auto" w:sz="4" w:space="0"/>
              <w:bottom w:val="single" w:color="auto" w:sz="4" w:space="0"/>
              <w:right w:val="single" w:color="auto" w:sz="4" w:space="0"/>
            </w:tcBorders>
            <w:vAlign w:val="center"/>
          </w:tcPr>
          <w:p w14:paraId="26C6388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资格审查资料</w:t>
            </w:r>
          </w:p>
        </w:tc>
        <w:tc>
          <w:tcPr>
            <w:tcW w:w="6647" w:type="dxa"/>
            <w:tcBorders>
              <w:top w:val="single" w:color="auto" w:sz="4" w:space="0"/>
              <w:left w:val="single" w:color="auto" w:sz="4" w:space="0"/>
              <w:bottom w:val="single" w:color="auto" w:sz="4" w:space="0"/>
              <w:right w:val="single" w:color="auto" w:sz="4" w:space="0"/>
            </w:tcBorders>
            <w:vAlign w:val="center"/>
          </w:tcPr>
          <w:p w14:paraId="02BCA401">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按招标文件第一章《招标公告》“投标人资格要求”提供。</w:t>
            </w:r>
          </w:p>
        </w:tc>
      </w:tr>
      <w:tr w14:paraId="6427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73A02BA">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1727" w:type="dxa"/>
            <w:tcBorders>
              <w:top w:val="single" w:color="auto" w:sz="4" w:space="0"/>
              <w:left w:val="single" w:color="auto" w:sz="4" w:space="0"/>
              <w:bottom w:val="single" w:color="auto" w:sz="4" w:space="0"/>
              <w:right w:val="single" w:color="auto" w:sz="4" w:space="0"/>
            </w:tcBorders>
            <w:vAlign w:val="center"/>
          </w:tcPr>
          <w:p w14:paraId="5B85DFCC">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投标文件格式</w:t>
            </w:r>
          </w:p>
        </w:tc>
        <w:tc>
          <w:tcPr>
            <w:tcW w:w="6647" w:type="dxa"/>
            <w:tcBorders>
              <w:top w:val="single" w:color="auto" w:sz="4" w:space="0"/>
              <w:left w:val="single" w:color="auto" w:sz="4" w:space="0"/>
              <w:bottom w:val="single" w:color="auto" w:sz="4" w:space="0"/>
              <w:right w:val="single" w:color="auto" w:sz="4" w:space="0"/>
            </w:tcBorders>
            <w:vAlign w:val="center"/>
          </w:tcPr>
          <w:p w14:paraId="255A5F16">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（1）投标文件全部采用电子文档，投标人应安装客户端软件—“政采云电子交易客户端”，并按照招标文件和政采云电子交易平台的要求编制，编制后应进行电子签章、签名及加密。</w:t>
            </w:r>
          </w:p>
          <w:p w14:paraId="47FA9AD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（2）如投标人提交的电子标书未按招标文件要求或开标时无法读取导入或解密，其投标文件将不予受理。 </w:t>
            </w:r>
          </w:p>
          <w:p w14:paraId="6E890027">
            <w:pPr>
              <w:pStyle w:val="38"/>
              <w:widowControl w:val="0"/>
              <w:spacing w:line="360" w:lineRule="auto"/>
              <w:ind w:firstLine="0"/>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（3）投标文件中提供的资料（扫描件），内容必须清晰可辨，若内容模糊，无法辨识，均视为未提供。</w:t>
            </w:r>
          </w:p>
        </w:tc>
      </w:tr>
      <w:tr w14:paraId="0924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1145478">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3.6.4</w:t>
            </w:r>
          </w:p>
        </w:tc>
        <w:tc>
          <w:tcPr>
            <w:tcW w:w="1727" w:type="dxa"/>
            <w:tcBorders>
              <w:top w:val="single" w:color="auto" w:sz="4" w:space="0"/>
              <w:left w:val="single" w:color="auto" w:sz="4" w:space="0"/>
              <w:bottom w:val="single" w:color="auto" w:sz="4" w:space="0"/>
              <w:right w:val="single" w:color="auto" w:sz="4" w:space="0"/>
            </w:tcBorders>
            <w:vAlign w:val="center"/>
          </w:tcPr>
          <w:p w14:paraId="26F26F2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w:t>
            </w:r>
          </w:p>
          <w:p w14:paraId="1F9474B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签署</w:t>
            </w:r>
          </w:p>
        </w:tc>
        <w:tc>
          <w:tcPr>
            <w:tcW w:w="6647" w:type="dxa"/>
            <w:tcBorders>
              <w:top w:val="single" w:color="auto" w:sz="4" w:space="0"/>
              <w:left w:val="single" w:color="auto" w:sz="4" w:space="0"/>
              <w:bottom w:val="single" w:color="auto" w:sz="4" w:space="0"/>
              <w:right w:val="single" w:color="auto" w:sz="4" w:space="0"/>
            </w:tcBorders>
            <w:vAlign w:val="center"/>
          </w:tcPr>
          <w:p w14:paraId="43319482">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按照投标文件格式，采用单位电子公章及电子签名：技术文件（包括资格审查文件）在格式需要加盖电子公章及电子签名的地方进行电子签章，其余部分须逐页加盖电子公章。</w:t>
            </w:r>
          </w:p>
        </w:tc>
      </w:tr>
      <w:tr w14:paraId="7ED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DCCB18B">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3.6.5</w:t>
            </w:r>
          </w:p>
        </w:tc>
        <w:tc>
          <w:tcPr>
            <w:tcW w:w="1727" w:type="dxa"/>
            <w:tcBorders>
              <w:top w:val="single" w:color="auto" w:sz="4" w:space="0"/>
              <w:left w:val="single" w:color="auto" w:sz="4" w:space="0"/>
              <w:bottom w:val="single" w:color="auto" w:sz="4" w:space="0"/>
              <w:right w:val="single" w:color="auto" w:sz="4" w:space="0"/>
            </w:tcBorders>
            <w:vAlign w:val="center"/>
          </w:tcPr>
          <w:p w14:paraId="207C5FB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w:t>
            </w:r>
          </w:p>
          <w:p w14:paraId="1982311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提交</w:t>
            </w:r>
          </w:p>
        </w:tc>
        <w:tc>
          <w:tcPr>
            <w:tcW w:w="6647" w:type="dxa"/>
            <w:tcBorders>
              <w:top w:val="single" w:color="auto" w:sz="4" w:space="0"/>
              <w:left w:val="single" w:color="auto" w:sz="4" w:space="0"/>
              <w:bottom w:val="single" w:color="auto" w:sz="4" w:space="0"/>
              <w:right w:val="single" w:color="auto" w:sz="4" w:space="0"/>
            </w:tcBorders>
            <w:vAlign w:val="center"/>
          </w:tcPr>
          <w:p w14:paraId="2B1A6806">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电子投标文件应使用“政</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sz w:val="24"/>
                <w:szCs w:val="24"/>
                <w:highlight w:val="none"/>
              </w:rPr>
              <w:t>云”平台（</w:t>
            </w:r>
            <w:r>
              <w:rPr>
                <w:color w:val="auto"/>
                <w:highlight w:val="none"/>
              </w:rPr>
              <w:fldChar w:fldCharType="begin"/>
            </w:r>
            <w:r>
              <w:rPr>
                <w:color w:val="auto"/>
                <w:highlight w:val="none"/>
              </w:rPr>
              <w:instrText xml:space="preserve"> HYPERLINK "https://www" </w:instrText>
            </w:r>
            <w:r>
              <w:rPr>
                <w:color w:val="auto"/>
                <w:highlight w:val="none"/>
              </w:rPr>
              <w:fldChar w:fldCharType="separate"/>
            </w:r>
            <w:r>
              <w:rPr>
                <w:rStyle w:val="27"/>
                <w:rFonts w:hint="eastAsia" w:ascii="仿宋" w:hAnsi="仿宋" w:eastAsia="仿宋" w:cs="仿宋"/>
                <w:color w:val="auto"/>
                <w:sz w:val="24"/>
                <w:szCs w:val="24"/>
                <w:highlight w:val="none"/>
                <w:u w:val="none"/>
              </w:rPr>
              <w:t>https</w:t>
            </w:r>
            <w:r>
              <w:rPr>
                <w:rStyle w:val="27"/>
                <w:rFonts w:hint="eastAsia" w:ascii="仿宋" w:hAnsi="仿宋" w:eastAsia="仿宋" w:cs="仿宋"/>
                <w:color w:val="auto"/>
                <w:sz w:val="24"/>
                <w:szCs w:val="24"/>
                <w:highlight w:val="none"/>
                <w:u w:val="none"/>
                <w:lang w:eastAsia="zh-CN"/>
              </w:rPr>
              <w:t>:</w:t>
            </w:r>
            <w:r>
              <w:rPr>
                <w:rStyle w:val="27"/>
                <w:rFonts w:hint="eastAsia" w:ascii="仿宋" w:hAnsi="仿宋" w:eastAsia="仿宋" w:cs="仿宋"/>
                <w:color w:val="auto"/>
                <w:sz w:val="24"/>
                <w:szCs w:val="24"/>
                <w:highlight w:val="none"/>
                <w:u w:val="none"/>
              </w:rPr>
              <w:t>//www</w:t>
            </w:r>
            <w:r>
              <w:rPr>
                <w:rStyle w:val="27"/>
                <w:rFonts w:hint="eastAsia" w:ascii="仿宋" w:hAnsi="仿宋" w:eastAsia="仿宋" w:cs="仿宋"/>
                <w:color w:val="auto"/>
                <w:sz w:val="24"/>
                <w:szCs w:val="24"/>
                <w:highlight w:val="none"/>
                <w:u w:val="none"/>
              </w:rPr>
              <w:fldChar w:fldCharType="end"/>
            </w:r>
            <w:r>
              <w:rPr>
                <w:rFonts w:hint="eastAsia" w:ascii="仿宋" w:hAnsi="仿宋" w:eastAsia="仿宋" w:cs="仿宋"/>
                <w:color w:val="auto"/>
                <w:sz w:val="24"/>
                <w:szCs w:val="24"/>
                <w:highlight w:val="none"/>
              </w:rPr>
              <w:t>. zcygov. cn）中下载的政</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sz w:val="24"/>
                <w:szCs w:val="24"/>
                <w:highlight w:val="none"/>
              </w:rPr>
              <w:t>云电子投标客户端制作，并进行电子签章及加密后上传至政</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sz w:val="24"/>
                <w:szCs w:val="24"/>
                <w:highlight w:val="none"/>
              </w:rPr>
              <w:t>云平台，编制要求见《电子投标文件编制要求》。</w:t>
            </w:r>
          </w:p>
        </w:tc>
      </w:tr>
      <w:tr w14:paraId="4300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E862214">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4.1.1</w:t>
            </w:r>
          </w:p>
        </w:tc>
        <w:tc>
          <w:tcPr>
            <w:tcW w:w="1727" w:type="dxa"/>
            <w:tcBorders>
              <w:top w:val="single" w:color="auto" w:sz="4" w:space="0"/>
              <w:left w:val="single" w:color="auto" w:sz="4" w:space="0"/>
              <w:bottom w:val="single" w:color="auto" w:sz="4" w:space="0"/>
              <w:right w:val="single" w:color="auto" w:sz="4" w:space="0"/>
            </w:tcBorders>
            <w:vAlign w:val="center"/>
          </w:tcPr>
          <w:p w14:paraId="06312C6A">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w:t>
            </w:r>
          </w:p>
          <w:p w14:paraId="557FEC4D">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密封</w:t>
            </w:r>
          </w:p>
        </w:tc>
        <w:tc>
          <w:tcPr>
            <w:tcW w:w="6647" w:type="dxa"/>
            <w:tcBorders>
              <w:top w:val="single" w:color="auto" w:sz="4" w:space="0"/>
              <w:left w:val="single" w:color="auto" w:sz="4" w:space="0"/>
              <w:bottom w:val="single" w:color="auto" w:sz="4" w:space="0"/>
              <w:right w:val="single" w:color="auto" w:sz="4" w:space="0"/>
            </w:tcBorders>
            <w:vAlign w:val="center"/>
          </w:tcPr>
          <w:p w14:paraId="6712653C">
            <w:pPr>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网上递交的投标文件需要对投标文件进行加密</w:t>
            </w:r>
          </w:p>
        </w:tc>
      </w:tr>
      <w:tr w14:paraId="0A8F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7A6F907">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1727" w:type="dxa"/>
            <w:tcBorders>
              <w:top w:val="single" w:color="auto" w:sz="4" w:space="0"/>
              <w:left w:val="single" w:color="auto" w:sz="4" w:space="0"/>
              <w:bottom w:val="single" w:color="auto" w:sz="4" w:space="0"/>
              <w:right w:val="single" w:color="auto" w:sz="4" w:space="0"/>
            </w:tcBorders>
            <w:vAlign w:val="center"/>
          </w:tcPr>
          <w:p w14:paraId="02A48B42">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14:paraId="794A216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和地点</w:t>
            </w:r>
          </w:p>
        </w:tc>
        <w:tc>
          <w:tcPr>
            <w:tcW w:w="6647" w:type="dxa"/>
            <w:tcBorders>
              <w:top w:val="single" w:color="auto" w:sz="4" w:space="0"/>
              <w:left w:val="single" w:color="auto" w:sz="4" w:space="0"/>
              <w:bottom w:val="single" w:color="auto" w:sz="4" w:space="0"/>
              <w:right w:val="single" w:color="auto" w:sz="4" w:space="0"/>
            </w:tcBorders>
            <w:vAlign w:val="center"/>
          </w:tcPr>
          <w:p w14:paraId="3C266B7F">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开标时间：同投标截止时间</w:t>
            </w:r>
          </w:p>
          <w:p w14:paraId="1FDE8434">
            <w:pPr>
              <w:spacing w:line="360"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eastAsia="zh-CN"/>
              </w:rPr>
              <w:t>陇川县章凤镇卫国南路26号政务服务中心4楼3号会议室</w:t>
            </w:r>
          </w:p>
        </w:tc>
      </w:tr>
      <w:tr w14:paraId="27BE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69EDC80">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w:t>
            </w:r>
          </w:p>
        </w:tc>
        <w:tc>
          <w:tcPr>
            <w:tcW w:w="1727" w:type="dxa"/>
            <w:tcBorders>
              <w:top w:val="single" w:color="auto" w:sz="4" w:space="0"/>
              <w:left w:val="single" w:color="auto" w:sz="4" w:space="0"/>
              <w:bottom w:val="single" w:color="auto" w:sz="4" w:space="0"/>
              <w:right w:val="single" w:color="auto" w:sz="4" w:space="0"/>
            </w:tcBorders>
            <w:vAlign w:val="center"/>
          </w:tcPr>
          <w:p w14:paraId="730D6778">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开标程序</w:t>
            </w:r>
          </w:p>
        </w:tc>
        <w:tc>
          <w:tcPr>
            <w:tcW w:w="6647" w:type="dxa"/>
            <w:tcBorders>
              <w:top w:val="single" w:color="auto" w:sz="4" w:space="0"/>
              <w:left w:val="single" w:color="auto" w:sz="4" w:space="0"/>
              <w:bottom w:val="single" w:color="auto" w:sz="4" w:space="0"/>
              <w:right w:val="single" w:color="auto" w:sz="4" w:space="0"/>
            </w:tcBorders>
            <w:vAlign w:val="center"/>
          </w:tcPr>
          <w:p w14:paraId="0D8645F2">
            <w:pPr>
              <w:pStyle w:val="52"/>
              <w:numPr>
                <w:ilvl w:val="0"/>
                <w:numId w:val="0"/>
              </w:numPr>
              <w:spacing w:line="360" w:lineRule="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采购代理机构在电子交易平台发起解密指令后，投标人须使用加密时所用的CA锁，按照平台提示及招标文件规定，登录“政采云”平台电子开标大厅完成签到。开标默认解密时长为30分钟，投标人需在线完成电子投标文件的解密操作。因投标人自身原因导致投标文件未能解密的，视为其撤销投标文件。</w:t>
            </w:r>
          </w:p>
          <w:p w14:paraId="08BA14C4">
            <w:pPr>
              <w:spacing w:line="360" w:lineRule="auto"/>
              <w:rPr>
                <w:rFonts w:ascii="仿宋" w:hAnsi="仿宋" w:eastAsia="仿宋" w:cs="仿宋"/>
                <w:color w:val="auto"/>
                <w:sz w:val="24"/>
                <w:szCs w:val="24"/>
                <w:highlight w:val="none"/>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（2）解密完成后，系统将自动导入有效的电子投标文件，并开启文件，同时记录在案。</w:t>
            </w:r>
          </w:p>
        </w:tc>
      </w:tr>
      <w:tr w14:paraId="2302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78AB942">
            <w:pPr>
              <w:pStyle w:val="10"/>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p>
        </w:tc>
        <w:tc>
          <w:tcPr>
            <w:tcW w:w="1727" w:type="dxa"/>
            <w:tcBorders>
              <w:top w:val="single" w:color="auto" w:sz="4" w:space="0"/>
              <w:left w:val="single" w:color="auto" w:sz="4" w:space="0"/>
              <w:bottom w:val="single" w:color="auto" w:sz="4" w:space="0"/>
              <w:right w:val="single" w:color="auto" w:sz="4" w:space="0"/>
            </w:tcBorders>
            <w:vAlign w:val="center"/>
          </w:tcPr>
          <w:p w14:paraId="55FDF82E">
            <w:pPr>
              <w:autoSpaceDE w:val="0"/>
              <w:spacing w:line="36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评标委员会的组建</w:t>
            </w:r>
          </w:p>
        </w:tc>
        <w:tc>
          <w:tcPr>
            <w:tcW w:w="6647" w:type="dxa"/>
            <w:tcBorders>
              <w:top w:val="single" w:color="auto" w:sz="4" w:space="0"/>
              <w:left w:val="single" w:color="auto" w:sz="4" w:space="0"/>
              <w:bottom w:val="single" w:color="auto" w:sz="4" w:space="0"/>
              <w:right w:val="single" w:color="auto" w:sz="4" w:space="0"/>
            </w:tcBorders>
            <w:vAlign w:val="center"/>
          </w:tcPr>
          <w:p w14:paraId="0F0C3EE2">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评标委员会人数：</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人。</w:t>
            </w:r>
          </w:p>
          <w:p w14:paraId="7A87F6A3">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评标专家确定方式：在云南省政府采购专家管理子系统中随机抽取</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人，采购人代表</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人。</w:t>
            </w:r>
          </w:p>
          <w:p w14:paraId="7A4A5C90">
            <w:pPr>
              <w:autoSpaceDE w:val="0"/>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注：特殊情况经审批后确定。</w:t>
            </w:r>
          </w:p>
        </w:tc>
      </w:tr>
      <w:tr w14:paraId="6B14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A23EE2F">
            <w:pPr>
              <w:pStyle w:val="10"/>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w:t>
            </w:r>
          </w:p>
        </w:tc>
        <w:tc>
          <w:tcPr>
            <w:tcW w:w="1727" w:type="dxa"/>
            <w:tcBorders>
              <w:top w:val="single" w:color="auto" w:sz="4" w:space="0"/>
              <w:left w:val="single" w:color="auto" w:sz="4" w:space="0"/>
              <w:bottom w:val="single" w:color="auto" w:sz="4" w:space="0"/>
              <w:right w:val="single" w:color="auto" w:sz="4" w:space="0"/>
            </w:tcBorders>
            <w:vAlign w:val="center"/>
          </w:tcPr>
          <w:p w14:paraId="35C73C6F">
            <w:pPr>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6647" w:type="dxa"/>
            <w:tcBorders>
              <w:top w:val="single" w:color="auto" w:sz="4" w:space="0"/>
              <w:left w:val="single" w:color="auto" w:sz="4" w:space="0"/>
              <w:bottom w:val="single" w:color="auto" w:sz="4" w:space="0"/>
              <w:right w:val="single" w:color="auto" w:sz="4" w:space="0"/>
            </w:tcBorders>
            <w:vAlign w:val="center"/>
          </w:tcPr>
          <w:p w14:paraId="12A51E4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1C70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AFD0576">
            <w:pPr>
              <w:pStyle w:val="10"/>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w:t>
            </w:r>
          </w:p>
        </w:tc>
        <w:tc>
          <w:tcPr>
            <w:tcW w:w="1727" w:type="dxa"/>
            <w:tcBorders>
              <w:top w:val="single" w:color="auto" w:sz="4" w:space="0"/>
              <w:left w:val="single" w:color="auto" w:sz="4" w:space="0"/>
              <w:bottom w:val="single" w:color="auto" w:sz="4" w:space="0"/>
              <w:right w:val="single" w:color="auto" w:sz="4" w:space="0"/>
            </w:tcBorders>
            <w:vAlign w:val="center"/>
          </w:tcPr>
          <w:p w14:paraId="18C75C6E">
            <w:pPr>
              <w:autoSpaceDE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是否授权评标委员会确定</w:t>
            </w:r>
          </w:p>
          <w:p w14:paraId="159AAB3C">
            <w:pPr>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w:t>
            </w:r>
          </w:p>
        </w:tc>
        <w:tc>
          <w:tcPr>
            <w:tcW w:w="6647" w:type="dxa"/>
            <w:tcBorders>
              <w:top w:val="single" w:color="auto" w:sz="4" w:space="0"/>
              <w:left w:val="single" w:color="auto" w:sz="4" w:space="0"/>
              <w:bottom w:val="single" w:color="auto" w:sz="4" w:space="0"/>
              <w:right w:val="single" w:color="auto" w:sz="4" w:space="0"/>
            </w:tcBorders>
            <w:vAlign w:val="center"/>
          </w:tcPr>
          <w:p w14:paraId="6F76CD3A">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否，评标委员 会推荐中标候选人的人数为：3（前三名）。</w:t>
            </w:r>
          </w:p>
        </w:tc>
      </w:tr>
      <w:tr w14:paraId="48E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9282654">
            <w:pPr>
              <w:pStyle w:val="10"/>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7.3</w:t>
            </w:r>
          </w:p>
        </w:tc>
        <w:tc>
          <w:tcPr>
            <w:tcW w:w="1727" w:type="dxa"/>
            <w:tcBorders>
              <w:top w:val="single" w:color="auto" w:sz="4" w:space="0"/>
              <w:left w:val="single" w:color="auto" w:sz="4" w:space="0"/>
              <w:bottom w:val="single" w:color="auto" w:sz="4" w:space="0"/>
              <w:right w:val="single" w:color="auto" w:sz="4" w:space="0"/>
            </w:tcBorders>
            <w:vAlign w:val="center"/>
          </w:tcPr>
          <w:p w14:paraId="20AB209E">
            <w:pPr>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履约保证金</w:t>
            </w:r>
          </w:p>
        </w:tc>
        <w:tc>
          <w:tcPr>
            <w:tcW w:w="6647" w:type="dxa"/>
            <w:tcBorders>
              <w:top w:val="single" w:color="auto" w:sz="4" w:space="0"/>
              <w:left w:val="single" w:color="auto" w:sz="4" w:space="0"/>
              <w:bottom w:val="single" w:color="auto" w:sz="4" w:space="0"/>
              <w:right w:val="single" w:color="auto" w:sz="4" w:space="0"/>
            </w:tcBorders>
            <w:vAlign w:val="center"/>
          </w:tcPr>
          <w:p w14:paraId="3A7F94B6">
            <w:pPr>
              <w:autoSpaceDE w:val="0"/>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val="en-US" w:eastAsia="zh-CN"/>
              </w:rPr>
              <w:t>无</w:t>
            </w:r>
          </w:p>
        </w:tc>
      </w:tr>
      <w:tr w14:paraId="42E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CBDE23B">
            <w:pPr>
              <w:pStyle w:val="10"/>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8374" w:type="dxa"/>
            <w:gridSpan w:val="2"/>
            <w:tcBorders>
              <w:top w:val="single" w:color="auto" w:sz="4" w:space="0"/>
              <w:left w:val="single" w:color="auto" w:sz="4" w:space="0"/>
              <w:bottom w:val="single" w:color="auto" w:sz="4" w:space="0"/>
              <w:right w:val="single" w:color="auto" w:sz="4" w:space="0"/>
            </w:tcBorders>
            <w:vAlign w:val="center"/>
          </w:tcPr>
          <w:p w14:paraId="6E4C2809">
            <w:pPr>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r>
      <w:tr w14:paraId="1A7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0781591">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p>
        </w:tc>
        <w:tc>
          <w:tcPr>
            <w:tcW w:w="1727" w:type="dxa"/>
            <w:tcBorders>
              <w:top w:val="single" w:color="auto" w:sz="4" w:space="0"/>
              <w:left w:val="single" w:color="auto" w:sz="4" w:space="0"/>
              <w:bottom w:val="single" w:color="auto" w:sz="4" w:space="0"/>
              <w:right w:val="single" w:color="auto" w:sz="4" w:space="0"/>
            </w:tcBorders>
            <w:vAlign w:val="center"/>
          </w:tcPr>
          <w:p w14:paraId="2CCE327A">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环境标志产品及节能产品有关政策</w:t>
            </w:r>
          </w:p>
        </w:tc>
        <w:tc>
          <w:tcPr>
            <w:tcW w:w="6647" w:type="dxa"/>
            <w:tcBorders>
              <w:top w:val="single" w:color="auto" w:sz="4" w:space="0"/>
              <w:left w:val="single" w:color="auto" w:sz="4" w:space="0"/>
              <w:bottom w:val="single" w:color="auto" w:sz="4" w:space="0"/>
              <w:right w:val="single" w:color="auto" w:sz="4" w:space="0"/>
            </w:tcBorders>
            <w:vAlign w:val="center"/>
          </w:tcPr>
          <w:p w14:paraId="669B2DE8">
            <w:pPr>
              <w:pStyle w:val="10"/>
              <w:keepNext/>
              <w:keepLines w:val="0"/>
              <w:suppressLineNumbers w:val="0"/>
              <w:spacing w:before="0" w:beforeAutospacing="0" w:after="0" w:afterAutospacing="0" w:line="360" w:lineRule="auto"/>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000000" w:themeColor="text1"/>
                <w:kern w:val="2"/>
                <w:sz w:val="24"/>
                <w:szCs w:val="21"/>
                <w:highlight w:val="none"/>
                <w:lang w:val="en-US" w:eastAsia="zh-CN" w:bidi="ar-SA"/>
                <w14:textFill>
                  <w14:solidFill>
                    <w14:schemeClr w14:val="tx1"/>
                  </w14:solidFill>
                </w14:textFill>
              </w:rPr>
              <w:t>本</w:t>
            </w:r>
            <w:r>
              <w:rPr>
                <w:rFonts w:hint="eastAsia" w:ascii="仿宋" w:hAnsi="仿宋" w:eastAsia="仿宋" w:cs="仿宋"/>
                <w:color w:val="auto"/>
                <w:kern w:val="0"/>
                <w:sz w:val="24"/>
                <w:szCs w:val="24"/>
                <w:highlight w:val="none"/>
                <w:lang w:val="en-US" w:eastAsia="zh-CN" w:bidi="ar-SA"/>
              </w:rPr>
              <w:t>项目对环境标志产品及节能产品的评审：</w:t>
            </w:r>
            <w:r>
              <w:rPr>
                <w:rFonts w:hint="eastAsia" w:ascii="仿宋" w:hAnsi="仿宋" w:eastAsia="仿宋" w:cs="仿宋"/>
                <w:b/>
                <w:bCs/>
                <w:color w:val="auto"/>
                <w:kern w:val="0"/>
                <w:sz w:val="24"/>
                <w:szCs w:val="24"/>
                <w:highlight w:val="none"/>
                <w:lang w:val="en-US" w:eastAsia="zh-CN" w:bidi="ar-SA"/>
              </w:rPr>
              <w:t>不适用。</w:t>
            </w:r>
          </w:p>
          <w:p w14:paraId="6F362A85">
            <w:pPr>
              <w:pStyle w:val="10"/>
              <w:keepNext/>
              <w:keepLines w:val="0"/>
              <w:suppressLineNumbers w:val="0"/>
              <w:spacing w:before="0" w:beforeAutospacing="0" w:after="0" w:afterAutospacing="0" w:line="360" w:lineRule="auto"/>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落实强制采购节能产品、鼓励节能政策：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2007〕51号）。</w:t>
            </w:r>
          </w:p>
          <w:p w14:paraId="12BEED22">
            <w:pPr>
              <w:pStyle w:val="10"/>
              <w:keepNext/>
              <w:keepLines w:val="0"/>
              <w:suppressLineNumbers w:val="0"/>
              <w:spacing w:before="0" w:beforeAutospacing="0" w:after="0" w:afterAutospacing="0" w:line="360" w:lineRule="auto"/>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（2）鼓励环保政策：在技术、服务等指标同等条件下，优先采购国家公布的属于环境标志产品政府采购清单中产品。</w:t>
            </w:r>
          </w:p>
          <w:p w14:paraId="630552EA">
            <w:pPr>
              <w:pStyle w:val="10"/>
              <w:keepNext/>
              <w:keepLines w:val="0"/>
              <w:suppressLineNumbers w:val="0"/>
              <w:spacing w:before="0" w:beforeAutospacing="0" w:after="0" w:afterAutospacing="0" w:line="360" w:lineRule="auto"/>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（3）根据《财政部 发展改革委 生态环境部 市场监管总局 关于调整优化节能产品、环境标志产品政府采购执行机制的通知》（财库〔2019〕9号），如果投标人拟供的产品属于“节能产品政府采购清单”中的，按照评分办法中要求给予加分。投标人须提供证明材料（请提供在中国政府采购网“节能产品清单”中产品查询结果截图），否则评标时不予认可。</w:t>
            </w:r>
          </w:p>
          <w:p w14:paraId="2CE34304">
            <w:pPr>
              <w:spacing w:line="360" w:lineRule="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（4）根据《财政部 发展改革委 生态环境部 市场监管总局 关于调整优化节能产品、环境标志产品政府采购执行机制的通知》（财库〔2019〕9号），如果投标人拟供的产品属于“环境标志产品政府采购清单”中的，按照评分办法中要求给予加分。投标人须提供证明材料（必须提供在中国政府采购网“环保标志产品清单”中产品查询结果截图），否则评标时不予认可。</w:t>
            </w:r>
          </w:p>
        </w:tc>
      </w:tr>
      <w:tr w14:paraId="01E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E149D71">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p>
        </w:tc>
        <w:tc>
          <w:tcPr>
            <w:tcW w:w="1727" w:type="dxa"/>
            <w:tcBorders>
              <w:top w:val="single" w:color="auto" w:sz="4" w:space="0"/>
              <w:left w:val="single" w:color="auto" w:sz="4" w:space="0"/>
              <w:bottom w:val="single" w:color="auto" w:sz="4" w:space="0"/>
              <w:right w:val="single" w:color="auto" w:sz="4" w:space="0"/>
            </w:tcBorders>
            <w:vAlign w:val="center"/>
          </w:tcPr>
          <w:p w14:paraId="3FF4161C">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评标结果公示</w:t>
            </w:r>
          </w:p>
        </w:tc>
        <w:tc>
          <w:tcPr>
            <w:tcW w:w="6647" w:type="dxa"/>
            <w:tcBorders>
              <w:top w:val="single" w:color="auto" w:sz="4" w:space="0"/>
              <w:left w:val="single" w:color="auto" w:sz="4" w:space="0"/>
              <w:bottom w:val="single" w:color="auto" w:sz="4" w:space="0"/>
              <w:right w:val="single" w:color="auto" w:sz="4" w:space="0"/>
            </w:tcBorders>
            <w:vAlign w:val="center"/>
          </w:tcPr>
          <w:p w14:paraId="50EFBFD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在中标通知书发出前，采购人将中标人的情况在本招标项目招标公告发布的同一媒介上予以公示，中标公告期限为1个工作日。</w:t>
            </w:r>
          </w:p>
        </w:tc>
      </w:tr>
      <w:tr w14:paraId="4A7E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99E0F8F">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10.3</w:t>
            </w:r>
          </w:p>
        </w:tc>
        <w:tc>
          <w:tcPr>
            <w:tcW w:w="1727" w:type="dxa"/>
            <w:tcBorders>
              <w:top w:val="single" w:color="auto" w:sz="4" w:space="0"/>
              <w:left w:val="single" w:color="auto" w:sz="4" w:space="0"/>
              <w:bottom w:val="single" w:color="auto" w:sz="4" w:space="0"/>
              <w:right w:val="single" w:color="auto" w:sz="4" w:space="0"/>
            </w:tcBorders>
            <w:vAlign w:val="center"/>
          </w:tcPr>
          <w:p w14:paraId="4DDB1618">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tc>
        <w:tc>
          <w:tcPr>
            <w:tcW w:w="6647" w:type="dxa"/>
            <w:tcBorders>
              <w:top w:val="single" w:color="auto" w:sz="4" w:space="0"/>
              <w:left w:val="single" w:color="auto" w:sz="4" w:space="0"/>
              <w:bottom w:val="single" w:color="auto" w:sz="4" w:space="0"/>
              <w:right w:val="single" w:color="auto" w:sz="4" w:space="0"/>
            </w:tcBorders>
            <w:vAlign w:val="center"/>
          </w:tcPr>
          <w:p w14:paraId="2331AF80">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14:paraId="38B0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40E76EAF">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10.4</w:t>
            </w:r>
          </w:p>
        </w:tc>
        <w:tc>
          <w:tcPr>
            <w:tcW w:w="1727" w:type="dxa"/>
            <w:tcBorders>
              <w:top w:val="single" w:color="auto" w:sz="4" w:space="0"/>
              <w:left w:val="single" w:color="auto" w:sz="4" w:space="0"/>
              <w:bottom w:val="single" w:color="auto" w:sz="4" w:space="0"/>
              <w:right w:val="single" w:color="auto" w:sz="4" w:space="0"/>
            </w:tcBorders>
            <w:vAlign w:val="center"/>
          </w:tcPr>
          <w:p w14:paraId="2954A785">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重新招标的其他情形</w:t>
            </w:r>
          </w:p>
        </w:tc>
        <w:tc>
          <w:tcPr>
            <w:tcW w:w="6647" w:type="dxa"/>
            <w:tcBorders>
              <w:top w:val="single" w:color="auto" w:sz="4" w:space="0"/>
              <w:left w:val="single" w:color="auto" w:sz="4" w:space="0"/>
              <w:bottom w:val="single" w:color="auto" w:sz="4" w:space="0"/>
              <w:right w:val="single" w:color="auto" w:sz="4" w:space="0"/>
            </w:tcBorders>
            <w:vAlign w:val="center"/>
          </w:tcPr>
          <w:p w14:paraId="251D677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除投标人须知正文第8条规定的情形外，除非已经产生中标候选人，在投标有效期内同意延长投标有效期的投标人少于三个的，采购人应当依法重新招标。</w:t>
            </w:r>
          </w:p>
        </w:tc>
      </w:tr>
      <w:tr w14:paraId="3131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87E217B">
            <w:pPr>
              <w:pStyle w:val="1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w:t>
            </w:r>
          </w:p>
        </w:tc>
        <w:tc>
          <w:tcPr>
            <w:tcW w:w="1727" w:type="dxa"/>
            <w:tcBorders>
              <w:top w:val="single" w:color="auto" w:sz="4" w:space="0"/>
              <w:left w:val="single" w:color="auto" w:sz="4" w:space="0"/>
              <w:bottom w:val="single" w:color="auto" w:sz="4" w:space="0"/>
              <w:right w:val="single" w:color="auto" w:sz="4" w:space="0"/>
            </w:tcBorders>
            <w:vAlign w:val="center"/>
          </w:tcPr>
          <w:p w14:paraId="7333E2E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转包或分包</w:t>
            </w:r>
          </w:p>
        </w:tc>
        <w:tc>
          <w:tcPr>
            <w:tcW w:w="6647" w:type="dxa"/>
            <w:tcBorders>
              <w:top w:val="single" w:color="auto" w:sz="4" w:space="0"/>
              <w:left w:val="single" w:color="auto" w:sz="4" w:space="0"/>
              <w:bottom w:val="single" w:color="auto" w:sz="4" w:space="0"/>
              <w:right w:val="single" w:color="auto" w:sz="4" w:space="0"/>
            </w:tcBorders>
            <w:vAlign w:val="center"/>
          </w:tcPr>
          <w:p w14:paraId="163E863F">
            <w:pPr>
              <w:spacing w:line="360" w:lineRule="auto"/>
              <w:rPr>
                <w:rFonts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不</w:t>
            </w:r>
            <w:r>
              <w:rPr>
                <w:rFonts w:hint="eastAsia" w:ascii="仿宋" w:hAnsi="仿宋" w:eastAsia="仿宋" w:cs="仿宋"/>
                <w:color w:val="auto"/>
                <w:sz w:val="24"/>
                <w:szCs w:val="24"/>
                <w:highlight w:val="none"/>
              </w:rPr>
              <w:t>允许转包</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分包</w:t>
            </w:r>
          </w:p>
        </w:tc>
      </w:tr>
    </w:tbl>
    <w:p w14:paraId="5B4952D1">
      <w:pPr>
        <w:rPr>
          <w:rFonts w:ascii="仿宋" w:hAnsi="仿宋" w:eastAsia="仿宋" w:cs="仿宋"/>
          <w:b/>
          <w:caps/>
          <w:color w:val="auto"/>
          <w:sz w:val="28"/>
          <w:szCs w:val="28"/>
          <w:highlight w:val="none"/>
        </w:rPr>
      </w:pPr>
      <w:r>
        <w:rPr>
          <w:rFonts w:hint="eastAsia" w:ascii="仿宋" w:hAnsi="仿宋" w:eastAsia="仿宋" w:cs="仿宋"/>
          <w:b/>
          <w:caps/>
          <w:color w:val="auto"/>
          <w:sz w:val="28"/>
          <w:szCs w:val="28"/>
          <w:highlight w:val="none"/>
        </w:rPr>
        <w:br w:type="page"/>
      </w:r>
    </w:p>
    <w:p w14:paraId="18557105">
      <w:pPr>
        <w:autoSpaceDE w:val="0"/>
        <w:spacing w:line="360" w:lineRule="auto"/>
        <w:jc w:val="center"/>
        <w:rPr>
          <w:rFonts w:ascii="仿宋" w:hAnsi="仿宋" w:eastAsia="仿宋" w:cs="仿宋"/>
          <w:b/>
          <w:bCs/>
          <w:color w:val="auto"/>
          <w:sz w:val="32"/>
          <w:szCs w:val="32"/>
          <w:highlight w:val="none"/>
        </w:rPr>
      </w:pPr>
      <w:bookmarkStart w:id="37" w:name="_Toc16194"/>
      <w:bookmarkEnd w:id="37"/>
      <w:r>
        <w:rPr>
          <w:rFonts w:hint="eastAsia" w:ascii="仿宋" w:hAnsi="仿宋" w:eastAsia="仿宋" w:cs="仿宋"/>
          <w:b/>
          <w:color w:val="auto"/>
          <w:sz w:val="32"/>
          <w:szCs w:val="32"/>
          <w:highlight w:val="none"/>
        </w:rPr>
        <w:t>投标人须知正文部分</w:t>
      </w:r>
    </w:p>
    <w:p w14:paraId="72D6896A">
      <w:pPr>
        <w:autoSpaceDE w:val="0"/>
        <w:spacing w:line="360" w:lineRule="auto"/>
        <w:rPr>
          <w:rFonts w:ascii="仿宋" w:hAnsi="仿宋" w:eastAsia="仿宋" w:cs="仿宋"/>
          <w:b/>
          <w:bCs/>
          <w:color w:val="auto"/>
          <w:sz w:val="24"/>
          <w:szCs w:val="24"/>
          <w:highlight w:val="none"/>
        </w:rPr>
      </w:pPr>
      <w:bookmarkStart w:id="38" w:name="_Toc486885397"/>
      <w:bookmarkEnd w:id="38"/>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总  则</w:t>
      </w:r>
    </w:p>
    <w:p w14:paraId="1DEE87F1">
      <w:pPr>
        <w:pStyle w:val="10"/>
        <w:autoSpaceDE w:val="0"/>
        <w:spacing w:line="360" w:lineRule="auto"/>
        <w:ind w:left="242" w:hanging="242" w:hangingChars="101"/>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1.1项目概括</w:t>
      </w:r>
    </w:p>
    <w:p w14:paraId="37087B66">
      <w:pPr>
        <w:autoSpaceDE w:val="0"/>
        <w:spacing w:line="360" w:lineRule="auto"/>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1.1.1</w:t>
      </w:r>
      <w:r>
        <w:rPr>
          <w:rFonts w:hint="eastAsia" w:ascii="仿宋" w:hAnsi="仿宋" w:eastAsia="仿宋" w:cs="仿宋"/>
          <w:color w:val="auto"/>
          <w:sz w:val="24"/>
          <w:szCs w:val="24"/>
          <w:highlight w:val="none"/>
        </w:rPr>
        <w:t>根据《中华人民共和国政府采购法》《政府采购货物和服务招标投标管理办法》（财政</w:t>
      </w:r>
      <w:r>
        <w:rPr>
          <w:rFonts w:hint="eastAsia" w:ascii="仿宋" w:hAnsi="仿宋" w:eastAsia="仿宋" w:cs="仿宋"/>
          <w:color w:val="auto"/>
          <w:sz w:val="24"/>
          <w:szCs w:val="24"/>
          <w:highlight w:val="none"/>
          <w:lang w:eastAsia="zh-CN"/>
        </w:rPr>
        <w:t>部第</w:t>
      </w:r>
      <w:r>
        <w:rPr>
          <w:rFonts w:hint="eastAsia" w:ascii="仿宋" w:hAnsi="仿宋" w:eastAsia="仿宋" w:cs="仿宋"/>
          <w:color w:val="auto"/>
          <w:sz w:val="24"/>
          <w:szCs w:val="24"/>
          <w:highlight w:val="none"/>
        </w:rPr>
        <w:t>87号令）等有关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，本招标项目已具备招标条件，现对其进行招标。</w:t>
      </w:r>
    </w:p>
    <w:p w14:paraId="26A374B0">
      <w:pPr>
        <w:pStyle w:val="10"/>
        <w:autoSpaceDE w:val="0"/>
        <w:spacing w:line="360" w:lineRule="auto"/>
        <w:ind w:left="242" w:hanging="242" w:hangingChars="101"/>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 采购人：</w:t>
      </w:r>
      <w:r>
        <w:rPr>
          <w:rFonts w:hint="eastAsia" w:ascii="仿宋" w:hAnsi="仿宋" w:eastAsia="仿宋" w:cs="仿宋"/>
          <w:color w:val="auto"/>
          <w:sz w:val="24"/>
          <w:szCs w:val="24"/>
          <w:highlight w:val="none"/>
        </w:rPr>
        <w:t>见投标人须知前附表。</w:t>
      </w:r>
    </w:p>
    <w:p w14:paraId="6E2EFF53">
      <w:pPr>
        <w:pStyle w:val="10"/>
        <w:autoSpaceDE w:val="0"/>
        <w:spacing w:line="360" w:lineRule="auto"/>
        <w:ind w:left="242" w:hanging="242" w:hangingChars="101"/>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1.1.3采购代理机构：</w:t>
      </w:r>
      <w:r>
        <w:rPr>
          <w:rFonts w:hint="eastAsia" w:ascii="仿宋" w:hAnsi="仿宋" w:eastAsia="仿宋" w:cs="仿宋"/>
          <w:color w:val="auto"/>
          <w:sz w:val="24"/>
          <w:szCs w:val="24"/>
          <w:highlight w:val="none"/>
        </w:rPr>
        <w:t>见投标人须知前附表。</w:t>
      </w:r>
    </w:p>
    <w:p w14:paraId="5763BFAD">
      <w:pPr>
        <w:pStyle w:val="10"/>
        <w:autoSpaceDE w:val="0"/>
        <w:spacing w:line="360" w:lineRule="auto"/>
        <w:ind w:left="242" w:hanging="242" w:hangingChars="101"/>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w:t>
      </w:r>
      <w:r>
        <w:rPr>
          <w:rFonts w:hint="eastAsia" w:ascii="仿宋" w:hAnsi="仿宋" w:eastAsia="仿宋" w:cs="仿宋"/>
          <w:color w:val="auto"/>
          <w:sz w:val="24"/>
          <w:szCs w:val="24"/>
          <w:highlight w:val="none"/>
        </w:rPr>
        <w:t>项目名称及招标编号见投标人须知前附表。</w:t>
      </w:r>
    </w:p>
    <w:p w14:paraId="26A67203">
      <w:pPr>
        <w:pStyle w:val="10"/>
        <w:autoSpaceDE w:val="0"/>
        <w:spacing w:line="360" w:lineRule="auto"/>
        <w:ind w:left="243" w:hanging="243" w:hangingChars="101"/>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1.2资金来源</w:t>
      </w:r>
    </w:p>
    <w:p w14:paraId="7725A76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1.2.1本招标项目的资金来源：见投标人须知前附表。</w:t>
      </w:r>
    </w:p>
    <w:p w14:paraId="4E6C2470">
      <w:pPr>
        <w:pStyle w:val="10"/>
        <w:autoSpaceDE w:val="0"/>
        <w:spacing w:line="360" w:lineRule="auto"/>
        <w:ind w:left="242" w:hanging="242" w:hangingChars="101"/>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1.2.2本招标项目的资金落实情况：见投标人须知前附表。</w:t>
      </w:r>
    </w:p>
    <w:p w14:paraId="0DC9CB35">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1.3招标范围</w:t>
      </w:r>
    </w:p>
    <w:p w14:paraId="75098FE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1.3.1本项目招标范围：见投标人须知前附表。</w:t>
      </w:r>
    </w:p>
    <w:p w14:paraId="55604E66">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1.3.2合同履行期限：见投标人须知前附表。</w:t>
      </w:r>
    </w:p>
    <w:p w14:paraId="3118706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1.3.3交货地点：见投标人须知前附表。</w:t>
      </w:r>
    </w:p>
    <w:p w14:paraId="12A4A69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1.3.4质保期：见投标人须知前附表。</w:t>
      </w:r>
    </w:p>
    <w:p w14:paraId="777B384D">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投标人资格要求</w:t>
      </w:r>
    </w:p>
    <w:p w14:paraId="34D912F9">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详见招标文件第一章《招标公告》“二、投标人资格要求”。</w:t>
      </w:r>
    </w:p>
    <w:p w14:paraId="12E1CB87">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1.5费用承担</w:t>
      </w:r>
    </w:p>
    <w:p w14:paraId="528AFC59">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1.5.1投标人准备和参加投标活动发生的费用自理。</w:t>
      </w:r>
    </w:p>
    <w:p w14:paraId="051D91AC">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r>
        <w:rPr>
          <w:rFonts w:hint="eastAsia" w:ascii="仿宋" w:hAnsi="仿宋" w:eastAsia="仿宋" w:cs="仿宋"/>
          <w:color w:val="auto"/>
          <w:spacing w:val="1"/>
          <w:sz w:val="24"/>
          <w:szCs w:val="24"/>
          <w:highlight w:val="none"/>
        </w:rPr>
        <w:t>招标代理服务费</w:t>
      </w:r>
      <w:r>
        <w:rPr>
          <w:rFonts w:hint="eastAsia" w:ascii="仿宋" w:hAnsi="仿宋" w:eastAsia="仿宋" w:cs="仿宋"/>
          <w:color w:val="auto"/>
          <w:spacing w:val="1"/>
          <w:sz w:val="24"/>
          <w:szCs w:val="24"/>
          <w:highlight w:val="none"/>
          <w:lang w:val="en-US" w:eastAsia="zh-CN"/>
        </w:rPr>
        <w:t>7000元</w:t>
      </w:r>
      <w:r>
        <w:rPr>
          <w:rFonts w:hint="eastAsia" w:ascii="仿宋" w:hAnsi="仿宋" w:eastAsia="仿宋" w:cs="仿宋"/>
          <w:color w:val="auto"/>
          <w:spacing w:val="1"/>
          <w:sz w:val="24"/>
          <w:szCs w:val="24"/>
          <w:highlight w:val="none"/>
        </w:rPr>
        <w:t>，由中标人向采购代理机构支付。</w:t>
      </w:r>
      <w:r>
        <w:rPr>
          <w:rFonts w:hint="eastAsia" w:ascii="仿宋" w:hAnsi="仿宋" w:eastAsia="仿宋" w:cs="仿宋"/>
          <w:color w:val="auto"/>
          <w:sz w:val="24"/>
          <w:szCs w:val="24"/>
          <w:highlight w:val="none"/>
        </w:rPr>
        <w:t xml:space="preserve"> </w:t>
      </w:r>
    </w:p>
    <w:p w14:paraId="49DC2CA2">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1.5.3其他费用按国家、省、市相关规定收取。</w:t>
      </w:r>
    </w:p>
    <w:p w14:paraId="3F25859C">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1.6保密</w:t>
      </w:r>
    </w:p>
    <w:p w14:paraId="416D6A32">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参与招标投标活动的各方应对招标文件和投标文件中的商业和技术等秘密保密，违者应对由此造成的后果承担法律责任。</w:t>
      </w:r>
    </w:p>
    <w:p w14:paraId="5D4A4B35">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1.7语言文字</w:t>
      </w:r>
    </w:p>
    <w:p w14:paraId="6329C19D">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除专用术语外，与招标投标有关的语言均使用中文。必要时专用术语应附有中文注释。</w:t>
      </w:r>
    </w:p>
    <w:p w14:paraId="68E15582">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1.8计量单位</w:t>
      </w:r>
    </w:p>
    <w:p w14:paraId="3BEF0A11">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2331FE0E">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1.9投标预备会</w:t>
      </w:r>
    </w:p>
    <w:p w14:paraId="0FBE805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1.9.1采购人不集中召开投标预备会，实行网上答疑。投标人若有疑问，需要采购人予以答疑，应以不署名的形式在“政采云”平台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提出。</w:t>
      </w:r>
    </w:p>
    <w:p w14:paraId="12E83DFA">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1.9.2投标人提出问题的截止时间和方法：见投标人须知前附表。</w:t>
      </w:r>
    </w:p>
    <w:p w14:paraId="381E570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1.9.3采购人澄清的时间和方法：见投标人须知前附表。</w:t>
      </w:r>
    </w:p>
    <w:p w14:paraId="40394E3C">
      <w:pPr>
        <w:pStyle w:val="3"/>
        <w:autoSpaceDE w:val="0"/>
        <w:spacing w:before="0" w:after="0" w:line="360" w:lineRule="auto"/>
        <w:jc w:val="left"/>
        <w:rPr>
          <w:rFonts w:ascii="仿宋" w:hAnsi="仿宋" w:eastAsia="仿宋" w:cs="仿宋"/>
          <w:color w:val="auto"/>
          <w:sz w:val="24"/>
          <w:szCs w:val="24"/>
          <w:highlight w:val="none"/>
        </w:rPr>
      </w:pPr>
      <w:bookmarkStart w:id="39" w:name="_Toc393354831"/>
      <w:bookmarkEnd w:id="39"/>
      <w:bookmarkStart w:id="40" w:name="_Toc486885398"/>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招标文件</w:t>
      </w:r>
      <w:bookmarkEnd w:id="40"/>
    </w:p>
    <w:p w14:paraId="0DBA45AD">
      <w:pPr>
        <w:pStyle w:val="10"/>
        <w:autoSpaceDE w:val="0"/>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2.1招标文件编制依据</w:t>
      </w:r>
    </w:p>
    <w:p w14:paraId="270533B2">
      <w:pPr>
        <w:autoSpaceDE w:val="0"/>
        <w:spacing w:line="360" w:lineRule="auto"/>
        <w:ind w:firstLine="480" w:firstLineChars="200"/>
        <w:rPr>
          <w:rFonts w:ascii="仿宋" w:hAnsi="仿宋" w:eastAsia="仿宋" w:cs="仿宋"/>
          <w:b/>
          <w:bCs/>
          <w:color w:val="auto"/>
          <w:sz w:val="24"/>
          <w:szCs w:val="24"/>
          <w:highlight w:val="none"/>
        </w:rPr>
      </w:pPr>
      <w:bookmarkStart w:id="41" w:name="_Toc393354832"/>
      <w:bookmarkEnd w:id="41"/>
      <w:r>
        <w:rPr>
          <w:rFonts w:hint="eastAsia" w:ascii="仿宋" w:hAnsi="仿宋" w:eastAsia="仿宋" w:cs="仿宋"/>
          <w:color w:val="auto"/>
          <w:sz w:val="24"/>
          <w:szCs w:val="24"/>
          <w:highlight w:val="none"/>
        </w:rPr>
        <w:t>本项目招标文件根据《中华人民共和国政府采购法》《中华人民共和国政府采购法实施条例》《政府采购货物和服务招标投标管理办法》（财政部令第87号）等有关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编制，解释权属于采购人、采购代理机构。</w:t>
      </w:r>
    </w:p>
    <w:p w14:paraId="34133C80">
      <w:pPr>
        <w:pStyle w:val="10"/>
        <w:autoSpaceDE w:val="0"/>
        <w:spacing w:line="360" w:lineRule="auto"/>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2.2</w:t>
      </w:r>
      <w:r>
        <w:rPr>
          <w:rFonts w:hint="eastAsia" w:ascii="仿宋" w:hAnsi="仿宋" w:eastAsia="仿宋" w:cs="仿宋"/>
          <w:b/>
          <w:bCs/>
          <w:color w:val="auto"/>
          <w:sz w:val="24"/>
          <w:szCs w:val="24"/>
          <w:highlight w:val="none"/>
        </w:rPr>
        <w:t>招标文件构成</w:t>
      </w:r>
    </w:p>
    <w:p w14:paraId="3DA489B2">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2.2.1招标文件包括：招标公告、投标人须知、合同书样式及主要条款、投标文件格式、采购项目要求及评标办法。</w:t>
      </w:r>
    </w:p>
    <w:p w14:paraId="155860E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2.2.2根据本章第2.3和第2.4款对招标文件所作的澄清、修改，构成招标文件的组成部分。</w:t>
      </w:r>
    </w:p>
    <w:p w14:paraId="29EF76CF">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2.3招标文件的澄清</w:t>
      </w:r>
    </w:p>
    <w:p w14:paraId="57AC9A5B">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同1.9.2的时间要求。投标人应仔细阅读和检查招标文件的全部内容。如发现缺页或附件不全，应及时向采购人提出，以便补齐。如有疑问，应在投标人须知前附表规定的时间前以在线不署名提交方式登录“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，要求采购人对招标文件予以澄清。</w:t>
      </w:r>
    </w:p>
    <w:p w14:paraId="6422052E">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2.3.2投标截止时间：见投标人须知前附表。</w:t>
      </w:r>
    </w:p>
    <w:p w14:paraId="0C489C70">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2.3.3招标澄清和补遗全部通过网络送达，请投标人在开标截止日前，务必查询网站信息，投标人自行登录“政采云”平台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获取澄清，无须回复确认已收到该澄清。</w:t>
      </w:r>
    </w:p>
    <w:p w14:paraId="33FB9D90">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2.4招标文件的修改</w:t>
      </w:r>
    </w:p>
    <w:p w14:paraId="48BE0A48">
      <w:pPr>
        <w:autoSpaceDE w:val="0"/>
        <w:spacing w:line="360" w:lineRule="auto"/>
        <w:rPr>
          <w:rFonts w:ascii="仿宋" w:hAnsi="仿宋" w:eastAsia="仿宋" w:cs="仿宋"/>
          <w:color w:val="auto"/>
          <w:sz w:val="24"/>
          <w:szCs w:val="24"/>
          <w:highlight w:val="none"/>
        </w:rPr>
      </w:pPr>
      <w:bookmarkStart w:id="42" w:name="_Toc486885399"/>
      <w:bookmarkEnd w:id="42"/>
      <w:r>
        <w:rPr>
          <w:rFonts w:hint="eastAsia" w:ascii="仿宋" w:hAnsi="仿宋" w:eastAsia="仿宋" w:cs="仿宋"/>
          <w:color w:val="auto"/>
          <w:sz w:val="24"/>
          <w:szCs w:val="24"/>
          <w:highlight w:val="none"/>
        </w:rPr>
        <w:t>2.4.1在投标截止时间15天前，确需要变更招标文件内容的，采购人可主动或在解答投标人提出的澄清问题时对招标文件进行修改，并同时报主管部门备案。招标文件的修改将在“政采云”平台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发布，招标文件的修改作为招标文件的组成部分，并具有约束力。</w:t>
      </w:r>
    </w:p>
    <w:p w14:paraId="49EA1A26">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2.4.2投标人自行登录“政采云”平台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收取修改内容，无须回复确认已收到该修改。投标人应在截标时间前随时查看“政采云”平台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中有关该招标文件的答疑、补遗内容。否则，由此引起的投标损失自负。</w:t>
      </w:r>
    </w:p>
    <w:p w14:paraId="408C66A7">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2.4.3招标文件、招标文件澄清、招标文件修改文件内容均以网上发布的为准，当招标文件、招标文件澄清、招标文件修改文件内容相互矛盾时，以最后发出的为准。</w:t>
      </w:r>
    </w:p>
    <w:p w14:paraId="127B2189">
      <w:pPr>
        <w:autoSpaceDE w:val="0"/>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投标文件</w:t>
      </w:r>
    </w:p>
    <w:p w14:paraId="12D7D06F">
      <w:pPr>
        <w:autoSpaceDE w:val="0"/>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投标文件的组成</w:t>
      </w:r>
    </w:p>
    <w:p w14:paraId="2DB90499">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3.1.1投标人编写的投标文件应由资格审查部分、商务部分、技术部分构成，并按第六章《投标文件格式》要求填写。</w:t>
      </w:r>
    </w:p>
    <w:p w14:paraId="1EAD920E">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3.1.2投标文件全部采用电子文档。</w:t>
      </w:r>
    </w:p>
    <w:p w14:paraId="051BF7B9">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3.2报价部分</w:t>
      </w:r>
    </w:p>
    <w:p w14:paraId="7F10A372">
      <w:pPr>
        <w:pStyle w:val="10"/>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3.2.1投标人应按投标文件的要求填写相应表格。</w:t>
      </w:r>
    </w:p>
    <w:p w14:paraId="22CC027C">
      <w:pPr>
        <w:pStyle w:val="10"/>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3.2.2投标人在投标截止时间前修改投标函中的投标总报价，应同时修改报价表中的相应报价。</w:t>
      </w:r>
    </w:p>
    <w:p w14:paraId="4F730713">
      <w:pPr>
        <w:pStyle w:val="10"/>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3.2.3投标报价应为人民币含税价，包含：为本项目提供的所有货物、服务、税费等一切费用。该报价应考虑市场风险、政策性风险、汇率风险等因素，并能保证投标人完成履行合同所需的全部工作，此价格在合同签订后将不作调整。</w:t>
      </w:r>
    </w:p>
    <w:p w14:paraId="46F10F10">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3.3投标有效期</w:t>
      </w:r>
    </w:p>
    <w:p w14:paraId="4B05B3C2">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3.3.1在投标人须知前附表规定的投标有效期内，投标人不得要求撤销或修改其投标文件。</w:t>
      </w:r>
    </w:p>
    <w:p w14:paraId="2CDF0F3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F105EB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3.3.3投标有效期为投标截止之日起90日历天，投标人必须在投标函中注明有效期为投标截止之日起90日历天，否则视为无效投标文件。</w:t>
      </w:r>
    </w:p>
    <w:p w14:paraId="19529DFA">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3.4投标保证金</w:t>
      </w:r>
    </w:p>
    <w:p w14:paraId="6737CB18">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3.4.1投标人在递交投标文件时，应按投标人须知前附表的规定递交投标保证金。联合体投标的，其投标保证金由牵头人递交，并应符合投标人须知前附表的规定。</w:t>
      </w:r>
    </w:p>
    <w:p w14:paraId="70F66704">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3.4.2投标人不按本章第3.4.1项要求提交投标保证金，其投标文件作废标处理。</w:t>
      </w:r>
    </w:p>
    <w:p w14:paraId="698C6C27">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3.4.3投标保证金退还到投标人的基本账户。</w:t>
      </w:r>
    </w:p>
    <w:p w14:paraId="0186D205">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3.4.4投标人在投标截止时间前撤回已提交的投标文件的，采购人或者采购代理机构应当自收到投标人书面撤回通知之日起5个工作日内，退还已收取的投标保证金，但因投标人自身原因导致无法及时退还的除外。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5E14407D">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182DF00A">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435E470D">
      <w:pPr>
        <w:pStyle w:val="18"/>
        <w:widowControl w:val="0"/>
        <w:autoSpaceDE w:val="0"/>
        <w:spacing w:before="0" w:beforeAutospacing="0" w:after="0" w:afterAutospacing="0" w:line="360" w:lineRule="auto"/>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3.4.5 有下列情形之一的，投标保证金将不予退还：</w:t>
      </w:r>
    </w:p>
    <w:p w14:paraId="76044DDA">
      <w:pPr>
        <w:pStyle w:val="18"/>
        <w:widowControl w:val="0"/>
        <w:autoSpaceDE w:val="0"/>
        <w:spacing w:before="0" w:beforeAutospacing="0" w:after="0" w:afterAutospacing="0" w:line="360" w:lineRule="auto"/>
        <w:ind w:firstLine="48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①开标后</w:t>
      </w:r>
      <w:r>
        <w:rPr>
          <w:rFonts w:hint="eastAsia" w:ascii="仿宋" w:hAnsi="仿宋" w:eastAsia="仿宋" w:cs="仿宋"/>
          <w:b/>
          <w:bCs/>
          <w:color w:val="auto"/>
          <w:kern w:val="2"/>
          <w:sz w:val="24"/>
          <w:szCs w:val="24"/>
          <w:highlight w:val="none"/>
          <w:lang w:eastAsia="zh-CN"/>
        </w:rPr>
        <w:t>，</w:t>
      </w:r>
      <w:r>
        <w:rPr>
          <w:rFonts w:hint="eastAsia" w:ascii="仿宋" w:hAnsi="仿宋" w:eastAsia="仿宋" w:cs="仿宋"/>
          <w:b/>
          <w:bCs/>
          <w:color w:val="auto"/>
          <w:kern w:val="2"/>
          <w:sz w:val="24"/>
          <w:szCs w:val="24"/>
          <w:highlight w:val="none"/>
        </w:rPr>
        <w:t>投标方撤回其投标书的；</w:t>
      </w:r>
    </w:p>
    <w:p w14:paraId="551789B1">
      <w:pPr>
        <w:pStyle w:val="18"/>
        <w:widowControl w:val="0"/>
        <w:autoSpaceDE w:val="0"/>
        <w:spacing w:before="0" w:beforeAutospacing="0" w:after="0" w:afterAutospacing="0" w:line="360" w:lineRule="auto"/>
        <w:ind w:firstLine="48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②中标通知书发出后，中标方</w:t>
      </w:r>
      <w:r>
        <w:rPr>
          <w:rFonts w:hint="eastAsia" w:ascii="仿宋" w:hAnsi="仿宋" w:eastAsia="仿宋" w:cs="仿宋"/>
          <w:b/>
          <w:bCs/>
          <w:color w:val="auto"/>
          <w:kern w:val="2"/>
          <w:sz w:val="24"/>
          <w:szCs w:val="24"/>
          <w:highlight w:val="none"/>
          <w:lang w:eastAsia="zh-CN"/>
        </w:rPr>
        <w:t>不签订</w:t>
      </w:r>
      <w:r>
        <w:rPr>
          <w:rFonts w:hint="eastAsia" w:ascii="仿宋" w:hAnsi="仿宋" w:eastAsia="仿宋" w:cs="仿宋"/>
          <w:b/>
          <w:bCs/>
          <w:color w:val="auto"/>
          <w:kern w:val="2"/>
          <w:sz w:val="24"/>
          <w:szCs w:val="24"/>
          <w:highlight w:val="none"/>
        </w:rPr>
        <w:t>合同或放弃中标权的；</w:t>
      </w:r>
    </w:p>
    <w:p w14:paraId="2DB01C0C">
      <w:pPr>
        <w:pStyle w:val="18"/>
        <w:widowControl w:val="0"/>
        <w:autoSpaceDE w:val="0"/>
        <w:spacing w:before="0" w:beforeAutospacing="0" w:after="0" w:afterAutospacing="0" w:line="360" w:lineRule="auto"/>
        <w:ind w:firstLine="48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③由于中标方的原因致使合同无法履行的；</w:t>
      </w:r>
    </w:p>
    <w:p w14:paraId="6E5B37D8">
      <w:pPr>
        <w:pStyle w:val="18"/>
        <w:widowControl w:val="0"/>
        <w:autoSpaceDE w:val="0"/>
        <w:spacing w:before="0" w:beforeAutospacing="0" w:after="0" w:afterAutospacing="0" w:line="360" w:lineRule="auto"/>
        <w:ind w:firstLine="48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④投标方提供虚假资料的；</w:t>
      </w:r>
    </w:p>
    <w:p w14:paraId="08989B83">
      <w:pPr>
        <w:pStyle w:val="18"/>
        <w:widowControl w:val="0"/>
        <w:autoSpaceDE w:val="0"/>
        <w:spacing w:before="0" w:beforeAutospacing="0" w:after="0" w:afterAutospacing="0" w:line="360" w:lineRule="auto"/>
        <w:ind w:firstLine="48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⑤投标方有围标、串标行为的；</w:t>
      </w:r>
    </w:p>
    <w:p w14:paraId="0ABE2224">
      <w:pPr>
        <w:pStyle w:val="18"/>
        <w:widowControl w:val="0"/>
        <w:autoSpaceDE w:val="0"/>
        <w:spacing w:before="0" w:beforeAutospacing="0" w:after="0" w:afterAutospacing="0" w:line="360" w:lineRule="auto"/>
        <w:ind w:firstLine="48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⑥招标文件规定的</w:t>
      </w:r>
      <w:r>
        <w:rPr>
          <w:rFonts w:hint="eastAsia" w:ascii="仿宋" w:hAnsi="仿宋" w:eastAsia="仿宋" w:cs="仿宋"/>
          <w:b/>
          <w:bCs/>
          <w:color w:val="auto"/>
          <w:kern w:val="2"/>
          <w:sz w:val="24"/>
          <w:szCs w:val="24"/>
          <w:highlight w:val="none"/>
          <w:lang w:eastAsia="zh-CN"/>
        </w:rPr>
        <w:t>其他</w:t>
      </w:r>
      <w:r>
        <w:rPr>
          <w:rFonts w:hint="eastAsia" w:ascii="仿宋" w:hAnsi="仿宋" w:eastAsia="仿宋" w:cs="仿宋"/>
          <w:b/>
          <w:bCs/>
          <w:color w:val="auto"/>
          <w:kern w:val="2"/>
          <w:sz w:val="24"/>
          <w:szCs w:val="24"/>
          <w:highlight w:val="none"/>
        </w:rPr>
        <w:t>情形。</w:t>
      </w:r>
    </w:p>
    <w:p w14:paraId="2EAB05C1">
      <w:pPr>
        <w:pStyle w:val="18"/>
        <w:widowControl w:val="0"/>
        <w:autoSpaceDE w:val="0"/>
        <w:spacing w:before="0" w:beforeAutospacing="0" w:after="0" w:afterAutospacing="0" w:line="360" w:lineRule="auto"/>
        <w:rPr>
          <w:rFonts w:ascii="仿宋" w:hAnsi="仿宋" w:eastAsia="仿宋" w:cs="仿宋"/>
          <w:b/>
          <w:color w:val="auto"/>
          <w:sz w:val="24"/>
          <w:szCs w:val="24"/>
          <w:highlight w:val="none"/>
        </w:rPr>
      </w:pPr>
      <w:r>
        <w:rPr>
          <w:rFonts w:hint="eastAsia" w:ascii="仿宋" w:hAnsi="仿宋" w:eastAsia="仿宋" w:cs="仿宋"/>
          <w:color w:val="auto"/>
          <w:kern w:val="2"/>
          <w:sz w:val="24"/>
          <w:szCs w:val="24"/>
          <w:highlight w:val="none"/>
        </w:rPr>
        <w:t>3.4.6投标人在招投标活动中被认定为围标、串通投标行为的将没收其投标保证金。</w:t>
      </w:r>
    </w:p>
    <w:p w14:paraId="5FD2BF40">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3.5资格审查资料</w:t>
      </w:r>
    </w:p>
    <w:p w14:paraId="11B9BBF7">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详见招标文件第一章《招标公告》“二、投标人资格要求”。</w:t>
      </w:r>
    </w:p>
    <w:p w14:paraId="67AFEBA6">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3.6投标文件的编制</w:t>
      </w:r>
    </w:p>
    <w:p w14:paraId="4F89A4E7">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3.6.1投标文件由资格审查部分、商务标部分、技术标文件组成。</w:t>
      </w:r>
    </w:p>
    <w:p w14:paraId="6AEAE227">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3.6.2投标文件应当对招标文件有关合同履行期限、投标有效期、质保期、招标范围等实质性内容作出响应。</w:t>
      </w:r>
    </w:p>
    <w:p w14:paraId="61A039C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3.6.3投标文件的签署：见投标人须知前附表3.6.4。</w:t>
      </w:r>
    </w:p>
    <w:p w14:paraId="4580C885">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3.6.4投标文件的提交：见投标人须知前附表3.6.5。</w:t>
      </w:r>
    </w:p>
    <w:p w14:paraId="7BCA40FF">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w:t>
      </w:r>
    </w:p>
    <w:p w14:paraId="65183078">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4.1投标文件的密封</w:t>
      </w:r>
    </w:p>
    <w:p w14:paraId="3946D61E">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4.1.1网上递交的投标文件需要对投标文件进行加密。</w:t>
      </w:r>
    </w:p>
    <w:p w14:paraId="35639C1F">
      <w:pPr>
        <w:autoSpaceDE w:val="0"/>
        <w:spacing w:line="360" w:lineRule="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4.1.2未按本章第4.1.1项，采购人不予受理。</w:t>
      </w:r>
    </w:p>
    <w:p w14:paraId="640B5253">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4.2投标文件的递交</w:t>
      </w:r>
    </w:p>
    <w:p w14:paraId="52A592A8">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4.2.1投标人应在本章第2.2.2项规定的投标截止时间前递交投标文件。</w:t>
      </w:r>
    </w:p>
    <w:p w14:paraId="1CA1687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4.2.2除投标人须知前附表另有规定外，投标人所递交的投标文件不予退还。</w:t>
      </w:r>
    </w:p>
    <w:p w14:paraId="0FD2122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4.2.3逾期送达的或者未送达指定地点的投标文件，采购人不予受理。</w:t>
      </w:r>
    </w:p>
    <w:p w14:paraId="74F42289">
      <w:pPr>
        <w:autoSpaceDE w:val="0"/>
        <w:spacing w:line="360" w:lineRule="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4.2.4投标人在提交投标文件截止时间前，首先应将电子投标文件上传到“政采云”平台 （http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，如果投标人没有按规定网上递交电子投标文件，视为投标无效。</w:t>
      </w:r>
    </w:p>
    <w:p w14:paraId="692CB664">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4.3投标文件的修改与撤回</w:t>
      </w:r>
    </w:p>
    <w:p w14:paraId="09DA71C6">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4.3.1在本章第2.2.2项规定的投标截止时间前，投标人可以修改或撤回已在网上递交的投标文件，无须书面形式通知采购人。</w:t>
      </w:r>
    </w:p>
    <w:p w14:paraId="54E47AC0">
      <w:pPr>
        <w:autoSpaceDE w:val="0"/>
        <w:spacing w:line="360" w:lineRule="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4.3.2修改的投标文件应按照本章第3条、第4条规定进行编制和递交。</w:t>
      </w:r>
    </w:p>
    <w:p w14:paraId="0D936A1E">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5.开标</w:t>
      </w:r>
    </w:p>
    <w:p w14:paraId="3B9BDEB1">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5.1开标时间和地点</w:t>
      </w:r>
    </w:p>
    <w:p w14:paraId="406A408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采购人在本章第2.2.2项规定的投标截止时间（开标时间）和投标人须知前附表规定的地点公开开标，并邀请所有投标人的法定代表人或其委托代理人准时参加。</w:t>
      </w:r>
    </w:p>
    <w:p w14:paraId="28C4FA7B">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5.2开标程序</w:t>
      </w:r>
    </w:p>
    <w:p w14:paraId="3B536609">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主持人按下列程序进行开标：</w:t>
      </w:r>
    </w:p>
    <w:p w14:paraId="44CAAF10">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宣布开标纪律；</w:t>
      </w:r>
    </w:p>
    <w:p w14:paraId="0C80F2F6">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公布在投标截止时间前递交投标文件的投标人名称；</w:t>
      </w:r>
    </w:p>
    <w:p w14:paraId="43C18BC9">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按照政</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sz w:val="24"/>
          <w:szCs w:val="24"/>
          <w:highlight w:val="none"/>
        </w:rPr>
        <w:t>云平台自动提取所有投标人的顺序当众开标，依次导入有效投标人的电子投标文件</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rPr>
        <w:t>，由投标人对网上递交已加密的投标文件，解密完成后，公布投标人名称、投标保证金的递交情况、投标报价及其他内容，并记录在案，因投标人原因造成投标文件未解密的，视为撤销其投标文件；</w:t>
      </w:r>
    </w:p>
    <w:p w14:paraId="2A0F0C1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投标人代表、采购人代表、监标人、记录人等有关人员在开标记录上签字确认；</w:t>
      </w:r>
    </w:p>
    <w:p w14:paraId="55737E9B">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开标结束。</w:t>
      </w:r>
    </w:p>
    <w:p w14:paraId="7A4CFD14">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5.3投标文件不予受理情形</w:t>
      </w:r>
    </w:p>
    <w:p w14:paraId="3312613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投标文件有下列情形之一的，采购人不予受理：</w:t>
      </w:r>
    </w:p>
    <w:p w14:paraId="5D9FD075">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没有对投标文件进行加密的；</w:t>
      </w:r>
    </w:p>
    <w:p w14:paraId="7ECB864B">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投标人提交的电子标书格式不符合3.6.1项要求的。</w:t>
      </w:r>
    </w:p>
    <w:p w14:paraId="041B1A99">
      <w:pPr>
        <w:pStyle w:val="18"/>
        <w:widowControl w:val="0"/>
        <w:autoSpaceDE w:val="0"/>
        <w:spacing w:before="0" w:beforeAutospacing="0" w:after="0" w:afterAutospacing="0" w:line="360" w:lineRule="auto"/>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5.4投标人存在下列情况之一的，投标无效</w:t>
      </w:r>
      <w:r>
        <w:rPr>
          <w:rFonts w:hint="eastAsia" w:ascii="仿宋" w:hAnsi="仿宋" w:eastAsia="仿宋" w:cs="仿宋"/>
          <w:b/>
          <w:bCs/>
          <w:color w:val="auto"/>
          <w:kern w:val="2"/>
          <w:sz w:val="24"/>
          <w:szCs w:val="24"/>
          <w:highlight w:val="none"/>
          <w:lang w:eastAsia="zh-CN"/>
        </w:rPr>
        <w:t>：</w:t>
      </w:r>
    </w:p>
    <w:p w14:paraId="111517FA">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未按照招标文件的规定提交投标保证金的；</w:t>
      </w:r>
    </w:p>
    <w:p w14:paraId="295ABF69">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投标文件未按招标文件要求签署、盖章的；</w:t>
      </w:r>
    </w:p>
    <w:p w14:paraId="689E7840">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3</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不具备招标文件中规定的资格要求的；</w:t>
      </w:r>
    </w:p>
    <w:p w14:paraId="3E587D5E">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报价超过招标文件中规定的预算金额或者最高限价的；</w:t>
      </w:r>
    </w:p>
    <w:p w14:paraId="685CCB0F">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5</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投标文件含有采购人不能接受的附加条件的；</w:t>
      </w:r>
    </w:p>
    <w:p w14:paraId="63D4403C">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6</w:t>
      </w:r>
      <w:r>
        <w:rPr>
          <w:rFonts w:hint="eastAsia" w:ascii="仿宋" w:hAnsi="仿宋" w:eastAsia="仿宋" w:cs="仿宋"/>
          <w:color w:val="auto"/>
          <w:kern w:val="2"/>
          <w:sz w:val="24"/>
          <w:szCs w:val="24"/>
          <w:highlight w:val="none"/>
          <w:lang w:eastAsia="zh-CN"/>
        </w:rPr>
        <w:t>）法律法规</w:t>
      </w:r>
      <w:r>
        <w:rPr>
          <w:rFonts w:hint="eastAsia" w:ascii="仿宋" w:hAnsi="仿宋" w:eastAsia="仿宋" w:cs="仿宋"/>
          <w:color w:val="auto"/>
          <w:kern w:val="2"/>
          <w:sz w:val="24"/>
          <w:szCs w:val="24"/>
          <w:highlight w:val="none"/>
        </w:rPr>
        <w:t>和招标文件规定的其他无效情形。</w:t>
      </w:r>
    </w:p>
    <w:p w14:paraId="11F1B928">
      <w:pPr>
        <w:pStyle w:val="18"/>
        <w:widowControl w:val="0"/>
        <w:autoSpaceDE w:val="0"/>
        <w:spacing w:before="0" w:beforeAutospacing="0" w:after="0" w:afterAutospacing="0" w:line="360" w:lineRule="auto"/>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5.5有下列情形之一的，视为投标人串通投标，其投标无效：</w:t>
      </w:r>
    </w:p>
    <w:p w14:paraId="6F5266E5">
      <w:pPr>
        <w:pStyle w:val="18"/>
        <w:widowControl w:val="0"/>
        <w:autoSpaceDE w:val="0"/>
        <w:spacing w:before="0" w:beforeAutospacing="0" w:after="0" w:afterAutospacing="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不同投标人的投标文件由同一单位或者个人编制</w:t>
      </w:r>
      <w:r>
        <w:rPr>
          <w:rFonts w:hint="eastAsia" w:ascii="仿宋" w:hAnsi="仿宋" w:eastAsia="仿宋" w:cs="仿宋"/>
          <w:color w:val="auto"/>
          <w:kern w:val="2"/>
          <w:sz w:val="24"/>
          <w:szCs w:val="24"/>
          <w:highlight w:val="none"/>
          <w:lang w:eastAsia="zh-CN"/>
        </w:rPr>
        <w:t>；</w:t>
      </w:r>
    </w:p>
    <w:p w14:paraId="1FE7E9EB">
      <w:pPr>
        <w:pStyle w:val="18"/>
        <w:widowControl w:val="0"/>
        <w:autoSpaceDE w:val="0"/>
        <w:spacing w:before="0" w:beforeAutospacing="0" w:after="0" w:afterAutospacing="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不同投标人委托同一单位或者个人办理投标事宜</w:t>
      </w:r>
      <w:r>
        <w:rPr>
          <w:rFonts w:hint="eastAsia" w:ascii="仿宋" w:hAnsi="仿宋" w:eastAsia="仿宋" w:cs="仿宋"/>
          <w:color w:val="auto"/>
          <w:kern w:val="2"/>
          <w:sz w:val="24"/>
          <w:szCs w:val="24"/>
          <w:highlight w:val="none"/>
          <w:lang w:eastAsia="zh-CN"/>
        </w:rPr>
        <w:t>；</w:t>
      </w:r>
    </w:p>
    <w:p w14:paraId="0A01C3A2">
      <w:pPr>
        <w:pStyle w:val="18"/>
        <w:widowControl w:val="0"/>
        <w:autoSpaceDE w:val="0"/>
        <w:spacing w:before="0" w:beforeAutospacing="0" w:after="0" w:afterAutospacing="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3</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不同投标人的投标文件载明的项目管理成员或者联系人员为同一人</w:t>
      </w:r>
      <w:r>
        <w:rPr>
          <w:rFonts w:hint="eastAsia" w:ascii="仿宋" w:hAnsi="仿宋" w:eastAsia="仿宋" w:cs="仿宋"/>
          <w:color w:val="auto"/>
          <w:kern w:val="2"/>
          <w:sz w:val="24"/>
          <w:szCs w:val="24"/>
          <w:highlight w:val="none"/>
          <w:lang w:eastAsia="zh-CN"/>
        </w:rPr>
        <w:t>；</w:t>
      </w:r>
    </w:p>
    <w:p w14:paraId="7387D57C">
      <w:pPr>
        <w:pStyle w:val="18"/>
        <w:widowControl w:val="0"/>
        <w:autoSpaceDE w:val="0"/>
        <w:spacing w:before="0" w:beforeAutospacing="0" w:after="0" w:afterAutospacing="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不同投标人的投标文件异常一致或者投标报价呈规律性差异</w:t>
      </w:r>
      <w:r>
        <w:rPr>
          <w:rFonts w:hint="eastAsia" w:ascii="仿宋" w:hAnsi="仿宋" w:eastAsia="仿宋" w:cs="仿宋"/>
          <w:color w:val="auto"/>
          <w:kern w:val="2"/>
          <w:sz w:val="24"/>
          <w:szCs w:val="24"/>
          <w:highlight w:val="none"/>
          <w:lang w:eastAsia="zh-CN"/>
        </w:rPr>
        <w:t>；</w:t>
      </w:r>
    </w:p>
    <w:p w14:paraId="5B177B71">
      <w:pPr>
        <w:pStyle w:val="18"/>
        <w:widowControl w:val="0"/>
        <w:autoSpaceDE w:val="0"/>
        <w:spacing w:before="0" w:beforeAutospacing="0" w:after="0" w:afterAutospacing="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5</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不同投标人的投标文件相互混装</w:t>
      </w:r>
      <w:r>
        <w:rPr>
          <w:rFonts w:hint="eastAsia" w:ascii="仿宋" w:hAnsi="仿宋" w:eastAsia="仿宋" w:cs="仿宋"/>
          <w:color w:val="auto"/>
          <w:kern w:val="2"/>
          <w:sz w:val="24"/>
          <w:szCs w:val="24"/>
          <w:highlight w:val="none"/>
          <w:lang w:eastAsia="zh-CN"/>
        </w:rPr>
        <w:t>；</w:t>
      </w:r>
    </w:p>
    <w:p w14:paraId="2978E75C">
      <w:pPr>
        <w:pStyle w:val="18"/>
        <w:widowControl w:val="0"/>
        <w:autoSpaceDE w:val="0"/>
        <w:spacing w:before="0" w:beforeAutospacing="0" w:after="0" w:afterAutospacing="0" w:line="360" w:lineRule="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6</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不同投标人的投标保证金从同一单位或者个人的账户转出。</w:t>
      </w:r>
    </w:p>
    <w:p w14:paraId="1A0C4CDF">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w:t>
      </w:r>
    </w:p>
    <w:p w14:paraId="546C8A07">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6.1评标委员会</w:t>
      </w:r>
    </w:p>
    <w:p w14:paraId="52B6F2D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6.1.1评标由采购人依法组建的评标委员会负责。评标委员会成员人数的确定方式见投标人须知前附表。</w:t>
      </w:r>
    </w:p>
    <w:p w14:paraId="062FB46C">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6.1.2评标委员会成员有下列情形之一的，应当回避：</w:t>
      </w:r>
    </w:p>
    <w:p w14:paraId="60EB5D1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采购人或投标人的主要负责人的近亲属；</w:t>
      </w:r>
    </w:p>
    <w:p w14:paraId="5397DB06">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项目主管部门或者行政监督部门的人员；</w:t>
      </w:r>
    </w:p>
    <w:p w14:paraId="65F82DA1">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与投标人有经济利益关系，可能影响对投标公正评审的；</w:t>
      </w:r>
    </w:p>
    <w:p w14:paraId="36C6284D">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曾因在招标、评标以及其他与招标投标有关活动中从事违法行为而受过行政处罚或刑事处罚的。</w:t>
      </w:r>
    </w:p>
    <w:p w14:paraId="46093898">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6.2评标原则</w:t>
      </w:r>
    </w:p>
    <w:p w14:paraId="21F2B07B">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评标活动遵循公平、公正、科学和择优的原则。</w:t>
      </w:r>
    </w:p>
    <w:p w14:paraId="2C6C86A6">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6.3评标</w:t>
      </w:r>
    </w:p>
    <w:p w14:paraId="360BDC53">
      <w:pPr>
        <w:numPr>
          <w:ilvl w:val="0"/>
          <w:numId w:val="1"/>
        </w:num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评标委员会按照第四章“评标办法”规定的方法、评审因素、标准和程序对投标文件进行评审。第四章“评标办法”没有规定的方法、评审因素和标准，不作为评标依据。</w:t>
      </w:r>
    </w:p>
    <w:p w14:paraId="49BB93B1">
      <w:pPr>
        <w:numPr>
          <w:ilvl w:val="0"/>
          <w:numId w:val="1"/>
        </w:num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A5817D">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7.合同授予</w:t>
      </w:r>
    </w:p>
    <w:p w14:paraId="1E2FEED9">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7.1定标方式</w:t>
      </w:r>
    </w:p>
    <w:p w14:paraId="4E922825">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除投标人须知前附表规定评标委员会直接确定中标人外，采购人依据评标委员会推荐的中标候选人确定中标人，评标委员会推荐中标候选人的人数见投标人须知前附表。</w:t>
      </w:r>
    </w:p>
    <w:p w14:paraId="3CE1E1D0">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7.2中标通知</w:t>
      </w:r>
    </w:p>
    <w:p w14:paraId="3B45D12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在本章第3.3款规定的投标有效期内，采购人以书面形式向中标人发出中标通知书，同时将中标结果通知未中标的投标人。</w:t>
      </w:r>
    </w:p>
    <w:p w14:paraId="6BEEE344">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7.3履约担保</w:t>
      </w:r>
    </w:p>
    <w:p w14:paraId="754B7F90">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7.3.1在签订合同前，中标人应按投标人须知前附表规定的金额、担保形式和招标文件第五章“合同条款及格式”规定的履约担保格式向采购人提交履约担保。联合体中标的，其履约担保由牵头人递交，并应符合投标人须知前附表规定的金额、担保形式和招标文件第五章“合同条款及格式”规定的履约担保格式要求。</w:t>
      </w:r>
    </w:p>
    <w:p w14:paraId="3AB9549F">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7.3.2中标人不能按本章第7.3.1项要求提交履约担保的，视为放弃中标，其投标保证金不予退还，给采购人造成的损失超过投标保证金数额的，中标人还应当对超过部分予以赔偿。</w:t>
      </w:r>
    </w:p>
    <w:p w14:paraId="55E04B1E">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7.4签订合同</w:t>
      </w:r>
    </w:p>
    <w:p w14:paraId="6A8228B0">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7.4.1采购人和中标人应当自中标通知书发出之日起30天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14:paraId="3EA24760">
      <w:pPr>
        <w:autoSpaceDE w:val="0"/>
        <w:spacing w:line="360" w:lineRule="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7.4.2发出中标通知书后，采购人无正当理由拒签合同的，采购人向中标人退还投标保证金；给中标人造成损失的，还应当赔偿损失。</w:t>
      </w:r>
    </w:p>
    <w:p w14:paraId="0FC0D83B">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8.重新招标</w:t>
      </w:r>
    </w:p>
    <w:p w14:paraId="003F5FA2">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有下列情形之一的，采购人将重新招标：</w:t>
      </w:r>
    </w:p>
    <w:p w14:paraId="6C433957">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投标截止时间止，投标人少于3个的；</w:t>
      </w:r>
    </w:p>
    <w:p w14:paraId="16373118">
      <w:pPr>
        <w:autoSpaceDE w:val="0"/>
        <w:spacing w:line="360" w:lineRule="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经评标委员会评审后否决所有投标的。</w:t>
      </w:r>
    </w:p>
    <w:p w14:paraId="476D9B9F">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9.纪律和监督</w:t>
      </w:r>
    </w:p>
    <w:p w14:paraId="5EE90B87">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9.1对采购人的纪律要求</w:t>
      </w:r>
    </w:p>
    <w:p w14:paraId="33939F63">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不得泄露</w:t>
      </w:r>
      <w:r>
        <w:rPr>
          <w:rFonts w:hint="eastAsia" w:ascii="仿宋" w:hAnsi="仿宋" w:eastAsia="仿宋" w:cs="仿宋"/>
          <w:color w:val="auto"/>
          <w:sz w:val="24"/>
          <w:szCs w:val="24"/>
          <w:highlight w:val="none"/>
        </w:rPr>
        <w:t>招标投标活动中应当保密的情况和资料，不得与投标人串通损害国家利益、社会公共利益或者他人合法权益。</w:t>
      </w:r>
    </w:p>
    <w:p w14:paraId="0190E836">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9.2对投标人的纪律要求</w:t>
      </w:r>
    </w:p>
    <w:p w14:paraId="3FBB2A31">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9138797">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9.3对评标委员会成员的纪律要求</w:t>
      </w:r>
    </w:p>
    <w:p w14:paraId="619010E1">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评标委员会成员不得收受他人的财物或者其他好处，不得向他人</w:t>
      </w:r>
      <w:r>
        <w:rPr>
          <w:rFonts w:hint="eastAsia" w:ascii="仿宋" w:hAnsi="仿宋" w:eastAsia="仿宋" w:cs="仿宋"/>
          <w:color w:val="auto"/>
          <w:sz w:val="24"/>
          <w:szCs w:val="24"/>
          <w:highlight w:val="none"/>
          <w:lang w:eastAsia="zh-CN"/>
        </w:rPr>
        <w:t>透露</w:t>
      </w:r>
      <w:r>
        <w:rPr>
          <w:rFonts w:hint="eastAsia" w:ascii="仿宋" w:hAnsi="仿宋" w:eastAsia="仿宋" w:cs="仿宋"/>
          <w:color w:val="auto"/>
          <w:sz w:val="24"/>
          <w:szCs w:val="24"/>
          <w:highlight w:val="none"/>
        </w:rPr>
        <w:t>对投标文件的评审和比较、中标候选人的推荐情况以</w:t>
      </w:r>
      <w:r>
        <w:rPr>
          <w:rFonts w:hint="eastAsia" w:ascii="仿宋" w:hAnsi="仿宋" w:eastAsia="仿宋" w:cs="仿宋"/>
          <w:color w:val="auto"/>
          <w:sz w:val="24"/>
          <w:szCs w:val="24"/>
          <w:highlight w:val="none"/>
          <w:lang w:eastAsia="zh-CN"/>
        </w:rPr>
        <w:t>及与</w:t>
      </w:r>
      <w:r>
        <w:rPr>
          <w:rFonts w:hint="eastAsia" w:ascii="仿宋" w:hAnsi="仿宋" w:eastAsia="仿宋" w:cs="仿宋"/>
          <w:color w:val="auto"/>
          <w:sz w:val="24"/>
          <w:szCs w:val="24"/>
          <w:highlight w:val="none"/>
        </w:rPr>
        <w:t>评标有关的其他情况。在评标活动中，评标委员会成员不得擅离职守，影响评标程序正常进行，不得使用第四章“评标办法”没有规定的评审因素和标准进行评标。</w:t>
      </w:r>
    </w:p>
    <w:p w14:paraId="5BC1AB9B">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9.4对与评标活动有关的工作人员的纪律要求</w:t>
      </w:r>
    </w:p>
    <w:p w14:paraId="11764266">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与评标活动有关的工作人员不得收受他人的财物或者其他好处，不得向他人</w:t>
      </w:r>
      <w:r>
        <w:rPr>
          <w:rFonts w:hint="eastAsia" w:ascii="仿宋" w:hAnsi="仿宋" w:eastAsia="仿宋" w:cs="仿宋"/>
          <w:color w:val="auto"/>
          <w:sz w:val="24"/>
          <w:szCs w:val="24"/>
          <w:highlight w:val="none"/>
          <w:lang w:eastAsia="zh-CN"/>
        </w:rPr>
        <w:t>透露</w:t>
      </w:r>
      <w:r>
        <w:rPr>
          <w:rFonts w:hint="eastAsia" w:ascii="仿宋" w:hAnsi="仿宋" w:eastAsia="仿宋" w:cs="仿宋"/>
          <w:color w:val="auto"/>
          <w:sz w:val="24"/>
          <w:szCs w:val="24"/>
          <w:highlight w:val="none"/>
        </w:rPr>
        <w:t>对投标文件的评审和比较、中标候选人的推荐情况以及评标有关的其他情况。在评标活动中，与评标活动有关的工作人员不得擅离职守，影响评标程序正常进行。</w:t>
      </w:r>
    </w:p>
    <w:p w14:paraId="3263F880">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9.5投诉</w:t>
      </w:r>
    </w:p>
    <w:p w14:paraId="1137127B">
      <w:pPr>
        <w:autoSpaceDE w:val="0"/>
        <w:spacing w:line="360" w:lineRule="auto"/>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投标人和其他利害关系人认为本次招标活动违反</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和规章规定的，按相关法律法规执行。</w:t>
      </w:r>
    </w:p>
    <w:p w14:paraId="5E25C00A">
      <w:pPr>
        <w:autoSpaceDE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10.需要补充的其他内容</w:t>
      </w:r>
    </w:p>
    <w:p w14:paraId="67B3EA20">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需要补充的其他内容：见投标人须知前附表。</w:t>
      </w:r>
    </w:p>
    <w:p w14:paraId="6456A742">
      <w:pPr>
        <w:pStyle w:val="8"/>
        <w:autoSpaceDE w:val="0"/>
        <w:spacing w:after="0" w:line="360" w:lineRule="auto"/>
        <w:ind w:left="0" w:leftChar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11.小微企业优先采购政策</w:t>
      </w:r>
    </w:p>
    <w:p w14:paraId="13949E51">
      <w:pPr>
        <w:autoSpaceDE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11.1中小企业</w:t>
      </w:r>
    </w:p>
    <w:p w14:paraId="44B0805C">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11.1.1根据《关于印发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政府采购促进中小企业发展管理办法</w:t>
      </w:r>
      <w:r>
        <w:rPr>
          <w:rFonts w:hint="eastAsia" w:ascii="仿宋" w:hAnsi="仿宋" w:eastAsia="仿宋" w:cs="仿宋"/>
          <w:color w:val="auto"/>
          <w:sz w:val="24"/>
          <w:szCs w:val="24"/>
          <w:highlight w:val="none"/>
          <w:lang w:eastAsia="zh-CN"/>
        </w:rPr>
        <w:t>〉的通知》</w:t>
      </w:r>
      <w:r>
        <w:rPr>
          <w:rFonts w:hint="eastAsia" w:ascii="仿宋" w:hAnsi="仿宋" w:eastAsia="仿宋" w:cs="仿宋"/>
          <w:color w:val="auto"/>
          <w:sz w:val="24"/>
          <w:szCs w:val="24"/>
          <w:highlight w:val="none"/>
        </w:rPr>
        <w:t>（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B2F578">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在政府采购活动中，投标人提供的货物、工程或者服务符合下列情形的，享受中小企业扶持政策：</w:t>
      </w:r>
    </w:p>
    <w:p w14:paraId="5D695F4B">
      <w:pPr>
        <w:autoSpaceDE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w:t>
      </w:r>
    </w:p>
    <w:p w14:paraId="37564193">
      <w:pPr>
        <w:autoSpaceDE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w:t>
      </w:r>
    </w:p>
    <w:p w14:paraId="3758A79B">
      <w:pPr>
        <w:autoSpaceDE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w:t>
      </w:r>
    </w:p>
    <w:p w14:paraId="7E0AD05B">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在货物采购项目中，投标人提供的货物既有中小企业制造货物，也有大型企业制造货物的，不享受中小企业扶持政策。</w:t>
      </w:r>
    </w:p>
    <w:p w14:paraId="2AEF4EAD">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14:paraId="72E82C12">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组成联合体或者接受分包合同的中小企业与联合体内其他企业、分包企业之间不得存在直接控股、管理关系。</w:t>
      </w:r>
    </w:p>
    <w:p w14:paraId="7E4B2BD9">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11.1.2中小企业参加政府采购活动，应当出具文件中规定的《中小企业声明函》，否则不得享受相关中小企业扶持政策。</w:t>
      </w:r>
    </w:p>
    <w:p w14:paraId="6FA7A70F">
      <w:pPr>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11.1.3依据规定享受扶持政策获得政府采购合同的，小微企业不得将合同分包给大中型企业，中型企业不得将合同分包给大型企业。</w:t>
      </w:r>
    </w:p>
    <w:p w14:paraId="1A368647">
      <w:pPr>
        <w:pStyle w:val="10"/>
        <w:autoSpaceDE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11.2监狱企业</w:t>
      </w:r>
    </w:p>
    <w:p w14:paraId="5B59CDAF">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设区的市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监狱、强制隔离戒毒所、戒毒康复所，以及新疆生产建设兵团监狱管理局、戒毒管理局的企业，监狱企业参加政府采购活动时，应当提供由省级以上监狱管理局、戒毒管理局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出具的属于监狱企业的证明文件。</w:t>
      </w:r>
    </w:p>
    <w:p w14:paraId="4F105F03">
      <w:pPr>
        <w:pStyle w:val="10"/>
        <w:autoSpaceDE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11.3残疾人福利性单位</w:t>
      </w:r>
    </w:p>
    <w:p w14:paraId="70D40BA5">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11.3.1根据《财政部 民政部 中国残疾人联合会关于促进残疾人就业政府采购政策的通知》（财库〔2017〕141号），享受政府采购支持政策的残疾人福利性单位应当同时满足以下条件：</w:t>
      </w:r>
    </w:p>
    <w:p w14:paraId="593FD4B6">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（1）安置的残疾人占本单位在职职工人数的比例不低于25%（含25%），并且安置的残疾人人数不少于10人（含10人）；</w:t>
      </w:r>
    </w:p>
    <w:p w14:paraId="0F1B410C">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（2）依法与安置的每位残疾人签订了一年以上（含一年）的劳动合同或服务协议；</w:t>
      </w:r>
    </w:p>
    <w:p w14:paraId="73B396F5">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（3）为安置的每位残疾人按月足额缴纳了基本养老保险、基本医疗保险、失业保险、工伤保险和生育保险等社会保险费；</w:t>
      </w:r>
    </w:p>
    <w:p w14:paraId="4668D3B3">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（4）通过银行等金融机构向安置的每位残疾人，按月支付了不低于单位所在区县适用的经省级人民政府批准的月最低工资标准的工资；</w:t>
      </w:r>
    </w:p>
    <w:p w14:paraId="28E6061B">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5F55BB0">
      <w:pPr>
        <w:pStyle w:val="10"/>
        <w:autoSpaceDE w:val="0"/>
        <w:snapToGrid w:val="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E23AD4">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11.3.2符合条件的残疾人福利性单位在参加政府采购活动时，应当提供《残疾人福利性单位声明函》，并对声明的真实性负责。</w:t>
      </w:r>
    </w:p>
    <w:p w14:paraId="0A6C062F">
      <w:pPr>
        <w:pStyle w:val="10"/>
        <w:autoSpaceDE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11.4节能、环境标志产品</w:t>
      </w:r>
    </w:p>
    <w:p w14:paraId="0FBE699C">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11.4.1节能产品是指列入财政部和</w:t>
      </w:r>
      <w:r>
        <w:rPr>
          <w:rFonts w:hint="eastAsia" w:ascii="仿宋" w:hAnsi="仿宋" w:eastAsia="仿宋" w:cs="仿宋"/>
          <w:color w:val="auto"/>
          <w:sz w:val="24"/>
          <w:szCs w:val="24"/>
          <w:highlight w:val="none"/>
          <w:lang w:eastAsia="zh-CN"/>
        </w:rPr>
        <w:t>国家发展改革委</w:t>
      </w:r>
      <w:r>
        <w:rPr>
          <w:rFonts w:hint="eastAsia" w:ascii="仿宋" w:hAnsi="仿宋" w:eastAsia="仿宋" w:cs="仿宋"/>
          <w:color w:val="auto"/>
          <w:sz w:val="24"/>
          <w:szCs w:val="24"/>
          <w:highlight w:val="none"/>
        </w:rPr>
        <w:t>公布的《节能产品政府采购品目清单》中的货物。政府强制采购节能产品是指《节能产品政府采购品目清单》中以“★”标注类别的产品。</w:t>
      </w:r>
    </w:p>
    <w:p w14:paraId="099FD25E">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11.4.2环境标志产品是指列入财政部、生态环境部公布的《环境标志产品政府采购品目清单》中的货物。</w:t>
      </w:r>
    </w:p>
    <w:p w14:paraId="181AE1D7">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11.4.3</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本项目采购清单中若有政府强制采购节能产品，只接受强制节能产品投标，投标人必须选报强制节能产品，否则按不实质性响应招标文件要求处理。投标人必须在投标文件中提供国家确定的认证机构出具的、处于有效期之内的节能产品认证证书。</w:t>
      </w:r>
    </w:p>
    <w:p w14:paraId="3A8785F1">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11.4.4投标人应在投标文件中提供所投标产品国家确定的认证机构出具的、处于有效期之内的节能产品、环境标志产品认证证书，否则不予认可。</w:t>
      </w:r>
    </w:p>
    <w:p w14:paraId="39A0A238">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11.4.5投标人应在投标文件中提供所投标产品在“节能产品政府采购品目清单”或“环境标志产品政府采购品目清单”中的单页复印件一份，并在复印件上标注出所投产品及型号。</w:t>
      </w:r>
    </w:p>
    <w:p w14:paraId="0A45C749">
      <w:pPr>
        <w:pStyle w:val="10"/>
        <w:autoSpaceDE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11.4.6《节能产品政府采购品目清单》及《环境标志产品政府采购品目清单》可通过中国政府采购网（http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查阅、下载。</w:t>
      </w:r>
    </w:p>
    <w:p w14:paraId="49B25E6B">
      <w:pPr>
        <w:rPr>
          <w:rFonts w:ascii="仿宋" w:hAnsi="仿宋" w:eastAsia="仿宋" w:cs="仿宋"/>
          <w:caps/>
          <w:color w:val="auto"/>
          <w:sz w:val="32"/>
          <w:szCs w:val="32"/>
          <w:highlight w:val="none"/>
        </w:rPr>
      </w:pPr>
      <w:r>
        <w:rPr>
          <w:rFonts w:hint="eastAsia" w:ascii="仿宋" w:hAnsi="仿宋" w:eastAsia="仿宋" w:cs="仿宋"/>
          <w:caps/>
          <w:color w:val="auto"/>
          <w:sz w:val="32"/>
          <w:szCs w:val="32"/>
          <w:highlight w:val="none"/>
        </w:rPr>
        <w:br w:type="page"/>
      </w:r>
    </w:p>
    <w:p w14:paraId="712C33C7">
      <w:pPr>
        <w:spacing w:line="360" w:lineRule="auto"/>
        <w:outlineLvl w:val="0"/>
        <w:rPr>
          <w:rFonts w:ascii="仿宋" w:hAnsi="仿宋" w:eastAsia="仿宋" w:cs="仿宋"/>
          <w:b/>
          <w:color w:val="auto"/>
          <w:sz w:val="28"/>
          <w:szCs w:val="28"/>
          <w:highlight w:val="none"/>
        </w:rPr>
      </w:pPr>
      <w:bookmarkStart w:id="43" w:name="_Toc23766"/>
      <w:bookmarkEnd w:id="43"/>
      <w:bookmarkStart w:id="44" w:name="_Toc11191"/>
      <w:r>
        <w:rPr>
          <w:rFonts w:hint="eastAsia" w:ascii="仿宋" w:hAnsi="仿宋" w:eastAsia="仿宋" w:cs="仿宋"/>
          <w:b/>
          <w:color w:val="auto"/>
          <w:sz w:val="28"/>
          <w:szCs w:val="28"/>
          <w:highlight w:val="none"/>
        </w:rPr>
        <w:t>附件一：问题澄清通知</w:t>
      </w:r>
      <w:bookmarkEnd w:id="44"/>
    </w:p>
    <w:p w14:paraId="45DFD59E">
      <w:pPr>
        <w:spacing w:beforeLines="100" w:afterLines="100"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问题澄清通知</w:t>
      </w:r>
    </w:p>
    <w:p w14:paraId="37164564">
      <w:pPr>
        <w:spacing w:line="360" w:lineRule="auto"/>
        <w:ind w:firstLine="6240" w:firstLineChars="26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p>
    <w:p w14:paraId="162D0E1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（投标人）：</w:t>
      </w:r>
    </w:p>
    <w:p w14:paraId="3E546D34">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招标的评标委员会，对你方的投标文件进行了仔细的审查，现需你方对本通知所附的问题以书面形式予以澄清、说明或者补正：</w:t>
      </w:r>
    </w:p>
    <w:p w14:paraId="6DD2994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3C7F0F0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044811A9">
      <w:pPr>
        <w:spacing w:line="360" w:lineRule="auto"/>
        <w:ind w:right="357"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请将上述问题的澄清、说明或者补正于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时前密封递交至</w:t>
      </w:r>
      <w:r>
        <w:rPr>
          <w:rFonts w:hint="eastAsia" w:ascii="仿宋" w:hAnsi="仿宋" w:eastAsia="仿宋" w:cs="仿宋"/>
          <w:color w:val="auto"/>
          <w:sz w:val="24"/>
          <w:szCs w:val="24"/>
          <w:highlight w:val="none"/>
          <w:u w:val="single"/>
        </w:rPr>
        <w:t xml:space="preserve"> （详细地址）</w:t>
      </w:r>
      <w:r>
        <w:rPr>
          <w:rFonts w:hint="eastAsia" w:ascii="仿宋" w:hAnsi="仿宋" w:eastAsia="仿宋" w:cs="仿宋"/>
          <w:color w:val="auto"/>
          <w:sz w:val="24"/>
          <w:szCs w:val="24"/>
          <w:highlight w:val="none"/>
        </w:rPr>
        <w:t>或以扫描件发送至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（邮箱号码）。采用扫描件发送方式的，应在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前将原件递交至</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（详细地址）。</w:t>
      </w:r>
    </w:p>
    <w:p w14:paraId="1EFC188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983DD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B914F36">
      <w:pPr>
        <w:spacing w:line="360" w:lineRule="auto"/>
        <w:ind w:right="357"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评标委员会：</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249F1297">
      <w:pPr>
        <w:spacing w:line="360" w:lineRule="auto"/>
        <w:ind w:right="357"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D9E0D70">
      <w:pPr>
        <w:spacing w:line="48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6DD467">
      <w:pPr>
        <w:spacing w:line="360" w:lineRule="auto"/>
        <w:rPr>
          <w:rFonts w:ascii="仿宋" w:hAnsi="仿宋" w:eastAsia="仿宋" w:cs="仿宋"/>
          <w:b/>
          <w:color w:val="auto"/>
          <w:sz w:val="28"/>
          <w:szCs w:val="28"/>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8"/>
          <w:szCs w:val="28"/>
          <w:highlight w:val="none"/>
        </w:rPr>
        <w:t>附件二：问题的澄清</w:t>
      </w:r>
    </w:p>
    <w:p w14:paraId="5F8D0E7C">
      <w:pPr>
        <w:spacing w:beforeLines="100" w:afterLines="100"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问题的澄清、说明或补正</w:t>
      </w:r>
    </w:p>
    <w:p w14:paraId="4148FE61">
      <w:pPr>
        <w:spacing w:line="360" w:lineRule="auto"/>
        <w:ind w:firstLine="6120" w:firstLineChars="25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79E8E0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招标评标委员会：</w:t>
      </w:r>
    </w:p>
    <w:p w14:paraId="78D0E59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问题澄清通知（编号：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）已收悉，现澄清、说明或者补正如下：</w:t>
      </w:r>
    </w:p>
    <w:p w14:paraId="11794E1B">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36E07827">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0E3414D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57923C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上述问题澄清、说明或补正，不改变我方投标文件的实质性内容，构成我方投标文件的组成部分。</w:t>
      </w:r>
    </w:p>
    <w:p w14:paraId="1C449A5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366942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FDCF0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45F9F4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099407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6C8E6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038EFA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7AB95F7">
      <w:pPr>
        <w:wordWrap w:val="0"/>
        <w:spacing w:line="360"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39689EDD">
      <w:pPr>
        <w:spacing w:line="360" w:lineRule="auto"/>
        <w:ind w:right="420" w:firstLine="3840" w:firstLineChars="16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03A1F0C6">
      <w:pPr>
        <w:spacing w:line="360" w:lineRule="auto"/>
        <w:ind w:firstLine="5040" w:firstLineChars="2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DE65385">
      <w:pPr>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3C905638">
      <w:pPr>
        <w:autoSpaceDE w:val="0"/>
        <w:spacing w:line="360" w:lineRule="auto"/>
        <w:jc w:val="left"/>
        <w:rPr>
          <w:rFonts w:ascii="仿宋" w:hAnsi="仿宋" w:eastAsia="仿宋" w:cs="仿宋"/>
          <w:caps/>
          <w:color w:val="auto"/>
          <w:sz w:val="32"/>
          <w:szCs w:val="32"/>
          <w:highlight w:val="none"/>
        </w:rPr>
      </w:pPr>
      <w:r>
        <w:rPr>
          <w:rFonts w:hint="eastAsia" w:ascii="仿宋" w:hAnsi="仿宋" w:eastAsia="仿宋" w:cs="仿宋"/>
          <w:b/>
          <w:color w:val="auto"/>
          <w:sz w:val="28"/>
          <w:szCs w:val="28"/>
          <w:highlight w:val="none"/>
        </w:rPr>
        <w:br w:type="page"/>
      </w:r>
      <w:bookmarkStart w:id="45" w:name="_Toc31826"/>
      <w:bookmarkEnd w:id="45"/>
    </w:p>
    <w:p w14:paraId="1D91CB35">
      <w:pPr>
        <w:autoSpaceDE w:val="0"/>
        <w:spacing w:line="360" w:lineRule="auto"/>
        <w:jc w:val="center"/>
        <w:outlineLvl w:val="0"/>
        <w:rPr>
          <w:rFonts w:ascii="仿宋" w:hAnsi="仿宋" w:eastAsia="仿宋" w:cs="仿宋"/>
          <w:b/>
          <w:bCs/>
          <w:caps/>
          <w:color w:val="auto"/>
          <w:sz w:val="36"/>
          <w:szCs w:val="36"/>
          <w:highlight w:val="none"/>
        </w:rPr>
      </w:pPr>
      <w:bookmarkStart w:id="46" w:name="_Toc6120"/>
      <w:r>
        <w:rPr>
          <w:rFonts w:hint="eastAsia" w:ascii="仿宋" w:hAnsi="仿宋" w:eastAsia="仿宋" w:cs="仿宋"/>
          <w:b/>
          <w:bCs/>
          <w:caps/>
          <w:color w:val="auto"/>
          <w:sz w:val="36"/>
          <w:szCs w:val="36"/>
          <w:highlight w:val="none"/>
        </w:rPr>
        <w:t>第三章  采购需求</w:t>
      </w:r>
      <w:bookmarkEnd w:id="46"/>
    </w:p>
    <w:p w14:paraId="6C794E23">
      <w:pPr>
        <w:autoSpaceDE w:val="0"/>
        <w:adjustRightInd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EBD6FFF">
      <w:pPr>
        <w:autoSpaceDE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各投标人必须对招标文件第三章《采购需求》中的技术、服务要求作出全面、真实的反映，若投标文件中未对招标文件第三章《采购需求》中的技术、服务要求作出全面、真实的反映，而投标人又未在投标文件中作出说明和解释的，评标委员会在评审时可以视为不</w:t>
      </w:r>
      <w:r>
        <w:rPr>
          <w:rFonts w:hint="eastAsia" w:ascii="仿宋" w:hAnsi="仿宋" w:eastAsia="仿宋" w:cs="仿宋"/>
          <w:color w:val="auto"/>
          <w:sz w:val="24"/>
          <w:szCs w:val="24"/>
          <w:highlight w:val="none"/>
          <w:lang w:val="en-US" w:eastAsia="zh-CN"/>
        </w:rPr>
        <w:t>满足</w:t>
      </w:r>
      <w:r>
        <w:rPr>
          <w:rFonts w:hint="eastAsia" w:ascii="仿宋" w:hAnsi="仿宋" w:eastAsia="仿宋" w:cs="仿宋"/>
          <w:color w:val="auto"/>
          <w:sz w:val="24"/>
          <w:szCs w:val="24"/>
          <w:highlight w:val="none"/>
        </w:rPr>
        <w:t>该条技术、服务要求。</w:t>
      </w:r>
    </w:p>
    <w:p w14:paraId="31123603">
      <w:pPr>
        <w:autoSpaceDE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章各项技术、服务要求如出现引用某一特定的专利技术、商标、名称、设计、原产地或供应者等情况，则仅起参考作用。投标人可选用实质上“相当于”或“优于”该参考技术、服务要求的产品（服务）投标。</w:t>
      </w:r>
    </w:p>
    <w:p w14:paraId="3603A24D">
      <w:pPr>
        <w:autoSpaceDE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3.投标人应保证其提供的货物、工程或者服务在采购人使用期间不受第三方可能提出的侵犯其所有权、知识产权、商标权、专利权、著作权等相关权利的起诉。</w:t>
      </w:r>
      <w:bookmarkStart w:id="47" w:name="_Toc491307332"/>
      <w:bookmarkEnd w:id="47"/>
      <w:bookmarkStart w:id="48" w:name="_Toc491307394"/>
      <w:bookmarkEnd w:id="48"/>
    </w:p>
    <w:p w14:paraId="24E740DB">
      <w:pPr>
        <w:autoSpaceDE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4.投标人应对在合同履行的过程中，涉及采购人的工作信息等秘密内容进行保密。双方应共同对系统中涉及的技术情报和资料进行保密。</w:t>
      </w:r>
    </w:p>
    <w:p w14:paraId="41A29C8E">
      <w:pPr>
        <w:autoSpaceDE w:val="0"/>
        <w:adjustRightIn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5.投标人应严格按照《中华人民共和国政府采购法》《中华人民共和国政府采购法实施条例》《政府采购货物和服务招标投标管理办法》（财政部令第87号）等有关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的规定进行投标，合同签订后采购人将按照中标人投标文件中所投货物、工程或者服务进行验收，一旦发现虚假应标行为，取消该中标人的中标资格，并保留追究其法律责任的权利。</w:t>
      </w:r>
    </w:p>
    <w:p w14:paraId="5AA6CC9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6.本文件的解释权属于采购人、采购代理机构。</w:t>
      </w:r>
    </w:p>
    <w:p w14:paraId="54E1966A">
      <w:pPr>
        <w:pStyle w:val="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58A418E">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FCB03E5">
      <w:pPr>
        <w:pStyle w:val="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C4508C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59BEAD3">
      <w:pPr>
        <w:pStyle w:val="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6ADE6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2E703BB">
      <w:pPr>
        <w:pStyle w:val="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B9D25E0">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D0FCF0D">
      <w:pPr>
        <w:pStyle w:val="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2431DEC">
      <w:pPr>
        <w:pStyle w:val="2"/>
        <w:keepLines w:val="0"/>
        <w:autoSpaceDE w:val="0"/>
        <w:spacing w:before="0" w:after="0" w:afterAutospacing="0"/>
        <w:jc w:val="center"/>
        <w:rPr>
          <w:rFonts w:ascii="仿宋" w:hAnsi="仿宋" w:eastAsia="仿宋" w:cs="仿宋"/>
          <w:b w:val="0"/>
          <w:bCs/>
          <w:color w:val="auto"/>
          <w:highlight w:val="none"/>
        </w:rPr>
      </w:pPr>
      <w:bookmarkStart w:id="49" w:name="_Toc25867"/>
      <w:bookmarkEnd w:id="49"/>
      <w:bookmarkStart w:id="50" w:name="_Toc1081"/>
      <w:r>
        <w:rPr>
          <w:rFonts w:hint="eastAsia" w:ascii="仿宋" w:hAnsi="仿宋" w:eastAsia="仿宋" w:cs="仿宋"/>
          <w:bCs/>
          <w:color w:val="auto"/>
          <w:kern w:val="2"/>
          <w:highlight w:val="none"/>
        </w:rPr>
        <w:t>第一部分  商务需求</w:t>
      </w:r>
      <w:bookmarkEnd w:id="50"/>
    </w:p>
    <w:tbl>
      <w:tblPr>
        <w:tblStyle w:val="21"/>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13"/>
        <w:gridCol w:w="6634"/>
      </w:tblGrid>
      <w:tr w14:paraId="77E6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BAFCDCE">
            <w:pPr>
              <w:autoSpaceDE w:val="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783DB429">
            <w:pPr>
              <w:autoSpaceDE w:val="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内容</w:t>
            </w:r>
          </w:p>
        </w:tc>
        <w:tc>
          <w:tcPr>
            <w:tcW w:w="6634" w:type="dxa"/>
            <w:tcBorders>
              <w:top w:val="single" w:color="auto" w:sz="4" w:space="0"/>
              <w:left w:val="single" w:color="auto" w:sz="4" w:space="0"/>
              <w:bottom w:val="single" w:color="auto" w:sz="4" w:space="0"/>
              <w:right w:val="single" w:color="auto" w:sz="4" w:space="0"/>
            </w:tcBorders>
            <w:vAlign w:val="center"/>
          </w:tcPr>
          <w:p w14:paraId="16E93993">
            <w:pPr>
              <w:autoSpaceDE w:val="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说明</w:t>
            </w:r>
          </w:p>
        </w:tc>
      </w:tr>
      <w:tr w14:paraId="5F67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F903CBC">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1</w:t>
            </w:r>
          </w:p>
        </w:tc>
        <w:tc>
          <w:tcPr>
            <w:tcW w:w="1813" w:type="dxa"/>
            <w:tcBorders>
              <w:top w:val="single" w:color="auto" w:sz="4" w:space="0"/>
              <w:left w:val="single" w:color="auto" w:sz="4" w:space="0"/>
              <w:bottom w:val="single" w:color="auto" w:sz="4" w:space="0"/>
              <w:right w:val="single" w:color="auto" w:sz="4" w:space="0"/>
            </w:tcBorders>
            <w:vAlign w:val="center"/>
          </w:tcPr>
          <w:p w14:paraId="1A0587DC">
            <w:pPr>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预算金额</w:t>
            </w:r>
          </w:p>
        </w:tc>
        <w:tc>
          <w:tcPr>
            <w:tcW w:w="6634" w:type="dxa"/>
            <w:tcBorders>
              <w:top w:val="single" w:color="auto" w:sz="4" w:space="0"/>
              <w:left w:val="single" w:color="auto" w:sz="4" w:space="0"/>
              <w:bottom w:val="single" w:color="auto" w:sz="4" w:space="0"/>
              <w:right w:val="single" w:color="auto" w:sz="4" w:space="0"/>
            </w:tcBorders>
            <w:vAlign w:val="center"/>
          </w:tcPr>
          <w:p w14:paraId="33E81E38">
            <w:pPr>
              <w:autoSpaceDE w:val="0"/>
              <w:spacing w:line="360" w:lineRule="auto"/>
              <w:jc w:val="left"/>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4"/>
                <w:highlight w:val="none"/>
                <w:lang w:val="en-US" w:eastAsia="zh-CN"/>
              </w:rPr>
              <w:t>40.00</w:t>
            </w:r>
            <w:r>
              <w:rPr>
                <w:rFonts w:hint="eastAsia" w:ascii="仿宋" w:hAnsi="仿宋" w:eastAsia="仿宋" w:cs="仿宋"/>
                <w:color w:val="auto"/>
                <w:sz w:val="24"/>
                <w:szCs w:val="24"/>
                <w:highlight w:val="none"/>
                <w:lang w:eastAsia="zh-CN"/>
              </w:rPr>
              <w:t>万元</w:t>
            </w:r>
          </w:p>
        </w:tc>
      </w:tr>
      <w:tr w14:paraId="659D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3A4C3FB">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2</w:t>
            </w:r>
          </w:p>
        </w:tc>
        <w:tc>
          <w:tcPr>
            <w:tcW w:w="1813" w:type="dxa"/>
            <w:tcBorders>
              <w:top w:val="single" w:color="auto" w:sz="4" w:space="0"/>
              <w:left w:val="single" w:color="auto" w:sz="4" w:space="0"/>
              <w:bottom w:val="single" w:color="auto" w:sz="4" w:space="0"/>
              <w:right w:val="single" w:color="auto" w:sz="4" w:space="0"/>
            </w:tcBorders>
            <w:vAlign w:val="center"/>
          </w:tcPr>
          <w:p w14:paraId="0FCFC188">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最高投标限价</w:t>
            </w:r>
          </w:p>
        </w:tc>
        <w:tc>
          <w:tcPr>
            <w:tcW w:w="6634" w:type="dxa"/>
            <w:tcBorders>
              <w:top w:val="single" w:color="auto" w:sz="4" w:space="0"/>
              <w:left w:val="single" w:color="auto" w:sz="4" w:space="0"/>
              <w:bottom w:val="single" w:color="auto" w:sz="4" w:space="0"/>
              <w:right w:val="single" w:color="auto" w:sz="4" w:space="0"/>
            </w:tcBorders>
            <w:vAlign w:val="center"/>
          </w:tcPr>
          <w:p w14:paraId="3A06CEFA">
            <w:pPr>
              <w:autoSpaceDE w:val="0"/>
              <w:spacing w:line="360" w:lineRule="auto"/>
              <w:jc w:val="left"/>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4"/>
                <w:highlight w:val="none"/>
                <w:lang w:val="en-US" w:eastAsia="zh-CN"/>
              </w:rPr>
              <w:t>40.00</w:t>
            </w:r>
            <w:r>
              <w:rPr>
                <w:rFonts w:hint="eastAsia" w:ascii="仿宋" w:hAnsi="仿宋" w:eastAsia="仿宋" w:cs="仿宋"/>
                <w:color w:val="auto"/>
                <w:sz w:val="24"/>
                <w:szCs w:val="24"/>
                <w:highlight w:val="none"/>
                <w:lang w:eastAsia="zh-CN"/>
              </w:rPr>
              <w:t>万元</w:t>
            </w:r>
          </w:p>
        </w:tc>
      </w:tr>
      <w:tr w14:paraId="68C5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C4F1090">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3</w:t>
            </w:r>
          </w:p>
        </w:tc>
        <w:tc>
          <w:tcPr>
            <w:tcW w:w="1813" w:type="dxa"/>
            <w:tcBorders>
              <w:top w:val="single" w:color="auto" w:sz="4" w:space="0"/>
              <w:left w:val="single" w:color="auto" w:sz="4" w:space="0"/>
              <w:bottom w:val="single" w:color="auto" w:sz="4" w:space="0"/>
              <w:right w:val="single" w:color="auto" w:sz="4" w:space="0"/>
            </w:tcBorders>
            <w:vAlign w:val="center"/>
          </w:tcPr>
          <w:p w14:paraId="3A404808">
            <w:pPr>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合同履行期限</w:t>
            </w:r>
          </w:p>
        </w:tc>
        <w:tc>
          <w:tcPr>
            <w:tcW w:w="6634" w:type="dxa"/>
            <w:tcBorders>
              <w:top w:val="single" w:color="auto" w:sz="4" w:space="0"/>
              <w:left w:val="single" w:color="auto" w:sz="4" w:space="0"/>
              <w:bottom w:val="single" w:color="auto" w:sz="4" w:space="0"/>
              <w:right w:val="single" w:color="auto" w:sz="4" w:space="0"/>
            </w:tcBorders>
            <w:vAlign w:val="center"/>
          </w:tcPr>
          <w:p w14:paraId="1BD5FD0C">
            <w:pPr>
              <w:autoSpaceDE w:val="0"/>
              <w:spacing w:line="360" w:lineRule="auto"/>
              <w:jc w:val="left"/>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合同签订之日起60天</w:t>
            </w:r>
          </w:p>
        </w:tc>
      </w:tr>
      <w:tr w14:paraId="317B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A2FF7E8">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4</w:t>
            </w:r>
          </w:p>
        </w:tc>
        <w:tc>
          <w:tcPr>
            <w:tcW w:w="1813" w:type="dxa"/>
            <w:tcBorders>
              <w:top w:val="single" w:color="auto" w:sz="4" w:space="0"/>
              <w:left w:val="single" w:color="auto" w:sz="4" w:space="0"/>
              <w:bottom w:val="single" w:color="auto" w:sz="4" w:space="0"/>
              <w:right w:val="single" w:color="auto" w:sz="4" w:space="0"/>
            </w:tcBorders>
            <w:vAlign w:val="center"/>
          </w:tcPr>
          <w:p w14:paraId="722BC49E">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交货地点</w:t>
            </w:r>
          </w:p>
        </w:tc>
        <w:tc>
          <w:tcPr>
            <w:tcW w:w="6634" w:type="dxa"/>
            <w:tcBorders>
              <w:top w:val="single" w:color="auto" w:sz="4" w:space="0"/>
              <w:left w:val="single" w:color="auto" w:sz="4" w:space="0"/>
              <w:bottom w:val="single" w:color="auto" w:sz="4" w:space="0"/>
              <w:right w:val="single" w:color="auto" w:sz="4" w:space="0"/>
            </w:tcBorders>
            <w:vAlign w:val="center"/>
          </w:tcPr>
          <w:p w14:paraId="2445934F">
            <w:pPr>
              <w:autoSpaceDE w:val="0"/>
              <w:spacing w:line="360" w:lineRule="auto"/>
              <w:jc w:val="left"/>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采购人指定地点</w:t>
            </w:r>
          </w:p>
        </w:tc>
      </w:tr>
      <w:tr w14:paraId="531F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7BB6359">
            <w:pPr>
              <w:autoSpaceDE w:val="0"/>
              <w:spacing w:line="360" w:lineRule="auto"/>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5</w:t>
            </w:r>
          </w:p>
        </w:tc>
        <w:tc>
          <w:tcPr>
            <w:tcW w:w="1813" w:type="dxa"/>
            <w:tcBorders>
              <w:top w:val="single" w:color="auto" w:sz="4" w:space="0"/>
              <w:left w:val="single" w:color="auto" w:sz="4" w:space="0"/>
              <w:bottom w:val="single" w:color="auto" w:sz="4" w:space="0"/>
              <w:right w:val="single" w:color="auto" w:sz="4" w:space="0"/>
            </w:tcBorders>
            <w:vAlign w:val="center"/>
          </w:tcPr>
          <w:p w14:paraId="7FBFA245">
            <w:pPr>
              <w:autoSpaceDE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质保期</w:t>
            </w:r>
          </w:p>
        </w:tc>
        <w:tc>
          <w:tcPr>
            <w:tcW w:w="6634" w:type="dxa"/>
            <w:tcBorders>
              <w:top w:val="single" w:color="auto" w:sz="4" w:space="0"/>
              <w:left w:val="single" w:color="auto" w:sz="4" w:space="0"/>
              <w:bottom w:val="single" w:color="auto" w:sz="4" w:space="0"/>
              <w:right w:val="single" w:color="auto" w:sz="4" w:space="0"/>
            </w:tcBorders>
            <w:vAlign w:val="center"/>
          </w:tcPr>
          <w:p w14:paraId="0A426652">
            <w:pPr>
              <w:keepNext w:val="0"/>
              <w:keepLines w:val="0"/>
              <w:pageBreakBefore w:val="0"/>
              <w:widowControl w:val="0"/>
              <w:kinsoku/>
              <w:wordWrap/>
              <w:overflowPunct/>
              <w:topLinePunct w:val="0"/>
              <w:autoSpaceDN/>
              <w:bidi w:val="0"/>
              <w:adjustRightInd/>
              <w:snapToGrid/>
              <w:spacing w:line="360" w:lineRule="auto"/>
              <w:textAlignment w:val="auto"/>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4"/>
                <w:highlight w:val="none"/>
                <w:lang w:val="en-US" w:eastAsia="zh-CN"/>
              </w:rPr>
              <w:t>不低于3年</w:t>
            </w:r>
            <w:r>
              <w:rPr>
                <w:rFonts w:hint="eastAsia" w:ascii="仿宋" w:hAnsi="仿宋" w:eastAsia="仿宋" w:cs="仿宋"/>
                <w:color w:val="auto"/>
                <w:kern w:val="0"/>
                <w:sz w:val="24"/>
                <w:szCs w:val="24"/>
                <w:highlight w:val="none"/>
                <w:lang w:val="en-US" w:eastAsia="zh-CN"/>
              </w:rPr>
              <w:t>（自安装验收合格之日起计算），期间非人为故障提供免费维修及更换服务。</w:t>
            </w:r>
          </w:p>
        </w:tc>
      </w:tr>
      <w:tr w14:paraId="79E6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BFB5824">
            <w:pPr>
              <w:autoSpaceDE w:val="0"/>
              <w:spacing w:line="360" w:lineRule="auto"/>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1813" w:type="dxa"/>
            <w:tcBorders>
              <w:top w:val="single" w:color="auto" w:sz="4" w:space="0"/>
              <w:left w:val="single" w:color="auto" w:sz="4" w:space="0"/>
              <w:bottom w:val="single" w:color="auto" w:sz="4" w:space="0"/>
              <w:right w:val="single" w:color="auto" w:sz="4" w:space="0"/>
            </w:tcBorders>
            <w:vAlign w:val="center"/>
          </w:tcPr>
          <w:p w14:paraId="52349B57">
            <w:pPr>
              <w:autoSpaceDE w:val="0"/>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服务要求</w:t>
            </w:r>
          </w:p>
        </w:tc>
        <w:tc>
          <w:tcPr>
            <w:tcW w:w="6634" w:type="dxa"/>
            <w:tcBorders>
              <w:top w:val="single" w:color="auto" w:sz="4" w:space="0"/>
              <w:left w:val="single" w:color="auto" w:sz="4" w:space="0"/>
              <w:bottom w:val="single" w:color="auto" w:sz="4" w:space="0"/>
              <w:right w:val="single" w:color="auto" w:sz="4" w:space="0"/>
            </w:tcBorders>
            <w:vAlign w:val="center"/>
          </w:tcPr>
          <w:p w14:paraId="28A5C0B6">
            <w:pPr>
              <w:autoSpaceDE w:val="0"/>
              <w:spacing w:line="360" w:lineRule="auto"/>
              <w:jc w:val="left"/>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（1）质保期限</w:t>
            </w:r>
            <w:r>
              <w:rPr>
                <w:rFonts w:hint="default" w:ascii="仿宋" w:hAnsi="仿宋" w:eastAsia="仿宋" w:cs="仿宋"/>
                <w:color w:val="auto"/>
                <w:sz w:val="24"/>
                <w:szCs w:val="28"/>
                <w:highlight w:val="none"/>
                <w:lang w:val="en-US" w:eastAsia="zh-CN"/>
              </w:rPr>
              <w:t>：</w:t>
            </w:r>
            <w:r>
              <w:rPr>
                <w:rFonts w:hint="eastAsia" w:ascii="仿宋" w:hAnsi="仿宋" w:eastAsia="仿宋" w:cs="仿宋"/>
                <w:color w:val="auto"/>
                <w:sz w:val="24"/>
                <w:szCs w:val="28"/>
                <w:highlight w:val="none"/>
                <w:lang w:val="en-US" w:eastAsia="zh-CN"/>
              </w:rPr>
              <w:t>本项目质保期不低于3年，</w:t>
            </w:r>
            <w:r>
              <w:rPr>
                <w:rFonts w:hint="default" w:ascii="仿宋" w:hAnsi="仿宋" w:eastAsia="仿宋" w:cs="仿宋"/>
                <w:color w:val="auto"/>
                <w:sz w:val="24"/>
                <w:szCs w:val="28"/>
                <w:highlight w:val="none"/>
                <w:lang w:val="en-US" w:eastAsia="zh-CN"/>
              </w:rPr>
              <w:t>提供质保函，质保范围（含免费配件、维修）。</w:t>
            </w:r>
          </w:p>
          <w:p w14:paraId="5A01435D">
            <w:pPr>
              <w:autoSpaceDE w:val="0"/>
              <w:spacing w:line="360" w:lineRule="auto"/>
              <w:jc w:val="left"/>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（2）</w:t>
            </w:r>
            <w:r>
              <w:rPr>
                <w:rFonts w:hint="default" w:ascii="仿宋" w:hAnsi="仿宋" w:eastAsia="仿宋" w:cs="仿宋"/>
                <w:color w:val="auto"/>
                <w:sz w:val="24"/>
                <w:szCs w:val="28"/>
                <w:highlight w:val="none"/>
                <w:lang w:val="en-US" w:eastAsia="zh-CN"/>
              </w:rPr>
              <w:t>维修服务保障：提供免费上门维修。</w:t>
            </w:r>
          </w:p>
          <w:p w14:paraId="66516E1B">
            <w:pPr>
              <w:autoSpaceDE w:val="0"/>
              <w:spacing w:line="360" w:lineRule="auto"/>
              <w:jc w:val="left"/>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（3）</w:t>
            </w:r>
            <w:r>
              <w:rPr>
                <w:rFonts w:hint="default" w:ascii="仿宋" w:hAnsi="仿宋" w:eastAsia="仿宋" w:cs="仿宋"/>
                <w:color w:val="auto"/>
                <w:sz w:val="24"/>
                <w:szCs w:val="28"/>
                <w:highlight w:val="none"/>
                <w:lang w:val="en-US" w:eastAsia="zh-CN"/>
              </w:rPr>
              <w:t>基础技术支持：提供设备使用培训、操作手册，以及日常维护咨询服务。</w:t>
            </w:r>
          </w:p>
        </w:tc>
      </w:tr>
      <w:tr w14:paraId="0868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187D53C">
            <w:pPr>
              <w:autoSpaceDE w:val="0"/>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kern w:val="0"/>
                <w:sz w:val="24"/>
                <w:szCs w:val="24"/>
                <w:highlight w:val="none"/>
                <w:lang w:val="en-US" w:eastAsia="zh-CN"/>
              </w:rPr>
              <w:t>7</w:t>
            </w:r>
          </w:p>
        </w:tc>
        <w:tc>
          <w:tcPr>
            <w:tcW w:w="1813" w:type="dxa"/>
            <w:tcBorders>
              <w:top w:val="single" w:color="auto" w:sz="4" w:space="0"/>
              <w:left w:val="single" w:color="auto" w:sz="4" w:space="0"/>
              <w:bottom w:val="single" w:color="auto" w:sz="4" w:space="0"/>
              <w:right w:val="single" w:color="auto" w:sz="4" w:space="0"/>
            </w:tcBorders>
            <w:vAlign w:val="center"/>
          </w:tcPr>
          <w:p w14:paraId="52EE9427">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付款条件</w:t>
            </w:r>
          </w:p>
        </w:tc>
        <w:tc>
          <w:tcPr>
            <w:tcW w:w="6634" w:type="dxa"/>
            <w:tcBorders>
              <w:top w:val="single" w:color="auto" w:sz="4" w:space="0"/>
              <w:left w:val="single" w:color="auto" w:sz="4" w:space="0"/>
              <w:bottom w:val="single" w:color="auto" w:sz="4" w:space="0"/>
              <w:right w:val="single" w:color="auto" w:sz="4" w:space="0"/>
            </w:tcBorders>
            <w:vAlign w:val="center"/>
          </w:tcPr>
          <w:p w14:paraId="1FF8EF0F">
            <w:pPr>
              <w:autoSpaceDE w:val="0"/>
              <w:spacing w:line="360" w:lineRule="auto"/>
              <w:jc w:val="left"/>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（1）</w:t>
            </w:r>
            <w:r>
              <w:rPr>
                <w:rFonts w:hint="default" w:ascii="仿宋" w:hAnsi="仿宋" w:eastAsia="仿宋" w:cs="仿宋"/>
                <w:color w:val="auto"/>
                <w:sz w:val="24"/>
                <w:szCs w:val="28"/>
                <w:highlight w:val="none"/>
                <w:lang w:val="en-US" w:eastAsia="zh-CN"/>
              </w:rPr>
              <w:t>支付方式：通过银行对公转账支付，供应商收款前需提供对应金额合法发票。</w:t>
            </w:r>
          </w:p>
          <w:p w14:paraId="22DC17D6">
            <w:pPr>
              <w:autoSpaceDE w:val="0"/>
              <w:spacing w:line="360" w:lineRule="auto"/>
              <w:jc w:val="left"/>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（2）</w:t>
            </w:r>
            <w:r>
              <w:rPr>
                <w:rFonts w:hint="default" w:ascii="仿宋" w:hAnsi="仿宋" w:eastAsia="仿宋" w:cs="仿宋"/>
                <w:color w:val="auto"/>
                <w:sz w:val="24"/>
                <w:szCs w:val="28"/>
                <w:highlight w:val="none"/>
                <w:lang w:val="en-US" w:eastAsia="zh-CN"/>
              </w:rPr>
              <w:t>支付时间与条件</w:t>
            </w:r>
            <w:r>
              <w:rPr>
                <w:rFonts w:hint="eastAsia" w:ascii="仿宋" w:hAnsi="仿宋" w:eastAsia="仿宋" w:cs="仿宋"/>
                <w:color w:val="auto"/>
                <w:sz w:val="24"/>
                <w:szCs w:val="28"/>
                <w:highlight w:val="none"/>
                <w:lang w:val="en-US" w:eastAsia="zh-CN"/>
              </w:rPr>
              <w:t>：</w:t>
            </w:r>
          </w:p>
          <w:p w14:paraId="2E34D60F">
            <w:pPr>
              <w:autoSpaceDE w:val="0"/>
              <w:spacing w:line="360" w:lineRule="auto"/>
              <w:jc w:val="left"/>
              <w:rPr>
                <w:rFonts w:hint="default" w:ascii="仿宋" w:hAnsi="仿宋" w:eastAsia="仿宋" w:cs="仿宋"/>
                <w:color w:val="auto"/>
                <w:sz w:val="24"/>
                <w:szCs w:val="28"/>
                <w:highlight w:val="none"/>
                <w:lang w:val="en-US" w:eastAsia="zh-CN"/>
              </w:rPr>
            </w:pPr>
            <w:r>
              <w:rPr>
                <w:rFonts w:hint="default" w:ascii="仿宋" w:hAnsi="仿宋" w:eastAsia="仿宋" w:cs="仿宋"/>
                <w:color w:val="auto"/>
                <w:sz w:val="24"/>
                <w:szCs w:val="28"/>
                <w:highlight w:val="none"/>
                <w:lang w:val="en-US" w:eastAsia="zh-CN"/>
              </w:rPr>
              <w:t>预付款：合同生效后10个工作日内，凭供应商提交的预付款发票支付，比例</w:t>
            </w:r>
            <w:r>
              <w:rPr>
                <w:rFonts w:hint="eastAsia" w:ascii="仿宋" w:hAnsi="仿宋" w:eastAsia="仿宋" w:cs="仿宋"/>
                <w:color w:val="auto"/>
                <w:sz w:val="24"/>
                <w:szCs w:val="28"/>
                <w:highlight w:val="none"/>
                <w:lang w:val="en-US" w:eastAsia="zh-CN"/>
              </w:rPr>
              <w:t>为合同价款的</w:t>
            </w:r>
            <w:r>
              <w:rPr>
                <w:rFonts w:hint="default" w:ascii="仿宋" w:hAnsi="仿宋" w:eastAsia="仿宋" w:cs="仿宋"/>
                <w:color w:val="auto"/>
                <w:sz w:val="24"/>
                <w:szCs w:val="28"/>
                <w:highlight w:val="none"/>
                <w:lang w:val="en-US" w:eastAsia="zh-CN"/>
              </w:rPr>
              <w:t>30%。</w:t>
            </w:r>
          </w:p>
          <w:p w14:paraId="31871549">
            <w:pPr>
              <w:autoSpaceDE w:val="0"/>
              <w:spacing w:line="360" w:lineRule="auto"/>
              <w:jc w:val="left"/>
              <w:rPr>
                <w:rFonts w:hint="eastAsia" w:ascii="仿宋" w:hAnsi="仿宋" w:eastAsia="仿宋" w:cs="仿宋"/>
                <w:color w:val="auto"/>
                <w:sz w:val="24"/>
                <w:szCs w:val="28"/>
                <w:highlight w:val="none"/>
                <w:lang w:val="en-US" w:eastAsia="zh-CN"/>
              </w:rPr>
            </w:pPr>
            <w:r>
              <w:rPr>
                <w:rFonts w:hint="default" w:ascii="仿宋" w:hAnsi="仿宋" w:eastAsia="仿宋" w:cs="仿宋"/>
                <w:color w:val="auto"/>
                <w:sz w:val="24"/>
                <w:szCs w:val="28"/>
                <w:highlight w:val="none"/>
                <w:lang w:val="en-US" w:eastAsia="zh-CN"/>
              </w:rPr>
              <w:t>尾款：项目整体验收合格（签验收报告）后15个工作日内，凭尾款发票及完整技术资料支付，比例</w:t>
            </w:r>
            <w:r>
              <w:rPr>
                <w:rFonts w:hint="eastAsia" w:ascii="仿宋" w:hAnsi="仿宋" w:eastAsia="仿宋" w:cs="仿宋"/>
                <w:color w:val="auto"/>
                <w:sz w:val="24"/>
                <w:szCs w:val="28"/>
                <w:highlight w:val="none"/>
                <w:lang w:val="en-US" w:eastAsia="zh-CN"/>
              </w:rPr>
              <w:t>为合同价款的7</w:t>
            </w:r>
            <w:r>
              <w:rPr>
                <w:rFonts w:hint="default" w:ascii="仿宋" w:hAnsi="仿宋" w:eastAsia="仿宋" w:cs="仿宋"/>
                <w:color w:val="auto"/>
                <w:sz w:val="24"/>
                <w:szCs w:val="28"/>
                <w:highlight w:val="none"/>
                <w:lang w:val="en-US" w:eastAsia="zh-CN"/>
              </w:rPr>
              <w:t>0%。</w:t>
            </w:r>
          </w:p>
        </w:tc>
      </w:tr>
      <w:tr w14:paraId="4EDC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699AAB9F">
            <w:pPr>
              <w:autoSpaceDE w:val="0"/>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kern w:val="0"/>
                <w:sz w:val="24"/>
                <w:szCs w:val="24"/>
                <w:highlight w:val="none"/>
                <w:lang w:val="en-US" w:eastAsia="zh-CN"/>
              </w:rPr>
              <w:t>8</w:t>
            </w:r>
          </w:p>
        </w:tc>
        <w:tc>
          <w:tcPr>
            <w:tcW w:w="1813" w:type="dxa"/>
            <w:tcBorders>
              <w:top w:val="single" w:color="auto" w:sz="4" w:space="0"/>
              <w:left w:val="single" w:color="auto" w:sz="4" w:space="0"/>
              <w:bottom w:val="single" w:color="auto" w:sz="4" w:space="0"/>
              <w:right w:val="single" w:color="auto" w:sz="4" w:space="0"/>
            </w:tcBorders>
            <w:vAlign w:val="center"/>
          </w:tcPr>
          <w:p w14:paraId="3C3DE759">
            <w:pPr>
              <w:autoSpaceDE w:val="0"/>
              <w:spacing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验收标准</w:t>
            </w:r>
          </w:p>
        </w:tc>
        <w:tc>
          <w:tcPr>
            <w:tcW w:w="6634" w:type="dxa"/>
            <w:tcBorders>
              <w:top w:val="single" w:color="auto" w:sz="4" w:space="0"/>
              <w:left w:val="single" w:color="auto" w:sz="4" w:space="0"/>
              <w:bottom w:val="single" w:color="auto" w:sz="4" w:space="0"/>
              <w:right w:val="single" w:color="auto" w:sz="4" w:space="0"/>
            </w:tcBorders>
            <w:vAlign w:val="center"/>
          </w:tcPr>
          <w:p w14:paraId="790CC57F">
            <w:pPr>
              <w:autoSpaceDE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验收：设备产品型号配置与合同一致，产品合格证，相关资料（如质量保证书、产品质量鉴定书、服务手册等）及配备的备件、工具等齐全完整，且符合招标文件及合同要求。设备安装调试完毕，安装应用系统后各项功能运行正常，达到系统设计要求。</w:t>
            </w:r>
          </w:p>
          <w:p w14:paraId="66AF1F8F">
            <w:pPr>
              <w:autoSpaceDE w:val="0"/>
              <w:spacing w:line="360" w:lineRule="auto"/>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项目测试：乙方负责调试，完工后，甲方测试是否合格并满足技术要求</w:t>
            </w:r>
            <w:r>
              <w:rPr>
                <w:rFonts w:hint="eastAsia" w:ascii="仿宋" w:hAnsi="仿宋" w:eastAsia="仿宋" w:cs="仿宋"/>
                <w:bCs/>
                <w:color w:val="auto"/>
                <w:kern w:val="0"/>
                <w:sz w:val="24"/>
                <w:szCs w:val="24"/>
                <w:highlight w:val="none"/>
                <w:lang w:eastAsia="zh-CN"/>
              </w:rPr>
              <w:t>。</w:t>
            </w:r>
          </w:p>
        </w:tc>
      </w:tr>
    </w:tbl>
    <w:p w14:paraId="5BE43985">
      <w:pPr>
        <w:jc w:val="center"/>
        <w:rPr>
          <w:rFonts w:ascii="仿宋" w:hAnsi="仿宋" w:eastAsia="仿宋" w:cs="仿宋"/>
          <w:b/>
          <w:bCs/>
          <w:color w:val="auto"/>
          <w:sz w:val="28"/>
          <w:szCs w:val="28"/>
          <w:highlight w:val="none"/>
        </w:rPr>
      </w:pPr>
      <w:bookmarkStart w:id="51" w:name="_Toc10301"/>
      <w:bookmarkEnd w:id="51"/>
      <w:r>
        <w:rPr>
          <w:rFonts w:hint="eastAsia" w:ascii="仿宋" w:hAnsi="仿宋" w:eastAsia="仿宋" w:cs="仿宋"/>
          <w:b/>
          <w:bCs/>
          <w:color w:val="auto"/>
          <w:sz w:val="28"/>
          <w:szCs w:val="28"/>
          <w:highlight w:val="none"/>
        </w:rPr>
        <w:t xml:space="preserve"> </w:t>
      </w:r>
    </w:p>
    <w:p w14:paraId="4540894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B8B8DD6">
      <w:pPr>
        <w:keepNext w:val="0"/>
        <w:keepLines w:val="0"/>
        <w:pageBreakBefore w:val="0"/>
        <w:kinsoku/>
        <w:wordWrap/>
        <w:overflowPunct/>
        <w:topLinePunct w:val="0"/>
        <w:autoSpaceDN/>
        <w:bidi w:val="0"/>
        <w:adjustRightInd/>
        <w:snapToGrid/>
        <w:spacing w:line="360" w:lineRule="auto"/>
        <w:jc w:val="center"/>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第二部分  技术需求</w:t>
      </w:r>
    </w:p>
    <w:p w14:paraId="4DC366AA">
      <w:pPr>
        <w:keepNext w:val="0"/>
        <w:keepLines w:val="0"/>
        <w:pageBreakBefore w:val="0"/>
        <w:widowControl/>
        <w:kinsoku/>
        <w:wordWrap/>
        <w:overflowPunct/>
        <w:topLinePunct w:val="0"/>
        <w:autoSpaceDE w:val="0"/>
        <w:autoSpaceDN/>
        <w:bidi w:val="0"/>
        <w:adjustRightInd/>
        <w:snapToGrid/>
        <w:spacing w:line="360" w:lineRule="auto"/>
        <w:jc w:val="center"/>
        <w:textAlignment w:val="auto"/>
        <w:rPr>
          <w:rFonts w:hint="eastAsia" w:ascii="仿宋" w:hAnsi="仿宋" w:eastAsia="仿宋" w:cs="仿宋"/>
          <w:b/>
          <w:bCs/>
          <w:color w:val="auto"/>
          <w:sz w:val="28"/>
          <w:szCs w:val="28"/>
          <w:highlight w:val="none"/>
          <w:lang w:eastAsia="zh-CN"/>
        </w:rPr>
      </w:pPr>
      <w:bookmarkStart w:id="52" w:name="_Toc15006"/>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采购清单</w:t>
      </w:r>
    </w:p>
    <w:tbl>
      <w:tblPr>
        <w:tblStyle w:val="21"/>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606"/>
        <w:gridCol w:w="1079"/>
        <w:gridCol w:w="1043"/>
        <w:gridCol w:w="1701"/>
      </w:tblGrid>
      <w:tr w14:paraId="127D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76DE3F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4606" w:type="dxa"/>
            <w:vAlign w:val="center"/>
          </w:tcPr>
          <w:p w14:paraId="3DCEF84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设备名称</w:t>
            </w:r>
          </w:p>
        </w:tc>
        <w:tc>
          <w:tcPr>
            <w:tcW w:w="1079" w:type="dxa"/>
            <w:vAlign w:val="center"/>
          </w:tcPr>
          <w:p w14:paraId="325FF8A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w:t>
            </w:r>
          </w:p>
        </w:tc>
        <w:tc>
          <w:tcPr>
            <w:tcW w:w="1043" w:type="dxa"/>
            <w:vAlign w:val="center"/>
          </w:tcPr>
          <w:p w14:paraId="26D2A14B">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w:t>
            </w:r>
          </w:p>
        </w:tc>
        <w:tc>
          <w:tcPr>
            <w:tcW w:w="1701" w:type="dxa"/>
            <w:vAlign w:val="center"/>
          </w:tcPr>
          <w:p w14:paraId="569AFA3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4FE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6E240C7">
            <w:pPr>
              <w:spacing w:line="360" w:lineRule="auto"/>
              <w:jc w:val="center"/>
              <w:rPr>
                <w:rFonts w:hint="eastAsia" w:ascii="仿宋" w:hAnsi="仿宋" w:eastAsia="仿宋" w:cs="仿宋"/>
                <w:b/>
                <w:sz w:val="24"/>
                <w:szCs w:val="24"/>
                <w:highlight w:val="none"/>
              </w:rPr>
            </w:pPr>
            <w:r>
              <w:rPr>
                <w:rFonts w:hint="eastAsia" w:ascii="仿宋" w:hAnsi="仿宋" w:eastAsia="仿宋" w:cs="仿宋"/>
                <w:bCs/>
                <w:sz w:val="24"/>
                <w:szCs w:val="24"/>
                <w:highlight w:val="none"/>
              </w:rPr>
              <w:t>1</w:t>
            </w:r>
          </w:p>
        </w:tc>
        <w:tc>
          <w:tcPr>
            <w:tcW w:w="4606" w:type="dxa"/>
            <w:vAlign w:val="center"/>
          </w:tcPr>
          <w:p w14:paraId="20DBDCD9">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u w:val="none"/>
                <w:lang w:val="en-US" w:eastAsia="zh-CN" w:bidi="ar"/>
              </w:rPr>
              <w:t>电脑平缝机</w:t>
            </w:r>
          </w:p>
        </w:tc>
        <w:tc>
          <w:tcPr>
            <w:tcW w:w="1079" w:type="dxa"/>
            <w:vAlign w:val="center"/>
          </w:tcPr>
          <w:p w14:paraId="62297EE6">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u w:val="none"/>
                <w:lang w:val="en-US" w:eastAsia="zh-CN" w:bidi="ar"/>
              </w:rPr>
              <w:t>22</w:t>
            </w:r>
          </w:p>
        </w:tc>
        <w:tc>
          <w:tcPr>
            <w:tcW w:w="1043" w:type="dxa"/>
            <w:vAlign w:val="center"/>
          </w:tcPr>
          <w:p w14:paraId="6CF6252E">
            <w:pPr>
              <w:keepNext w:val="0"/>
              <w:keepLines w:val="0"/>
              <w:widowControl/>
              <w:suppressLineNumbers w:val="0"/>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u w:val="none"/>
                <w:lang w:val="en-US" w:eastAsia="zh-CN" w:bidi="ar"/>
              </w:rPr>
              <w:t>台</w:t>
            </w:r>
          </w:p>
        </w:tc>
        <w:tc>
          <w:tcPr>
            <w:tcW w:w="1701" w:type="dxa"/>
            <w:vAlign w:val="center"/>
          </w:tcPr>
          <w:p w14:paraId="1C60FDA0">
            <w:pPr>
              <w:spacing w:line="360" w:lineRule="auto"/>
              <w:jc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核心产品</w:t>
            </w:r>
          </w:p>
        </w:tc>
      </w:tr>
      <w:tr w14:paraId="2A1C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AD17D14">
            <w:pPr>
              <w:spacing w:line="360" w:lineRule="auto"/>
              <w:jc w:val="center"/>
              <w:rPr>
                <w:rFonts w:hint="eastAsia" w:ascii="仿宋" w:hAnsi="仿宋" w:eastAsia="仿宋" w:cs="仿宋"/>
                <w:sz w:val="24"/>
                <w:szCs w:val="24"/>
                <w:highlight w:val="none"/>
              </w:rPr>
            </w:pPr>
            <w:bookmarkStart w:id="53" w:name="_Hlk225099667"/>
            <w:bookmarkStart w:id="54" w:name="_Hlk208396085"/>
            <w:r>
              <w:rPr>
                <w:rFonts w:hint="eastAsia" w:ascii="仿宋" w:hAnsi="仿宋" w:eastAsia="仿宋" w:cs="仿宋"/>
                <w:sz w:val="24"/>
                <w:szCs w:val="24"/>
                <w:highlight w:val="none"/>
              </w:rPr>
              <w:t>2</w:t>
            </w:r>
          </w:p>
        </w:tc>
        <w:tc>
          <w:tcPr>
            <w:tcW w:w="4606" w:type="dxa"/>
            <w:vAlign w:val="center"/>
          </w:tcPr>
          <w:p w14:paraId="71B82627">
            <w:pPr>
              <w:keepNext w:val="0"/>
              <w:keepLines w:val="0"/>
              <w:widowControl/>
              <w:suppressLineNumbers w:val="0"/>
              <w:jc w:val="center"/>
              <w:textAlignment w:val="center"/>
              <w:rPr>
                <w:rFonts w:hint="eastAsia" w:ascii="仿宋" w:hAnsi="仿宋" w:eastAsia="仿宋" w:cs="仿宋"/>
                <w:kern w:val="0"/>
                <w:sz w:val="24"/>
                <w:szCs w:val="24"/>
                <w:highlight w:val="none"/>
              </w:rPr>
            </w:pPr>
            <w:r>
              <w:rPr>
                <w:rFonts w:hint="eastAsia" w:ascii="仿宋" w:hAnsi="仿宋" w:eastAsia="仿宋" w:cs="仿宋"/>
                <w:i w:val="0"/>
                <w:iCs w:val="0"/>
                <w:color w:val="000000"/>
                <w:kern w:val="0"/>
                <w:sz w:val="24"/>
                <w:szCs w:val="24"/>
                <w:u w:val="none"/>
                <w:lang w:val="en-US" w:eastAsia="zh-CN" w:bidi="ar"/>
              </w:rPr>
              <w:t>电脑包缝机</w:t>
            </w:r>
          </w:p>
        </w:tc>
        <w:tc>
          <w:tcPr>
            <w:tcW w:w="1079" w:type="dxa"/>
            <w:vAlign w:val="center"/>
          </w:tcPr>
          <w:p w14:paraId="747EA25D">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10</w:t>
            </w:r>
          </w:p>
        </w:tc>
        <w:tc>
          <w:tcPr>
            <w:tcW w:w="1043" w:type="dxa"/>
            <w:vAlign w:val="center"/>
          </w:tcPr>
          <w:p w14:paraId="3927C0FF">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台</w:t>
            </w:r>
          </w:p>
        </w:tc>
        <w:tc>
          <w:tcPr>
            <w:tcW w:w="1701" w:type="dxa"/>
            <w:vAlign w:val="center"/>
          </w:tcPr>
          <w:p w14:paraId="43C9A71A">
            <w:pPr>
              <w:spacing w:line="360" w:lineRule="auto"/>
              <w:jc w:val="center"/>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核心产品</w:t>
            </w:r>
          </w:p>
        </w:tc>
      </w:tr>
      <w:tr w14:paraId="521D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891BCC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4606" w:type="dxa"/>
            <w:vAlign w:val="center"/>
          </w:tcPr>
          <w:p w14:paraId="6A048572">
            <w:pPr>
              <w:keepNext w:val="0"/>
              <w:keepLines w:val="0"/>
              <w:widowControl/>
              <w:suppressLineNumbers w:val="0"/>
              <w:jc w:val="center"/>
              <w:textAlignment w:val="center"/>
              <w:rPr>
                <w:rFonts w:hint="eastAsia" w:ascii="仿宋" w:hAnsi="仿宋" w:eastAsia="仿宋" w:cs="仿宋"/>
                <w:kern w:val="0"/>
                <w:sz w:val="24"/>
                <w:szCs w:val="24"/>
                <w:highlight w:val="none"/>
              </w:rPr>
            </w:pPr>
            <w:r>
              <w:rPr>
                <w:rFonts w:hint="eastAsia" w:ascii="仿宋" w:hAnsi="仿宋" w:eastAsia="仿宋" w:cs="仿宋"/>
                <w:i w:val="0"/>
                <w:iCs w:val="0"/>
                <w:color w:val="000000"/>
                <w:kern w:val="0"/>
                <w:sz w:val="24"/>
                <w:szCs w:val="24"/>
                <w:u w:val="none"/>
                <w:lang w:val="en-US" w:eastAsia="zh-CN" w:bidi="ar"/>
              </w:rPr>
              <w:t>小方头绷缝机（直驱）</w:t>
            </w:r>
          </w:p>
        </w:tc>
        <w:tc>
          <w:tcPr>
            <w:tcW w:w="1079" w:type="dxa"/>
            <w:vAlign w:val="center"/>
          </w:tcPr>
          <w:p w14:paraId="6A5882AE">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4</w:t>
            </w:r>
          </w:p>
        </w:tc>
        <w:tc>
          <w:tcPr>
            <w:tcW w:w="1043" w:type="dxa"/>
            <w:vAlign w:val="center"/>
          </w:tcPr>
          <w:p w14:paraId="609A3A61">
            <w:pPr>
              <w:keepNext w:val="0"/>
              <w:keepLines w:val="0"/>
              <w:widowControl/>
              <w:suppressLineNumbers w:val="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台</w:t>
            </w:r>
          </w:p>
        </w:tc>
        <w:tc>
          <w:tcPr>
            <w:tcW w:w="1701" w:type="dxa"/>
            <w:vAlign w:val="center"/>
          </w:tcPr>
          <w:p w14:paraId="4651FB2B">
            <w:pPr>
              <w:spacing w:line="360" w:lineRule="auto"/>
              <w:jc w:val="center"/>
              <w:rPr>
                <w:rFonts w:hint="eastAsia" w:ascii="仿宋" w:hAnsi="仿宋" w:eastAsia="仿宋" w:cs="仿宋"/>
                <w:sz w:val="24"/>
                <w:szCs w:val="24"/>
                <w:highlight w:val="none"/>
              </w:rPr>
            </w:pPr>
          </w:p>
        </w:tc>
      </w:tr>
      <w:tr w14:paraId="4B59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AF7C9B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4606" w:type="dxa"/>
            <w:vAlign w:val="center"/>
          </w:tcPr>
          <w:p w14:paraId="1F02166C">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电脑套结机</w:t>
            </w:r>
          </w:p>
        </w:tc>
        <w:tc>
          <w:tcPr>
            <w:tcW w:w="1079" w:type="dxa"/>
            <w:vAlign w:val="center"/>
          </w:tcPr>
          <w:p w14:paraId="1031950D">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4</w:t>
            </w:r>
          </w:p>
        </w:tc>
        <w:tc>
          <w:tcPr>
            <w:tcW w:w="1043" w:type="dxa"/>
            <w:vAlign w:val="center"/>
          </w:tcPr>
          <w:p w14:paraId="592FD822">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台</w:t>
            </w:r>
          </w:p>
        </w:tc>
        <w:tc>
          <w:tcPr>
            <w:tcW w:w="1701" w:type="dxa"/>
            <w:vAlign w:val="center"/>
          </w:tcPr>
          <w:p w14:paraId="6423C56B">
            <w:pPr>
              <w:spacing w:line="360" w:lineRule="auto"/>
              <w:jc w:val="center"/>
              <w:rPr>
                <w:rFonts w:hint="eastAsia" w:ascii="仿宋" w:hAnsi="仿宋" w:eastAsia="仿宋" w:cs="仿宋"/>
                <w:sz w:val="24"/>
                <w:szCs w:val="24"/>
                <w:highlight w:val="none"/>
              </w:rPr>
            </w:pPr>
          </w:p>
        </w:tc>
      </w:tr>
      <w:tr w14:paraId="3FF2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B05E7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4606" w:type="dxa"/>
            <w:vAlign w:val="center"/>
          </w:tcPr>
          <w:p w14:paraId="3C9D3552">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一体化流水槽</w:t>
            </w:r>
          </w:p>
        </w:tc>
        <w:tc>
          <w:tcPr>
            <w:tcW w:w="1079" w:type="dxa"/>
            <w:vAlign w:val="center"/>
          </w:tcPr>
          <w:p w14:paraId="6C1259CF">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2</w:t>
            </w:r>
          </w:p>
        </w:tc>
        <w:tc>
          <w:tcPr>
            <w:tcW w:w="1043" w:type="dxa"/>
            <w:vAlign w:val="center"/>
          </w:tcPr>
          <w:p w14:paraId="170C3F5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条</w:t>
            </w:r>
          </w:p>
        </w:tc>
        <w:tc>
          <w:tcPr>
            <w:tcW w:w="1701" w:type="dxa"/>
            <w:vAlign w:val="center"/>
          </w:tcPr>
          <w:p w14:paraId="7CE03231">
            <w:pPr>
              <w:spacing w:line="360" w:lineRule="auto"/>
              <w:jc w:val="center"/>
              <w:rPr>
                <w:rFonts w:hint="eastAsia" w:ascii="仿宋" w:hAnsi="仿宋" w:eastAsia="仿宋" w:cs="仿宋"/>
                <w:sz w:val="24"/>
                <w:szCs w:val="24"/>
                <w:highlight w:val="none"/>
              </w:rPr>
            </w:pPr>
          </w:p>
        </w:tc>
      </w:tr>
      <w:tr w14:paraId="116D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0162926">
            <w:pPr>
              <w:spacing w:line="360" w:lineRule="auto"/>
              <w:jc w:val="center"/>
              <w:rPr>
                <w:rFonts w:hint="eastAsia" w:ascii="仿宋" w:hAnsi="仿宋" w:eastAsia="仿宋" w:cs="仿宋"/>
                <w:sz w:val="24"/>
                <w:szCs w:val="24"/>
                <w:highlight w:val="none"/>
              </w:rPr>
            </w:pPr>
            <w:bookmarkStart w:id="55" w:name="_Hlk224838135"/>
            <w:r>
              <w:rPr>
                <w:rFonts w:hint="eastAsia" w:ascii="仿宋" w:hAnsi="仿宋" w:eastAsia="仿宋" w:cs="仿宋"/>
                <w:sz w:val="24"/>
                <w:szCs w:val="24"/>
                <w:highlight w:val="none"/>
              </w:rPr>
              <w:t>6</w:t>
            </w:r>
          </w:p>
        </w:tc>
        <w:tc>
          <w:tcPr>
            <w:tcW w:w="4606" w:type="dxa"/>
            <w:vAlign w:val="center"/>
          </w:tcPr>
          <w:p w14:paraId="4D35792F">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裁剪台</w:t>
            </w:r>
          </w:p>
        </w:tc>
        <w:tc>
          <w:tcPr>
            <w:tcW w:w="1079" w:type="dxa"/>
            <w:vAlign w:val="center"/>
          </w:tcPr>
          <w:p w14:paraId="24340DF1">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3</w:t>
            </w:r>
          </w:p>
        </w:tc>
        <w:tc>
          <w:tcPr>
            <w:tcW w:w="1043" w:type="dxa"/>
            <w:vAlign w:val="center"/>
          </w:tcPr>
          <w:p w14:paraId="7C079078">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张</w:t>
            </w:r>
          </w:p>
        </w:tc>
        <w:tc>
          <w:tcPr>
            <w:tcW w:w="1701" w:type="dxa"/>
            <w:vAlign w:val="center"/>
          </w:tcPr>
          <w:p w14:paraId="5990572C">
            <w:pPr>
              <w:spacing w:line="360" w:lineRule="auto"/>
              <w:jc w:val="center"/>
              <w:rPr>
                <w:rFonts w:hint="eastAsia" w:ascii="仿宋" w:hAnsi="仿宋" w:eastAsia="仿宋" w:cs="仿宋"/>
                <w:sz w:val="24"/>
                <w:szCs w:val="24"/>
                <w:highlight w:val="none"/>
              </w:rPr>
            </w:pPr>
          </w:p>
        </w:tc>
      </w:tr>
      <w:bookmarkEnd w:id="55"/>
      <w:tr w14:paraId="1F97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D8BED2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4606" w:type="dxa"/>
            <w:vAlign w:val="center"/>
          </w:tcPr>
          <w:p w14:paraId="3C16F1A0">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母线槽</w:t>
            </w:r>
          </w:p>
        </w:tc>
        <w:tc>
          <w:tcPr>
            <w:tcW w:w="1079" w:type="dxa"/>
            <w:vAlign w:val="center"/>
          </w:tcPr>
          <w:p w14:paraId="1BF99FE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89</w:t>
            </w:r>
          </w:p>
        </w:tc>
        <w:tc>
          <w:tcPr>
            <w:tcW w:w="1043" w:type="dxa"/>
            <w:vAlign w:val="center"/>
          </w:tcPr>
          <w:p w14:paraId="5278C839">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米</w:t>
            </w:r>
          </w:p>
        </w:tc>
        <w:tc>
          <w:tcPr>
            <w:tcW w:w="1701" w:type="dxa"/>
            <w:vAlign w:val="center"/>
          </w:tcPr>
          <w:p w14:paraId="3923704A">
            <w:pPr>
              <w:spacing w:line="360" w:lineRule="auto"/>
              <w:jc w:val="center"/>
              <w:rPr>
                <w:rFonts w:hint="eastAsia" w:ascii="仿宋" w:hAnsi="仿宋" w:eastAsia="仿宋" w:cs="仿宋"/>
                <w:sz w:val="24"/>
                <w:szCs w:val="24"/>
                <w:highlight w:val="none"/>
              </w:rPr>
            </w:pPr>
          </w:p>
        </w:tc>
      </w:tr>
      <w:tr w14:paraId="63F2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A4AD96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4606" w:type="dxa"/>
            <w:vAlign w:val="center"/>
          </w:tcPr>
          <w:p w14:paraId="5482D13B">
            <w:pPr>
              <w:keepNext w:val="0"/>
              <w:keepLines w:val="0"/>
              <w:widowControl/>
              <w:suppressLineNumbers w:val="0"/>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工位凳</w:t>
            </w:r>
          </w:p>
        </w:tc>
        <w:tc>
          <w:tcPr>
            <w:tcW w:w="1079" w:type="dxa"/>
            <w:vAlign w:val="center"/>
          </w:tcPr>
          <w:p w14:paraId="36545272">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38</w:t>
            </w:r>
          </w:p>
        </w:tc>
        <w:tc>
          <w:tcPr>
            <w:tcW w:w="1043" w:type="dxa"/>
            <w:vAlign w:val="center"/>
          </w:tcPr>
          <w:p w14:paraId="5BEBB940">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条</w:t>
            </w:r>
          </w:p>
        </w:tc>
        <w:tc>
          <w:tcPr>
            <w:tcW w:w="1701" w:type="dxa"/>
            <w:vAlign w:val="center"/>
          </w:tcPr>
          <w:p w14:paraId="0715A1F3">
            <w:pPr>
              <w:spacing w:line="360" w:lineRule="auto"/>
              <w:jc w:val="center"/>
              <w:rPr>
                <w:rFonts w:hint="eastAsia" w:ascii="仿宋" w:hAnsi="仿宋" w:eastAsia="仿宋" w:cs="仿宋"/>
                <w:sz w:val="24"/>
                <w:szCs w:val="24"/>
                <w:highlight w:val="none"/>
              </w:rPr>
            </w:pPr>
          </w:p>
        </w:tc>
      </w:tr>
      <w:tr w14:paraId="13FC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7701474">
            <w:pPr>
              <w:spacing w:line="360" w:lineRule="auto"/>
              <w:jc w:val="center"/>
              <w:rPr>
                <w:rFonts w:hint="eastAsia" w:ascii="仿宋" w:hAnsi="仿宋" w:eastAsia="仿宋" w:cs="仿宋"/>
                <w:sz w:val="24"/>
                <w:szCs w:val="24"/>
                <w:highlight w:val="none"/>
              </w:rPr>
            </w:pPr>
            <w:bookmarkStart w:id="56" w:name="_Hlk225069360"/>
            <w:r>
              <w:rPr>
                <w:rFonts w:hint="eastAsia" w:ascii="仿宋" w:hAnsi="仿宋" w:eastAsia="仿宋" w:cs="仿宋"/>
                <w:sz w:val="24"/>
                <w:szCs w:val="24"/>
                <w:highlight w:val="none"/>
              </w:rPr>
              <w:t>9</w:t>
            </w:r>
          </w:p>
        </w:tc>
        <w:tc>
          <w:tcPr>
            <w:tcW w:w="4606" w:type="dxa"/>
            <w:vAlign w:val="center"/>
          </w:tcPr>
          <w:p w14:paraId="71CD55DE">
            <w:pPr>
              <w:keepNext w:val="0"/>
              <w:keepLines w:val="0"/>
              <w:widowControl/>
              <w:suppressLineNumbers w:val="0"/>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检验桌</w:t>
            </w:r>
          </w:p>
        </w:tc>
        <w:tc>
          <w:tcPr>
            <w:tcW w:w="1079" w:type="dxa"/>
            <w:vAlign w:val="center"/>
          </w:tcPr>
          <w:p w14:paraId="1D85C1A0">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2</w:t>
            </w:r>
          </w:p>
        </w:tc>
        <w:tc>
          <w:tcPr>
            <w:tcW w:w="1043" w:type="dxa"/>
            <w:vAlign w:val="center"/>
          </w:tcPr>
          <w:p w14:paraId="2F61DA1D">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张</w:t>
            </w:r>
          </w:p>
        </w:tc>
        <w:tc>
          <w:tcPr>
            <w:tcW w:w="1701" w:type="dxa"/>
            <w:vAlign w:val="center"/>
          </w:tcPr>
          <w:p w14:paraId="09015A96">
            <w:pPr>
              <w:spacing w:line="360" w:lineRule="auto"/>
              <w:jc w:val="center"/>
              <w:rPr>
                <w:rFonts w:hint="eastAsia" w:ascii="仿宋" w:hAnsi="仿宋" w:eastAsia="仿宋" w:cs="仿宋"/>
                <w:sz w:val="24"/>
                <w:szCs w:val="24"/>
                <w:highlight w:val="none"/>
              </w:rPr>
            </w:pPr>
          </w:p>
        </w:tc>
      </w:tr>
      <w:bookmarkEnd w:id="56"/>
      <w:tr w14:paraId="4775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C5C27C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4606" w:type="dxa"/>
            <w:vAlign w:val="center"/>
          </w:tcPr>
          <w:p w14:paraId="466FD25E">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高栏车</w:t>
            </w:r>
          </w:p>
        </w:tc>
        <w:tc>
          <w:tcPr>
            <w:tcW w:w="1079" w:type="dxa"/>
            <w:vAlign w:val="center"/>
          </w:tcPr>
          <w:p w14:paraId="69F67723">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2</w:t>
            </w:r>
          </w:p>
        </w:tc>
        <w:tc>
          <w:tcPr>
            <w:tcW w:w="1043" w:type="dxa"/>
            <w:vAlign w:val="center"/>
          </w:tcPr>
          <w:p w14:paraId="2F4573C6">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辆</w:t>
            </w:r>
          </w:p>
        </w:tc>
        <w:tc>
          <w:tcPr>
            <w:tcW w:w="1701" w:type="dxa"/>
            <w:vAlign w:val="center"/>
          </w:tcPr>
          <w:p w14:paraId="7C07848F">
            <w:pPr>
              <w:spacing w:line="360" w:lineRule="auto"/>
              <w:jc w:val="center"/>
              <w:rPr>
                <w:rFonts w:hint="eastAsia" w:ascii="仿宋" w:hAnsi="仿宋" w:eastAsia="仿宋" w:cs="仿宋"/>
                <w:sz w:val="24"/>
                <w:szCs w:val="24"/>
                <w:highlight w:val="none"/>
              </w:rPr>
            </w:pPr>
          </w:p>
        </w:tc>
      </w:tr>
      <w:tr w14:paraId="5716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36AF54F">
            <w:pPr>
              <w:spacing w:line="360" w:lineRule="auto"/>
              <w:jc w:val="center"/>
              <w:rPr>
                <w:rFonts w:hint="eastAsia" w:ascii="仿宋" w:hAnsi="仿宋" w:eastAsia="仿宋" w:cs="仿宋"/>
                <w:sz w:val="24"/>
                <w:szCs w:val="24"/>
                <w:highlight w:val="none"/>
              </w:rPr>
            </w:pPr>
            <w:bookmarkStart w:id="57" w:name="_Hlk225069458"/>
            <w:r>
              <w:rPr>
                <w:rFonts w:hint="eastAsia" w:ascii="仿宋" w:hAnsi="仿宋" w:eastAsia="仿宋" w:cs="仿宋"/>
                <w:sz w:val="24"/>
                <w:szCs w:val="24"/>
                <w:highlight w:val="none"/>
              </w:rPr>
              <w:t>11</w:t>
            </w:r>
          </w:p>
        </w:tc>
        <w:tc>
          <w:tcPr>
            <w:tcW w:w="4606" w:type="dxa"/>
            <w:vAlign w:val="center"/>
          </w:tcPr>
          <w:p w14:paraId="7951AA44">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三层裁片车</w:t>
            </w:r>
          </w:p>
        </w:tc>
        <w:tc>
          <w:tcPr>
            <w:tcW w:w="1079" w:type="dxa"/>
            <w:vAlign w:val="center"/>
          </w:tcPr>
          <w:p w14:paraId="144FFF80">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2</w:t>
            </w:r>
          </w:p>
        </w:tc>
        <w:tc>
          <w:tcPr>
            <w:tcW w:w="1043" w:type="dxa"/>
            <w:vAlign w:val="center"/>
          </w:tcPr>
          <w:p w14:paraId="5C099575">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辆</w:t>
            </w:r>
          </w:p>
        </w:tc>
        <w:tc>
          <w:tcPr>
            <w:tcW w:w="1701" w:type="dxa"/>
            <w:vAlign w:val="center"/>
          </w:tcPr>
          <w:p w14:paraId="39E3112B">
            <w:pPr>
              <w:spacing w:line="360" w:lineRule="auto"/>
              <w:jc w:val="center"/>
              <w:rPr>
                <w:rFonts w:hint="eastAsia" w:ascii="仿宋" w:hAnsi="仿宋" w:eastAsia="仿宋" w:cs="仿宋"/>
                <w:sz w:val="24"/>
                <w:szCs w:val="24"/>
                <w:highlight w:val="none"/>
              </w:rPr>
            </w:pPr>
          </w:p>
        </w:tc>
      </w:tr>
      <w:bookmarkEnd w:id="57"/>
      <w:tr w14:paraId="6191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DC7EAFC">
            <w:pPr>
              <w:spacing w:line="360" w:lineRule="auto"/>
              <w:jc w:val="center"/>
              <w:rPr>
                <w:rFonts w:hint="eastAsia" w:ascii="仿宋" w:hAnsi="仿宋" w:eastAsia="仿宋" w:cs="仿宋"/>
                <w:sz w:val="24"/>
                <w:szCs w:val="24"/>
                <w:highlight w:val="none"/>
              </w:rPr>
            </w:pPr>
            <w:bookmarkStart w:id="58" w:name="_Hlk225069475"/>
            <w:r>
              <w:rPr>
                <w:rFonts w:hint="eastAsia" w:ascii="仿宋" w:hAnsi="仿宋" w:eastAsia="仿宋" w:cs="仿宋"/>
                <w:sz w:val="24"/>
                <w:szCs w:val="24"/>
                <w:highlight w:val="none"/>
              </w:rPr>
              <w:t>12</w:t>
            </w:r>
          </w:p>
        </w:tc>
        <w:tc>
          <w:tcPr>
            <w:tcW w:w="4606" w:type="dxa"/>
            <w:vAlign w:val="center"/>
          </w:tcPr>
          <w:p w14:paraId="098EADB3">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物料框</w:t>
            </w:r>
          </w:p>
        </w:tc>
        <w:tc>
          <w:tcPr>
            <w:tcW w:w="1079" w:type="dxa"/>
            <w:vAlign w:val="center"/>
          </w:tcPr>
          <w:p w14:paraId="6B048743">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5</w:t>
            </w:r>
          </w:p>
        </w:tc>
        <w:tc>
          <w:tcPr>
            <w:tcW w:w="1043" w:type="dxa"/>
            <w:vAlign w:val="center"/>
          </w:tcPr>
          <w:p w14:paraId="27C5F301">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个</w:t>
            </w:r>
          </w:p>
        </w:tc>
        <w:tc>
          <w:tcPr>
            <w:tcW w:w="1701" w:type="dxa"/>
            <w:vAlign w:val="center"/>
          </w:tcPr>
          <w:p w14:paraId="0F91A5C6">
            <w:pPr>
              <w:spacing w:line="360" w:lineRule="auto"/>
              <w:jc w:val="center"/>
              <w:rPr>
                <w:rFonts w:hint="eastAsia" w:ascii="仿宋" w:hAnsi="仿宋" w:eastAsia="仿宋" w:cs="仿宋"/>
                <w:sz w:val="24"/>
                <w:szCs w:val="24"/>
                <w:highlight w:val="none"/>
              </w:rPr>
            </w:pPr>
          </w:p>
        </w:tc>
      </w:tr>
      <w:bookmarkEnd w:id="58"/>
      <w:tr w14:paraId="6AF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FCAAF8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4606" w:type="dxa"/>
            <w:vAlign w:val="center"/>
          </w:tcPr>
          <w:p w14:paraId="6DBD526B">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吊瓶蒸汽熨斗</w:t>
            </w:r>
          </w:p>
        </w:tc>
        <w:tc>
          <w:tcPr>
            <w:tcW w:w="1079" w:type="dxa"/>
            <w:vAlign w:val="center"/>
          </w:tcPr>
          <w:p w14:paraId="27C9E041">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1</w:t>
            </w:r>
          </w:p>
        </w:tc>
        <w:tc>
          <w:tcPr>
            <w:tcW w:w="1043" w:type="dxa"/>
            <w:vAlign w:val="center"/>
          </w:tcPr>
          <w:p w14:paraId="06ACE3D3">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个</w:t>
            </w:r>
          </w:p>
        </w:tc>
        <w:tc>
          <w:tcPr>
            <w:tcW w:w="1701" w:type="dxa"/>
            <w:vAlign w:val="center"/>
          </w:tcPr>
          <w:p w14:paraId="1D629BBE">
            <w:pPr>
              <w:spacing w:line="360" w:lineRule="auto"/>
              <w:jc w:val="center"/>
              <w:rPr>
                <w:rFonts w:hint="eastAsia" w:ascii="仿宋" w:hAnsi="仿宋" w:eastAsia="仿宋" w:cs="仿宋"/>
                <w:sz w:val="24"/>
                <w:szCs w:val="24"/>
                <w:highlight w:val="none"/>
              </w:rPr>
            </w:pPr>
          </w:p>
        </w:tc>
      </w:tr>
      <w:tr w14:paraId="56D7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134D7B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4606" w:type="dxa"/>
            <w:vAlign w:val="center"/>
          </w:tcPr>
          <w:p w14:paraId="43450FD4">
            <w:pPr>
              <w:keepNext w:val="0"/>
              <w:keepLines w:val="0"/>
              <w:widowControl/>
              <w:suppressLineNumbers w:val="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单臂烫台</w:t>
            </w:r>
          </w:p>
        </w:tc>
        <w:tc>
          <w:tcPr>
            <w:tcW w:w="1079" w:type="dxa"/>
            <w:vAlign w:val="center"/>
          </w:tcPr>
          <w:p w14:paraId="2266DA72">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1</w:t>
            </w:r>
          </w:p>
        </w:tc>
        <w:tc>
          <w:tcPr>
            <w:tcW w:w="1043" w:type="dxa"/>
            <w:vAlign w:val="center"/>
          </w:tcPr>
          <w:p w14:paraId="5ED71B08">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台</w:t>
            </w:r>
          </w:p>
        </w:tc>
        <w:tc>
          <w:tcPr>
            <w:tcW w:w="1701" w:type="dxa"/>
            <w:vAlign w:val="center"/>
          </w:tcPr>
          <w:p w14:paraId="2530A931">
            <w:pPr>
              <w:spacing w:line="360" w:lineRule="auto"/>
              <w:jc w:val="center"/>
              <w:rPr>
                <w:rFonts w:hint="eastAsia" w:ascii="仿宋" w:hAnsi="仿宋" w:eastAsia="仿宋" w:cs="仿宋"/>
                <w:sz w:val="24"/>
                <w:szCs w:val="24"/>
                <w:highlight w:val="none"/>
              </w:rPr>
            </w:pPr>
          </w:p>
        </w:tc>
      </w:tr>
      <w:bookmarkEnd w:id="53"/>
      <w:tr w14:paraId="3CF7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5A78932">
            <w:pPr>
              <w:spacing w:line="360" w:lineRule="auto"/>
              <w:jc w:val="center"/>
              <w:rPr>
                <w:rFonts w:hint="eastAsia" w:ascii="仿宋" w:hAnsi="仿宋" w:eastAsia="仿宋" w:cs="仿宋"/>
                <w:sz w:val="24"/>
                <w:szCs w:val="24"/>
                <w:highlight w:val="none"/>
              </w:rPr>
            </w:pPr>
            <w:bookmarkStart w:id="59" w:name="_Hlk225369678"/>
            <w:r>
              <w:rPr>
                <w:rFonts w:hint="eastAsia" w:ascii="仿宋" w:hAnsi="仿宋" w:eastAsia="仿宋" w:cs="仿宋"/>
                <w:sz w:val="24"/>
                <w:szCs w:val="24"/>
                <w:highlight w:val="none"/>
              </w:rPr>
              <w:t>15</w:t>
            </w:r>
          </w:p>
        </w:tc>
        <w:tc>
          <w:tcPr>
            <w:tcW w:w="4606" w:type="dxa"/>
            <w:vAlign w:val="center"/>
          </w:tcPr>
          <w:p w14:paraId="174722F6">
            <w:pPr>
              <w:keepNext w:val="0"/>
              <w:keepLines w:val="0"/>
              <w:widowControl/>
              <w:suppressLineNumbers w:val="0"/>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人体裁剪模特</w:t>
            </w:r>
          </w:p>
        </w:tc>
        <w:tc>
          <w:tcPr>
            <w:tcW w:w="1079" w:type="dxa"/>
            <w:vAlign w:val="center"/>
          </w:tcPr>
          <w:p w14:paraId="4A62B1AF">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5</w:t>
            </w:r>
          </w:p>
        </w:tc>
        <w:tc>
          <w:tcPr>
            <w:tcW w:w="1043" w:type="dxa"/>
            <w:vAlign w:val="center"/>
          </w:tcPr>
          <w:p w14:paraId="47476D73">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个</w:t>
            </w:r>
          </w:p>
        </w:tc>
        <w:tc>
          <w:tcPr>
            <w:tcW w:w="1701" w:type="dxa"/>
            <w:vAlign w:val="center"/>
          </w:tcPr>
          <w:p w14:paraId="2B2170F4">
            <w:pPr>
              <w:spacing w:line="360" w:lineRule="auto"/>
              <w:jc w:val="center"/>
              <w:rPr>
                <w:rFonts w:hint="eastAsia" w:ascii="仿宋" w:hAnsi="仿宋" w:eastAsia="仿宋" w:cs="仿宋"/>
                <w:sz w:val="24"/>
                <w:szCs w:val="24"/>
                <w:highlight w:val="none"/>
              </w:rPr>
            </w:pPr>
          </w:p>
        </w:tc>
      </w:tr>
      <w:tr w14:paraId="514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B403F3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4606" w:type="dxa"/>
            <w:vAlign w:val="center"/>
          </w:tcPr>
          <w:p w14:paraId="0AC52B46">
            <w:pPr>
              <w:keepNext w:val="0"/>
              <w:keepLines w:val="0"/>
              <w:widowControl/>
              <w:suppressLineNumbers w:val="0"/>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塑料托盘</w:t>
            </w:r>
          </w:p>
        </w:tc>
        <w:tc>
          <w:tcPr>
            <w:tcW w:w="1079" w:type="dxa"/>
            <w:vAlign w:val="center"/>
          </w:tcPr>
          <w:p w14:paraId="1B59600B">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5</w:t>
            </w:r>
          </w:p>
        </w:tc>
        <w:tc>
          <w:tcPr>
            <w:tcW w:w="1043" w:type="dxa"/>
            <w:vAlign w:val="center"/>
          </w:tcPr>
          <w:p w14:paraId="4EC6362D">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个</w:t>
            </w:r>
          </w:p>
        </w:tc>
        <w:tc>
          <w:tcPr>
            <w:tcW w:w="1701" w:type="dxa"/>
            <w:vAlign w:val="center"/>
          </w:tcPr>
          <w:p w14:paraId="36901A0B">
            <w:pPr>
              <w:spacing w:line="360" w:lineRule="auto"/>
              <w:jc w:val="center"/>
              <w:rPr>
                <w:rFonts w:hint="eastAsia" w:ascii="仿宋" w:hAnsi="仿宋" w:eastAsia="仿宋" w:cs="仿宋"/>
                <w:sz w:val="24"/>
                <w:szCs w:val="24"/>
                <w:highlight w:val="none"/>
              </w:rPr>
            </w:pPr>
          </w:p>
        </w:tc>
      </w:tr>
      <w:tr w14:paraId="41BE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0B1708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4606" w:type="dxa"/>
            <w:vAlign w:val="center"/>
          </w:tcPr>
          <w:p w14:paraId="4237653B">
            <w:pPr>
              <w:keepNext w:val="0"/>
              <w:keepLines w:val="0"/>
              <w:widowControl/>
              <w:suppressLineNumbers w:val="0"/>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交互实训平台</w:t>
            </w:r>
          </w:p>
        </w:tc>
        <w:tc>
          <w:tcPr>
            <w:tcW w:w="1079" w:type="dxa"/>
            <w:vAlign w:val="center"/>
          </w:tcPr>
          <w:p w14:paraId="5B4415EF">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1</w:t>
            </w:r>
          </w:p>
        </w:tc>
        <w:tc>
          <w:tcPr>
            <w:tcW w:w="1043" w:type="dxa"/>
            <w:vAlign w:val="center"/>
          </w:tcPr>
          <w:p w14:paraId="5E0A52DB">
            <w:pPr>
              <w:keepNext w:val="0"/>
              <w:keepLines w:val="0"/>
              <w:widowControl/>
              <w:suppressLineNumbers w:val="0"/>
              <w:jc w:val="center"/>
              <w:textAlignment w:val="center"/>
              <w:rPr>
                <w:rFonts w:hint="eastAsia" w:ascii="仿宋" w:hAnsi="仿宋" w:eastAsia="仿宋" w:cs="仿宋"/>
                <w:bCs/>
                <w:sz w:val="24"/>
                <w:szCs w:val="24"/>
                <w:highlight w:val="none"/>
              </w:rPr>
            </w:pPr>
            <w:r>
              <w:rPr>
                <w:rFonts w:hint="eastAsia" w:ascii="仿宋" w:hAnsi="仿宋" w:eastAsia="仿宋" w:cs="仿宋"/>
                <w:i w:val="0"/>
                <w:iCs w:val="0"/>
                <w:color w:val="000000"/>
                <w:kern w:val="0"/>
                <w:sz w:val="24"/>
                <w:szCs w:val="24"/>
                <w:u w:val="none"/>
                <w:lang w:val="en-US" w:eastAsia="zh-CN" w:bidi="ar"/>
              </w:rPr>
              <w:t>套</w:t>
            </w:r>
          </w:p>
        </w:tc>
        <w:tc>
          <w:tcPr>
            <w:tcW w:w="1701" w:type="dxa"/>
            <w:vAlign w:val="center"/>
          </w:tcPr>
          <w:p w14:paraId="49399963">
            <w:pPr>
              <w:spacing w:line="360" w:lineRule="auto"/>
              <w:jc w:val="center"/>
              <w:rPr>
                <w:rFonts w:hint="eastAsia" w:ascii="仿宋" w:hAnsi="仿宋" w:eastAsia="仿宋" w:cs="仿宋"/>
                <w:sz w:val="24"/>
                <w:szCs w:val="24"/>
                <w:highlight w:val="none"/>
              </w:rPr>
            </w:pPr>
          </w:p>
        </w:tc>
      </w:tr>
      <w:bookmarkEnd w:id="54"/>
      <w:bookmarkEnd w:id="59"/>
    </w:tbl>
    <w:p w14:paraId="03913944">
      <w:pPr>
        <w:widowControl/>
        <w:autoSpaceDE w:val="0"/>
        <w:spacing w:line="360" w:lineRule="auto"/>
        <w:jc w:val="center"/>
        <w:rPr>
          <w:rFonts w:hint="eastAsia" w:ascii="仿宋" w:hAnsi="仿宋" w:eastAsia="仿宋" w:cs="仿宋"/>
          <w:b/>
          <w:bCs/>
          <w:sz w:val="28"/>
          <w:szCs w:val="28"/>
          <w:highlight w:val="none"/>
        </w:rPr>
      </w:pPr>
    </w:p>
    <w:p w14:paraId="05C6A81E">
      <w:pPr>
        <w:widowControl/>
        <w:autoSpaceDE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二、技术参数</w:t>
      </w:r>
    </w:p>
    <w:p w14:paraId="7968A17D">
      <w:pPr>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（所有产品下标注“★”的技术参数视为1项A类技术指标，共计</w:t>
      </w: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项A类技术指标；</w:t>
      </w:r>
      <w:r>
        <w:rPr>
          <w:rFonts w:hint="eastAsia" w:ascii="仿宋" w:hAnsi="仿宋" w:eastAsia="仿宋" w:cs="仿宋"/>
          <w:b/>
          <w:bCs/>
          <w:sz w:val="24"/>
          <w:szCs w:val="24"/>
          <w:highlight w:val="none"/>
          <w:lang w:val="en-US" w:eastAsia="zh-CN"/>
        </w:rPr>
        <w:t>每一项</w:t>
      </w:r>
      <w:r>
        <w:rPr>
          <w:rFonts w:hint="eastAsia" w:ascii="仿宋" w:hAnsi="仿宋" w:eastAsia="仿宋" w:cs="仿宋"/>
          <w:b/>
          <w:bCs/>
          <w:sz w:val="24"/>
          <w:szCs w:val="24"/>
          <w:highlight w:val="none"/>
        </w:rPr>
        <w:t>产品下未标注“★”的技术参数视为</w:t>
      </w:r>
      <w:r>
        <w:rPr>
          <w:rFonts w:hint="eastAsia" w:ascii="仿宋" w:hAnsi="仿宋" w:eastAsia="仿宋" w:cs="仿宋"/>
          <w:b/>
          <w:bCs/>
          <w:sz w:val="24"/>
          <w:szCs w:val="24"/>
          <w:highlight w:val="none"/>
          <w:lang w:val="en-US" w:eastAsia="zh-CN"/>
        </w:rPr>
        <w:t>1项</w:t>
      </w:r>
      <w:r>
        <w:rPr>
          <w:rFonts w:hint="eastAsia" w:ascii="仿宋" w:hAnsi="仿宋" w:eastAsia="仿宋" w:cs="仿宋"/>
          <w:b/>
          <w:bCs/>
          <w:sz w:val="24"/>
          <w:szCs w:val="24"/>
          <w:highlight w:val="none"/>
        </w:rPr>
        <w:t>B类技术指标，共计</w:t>
      </w:r>
      <w:r>
        <w:rPr>
          <w:rFonts w:hint="eastAsia" w:ascii="仿宋" w:hAnsi="仿宋" w:eastAsia="仿宋" w:cs="仿宋"/>
          <w:b/>
          <w:bCs/>
          <w:sz w:val="24"/>
          <w:szCs w:val="24"/>
          <w:highlight w:val="none"/>
          <w:lang w:val="en-US" w:eastAsia="zh-CN"/>
        </w:rPr>
        <w:t>17</w:t>
      </w:r>
      <w:r>
        <w:rPr>
          <w:rFonts w:hint="eastAsia" w:ascii="仿宋" w:hAnsi="仿宋" w:eastAsia="仿宋" w:cs="仿宋"/>
          <w:b/>
          <w:bCs/>
          <w:sz w:val="24"/>
          <w:szCs w:val="24"/>
          <w:highlight w:val="none"/>
        </w:rPr>
        <w:t>项B类技术指标）</w:t>
      </w:r>
    </w:p>
    <w:tbl>
      <w:tblPr>
        <w:tblStyle w:val="21"/>
        <w:tblW w:w="931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92"/>
        <w:gridCol w:w="6659"/>
      </w:tblGrid>
      <w:tr w14:paraId="581B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0A3E383D">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792" w:type="dxa"/>
            <w:vAlign w:val="center"/>
          </w:tcPr>
          <w:p w14:paraId="100044D8">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设备名称</w:t>
            </w:r>
          </w:p>
        </w:tc>
        <w:tc>
          <w:tcPr>
            <w:tcW w:w="6659" w:type="dxa"/>
            <w:vAlign w:val="center"/>
          </w:tcPr>
          <w:p w14:paraId="755DCD49">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tc>
      </w:tr>
      <w:tr w14:paraId="70C9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060A03D7">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Cs/>
                <w:sz w:val="24"/>
                <w:szCs w:val="24"/>
                <w:highlight w:val="none"/>
              </w:rPr>
              <w:t>1</w:t>
            </w:r>
          </w:p>
        </w:tc>
        <w:tc>
          <w:tcPr>
            <w:tcW w:w="1792" w:type="dxa"/>
            <w:vAlign w:val="center"/>
          </w:tcPr>
          <w:p w14:paraId="4941F6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sz w:val="24"/>
                <w:szCs w:val="24"/>
                <w:highlight w:val="none"/>
              </w:rPr>
            </w:pPr>
            <w:r>
              <w:rPr>
                <w:rFonts w:hint="eastAsia" w:ascii="仿宋" w:hAnsi="仿宋" w:eastAsia="仿宋" w:cs="仿宋"/>
                <w:i w:val="0"/>
                <w:iCs w:val="0"/>
                <w:color w:val="000000"/>
                <w:kern w:val="0"/>
                <w:sz w:val="24"/>
                <w:szCs w:val="24"/>
                <w:u w:val="none"/>
                <w:lang w:val="en-US" w:eastAsia="zh-CN" w:bidi="ar"/>
              </w:rPr>
              <w:t>电脑平缝机</w:t>
            </w:r>
          </w:p>
        </w:tc>
        <w:tc>
          <w:tcPr>
            <w:tcW w:w="6659" w:type="dxa"/>
            <w:vAlign w:val="center"/>
          </w:tcPr>
          <w:p w14:paraId="6B790E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1.机针：DBx1 11-18#；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2.针迹长度：≥5mm；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3.压脚高度：1-13mm；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4.最高转速≥5000 S.p.m；</w:t>
            </w:r>
          </w:p>
          <w:p w14:paraId="02A97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5.配置平台电机：配置100层纸片穿刺力；</w:t>
            </w:r>
          </w:p>
        </w:tc>
      </w:tr>
      <w:tr w14:paraId="130E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C5F7923">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92" w:type="dxa"/>
            <w:vAlign w:val="center"/>
          </w:tcPr>
          <w:p w14:paraId="35B712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i w:val="0"/>
                <w:iCs w:val="0"/>
                <w:color w:val="000000"/>
                <w:kern w:val="0"/>
                <w:sz w:val="24"/>
                <w:szCs w:val="24"/>
                <w:u w:val="none"/>
                <w:lang w:val="en-US" w:eastAsia="zh-CN" w:bidi="ar"/>
              </w:rPr>
              <w:t>电脑包缝机</w:t>
            </w:r>
          </w:p>
        </w:tc>
        <w:tc>
          <w:tcPr>
            <w:tcW w:w="6659" w:type="dxa"/>
            <w:vAlign w:val="center"/>
          </w:tcPr>
          <w:p w14:paraId="4B4D89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1.最高转速：≥7000 S.p.m；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2.针数：2；线数：4；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3.针间距：2mm；针迹宽度：2×4mm；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4.针迹长度：0.8-4.6mm；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5.差动比：0.7-2；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6.压脚高度：10mm；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7.具有自动剪线.自动抬压脚；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8.适用于一般薄料、中厚、厚料。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9.具备三档无缝切换:薄中厚三档快速调节功能；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10.头部无油，头部全新回油结构，实现0油污；</w:t>
            </w:r>
          </w:p>
        </w:tc>
      </w:tr>
      <w:tr w14:paraId="61E1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1E8ACF8F">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92" w:type="dxa"/>
            <w:vAlign w:val="center"/>
          </w:tcPr>
          <w:p w14:paraId="7F11AB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小方头绷缝机</w:t>
            </w:r>
          </w:p>
          <w:p w14:paraId="4E495D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rPr>
            </w:pPr>
            <w:r>
              <w:rPr>
                <w:rFonts w:hint="eastAsia" w:ascii="仿宋" w:hAnsi="仿宋" w:eastAsia="仿宋" w:cs="仿宋"/>
                <w:i w:val="0"/>
                <w:iCs w:val="0"/>
                <w:color w:val="000000"/>
                <w:kern w:val="0"/>
                <w:sz w:val="24"/>
                <w:szCs w:val="24"/>
                <w:u w:val="none"/>
                <w:lang w:val="en-US" w:eastAsia="zh-CN" w:bidi="ar"/>
              </w:rPr>
              <w:t>（直驱）</w:t>
            </w:r>
          </w:p>
        </w:tc>
        <w:tc>
          <w:tcPr>
            <w:tcW w:w="6659" w:type="dxa"/>
            <w:vAlign w:val="center"/>
          </w:tcPr>
          <w:p w14:paraId="6F8EBB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1.针数：3；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2.线数：5；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3.针距宽度：5.6/6.4mm；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4.最高转速：≥6000S.p.m；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5.针距：1.5-4.5mm；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6.差动比：0.6-1.8；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7.压脚高度：≥7.5mm；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8.适用面料：对厚、薄、弹、滑等各种梗位能全速过梗不降速，智能挑线，精准控线。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9.可以实时感知面料厚度变化,换料线迹平整。</w:t>
            </w:r>
          </w:p>
        </w:tc>
      </w:tr>
      <w:tr w14:paraId="5DC0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592866FB">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92" w:type="dxa"/>
            <w:vAlign w:val="center"/>
          </w:tcPr>
          <w:p w14:paraId="7E0384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电脑套结机</w:t>
            </w:r>
          </w:p>
        </w:tc>
        <w:tc>
          <w:tcPr>
            <w:tcW w:w="6659" w:type="dxa"/>
            <w:vAlign w:val="center"/>
          </w:tcPr>
          <w:p w14:paraId="67FC09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1.最高转速：≥3200 S.p.m；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2.缝制范围：X向缝制范围：40mm,Y向缝制范围：30mm；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3.压脚高度：≥17mm；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4.马达功率：750W；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5.内置花样：≥12种；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6.内置花样，操作面板可直接选取，可直接修改；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7.具有自动剪线、自动抬压脚等功能；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8.吃厚能力强，能稳定缝制≥14层布；</w:t>
            </w:r>
          </w:p>
        </w:tc>
      </w:tr>
      <w:tr w14:paraId="4C95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09E4A805">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92" w:type="dxa"/>
            <w:vAlign w:val="center"/>
          </w:tcPr>
          <w:p w14:paraId="240E8B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一体化流水槽</w:t>
            </w:r>
          </w:p>
        </w:tc>
        <w:tc>
          <w:tcPr>
            <w:tcW w:w="6659" w:type="dxa"/>
            <w:vAlign w:val="center"/>
          </w:tcPr>
          <w:p w14:paraId="5D0F61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1.规格：L 13.2m*0.6m*0.75m/条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2.材质：板面25-30mm美耐板，具有耐高温、高压、磨损、防焰等特性，塑料封边条封边。脚架采用1.2mm冷弯型钢套 30*30*1.0国标双热镀锌管加 水平调节垫，抽屉轨道三节导轨厚度均符合实际厚度，符合国家相关标准及行业质量标准。</w:t>
            </w:r>
          </w:p>
        </w:tc>
      </w:tr>
      <w:tr w14:paraId="06E2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FD62ACD">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92" w:type="dxa"/>
            <w:vAlign w:val="center"/>
          </w:tcPr>
          <w:p w14:paraId="1634E1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裁剪台</w:t>
            </w:r>
          </w:p>
        </w:tc>
        <w:tc>
          <w:tcPr>
            <w:tcW w:w="6659" w:type="dxa"/>
            <w:vAlign w:val="center"/>
          </w:tcPr>
          <w:p w14:paraId="05B5FC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1.尺寸：1200*2000*800mm；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2.板材厚度为 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3.台面采用美耐板，表面贴有防火装饰面；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4.脚架采用U型钢组合件，喷塑处理，不锈钢封边。</w:t>
            </w:r>
          </w:p>
        </w:tc>
      </w:tr>
      <w:tr w14:paraId="114D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1BE657EE">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92" w:type="dxa"/>
            <w:vAlign w:val="center"/>
          </w:tcPr>
          <w:p w14:paraId="6EC7F8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母线槽</w:t>
            </w:r>
          </w:p>
        </w:tc>
        <w:tc>
          <w:tcPr>
            <w:tcW w:w="6659" w:type="dxa"/>
            <w:vAlign w:val="center"/>
          </w:tcPr>
          <w:p w14:paraId="6BCB417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五极照明母线槽均采用5-30A系列母线槽，母线槽符合 GB/T7251.6-2015《低压成套开关设备和控制设备第六部分：对母线干线系统（母线槽）的特殊要求》。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2.母线槽管体采用整体方形结构，优 质聚氧乙烯绝缘材料(（宽×高）：≥50mm×70mm.具有绝缘、阻燃、耐老化等性能,；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3.通电导轨间电气间隙≥5.6MM，爬电距离≥8MM,外壳防护等级 IP≥41. 母线槽管体的抗电流冲击性能指数 Icw≥ 8KA；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4.母线槽承载电流区间性能指数 InA=320A-10A.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母线槽内的导电铜带要求：</w:t>
            </w:r>
          </w:p>
          <w:p w14:paraId="3C58E5F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（1）采用含铜量&gt;99.9%的电解无氧铜，其导电率和抗氧化性（耐腐蚀性）要高； </w:t>
            </w:r>
          </w:p>
          <w:p w14:paraId="0891C1C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（2）铜带宽度≥9.8mm。</w:t>
            </w:r>
          </w:p>
        </w:tc>
      </w:tr>
      <w:tr w14:paraId="0E8B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643EB5E">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92" w:type="dxa"/>
            <w:vAlign w:val="center"/>
          </w:tcPr>
          <w:p w14:paraId="66A946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工位凳</w:t>
            </w:r>
          </w:p>
        </w:tc>
        <w:tc>
          <w:tcPr>
            <w:tcW w:w="6659" w:type="dxa"/>
            <w:vAlign w:val="center"/>
          </w:tcPr>
          <w:p w14:paraId="06F4E0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1.凳面尺寸：±（5mm)L1000mm×W280mm；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2.高度：±（5mm）460mm；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3.钢支架壁厚：≥1.2mm；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4.材质：免漆密度层板</w:t>
            </w:r>
          </w:p>
        </w:tc>
      </w:tr>
      <w:tr w14:paraId="45F5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6B3CDAA3">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92" w:type="dxa"/>
            <w:vAlign w:val="center"/>
          </w:tcPr>
          <w:p w14:paraId="189C9B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检验桌</w:t>
            </w:r>
          </w:p>
        </w:tc>
        <w:tc>
          <w:tcPr>
            <w:tcW w:w="6659" w:type="dxa"/>
            <w:vAlign w:val="center"/>
          </w:tcPr>
          <w:p w14:paraId="4AF5E5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1.规格：±(50mm)L2400mm*W1200mm*H800mm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2.材质：主框架≥30×30镀锌方管加水平调节垫，层板≥18mm美耐板，塑料封边，</w:t>
            </w:r>
          </w:p>
        </w:tc>
      </w:tr>
      <w:tr w14:paraId="5766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333D583F">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92" w:type="dxa"/>
            <w:vAlign w:val="center"/>
          </w:tcPr>
          <w:p w14:paraId="536F49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高栏车</w:t>
            </w:r>
          </w:p>
        </w:tc>
        <w:tc>
          <w:tcPr>
            <w:tcW w:w="6659" w:type="dxa"/>
            <w:vAlign w:val="center"/>
          </w:tcPr>
          <w:p w14:paraId="6F739E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1.规格：±(50mm)L1200*W800*H1500；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2.材质：主框架≥30×30加10×20镀锌方管，层板≥16mm防潮板，脚轮5寸双轴PU防绞线轮，四角塑料防撞胶垫，避免碰撞时造成的损伤。</w:t>
            </w:r>
          </w:p>
        </w:tc>
      </w:tr>
      <w:tr w14:paraId="4F48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1DCB5A02">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92" w:type="dxa"/>
            <w:vAlign w:val="center"/>
          </w:tcPr>
          <w:p w14:paraId="1D48AE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三层裁片车</w:t>
            </w:r>
          </w:p>
        </w:tc>
        <w:tc>
          <w:tcPr>
            <w:tcW w:w="6659" w:type="dxa"/>
            <w:vAlign w:val="center"/>
          </w:tcPr>
          <w:p w14:paraId="084B2D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1.规格：1200mm*600mm*1500mm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2.材质：主框架30*30*1.2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套10*20*0.8mm国标双热镀锌管，厚度均符合实际厚度，符合国家相关标准及行业质量标准，层板16mm防潮板，脚轮5 寸双轴PU防绞线轮，脚轮材料 PU塑芯聚氨酯，四角塑料防撞 胶垫，避免碰撞时造成的损伤。 </w:t>
            </w:r>
          </w:p>
        </w:tc>
      </w:tr>
      <w:tr w14:paraId="4118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13D620E4">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92" w:type="dxa"/>
            <w:vAlign w:val="center"/>
          </w:tcPr>
          <w:p w14:paraId="18B88F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物料框</w:t>
            </w:r>
          </w:p>
        </w:tc>
        <w:tc>
          <w:tcPr>
            <w:tcW w:w="6659" w:type="dxa"/>
            <w:vAlign w:val="center"/>
          </w:tcPr>
          <w:p w14:paraId="7B78A9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1.规格：1035*740*530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2.蓝色、环保；</w:t>
            </w:r>
          </w:p>
        </w:tc>
      </w:tr>
      <w:tr w14:paraId="11F6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1EE5B017">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92" w:type="dxa"/>
            <w:vAlign w:val="center"/>
          </w:tcPr>
          <w:p w14:paraId="6CA128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吊瓶蒸汽熨斗</w:t>
            </w:r>
          </w:p>
        </w:tc>
        <w:tc>
          <w:tcPr>
            <w:tcW w:w="6659" w:type="dxa"/>
            <w:vAlign w:val="center"/>
          </w:tcPr>
          <w:p w14:paraId="7DAC5D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1.电压：220v/50HZ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2.功率：1350W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3.搭配熨斗靴</w:t>
            </w:r>
          </w:p>
        </w:tc>
      </w:tr>
      <w:tr w14:paraId="3E01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40A220BC">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92" w:type="dxa"/>
            <w:vAlign w:val="center"/>
          </w:tcPr>
          <w:p w14:paraId="26CE98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单臂烫台</w:t>
            </w:r>
          </w:p>
        </w:tc>
        <w:tc>
          <w:tcPr>
            <w:tcW w:w="6659" w:type="dxa"/>
            <w:vAlign w:val="center"/>
          </w:tcPr>
          <w:p w14:paraId="5EB776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1.电机转速：2800r/min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2.电机功率：800W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3.台面尺寸：1500x800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4.性能要求：脚踏点动式控制吸风</w:t>
            </w:r>
          </w:p>
        </w:tc>
      </w:tr>
      <w:tr w14:paraId="3B73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2222E179">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92" w:type="dxa"/>
            <w:vAlign w:val="center"/>
          </w:tcPr>
          <w:p w14:paraId="2F30A4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人体裁剪模特</w:t>
            </w:r>
          </w:p>
        </w:tc>
        <w:tc>
          <w:tcPr>
            <w:tcW w:w="6659" w:type="dxa"/>
            <w:vAlign w:val="center"/>
          </w:tcPr>
          <w:p w14:paraId="7828FE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1.颜色：米白/黑色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2.底座类型：万向轮/铁三角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3.材质：外包布（棉布）内胆（PU硬发泡材质/可直插针）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4.产品用途：该产品用于立体裁剪，教学及服装设计打版</w:t>
            </w:r>
          </w:p>
        </w:tc>
      </w:tr>
      <w:tr w14:paraId="5112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643123D6">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792" w:type="dxa"/>
            <w:vAlign w:val="center"/>
          </w:tcPr>
          <w:p w14:paraId="4C38A4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塑料托盘</w:t>
            </w:r>
          </w:p>
        </w:tc>
        <w:tc>
          <w:tcPr>
            <w:tcW w:w="6659" w:type="dxa"/>
            <w:vAlign w:val="center"/>
          </w:tcPr>
          <w:p w14:paraId="33FB7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1.规格：1200*1000*140mm；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2.承重：≥500kg；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2.蓝色、环保；</w:t>
            </w:r>
          </w:p>
        </w:tc>
      </w:tr>
      <w:tr w14:paraId="0467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Align w:val="center"/>
          </w:tcPr>
          <w:p w14:paraId="2B45E224">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w:t>
            </w:r>
          </w:p>
        </w:tc>
        <w:tc>
          <w:tcPr>
            <w:tcW w:w="1792" w:type="dxa"/>
            <w:vAlign w:val="center"/>
          </w:tcPr>
          <w:p w14:paraId="330143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i w:val="0"/>
                <w:iCs w:val="0"/>
                <w:color w:val="000000"/>
                <w:kern w:val="0"/>
                <w:sz w:val="24"/>
                <w:szCs w:val="24"/>
                <w:u w:val="none"/>
                <w:lang w:val="en-US" w:eastAsia="zh-CN" w:bidi="ar"/>
              </w:rPr>
              <w:t>交互实训平台</w:t>
            </w:r>
          </w:p>
        </w:tc>
        <w:tc>
          <w:tcPr>
            <w:tcW w:w="6659" w:type="dxa"/>
            <w:vAlign w:val="center"/>
          </w:tcPr>
          <w:p w14:paraId="714CCE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一、平台硬件要求：</w:t>
            </w:r>
          </w:p>
          <w:p w14:paraId="205DF7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1.屏幕显示尺寸≥86英寸，显示比例16:9，屏幕图像分辨率≥3840*2160，表面硬度≥9H，透光率≥90%，屏幕支持防眩光功能。</w:t>
            </w:r>
          </w:p>
          <w:p w14:paraId="435C27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2.采用全金属外壳，铝合金边框，金属材质背板；屏幕边缘采用圆角包边防护，表面无尖锐边缘设计，液晶显示层与钢化玻璃层需采用全贴合设计。</w:t>
            </w:r>
          </w:p>
          <w:p w14:paraId="4E7CB8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3.★需支持通过口语表达快速返回桌面、亮度调整、声音大小调整、管家等。</w:t>
            </w:r>
          </w:p>
          <w:p w14:paraId="1525B5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4.整机需内置2.2声道扬声器，位于设备下边框出音，20W全频扬声器2个，15W高音扬声器2个，额定总功率≥70W，最大峰值功率≥80W，语言清晰度（STI-PA）≥0.8。</w:t>
            </w:r>
          </w:p>
          <w:p w14:paraId="2DC97E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5.整机需具备智能书写护眼模式，符合D65标准光源色温值，降低色温≤6500K。</w:t>
            </w:r>
          </w:p>
          <w:p w14:paraId="3E7086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6.★内置非独立外扩展麦克风阵列，整机拾音距离≥15m，拾音角度≥180°。</w:t>
            </w:r>
          </w:p>
          <w:p w14:paraId="69E06D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7.★智能降噪麦克风阵列，需支持远场拾音，噪声抑制，混响抑制，语音增强，声源定位算法技术。</w:t>
            </w:r>
          </w:p>
          <w:p w14:paraId="1DFDF5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8.★整机需内置至少三个摄像头，像素值均大于1200万。可输出画面像素≥4800w，水平视场角≥123°，支持输出4:3、16:9比例的图片和视频。摄像头模组需支持输出画面≥4k 30fps，格式为MJPG、H.264、H.265的视频。</w:t>
            </w:r>
          </w:p>
          <w:p w14:paraId="5F0DCC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9.处理器要求：≥12核、≥20线程、基本频率≥2.1GHz、最高睿频≥4.7GHz；</w:t>
            </w:r>
          </w:p>
          <w:p w14:paraId="682669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智能笔：笔身需配置不少于5个按键，支持不少于9个功能，包括上翻页、下翻页、智能语音、一键扩音、书写颜色切换、飞鼠功能、放大镜、板擦、聚光灯；有效链接距离不少于20m，在有效链接距离内均可正常使用智能功能；待机时长不少于120小时，连续书写时长不小于8小时，连续扩音时长不小于8小时。</w:t>
            </w:r>
          </w:p>
          <w:p w14:paraId="73AC19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注：需提供第三方检测机构出具的具有“CMA” 或“CNAS”标识的检测报告扫描件并加盖投标人公章。</w:t>
            </w:r>
          </w:p>
          <w:p w14:paraId="4DE670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二、平台系统要求：</w:t>
            </w:r>
          </w:p>
          <w:p w14:paraId="1F9D66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1.★系统符合国家国产正版化建设要求（非个人版）</w:t>
            </w:r>
          </w:p>
          <w:p w14:paraId="39FF89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2.★系统必须满足以非虚拟化方式直接运行系统（提供材料证明）。</w:t>
            </w:r>
          </w:p>
          <w:p w14:paraId="0F92EE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3.交货时提供原厂出具的正版软件授权书。</w:t>
            </w:r>
          </w:p>
          <w:p w14:paraId="76195E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三、平台软件要求：</w:t>
            </w:r>
          </w:p>
          <w:p w14:paraId="57D2B3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1.★搭配智能笔在教学系统需支持语音指令能力，支持在系统运行条件下，如课件、录课、互动等多种意图的语音指令；</w:t>
            </w:r>
          </w:p>
          <w:p w14:paraId="4EFCF4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2.需支持通过语音调用网络搜索引擎搜索查询相应资料。</w:t>
            </w:r>
          </w:p>
          <w:p w14:paraId="1257B7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3.★需支持通过语音方式搜索资源库至少包含视频、音频、图片、动画、文本等类型的资源。</w:t>
            </w:r>
          </w:p>
          <w:p w14:paraId="3755A2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4.★需支持通过语音交互的方式提问教学问题，回答结果实时展示并支持追问。</w:t>
            </w:r>
          </w:p>
          <w:p w14:paraId="713416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5.★操控：需支持通过操控智能笔按照规定轨迹在空中移动，系统识别不同的移动轨迹可实现截屏、发起全班作答、关闭应用等功能。</w:t>
            </w:r>
          </w:p>
          <w:p w14:paraId="2073FD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6.软件需支持PDF等文档之间格式互转（提供材料证明）。</w:t>
            </w:r>
          </w:p>
          <w:p w14:paraId="5289C5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kern w:val="0"/>
                <w:sz w:val="24"/>
                <w:szCs w:val="24"/>
                <w:u w:val="none"/>
                <w:lang w:val="en-US" w:eastAsia="zh-CN" w:bidi="ar"/>
              </w:rPr>
              <w:t>7.★软件支持数字化应用能力，能实现学校行政、财务、教务、教学数字化应用搭建能力，并且能实现教体局和学校之间在同一组织架构下一体化管理能力，支持通过工具自动生成PPT等格式文件。（提供截图证明）</w:t>
            </w:r>
          </w:p>
        </w:tc>
      </w:tr>
    </w:tbl>
    <w:p w14:paraId="3BE1D432">
      <w:pPr>
        <w:rPr>
          <w:rFonts w:hint="eastAsia" w:ascii="仿宋" w:hAnsi="仿宋" w:eastAsia="仿宋" w:cs="仿宋"/>
          <w:b/>
          <w:caps/>
          <w:color w:val="auto"/>
          <w:sz w:val="36"/>
          <w:szCs w:val="36"/>
          <w:highlight w:val="none"/>
        </w:rPr>
      </w:pPr>
      <w:r>
        <w:rPr>
          <w:rFonts w:hint="eastAsia" w:ascii="仿宋" w:hAnsi="仿宋" w:eastAsia="仿宋" w:cs="仿宋"/>
          <w:b/>
          <w:caps/>
          <w:color w:val="auto"/>
          <w:sz w:val="36"/>
          <w:szCs w:val="36"/>
          <w:highlight w:val="none"/>
        </w:rPr>
        <w:br w:type="page"/>
      </w:r>
    </w:p>
    <w:p w14:paraId="543CF671">
      <w:pPr>
        <w:spacing w:line="360" w:lineRule="auto"/>
        <w:jc w:val="center"/>
        <w:outlineLvl w:val="0"/>
        <w:rPr>
          <w:rFonts w:ascii="仿宋" w:hAnsi="仿宋" w:eastAsia="仿宋" w:cs="仿宋"/>
          <w:bCs/>
          <w:caps/>
          <w:color w:val="auto"/>
          <w:sz w:val="36"/>
          <w:szCs w:val="36"/>
          <w:highlight w:val="none"/>
        </w:rPr>
      </w:pPr>
      <w:r>
        <w:rPr>
          <w:rFonts w:hint="eastAsia" w:ascii="仿宋" w:hAnsi="仿宋" w:eastAsia="仿宋" w:cs="仿宋"/>
          <w:b/>
          <w:caps/>
          <w:color w:val="auto"/>
          <w:sz w:val="36"/>
          <w:szCs w:val="36"/>
          <w:highlight w:val="none"/>
        </w:rPr>
        <w:t>第四章  评标办法（综合评分法）</w:t>
      </w:r>
      <w:bookmarkEnd w:id="52"/>
    </w:p>
    <w:p w14:paraId="17B8BDFD">
      <w:pPr>
        <w:pStyle w:val="3"/>
        <w:keepLines w:val="0"/>
        <w:autoSpaceDE w:val="0"/>
        <w:spacing w:before="0" w:after="0"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评标方法前附表</w:t>
      </w:r>
    </w:p>
    <w:tbl>
      <w:tblPr>
        <w:tblStyle w:val="21"/>
        <w:tblW w:w="9245"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69"/>
        <w:gridCol w:w="2031"/>
        <w:gridCol w:w="5090"/>
      </w:tblGrid>
      <w:tr w14:paraId="28B5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gridSpan w:val="2"/>
            <w:vAlign w:val="center"/>
          </w:tcPr>
          <w:p w14:paraId="6111C0FB">
            <w:pPr>
              <w:spacing w:line="360" w:lineRule="auto"/>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条款号</w:t>
            </w:r>
          </w:p>
        </w:tc>
        <w:tc>
          <w:tcPr>
            <w:tcW w:w="2031" w:type="dxa"/>
            <w:vAlign w:val="center"/>
          </w:tcPr>
          <w:p w14:paraId="5C20F832">
            <w:pPr>
              <w:spacing w:line="360" w:lineRule="auto"/>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评审内容</w:t>
            </w:r>
          </w:p>
        </w:tc>
        <w:tc>
          <w:tcPr>
            <w:tcW w:w="5090" w:type="dxa"/>
            <w:vAlign w:val="center"/>
          </w:tcPr>
          <w:p w14:paraId="116E4F43">
            <w:pPr>
              <w:spacing w:line="360" w:lineRule="auto"/>
              <w:jc w:val="center"/>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评审标准</w:t>
            </w:r>
          </w:p>
        </w:tc>
      </w:tr>
      <w:tr w14:paraId="03B6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31888894">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1269" w:type="dxa"/>
            <w:vAlign w:val="center"/>
          </w:tcPr>
          <w:p w14:paraId="6B66B3B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资格审查标准</w:t>
            </w:r>
          </w:p>
        </w:tc>
        <w:tc>
          <w:tcPr>
            <w:tcW w:w="2031" w:type="dxa"/>
            <w:vAlign w:val="center"/>
          </w:tcPr>
          <w:p w14:paraId="3A8DD73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资格条件</w:t>
            </w:r>
          </w:p>
        </w:tc>
        <w:tc>
          <w:tcPr>
            <w:tcW w:w="5090" w:type="dxa"/>
            <w:vAlign w:val="center"/>
          </w:tcPr>
          <w:p w14:paraId="55D5E149">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符合第二章《投标人须知》第1.4项规定</w:t>
            </w:r>
          </w:p>
        </w:tc>
      </w:tr>
      <w:tr w14:paraId="6201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vAlign w:val="center"/>
          </w:tcPr>
          <w:p w14:paraId="6161574A">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1269" w:type="dxa"/>
            <w:vMerge w:val="restart"/>
            <w:vAlign w:val="center"/>
          </w:tcPr>
          <w:p w14:paraId="656C18C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w:t>
            </w:r>
          </w:p>
          <w:p w14:paraId="40CE66AC">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审查</w:t>
            </w:r>
          </w:p>
        </w:tc>
        <w:tc>
          <w:tcPr>
            <w:tcW w:w="2031" w:type="dxa"/>
            <w:vAlign w:val="center"/>
          </w:tcPr>
          <w:p w14:paraId="7683187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投标报价表</w:t>
            </w:r>
          </w:p>
        </w:tc>
        <w:tc>
          <w:tcPr>
            <w:tcW w:w="5090" w:type="dxa"/>
            <w:vAlign w:val="center"/>
          </w:tcPr>
          <w:p w14:paraId="1FDA9D17">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符合第六章《投标文件格式》中规定的格式及内容，提供投标报价一览表及分项报价。</w:t>
            </w:r>
          </w:p>
        </w:tc>
      </w:tr>
      <w:tr w14:paraId="663F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68F430B5">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25A88E64">
            <w:pPr>
              <w:spacing w:line="360" w:lineRule="auto"/>
              <w:jc w:val="center"/>
              <w:rPr>
                <w:rFonts w:ascii="仿宋" w:hAnsi="仿宋" w:eastAsia="仿宋" w:cs="仿宋"/>
                <w:color w:val="auto"/>
                <w:sz w:val="24"/>
                <w:szCs w:val="24"/>
                <w:highlight w:val="none"/>
              </w:rPr>
            </w:pPr>
          </w:p>
        </w:tc>
        <w:tc>
          <w:tcPr>
            <w:tcW w:w="2031" w:type="dxa"/>
            <w:vAlign w:val="center"/>
          </w:tcPr>
          <w:p w14:paraId="45FDD18E">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5090" w:type="dxa"/>
            <w:vAlign w:val="center"/>
          </w:tcPr>
          <w:p w14:paraId="7D3480BF">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未超过采购预算价，未出现缺项、漏项，对所投内</w:t>
            </w:r>
            <w:r>
              <w:rPr>
                <w:rFonts w:hint="eastAsia" w:ascii="仿宋" w:hAnsi="仿宋" w:eastAsia="仿宋" w:cs="仿宋"/>
                <w:color w:val="auto"/>
                <w:sz w:val="24"/>
                <w:szCs w:val="24"/>
                <w:highlight w:val="none"/>
                <w:lang w:val="en-US" w:eastAsia="zh-CN"/>
              </w:rPr>
              <w:t>容</w:t>
            </w:r>
            <w:r>
              <w:rPr>
                <w:rFonts w:hint="eastAsia" w:ascii="仿宋" w:hAnsi="仿宋" w:eastAsia="仿宋" w:cs="仿宋"/>
                <w:color w:val="auto"/>
                <w:sz w:val="24"/>
                <w:szCs w:val="24"/>
                <w:highlight w:val="none"/>
              </w:rPr>
              <w:t>所有内容作出完整唯一的投标报价。</w:t>
            </w:r>
          </w:p>
        </w:tc>
      </w:tr>
      <w:tr w14:paraId="3FD0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59F9B073">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08021F0D">
            <w:pPr>
              <w:spacing w:line="360" w:lineRule="auto"/>
              <w:jc w:val="center"/>
              <w:rPr>
                <w:rFonts w:ascii="仿宋" w:hAnsi="仿宋" w:eastAsia="仿宋" w:cs="仿宋"/>
                <w:color w:val="auto"/>
                <w:sz w:val="24"/>
                <w:szCs w:val="24"/>
                <w:highlight w:val="none"/>
              </w:rPr>
            </w:pPr>
          </w:p>
        </w:tc>
        <w:tc>
          <w:tcPr>
            <w:tcW w:w="2031" w:type="dxa"/>
            <w:vAlign w:val="center"/>
          </w:tcPr>
          <w:p w14:paraId="698F478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投标函</w:t>
            </w:r>
          </w:p>
        </w:tc>
        <w:tc>
          <w:tcPr>
            <w:tcW w:w="5090" w:type="dxa"/>
            <w:vAlign w:val="center"/>
          </w:tcPr>
          <w:p w14:paraId="0FE0701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符合第六章《投标文件格式》中规定的格式及内容，</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法定代表人或委托代理人签字或盖章和加盖公章。</w:t>
            </w:r>
          </w:p>
        </w:tc>
      </w:tr>
      <w:tr w14:paraId="53F8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3CCFF280">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1526A049">
            <w:pPr>
              <w:spacing w:line="360" w:lineRule="auto"/>
              <w:jc w:val="center"/>
              <w:rPr>
                <w:rFonts w:ascii="仿宋" w:hAnsi="仿宋" w:eastAsia="仿宋" w:cs="仿宋"/>
                <w:color w:val="auto"/>
                <w:sz w:val="24"/>
                <w:szCs w:val="24"/>
                <w:highlight w:val="none"/>
              </w:rPr>
            </w:pPr>
          </w:p>
        </w:tc>
        <w:tc>
          <w:tcPr>
            <w:tcW w:w="2031" w:type="dxa"/>
            <w:vAlign w:val="center"/>
          </w:tcPr>
          <w:p w14:paraId="6A8F1A86">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投标有效期</w:t>
            </w:r>
          </w:p>
        </w:tc>
        <w:tc>
          <w:tcPr>
            <w:tcW w:w="5090" w:type="dxa"/>
            <w:vAlign w:val="center"/>
          </w:tcPr>
          <w:p w14:paraId="5F37C84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投标文件有效期须满足招标文件要求</w:t>
            </w:r>
          </w:p>
        </w:tc>
      </w:tr>
      <w:tr w14:paraId="695C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vAlign w:val="center"/>
          </w:tcPr>
          <w:p w14:paraId="570ECE53">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5002B8F8">
            <w:pPr>
              <w:spacing w:line="360" w:lineRule="auto"/>
              <w:jc w:val="center"/>
              <w:rPr>
                <w:rFonts w:ascii="仿宋" w:hAnsi="仿宋" w:eastAsia="仿宋" w:cs="仿宋"/>
                <w:color w:val="auto"/>
                <w:sz w:val="24"/>
                <w:szCs w:val="24"/>
                <w:highlight w:val="none"/>
              </w:rPr>
            </w:pPr>
          </w:p>
        </w:tc>
        <w:tc>
          <w:tcPr>
            <w:tcW w:w="2031" w:type="dxa"/>
            <w:vAlign w:val="center"/>
          </w:tcPr>
          <w:p w14:paraId="16B9393D">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5090" w:type="dxa"/>
            <w:vAlign w:val="center"/>
          </w:tcPr>
          <w:p w14:paraId="6B7D43C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符合第二章《投标人须知》第3.4项规定</w:t>
            </w:r>
          </w:p>
        </w:tc>
      </w:tr>
      <w:tr w14:paraId="7C17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08759F46">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10EF01E4">
            <w:pPr>
              <w:spacing w:line="360" w:lineRule="auto"/>
              <w:rPr>
                <w:rFonts w:ascii="仿宋" w:hAnsi="仿宋" w:eastAsia="仿宋" w:cs="仿宋"/>
                <w:color w:val="auto"/>
                <w:sz w:val="24"/>
                <w:szCs w:val="24"/>
                <w:highlight w:val="none"/>
              </w:rPr>
            </w:pPr>
          </w:p>
        </w:tc>
        <w:tc>
          <w:tcPr>
            <w:tcW w:w="2031" w:type="dxa"/>
            <w:vAlign w:val="center"/>
          </w:tcPr>
          <w:p w14:paraId="2210C3EB">
            <w:pPr>
              <w:pStyle w:val="8"/>
              <w:spacing w:before="0" w:beforeAutospacing="0" w:after="0" w:line="500" w:lineRule="exact"/>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投标文件签署、</w:t>
            </w:r>
          </w:p>
          <w:p w14:paraId="0514FCC3">
            <w:pPr>
              <w:pStyle w:val="8"/>
              <w:spacing w:before="0" w:beforeAutospacing="0" w:after="0" w:line="500" w:lineRule="exact"/>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tc>
        <w:tc>
          <w:tcPr>
            <w:tcW w:w="5090" w:type="dxa"/>
          </w:tcPr>
          <w:p w14:paraId="126DCF76">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按第六章“投标文件格式”要求在规定位置盖电子签章、签字。</w:t>
            </w:r>
          </w:p>
        </w:tc>
      </w:tr>
      <w:tr w14:paraId="06E3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6494F6D7">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1937C5FC">
            <w:pPr>
              <w:spacing w:line="360" w:lineRule="auto"/>
              <w:rPr>
                <w:rFonts w:ascii="仿宋" w:hAnsi="仿宋" w:eastAsia="仿宋" w:cs="仿宋"/>
                <w:color w:val="auto"/>
                <w:sz w:val="24"/>
                <w:szCs w:val="24"/>
                <w:highlight w:val="none"/>
              </w:rPr>
            </w:pPr>
          </w:p>
        </w:tc>
        <w:tc>
          <w:tcPr>
            <w:tcW w:w="2031" w:type="dxa"/>
            <w:vAlign w:val="center"/>
          </w:tcPr>
          <w:p w14:paraId="7FE8939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其他实质性要求</w:t>
            </w:r>
          </w:p>
        </w:tc>
        <w:tc>
          <w:tcPr>
            <w:tcW w:w="5090" w:type="dxa"/>
            <w:vAlign w:val="center"/>
          </w:tcPr>
          <w:p w14:paraId="2317887A">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投标文件未出现不满足招标文件中</w:t>
            </w:r>
            <w:r>
              <w:rPr>
                <w:rFonts w:hint="eastAsia" w:ascii="仿宋" w:hAnsi="仿宋" w:eastAsia="仿宋" w:cs="仿宋"/>
                <w:color w:val="auto"/>
                <w:sz w:val="24"/>
                <w:szCs w:val="24"/>
                <w:highlight w:val="none"/>
                <w:lang w:val="en-US" w:eastAsia="zh-CN"/>
              </w:rPr>
              <w:t>商务需求</w:t>
            </w:r>
            <w:r>
              <w:rPr>
                <w:rFonts w:hint="eastAsia" w:ascii="仿宋" w:hAnsi="仿宋" w:eastAsia="仿宋" w:cs="仿宋"/>
                <w:color w:val="auto"/>
                <w:sz w:val="24"/>
                <w:szCs w:val="24"/>
                <w:highlight w:val="none"/>
              </w:rPr>
              <w:t>条款内容</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未出现招标文件规定的其他投标无效情形</w:t>
            </w:r>
            <w:r>
              <w:rPr>
                <w:rFonts w:hint="eastAsia" w:ascii="仿宋" w:hAnsi="仿宋" w:eastAsia="仿宋" w:cs="仿宋"/>
                <w:color w:val="auto"/>
                <w:sz w:val="24"/>
                <w:szCs w:val="24"/>
                <w:highlight w:val="none"/>
                <w:lang w:eastAsia="zh-CN"/>
              </w:rPr>
              <w:t>。</w:t>
            </w:r>
          </w:p>
          <w:p w14:paraId="1FF257ED">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和招标文件明确规定的其他无效情形</w:t>
            </w:r>
            <w:r>
              <w:rPr>
                <w:rFonts w:hint="eastAsia" w:ascii="仿宋" w:hAnsi="仿宋" w:eastAsia="仿宋" w:cs="仿宋"/>
                <w:color w:val="auto"/>
                <w:sz w:val="24"/>
                <w:szCs w:val="24"/>
                <w:highlight w:val="none"/>
                <w:lang w:eastAsia="zh-CN"/>
              </w:rPr>
              <w:t>。</w:t>
            </w:r>
          </w:p>
          <w:p w14:paraId="413173D4">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投标文件未含有采购人不能接受的附加条件的</w:t>
            </w:r>
            <w:r>
              <w:rPr>
                <w:rFonts w:hint="eastAsia" w:ascii="仿宋" w:hAnsi="仿宋" w:eastAsia="仿宋" w:cs="仿宋"/>
                <w:color w:val="auto"/>
                <w:sz w:val="24"/>
                <w:szCs w:val="24"/>
                <w:highlight w:val="none"/>
                <w:lang w:eastAsia="zh-CN"/>
              </w:rPr>
              <w:t>。</w:t>
            </w:r>
          </w:p>
        </w:tc>
      </w:tr>
      <w:tr w14:paraId="1C80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vAlign w:val="center"/>
          </w:tcPr>
          <w:p w14:paraId="65160FE7">
            <w:pPr>
              <w:spacing w:line="360" w:lineRule="auto"/>
              <w:jc w:val="center"/>
              <w:rPr>
                <w:rFonts w:ascii="仿宋" w:hAnsi="仿宋" w:eastAsia="仿宋" w:cs="仿宋"/>
                <w:color w:val="auto"/>
                <w:sz w:val="24"/>
                <w:szCs w:val="24"/>
                <w:highlight w:val="none"/>
              </w:rPr>
            </w:pPr>
          </w:p>
        </w:tc>
        <w:tc>
          <w:tcPr>
            <w:tcW w:w="1269" w:type="dxa"/>
            <w:vMerge w:val="continue"/>
            <w:vAlign w:val="center"/>
          </w:tcPr>
          <w:p w14:paraId="38CDCEB3">
            <w:pPr>
              <w:spacing w:line="360" w:lineRule="auto"/>
              <w:rPr>
                <w:rFonts w:ascii="仿宋" w:hAnsi="仿宋" w:eastAsia="仿宋" w:cs="仿宋"/>
                <w:color w:val="auto"/>
                <w:sz w:val="24"/>
                <w:szCs w:val="24"/>
                <w:highlight w:val="none"/>
              </w:rPr>
            </w:pPr>
          </w:p>
        </w:tc>
        <w:tc>
          <w:tcPr>
            <w:tcW w:w="2031" w:type="dxa"/>
            <w:vAlign w:val="center"/>
          </w:tcPr>
          <w:p w14:paraId="21817EC8">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低于成本价</w:t>
            </w:r>
            <w:r>
              <w:rPr>
                <w:rFonts w:ascii="仿宋" w:hAnsi="仿宋" w:eastAsia="仿宋" w:cs="仿宋"/>
                <w:color w:val="auto"/>
                <w:sz w:val="24"/>
                <w:highlight w:val="none"/>
              </w:rPr>
              <mc:AlternateContent>
                <mc:Choice Requires="wps">
                  <w:drawing>
                    <wp:anchor distT="0" distB="0" distL="114300" distR="114300" simplePos="0" relativeHeight="251659264" behindDoc="0" locked="0" layoutInCell="1" hidden="1" allowOverlap="1">
                      <wp:simplePos x="0" y="0"/>
                      <wp:positionH relativeFrom="column">
                        <wp:posOffset>-2861945</wp:posOffset>
                      </wp:positionH>
                      <wp:positionV relativeFrom="paragraph">
                        <wp:posOffset>-793750</wp:posOffset>
                      </wp:positionV>
                      <wp:extent cx="63500" cy="63500"/>
                      <wp:effectExtent l="0" t="0" r="0" b="0"/>
                      <wp:wrapNone/>
                      <wp:docPr id="7" name="KGD_Gobal1" descr="lskY7P30+39SSS2ze3CC/PSfhH6E3aV6o5+pKtOAU+aI/oeO5ksRIHBd4zBIbJSF3MBhIjpi9+qfMpwGXLW8NfaZaOdLQM+QlaQORP3qwhR3bDfRa0lkSkbM1ah5ML/TL9PISAhS9U3xNyg78kZw1seB8AqIX1gnw/Z3Uvm+IkSa+i30/9OPtNYlXWt5mXQPJ73KIRv4osznzh+rUJwpTx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7zmNJIWX6MXq/3R4McddSZfr/AUZmAMmSEISHChsQvSLNq0WLbhIwN9EiUGobsfxAJSskeKQ5Sf6yC8W8jsthOW48Uoucyqtt4pwfj+ktLu0mK1DS9UuLN5OdZL2bJG9m1ENguWYV8V5NEZ8PjYmd8dwerNzwi12rcazg0szJM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SfhH6E3aV6o5+pKtOAU+aI/oeO5ksRIHBd4zBIbJSF3MBhIjpi9+qfMpwGXLW8NfaZaOdLQM+QlaQORP3qwhR3bDfRa0lkSkbM1ah5ML/TL9PISAhS9U3xNyg78kZw1seB8AqIX1gnw/Z3Uvm+IkSa+i30/9OPtNYlXWt5mXQPJ73KIRv4osznzh+rUJwpTx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OKSnx3FVjI3G0EY4iFUqIuHPmD2cdjp99vtnhlYilKmcE/Dd9qXj/71J5rgxFiiauvj/DlGXZgjusYK7n2F0WLQPmYZ9vAW+LaqoxBBOfoiKm/9Qx3yzU8l64AKz7wr7n/hrFEFUZoYuhQsFQc6bokT0iMAbBr9GQu8k4iwKLMT7zmNJIWX6MXq/3R4McddSZfr/AUZmAMmSEISHChsQvSLNq0WLbhIwN9EiUGobsfxAJSskeKQ5Sf6yC8W8jsthOW48Uoucyqtt4pwfj+ktLu0mK1DS9UuLN5OdZL2bJG9m1ENguWYV8V5NEZ8PjYmd8dwerNzwi12rcazg0szJMxf09nquh0T2tVyYGlkk4DT/LmaFXRpj7ogoHZbraYGcaTa33/0SOD9xTnAll9gvHw==" style="position:absolute;left:0pt;margin-left:-225.35pt;margin-top:-62.5pt;height:5pt;width:5pt;visibility:hidden;z-index:251659264;v-text-anchor:middle;mso-width-relative:page;mso-height-relative:page;" fillcolor="#4F81BD" filled="t" stroked="t" coordsize="21600,21600" o:gfxdata="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CDCxlY2gAA&#10;AA8BAAAPAAAAAAAAAAEAIAAAACIAAABkcnMvZG93bnJldi54bWxQSwECFAAUAAAACACHTuJAt6Us&#10;16wFAAD3CAAADgAAAAAAAAABACAAAAApAQAAZHJzL2Uyb0RvYy54bWxQSwUGAAAAAAYABgBZAQAA&#10;RwkAAAAA&#10;">
                      <v:fill on="t" focussize="0,0"/>
                      <v:stroke weight="2pt" color="#264264" joinstyle="round"/>
                      <v:imagedata o:title=""/>
                      <o:lock v:ext="edit" aspectratio="f"/>
                    </v:rect>
                  </w:pict>
                </mc:Fallback>
              </mc:AlternateContent>
            </w:r>
            <w:r>
              <w:rPr>
                <w:rFonts w:hint="eastAsia" w:ascii="仿宋" w:hAnsi="仿宋" w:eastAsia="仿宋" w:cs="仿宋"/>
                <w:color w:val="auto"/>
                <w:sz w:val="24"/>
                <w:szCs w:val="24"/>
                <w:highlight w:val="none"/>
                <w:lang w:val="zh-CN"/>
              </w:rPr>
              <w:t>的</w:t>
            </w:r>
          </w:p>
          <w:p w14:paraId="447E7DCA">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情形</w:t>
            </w:r>
          </w:p>
        </w:tc>
        <w:tc>
          <w:tcPr>
            <w:tcW w:w="5090" w:type="dxa"/>
            <w:vAlign w:val="center"/>
          </w:tcPr>
          <w:p w14:paraId="73365EEC">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评标委员会认为存在低于成本价投标的情况</w:t>
            </w:r>
          </w:p>
        </w:tc>
      </w:tr>
      <w:tr w14:paraId="6237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855" w:type="dxa"/>
            <w:vMerge w:val="restart"/>
            <w:vAlign w:val="center"/>
          </w:tcPr>
          <w:p w14:paraId="1F9A263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269" w:type="dxa"/>
            <w:vMerge w:val="restart"/>
            <w:vAlign w:val="center"/>
          </w:tcPr>
          <w:p w14:paraId="526057F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分值构成与评分标准</w:t>
            </w:r>
          </w:p>
        </w:tc>
        <w:tc>
          <w:tcPr>
            <w:tcW w:w="2031" w:type="dxa"/>
            <w:vAlign w:val="center"/>
          </w:tcPr>
          <w:p w14:paraId="30B163D5">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评标总得分计算公式</w:t>
            </w:r>
          </w:p>
        </w:tc>
        <w:tc>
          <w:tcPr>
            <w:tcW w:w="5090" w:type="dxa"/>
            <w:vAlign w:val="center"/>
          </w:tcPr>
          <w:p w14:paraId="55D3C9B6">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投标人的评标总得分＝F1＋F2</w:t>
            </w:r>
          </w:p>
          <w:p w14:paraId="72D1F693">
            <w:pPr>
              <w:spacing w:line="360" w:lineRule="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其中：F1、F2分别为投标报价、商务技术部分2项评分因素的汇总得分。</w:t>
            </w:r>
          </w:p>
        </w:tc>
      </w:tr>
      <w:tr w14:paraId="4E1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5" w:type="dxa"/>
            <w:vMerge w:val="continue"/>
            <w:vAlign w:val="center"/>
          </w:tcPr>
          <w:p w14:paraId="68E16442">
            <w:pPr>
              <w:spacing w:line="360" w:lineRule="auto"/>
              <w:rPr>
                <w:rFonts w:ascii="仿宋" w:hAnsi="仿宋" w:eastAsia="仿宋" w:cs="仿宋"/>
                <w:color w:val="auto"/>
                <w:sz w:val="24"/>
                <w:szCs w:val="24"/>
                <w:highlight w:val="none"/>
              </w:rPr>
            </w:pPr>
          </w:p>
        </w:tc>
        <w:tc>
          <w:tcPr>
            <w:tcW w:w="1269" w:type="dxa"/>
            <w:vMerge w:val="continue"/>
            <w:vAlign w:val="center"/>
          </w:tcPr>
          <w:p w14:paraId="4ECF36E3">
            <w:pPr>
              <w:spacing w:line="360" w:lineRule="auto"/>
              <w:rPr>
                <w:rFonts w:ascii="仿宋" w:hAnsi="仿宋" w:eastAsia="仿宋" w:cs="仿宋"/>
                <w:color w:val="auto"/>
                <w:sz w:val="24"/>
                <w:szCs w:val="24"/>
                <w:highlight w:val="none"/>
              </w:rPr>
            </w:pPr>
          </w:p>
        </w:tc>
        <w:tc>
          <w:tcPr>
            <w:tcW w:w="2031" w:type="dxa"/>
            <w:vAlign w:val="center"/>
          </w:tcPr>
          <w:p w14:paraId="588F2492">
            <w:pPr>
              <w:spacing w:line="360" w:lineRule="auto"/>
              <w:jc w:val="center"/>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评分因素权重</w:t>
            </w:r>
          </w:p>
        </w:tc>
        <w:tc>
          <w:tcPr>
            <w:tcW w:w="5090" w:type="dxa"/>
            <w:vAlign w:val="center"/>
          </w:tcPr>
          <w:p w14:paraId="100BA5E2">
            <w:pPr>
              <w:spacing w:line="360" w:lineRule="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投标报价F1:</w:t>
            </w:r>
            <w:r>
              <w:rPr>
                <w:rFonts w:hint="eastAsia" w:ascii="仿宋" w:hAnsi="仿宋" w:eastAsia="仿宋" w:cs="仿宋"/>
                <w:color w:val="auto"/>
                <w:sz w:val="24"/>
                <w:szCs w:val="24"/>
                <w:highlight w:val="none"/>
              </w:rPr>
              <w:t>30</w:t>
            </w:r>
            <w:r>
              <w:rPr>
                <w:rFonts w:hint="eastAsia" w:ascii="仿宋" w:hAnsi="仿宋" w:eastAsia="仿宋" w:cs="仿宋"/>
                <w:color w:val="auto"/>
                <w:sz w:val="24"/>
                <w:szCs w:val="24"/>
                <w:highlight w:val="none"/>
                <w:lang w:val="zh-CN"/>
              </w:rPr>
              <w:t>分</w:t>
            </w:r>
          </w:p>
          <w:p w14:paraId="20C37C14">
            <w:pPr>
              <w:spacing w:line="360" w:lineRule="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商务技术部分F2</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zh-CN"/>
              </w:rPr>
              <w:t>70分</w:t>
            </w:r>
          </w:p>
        </w:tc>
      </w:tr>
      <w:tr w14:paraId="6010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4"/>
            <w:vAlign w:val="center"/>
          </w:tcPr>
          <w:p w14:paraId="7F7B158C">
            <w:pPr>
              <w:spacing w:line="360" w:lineRule="auto"/>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投标报价得分F1（满分30分）</w:t>
            </w:r>
          </w:p>
        </w:tc>
      </w:tr>
      <w:tr w14:paraId="1022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4"/>
            <w:shd w:val="clear" w:color="auto" w:fill="auto"/>
            <w:vAlign w:val="center"/>
          </w:tcPr>
          <w:p w14:paraId="2631CE03">
            <w:pPr>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投标报价计算公式=评标基准价/投标报价×30</w:t>
            </w:r>
          </w:p>
          <w:p w14:paraId="37332D4B">
            <w:pPr>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即：F1=[C/（B1，B2，Bn）]×30</w:t>
            </w:r>
          </w:p>
          <w:p w14:paraId="0AD462C7">
            <w:pPr>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注：C为评标基准价，即有效投标人是指通过符合性评审的投标人，评标基准价是指各有效投标人中的最低投标报价。</w:t>
            </w:r>
          </w:p>
          <w:p w14:paraId="0B5CC4A5">
            <w:pPr>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B1，B2，Bn为第n个经初步审查合格的有效投标报价。</w:t>
            </w:r>
          </w:p>
          <w:p w14:paraId="6570AFB1">
            <w:pPr>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中华人民共和国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A0C5DB7">
            <w:pPr>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.计算结果保留小数点后两位，第三位四舍五入。</w:t>
            </w:r>
          </w:p>
          <w:p w14:paraId="54299E86">
            <w:pPr>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.本项目针对产品制造商或生产商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中型或</w:t>
            </w:r>
            <w:r>
              <w:rPr>
                <w:rFonts w:hint="eastAsia" w:ascii="仿宋" w:hAnsi="仿宋" w:eastAsia="仿宋" w:cs="仿宋"/>
                <w:color w:val="auto"/>
                <w:sz w:val="24"/>
                <w:szCs w:val="24"/>
                <w:highlight w:val="none"/>
              </w:rPr>
              <w:t>小型或微型企业或残疾人福利性单位或监狱企业生产的产品。</w:t>
            </w:r>
          </w:p>
          <w:p w14:paraId="4479433D">
            <w:pPr>
              <w:keepNext w:val="0"/>
              <w:keepLines w:val="0"/>
              <w:pageBreakBefore w:val="0"/>
              <w:widowControl w:val="0"/>
              <w:kinsoku/>
              <w:wordWrap/>
              <w:overflowPunct/>
              <w:topLinePunct w:val="0"/>
              <w:bidi w:val="0"/>
              <w:snapToGrid/>
              <w:spacing w:line="360" w:lineRule="auto"/>
              <w:ind w:right="0" w:rightChars="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4.根据财政部印发《关于推动解决政府采购异常低价问题的通知》财库(2026)2号相关规定，政府采购评审中出现下列情形之一的，评审委员会应当启动异常低价投标审查程序:</w:t>
            </w:r>
          </w:p>
          <w:p w14:paraId="4886981D">
            <w:pPr>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投标（响应）报价低于全部通过符合性审查供应商投标（响应）报价平均值50% 的，即：投标（响应）报价＜全部通过符合性审查供应商投标（响应）报价平均值×50%；</w:t>
            </w:r>
          </w:p>
          <w:p w14:paraId="70D7BBFB">
            <w:pPr>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投标（响应）报价低于通过符合性审查的次低报价供应商投标（响应）报价50% 的，即：投标（响应）报价＜通过符合性审查的次低报价供应商投标（响应）报价×50%；</w:t>
            </w:r>
          </w:p>
          <w:p w14:paraId="751379B7">
            <w:pPr>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投标（响应）报价低于采购项目最高限价45%的，即：投标（响应）报价＜采购项目最高限价×45%；</w:t>
            </w:r>
          </w:p>
          <w:p w14:paraId="4617C2ED">
            <w:pPr>
              <w:adjustRightInd w:val="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评审委员会基于专业判断，认为供应商报价过低，有可能影响产品质量或者不能诚信履约的其他情形。</w:t>
            </w:r>
          </w:p>
          <w:p w14:paraId="041AE0C9">
            <w:pPr>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采购人可以结合具体项目实际情况，提高上述第1项至第3项中启动异常低价投标（响应）审查的数值标准，但是最高不得超过65%。</w:t>
            </w:r>
          </w:p>
          <w:p w14:paraId="2962814D">
            <w:pPr>
              <w:keepNext w:val="0"/>
              <w:keepLines w:val="0"/>
              <w:pageBreakBefore w:val="0"/>
              <w:widowControl w:val="0"/>
              <w:kinsoku/>
              <w:wordWrap/>
              <w:overflowPunct/>
              <w:topLinePunct w:val="0"/>
              <w:bidi w:val="0"/>
              <w:snapToGrid/>
              <w:spacing w:line="360" w:lineRule="auto"/>
              <w:ind w:right="0" w:rightChars="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053D31E">
            <w:pPr>
              <w:keepNext w:val="0"/>
              <w:keepLines w:val="0"/>
              <w:pageBreakBefore w:val="0"/>
              <w:widowControl w:val="0"/>
              <w:kinsoku/>
              <w:wordWrap/>
              <w:overflowPunct/>
              <w:topLinePunct w:val="0"/>
              <w:bidi w:val="0"/>
              <w:snapToGrid/>
              <w:spacing w:line="360" w:lineRule="auto"/>
              <w:ind w:right="0" w:rightChars="0" w:firstLine="480" w:firstLineChars="200"/>
              <w:textAlignment w:val="auto"/>
              <w:rPr>
                <w:rFonts w:hint="eastAsia"/>
                <w:lang w:val="zh-CN"/>
              </w:rPr>
            </w:pPr>
            <w:r>
              <w:rPr>
                <w:rFonts w:hint="eastAsia" w:ascii="仿宋" w:hAnsi="仿宋" w:eastAsia="仿宋" w:cs="仿宋"/>
                <w:color w:val="00000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65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gridSpan w:val="4"/>
            <w:shd w:val="clear" w:color="auto" w:fill="auto"/>
            <w:vAlign w:val="center"/>
          </w:tcPr>
          <w:p w14:paraId="65C8DAE4">
            <w:pPr>
              <w:spacing w:line="360" w:lineRule="auto"/>
              <w:rPr>
                <w:rFonts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商务技术部分得分F2（满分70分）</w:t>
            </w:r>
          </w:p>
        </w:tc>
      </w:tr>
      <w:tr w14:paraId="4EB5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gridSpan w:val="2"/>
            <w:vAlign w:val="center"/>
          </w:tcPr>
          <w:p w14:paraId="782161C7">
            <w:pPr>
              <w:adjustRightInd w:val="0"/>
              <w:spacing w:line="360" w:lineRule="auto"/>
              <w:jc w:val="center"/>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技术参数</w:t>
            </w:r>
          </w:p>
          <w:p w14:paraId="0FD65D9E">
            <w:pPr>
              <w:adjustRightIn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TW"/>
              </w:rPr>
              <w:t>响应</w:t>
            </w:r>
            <w:r>
              <w:rPr>
                <w:rFonts w:hint="eastAsia" w:ascii="仿宋" w:hAnsi="仿宋" w:eastAsia="仿宋" w:cs="仿宋"/>
                <w:color w:val="auto"/>
                <w:sz w:val="24"/>
                <w:szCs w:val="24"/>
                <w:highlight w:val="none"/>
                <w:lang w:val="en-US" w:eastAsia="zh-CN"/>
              </w:rPr>
              <w:t>评审</w:t>
            </w:r>
          </w:p>
          <w:p w14:paraId="5547F9D5">
            <w:pPr>
              <w:adjustRightInd w:val="0"/>
              <w:spacing w:line="360" w:lineRule="auto"/>
              <w:jc w:val="center"/>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lang w:val="zh-TW"/>
              </w:rPr>
              <w:t>分）</w:t>
            </w:r>
          </w:p>
        </w:tc>
        <w:tc>
          <w:tcPr>
            <w:tcW w:w="7121" w:type="dxa"/>
            <w:gridSpan w:val="2"/>
            <w:vAlign w:val="center"/>
          </w:tcPr>
          <w:p w14:paraId="332E17FC">
            <w:pPr>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根据投标人对招标文件第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rPr>
              <w:t>》的技术指标的响应情况进行评审，评审规则如下（注：</w:t>
            </w:r>
            <w:bookmarkStart w:id="60" w:name="_Hlk134537356"/>
            <w:r>
              <w:rPr>
                <w:rFonts w:hint="eastAsia" w:ascii="仿宋" w:hAnsi="仿宋" w:eastAsia="仿宋" w:cs="仿宋"/>
                <w:color w:val="auto"/>
                <w:sz w:val="24"/>
                <w:szCs w:val="24"/>
                <w:highlight w:val="none"/>
              </w:rPr>
              <w:t>设备</w:t>
            </w:r>
            <w:bookmarkEnd w:id="60"/>
            <w:r>
              <w:rPr>
                <w:rFonts w:hint="eastAsia" w:ascii="仿宋" w:hAnsi="仿宋" w:eastAsia="仿宋" w:cs="仿宋"/>
                <w:color w:val="auto"/>
                <w:sz w:val="24"/>
                <w:szCs w:val="24"/>
                <w:highlight w:val="none"/>
              </w:rPr>
              <w:t>的A类、B类技术指标非同一概念，仅为划分产品技术指标的代表字母；因此每项A类、B类技术指标的分值不一定相同）：</w:t>
            </w:r>
          </w:p>
          <w:p w14:paraId="053BC51D">
            <w:pPr>
              <w:adjustRightInd w:val="0"/>
              <w:spacing w:line="360" w:lineRule="auto"/>
              <w:rPr>
                <w:rFonts w:hint="eastAsia" w:ascii="仿宋" w:hAnsi="仿宋" w:eastAsia="仿宋" w:cs="仿宋"/>
                <w:color w:val="auto"/>
                <w:sz w:val="24"/>
                <w:szCs w:val="24"/>
                <w:highlight w:val="none"/>
              </w:rPr>
            </w:pPr>
            <w:bookmarkStart w:id="61" w:name="OLE_LINK62"/>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共计</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项A类技术指标，投标人每出现1项A类技术指标不满足招标文件的扣</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共计</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项B类技术指标，投标人每出现1项B类技术指标不满足招标文件的扣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bookmarkEnd w:id="61"/>
          <w:p w14:paraId="3657A8F0">
            <w:pPr>
              <w:adjustRightInd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注：1</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投标人拟投产品出现任意内容不满足对应技术指标项下的内容，即视为不满足该项技术指标。</w:t>
            </w:r>
          </w:p>
          <w:p w14:paraId="6E659A54">
            <w:pPr>
              <w:spacing w:line="360" w:lineRule="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技术指标的响应评审参考投标人提供的“技术规格偏离表”</w:t>
            </w:r>
            <w:bookmarkStart w:id="62" w:name="_Hlk19872790"/>
            <w:r>
              <w:rPr>
                <w:rFonts w:hint="eastAsia" w:ascii="仿宋" w:hAnsi="仿宋" w:eastAsia="仿宋" w:cs="仿宋"/>
                <w:b w:val="0"/>
                <w:bCs w:val="0"/>
                <w:color w:val="auto"/>
                <w:sz w:val="24"/>
                <w:szCs w:val="24"/>
                <w:highlight w:val="none"/>
              </w:rPr>
              <w:t>，以投标人提供的技术支持资料为准（若招标文件中对技术支持资料有特定要求的以招标文件为准，若无特定技术支持资料要求的详见“技术规格偏离表”内</w:t>
            </w:r>
            <w:bookmarkEnd w:id="62"/>
            <w:r>
              <w:rPr>
                <w:rFonts w:hint="eastAsia" w:ascii="仿宋" w:hAnsi="仿宋" w:eastAsia="仿宋" w:cs="仿宋"/>
                <w:b w:val="0"/>
                <w:bCs w:val="0"/>
                <w:color w:val="auto"/>
                <w:sz w:val="24"/>
                <w:szCs w:val="24"/>
                <w:highlight w:val="none"/>
              </w:rPr>
              <w:t>的规定）。</w:t>
            </w:r>
          </w:p>
        </w:tc>
      </w:tr>
      <w:tr w14:paraId="0BEF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2124" w:type="dxa"/>
            <w:gridSpan w:val="2"/>
            <w:vAlign w:val="center"/>
          </w:tcPr>
          <w:p w14:paraId="4DD2B8F9">
            <w:pPr>
              <w:adjustRightInd w:val="0"/>
              <w:spacing w:line="360" w:lineRule="auto"/>
              <w:ind w:left="0" w:leftChars="0" w:right="0" w:rightChars="0" w:firstLine="0" w:firstLineChars="0"/>
              <w:jc w:val="center"/>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项目实施方案</w:t>
            </w:r>
          </w:p>
          <w:p w14:paraId="6219E717">
            <w:pPr>
              <w:adjustRightInd w:val="0"/>
              <w:spacing w:line="360" w:lineRule="auto"/>
              <w:ind w:left="0" w:leftChars="0" w:right="0" w:rightChars="0" w:firstLine="0" w:firstLineChars="0"/>
              <w:jc w:val="center"/>
              <w:rPr>
                <w:rFonts w:hint="eastAsia" w:ascii="仿宋" w:hAnsi="仿宋" w:eastAsia="仿宋" w:cs="仿宋"/>
                <w:color w:val="auto"/>
                <w:sz w:val="24"/>
                <w:szCs w:val="24"/>
                <w:highlight w:val="none"/>
                <w:lang w:val="zh-TW"/>
              </w:rPr>
            </w:pP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default" w:ascii="仿宋" w:hAnsi="仿宋" w:eastAsia="仿宋" w:cs="仿宋"/>
                <w:color w:val="auto"/>
                <w:sz w:val="24"/>
                <w:szCs w:val="24"/>
                <w:highlight w:val="none"/>
              </w:rPr>
              <w:t>分）</w:t>
            </w:r>
          </w:p>
        </w:tc>
        <w:tc>
          <w:tcPr>
            <w:tcW w:w="7121" w:type="dxa"/>
            <w:gridSpan w:val="2"/>
            <w:vAlign w:val="center"/>
          </w:tcPr>
          <w:p w14:paraId="6C87686B">
            <w:pPr>
              <w:adjustRightIn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根据供应商提供的实施方案包含：①人员配置与职责；②供货进度计划及保障措施；③安装、调试、验收保障措施。以上3项核心内容</w:t>
            </w:r>
            <w:r>
              <w:rPr>
                <w:rFonts w:hint="default" w:ascii="仿宋" w:hAnsi="仿宋" w:eastAsia="仿宋" w:cs="仿宋"/>
                <w:color w:val="auto"/>
                <w:sz w:val="24"/>
                <w:szCs w:val="24"/>
                <w:highlight w:val="none"/>
                <w:lang w:val="en-US" w:eastAsia="zh-CN"/>
              </w:rPr>
              <w:t>全部提供，且每项内容阐述详细具体、流程清晰、措施可行、完全贴合本项目采购需求，能有效保障项目履约的，得满分</w:t>
            </w:r>
            <w:r>
              <w:rPr>
                <w:rFonts w:hint="eastAsia" w:ascii="仿宋" w:hAnsi="仿宋" w:eastAsia="仿宋" w:cs="仿宋"/>
                <w:color w:val="auto"/>
                <w:sz w:val="24"/>
                <w:szCs w:val="24"/>
                <w:highlight w:val="none"/>
                <w:lang w:val="en-US" w:eastAsia="zh-CN"/>
              </w:rPr>
              <w:t>15</w:t>
            </w:r>
            <w:r>
              <w:rPr>
                <w:rFonts w:hint="default"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lang w:val="en-US" w:eastAsia="zh-CN"/>
              </w:rPr>
              <w:t>每缺少1项内容扣5分；单项内容存在“描述缺陷”的，每项扣2分。</w:t>
            </w:r>
          </w:p>
          <w:p w14:paraId="3A0FD744">
            <w:pPr>
              <w:adjustRightIn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描述缺陷是指：</w:t>
            </w:r>
            <w:r>
              <w:rPr>
                <w:rFonts w:hint="eastAsia" w:ascii="仿宋" w:hAnsi="仿宋" w:eastAsia="仿宋" w:cs="仿宋"/>
                <w:color w:val="auto"/>
                <w:sz w:val="24"/>
                <w:szCs w:val="24"/>
                <w:highlight w:val="none"/>
                <w:lang w:val="en-US" w:eastAsia="zh-CN"/>
              </w:rPr>
              <w:t>内容描述不完整或无具体实施措施或标准不明确或与项目需求不匹配或无可行性等情形。</w:t>
            </w:r>
          </w:p>
        </w:tc>
      </w:tr>
      <w:tr w14:paraId="6246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gridSpan w:val="2"/>
            <w:vAlign w:val="center"/>
          </w:tcPr>
          <w:p w14:paraId="360AD7B3">
            <w:pPr>
              <w:spacing w:line="360" w:lineRule="auto"/>
              <w:jc w:val="center"/>
              <w:rPr>
                <w:rFonts w:hint="eastAsia" w:ascii="仿宋" w:hAnsi="仿宋" w:eastAsia="仿宋" w:cs="仿宋"/>
                <w:caps w:val="0"/>
                <w:spacing w:val="0"/>
                <w:kern w:val="0"/>
                <w:sz w:val="24"/>
                <w:szCs w:val="24"/>
                <w:highlight w:val="none"/>
                <w:lang w:val="en-US" w:eastAsia="zh-CN"/>
              </w:rPr>
            </w:pPr>
            <w:r>
              <w:rPr>
                <w:rFonts w:hint="eastAsia" w:ascii="仿宋" w:hAnsi="仿宋" w:eastAsia="仿宋" w:cs="仿宋"/>
                <w:caps w:val="0"/>
                <w:spacing w:val="0"/>
                <w:kern w:val="0"/>
                <w:sz w:val="24"/>
                <w:szCs w:val="24"/>
                <w:highlight w:val="none"/>
                <w:lang w:val="en-US" w:eastAsia="zh-CN"/>
              </w:rPr>
              <w:t>质量承诺及</w:t>
            </w:r>
          </w:p>
          <w:p w14:paraId="12CF0836">
            <w:pPr>
              <w:spacing w:line="360" w:lineRule="auto"/>
              <w:jc w:val="center"/>
              <w:rPr>
                <w:rFonts w:hint="eastAsia" w:ascii="仿宋" w:hAnsi="仿宋" w:eastAsia="仿宋" w:cs="仿宋"/>
                <w:caps w:val="0"/>
                <w:spacing w:val="0"/>
                <w:kern w:val="0"/>
                <w:sz w:val="24"/>
                <w:szCs w:val="24"/>
                <w:highlight w:val="none"/>
                <w:lang w:val="en-US" w:eastAsia="zh-CN"/>
              </w:rPr>
            </w:pPr>
            <w:r>
              <w:rPr>
                <w:rFonts w:hint="eastAsia" w:ascii="仿宋" w:hAnsi="仿宋" w:eastAsia="仿宋" w:cs="仿宋"/>
                <w:caps w:val="0"/>
                <w:spacing w:val="0"/>
                <w:kern w:val="0"/>
                <w:sz w:val="24"/>
                <w:szCs w:val="24"/>
                <w:highlight w:val="none"/>
                <w:lang w:val="en-US" w:eastAsia="zh-CN"/>
              </w:rPr>
              <w:t>保证措施</w:t>
            </w:r>
          </w:p>
          <w:p w14:paraId="54FC837F">
            <w:pPr>
              <w:spacing w:line="360" w:lineRule="auto"/>
              <w:jc w:val="center"/>
              <w:rPr>
                <w:rFonts w:hint="eastAsia" w:ascii="仿宋" w:hAnsi="仿宋" w:eastAsia="仿宋" w:cs="仿宋"/>
                <w:color w:val="auto"/>
                <w:kern w:val="0"/>
                <w:sz w:val="24"/>
                <w:szCs w:val="20"/>
                <w:highlight w:val="none"/>
                <w:lang w:val="zh-TW"/>
              </w:rPr>
            </w:pPr>
            <w:r>
              <w:rPr>
                <w:rFonts w:hint="eastAsia" w:ascii="仿宋" w:hAnsi="仿宋" w:eastAsia="仿宋" w:cs="仿宋"/>
                <w:color w:val="auto"/>
                <w:kern w:val="0"/>
                <w:sz w:val="24"/>
                <w:szCs w:val="20"/>
                <w:highlight w:val="none"/>
                <w:lang w:val="zh-TW"/>
              </w:rPr>
              <w:t>（</w:t>
            </w:r>
            <w:r>
              <w:rPr>
                <w:rFonts w:hint="eastAsia" w:ascii="仿宋" w:hAnsi="仿宋" w:eastAsia="仿宋" w:cs="仿宋"/>
                <w:color w:val="auto"/>
                <w:kern w:val="0"/>
                <w:sz w:val="24"/>
                <w:szCs w:val="20"/>
                <w:highlight w:val="none"/>
                <w:lang w:val="en-US" w:eastAsia="zh-CN"/>
              </w:rPr>
              <w:t>10</w:t>
            </w:r>
            <w:r>
              <w:rPr>
                <w:rFonts w:hint="eastAsia" w:ascii="仿宋" w:hAnsi="仿宋" w:eastAsia="仿宋" w:cs="仿宋"/>
                <w:color w:val="auto"/>
                <w:kern w:val="0"/>
                <w:sz w:val="24"/>
                <w:szCs w:val="20"/>
                <w:highlight w:val="none"/>
                <w:lang w:val="zh-TW"/>
              </w:rPr>
              <w:t>分）</w:t>
            </w:r>
          </w:p>
        </w:tc>
        <w:tc>
          <w:tcPr>
            <w:tcW w:w="7121" w:type="dxa"/>
            <w:gridSpan w:val="2"/>
            <w:vAlign w:val="center"/>
          </w:tcPr>
          <w:p w14:paraId="4F718594">
            <w:pPr>
              <w:adjustRightIn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aps w:val="0"/>
                <w:spacing w:val="0"/>
                <w:kern w:val="0"/>
                <w:sz w:val="24"/>
                <w:szCs w:val="24"/>
                <w:highlight w:val="none"/>
                <w:lang w:val="en-US" w:eastAsia="zh-CN"/>
              </w:rPr>
              <w:t>根据供应商提供的质量承诺及保证措施包括但不限于：①设备质量承诺；②保障措施等进行评审；</w:t>
            </w:r>
            <w:r>
              <w:rPr>
                <w:rFonts w:hint="eastAsia" w:ascii="仿宋" w:hAnsi="仿宋" w:eastAsia="仿宋" w:cs="仿宋"/>
                <w:color w:val="auto"/>
                <w:sz w:val="24"/>
                <w:szCs w:val="24"/>
                <w:highlight w:val="none"/>
                <w:lang w:val="en-US" w:eastAsia="zh-CN"/>
              </w:rPr>
              <w:t>以上2项核心内容</w:t>
            </w:r>
            <w:r>
              <w:rPr>
                <w:rFonts w:hint="default" w:ascii="仿宋" w:hAnsi="仿宋" w:eastAsia="仿宋" w:cs="仿宋"/>
                <w:color w:val="auto"/>
                <w:sz w:val="24"/>
                <w:szCs w:val="24"/>
                <w:highlight w:val="none"/>
                <w:lang w:val="en-US" w:eastAsia="zh-CN"/>
              </w:rPr>
              <w:t>全部提供，且每项内容阐述详细具体、流程清晰、措施可行、完全贴合本项目采购需求，能有效保障项目履约的，得满分</w:t>
            </w: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lang w:val="en-US" w:eastAsia="zh-CN"/>
              </w:rPr>
              <w:t>每缺少1项内容扣5分；单项内容存在“描述缺陷”的，每项扣2分。</w:t>
            </w:r>
          </w:p>
          <w:p w14:paraId="4054370F">
            <w:pPr>
              <w:autoSpaceDE w:val="0"/>
              <w:adjustRightIn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描述缺陷是指：</w:t>
            </w:r>
            <w:r>
              <w:rPr>
                <w:rFonts w:hint="eastAsia" w:ascii="仿宋" w:hAnsi="仿宋" w:eastAsia="仿宋" w:cs="仿宋"/>
                <w:color w:val="auto"/>
                <w:sz w:val="24"/>
                <w:szCs w:val="24"/>
                <w:highlight w:val="none"/>
                <w:lang w:val="en-US" w:eastAsia="zh-CN"/>
              </w:rPr>
              <w:t>内容描述不完整或无具体实施措施或标准不明确或与项目需求不匹配或无可行性等情形。</w:t>
            </w:r>
          </w:p>
        </w:tc>
      </w:tr>
      <w:tr w14:paraId="2ED3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4" w:type="dxa"/>
            <w:gridSpan w:val="2"/>
            <w:vAlign w:val="center"/>
          </w:tcPr>
          <w:p w14:paraId="197FC26C">
            <w:pPr>
              <w:adjustRightInd w:val="0"/>
              <w:spacing w:line="40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TW" w:eastAsia="zh-CN" w:bidi="ar-SA"/>
              </w:rPr>
              <w:t>售后服务方案</w:t>
            </w:r>
          </w:p>
          <w:p w14:paraId="14889F94">
            <w:pPr>
              <w:spacing w:line="360" w:lineRule="auto"/>
              <w:jc w:val="center"/>
              <w:rPr>
                <w:rFonts w:ascii="仿宋" w:hAnsi="仿宋" w:eastAsia="仿宋" w:cs="仿宋"/>
                <w:b/>
                <w:bCs/>
                <w:color w:val="auto"/>
                <w:sz w:val="24"/>
                <w:szCs w:val="24"/>
                <w:highlight w:val="none"/>
              </w:rPr>
            </w:pPr>
            <w:r>
              <w:rPr>
                <w:rFonts w:hint="eastAsia" w:ascii="仿宋" w:hAnsi="仿宋" w:eastAsia="仿宋" w:cs="仿宋"/>
                <w:color w:val="auto"/>
                <w:kern w:val="0"/>
                <w:sz w:val="24"/>
                <w:szCs w:val="20"/>
                <w:highlight w:val="none"/>
                <w:lang w:val="zh-TW"/>
              </w:rPr>
              <w:t>（</w:t>
            </w:r>
            <w:r>
              <w:rPr>
                <w:rFonts w:hint="eastAsia" w:ascii="仿宋" w:hAnsi="仿宋" w:eastAsia="仿宋" w:cs="仿宋"/>
                <w:color w:val="auto"/>
                <w:kern w:val="0"/>
                <w:sz w:val="24"/>
                <w:szCs w:val="20"/>
                <w:highlight w:val="none"/>
                <w:lang w:val="en-US" w:eastAsia="zh-CN"/>
              </w:rPr>
              <w:t>10</w:t>
            </w:r>
            <w:r>
              <w:rPr>
                <w:rFonts w:hint="eastAsia" w:ascii="仿宋" w:hAnsi="仿宋" w:eastAsia="仿宋" w:cs="仿宋"/>
                <w:color w:val="auto"/>
                <w:kern w:val="0"/>
                <w:sz w:val="24"/>
                <w:szCs w:val="20"/>
                <w:highlight w:val="none"/>
                <w:lang w:val="zh-TW"/>
              </w:rPr>
              <w:t>分）</w:t>
            </w:r>
          </w:p>
        </w:tc>
        <w:tc>
          <w:tcPr>
            <w:tcW w:w="7121" w:type="dxa"/>
            <w:gridSpan w:val="2"/>
            <w:vAlign w:val="center"/>
          </w:tcPr>
          <w:p w14:paraId="1334C3AC">
            <w:pPr>
              <w:adjustRightIn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根据供应商提供的</w:t>
            </w:r>
            <w:r>
              <w:rPr>
                <w:rFonts w:hint="eastAsia" w:ascii="仿宋" w:hAnsi="仿宋" w:eastAsia="仿宋" w:cs="仿宋"/>
                <w:color w:val="auto"/>
                <w:kern w:val="2"/>
                <w:sz w:val="24"/>
                <w:szCs w:val="24"/>
                <w:highlight w:val="none"/>
                <w:lang w:val="zh-TW" w:eastAsia="zh-CN" w:bidi="ar-SA"/>
              </w:rPr>
              <w:t>售后服务方案包</w:t>
            </w:r>
            <w:r>
              <w:rPr>
                <w:rFonts w:hint="eastAsia" w:ascii="仿宋" w:hAnsi="仿宋" w:eastAsia="仿宋" w:cs="仿宋"/>
                <w:color w:val="auto"/>
                <w:sz w:val="24"/>
                <w:szCs w:val="24"/>
                <w:highlight w:val="none"/>
                <w:lang w:val="en-US" w:eastAsia="zh-CN"/>
              </w:rPr>
              <w:t>含：售后服务体系、投入资源、服务人员团队、技术支持能力、服务响应时间等方案。以上5项核心内容</w:t>
            </w:r>
            <w:r>
              <w:rPr>
                <w:rFonts w:hint="default" w:ascii="仿宋" w:hAnsi="仿宋" w:eastAsia="仿宋" w:cs="仿宋"/>
                <w:color w:val="auto"/>
                <w:sz w:val="24"/>
                <w:szCs w:val="24"/>
                <w:highlight w:val="none"/>
                <w:lang w:val="en-US" w:eastAsia="zh-CN"/>
              </w:rPr>
              <w:t>全部提供，且每项内容阐述详细具体、流程清晰、措施可行、完全贴合本项目采购需求，能有效保障项目履约的，得满分</w:t>
            </w: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分；</w:t>
            </w:r>
            <w:r>
              <w:rPr>
                <w:rFonts w:hint="eastAsia" w:ascii="仿宋" w:hAnsi="仿宋" w:eastAsia="仿宋" w:cs="仿宋"/>
                <w:color w:val="auto"/>
                <w:sz w:val="24"/>
                <w:szCs w:val="24"/>
                <w:highlight w:val="none"/>
                <w:lang w:val="en-US" w:eastAsia="zh-CN"/>
              </w:rPr>
              <w:t>每缺少1项内容扣2分；单项内容存在“描述缺陷”的，每项扣1分。</w:t>
            </w:r>
          </w:p>
          <w:p w14:paraId="6B9CF5D2">
            <w:pPr>
              <w:autoSpaceDE w:val="0"/>
              <w:adjustRightIn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描述缺陷是指：</w:t>
            </w:r>
            <w:r>
              <w:rPr>
                <w:rFonts w:hint="eastAsia" w:ascii="仿宋" w:hAnsi="仿宋" w:eastAsia="仿宋" w:cs="仿宋"/>
                <w:color w:val="auto"/>
                <w:sz w:val="24"/>
                <w:szCs w:val="24"/>
                <w:highlight w:val="none"/>
                <w:lang w:val="en-US" w:eastAsia="zh-CN"/>
              </w:rPr>
              <w:t>内容描述不完整或无具体实施措施或标准不明确或与项目需求不匹配或无可行性等情形。</w:t>
            </w:r>
          </w:p>
        </w:tc>
      </w:tr>
    </w:tbl>
    <w:p w14:paraId="3E29911B">
      <w:pPr>
        <w:autoSpaceDE w:val="0"/>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1.评标方法：</w:t>
      </w:r>
    </w:p>
    <w:p w14:paraId="5014149E">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1.1本次评标采用综合评分法。</w:t>
      </w:r>
      <w:r>
        <w:rPr>
          <w:rFonts w:hint="eastAsia" w:ascii="仿宋" w:hAnsi="仿宋" w:eastAsia="仿宋" w:cs="仿宋"/>
          <w:color w:val="auto"/>
          <w:sz w:val="24"/>
          <w:szCs w:val="24"/>
          <w:highlight w:val="none"/>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商务技术部分得分由高到低顺序排序；评标总得分相等且技术部分得分相同时，按投标报价由低到高顺序排序。</w:t>
      </w:r>
    </w:p>
    <w:p w14:paraId="428196A2">
      <w:pPr>
        <w:pStyle w:val="10"/>
        <w:autoSpaceDE w:val="0"/>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评审程序和标准</w:t>
      </w:r>
    </w:p>
    <w:p w14:paraId="41AF6E0F">
      <w:pPr>
        <w:pStyle w:val="10"/>
        <w:autoSpaceDE w:val="0"/>
        <w:spacing w:line="36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2.1资格审查、符合性审查</w:t>
      </w:r>
    </w:p>
    <w:p w14:paraId="675476ED">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2.1.1资格审查：采购人或者采购代理机构依据法律法规和招标文件的规定，对投标文件中的资格证明文件进行审查（具体详见《评标方法前附表》），有一项不符合的，该投标文件按无效投标处理。</w:t>
      </w:r>
    </w:p>
    <w:p w14:paraId="36226E40">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2.1.2符合性审查：评标委员会依据招标文件的规定，对符合资格的投标人的投标文件进行符合性审查（具体详见《评标方法前附表》），有一项不符合的，该投标文件按无效投标处理。</w:t>
      </w:r>
    </w:p>
    <w:p w14:paraId="1A388981">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2.1.3符合本章第2.1.1、2.1.2项规定的投标文件视为符合招标文件的商务、技术等实质性要求评审，可以进行技术和商务评估，综合比较与评价。</w:t>
      </w:r>
    </w:p>
    <w:p w14:paraId="473869B8">
      <w:pPr>
        <w:pStyle w:val="4"/>
        <w:keepLines w:val="0"/>
        <w:autoSpaceDE w:val="0"/>
        <w:spacing w:before="0" w:after="0" w:line="360" w:lineRule="auto"/>
        <w:rPr>
          <w:rFonts w:ascii="仿宋" w:hAnsi="仿宋" w:eastAsia="仿宋" w:cs="仿宋"/>
          <w:color w:val="auto"/>
          <w:sz w:val="24"/>
          <w:szCs w:val="24"/>
          <w:highlight w:val="none"/>
        </w:rPr>
      </w:pPr>
      <w:bookmarkStart w:id="63" w:name="_Toc321836408"/>
      <w:bookmarkEnd w:id="63"/>
      <w:bookmarkStart w:id="64" w:name="_Toc489145775"/>
      <w:bookmarkEnd w:id="64"/>
      <w:bookmarkStart w:id="65" w:name="_Toc489197879"/>
      <w:r>
        <w:rPr>
          <w:rFonts w:hint="eastAsia" w:ascii="仿宋" w:hAnsi="仿宋" w:eastAsia="仿宋" w:cs="仿宋"/>
          <w:color w:val="auto"/>
          <w:sz w:val="24"/>
          <w:szCs w:val="24"/>
          <w:highlight w:val="none"/>
        </w:rPr>
        <w:t>2.2 分值构成与评分标准</w:t>
      </w:r>
      <w:bookmarkEnd w:id="65"/>
    </w:p>
    <w:p w14:paraId="60DD8935">
      <w:pPr>
        <w:autoSpaceDE w:val="0"/>
        <w:spacing w:line="360" w:lineRule="auto"/>
        <w:jc w:val="left"/>
        <w:rPr>
          <w:rFonts w:ascii="仿宋" w:hAnsi="仿宋" w:eastAsia="仿宋" w:cs="仿宋"/>
          <w:color w:val="auto"/>
          <w:sz w:val="24"/>
          <w:szCs w:val="24"/>
          <w:highlight w:val="none"/>
        </w:rPr>
      </w:pPr>
      <w:bookmarkStart w:id="66" w:name="_Toc489197880"/>
      <w:bookmarkEnd w:id="66"/>
      <w:bookmarkStart w:id="67" w:name="_Toc321836409"/>
      <w:bookmarkEnd w:id="67"/>
      <w:bookmarkStart w:id="68" w:name="_Toc489145776"/>
      <w:r>
        <w:rPr>
          <w:rFonts w:hint="eastAsia" w:ascii="仿宋" w:hAnsi="仿宋" w:eastAsia="仿宋" w:cs="仿宋"/>
          <w:color w:val="auto"/>
          <w:sz w:val="24"/>
          <w:szCs w:val="24"/>
          <w:highlight w:val="none"/>
        </w:rPr>
        <w:t>2.2.1 分值构成</w:t>
      </w:r>
      <w:bookmarkEnd w:id="68"/>
    </w:p>
    <w:p w14:paraId="41729B0D">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（1）投标报价：详见《评标方法前附表》；</w:t>
      </w:r>
    </w:p>
    <w:p w14:paraId="0B50DA3C">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（2）商务技术部分：详见《评标方法前附表》；</w:t>
      </w:r>
    </w:p>
    <w:p w14:paraId="55419FE8">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 评标基准价计算方法：详见《评标方法前附表》。</w:t>
      </w:r>
    </w:p>
    <w:p w14:paraId="2CCB89D1">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2.2.3 评分标准</w:t>
      </w:r>
    </w:p>
    <w:p w14:paraId="490E3444">
      <w:pPr>
        <w:autoSpaceDE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按招标文件中规定的评标方法和标准，对满足招标文件实质性要求评审的投标文件进行技术和商务评估，综合比较与评价。</w:t>
      </w:r>
    </w:p>
    <w:p w14:paraId="269F1334">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（1）投标报价评分标准：详见《评标方法前附表》；</w:t>
      </w:r>
    </w:p>
    <w:p w14:paraId="295138A0">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（2）商务技术部分评分标准：详见《评标方法前附表》；</w:t>
      </w:r>
    </w:p>
    <w:p w14:paraId="461FBB62">
      <w:pPr>
        <w:pStyle w:val="4"/>
        <w:keepLines w:val="0"/>
        <w:autoSpaceDE w:val="0"/>
        <w:spacing w:before="0"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2.3综合比较与评价</w:t>
      </w:r>
    </w:p>
    <w:p w14:paraId="7B740D2A">
      <w:pPr>
        <w:autoSpaceDE w:val="0"/>
        <w:spacing w:line="360" w:lineRule="auto"/>
        <w:jc w:val="left"/>
        <w:rPr>
          <w:rFonts w:ascii="仿宋" w:hAnsi="仿宋" w:eastAsia="仿宋" w:cs="仿宋"/>
          <w:color w:val="auto"/>
          <w:sz w:val="24"/>
          <w:szCs w:val="24"/>
          <w:highlight w:val="none"/>
        </w:rPr>
      </w:pPr>
      <w:bookmarkStart w:id="69" w:name="_Toc321836412"/>
      <w:bookmarkEnd w:id="69"/>
      <w:bookmarkStart w:id="70" w:name="_Toc489145777"/>
      <w:bookmarkEnd w:id="70"/>
      <w:bookmarkStart w:id="71" w:name="_Toc489197881"/>
      <w:r>
        <w:rPr>
          <w:rFonts w:hint="eastAsia" w:ascii="仿宋" w:hAnsi="仿宋" w:eastAsia="仿宋" w:cs="仿宋"/>
          <w:color w:val="auto"/>
          <w:sz w:val="24"/>
          <w:szCs w:val="24"/>
          <w:highlight w:val="none"/>
        </w:rPr>
        <w:t>2.3.1 评标委员会按本章2.2.3规定的评分标准进行打分，并计算出投标人的评标总得分。对投标人的价格分等客观评分项的评分应当一致，对其他需要借助专业知识评判的主观评分项，应当严格按照评分细则公正评分。</w:t>
      </w:r>
      <w:bookmarkEnd w:id="71"/>
    </w:p>
    <w:p w14:paraId="305FE95B">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（1）按本章《评标方法前附表》的规定对投标报价计算出得分F1；</w:t>
      </w:r>
    </w:p>
    <w:p w14:paraId="7D11A3BB">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（2）按本章《评标方法前附表》的规定对商务技术部分评分，得分F2；</w:t>
      </w:r>
    </w:p>
    <w:p w14:paraId="0A042710">
      <w:pPr>
        <w:autoSpaceDE w:val="0"/>
        <w:spacing w:line="360" w:lineRule="auto"/>
        <w:ind w:firstLine="240" w:firstLineChars="1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（3）按本章《评标方法前附表》的规定计算评标总得分。</w:t>
      </w:r>
    </w:p>
    <w:p w14:paraId="7F130ACB">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2.3.2商务技术部分（F2）得分由评标委员会成员独立评分，投标人各项评分因素得分为该项因素各评委评分的算术平均值（保留小数点后两位），小数点后第三位“四舍五入”。</w:t>
      </w:r>
    </w:p>
    <w:p w14:paraId="51FC8405">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137A482D">
      <w:pPr>
        <w:autoSpaceDE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2.3.4同品牌产品不同投标人的处理方式</w:t>
      </w:r>
    </w:p>
    <w:p w14:paraId="0206E2C4">
      <w:pPr>
        <w:autoSpaceDE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A53232">
      <w:pPr>
        <w:autoSpaceDE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技术构成、产品价格比重等合理确定核心产品，并在招标文件中载明。多家投标人提供的核心产品品牌相同的，按前款规定处理。</w:t>
      </w:r>
    </w:p>
    <w:p w14:paraId="27C19544">
      <w:pPr>
        <w:pStyle w:val="4"/>
        <w:keepLines w:val="0"/>
        <w:autoSpaceDE w:val="0"/>
        <w:spacing w:before="0"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2.4投标文件的澄清 </w:t>
      </w:r>
    </w:p>
    <w:p w14:paraId="6B136815">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5F4AEF09">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2.4.2评标委员会不接受投标人主动提出的澄清、说明或者补正。</w:t>
      </w:r>
    </w:p>
    <w:p w14:paraId="2152BB98">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2.4.3 评标委员会对投标人提交的澄清、说明或者补正有疑问的，可以要求投标人进一步澄清、说明或者补正。</w:t>
      </w:r>
    </w:p>
    <w:p w14:paraId="4A7FA66C">
      <w:pPr>
        <w:autoSpaceDE w:val="0"/>
        <w:spacing w:line="360" w:lineRule="auto"/>
        <w:jc w:val="left"/>
        <w:rPr>
          <w:rFonts w:ascii="仿宋" w:hAnsi="仿宋" w:eastAsia="仿宋" w:cs="仿宋"/>
          <w:b/>
          <w:bCs/>
          <w:color w:val="auto"/>
          <w:sz w:val="24"/>
          <w:szCs w:val="24"/>
          <w:highlight w:val="none"/>
        </w:rPr>
      </w:pPr>
      <w:bookmarkStart w:id="72" w:name="_Toc489145778"/>
      <w:bookmarkEnd w:id="72"/>
      <w:bookmarkStart w:id="73" w:name="_Toc489197882"/>
      <w:bookmarkEnd w:id="73"/>
      <w:bookmarkStart w:id="74" w:name="_Toc321836413"/>
      <w:r>
        <w:rPr>
          <w:rFonts w:hint="eastAsia" w:ascii="仿宋" w:hAnsi="仿宋" w:eastAsia="仿宋" w:cs="仿宋"/>
          <w:b/>
          <w:bCs/>
          <w:color w:val="auto"/>
          <w:sz w:val="24"/>
          <w:szCs w:val="24"/>
          <w:highlight w:val="none"/>
        </w:rPr>
        <w:t>2.5</w:t>
      </w:r>
      <w:bookmarkEnd w:id="74"/>
      <w:r>
        <w:rPr>
          <w:rFonts w:hint="eastAsia" w:ascii="仿宋" w:hAnsi="仿宋" w:eastAsia="仿宋" w:cs="仿宋"/>
          <w:b/>
          <w:bCs/>
          <w:color w:val="auto"/>
          <w:sz w:val="24"/>
          <w:szCs w:val="24"/>
          <w:highlight w:val="none"/>
        </w:rPr>
        <w:t>报价过低情形澄清</w:t>
      </w:r>
    </w:p>
    <w:p w14:paraId="46D83DD0">
      <w:pPr>
        <w:autoSpaceDE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评标委员会认为投标人的报价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总价或单价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明显低于其他通过符合性审查</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投标人的报价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总价或单价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，有可能影响产品质量或者不能诚信履约的，应当要求其在评标现场合理的时间内提供书面说明，必要时提交相关证明材料；投标人不能证明其报价合理性的，评标委员会应当将其作为无效投标处理。</w:t>
      </w:r>
    </w:p>
    <w:p w14:paraId="311EFE8A">
      <w:pPr>
        <w:pStyle w:val="4"/>
        <w:keepLines w:val="0"/>
        <w:autoSpaceDE w:val="0"/>
        <w:spacing w:before="0"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2.6评标结果</w:t>
      </w:r>
    </w:p>
    <w:p w14:paraId="66BA2FE7">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2.6.1评标委员会按评标总得分由高到低顺序推荐中标候选人，评标总得分相等时，按技术部分得分由高到低顺序排序；评标总得分相等且技术部分得分相同时，按投标报价由低到高顺序排序，并提出书面评标报告。</w:t>
      </w:r>
    </w:p>
    <w:p w14:paraId="2FCBBBEB">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2.6.2 采购人根据评标委员会提出的书面评标报告和推荐的中标候选人名单，确定中标人。</w:t>
      </w:r>
    </w:p>
    <w:p w14:paraId="6E6A4ECE">
      <w:pPr>
        <w:autoSpaceDE w:val="0"/>
        <w:spacing w:line="360" w:lineRule="auto"/>
        <w:jc w:val="left"/>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2.6.3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358C4E9">
      <w:pPr>
        <w:rPr>
          <w:rFonts w:ascii="仿宋" w:hAnsi="仿宋" w:eastAsia="仿宋" w:cs="仿宋"/>
          <w:b/>
          <w:color w:val="auto"/>
          <w:kern w:val="10"/>
          <w:sz w:val="24"/>
          <w:szCs w:val="24"/>
          <w:highlight w:val="none"/>
        </w:rPr>
      </w:pPr>
      <w:r>
        <w:rPr>
          <w:rFonts w:hint="eastAsia" w:ascii="仿宋" w:hAnsi="仿宋" w:eastAsia="仿宋" w:cs="仿宋"/>
          <w:b/>
          <w:color w:val="auto"/>
          <w:kern w:val="10"/>
          <w:sz w:val="24"/>
          <w:szCs w:val="24"/>
          <w:highlight w:val="none"/>
        </w:rPr>
        <w:t xml:space="preserve"> </w:t>
      </w:r>
    </w:p>
    <w:p w14:paraId="3FFD67E4">
      <w:pPr>
        <w:rPr>
          <w:rFonts w:ascii="仿宋" w:hAnsi="仿宋" w:eastAsia="仿宋" w:cs="仿宋"/>
          <w:b/>
          <w:caps/>
          <w:color w:val="auto"/>
          <w:sz w:val="32"/>
          <w:szCs w:val="32"/>
          <w:highlight w:val="none"/>
        </w:rPr>
      </w:pPr>
      <w:bookmarkStart w:id="75" w:name="_Toc20049"/>
      <w:bookmarkEnd w:id="75"/>
      <w:r>
        <w:rPr>
          <w:rFonts w:hint="eastAsia" w:ascii="仿宋" w:hAnsi="仿宋" w:eastAsia="仿宋" w:cs="仿宋"/>
          <w:b/>
          <w:caps/>
          <w:color w:val="auto"/>
          <w:sz w:val="32"/>
          <w:szCs w:val="32"/>
          <w:highlight w:val="none"/>
        </w:rPr>
        <w:br w:type="page"/>
      </w:r>
    </w:p>
    <w:p w14:paraId="0CA8DDC6">
      <w:pPr>
        <w:jc w:val="center"/>
        <w:outlineLvl w:val="0"/>
        <w:rPr>
          <w:rFonts w:ascii="仿宋" w:hAnsi="仿宋" w:eastAsia="仿宋" w:cs="仿宋"/>
          <w:b/>
          <w:caps/>
          <w:color w:val="auto"/>
          <w:sz w:val="36"/>
          <w:szCs w:val="36"/>
          <w:highlight w:val="none"/>
        </w:rPr>
      </w:pPr>
      <w:bookmarkStart w:id="76" w:name="_Toc25434"/>
      <w:r>
        <w:rPr>
          <w:rFonts w:hint="eastAsia" w:ascii="仿宋" w:hAnsi="仿宋" w:eastAsia="仿宋" w:cs="仿宋"/>
          <w:b/>
          <w:caps/>
          <w:color w:val="auto"/>
          <w:sz w:val="36"/>
          <w:szCs w:val="36"/>
          <w:highlight w:val="none"/>
        </w:rPr>
        <w:t xml:space="preserve">第五章  </w:t>
      </w:r>
      <w:bookmarkStart w:id="77" w:name="_Toc427678318"/>
      <w:bookmarkEnd w:id="77"/>
      <w:r>
        <w:rPr>
          <w:rFonts w:hint="eastAsia" w:ascii="仿宋" w:hAnsi="仿宋" w:eastAsia="仿宋" w:cs="仿宋"/>
          <w:b/>
          <w:caps/>
          <w:color w:val="auto"/>
          <w:sz w:val="36"/>
          <w:szCs w:val="36"/>
          <w:highlight w:val="none"/>
        </w:rPr>
        <w:t>合同条款及合同书样式</w:t>
      </w:r>
      <w:bookmarkEnd w:id="76"/>
    </w:p>
    <w:p w14:paraId="5A8935FB">
      <w:pPr>
        <w:pStyle w:val="7"/>
        <w:spacing w:after="0"/>
        <w:rPr>
          <w:rFonts w:ascii="仿宋" w:hAnsi="仿宋" w:eastAsia="仿宋" w:cs="仿宋"/>
          <w:b/>
          <w:bCs/>
          <w:color w:val="auto"/>
          <w:spacing w:val="-20"/>
          <w:kern w:val="44"/>
          <w:sz w:val="48"/>
          <w:szCs w:val="48"/>
          <w:highlight w:val="none"/>
        </w:rPr>
      </w:pPr>
      <w:bookmarkStart w:id="78" w:name="_Toc4856"/>
      <w:bookmarkEnd w:id="78"/>
      <w:r>
        <w:rPr>
          <w:rFonts w:hint="eastAsia" w:ascii="仿宋" w:hAnsi="仿宋" w:eastAsia="仿宋" w:cs="仿宋"/>
          <w:b/>
          <w:bCs/>
          <w:color w:val="auto"/>
          <w:spacing w:val="-20"/>
          <w:kern w:val="44"/>
          <w:sz w:val="48"/>
          <w:szCs w:val="48"/>
          <w:highlight w:val="none"/>
        </w:rPr>
        <w:t xml:space="preserve"> </w:t>
      </w:r>
    </w:p>
    <w:p w14:paraId="76BAC94B">
      <w:pPr>
        <w:pStyle w:val="7"/>
        <w:spacing w:after="0" w:line="500" w:lineRule="exact"/>
        <w:jc w:val="center"/>
        <w:rPr>
          <w:rFonts w:ascii="仿宋" w:hAnsi="仿宋" w:eastAsia="仿宋" w:cs="仿宋"/>
          <w:b/>
          <w:bCs/>
          <w:color w:val="auto"/>
          <w:spacing w:val="-20"/>
          <w:kern w:val="44"/>
          <w:sz w:val="24"/>
          <w:szCs w:val="24"/>
          <w:highlight w:val="none"/>
        </w:rPr>
      </w:pPr>
      <w:r>
        <w:rPr>
          <w:rFonts w:hint="eastAsia" w:ascii="仿宋" w:hAnsi="仿宋" w:eastAsia="仿宋" w:cs="仿宋"/>
          <w:b/>
          <w:bCs/>
          <w:color w:val="auto"/>
          <w:spacing w:val="-20"/>
          <w:kern w:val="44"/>
          <w:sz w:val="24"/>
          <w:szCs w:val="24"/>
          <w:highlight w:val="none"/>
        </w:rPr>
        <w:t xml:space="preserve"> </w:t>
      </w:r>
    </w:p>
    <w:p w14:paraId="2D176616">
      <w:pPr>
        <w:pStyle w:val="7"/>
        <w:autoSpaceDE w:val="0"/>
        <w:spacing w:after="0" w:line="360" w:lineRule="auto"/>
        <w:jc w:val="center"/>
        <w:rPr>
          <w:rFonts w:ascii="仿宋" w:hAnsi="仿宋" w:eastAsia="仿宋" w:cs="仿宋"/>
          <w:b/>
          <w:bCs/>
          <w:color w:val="auto"/>
          <w:spacing w:val="-20"/>
          <w:kern w:val="44"/>
          <w:sz w:val="52"/>
          <w:szCs w:val="52"/>
          <w:highlight w:val="none"/>
        </w:rPr>
      </w:pPr>
      <w:r>
        <w:rPr>
          <w:rFonts w:hint="eastAsia" w:ascii="仿宋" w:hAnsi="仿宋" w:eastAsia="仿宋" w:cs="仿宋"/>
          <w:b/>
          <w:bCs/>
          <w:color w:val="auto"/>
          <w:spacing w:val="-20"/>
          <w:kern w:val="44"/>
          <w:sz w:val="52"/>
          <w:szCs w:val="52"/>
          <w:highlight w:val="none"/>
        </w:rPr>
        <w:t xml:space="preserve"> </w:t>
      </w:r>
    </w:p>
    <w:p w14:paraId="5E897408">
      <w:pPr>
        <w:pStyle w:val="7"/>
        <w:autoSpaceDE w:val="0"/>
        <w:spacing w:after="0" w:line="360" w:lineRule="auto"/>
        <w:jc w:val="center"/>
        <w:rPr>
          <w:rFonts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政府采购货物买卖合同</w:t>
      </w:r>
    </w:p>
    <w:p w14:paraId="5F4E4FE6">
      <w:pPr>
        <w:spacing w:line="500" w:lineRule="exact"/>
        <w:rPr>
          <w:rFonts w:ascii="仿宋" w:hAnsi="仿宋" w:eastAsia="仿宋" w:cs="仿宋"/>
          <w:b/>
          <w:bCs/>
          <w:color w:val="auto"/>
          <w:spacing w:val="-20"/>
          <w:kern w:val="44"/>
          <w:sz w:val="24"/>
          <w:szCs w:val="24"/>
          <w:highlight w:val="none"/>
        </w:rPr>
      </w:pPr>
      <w:r>
        <w:rPr>
          <w:rFonts w:hint="eastAsia" w:ascii="仿宋" w:hAnsi="仿宋" w:eastAsia="仿宋" w:cs="仿宋"/>
          <w:b/>
          <w:bCs/>
          <w:color w:val="auto"/>
          <w:spacing w:val="-20"/>
          <w:kern w:val="44"/>
          <w:sz w:val="24"/>
          <w:szCs w:val="24"/>
          <w:highlight w:val="none"/>
        </w:rPr>
        <w:t xml:space="preserve"> </w:t>
      </w:r>
    </w:p>
    <w:p w14:paraId="2CC76686">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A596B8E">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CF01E03">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54246A">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BD69824">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CA163F5">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390663">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2510A00">
      <w:pPr>
        <w:pStyle w:val="32"/>
        <w:spacing w:line="500" w:lineRule="exact"/>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02ED649">
      <w:pPr>
        <w:spacing w:line="500" w:lineRule="exact"/>
        <w:rPr>
          <w:rFonts w:ascii="仿宋" w:hAnsi="仿宋" w:eastAsia="仿宋" w:cs="仿宋"/>
          <w:b/>
          <w:bCs/>
          <w:color w:val="auto"/>
          <w:spacing w:val="-20"/>
          <w:kern w:val="44"/>
          <w:sz w:val="24"/>
          <w:szCs w:val="24"/>
          <w:highlight w:val="none"/>
        </w:rPr>
      </w:pPr>
    </w:p>
    <w:p w14:paraId="3C6A3B7D">
      <w:pPr>
        <w:spacing w:line="5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kern w:val="0"/>
          <w:sz w:val="28"/>
          <w:szCs w:val="28"/>
          <w:highlight w:val="none"/>
          <w:u w:val="none"/>
          <w:lang w:val="en-US" w:eastAsia="zh-CN"/>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single"/>
        </w:rPr>
        <w:t xml:space="preserve">           </w:t>
      </w:r>
    </w:p>
    <w:p w14:paraId="56C8A229">
      <w:pPr>
        <w:spacing w:line="50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single"/>
        </w:rPr>
        <w:t xml:space="preserve">                             </w:t>
      </w:r>
    </w:p>
    <w:p w14:paraId="27B31BAF">
      <w:pPr>
        <w:spacing w:line="5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    方：</w:t>
      </w:r>
      <w:r>
        <w:rPr>
          <w:rFonts w:hint="eastAsia" w:ascii="仿宋" w:hAnsi="仿宋" w:eastAsia="仿宋" w:cs="仿宋"/>
          <w:color w:val="auto"/>
          <w:sz w:val="28"/>
          <w:szCs w:val="28"/>
          <w:highlight w:val="none"/>
          <w:u w:val="single"/>
        </w:rPr>
        <w:t xml:space="preserve">                             </w:t>
      </w:r>
    </w:p>
    <w:p w14:paraId="635C1CAA">
      <w:pPr>
        <w:spacing w:line="50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乙    方：</w:t>
      </w:r>
      <w:r>
        <w:rPr>
          <w:rFonts w:hint="eastAsia" w:ascii="仿宋" w:hAnsi="仿宋" w:eastAsia="仿宋" w:cs="仿宋"/>
          <w:color w:val="auto"/>
          <w:sz w:val="28"/>
          <w:szCs w:val="28"/>
          <w:highlight w:val="none"/>
          <w:u w:val="single"/>
        </w:rPr>
        <w:t xml:space="preserve">                             </w:t>
      </w:r>
    </w:p>
    <w:p w14:paraId="11BDA5EE">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8"/>
          <w:szCs w:val="28"/>
          <w:highlight w:val="none"/>
        </w:rPr>
        <w:t>签订时间：</w:t>
      </w:r>
      <w:r>
        <w:rPr>
          <w:rFonts w:hint="eastAsia" w:ascii="仿宋" w:hAnsi="仿宋" w:eastAsia="仿宋" w:cs="仿宋"/>
          <w:color w:val="auto"/>
          <w:sz w:val="28"/>
          <w:szCs w:val="28"/>
          <w:highlight w:val="none"/>
          <w:u w:val="single"/>
        </w:rPr>
        <w:t xml:space="preserve">                             </w:t>
      </w:r>
    </w:p>
    <w:p w14:paraId="2E9B6CF2">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90AA43B">
      <w:pPr>
        <w:pStyle w:val="3"/>
        <w:adjustRightInd w:val="0"/>
        <w:snapToGrid w:val="0"/>
        <w:spacing w:before="0" w:line="500" w:lineRule="exact"/>
        <w:jc w:val="center"/>
        <w:rPr>
          <w:rFonts w:ascii="仿宋" w:hAnsi="仿宋" w:eastAsia="仿宋" w:cs="仿宋"/>
          <w:bCs/>
          <w:color w:val="auto"/>
          <w:sz w:val="28"/>
          <w:szCs w:val="28"/>
          <w:highlight w:val="none"/>
        </w:rPr>
      </w:pPr>
      <w:bookmarkStart w:id="79" w:name="_Toc27624"/>
      <w:r>
        <w:rPr>
          <w:rFonts w:hint="eastAsia" w:ascii="仿宋" w:hAnsi="仿宋" w:eastAsia="仿宋" w:cs="仿宋"/>
          <w:bCs/>
          <w:color w:val="auto"/>
          <w:sz w:val="28"/>
          <w:szCs w:val="28"/>
          <w:highlight w:val="none"/>
        </w:rPr>
        <w:t>第一节  政府采购合同协议书</w:t>
      </w:r>
    </w:p>
    <w:p w14:paraId="3546D0AF">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p>
    <w:p w14:paraId="4EE45F10">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（中标人）</w:t>
      </w:r>
    </w:p>
    <w:p w14:paraId="0CE93A01">
      <w:pPr>
        <w:pStyle w:val="8"/>
        <w:adjustRightInd w:val="0"/>
        <w:snapToGrid w:val="0"/>
        <w:spacing w:after="0" w:line="360" w:lineRule="auto"/>
        <w:ind w:left="0" w:leftChars="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依据《中华人民共和国民法典》《中华人民共和国政府采购法》等有关的法律法规，以及本采购项目的招标文件、乙方的《投标文件》及《中标通知书》，甲乙双方同意签订本合同。具体情况及要求如下：     </w:t>
      </w:r>
    </w:p>
    <w:p w14:paraId="1495769D">
      <w:pPr>
        <w:adjustRightInd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1.项目信息</w:t>
      </w:r>
    </w:p>
    <w:p w14:paraId="72524ED9">
      <w:pPr>
        <w:pStyle w:val="8"/>
        <w:adjustRightInd w:val="0"/>
        <w:snapToGrid w:val="0"/>
        <w:spacing w:before="0" w:beforeAutospacing="0" w:after="0" w:line="360" w:lineRule="auto"/>
        <w:ind w:left="0" w:leftChars="0"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（1）采购项目名称：</w:t>
      </w:r>
      <w:r>
        <w:rPr>
          <w:rFonts w:hint="eastAsia" w:ascii="仿宋" w:hAnsi="仿宋" w:eastAsia="仿宋" w:cs="仿宋"/>
          <w:color w:val="auto"/>
          <w:sz w:val="24"/>
          <w:szCs w:val="24"/>
          <w:highlight w:val="none"/>
          <w:u w:val="single"/>
        </w:rPr>
        <w:t xml:space="preserve">                                          </w:t>
      </w:r>
    </w:p>
    <w:p w14:paraId="13178DDF">
      <w:pPr>
        <w:pStyle w:val="8"/>
        <w:numPr>
          <w:ilvl w:val="255"/>
          <w:numId w:val="0"/>
        </w:numPr>
        <w:tabs>
          <w:tab w:val="left" w:pos="999"/>
        </w:tabs>
        <w:adjustRightInd w:val="0"/>
        <w:snapToGrid w:val="0"/>
        <w:spacing w:before="0" w:beforeAutospacing="0" w:after="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采购项目编号：</w:t>
      </w:r>
      <w:r>
        <w:rPr>
          <w:rFonts w:hint="eastAsia" w:ascii="仿宋" w:hAnsi="仿宋" w:eastAsia="仿宋" w:cs="仿宋"/>
          <w:color w:val="auto"/>
          <w:sz w:val="24"/>
          <w:szCs w:val="24"/>
          <w:highlight w:val="none"/>
          <w:u w:val="single"/>
        </w:rPr>
        <w:t xml:space="preserve">                                          </w:t>
      </w:r>
    </w:p>
    <w:p w14:paraId="48BA6375">
      <w:pPr>
        <w:pStyle w:val="8"/>
        <w:adjustRightInd w:val="0"/>
        <w:snapToGrid w:val="0"/>
        <w:spacing w:before="0" w:beforeAutospacing="0" w:after="0" w:line="360" w:lineRule="auto"/>
        <w:ind w:left="0" w:leftChars="0"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（2）采购计划编号：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1F2C3B8">
      <w:pPr>
        <w:adjustRightInd w:val="0"/>
        <w:snapToGrid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78FBC84A">
      <w:pPr>
        <w:adjustRightInd w:val="0"/>
        <w:snapToGrid w:val="0"/>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采购标的及数量（台）：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3C15350">
      <w:pPr>
        <w:numPr>
          <w:ilvl w:val="255"/>
          <w:numId w:val="0"/>
        </w:numPr>
        <w:adjustRightInd w:val="0"/>
        <w:snapToGrid w:val="0"/>
        <w:spacing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规格型号：</w:t>
      </w:r>
      <w:r>
        <w:rPr>
          <w:rFonts w:hint="eastAsia" w:ascii="仿宋" w:hAnsi="仿宋" w:eastAsia="仿宋" w:cs="仿宋"/>
          <w:color w:val="auto"/>
          <w:sz w:val="24"/>
          <w:szCs w:val="24"/>
          <w:highlight w:val="none"/>
          <w:u w:val="single"/>
        </w:rPr>
        <w:t xml:space="preserve">                 </w:t>
      </w:r>
    </w:p>
    <w:p w14:paraId="2F41FE20">
      <w:pPr>
        <w:adjustRightInd w:val="0"/>
        <w:snapToGrid w:val="0"/>
        <w:spacing w:line="360" w:lineRule="auto"/>
        <w:ind w:firstLine="720" w:firstLineChars="3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采购标的的技术要求、商务要求具体见附件。</w:t>
      </w:r>
    </w:p>
    <w:p w14:paraId="66301A4A">
      <w:pPr>
        <w:pStyle w:val="32"/>
        <w:snapToGrid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（4）政府采购组织形式：</w:t>
      </w:r>
      <w:r>
        <w:rPr>
          <w:rFonts w:hint="eastAsia" w:ascii="仿宋" w:hAnsi="仿宋" w:eastAsia="仿宋" w:cs="仿宋"/>
          <w:w w:val="100"/>
          <w:kern w:val="2"/>
          <w:sz w:val="24"/>
          <w:szCs w:val="24"/>
          <w:highlight w:val="none"/>
          <w:lang w:val="en-US" w:eastAsia="zh-CN" w:bidi="ar-SA"/>
        </w:rPr>
        <w:sym w:font="Wingdings" w:char="00FE"/>
      </w:r>
      <w:r>
        <w:rPr>
          <w:rFonts w:hint="eastAsia" w:ascii="仿宋" w:hAnsi="仿宋" w:eastAsia="仿宋" w:cs="仿宋"/>
          <w:color w:val="auto"/>
          <w:sz w:val="24"/>
          <w:szCs w:val="24"/>
          <w:highlight w:val="none"/>
        </w:rPr>
        <w:t>分散采购</w:t>
      </w:r>
    </w:p>
    <w:p w14:paraId="25E20E36">
      <w:pPr>
        <w:pStyle w:val="32"/>
        <w:snapToGrid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（5）政府采购方式：</w:t>
      </w:r>
      <w:r>
        <w:rPr>
          <w:rFonts w:hint="eastAsia" w:ascii="仿宋" w:hAnsi="仿宋" w:eastAsia="仿宋" w:cs="仿宋"/>
          <w:w w:val="100"/>
          <w:kern w:val="2"/>
          <w:sz w:val="24"/>
          <w:szCs w:val="24"/>
          <w:highlight w:val="none"/>
          <w:lang w:val="en-US" w:eastAsia="zh-CN" w:bidi="ar-SA"/>
        </w:rPr>
        <w:sym w:font="Wingdings" w:char="00FE"/>
      </w:r>
      <w:r>
        <w:rPr>
          <w:rFonts w:hint="eastAsia" w:ascii="仿宋" w:hAnsi="仿宋" w:eastAsia="仿宋" w:cs="仿宋"/>
          <w:color w:val="auto"/>
          <w:sz w:val="24"/>
          <w:szCs w:val="24"/>
          <w:highlight w:val="none"/>
        </w:rPr>
        <w:t>公开招标</w:t>
      </w:r>
    </w:p>
    <w:p w14:paraId="01B7FEB4">
      <w:pPr>
        <w:pStyle w:val="32"/>
        <w:numPr>
          <w:ilvl w:val="255"/>
          <w:numId w:val="0"/>
        </w:numPr>
        <w:snapToGrid w:val="0"/>
        <w:spacing w:line="360" w:lineRule="auto"/>
        <w:ind w:firstLine="240" w:firstLineChars="100"/>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kern w:val="2"/>
          <w:sz w:val="24"/>
          <w:szCs w:val="24"/>
          <w:highlight w:val="none"/>
        </w:rPr>
        <w:t>中标（成交）采购标的制造商是否为中小企业：</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kern w:val="2"/>
          <w:sz w:val="24"/>
          <w:szCs w:val="24"/>
          <w:highlight w:val="none"/>
        </w:rPr>
        <w:t>否</w:t>
      </w:r>
    </w:p>
    <w:p w14:paraId="7FB0F529">
      <w:pPr>
        <w:numPr>
          <w:ilvl w:val="255"/>
          <w:numId w:val="0"/>
        </w:numPr>
        <w:adjustRightInd w:val="0"/>
        <w:snapToGrid w:val="0"/>
        <w:spacing w:line="360" w:lineRule="auto"/>
        <w:ind w:firstLine="480" w:firstLineChars="200"/>
        <w:rPr>
          <w:rFonts w:ascii="仿宋" w:hAnsi="仿宋" w:eastAsia="仿宋" w:cs="仿宋"/>
          <w:iCs/>
          <w:color w:val="auto"/>
          <w:sz w:val="24"/>
          <w:szCs w:val="24"/>
          <w:highlight w:val="none"/>
        </w:rPr>
      </w:pPr>
      <w:r>
        <w:rPr>
          <w:rFonts w:hint="eastAsia" w:ascii="仿宋" w:hAnsi="仿宋" w:eastAsia="仿宋" w:cs="仿宋"/>
          <w:color w:val="auto"/>
          <w:sz w:val="24"/>
          <w:szCs w:val="24"/>
          <w:highlight w:val="none"/>
        </w:rPr>
        <w:t>本合同是否为专门面向中小企业的采购合同（中小企业预留合同）：</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否</w:t>
      </w:r>
    </w:p>
    <w:p w14:paraId="2169FDA5">
      <w:pPr>
        <w:numPr>
          <w:ilvl w:val="255"/>
          <w:numId w:val="0"/>
        </w:numPr>
        <w:adjustRightInd w:val="0"/>
        <w:snapToGrid w:val="0"/>
        <w:spacing w:line="360" w:lineRule="auto"/>
        <w:ind w:firstLine="480" w:firstLineChars="200"/>
        <w:rPr>
          <w:rFonts w:ascii="仿宋" w:hAnsi="仿宋" w:eastAsia="仿宋" w:cs="仿宋"/>
          <w:iCs/>
          <w:color w:val="auto"/>
          <w:sz w:val="24"/>
          <w:szCs w:val="24"/>
          <w:highlight w:val="none"/>
        </w:rPr>
      </w:pPr>
      <w:r>
        <w:rPr>
          <w:rFonts w:hint="eastAsia" w:ascii="仿宋" w:hAnsi="仿宋" w:eastAsia="仿宋" w:cs="仿宋"/>
          <w:color w:val="auto"/>
          <w:sz w:val="24"/>
          <w:szCs w:val="24"/>
          <w:highlight w:val="none"/>
        </w:rPr>
        <w:t>若本项目不专门面向中小企业采购，是否给予小微企业评审优惠：</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否</w:t>
      </w:r>
    </w:p>
    <w:p w14:paraId="61EF8219">
      <w:pPr>
        <w:numPr>
          <w:ilvl w:val="255"/>
          <w:numId w:val="0"/>
        </w:numPr>
        <w:adjustRightInd w:val="0"/>
        <w:snapToGrid w:val="0"/>
        <w:spacing w:line="360" w:lineRule="auto"/>
        <w:ind w:firstLine="480" w:firstLineChars="200"/>
        <w:rPr>
          <w:rFonts w:ascii="仿宋" w:hAnsi="仿宋" w:eastAsia="仿宋" w:cs="仿宋"/>
          <w:iCs/>
          <w:color w:val="auto"/>
          <w:sz w:val="24"/>
          <w:szCs w:val="24"/>
          <w:highlight w:val="none"/>
        </w:rPr>
      </w:pPr>
      <w:r>
        <w:rPr>
          <w:rFonts w:hint="eastAsia" w:ascii="仿宋" w:hAnsi="仿宋" w:eastAsia="仿宋" w:cs="仿宋"/>
          <w:color w:val="auto"/>
          <w:sz w:val="24"/>
          <w:szCs w:val="24"/>
          <w:highlight w:val="none"/>
        </w:rPr>
        <w:t>中标（成交）采购标的制造商是否为残疾人福利性单位：</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否</w:t>
      </w:r>
    </w:p>
    <w:p w14:paraId="4FEACFBB">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中标（成交）采购标的制造商是否为监狱企业：</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否</w:t>
      </w:r>
    </w:p>
    <w:p w14:paraId="3E8EFE77">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（7）合同是否分包：</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否</w:t>
      </w:r>
    </w:p>
    <w:p w14:paraId="4041311F">
      <w:pPr>
        <w:numPr>
          <w:ilvl w:val="255"/>
          <w:numId w:val="0"/>
        </w:numPr>
        <w:adjustRightInd w:val="0"/>
        <w:snapToGrid w:val="0"/>
        <w:spacing w:line="360" w:lineRule="auto"/>
        <w:ind w:firstLine="480" w:firstLineChars="200"/>
        <w:rPr>
          <w:rFonts w:ascii="仿宋" w:hAnsi="仿宋" w:eastAsia="仿宋" w:cs="仿宋"/>
          <w:iCs/>
          <w:color w:val="auto"/>
          <w:sz w:val="24"/>
          <w:szCs w:val="24"/>
          <w:highlight w:val="none"/>
        </w:rPr>
      </w:pPr>
      <w:r>
        <w:rPr>
          <w:rFonts w:hint="eastAsia" w:ascii="仿宋" w:hAnsi="仿宋" w:eastAsia="仿宋" w:cs="仿宋"/>
          <w:color w:val="auto"/>
          <w:sz w:val="24"/>
          <w:szCs w:val="24"/>
          <w:highlight w:val="none"/>
        </w:rPr>
        <w:t>（8）中标（成交）投标人是否为外商投资企业：</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否</w:t>
      </w:r>
    </w:p>
    <w:p w14:paraId="369773FF">
      <w:pPr>
        <w:pStyle w:val="32"/>
        <w:tabs>
          <w:tab w:val="left" w:pos="1340"/>
        </w:tabs>
        <w:spacing w:line="360" w:lineRule="auto"/>
        <w:ind w:firstLine="720" w:firstLineChars="3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外商投资企业类型：</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全部由外国投资者投资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部分由外国投资者投资</w:t>
      </w:r>
    </w:p>
    <w:p w14:paraId="1DFFE0B6">
      <w:pPr>
        <w:numPr>
          <w:ilvl w:val="255"/>
          <w:numId w:val="0"/>
        </w:num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（9）是否涉及进口产品：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否</w:t>
      </w:r>
    </w:p>
    <w:p w14:paraId="73DBEBFD">
      <w:pPr>
        <w:numPr>
          <w:ilvl w:val="255"/>
          <w:numId w:val="0"/>
        </w:numPr>
        <w:tabs>
          <w:tab w:val="left" w:pos="740"/>
        </w:tabs>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（10）是否涉及节能产品：</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否</w:t>
      </w:r>
    </w:p>
    <w:p w14:paraId="6991383E">
      <w:pPr>
        <w:numPr>
          <w:ilvl w:val="255"/>
          <w:numId w:val="0"/>
        </w:numPr>
        <w:tabs>
          <w:tab w:val="left" w:pos="740"/>
        </w:tabs>
        <w:adjustRightInd w:val="0"/>
        <w:snapToGrid w:val="0"/>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是否涉及环境标志产品：</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iCs/>
          <w:color w:val="auto"/>
          <w:sz w:val="24"/>
          <w:szCs w:val="24"/>
          <w:highlight w:val="none"/>
        </w:rPr>
        <w:t xml:space="preserve">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否</w:t>
      </w:r>
    </w:p>
    <w:p w14:paraId="430E3528">
      <w:pPr>
        <w:numPr>
          <w:ilvl w:val="255"/>
          <w:numId w:val="0"/>
        </w:numPr>
        <w:tabs>
          <w:tab w:val="left" w:pos="740"/>
        </w:tabs>
        <w:adjustRightInd w:val="0"/>
        <w:snapToGrid w:val="0"/>
        <w:spacing w:line="360" w:lineRule="auto"/>
        <w:ind w:firstLine="1200" w:firstLineChars="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是否涉及绿色产品：</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iCs/>
          <w:color w:val="auto"/>
          <w:sz w:val="24"/>
          <w:szCs w:val="24"/>
          <w:highlight w:val="none"/>
        </w:rPr>
        <w:t xml:space="preserve">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否</w:t>
      </w:r>
    </w:p>
    <w:p w14:paraId="5FB0CCED">
      <w:pPr>
        <w:numPr>
          <w:ilvl w:val="255"/>
          <w:numId w:val="0"/>
        </w:num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（11）涉及商品包装和快递包装的，是否参考《商品包装政府采购需求标准（试行）</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《快递包装政府采购需求标准（试行）》明确产品及相关快递服务的具体包装要求：</w:t>
      </w:r>
    </w:p>
    <w:p w14:paraId="73689BB7">
      <w:pPr>
        <w:numPr>
          <w:ilvl w:val="255"/>
          <w:numId w:val="0"/>
        </w:num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否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不涉及</w:t>
      </w:r>
    </w:p>
    <w:p w14:paraId="2DEBEEAC">
      <w:pPr>
        <w:adjustRightInd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2.合同金额</w:t>
      </w:r>
    </w:p>
    <w:p w14:paraId="409B486D">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p>
    <w:p w14:paraId="33C1C630">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大写：</w:t>
      </w:r>
      <w:r>
        <w:rPr>
          <w:rFonts w:hint="eastAsia" w:ascii="仿宋" w:hAnsi="仿宋" w:eastAsia="仿宋" w:cs="仿宋"/>
          <w:color w:val="auto"/>
          <w:sz w:val="24"/>
          <w:szCs w:val="24"/>
          <w:highlight w:val="none"/>
          <w:u w:val="single"/>
        </w:rPr>
        <w:t xml:space="preserve">                           </w:t>
      </w:r>
    </w:p>
    <w:p w14:paraId="674A0050">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（注：固定单价合同应填写单价和最高限价）</w:t>
      </w:r>
    </w:p>
    <w:p w14:paraId="4BDB0C6F">
      <w:pPr>
        <w:numPr>
          <w:ilvl w:val="255"/>
          <w:numId w:val="0"/>
        </w:num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（2）合同定价方式（采用组合定价方式的，可以勾选多项）：</w:t>
      </w:r>
    </w:p>
    <w:p w14:paraId="42E9DE53">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iCs/>
          <w:color w:val="auto"/>
          <w:sz w:val="24"/>
          <w:szCs w:val="24"/>
          <w:highlight w:val="none"/>
        </w:rPr>
        <w:t xml:space="preserve">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固定总价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固定单价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固定费率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 xml:space="preserve">绩效激励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iCs/>
          <w:color w:val="auto"/>
          <w:sz w:val="24"/>
          <w:szCs w:val="24"/>
          <w:highlight w:val="none"/>
        </w:rPr>
        <w:t>其他</w:t>
      </w:r>
      <w:r>
        <w:rPr>
          <w:rFonts w:hint="eastAsia" w:ascii="仿宋" w:hAnsi="仿宋" w:eastAsia="仿宋" w:cs="仿宋"/>
          <w:color w:val="auto"/>
          <w:sz w:val="24"/>
          <w:szCs w:val="24"/>
          <w:highlight w:val="none"/>
          <w:u w:val="single"/>
        </w:rPr>
        <w:t xml:space="preserve">       </w:t>
      </w:r>
    </w:p>
    <w:p w14:paraId="119BABDA">
      <w:pPr>
        <w:pStyle w:val="43"/>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（3）付款方式（按项目实际勾选填写）：</w:t>
      </w:r>
    </w:p>
    <w:p w14:paraId="22EC9D25">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 xml:space="preserve">     （应明确一次性支付合同款项的条件）                  </w:t>
      </w:r>
    </w:p>
    <w:p w14:paraId="5B2ADD4E">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sz w:val="24"/>
          <w:szCs w:val="24"/>
          <w:highlight w:val="none"/>
        </w:rPr>
        <w:t>，其中涉及预付款的：</w:t>
      </w:r>
      <w:r>
        <w:rPr>
          <w:rFonts w:hint="eastAsia" w:ascii="仿宋" w:hAnsi="仿宋" w:eastAsia="仿宋" w:cs="仿宋"/>
          <w:color w:val="auto"/>
          <w:sz w:val="24"/>
          <w:szCs w:val="24"/>
          <w:highlight w:val="none"/>
          <w:u w:val="single"/>
        </w:rPr>
        <w:t xml:space="preserve"> （应明确预付款的支付比例和支付条件） </w:t>
      </w:r>
    </w:p>
    <w:p w14:paraId="60B98DA6">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7C67A68F">
      <w:pPr>
        <w:adjustRightInd w:val="0"/>
        <w:snapToGrid w:val="0"/>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3B25D723">
      <w:pPr>
        <w:adjustRightInd w:val="0"/>
        <w:snapToGrid w:val="0"/>
        <w:spacing w:line="360" w:lineRule="auto"/>
        <w:rPr>
          <w:rFonts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3.合同履行</w:t>
      </w:r>
    </w:p>
    <w:p w14:paraId="684FDBCE">
      <w:pPr>
        <w:adjustRightInd w:val="0"/>
        <w:snapToGrid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D08DE33">
      <w:pPr>
        <w:adjustRightInd w:val="0"/>
        <w:snapToGrid w:val="0"/>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（2）履约地点</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2AF05F15">
      <w:pPr>
        <w:adjustRightInd w:val="0"/>
        <w:snapToGrid w:val="0"/>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rPr>
        <w:t>是否收取履约保证金：</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color w:val="auto"/>
          <w:sz w:val="24"/>
          <w:szCs w:val="24"/>
          <w:highlight w:val="none"/>
        </w:rPr>
        <w:t>否</w:t>
      </w:r>
    </w:p>
    <w:p w14:paraId="38AB3388">
      <w:pPr>
        <w:pStyle w:val="32"/>
        <w:spacing w:line="360" w:lineRule="auto"/>
        <w:ind w:firstLine="48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 xml:space="preserve"> 收取履约保证金形式：</w:t>
      </w:r>
      <w:r>
        <w:rPr>
          <w:rFonts w:hint="eastAsia" w:ascii="仿宋" w:hAnsi="仿宋" w:eastAsia="仿宋" w:cs="仿宋"/>
          <w:bCs/>
          <w:color w:val="auto"/>
          <w:sz w:val="24"/>
          <w:szCs w:val="24"/>
          <w:highlight w:val="none"/>
          <w:u w:val="single"/>
        </w:rPr>
        <w:t xml:space="preserve">                            </w:t>
      </w:r>
    </w:p>
    <w:p w14:paraId="40490A89">
      <w:pPr>
        <w:pStyle w:val="32"/>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收取履约保证金金额：</w:t>
      </w:r>
      <w:r>
        <w:rPr>
          <w:rFonts w:hint="eastAsia" w:ascii="仿宋" w:hAnsi="仿宋" w:eastAsia="仿宋" w:cs="仿宋"/>
          <w:bCs/>
          <w:color w:val="auto"/>
          <w:sz w:val="24"/>
          <w:szCs w:val="24"/>
          <w:highlight w:val="none"/>
          <w:u w:val="single"/>
        </w:rPr>
        <w:t xml:space="preserve">                            </w:t>
      </w:r>
    </w:p>
    <w:p w14:paraId="785CABE2">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履约担保期限：</w:t>
      </w:r>
      <w:r>
        <w:rPr>
          <w:rFonts w:hint="eastAsia" w:ascii="仿宋" w:hAnsi="仿宋" w:eastAsia="仿宋" w:cs="仿宋"/>
          <w:bCs/>
          <w:color w:val="auto"/>
          <w:sz w:val="24"/>
          <w:szCs w:val="24"/>
          <w:highlight w:val="none"/>
          <w:u w:val="single"/>
        </w:rPr>
        <w:t xml:space="preserve">                                  </w:t>
      </w:r>
    </w:p>
    <w:p w14:paraId="43E446EE">
      <w:pPr>
        <w:adjustRightInd w:val="0"/>
        <w:snapToGrid w:val="0"/>
        <w:spacing w:line="360" w:lineRule="auto"/>
        <w:ind w:firstLine="240" w:firstLine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p>
    <w:p w14:paraId="0483A4B4">
      <w:pPr>
        <w:adjustRightInd w:val="0"/>
        <w:snapToGrid w:val="0"/>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（5）风险处置措施和替代方案：</w:t>
      </w:r>
      <w:r>
        <w:rPr>
          <w:rFonts w:hint="eastAsia" w:ascii="仿宋" w:hAnsi="仿宋" w:eastAsia="仿宋" w:cs="仿宋"/>
          <w:color w:val="auto"/>
          <w:sz w:val="24"/>
          <w:szCs w:val="24"/>
          <w:highlight w:val="none"/>
          <w:u w:val="single"/>
        </w:rPr>
        <w:t xml:space="preserve">                                                               </w:t>
      </w:r>
    </w:p>
    <w:p w14:paraId="2BCA70DF">
      <w:pPr>
        <w:adjustRightInd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4.合同验收</w:t>
      </w:r>
    </w:p>
    <w:p w14:paraId="1DCA7FBF">
      <w:pPr>
        <w:numPr>
          <w:ilvl w:val="0"/>
          <w:numId w:val="3"/>
        </w:num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委托第三方组织</w:t>
      </w:r>
    </w:p>
    <w:p w14:paraId="100C8B73">
      <w:pPr>
        <w:adjustRightInd w:val="0"/>
        <w:snapToGrid w:val="0"/>
        <w:spacing w:line="360" w:lineRule="auto"/>
        <w:ind w:left="420" w:left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验收主体：</w:t>
      </w:r>
      <w:r>
        <w:rPr>
          <w:rFonts w:hint="eastAsia" w:ascii="仿宋" w:hAnsi="仿宋" w:eastAsia="仿宋" w:cs="仿宋"/>
          <w:bCs/>
          <w:color w:val="auto"/>
          <w:sz w:val="24"/>
          <w:szCs w:val="24"/>
          <w:highlight w:val="none"/>
          <w:u w:val="single"/>
        </w:rPr>
        <w:t xml:space="preserve">                  </w:t>
      </w:r>
    </w:p>
    <w:p w14:paraId="00EEB3B4">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是否邀请本项目的其他投标人参加验收：</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1888AB30">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是否邀请专家参加验收：</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54C5B0B1">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是否邀请服务对象参加验收：</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5DE1DB40">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是否邀请第三方检测机构参加验收：</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1E2BAF84">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是否进行抽查检测：</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是，抽查比例：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4101DC5B">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是否存在破坏性检测：</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u w:val="single"/>
        </w:rPr>
        <w:t>（应明确对被破坏的检测产品的处理方式）</w:t>
      </w:r>
      <w:r>
        <w:rPr>
          <w:rFonts w:hint="eastAsia" w:ascii="仿宋" w:hAnsi="仿宋" w:eastAsia="仿宋" w:cs="仿宋"/>
          <w:bCs/>
          <w:color w:val="auto"/>
          <w:sz w:val="24"/>
          <w:szCs w:val="24"/>
          <w:highlight w:val="none"/>
        </w:rPr>
        <w:t xml:space="preserve">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6FCFA550">
      <w:pPr>
        <w:adjustRightInd w:val="0"/>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2D9196B4">
      <w:pPr>
        <w:adjustRightInd w:val="0"/>
        <w:snapToGrid w:val="0"/>
        <w:spacing w:line="360" w:lineRule="auto"/>
        <w:ind w:firstLine="240" w:firstLineChars="1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 xml:space="preserve">（计划于何时验收/投标人提出验收申请之日起   日内组织验收） </w:t>
      </w:r>
    </w:p>
    <w:p w14:paraId="30D2121A">
      <w:pPr>
        <w:adjustRightInd w:val="0"/>
        <w:snapToGrid w:val="0"/>
        <w:spacing w:line="360" w:lineRule="auto"/>
        <w:ind w:firstLine="240" w:firstLine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一次性验收         </w:t>
      </w:r>
    </w:p>
    <w:p w14:paraId="6934CD07">
      <w:pPr>
        <w:adjustRightInd w:val="0"/>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u w:val="single"/>
        </w:rPr>
        <w:t xml:space="preserve"> （应明确分期/分项验收的工作安排）  </w:t>
      </w:r>
    </w:p>
    <w:p w14:paraId="51E9C63C">
      <w:pPr>
        <w:adjustRightInd w:val="0"/>
        <w:snapToGrid w:val="0"/>
        <w:spacing w:line="360" w:lineRule="auto"/>
        <w:ind w:firstLine="240" w:firstLineChars="1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w:t>
      </w:r>
    </w:p>
    <w:p w14:paraId="38D8CB8B">
      <w:pPr>
        <w:adjustRightInd w:val="0"/>
        <w:snapToGrid w:val="0"/>
        <w:spacing w:line="360" w:lineRule="auto"/>
        <w:ind w:firstLine="240" w:firstLineChars="1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（应当包括每一项技术和商务要求的履约情况，特别是落实政府采购扶持中小企业，支持绿色发展和乡村振兴等政策情况）                                      </w:t>
      </w:r>
    </w:p>
    <w:p w14:paraId="7D6D2332">
      <w:pPr>
        <w:adjustRightInd w:val="0"/>
        <w:snapToGrid w:val="0"/>
        <w:spacing w:line="360" w:lineRule="auto"/>
        <w:ind w:firstLine="240" w:firstLineChars="1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w:t>
      </w:r>
    </w:p>
    <w:p w14:paraId="2A74D8F6">
      <w:pPr>
        <w:pStyle w:val="32"/>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（7）是否以采购活动中投标人提供的样品作为参考：</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w w:val="100"/>
          <w:kern w:val="2"/>
          <w:sz w:val="24"/>
          <w:szCs w:val="24"/>
          <w:highlight w:val="none"/>
          <w:lang w:val="en-US" w:eastAsia="zh-CN" w:bidi="ar-SA"/>
        </w:rPr>
        <w:sym w:font="Wingdings" w:char="00A8"/>
      </w:r>
      <w:r>
        <w:rPr>
          <w:rFonts w:hint="eastAsia" w:ascii="仿宋" w:hAnsi="仿宋" w:eastAsia="仿宋" w:cs="仿宋"/>
          <w:bCs/>
          <w:color w:val="auto"/>
          <w:sz w:val="24"/>
          <w:szCs w:val="24"/>
          <w:highlight w:val="none"/>
        </w:rPr>
        <w:t>否</w:t>
      </w:r>
    </w:p>
    <w:p w14:paraId="1D6F26BF">
      <w:pPr>
        <w:adjustRightInd w:val="0"/>
        <w:snapToGrid w:val="0"/>
        <w:spacing w:line="360" w:lineRule="auto"/>
        <w:ind w:firstLine="240" w:firstLineChars="1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 xml:space="preserve">      （产权过户登记等）          </w:t>
      </w:r>
    </w:p>
    <w:p w14:paraId="1926C958">
      <w:pPr>
        <w:adjustRightInd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5.组成合同的文件</w:t>
      </w:r>
    </w:p>
    <w:p w14:paraId="71FE7D1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6837461D">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（1）政府采购合同协议书及其变更、补充协议</w:t>
      </w:r>
    </w:p>
    <w:p w14:paraId="5F0E09F5">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（2）政府采购合同专用条款</w:t>
      </w:r>
    </w:p>
    <w:p w14:paraId="172F07C8">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（3）政府采购合同通用条款</w:t>
      </w:r>
    </w:p>
    <w:p w14:paraId="0D29A8DF">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（4）中标通知书</w:t>
      </w:r>
    </w:p>
    <w:p w14:paraId="0108B057">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（5）投标文件</w:t>
      </w:r>
    </w:p>
    <w:p w14:paraId="791CC0E1">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（6）采购文件</w:t>
      </w:r>
    </w:p>
    <w:p w14:paraId="024FD6D6">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27ABF950">
      <w:pPr>
        <w:pStyle w:val="32"/>
        <w:spacing w:line="360" w:lineRule="auto"/>
        <w:ind w:firstLine="480"/>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kern w:val="2"/>
          <w:sz w:val="24"/>
          <w:szCs w:val="24"/>
          <w:highlight w:val="none"/>
        </w:rPr>
        <w:t>国家法律、行政法规和规章制度规定或合同约定的作为合同组成部分的其他文件</w:t>
      </w:r>
    </w:p>
    <w:p w14:paraId="0D61BCB8">
      <w:pPr>
        <w:adjustRightInd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6.合同生效</w:t>
      </w:r>
    </w:p>
    <w:p w14:paraId="3C33D7E4">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04391F1D">
      <w:pPr>
        <w:adjustRightInd w:val="0"/>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7.合同份数</w:t>
      </w:r>
    </w:p>
    <w:p w14:paraId="1C0BE3A9">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6C6AD2EB">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EC2DEE">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2052032C">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附件：具体标的及其技术要求和商务要求、联合协议、分包意向协议等。</w:t>
      </w: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04"/>
        <w:gridCol w:w="2683"/>
        <w:gridCol w:w="2201"/>
        <w:gridCol w:w="2354"/>
      </w:tblGrid>
      <w:tr w14:paraId="297D76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DD38A4B">
            <w:pPr>
              <w:adjustRightInd w:val="0"/>
              <w:snapToGrid w:val="0"/>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甲方（采购人）</w:t>
            </w:r>
          </w:p>
        </w:tc>
        <w:tc>
          <w:tcPr>
            <w:tcW w:w="2437" w:type="pct"/>
            <w:gridSpan w:val="2"/>
            <w:tcBorders>
              <w:left w:val="single" w:color="auto" w:sz="2" w:space="0"/>
              <w:bottom w:val="single" w:color="auto" w:sz="2" w:space="0"/>
            </w:tcBorders>
            <w:vAlign w:val="center"/>
          </w:tcPr>
          <w:p w14:paraId="2DE9EFEB">
            <w:pPr>
              <w:adjustRightInd w:val="0"/>
              <w:snapToGrid w:val="0"/>
              <w:spacing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乙方（中标人）</w:t>
            </w:r>
          </w:p>
        </w:tc>
      </w:tr>
      <w:tr w14:paraId="5AB42C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8FB2D8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6BCA074">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4F712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2E6BA087">
            <w:pPr>
              <w:adjustRightInd w:val="0"/>
              <w:snapToGrid w:val="0"/>
              <w:spacing w:line="360" w:lineRule="auto"/>
              <w:jc w:val="center"/>
              <w:rPr>
                <w:rFonts w:ascii="仿宋" w:hAnsi="仿宋" w:eastAsia="仿宋" w:cs="仿宋"/>
                <w:color w:val="auto"/>
                <w:spacing w:val="20"/>
                <w:sz w:val="24"/>
                <w:szCs w:val="24"/>
                <w:highlight w:val="none"/>
              </w:rPr>
            </w:pPr>
          </w:p>
        </w:tc>
      </w:tr>
      <w:tr w14:paraId="447D47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1DE10D6">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128EFEA2">
            <w:pPr>
              <w:adjustRightInd w:val="0"/>
              <w:snapToGrid w:val="0"/>
              <w:spacing w:line="360" w:lineRule="auto"/>
              <w:ind w:firstLine="115" w:firstLineChars="4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9F82936">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667337E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009BFBD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450DD92">
            <w:pPr>
              <w:adjustRightInd w:val="0"/>
              <w:snapToGrid w:val="0"/>
              <w:spacing w:line="360" w:lineRule="auto"/>
              <w:jc w:val="center"/>
              <w:rPr>
                <w:rFonts w:ascii="仿宋" w:hAnsi="仿宋" w:eastAsia="仿宋" w:cs="仿宋"/>
                <w:color w:val="auto"/>
                <w:sz w:val="24"/>
                <w:szCs w:val="24"/>
                <w:highlight w:val="none"/>
              </w:rPr>
            </w:pPr>
          </w:p>
        </w:tc>
      </w:tr>
      <w:tr w14:paraId="337B75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B30696B">
            <w:pPr>
              <w:adjustRightInd w:val="0"/>
              <w:snapToGrid w:val="0"/>
              <w:spacing w:line="360" w:lineRule="auto"/>
              <w:jc w:val="center"/>
              <w:rPr>
                <w:rFonts w:ascii="仿宋" w:hAnsi="仿宋" w:eastAsia="仿宋" w:cs="仿宋"/>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39C4F8D">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26C9D4">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36CE43A4">
            <w:pPr>
              <w:adjustRightInd w:val="0"/>
              <w:snapToGrid w:val="0"/>
              <w:spacing w:line="360" w:lineRule="auto"/>
              <w:jc w:val="center"/>
              <w:rPr>
                <w:rFonts w:ascii="仿宋" w:hAnsi="仿宋" w:eastAsia="仿宋" w:cs="仿宋"/>
                <w:color w:val="auto"/>
                <w:spacing w:val="20"/>
                <w:sz w:val="24"/>
                <w:szCs w:val="24"/>
                <w:highlight w:val="none"/>
              </w:rPr>
            </w:pPr>
          </w:p>
        </w:tc>
      </w:tr>
      <w:tr w14:paraId="5F8511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5A04A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0E8B032">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82BE0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6B14990E">
            <w:pPr>
              <w:adjustRightInd w:val="0"/>
              <w:snapToGrid w:val="0"/>
              <w:spacing w:line="360" w:lineRule="auto"/>
              <w:jc w:val="center"/>
              <w:rPr>
                <w:rFonts w:ascii="仿宋" w:hAnsi="仿宋" w:eastAsia="仿宋" w:cs="仿宋"/>
                <w:color w:val="auto"/>
                <w:spacing w:val="20"/>
                <w:sz w:val="24"/>
                <w:szCs w:val="24"/>
                <w:highlight w:val="none"/>
              </w:rPr>
            </w:pPr>
          </w:p>
        </w:tc>
      </w:tr>
      <w:tr w14:paraId="5CBA1D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72CC51">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D4E2424">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3EAA79">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09655AD2">
            <w:pPr>
              <w:adjustRightInd w:val="0"/>
              <w:snapToGrid w:val="0"/>
              <w:spacing w:line="360" w:lineRule="auto"/>
              <w:jc w:val="center"/>
              <w:rPr>
                <w:rFonts w:ascii="仿宋" w:hAnsi="仿宋" w:eastAsia="仿宋" w:cs="仿宋"/>
                <w:color w:val="auto"/>
                <w:spacing w:val="20"/>
                <w:sz w:val="24"/>
                <w:szCs w:val="24"/>
                <w:highlight w:val="none"/>
              </w:rPr>
            </w:pPr>
          </w:p>
        </w:tc>
      </w:tr>
      <w:tr w14:paraId="4CEB23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59AC7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15192D9">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001BDC">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9532145">
            <w:pPr>
              <w:adjustRightInd w:val="0"/>
              <w:snapToGrid w:val="0"/>
              <w:spacing w:line="360" w:lineRule="auto"/>
              <w:jc w:val="center"/>
              <w:rPr>
                <w:rFonts w:ascii="仿宋" w:hAnsi="仿宋" w:eastAsia="仿宋" w:cs="仿宋"/>
                <w:color w:val="auto"/>
                <w:spacing w:val="20"/>
                <w:sz w:val="24"/>
                <w:szCs w:val="24"/>
                <w:highlight w:val="none"/>
              </w:rPr>
            </w:pPr>
          </w:p>
        </w:tc>
      </w:tr>
      <w:tr w14:paraId="4CB508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E2446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74E77B5">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9899E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7107C0E9">
            <w:pPr>
              <w:adjustRightInd w:val="0"/>
              <w:snapToGrid w:val="0"/>
              <w:spacing w:line="360" w:lineRule="auto"/>
              <w:jc w:val="center"/>
              <w:rPr>
                <w:rFonts w:ascii="仿宋" w:hAnsi="仿宋" w:eastAsia="仿宋" w:cs="仿宋"/>
                <w:color w:val="auto"/>
                <w:spacing w:val="20"/>
                <w:sz w:val="24"/>
                <w:szCs w:val="24"/>
                <w:highlight w:val="none"/>
              </w:rPr>
            </w:pPr>
          </w:p>
        </w:tc>
      </w:tr>
      <w:tr w14:paraId="2B7D76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73CA40">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F2F3CA2">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C4F9C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6CC419F9">
            <w:pPr>
              <w:adjustRightInd w:val="0"/>
              <w:snapToGrid w:val="0"/>
              <w:spacing w:line="360" w:lineRule="auto"/>
              <w:jc w:val="center"/>
              <w:rPr>
                <w:rFonts w:ascii="仿宋" w:hAnsi="仿宋" w:eastAsia="仿宋" w:cs="仿宋"/>
                <w:color w:val="auto"/>
                <w:spacing w:val="20"/>
                <w:sz w:val="24"/>
                <w:szCs w:val="24"/>
                <w:highlight w:val="none"/>
              </w:rPr>
            </w:pPr>
          </w:p>
        </w:tc>
      </w:tr>
      <w:tr w14:paraId="51DED9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3091C9">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430CFD2">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A7020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6D34DB1C">
            <w:pPr>
              <w:adjustRightInd w:val="0"/>
              <w:snapToGrid w:val="0"/>
              <w:spacing w:line="360" w:lineRule="auto"/>
              <w:jc w:val="center"/>
              <w:rPr>
                <w:rFonts w:ascii="仿宋" w:hAnsi="仿宋" w:eastAsia="仿宋" w:cs="仿宋"/>
                <w:color w:val="auto"/>
                <w:spacing w:val="20"/>
                <w:sz w:val="24"/>
                <w:szCs w:val="24"/>
                <w:highlight w:val="none"/>
              </w:rPr>
            </w:pPr>
          </w:p>
        </w:tc>
      </w:tr>
      <w:tr w14:paraId="072DF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3EDB18">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F30974D">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538A88">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3BB1D5F">
            <w:pPr>
              <w:adjustRightInd w:val="0"/>
              <w:snapToGrid w:val="0"/>
              <w:spacing w:line="360" w:lineRule="auto"/>
              <w:jc w:val="center"/>
              <w:rPr>
                <w:rFonts w:ascii="仿宋" w:hAnsi="仿宋" w:eastAsia="仿宋" w:cs="仿宋"/>
                <w:color w:val="auto"/>
                <w:spacing w:val="20"/>
                <w:sz w:val="24"/>
                <w:szCs w:val="24"/>
                <w:highlight w:val="none"/>
              </w:rPr>
            </w:pPr>
          </w:p>
        </w:tc>
      </w:tr>
      <w:tr w14:paraId="1BDDE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04" w:type="dxa"/>
            <w:tcBorders>
              <w:top w:val="single" w:color="auto" w:sz="2" w:space="0"/>
              <w:bottom w:val="single" w:color="auto" w:sz="2" w:space="0"/>
              <w:right w:val="single" w:color="auto" w:sz="2" w:space="0"/>
            </w:tcBorders>
            <w:vAlign w:val="center"/>
          </w:tcPr>
          <w:p w14:paraId="69F2E01C">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1436" w:type="pct"/>
            <w:tcBorders>
              <w:top w:val="single" w:color="auto" w:sz="2" w:space="0"/>
              <w:left w:val="single" w:color="auto" w:sz="2" w:space="0"/>
              <w:bottom w:val="single" w:color="auto" w:sz="2" w:space="0"/>
              <w:right w:val="single" w:color="auto" w:sz="2" w:space="0"/>
            </w:tcBorders>
            <w:vAlign w:val="center"/>
          </w:tcPr>
          <w:p w14:paraId="482D42B7">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BFFE2A">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7A40636E">
            <w:pPr>
              <w:adjustRightInd w:val="0"/>
              <w:snapToGrid w:val="0"/>
              <w:spacing w:line="360" w:lineRule="auto"/>
              <w:jc w:val="center"/>
              <w:rPr>
                <w:rFonts w:ascii="仿宋" w:hAnsi="仿宋" w:eastAsia="仿宋" w:cs="仿宋"/>
                <w:color w:val="auto"/>
                <w:spacing w:val="20"/>
                <w:sz w:val="24"/>
                <w:szCs w:val="24"/>
                <w:highlight w:val="none"/>
              </w:rPr>
            </w:pPr>
          </w:p>
        </w:tc>
      </w:tr>
      <w:tr w14:paraId="3CB0ED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04" w:type="dxa"/>
            <w:tcBorders>
              <w:top w:val="single" w:color="auto" w:sz="2" w:space="0"/>
              <w:bottom w:val="single" w:color="auto" w:sz="2" w:space="0"/>
              <w:right w:val="single" w:color="auto" w:sz="2" w:space="0"/>
            </w:tcBorders>
            <w:vAlign w:val="center"/>
          </w:tcPr>
          <w:p w14:paraId="2668F00E">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436" w:type="pct"/>
            <w:tcBorders>
              <w:top w:val="single" w:color="auto" w:sz="2" w:space="0"/>
              <w:left w:val="single" w:color="auto" w:sz="2" w:space="0"/>
              <w:bottom w:val="single" w:color="auto" w:sz="2" w:space="0"/>
              <w:right w:val="single" w:color="auto" w:sz="2" w:space="0"/>
            </w:tcBorders>
            <w:vAlign w:val="center"/>
          </w:tcPr>
          <w:p w14:paraId="225DCC53">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C7E134">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12E18987">
            <w:pPr>
              <w:adjustRightInd w:val="0"/>
              <w:snapToGrid w:val="0"/>
              <w:spacing w:line="360" w:lineRule="auto"/>
              <w:jc w:val="center"/>
              <w:rPr>
                <w:rFonts w:ascii="仿宋" w:hAnsi="仿宋" w:eastAsia="仿宋" w:cs="仿宋"/>
                <w:color w:val="auto"/>
                <w:spacing w:val="20"/>
                <w:sz w:val="24"/>
                <w:szCs w:val="24"/>
                <w:highlight w:val="none"/>
              </w:rPr>
            </w:pPr>
          </w:p>
        </w:tc>
      </w:tr>
      <w:tr w14:paraId="1CF43B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04" w:type="dxa"/>
            <w:tcBorders>
              <w:top w:val="single" w:color="auto" w:sz="2" w:space="0"/>
              <w:bottom w:val="single" w:color="auto" w:sz="2" w:space="0"/>
              <w:right w:val="single" w:color="auto" w:sz="2" w:space="0"/>
            </w:tcBorders>
            <w:vAlign w:val="center"/>
          </w:tcPr>
          <w:p w14:paraId="6260810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1436" w:type="pct"/>
            <w:tcBorders>
              <w:top w:val="single" w:color="auto" w:sz="2" w:space="0"/>
              <w:left w:val="single" w:color="auto" w:sz="2" w:space="0"/>
              <w:bottom w:val="single" w:color="auto" w:sz="2" w:space="0"/>
              <w:right w:val="single" w:color="auto" w:sz="2" w:space="0"/>
            </w:tcBorders>
            <w:vAlign w:val="center"/>
          </w:tcPr>
          <w:p w14:paraId="63B25C42">
            <w:pPr>
              <w:adjustRightInd w:val="0"/>
              <w:snapToGrid w:val="0"/>
              <w:spacing w:line="360" w:lineRule="auto"/>
              <w:jc w:val="center"/>
              <w:rPr>
                <w:rFonts w:ascii="仿宋" w:hAnsi="仿宋" w:eastAsia="仿宋" w:cs="仿宋"/>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A69E48">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5CD1D8">
            <w:pPr>
              <w:adjustRightInd w:val="0"/>
              <w:snapToGrid w:val="0"/>
              <w:spacing w:line="360" w:lineRule="auto"/>
              <w:jc w:val="center"/>
              <w:rPr>
                <w:rFonts w:ascii="仿宋" w:hAnsi="仿宋" w:eastAsia="仿宋" w:cs="仿宋"/>
                <w:color w:val="auto"/>
                <w:spacing w:val="20"/>
                <w:sz w:val="24"/>
                <w:szCs w:val="24"/>
                <w:highlight w:val="none"/>
              </w:rPr>
            </w:pPr>
          </w:p>
        </w:tc>
      </w:tr>
      <w:tr w14:paraId="710030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EA85186">
            <w:pPr>
              <w:pStyle w:val="8"/>
              <w:adjustRightInd w:val="0"/>
              <w:snapToGrid w:val="0"/>
              <w:spacing w:after="0" w:line="360" w:lineRule="auto"/>
              <w:ind w:left="0" w:leftChars="0"/>
              <w:jc w:val="left"/>
              <w:rPr>
                <w:rFonts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注：涉及联合体或其他合同主体的信息应按上表格式加列。</w:t>
            </w:r>
          </w:p>
        </w:tc>
      </w:tr>
    </w:tbl>
    <w:p w14:paraId="3C49CB56">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2BDDA21">
      <w:pPr>
        <w:pStyle w:val="3"/>
        <w:adjustRightInd w:val="0"/>
        <w:snapToGrid w:val="0"/>
        <w:spacing w:before="0" w:after="0" w:line="360" w:lineRule="auto"/>
        <w:jc w:val="center"/>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第二节  政府采购合同通用条款</w:t>
      </w:r>
      <w:bookmarkEnd w:id="79"/>
    </w:p>
    <w:p w14:paraId="7CA81D48">
      <w:pPr>
        <w:tabs>
          <w:tab w:val="left" w:pos="8820"/>
          <w:tab w:val="left" w:pos="9345"/>
          <w:tab w:val="left" w:pos="9765"/>
        </w:tabs>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 xml:space="preserve">1. </w:t>
      </w:r>
      <w:r>
        <w:rPr>
          <w:rFonts w:hint="eastAsia" w:ascii="仿宋" w:hAnsi="仿宋" w:eastAsia="仿宋" w:cs="仿宋"/>
          <w:b/>
          <w:bCs/>
          <w:color w:val="auto"/>
          <w:sz w:val="24"/>
          <w:szCs w:val="24"/>
          <w:highlight w:val="none"/>
        </w:rPr>
        <w:t>定义</w:t>
      </w:r>
    </w:p>
    <w:p w14:paraId="1B0FA631">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2524FA3C">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（1）采购人（以下称甲方）是指使用财政性资金，通过政府采购方式向投标人购买货物及其相关服务的国家机关、事业单位、团体组织。</w:t>
      </w:r>
    </w:p>
    <w:p w14:paraId="5DF3FE66">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（2）投标人（以下称乙方）是指参加政府采购活动并且中标（成交），向采购人提供合同约定的货物及其相关服务的法人、非法人组织或者自然人。</w:t>
      </w:r>
    </w:p>
    <w:p w14:paraId="2F9D45CE">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（3）其他合同主体是指除采购人和投标人以外，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31034632">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688794C9">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0AE8FB0">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（2）“合同价款”系指根据本合同规定乙方在全面履行合同义务后甲方应支付给乙方的价款。</w:t>
      </w:r>
    </w:p>
    <w:p w14:paraId="3716F9BF">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（3）“货物”系指乙方根据本合同规定须向甲方提供的各种形态和种类的物品，包括原材料、设备、产品（包括软件）及相关的备品备件、工具、手册及其他技术资料和材料等。</w:t>
      </w:r>
    </w:p>
    <w:p w14:paraId="7DC52ED1">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9EF90EE">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（5）“分包”系指中标（成交）投标人按采购文件、投标（响应）文件的规定，根据分包意向协议，将中标（成交）项目中的部分履约内容，分给具有相应资质条件的投标人履行合同的行为。</w:t>
      </w:r>
    </w:p>
    <w:p w14:paraId="073C88C3">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系指由两个以上的自然人、法人或者非法人组织组成，以一个投标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0C923C07">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1B3F6658">
      <w:pPr>
        <w:numPr>
          <w:ilvl w:val="0"/>
          <w:numId w:val="4"/>
        </w:num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31DE8195">
      <w:pPr>
        <w:autoSpaceDE w:val="0"/>
        <w:autoSpaceDN w:val="0"/>
        <w:adjustRightInd w:val="0"/>
        <w:snapToGrid w:val="0"/>
        <w:spacing w:line="360" w:lineRule="auto"/>
        <w:ind w:firstLine="480" w:firstLineChars="200"/>
        <w:jc w:val="left"/>
        <w:rPr>
          <w:rFonts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2.1 合同标的及金额应与中标（成交）结果一致。乙方为履行本合同而发生的所有费用均应包含在合同价款中，甲方不再另行支付其他任何费用。</w:t>
      </w:r>
    </w:p>
    <w:p w14:paraId="13250956">
      <w:pPr>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履行合同的时间、地点和方式</w:t>
      </w:r>
    </w:p>
    <w:p w14:paraId="29791D7C">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乙方应当在约定的时间、地点，按照约定方式履行合同。</w:t>
      </w:r>
    </w:p>
    <w:p w14:paraId="37C3B81B">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 甲方的权利和义务</w:t>
      </w:r>
    </w:p>
    <w:p w14:paraId="1DDCB8C0">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F602262">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735710AA">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 甲方有权要求乙方对缺陷部分予以修复，并按合同约定享有货物保修及其他合同约定的权利。</w:t>
      </w:r>
    </w:p>
    <w:p w14:paraId="62AF1CD0">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4.4 甲方应当按照合同约定及时对交付的货物进行验收，未在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约定的期限内对乙方履约提出任何异议或者向乙方作出任何说明的，视为验收通过。</w:t>
      </w:r>
    </w:p>
    <w:p w14:paraId="26803D4D">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4.5 甲方应当根据合同约定及时向乙方支付合同价款，不得以内部人员变更、履行内部付款流程等为由，拒绝或迟延支付。</w:t>
      </w:r>
    </w:p>
    <w:p w14:paraId="59204E1C">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4.6 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约定应由甲方承担的其他义务和责任。</w:t>
      </w:r>
    </w:p>
    <w:p w14:paraId="4FD18440">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 乙方的权利和义务</w:t>
      </w:r>
    </w:p>
    <w:p w14:paraId="15C91673">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签署合同后，乙方应确定项目负责人（或项目联系人），负责与本合同有关的事务。</w:t>
      </w:r>
    </w:p>
    <w:p w14:paraId="005AFECB">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6BDC606">
      <w:pPr>
        <w:pStyle w:val="7"/>
        <w:spacing w:beforeAutospacing="0" w:after="0" w:line="360" w:lineRule="auto"/>
        <w:ind w:firstLine="422" w:firstLineChars="17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5.3乙方有权根据合同约定向甲方收取合同价款。</w:t>
      </w:r>
    </w:p>
    <w:p w14:paraId="42ADB8C0">
      <w:pPr>
        <w:pStyle w:val="7"/>
        <w:spacing w:beforeAutospacing="0" w:after="0" w:line="360" w:lineRule="auto"/>
        <w:ind w:firstLine="422" w:firstLineChars="17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5.4国家法律法规规定及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约定应由乙方承担的其他义务和责任。</w:t>
      </w:r>
    </w:p>
    <w:p w14:paraId="2DC09476">
      <w:pPr>
        <w:numPr>
          <w:ilvl w:val="0"/>
          <w:numId w:val="5"/>
        </w:num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合同履行</w:t>
      </w:r>
    </w:p>
    <w:p w14:paraId="617C012C">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351EC6B8">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9C836CF">
      <w:pPr>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 货物包装、运输、保险和交付要求</w:t>
      </w:r>
    </w:p>
    <w:p w14:paraId="6CAFB358">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 本合同</w:t>
      </w:r>
      <w:r>
        <w:rPr>
          <w:rFonts w:hint="eastAsia" w:ascii="仿宋" w:hAnsi="仿宋" w:eastAsia="仿宋" w:cs="仿宋"/>
          <w:bCs/>
          <w:color w:val="auto"/>
          <w:sz w:val="24"/>
          <w:szCs w:val="24"/>
          <w:highlight w:val="none"/>
        </w:rPr>
        <w:t>涉及商品包装、快递包装的，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约定的</w:t>
      </w:r>
      <w:r>
        <w:rPr>
          <w:rFonts w:hint="eastAsia" w:ascii="仿宋" w:hAnsi="仿宋" w:eastAsia="仿宋" w:cs="仿宋"/>
          <w:color w:val="auto"/>
          <w:sz w:val="24"/>
          <w:szCs w:val="24"/>
          <w:highlight w:val="none"/>
        </w:rPr>
        <w:t>指定现场。</w:t>
      </w:r>
    </w:p>
    <w:p w14:paraId="35DAE11F">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另有约定外，</w:t>
      </w:r>
      <w:r>
        <w:rPr>
          <w:rFonts w:hint="eastAsia" w:ascii="仿宋" w:hAnsi="仿宋" w:eastAsia="仿宋" w:cs="仿宋"/>
          <w:color w:val="auto"/>
          <w:sz w:val="24"/>
          <w:szCs w:val="24"/>
          <w:highlight w:val="none"/>
        </w:rPr>
        <w:t>乙方负责办理将货物运抵本合同规定的交货地点，并装卸、交付至甲方的一切运输事项，相关费用应包含在合同价款中。</w:t>
      </w:r>
    </w:p>
    <w:p w14:paraId="098C5B2A">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655A919F">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7.4 除采购活动对商品包装、快递包装达成具体约定外，乙方提</w:t>
      </w:r>
      <w:r>
        <w:rPr>
          <w:rFonts w:hint="eastAsia" w:ascii="仿宋" w:hAnsi="仿宋" w:eastAsia="仿宋" w:cs="仿宋"/>
          <w:color w:val="auto"/>
          <w:sz w:val="24"/>
          <w:szCs w:val="24"/>
          <w:highlight w:val="none"/>
          <w:lang w:eastAsia="zh-CN"/>
        </w:rPr>
        <w:t>供的</w:t>
      </w:r>
      <w:r>
        <w:rPr>
          <w:rFonts w:hint="eastAsia" w:ascii="仿宋" w:hAnsi="仿宋" w:eastAsia="仿宋" w:cs="仿宋"/>
          <w:color w:val="auto"/>
          <w:sz w:val="24"/>
          <w:szCs w:val="24"/>
          <w:highlight w:val="none"/>
        </w:rPr>
        <w:t>产品及相关快递服务涉及具体包装要求的，应不低于《商品包装政府采购需求标准（试行）》《快递包装政府采购需求标准（试行）》标准，并作为履约验收的内容，必要时甲方可以要求乙方在履约验收环节出具检测报告。</w:t>
      </w:r>
    </w:p>
    <w:p w14:paraId="33B8434C">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 乙方在运输到达之前应提前通知甲方，并提示货物运输装卸的注意事项，甲方配合乙方做好货物的接收工作。</w:t>
      </w:r>
    </w:p>
    <w:p w14:paraId="1AB4F777">
      <w:pPr>
        <w:pStyle w:val="32"/>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7.6 如因包装、运输问题导致货物损毁、丢失或者品质下降，甲方有权要求降价、换货、拒收部分或整批货物，由此产生的费用和损失，均由乙方承担。</w:t>
      </w:r>
    </w:p>
    <w:p w14:paraId="24AAE7B4">
      <w:pPr>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质量标准和保证</w:t>
      </w:r>
    </w:p>
    <w:p w14:paraId="45ECFB2E">
      <w:pPr>
        <w:pStyle w:val="10"/>
        <w:adjustRightInd w:val="0"/>
        <w:snapToGrid w:val="0"/>
        <w:spacing w:line="360" w:lineRule="auto"/>
        <w:ind w:firstLine="480" w:firstLineChars="20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8.1 质量标准</w:t>
      </w:r>
    </w:p>
    <w:p w14:paraId="3C6A02FD">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E1822FA">
      <w:pPr>
        <w:pStyle w:val="1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5377DE8B">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（3）乙方所提供的货物应符合国家有关安全、环保、卫生的规定。</w:t>
      </w:r>
    </w:p>
    <w:p w14:paraId="1295DD5A">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7FCC0F78">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 保证</w:t>
      </w:r>
    </w:p>
    <w:p w14:paraId="55CE2CC4">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规定或乙方书面承诺（两者以较长的为准）的质量保证期内，本保证保持有效。</w:t>
      </w:r>
    </w:p>
    <w:p w14:paraId="2B3A8715">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037CA4B7">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43CBFDDA">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D498904">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采取必要的补救措施，但其风险和费用将由乙方承担，甲方根据合同约定对乙方行使的其他权利不受影响。</w:t>
      </w:r>
    </w:p>
    <w:p w14:paraId="234546E7">
      <w:pPr>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 权利瑕疵担保</w:t>
      </w:r>
    </w:p>
    <w:p w14:paraId="3BF86CA9">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乙方保证对其出售的货物享有合法的权利。</w:t>
      </w:r>
    </w:p>
    <w:p w14:paraId="71562CEA">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 乙方保证在交付的货物上不存在抵押权等担保物权。</w:t>
      </w:r>
    </w:p>
    <w:p w14:paraId="24E65EA9">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 如甲方使用上述货物构成对第三人侵权的，则由乙方承担全部责任。</w:t>
      </w:r>
    </w:p>
    <w:p w14:paraId="0B2203B1">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 知识产权保护</w:t>
      </w:r>
    </w:p>
    <w:p w14:paraId="52B397D1">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乙方对其所销售的货物应当享有知识产权或经权利人合法授权，保证没有侵犯任何第三人的知识产权等权利。</w:t>
      </w:r>
      <w:bookmarkStart w:id="80"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80"/>
      <w:r>
        <w:rPr>
          <w:rFonts w:hint="eastAsia" w:ascii="仿宋" w:hAnsi="仿宋" w:eastAsia="仿宋" w:cs="仿宋"/>
          <w:color w:val="auto"/>
          <w:sz w:val="24"/>
          <w:szCs w:val="24"/>
          <w:highlight w:val="none"/>
        </w:rPr>
        <w:t>。</w:t>
      </w:r>
    </w:p>
    <w:p w14:paraId="04E1A772">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保密义务</w:t>
      </w:r>
    </w:p>
    <w:p w14:paraId="32F76F17">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5C76B6BC">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合同价款支付</w:t>
      </w:r>
    </w:p>
    <w:p w14:paraId="769B6561">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 合同价款支付按照国库集中支付制度及财政管理相关规定执行。</w:t>
      </w:r>
    </w:p>
    <w:p w14:paraId="387F65DA">
      <w:pPr>
        <w:pStyle w:val="3"/>
        <w:spacing w:before="0"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color w:val="auto"/>
          <w:sz w:val="24"/>
          <w:szCs w:val="24"/>
          <w:highlight w:val="none"/>
        </w:rPr>
        <w:t>政府采购合同专用条款</w:t>
      </w:r>
      <w:r>
        <w:rPr>
          <w:rFonts w:hint="eastAsia" w:ascii="仿宋" w:hAnsi="仿宋" w:eastAsia="仿宋" w:cs="仿宋"/>
          <w:b w:val="0"/>
          <w:color w:val="auto"/>
          <w:sz w:val="24"/>
          <w:szCs w:val="24"/>
          <w:highlight w:val="none"/>
        </w:rPr>
        <w:t>】中约定。</w:t>
      </w:r>
    </w:p>
    <w:p w14:paraId="00ABEAD7">
      <w:pPr>
        <w:pStyle w:val="7"/>
        <w:spacing w:beforeAutospacing="0" w:after="0"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 履约保证金</w:t>
      </w:r>
    </w:p>
    <w:p w14:paraId="5CF9523B">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 乙方应当以支票、汇票、本票或者金融机构、担保机构出具的保函等非现金形式提交。</w:t>
      </w:r>
    </w:p>
    <w:p w14:paraId="57E61E1E">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 如果乙方出现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80BB7FE">
      <w:pPr>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720065A4">
      <w:pPr>
        <w:autoSpaceDE w:val="0"/>
        <w:autoSpaceDN w:val="0"/>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14. </w:t>
      </w:r>
      <w:r>
        <w:rPr>
          <w:rFonts w:hint="eastAsia" w:ascii="仿宋" w:hAnsi="仿宋" w:eastAsia="仿宋" w:cs="仿宋"/>
          <w:b/>
          <w:color w:val="auto"/>
          <w:sz w:val="24"/>
          <w:szCs w:val="24"/>
          <w:highlight w:val="none"/>
        </w:rPr>
        <w:t>售后服务</w:t>
      </w:r>
    </w:p>
    <w:p w14:paraId="245EE303">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除项目不涉及或采购活动中明确约定无须承担外，乙方还应提供下列服务：</w:t>
      </w:r>
    </w:p>
    <w:p w14:paraId="30DC9E3E">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7FBED229">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31755B03">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约定的期限内对所有的货物实施运行监督、维修，但前提条件是该服务并不能免除乙方在质量保证期内所承担的义务；</w:t>
      </w:r>
    </w:p>
    <w:p w14:paraId="1CC4D716">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（4）在制造商所在地或指定现场就货物的安装、启动、运营、维护、废弃处置等对甲方操作人员进行培训；</w:t>
      </w:r>
    </w:p>
    <w:p w14:paraId="1C918ED5">
      <w:pPr>
        <w:pStyle w:val="32"/>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7C52874B">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0A56BBA3">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乙方提供的售后服务的费用已包含在合同价款中，甲方不再另行支付。</w:t>
      </w:r>
    </w:p>
    <w:p w14:paraId="3516CD77">
      <w:pPr>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 违约责任</w:t>
      </w:r>
    </w:p>
    <w:p w14:paraId="2117D78D">
      <w:pPr>
        <w:adjustRightInd w:val="0"/>
        <w:snapToGrid w:val="0"/>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15.1质量瑕疵的违约责任</w:t>
      </w:r>
    </w:p>
    <w:p w14:paraId="6B550CE7">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乙方提供的产品不符合合同约定的质量标准或存在产品质量缺陷，甲方有权要求乙方根据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要求</w:t>
      </w:r>
      <w:r>
        <w:rPr>
          <w:rFonts w:hint="eastAsia" w:ascii="仿宋" w:hAnsi="仿宋" w:eastAsia="仿宋" w:cs="仿宋"/>
          <w:color w:val="auto"/>
          <w:sz w:val="24"/>
          <w:szCs w:val="24"/>
          <w:highlight w:val="none"/>
        </w:rPr>
        <w:t>及时修理、重作、更换，并承担由此给甲方造成的损失。</w:t>
      </w:r>
    </w:p>
    <w:p w14:paraId="775C666C">
      <w:pPr>
        <w:autoSpaceDE w:val="0"/>
        <w:autoSpaceDN w:val="0"/>
        <w:adjustRightInd w:val="0"/>
        <w:snapToGrid w:val="0"/>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14:paraId="4A2CDED2">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F9B7532">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规定执行。如果涉及公共利益，且赔偿金额无法弥补公共利益损失，甲方可要求继续履行或者采取其他补救措施。</w:t>
      </w:r>
    </w:p>
    <w:p w14:paraId="2430D498">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15.3 迟延支付的违约责任</w:t>
      </w:r>
    </w:p>
    <w:p w14:paraId="36EB5522">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5D3E0927">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15.4其他违约责任根据项目实际需要按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0648DE23">
      <w:pPr>
        <w:numPr>
          <w:ilvl w:val="0"/>
          <w:numId w:val="6"/>
        </w:numPr>
        <w:autoSpaceDE w:val="0"/>
        <w:autoSpaceDN w:val="0"/>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合同变更、中止与终止</w:t>
      </w:r>
    </w:p>
    <w:p w14:paraId="0DB7B4A8">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16.1合同的变更</w:t>
      </w:r>
    </w:p>
    <w:p w14:paraId="3C827D71">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201EB21D">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16.2合同的中止</w:t>
      </w:r>
    </w:p>
    <w:p w14:paraId="732BEA7E">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（1）合同履行过程中因投标人就采购文件、采购过程或结果提起投诉的，甲方认为有必要的，可以中止合同的履行。</w:t>
      </w:r>
    </w:p>
    <w:p w14:paraId="201DDA71">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w:t>
      </w:r>
      <w:r>
        <w:rPr>
          <w:rFonts w:hint="eastAsia" w:ascii="仿宋" w:hAnsi="仿宋" w:eastAsia="仿宋" w:cs="仿宋"/>
          <w:color w:val="auto"/>
          <w:sz w:val="24"/>
          <w:szCs w:val="24"/>
          <w:highlight w:val="none"/>
          <w:lang w:val="en-US" w:eastAsia="zh-CN"/>
        </w:rPr>
        <w:t>终止</w:t>
      </w:r>
      <w:r>
        <w:rPr>
          <w:rFonts w:hint="eastAsia" w:ascii="仿宋" w:hAnsi="仿宋" w:eastAsia="仿宋" w:cs="仿宋"/>
          <w:color w:val="auto"/>
          <w:sz w:val="24"/>
          <w:szCs w:val="24"/>
          <w:highlight w:val="none"/>
        </w:rPr>
        <w:t>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5118BB0">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A7BEAA3">
      <w:pP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（4）甲方不得以行政区划调整、政府换届、机构或者职能调整以及相关责任人更替为由中止合同。</w:t>
      </w:r>
    </w:p>
    <w:p w14:paraId="51DFEA1A">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16.3合同的终止</w:t>
      </w:r>
    </w:p>
    <w:p w14:paraId="3B3DE1DA">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7B80BC3D">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（2）乙方未按合同约定履行，构成根本性违约的，甲方有权终止合同，并追究乙方的违约责任。</w:t>
      </w:r>
    </w:p>
    <w:p w14:paraId="68B837D3">
      <w:pPr>
        <w:pStyle w:val="32"/>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16.4 </w:t>
      </w:r>
      <w:r>
        <w:rPr>
          <w:rFonts w:hint="eastAsia" w:ascii="仿宋" w:hAnsi="仿宋" w:eastAsia="仿宋" w:cs="仿宋"/>
          <w:color w:val="auto"/>
          <w:kern w:val="2"/>
          <w:sz w:val="24"/>
          <w:szCs w:val="24"/>
          <w:highlight w:val="none"/>
        </w:rPr>
        <w:t>涉及国家利益、社会公共利益的情形</w:t>
      </w:r>
    </w:p>
    <w:p w14:paraId="70392579">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4CE00BAA">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 合同分包</w:t>
      </w:r>
    </w:p>
    <w:p w14:paraId="753296B5">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17.1 乙方不得将合同转包给其他投标人。涉及合同分包的，乙方应根据采购文件和投标（响应）文件规定进行合同分包。</w:t>
      </w:r>
    </w:p>
    <w:p w14:paraId="37D35E56">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17.2 乙方执行政府采购政策向中小企业依法分包的，乙方应当按采购文件和投标（响应）文件签订分包意向协议，分包意向协议属于本合同组成部分。</w:t>
      </w:r>
    </w:p>
    <w:p w14:paraId="0F289132">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 不可抗力</w:t>
      </w:r>
    </w:p>
    <w:p w14:paraId="5B2ADD61">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18.1 不可抗力是指合同双方不能预见、不能避免且不能克服的客观情况。</w:t>
      </w:r>
    </w:p>
    <w:p w14:paraId="052561B4">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18.2 任何一方对由于不可抗力造成的部分或全部不能履行合同不承担违约责任。但迟延履行后发生不可抗力的，不能免除责任。</w:t>
      </w:r>
    </w:p>
    <w:p w14:paraId="2C772A6F">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C7578AE">
      <w:pPr>
        <w:autoSpaceDE w:val="0"/>
        <w:autoSpaceDN w:val="0"/>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 解决争议的方法</w:t>
      </w:r>
    </w:p>
    <w:p w14:paraId="3CE00F7D">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C603854">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3244D6E5">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 如甲乙双方有争议的事项不影响合同其他部分的履行，在争议解决期间，合同其他部分应当继续履行。</w:t>
      </w:r>
    </w:p>
    <w:p w14:paraId="16156350">
      <w:pPr>
        <w:autoSpaceDE w:val="0"/>
        <w:autoSpaceDN w:val="0"/>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20. 政府采购政策</w:t>
      </w:r>
    </w:p>
    <w:p w14:paraId="6A8E6DEC">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20.1 </w:t>
      </w:r>
      <w:r>
        <w:rPr>
          <w:rFonts w:hint="eastAsia" w:ascii="仿宋" w:hAnsi="仿宋" w:eastAsia="仿宋" w:cs="仿宋"/>
          <w:color w:val="auto"/>
          <w:sz w:val="24"/>
          <w:szCs w:val="24"/>
          <w:highlight w:val="none"/>
          <w:lang w:val="en-GB"/>
        </w:rPr>
        <w:t>本合同应当按照规定执行政府采购政策。</w:t>
      </w:r>
    </w:p>
    <w:p w14:paraId="6CA5E380">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 本合同依法执行政府采购政策的方式和内容，属于合同履约验收的范围。甲乙双方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290747E6">
      <w:pPr>
        <w:pStyle w:val="7"/>
        <w:spacing w:beforeAutospacing="0" w:after="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A194C9">
      <w:pPr>
        <w:autoSpaceDE w:val="0"/>
        <w:autoSpaceDN w:val="0"/>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法律适用</w:t>
      </w:r>
    </w:p>
    <w:p w14:paraId="2582080D">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 本合同的订立、生效、解释、履行及与本合同有关的争议解决，均适用法律、行政法规。</w:t>
      </w:r>
    </w:p>
    <w:p w14:paraId="022AD75B">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 本合同条款与法律、行政法规的强制性规定不一致的，双方当事人应按照法律、行政法规的强制性规定修改本合同的相关条款。</w:t>
      </w:r>
    </w:p>
    <w:p w14:paraId="2E6FEFB3">
      <w:pPr>
        <w:numPr>
          <w:ilvl w:val="255"/>
          <w:numId w:val="0"/>
        </w:numPr>
        <w:autoSpaceDE w:val="0"/>
        <w:autoSpaceDN w:val="0"/>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通知</w:t>
      </w:r>
    </w:p>
    <w:p w14:paraId="3C1E4DFF">
      <w:pPr>
        <w:pStyle w:val="32"/>
        <w:spacing w:line="360" w:lineRule="auto"/>
        <w:ind w:firstLine="48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4DCA89DF">
      <w:pPr>
        <w:pStyle w:val="32"/>
        <w:spacing w:line="360" w:lineRule="auto"/>
        <w:ind w:firstLine="0" w:firstLineChars="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7131C9E9">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22.3本合同一方给另一方的通知均应采用书面形式，传真或快递送到本合同中规定的对方的地址和办理签收手续。</w:t>
      </w:r>
    </w:p>
    <w:p w14:paraId="63FB2D90">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22.4通知以送达之日或通知书中规定的生效之日起生效，两者中以较迟之日为准。</w:t>
      </w:r>
    </w:p>
    <w:p w14:paraId="4CCCF8D9">
      <w:pPr>
        <w:numPr>
          <w:ilvl w:val="0"/>
          <w:numId w:val="7"/>
        </w:numPr>
        <w:adjustRightInd w:val="0"/>
        <w:snapToGrid w:val="0"/>
        <w:spacing w:line="36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663E3A57">
      <w:pPr>
        <w:adjustRightInd w:val="0"/>
        <w:snapToGrid w:val="0"/>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0FE7B4B0">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23.2 合同附件与合同正文具有同等的法律效力。</w:t>
      </w:r>
      <w:bookmarkStart w:id="81" w:name="_Toc20313"/>
    </w:p>
    <w:p w14:paraId="665CF96C">
      <w:pPr>
        <w:adjustRightInd w:val="0"/>
        <w:snapToGrid w:val="0"/>
        <w:spacing w:line="360" w:lineRule="auto"/>
        <w:jc w:val="center"/>
        <w:rPr>
          <w:rFonts w:ascii="仿宋" w:hAnsi="仿宋" w:eastAsia="仿宋" w:cs="仿宋"/>
          <w:color w:val="auto"/>
          <w:sz w:val="24"/>
          <w:szCs w:val="24"/>
          <w:highlight w:val="none"/>
        </w:rPr>
      </w:pPr>
    </w:p>
    <w:p w14:paraId="2AFB75FE">
      <w:pP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E51AD35">
      <w:pPr>
        <w:pStyle w:val="3"/>
        <w:adjustRightInd w:val="0"/>
        <w:snapToGrid w:val="0"/>
        <w:spacing w:before="0" w:line="36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第三节 政府采购合同专用条款</w:t>
      </w:r>
      <w:bookmarkEnd w:id="81"/>
    </w:p>
    <w:tbl>
      <w:tblPr>
        <w:tblStyle w:val="20"/>
        <w:tblW w:w="92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6"/>
        <w:gridCol w:w="2400"/>
        <w:gridCol w:w="4963"/>
      </w:tblGrid>
      <w:tr w14:paraId="5A3E37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72EF4946">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72FE6B1">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第1.2（6）项</w:t>
            </w:r>
          </w:p>
        </w:tc>
        <w:tc>
          <w:tcPr>
            <w:tcW w:w="2400" w:type="dxa"/>
            <w:vAlign w:val="center"/>
          </w:tcPr>
          <w:p w14:paraId="0CD6BD08">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联合体具体要求</w:t>
            </w:r>
          </w:p>
        </w:tc>
        <w:tc>
          <w:tcPr>
            <w:tcW w:w="4963" w:type="dxa"/>
            <w:vAlign w:val="center"/>
          </w:tcPr>
          <w:p w14:paraId="6B4B7C76">
            <w:pPr>
              <w:adjustRightInd w:val="0"/>
              <w:snapToGrid w:val="0"/>
              <w:spacing w:line="360" w:lineRule="auto"/>
              <w:jc w:val="left"/>
              <w:rPr>
                <w:rFonts w:ascii="仿宋" w:hAnsi="仿宋" w:eastAsia="仿宋" w:cs="仿宋"/>
                <w:color w:val="auto"/>
                <w:sz w:val="24"/>
                <w:szCs w:val="24"/>
                <w:highlight w:val="none"/>
              </w:rPr>
            </w:pPr>
          </w:p>
        </w:tc>
      </w:tr>
      <w:tr w14:paraId="681D5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916" w:type="dxa"/>
            <w:vAlign w:val="center"/>
          </w:tcPr>
          <w:p w14:paraId="04A04552">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4BE5309">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第1.2（7）项</w:t>
            </w:r>
          </w:p>
        </w:tc>
        <w:tc>
          <w:tcPr>
            <w:tcW w:w="2400" w:type="dxa"/>
            <w:vAlign w:val="center"/>
          </w:tcPr>
          <w:p w14:paraId="4E76391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其他术语解释</w:t>
            </w:r>
          </w:p>
        </w:tc>
        <w:tc>
          <w:tcPr>
            <w:tcW w:w="4963" w:type="dxa"/>
            <w:vAlign w:val="center"/>
          </w:tcPr>
          <w:p w14:paraId="0C766526">
            <w:pPr>
              <w:adjustRightInd w:val="0"/>
              <w:snapToGrid w:val="0"/>
              <w:spacing w:line="360" w:lineRule="auto"/>
              <w:jc w:val="left"/>
              <w:rPr>
                <w:rFonts w:ascii="仿宋" w:hAnsi="仿宋" w:eastAsia="仿宋" w:cs="仿宋"/>
                <w:color w:val="auto"/>
                <w:sz w:val="24"/>
                <w:szCs w:val="24"/>
                <w:highlight w:val="none"/>
              </w:rPr>
            </w:pPr>
          </w:p>
        </w:tc>
      </w:tr>
      <w:tr w14:paraId="1B4E05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5C12EFDA">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8336EA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第4.4款</w:t>
            </w:r>
          </w:p>
        </w:tc>
        <w:tc>
          <w:tcPr>
            <w:tcW w:w="2400" w:type="dxa"/>
            <w:vAlign w:val="center"/>
          </w:tcPr>
          <w:p w14:paraId="5F350E9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履约验收中甲方提出异议或作出说明的期限</w:t>
            </w:r>
          </w:p>
        </w:tc>
        <w:tc>
          <w:tcPr>
            <w:tcW w:w="4963" w:type="dxa"/>
            <w:vAlign w:val="center"/>
          </w:tcPr>
          <w:p w14:paraId="4F5DFACA">
            <w:pPr>
              <w:adjustRightInd w:val="0"/>
              <w:snapToGrid w:val="0"/>
              <w:spacing w:line="360" w:lineRule="auto"/>
              <w:jc w:val="left"/>
              <w:rPr>
                <w:rFonts w:ascii="仿宋" w:hAnsi="仿宋" w:eastAsia="仿宋" w:cs="仿宋"/>
                <w:color w:val="auto"/>
                <w:sz w:val="24"/>
                <w:szCs w:val="24"/>
                <w:highlight w:val="none"/>
              </w:rPr>
            </w:pPr>
          </w:p>
        </w:tc>
      </w:tr>
      <w:tr w14:paraId="13716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48532D21">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F70A86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第4.6款</w:t>
            </w:r>
          </w:p>
        </w:tc>
        <w:tc>
          <w:tcPr>
            <w:tcW w:w="2400" w:type="dxa"/>
            <w:vAlign w:val="center"/>
          </w:tcPr>
          <w:p w14:paraId="3950167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约定甲方承担的其他义务和责任</w:t>
            </w:r>
          </w:p>
        </w:tc>
        <w:tc>
          <w:tcPr>
            <w:tcW w:w="4963" w:type="dxa"/>
            <w:vAlign w:val="center"/>
          </w:tcPr>
          <w:p w14:paraId="588D10CF">
            <w:pPr>
              <w:adjustRightInd w:val="0"/>
              <w:snapToGrid w:val="0"/>
              <w:spacing w:line="360" w:lineRule="auto"/>
              <w:jc w:val="left"/>
              <w:rPr>
                <w:rFonts w:ascii="仿宋" w:hAnsi="仿宋" w:eastAsia="仿宋" w:cs="仿宋"/>
                <w:color w:val="auto"/>
                <w:sz w:val="24"/>
                <w:szCs w:val="24"/>
                <w:highlight w:val="none"/>
              </w:rPr>
            </w:pPr>
          </w:p>
        </w:tc>
      </w:tr>
      <w:tr w14:paraId="639F05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2D02BA41">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CB8E4A8">
            <w:pPr>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第5.4款</w:t>
            </w:r>
          </w:p>
        </w:tc>
        <w:tc>
          <w:tcPr>
            <w:tcW w:w="2400" w:type="dxa"/>
            <w:vAlign w:val="center"/>
          </w:tcPr>
          <w:p w14:paraId="45A74888">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约定乙方承担的其他义务和责任</w:t>
            </w:r>
          </w:p>
        </w:tc>
        <w:tc>
          <w:tcPr>
            <w:tcW w:w="4963" w:type="dxa"/>
            <w:vAlign w:val="center"/>
          </w:tcPr>
          <w:p w14:paraId="2A103A61">
            <w:pPr>
              <w:adjustRightInd w:val="0"/>
              <w:snapToGrid w:val="0"/>
              <w:spacing w:line="360" w:lineRule="auto"/>
              <w:jc w:val="left"/>
              <w:rPr>
                <w:rFonts w:ascii="仿宋" w:hAnsi="仿宋" w:eastAsia="仿宋" w:cs="仿宋"/>
                <w:color w:val="auto"/>
                <w:sz w:val="24"/>
                <w:szCs w:val="24"/>
                <w:highlight w:val="none"/>
              </w:rPr>
            </w:pPr>
          </w:p>
        </w:tc>
      </w:tr>
      <w:tr w14:paraId="6C6AE9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36D0E49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4FA1459">
            <w:pPr>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第6.1款</w:t>
            </w:r>
          </w:p>
        </w:tc>
        <w:tc>
          <w:tcPr>
            <w:tcW w:w="2400" w:type="dxa"/>
            <w:vAlign w:val="center"/>
          </w:tcPr>
          <w:p w14:paraId="1AC7A47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履行合同义务的顺序</w:t>
            </w:r>
          </w:p>
        </w:tc>
        <w:tc>
          <w:tcPr>
            <w:tcW w:w="4963" w:type="dxa"/>
            <w:vAlign w:val="center"/>
          </w:tcPr>
          <w:p w14:paraId="70637718">
            <w:pPr>
              <w:adjustRightInd w:val="0"/>
              <w:snapToGrid w:val="0"/>
              <w:spacing w:line="360" w:lineRule="auto"/>
              <w:jc w:val="left"/>
              <w:rPr>
                <w:rFonts w:ascii="仿宋" w:hAnsi="仿宋" w:eastAsia="仿宋" w:cs="仿宋"/>
                <w:color w:val="auto"/>
                <w:sz w:val="24"/>
                <w:szCs w:val="24"/>
                <w:highlight w:val="none"/>
              </w:rPr>
            </w:pPr>
          </w:p>
        </w:tc>
      </w:tr>
      <w:tr w14:paraId="0C15E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16" w:type="dxa"/>
            <w:vMerge w:val="restart"/>
            <w:vAlign w:val="center"/>
          </w:tcPr>
          <w:p w14:paraId="31FBCFC4">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D9FA6B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第7.1款</w:t>
            </w:r>
          </w:p>
        </w:tc>
        <w:tc>
          <w:tcPr>
            <w:tcW w:w="2400" w:type="dxa"/>
            <w:vAlign w:val="center"/>
          </w:tcPr>
          <w:p w14:paraId="7B9B8B6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包装特殊要求</w:t>
            </w:r>
          </w:p>
        </w:tc>
        <w:tc>
          <w:tcPr>
            <w:tcW w:w="4963" w:type="dxa"/>
            <w:vAlign w:val="center"/>
          </w:tcPr>
          <w:p w14:paraId="16ACC82A">
            <w:pPr>
              <w:spacing w:line="360" w:lineRule="auto"/>
              <w:rPr>
                <w:rFonts w:ascii="仿宋" w:hAnsi="仿宋" w:eastAsia="仿宋" w:cs="仿宋"/>
                <w:color w:val="auto"/>
                <w:sz w:val="24"/>
                <w:szCs w:val="24"/>
                <w:highlight w:val="none"/>
              </w:rPr>
            </w:pPr>
          </w:p>
        </w:tc>
      </w:tr>
      <w:tr w14:paraId="43ADA2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16" w:type="dxa"/>
            <w:vMerge w:val="continue"/>
            <w:vAlign w:val="center"/>
          </w:tcPr>
          <w:p w14:paraId="6537CDE4">
            <w:pPr>
              <w:adjustRightInd w:val="0"/>
              <w:snapToGrid w:val="0"/>
              <w:spacing w:line="360" w:lineRule="auto"/>
              <w:jc w:val="center"/>
              <w:rPr>
                <w:rFonts w:ascii="仿宋" w:hAnsi="仿宋" w:eastAsia="仿宋" w:cs="仿宋"/>
                <w:color w:val="auto"/>
                <w:sz w:val="24"/>
                <w:szCs w:val="24"/>
                <w:highlight w:val="none"/>
              </w:rPr>
            </w:pPr>
          </w:p>
        </w:tc>
        <w:tc>
          <w:tcPr>
            <w:tcW w:w="2400" w:type="dxa"/>
            <w:vAlign w:val="center"/>
          </w:tcPr>
          <w:p w14:paraId="2BE079A6">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指定现场</w:t>
            </w:r>
          </w:p>
        </w:tc>
        <w:tc>
          <w:tcPr>
            <w:tcW w:w="4963" w:type="dxa"/>
            <w:vAlign w:val="center"/>
          </w:tcPr>
          <w:p w14:paraId="02E098EB">
            <w:pPr>
              <w:spacing w:line="360" w:lineRule="auto"/>
              <w:rPr>
                <w:rFonts w:ascii="仿宋" w:hAnsi="仿宋" w:eastAsia="仿宋" w:cs="仿宋"/>
                <w:color w:val="auto"/>
                <w:sz w:val="24"/>
                <w:szCs w:val="24"/>
                <w:highlight w:val="none"/>
              </w:rPr>
            </w:pPr>
          </w:p>
        </w:tc>
      </w:tr>
      <w:tr w14:paraId="73A69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916" w:type="dxa"/>
            <w:vAlign w:val="center"/>
          </w:tcPr>
          <w:p w14:paraId="535E5B62">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C5E2BF6">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第7.2款</w:t>
            </w:r>
          </w:p>
        </w:tc>
        <w:tc>
          <w:tcPr>
            <w:tcW w:w="2400" w:type="dxa"/>
            <w:vAlign w:val="center"/>
          </w:tcPr>
          <w:p w14:paraId="07C470DF">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运输特殊要求</w:t>
            </w:r>
          </w:p>
        </w:tc>
        <w:tc>
          <w:tcPr>
            <w:tcW w:w="4963" w:type="dxa"/>
            <w:vAlign w:val="center"/>
          </w:tcPr>
          <w:p w14:paraId="3FEA0843">
            <w:pPr>
              <w:spacing w:line="360" w:lineRule="auto"/>
              <w:rPr>
                <w:rFonts w:ascii="仿宋" w:hAnsi="仿宋" w:eastAsia="仿宋" w:cs="仿宋"/>
                <w:color w:val="auto"/>
                <w:sz w:val="24"/>
                <w:szCs w:val="24"/>
                <w:highlight w:val="none"/>
              </w:rPr>
            </w:pPr>
          </w:p>
        </w:tc>
      </w:tr>
      <w:tr w14:paraId="26B2B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916" w:type="dxa"/>
            <w:vAlign w:val="center"/>
          </w:tcPr>
          <w:p w14:paraId="2BCBEE1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CE7F16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第7.3款</w:t>
            </w:r>
          </w:p>
        </w:tc>
        <w:tc>
          <w:tcPr>
            <w:tcW w:w="2400" w:type="dxa"/>
            <w:vAlign w:val="center"/>
          </w:tcPr>
          <w:p w14:paraId="24517E96">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保险要求</w:t>
            </w:r>
          </w:p>
        </w:tc>
        <w:tc>
          <w:tcPr>
            <w:tcW w:w="4963" w:type="dxa"/>
            <w:vAlign w:val="center"/>
          </w:tcPr>
          <w:p w14:paraId="01C9471D">
            <w:pPr>
              <w:spacing w:line="360" w:lineRule="auto"/>
              <w:rPr>
                <w:rFonts w:ascii="仿宋" w:hAnsi="仿宋" w:eastAsia="仿宋" w:cs="仿宋"/>
                <w:color w:val="auto"/>
                <w:sz w:val="24"/>
                <w:szCs w:val="24"/>
                <w:highlight w:val="none"/>
              </w:rPr>
            </w:pPr>
          </w:p>
        </w:tc>
      </w:tr>
      <w:tr w14:paraId="74317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5B81753F">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58076C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第8.2（1）项</w:t>
            </w:r>
          </w:p>
        </w:tc>
        <w:tc>
          <w:tcPr>
            <w:tcW w:w="2400" w:type="dxa"/>
            <w:vAlign w:val="center"/>
          </w:tcPr>
          <w:p w14:paraId="634BE29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质量保证期</w:t>
            </w:r>
          </w:p>
        </w:tc>
        <w:tc>
          <w:tcPr>
            <w:tcW w:w="4963" w:type="dxa"/>
            <w:vAlign w:val="center"/>
          </w:tcPr>
          <w:p w14:paraId="32B21193">
            <w:pPr>
              <w:autoSpaceDE w:val="0"/>
              <w:autoSpaceDN w:val="0"/>
              <w:adjustRightInd w:val="0"/>
              <w:snapToGrid w:val="0"/>
              <w:spacing w:line="360" w:lineRule="auto"/>
              <w:ind w:firstLine="480" w:firstLineChars="200"/>
              <w:jc w:val="left"/>
              <w:rPr>
                <w:rFonts w:ascii="仿宋" w:hAnsi="仿宋" w:eastAsia="仿宋" w:cs="仿宋"/>
                <w:color w:val="auto"/>
                <w:sz w:val="24"/>
                <w:szCs w:val="24"/>
                <w:highlight w:val="none"/>
              </w:rPr>
            </w:pPr>
          </w:p>
        </w:tc>
      </w:tr>
      <w:tr w14:paraId="5661D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068A5F4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D09805E">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第8.2（3）项</w:t>
            </w:r>
          </w:p>
        </w:tc>
        <w:tc>
          <w:tcPr>
            <w:tcW w:w="2400" w:type="dxa"/>
            <w:vAlign w:val="center"/>
          </w:tcPr>
          <w:p w14:paraId="2A541B32">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货物质量缺陷</w:t>
            </w:r>
          </w:p>
          <w:p w14:paraId="7E0D271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响应时间</w:t>
            </w:r>
          </w:p>
        </w:tc>
        <w:tc>
          <w:tcPr>
            <w:tcW w:w="4963" w:type="dxa"/>
            <w:vAlign w:val="center"/>
          </w:tcPr>
          <w:p w14:paraId="77EE784E">
            <w:pPr>
              <w:adjustRightInd w:val="0"/>
              <w:snapToGrid w:val="0"/>
              <w:spacing w:line="360" w:lineRule="auto"/>
              <w:jc w:val="left"/>
              <w:rPr>
                <w:rFonts w:ascii="仿宋" w:hAnsi="仿宋" w:eastAsia="仿宋" w:cs="仿宋"/>
                <w:color w:val="auto"/>
                <w:sz w:val="24"/>
                <w:szCs w:val="24"/>
                <w:highlight w:val="none"/>
              </w:rPr>
            </w:pPr>
          </w:p>
        </w:tc>
      </w:tr>
      <w:tr w14:paraId="5E534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16" w:type="dxa"/>
            <w:vAlign w:val="center"/>
          </w:tcPr>
          <w:p w14:paraId="26502E8E">
            <w:pPr>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5C730C77">
            <w:pPr>
              <w:pStyle w:val="32"/>
              <w:spacing w:line="360" w:lineRule="auto"/>
              <w:ind w:firstLine="0" w:firstLine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第11.1款</w:t>
            </w:r>
          </w:p>
        </w:tc>
        <w:tc>
          <w:tcPr>
            <w:tcW w:w="2400" w:type="dxa"/>
            <w:vAlign w:val="center"/>
          </w:tcPr>
          <w:p w14:paraId="3735141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其他应当保密的信息</w:t>
            </w:r>
          </w:p>
        </w:tc>
        <w:tc>
          <w:tcPr>
            <w:tcW w:w="4963" w:type="dxa"/>
            <w:vAlign w:val="center"/>
          </w:tcPr>
          <w:p w14:paraId="76600134">
            <w:pPr>
              <w:adjustRightInd w:val="0"/>
              <w:snapToGrid w:val="0"/>
              <w:spacing w:line="360" w:lineRule="auto"/>
              <w:jc w:val="left"/>
              <w:rPr>
                <w:rFonts w:ascii="仿宋" w:hAnsi="仿宋" w:eastAsia="仿宋" w:cs="仿宋"/>
                <w:color w:val="auto"/>
                <w:sz w:val="24"/>
                <w:szCs w:val="24"/>
                <w:highlight w:val="none"/>
              </w:rPr>
            </w:pPr>
          </w:p>
        </w:tc>
      </w:tr>
      <w:tr w14:paraId="5DE179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16" w:type="dxa"/>
            <w:vAlign w:val="center"/>
          </w:tcPr>
          <w:p w14:paraId="0CB47E2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E2B59DC">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第12.2款</w:t>
            </w:r>
          </w:p>
        </w:tc>
        <w:tc>
          <w:tcPr>
            <w:tcW w:w="2400" w:type="dxa"/>
            <w:vAlign w:val="center"/>
          </w:tcPr>
          <w:p w14:paraId="385953D0">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合同价款支付时间</w:t>
            </w:r>
          </w:p>
        </w:tc>
        <w:tc>
          <w:tcPr>
            <w:tcW w:w="4963" w:type="dxa"/>
            <w:vAlign w:val="center"/>
          </w:tcPr>
          <w:p w14:paraId="78FE81D0">
            <w:pPr>
              <w:adjustRightInd w:val="0"/>
              <w:snapToGrid w:val="0"/>
              <w:spacing w:line="360" w:lineRule="auto"/>
              <w:jc w:val="left"/>
              <w:rPr>
                <w:rFonts w:ascii="仿宋" w:hAnsi="仿宋" w:eastAsia="仿宋" w:cs="仿宋"/>
                <w:color w:val="auto"/>
                <w:sz w:val="24"/>
                <w:szCs w:val="24"/>
                <w:highlight w:val="none"/>
              </w:rPr>
            </w:pPr>
          </w:p>
        </w:tc>
      </w:tr>
      <w:tr w14:paraId="5299B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916" w:type="dxa"/>
            <w:vAlign w:val="center"/>
          </w:tcPr>
          <w:p w14:paraId="0C479EB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C9B955C">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第13.2款</w:t>
            </w:r>
          </w:p>
        </w:tc>
        <w:tc>
          <w:tcPr>
            <w:tcW w:w="2400" w:type="dxa"/>
            <w:vAlign w:val="center"/>
          </w:tcPr>
          <w:p w14:paraId="2CE2ED55">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履约保证金不予退还的情形</w:t>
            </w:r>
          </w:p>
        </w:tc>
        <w:tc>
          <w:tcPr>
            <w:tcW w:w="4963" w:type="dxa"/>
            <w:vAlign w:val="center"/>
          </w:tcPr>
          <w:p w14:paraId="300C669A">
            <w:pPr>
              <w:adjustRightInd w:val="0"/>
              <w:snapToGrid w:val="0"/>
              <w:spacing w:line="360" w:lineRule="auto"/>
              <w:jc w:val="left"/>
              <w:rPr>
                <w:rFonts w:ascii="仿宋" w:hAnsi="仿宋" w:eastAsia="仿宋" w:cs="仿宋"/>
                <w:color w:val="auto"/>
                <w:sz w:val="24"/>
                <w:szCs w:val="24"/>
                <w:highlight w:val="none"/>
              </w:rPr>
            </w:pPr>
          </w:p>
        </w:tc>
      </w:tr>
      <w:tr w14:paraId="7AFBC9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4AE430CC">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09386F6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第13.3款</w:t>
            </w:r>
          </w:p>
        </w:tc>
        <w:tc>
          <w:tcPr>
            <w:tcW w:w="2400" w:type="dxa"/>
            <w:vAlign w:val="center"/>
          </w:tcPr>
          <w:p w14:paraId="7CD616E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履约保证金退还时间及逾期退还的违约金</w:t>
            </w:r>
          </w:p>
        </w:tc>
        <w:tc>
          <w:tcPr>
            <w:tcW w:w="4963" w:type="dxa"/>
            <w:vAlign w:val="center"/>
          </w:tcPr>
          <w:p w14:paraId="3F8B4D1D">
            <w:pPr>
              <w:adjustRightInd w:val="0"/>
              <w:snapToGrid w:val="0"/>
              <w:spacing w:line="360" w:lineRule="auto"/>
              <w:jc w:val="left"/>
              <w:rPr>
                <w:rFonts w:ascii="仿宋" w:hAnsi="仿宋" w:eastAsia="仿宋" w:cs="仿宋"/>
                <w:color w:val="auto"/>
                <w:sz w:val="24"/>
                <w:szCs w:val="24"/>
                <w:highlight w:val="none"/>
              </w:rPr>
            </w:pPr>
          </w:p>
        </w:tc>
      </w:tr>
      <w:tr w14:paraId="24BDC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16" w:type="dxa"/>
            <w:vAlign w:val="center"/>
          </w:tcPr>
          <w:p w14:paraId="7D7C65FA">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7A549A8">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第14.1（3）项</w:t>
            </w:r>
          </w:p>
        </w:tc>
        <w:tc>
          <w:tcPr>
            <w:tcW w:w="2400" w:type="dxa"/>
            <w:vAlign w:val="center"/>
          </w:tcPr>
          <w:p w14:paraId="542067A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运行监督、维修期限</w:t>
            </w:r>
          </w:p>
        </w:tc>
        <w:tc>
          <w:tcPr>
            <w:tcW w:w="4963" w:type="dxa"/>
            <w:vAlign w:val="center"/>
          </w:tcPr>
          <w:p w14:paraId="604EA8ED">
            <w:pPr>
              <w:adjustRightInd w:val="0"/>
              <w:snapToGrid w:val="0"/>
              <w:spacing w:line="360" w:lineRule="auto"/>
              <w:jc w:val="left"/>
              <w:rPr>
                <w:rFonts w:ascii="仿宋" w:hAnsi="仿宋" w:eastAsia="仿宋" w:cs="仿宋"/>
                <w:color w:val="auto"/>
                <w:sz w:val="24"/>
                <w:szCs w:val="24"/>
                <w:highlight w:val="none"/>
              </w:rPr>
            </w:pPr>
          </w:p>
        </w:tc>
      </w:tr>
      <w:tr w14:paraId="77503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916" w:type="dxa"/>
            <w:vAlign w:val="center"/>
          </w:tcPr>
          <w:p w14:paraId="1F584220">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7400C9F">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第14.1（5）项</w:t>
            </w:r>
          </w:p>
        </w:tc>
        <w:tc>
          <w:tcPr>
            <w:tcW w:w="2400" w:type="dxa"/>
            <w:vAlign w:val="center"/>
          </w:tcPr>
          <w:p w14:paraId="2A35B83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货物回收的约定</w:t>
            </w:r>
          </w:p>
        </w:tc>
        <w:tc>
          <w:tcPr>
            <w:tcW w:w="4963" w:type="dxa"/>
            <w:vAlign w:val="center"/>
          </w:tcPr>
          <w:p w14:paraId="2B5D5E00">
            <w:pPr>
              <w:adjustRightInd w:val="0"/>
              <w:snapToGrid w:val="0"/>
              <w:spacing w:line="360" w:lineRule="auto"/>
              <w:jc w:val="left"/>
              <w:rPr>
                <w:rFonts w:ascii="仿宋" w:hAnsi="仿宋" w:eastAsia="仿宋" w:cs="仿宋"/>
                <w:color w:val="auto"/>
                <w:sz w:val="24"/>
                <w:szCs w:val="24"/>
                <w:highlight w:val="none"/>
              </w:rPr>
            </w:pPr>
          </w:p>
        </w:tc>
      </w:tr>
      <w:tr w14:paraId="0C7CF6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600EF1E0">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3642E5A9">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第14.1（6）项</w:t>
            </w:r>
          </w:p>
        </w:tc>
        <w:tc>
          <w:tcPr>
            <w:tcW w:w="2400" w:type="dxa"/>
            <w:vAlign w:val="center"/>
          </w:tcPr>
          <w:p w14:paraId="7772EE61">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乙方提供的其他服务</w:t>
            </w:r>
          </w:p>
        </w:tc>
        <w:tc>
          <w:tcPr>
            <w:tcW w:w="4963" w:type="dxa"/>
            <w:vAlign w:val="center"/>
          </w:tcPr>
          <w:p w14:paraId="5BAB78E6">
            <w:pPr>
              <w:adjustRightInd w:val="0"/>
              <w:snapToGrid w:val="0"/>
              <w:spacing w:line="360" w:lineRule="auto"/>
              <w:jc w:val="left"/>
              <w:rPr>
                <w:rFonts w:ascii="仿宋" w:hAnsi="仿宋" w:eastAsia="仿宋" w:cs="仿宋"/>
                <w:color w:val="auto"/>
                <w:sz w:val="24"/>
                <w:szCs w:val="24"/>
                <w:highlight w:val="none"/>
              </w:rPr>
            </w:pPr>
          </w:p>
        </w:tc>
      </w:tr>
      <w:tr w14:paraId="2001A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544741B4">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B0B6A0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第15.1款</w:t>
            </w:r>
          </w:p>
        </w:tc>
        <w:tc>
          <w:tcPr>
            <w:tcW w:w="2400" w:type="dxa"/>
            <w:vAlign w:val="center"/>
          </w:tcPr>
          <w:p w14:paraId="54DF62B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修理、重</w:t>
            </w:r>
            <w:r>
              <w:rPr>
                <w:rFonts w:hint="eastAsia" w:ascii="仿宋" w:hAnsi="仿宋" w:eastAsia="仿宋" w:cs="仿宋"/>
                <w:color w:val="auto"/>
                <w:sz w:val="24"/>
                <w:szCs w:val="24"/>
                <w:highlight w:val="none"/>
                <w:lang w:val="en-US" w:eastAsia="zh-CN"/>
              </w:rPr>
              <w:t>做</w:t>
            </w:r>
            <w:r>
              <w:rPr>
                <w:rFonts w:hint="eastAsia" w:ascii="仿宋" w:hAnsi="仿宋" w:eastAsia="仿宋" w:cs="仿宋"/>
                <w:color w:val="auto"/>
                <w:sz w:val="24"/>
                <w:szCs w:val="24"/>
                <w:highlight w:val="none"/>
              </w:rPr>
              <w:t>、更换相关具体规定</w:t>
            </w:r>
          </w:p>
        </w:tc>
        <w:tc>
          <w:tcPr>
            <w:tcW w:w="4963" w:type="dxa"/>
            <w:vAlign w:val="center"/>
          </w:tcPr>
          <w:p w14:paraId="2FD8A79F">
            <w:pPr>
              <w:adjustRightInd w:val="0"/>
              <w:snapToGrid w:val="0"/>
              <w:spacing w:line="360" w:lineRule="auto"/>
              <w:jc w:val="left"/>
              <w:rPr>
                <w:rFonts w:ascii="仿宋" w:hAnsi="仿宋" w:eastAsia="仿宋" w:cs="仿宋"/>
                <w:color w:val="auto"/>
                <w:sz w:val="24"/>
                <w:szCs w:val="24"/>
                <w:highlight w:val="none"/>
              </w:rPr>
            </w:pPr>
          </w:p>
        </w:tc>
      </w:tr>
      <w:tr w14:paraId="72994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477BB674">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6F7E6BF">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第15.2（2）项</w:t>
            </w:r>
          </w:p>
        </w:tc>
        <w:tc>
          <w:tcPr>
            <w:tcW w:w="2400" w:type="dxa"/>
            <w:vAlign w:val="center"/>
          </w:tcPr>
          <w:p w14:paraId="610A9556">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迟延交货赔偿费</w:t>
            </w:r>
          </w:p>
        </w:tc>
        <w:tc>
          <w:tcPr>
            <w:tcW w:w="4963" w:type="dxa"/>
            <w:vAlign w:val="center"/>
          </w:tcPr>
          <w:p w14:paraId="0026C27C">
            <w:pPr>
              <w:adjustRightInd w:val="0"/>
              <w:snapToGrid w:val="0"/>
              <w:spacing w:line="360" w:lineRule="auto"/>
              <w:jc w:val="left"/>
              <w:rPr>
                <w:rFonts w:ascii="仿宋" w:hAnsi="仿宋" w:eastAsia="仿宋" w:cs="仿宋"/>
                <w:color w:val="auto"/>
                <w:sz w:val="24"/>
                <w:szCs w:val="24"/>
                <w:highlight w:val="none"/>
                <w:u w:val="single"/>
              </w:rPr>
            </w:pPr>
          </w:p>
        </w:tc>
      </w:tr>
      <w:tr w14:paraId="156DF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916" w:type="dxa"/>
            <w:vAlign w:val="center"/>
          </w:tcPr>
          <w:p w14:paraId="4BF3451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64B6508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第15.3款</w:t>
            </w:r>
          </w:p>
        </w:tc>
        <w:tc>
          <w:tcPr>
            <w:tcW w:w="2400" w:type="dxa"/>
            <w:vAlign w:val="center"/>
          </w:tcPr>
          <w:p w14:paraId="004D1A9B">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逾期付款利息</w:t>
            </w:r>
          </w:p>
        </w:tc>
        <w:tc>
          <w:tcPr>
            <w:tcW w:w="4963" w:type="dxa"/>
            <w:vAlign w:val="center"/>
          </w:tcPr>
          <w:p w14:paraId="5086B4CC">
            <w:pPr>
              <w:adjustRightInd w:val="0"/>
              <w:snapToGrid w:val="0"/>
              <w:spacing w:line="360" w:lineRule="auto"/>
              <w:jc w:val="left"/>
              <w:rPr>
                <w:rFonts w:ascii="仿宋" w:hAnsi="仿宋" w:eastAsia="仿宋" w:cs="仿宋"/>
                <w:color w:val="auto"/>
                <w:sz w:val="24"/>
                <w:szCs w:val="24"/>
                <w:highlight w:val="none"/>
                <w:u w:val="single"/>
              </w:rPr>
            </w:pPr>
          </w:p>
        </w:tc>
      </w:tr>
      <w:tr w14:paraId="4844C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916" w:type="dxa"/>
            <w:tcBorders>
              <w:bottom w:val="single" w:color="auto" w:sz="2" w:space="0"/>
              <w:right w:val="single" w:color="auto" w:sz="2" w:space="0"/>
            </w:tcBorders>
            <w:vAlign w:val="center"/>
          </w:tcPr>
          <w:p w14:paraId="4F8C2A5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70C9BA2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第15.4款</w:t>
            </w:r>
          </w:p>
        </w:tc>
        <w:tc>
          <w:tcPr>
            <w:tcW w:w="2400" w:type="dxa"/>
            <w:tcBorders>
              <w:left w:val="single" w:color="auto" w:sz="2" w:space="0"/>
              <w:bottom w:val="single" w:color="auto" w:sz="2" w:space="0"/>
              <w:right w:val="single" w:color="auto" w:sz="2" w:space="0"/>
            </w:tcBorders>
            <w:vAlign w:val="center"/>
          </w:tcPr>
          <w:p w14:paraId="39008A4D">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其他违约责任</w:t>
            </w:r>
          </w:p>
        </w:tc>
        <w:tc>
          <w:tcPr>
            <w:tcW w:w="4963" w:type="dxa"/>
            <w:tcBorders>
              <w:left w:val="single" w:color="auto" w:sz="2" w:space="0"/>
              <w:bottom w:val="single" w:color="auto" w:sz="2" w:space="0"/>
            </w:tcBorders>
            <w:vAlign w:val="center"/>
          </w:tcPr>
          <w:p w14:paraId="5C8AB937">
            <w:pPr>
              <w:adjustRightInd w:val="0"/>
              <w:snapToGrid w:val="0"/>
              <w:spacing w:line="360" w:lineRule="auto"/>
              <w:jc w:val="left"/>
              <w:rPr>
                <w:rFonts w:ascii="仿宋" w:hAnsi="仿宋" w:eastAsia="仿宋" w:cs="仿宋"/>
                <w:color w:val="auto"/>
                <w:sz w:val="24"/>
                <w:szCs w:val="24"/>
                <w:highlight w:val="none"/>
                <w:u w:val="single"/>
              </w:rPr>
            </w:pPr>
          </w:p>
        </w:tc>
      </w:tr>
      <w:tr w14:paraId="3A09B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16" w:type="dxa"/>
            <w:tcBorders>
              <w:top w:val="single" w:color="auto" w:sz="2" w:space="0"/>
              <w:right w:val="single" w:color="auto" w:sz="2" w:space="0"/>
            </w:tcBorders>
            <w:vAlign w:val="center"/>
          </w:tcPr>
          <w:p w14:paraId="73F84C1A">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3391AC2">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第19.2款</w:t>
            </w:r>
          </w:p>
        </w:tc>
        <w:tc>
          <w:tcPr>
            <w:tcW w:w="2400" w:type="dxa"/>
            <w:tcBorders>
              <w:top w:val="single" w:color="auto" w:sz="2" w:space="0"/>
              <w:left w:val="single" w:color="auto" w:sz="2" w:space="0"/>
              <w:right w:val="single" w:color="auto" w:sz="2" w:space="0"/>
            </w:tcBorders>
            <w:vAlign w:val="center"/>
          </w:tcPr>
          <w:p w14:paraId="26ED90F3">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解决争议的方法</w:t>
            </w:r>
          </w:p>
        </w:tc>
        <w:tc>
          <w:tcPr>
            <w:tcW w:w="4963" w:type="dxa"/>
            <w:tcBorders>
              <w:top w:val="single" w:color="auto" w:sz="2" w:space="0"/>
              <w:left w:val="single" w:color="auto" w:sz="2" w:space="0"/>
            </w:tcBorders>
            <w:vAlign w:val="center"/>
          </w:tcPr>
          <w:p w14:paraId="23F212EC">
            <w:pPr>
              <w:autoSpaceDE w:val="0"/>
              <w:autoSpaceDN w:val="0"/>
              <w:adjustRightInd w:val="0"/>
              <w:snapToGrid w:val="0"/>
              <w:spacing w:line="360" w:lineRule="auto"/>
              <w:jc w:val="left"/>
              <w:rPr>
                <w:rFonts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因本合同及合同有关事项发生的争议，按下列第</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种方式解决：</w:t>
            </w:r>
          </w:p>
          <w:p w14:paraId="19C998B7">
            <w:pPr>
              <w:autoSpaceDE w:val="0"/>
              <w:autoSpaceDN w:val="0"/>
              <w:adjustRightInd w:val="0"/>
              <w:snapToGrid w:val="0"/>
              <w:spacing w:line="360" w:lineRule="auto"/>
              <w:jc w:val="left"/>
              <w:rPr>
                <w:rFonts w:ascii="仿宋" w:hAnsi="仿宋" w:eastAsia="仿宋" w:cs="仿宋"/>
                <w:iCs/>
                <w:color w:val="auto"/>
                <w:sz w:val="24"/>
                <w:szCs w:val="24"/>
                <w:highlight w:val="none"/>
              </w:rPr>
            </w:pPr>
            <w:r>
              <w:rPr>
                <w:rFonts w:hint="eastAsia" w:ascii="仿宋" w:hAnsi="仿宋" w:eastAsia="仿宋" w:cs="仿宋"/>
                <w:iCs/>
                <w:color w:val="auto"/>
                <w:sz w:val="24"/>
                <w:szCs w:val="24"/>
                <w:highlight w:val="none"/>
              </w:rPr>
              <w:t>（1）向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仲裁委员会申请仲裁，仲裁地点为</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w:t>
            </w:r>
          </w:p>
          <w:p w14:paraId="3D4BF189">
            <w:pPr>
              <w:adjustRightInd w:val="0"/>
              <w:snapToGrid w:val="0"/>
              <w:spacing w:line="360" w:lineRule="auto"/>
              <w:jc w:val="left"/>
              <w:rPr>
                <w:rFonts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rPr>
              <w:t>（2）向</w:t>
            </w:r>
            <w:r>
              <w:rPr>
                <w:rFonts w:hint="eastAsia" w:ascii="仿宋" w:hAnsi="仿宋" w:eastAsia="仿宋" w:cs="仿宋"/>
                <w:iCs/>
                <w:color w:val="auto"/>
                <w:sz w:val="24"/>
                <w:szCs w:val="24"/>
                <w:highlight w:val="none"/>
                <w:u w:val="single"/>
              </w:rPr>
              <w:t xml:space="preserve">                    </w:t>
            </w:r>
            <w:r>
              <w:rPr>
                <w:rFonts w:hint="eastAsia" w:ascii="仿宋" w:hAnsi="仿宋" w:eastAsia="仿宋" w:cs="仿宋"/>
                <w:iCs/>
                <w:color w:val="auto"/>
                <w:sz w:val="24"/>
                <w:szCs w:val="24"/>
                <w:highlight w:val="none"/>
              </w:rPr>
              <w:t>人民法院起诉。</w:t>
            </w:r>
          </w:p>
        </w:tc>
      </w:tr>
      <w:tr w14:paraId="28038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916" w:type="dxa"/>
            <w:vAlign w:val="center"/>
          </w:tcPr>
          <w:p w14:paraId="041A3D4E">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第二节</w:t>
            </w:r>
          </w:p>
          <w:p w14:paraId="10EFA6C4">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第23.1款</w:t>
            </w:r>
          </w:p>
        </w:tc>
        <w:tc>
          <w:tcPr>
            <w:tcW w:w="2400" w:type="dxa"/>
            <w:vAlign w:val="center"/>
          </w:tcPr>
          <w:p w14:paraId="36DEED77">
            <w:pPr>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其他专用条款</w:t>
            </w:r>
          </w:p>
        </w:tc>
        <w:tc>
          <w:tcPr>
            <w:tcW w:w="4963" w:type="dxa"/>
            <w:vAlign w:val="center"/>
          </w:tcPr>
          <w:p w14:paraId="77196CA6">
            <w:pPr>
              <w:adjustRightInd w:val="0"/>
              <w:snapToGrid w:val="0"/>
              <w:spacing w:line="360" w:lineRule="auto"/>
              <w:jc w:val="left"/>
              <w:rPr>
                <w:rFonts w:ascii="仿宋" w:hAnsi="仿宋" w:eastAsia="仿宋" w:cs="仿宋"/>
                <w:color w:val="auto"/>
                <w:sz w:val="24"/>
                <w:szCs w:val="24"/>
                <w:highlight w:val="none"/>
              </w:rPr>
            </w:pPr>
          </w:p>
        </w:tc>
      </w:tr>
    </w:tbl>
    <w:p w14:paraId="51EF70F2">
      <w:pPr>
        <w:rPr>
          <w:rFonts w:ascii="仿宋" w:hAnsi="仿宋" w:eastAsia="仿宋" w:cs="仿宋"/>
          <w:color w:val="auto"/>
          <w:highlight w:val="none"/>
        </w:rPr>
      </w:pPr>
    </w:p>
    <w:p w14:paraId="470AAA5A">
      <w:pPr>
        <w:rPr>
          <w:rFonts w:ascii="仿宋" w:hAnsi="仿宋" w:eastAsia="仿宋" w:cs="仿宋"/>
          <w:color w:val="auto"/>
          <w:highlight w:val="none"/>
        </w:rPr>
      </w:pPr>
    </w:p>
    <w:p w14:paraId="74FF22C9">
      <w:pPr>
        <w:rPr>
          <w:rFonts w:ascii="仿宋" w:hAnsi="仿宋" w:eastAsia="仿宋" w:cs="仿宋"/>
          <w:color w:val="auto"/>
          <w:highlight w:val="none"/>
        </w:rPr>
      </w:pPr>
      <w:r>
        <w:rPr>
          <w:rFonts w:hint="eastAsia" w:ascii="仿宋" w:hAnsi="仿宋" w:eastAsia="仿宋" w:cs="仿宋"/>
          <w:color w:val="auto"/>
          <w:highlight w:val="none"/>
        </w:rPr>
        <w:t xml:space="preserve"> </w:t>
      </w:r>
    </w:p>
    <w:p w14:paraId="5FE7D67D">
      <w:pPr>
        <w:rPr>
          <w:rFonts w:ascii="仿宋" w:hAnsi="仿宋" w:eastAsia="仿宋" w:cs="仿宋"/>
          <w:color w:val="auto"/>
          <w:highlight w:val="none"/>
        </w:rPr>
      </w:pPr>
      <w:r>
        <w:rPr>
          <w:rFonts w:hint="eastAsia" w:ascii="仿宋" w:hAnsi="仿宋" w:eastAsia="仿宋" w:cs="仿宋"/>
          <w:color w:val="auto"/>
          <w:highlight w:val="none"/>
        </w:rPr>
        <w:t xml:space="preserve"> </w:t>
      </w:r>
    </w:p>
    <w:p w14:paraId="0523D157">
      <w:pPr>
        <w:autoSpaceDE w:val="0"/>
        <w:adjustRightInd w:val="0"/>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51C5446">
      <w:pPr>
        <w:rPr>
          <w:rFonts w:ascii="仿宋" w:hAnsi="仿宋" w:eastAsia="仿宋" w:cs="仿宋"/>
          <w:color w:val="auto"/>
          <w:sz w:val="24"/>
          <w:szCs w:val="24"/>
          <w:highlight w:val="none"/>
        </w:rPr>
      </w:pPr>
    </w:p>
    <w:p w14:paraId="1CE46052">
      <w:pPr>
        <w:rPr>
          <w:rFonts w:ascii="仿宋" w:hAnsi="仿宋" w:eastAsia="仿宋" w:cs="仿宋"/>
          <w:b/>
          <w:bCs/>
          <w:caps/>
          <w:color w:val="auto"/>
          <w:sz w:val="32"/>
          <w:szCs w:val="32"/>
          <w:highlight w:val="none"/>
        </w:rPr>
      </w:pPr>
      <w:bookmarkStart w:id="82" w:name="_Toc30922"/>
      <w:r>
        <w:rPr>
          <w:rFonts w:hint="eastAsia" w:ascii="仿宋" w:hAnsi="仿宋" w:eastAsia="仿宋" w:cs="仿宋"/>
          <w:b/>
          <w:bCs/>
          <w:caps/>
          <w:color w:val="auto"/>
          <w:sz w:val="32"/>
          <w:szCs w:val="32"/>
          <w:highlight w:val="none"/>
        </w:rPr>
        <w:br w:type="page"/>
      </w:r>
    </w:p>
    <w:p w14:paraId="4C10018B">
      <w:pPr>
        <w:tabs>
          <w:tab w:val="center" w:pos="4691"/>
          <w:tab w:val="left" w:pos="7942"/>
        </w:tabs>
        <w:spacing w:line="360" w:lineRule="auto"/>
        <w:jc w:val="left"/>
        <w:outlineLvl w:val="0"/>
        <w:rPr>
          <w:rFonts w:ascii="仿宋" w:hAnsi="仿宋" w:eastAsia="仿宋" w:cs="仿宋"/>
          <w:b/>
          <w:bCs/>
          <w:caps/>
          <w:color w:val="auto"/>
          <w:sz w:val="44"/>
          <w:szCs w:val="44"/>
          <w:highlight w:val="none"/>
        </w:rPr>
      </w:pPr>
      <w:r>
        <w:rPr>
          <w:rFonts w:hint="eastAsia" w:ascii="仿宋" w:hAnsi="仿宋" w:eastAsia="仿宋" w:cs="仿宋"/>
          <w:b/>
          <w:bCs/>
          <w:caps/>
          <w:color w:val="auto"/>
          <w:sz w:val="44"/>
          <w:szCs w:val="44"/>
          <w:highlight w:val="none"/>
        </w:rPr>
        <w:tab/>
      </w:r>
      <w:r>
        <w:rPr>
          <w:rFonts w:hint="eastAsia" w:ascii="仿宋" w:hAnsi="仿宋" w:eastAsia="仿宋" w:cs="仿宋"/>
          <w:b/>
          <w:bCs/>
          <w:caps/>
          <w:color w:val="auto"/>
          <w:sz w:val="36"/>
          <w:szCs w:val="36"/>
          <w:highlight w:val="none"/>
        </w:rPr>
        <w:t>第六章  投标文件格式</w:t>
      </w:r>
      <w:bookmarkEnd w:id="82"/>
      <w:r>
        <w:rPr>
          <w:rFonts w:hint="eastAsia" w:ascii="仿宋" w:hAnsi="仿宋" w:eastAsia="仿宋" w:cs="仿宋"/>
          <w:b/>
          <w:bCs/>
          <w:caps/>
          <w:color w:val="auto"/>
          <w:sz w:val="36"/>
          <w:szCs w:val="36"/>
          <w:highlight w:val="none"/>
        </w:rPr>
        <w:tab/>
      </w:r>
    </w:p>
    <w:p w14:paraId="2F30C460">
      <w:pPr>
        <w:pStyle w:val="10"/>
        <w:wordWrap w:val="0"/>
        <w:snapToGrid w:val="0"/>
        <w:spacing w:line="360" w:lineRule="auto"/>
        <w:ind w:firstLine="1675" w:firstLineChars="695"/>
        <w:rPr>
          <w:rFonts w:ascii="仿宋" w:hAnsi="仿宋" w:eastAsia="仿宋" w:cs="仿宋"/>
          <w:b/>
          <w:caps/>
          <w:color w:val="auto"/>
          <w:sz w:val="24"/>
          <w:szCs w:val="24"/>
          <w:highlight w:val="none"/>
          <w:u w:val="single"/>
        </w:rPr>
      </w:pPr>
    </w:p>
    <w:p w14:paraId="080BC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陇川县2026年职业教育能力提升项目</w:t>
      </w:r>
    </w:p>
    <w:p w14:paraId="65258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8"/>
          <w:szCs w:val="48"/>
          <w:highlight w:val="none"/>
          <w:lang w:eastAsia="zh-CN"/>
        </w:rPr>
      </w:pPr>
      <w:r>
        <w:rPr>
          <w:rFonts w:hint="eastAsia" w:ascii="仿宋" w:hAnsi="仿宋" w:eastAsia="仿宋" w:cs="仿宋"/>
          <w:b/>
          <w:bCs/>
          <w:color w:val="auto"/>
          <w:sz w:val="48"/>
          <w:szCs w:val="48"/>
          <w:highlight w:val="none"/>
          <w:lang w:eastAsia="zh-CN"/>
        </w:rPr>
        <w:t>（制衣设备）</w:t>
      </w:r>
    </w:p>
    <w:p w14:paraId="7B324005">
      <w:pPr>
        <w:pStyle w:val="10"/>
        <w:wordWrap w:val="0"/>
        <w:snapToGrid w:val="0"/>
        <w:spacing w:line="360" w:lineRule="auto"/>
        <w:jc w:val="center"/>
        <w:rPr>
          <w:rFonts w:ascii="仿宋" w:hAnsi="仿宋" w:eastAsia="仿宋" w:cs="仿宋"/>
          <w:b/>
          <w:caps/>
          <w:color w:val="auto"/>
          <w:sz w:val="48"/>
          <w:szCs w:val="48"/>
          <w:highlight w:val="none"/>
        </w:rPr>
      </w:pPr>
      <w:r>
        <w:rPr>
          <w:rFonts w:hint="eastAsia" w:ascii="仿宋" w:hAnsi="仿宋" w:eastAsia="仿宋" w:cs="仿宋"/>
          <w:b/>
          <w:caps/>
          <w:color w:val="auto"/>
          <w:sz w:val="48"/>
          <w:szCs w:val="48"/>
          <w:highlight w:val="none"/>
        </w:rPr>
        <w:t xml:space="preserve"> </w:t>
      </w:r>
    </w:p>
    <w:p w14:paraId="151EC9A1">
      <w:pPr>
        <w:pStyle w:val="10"/>
        <w:wordWrap w:val="0"/>
        <w:snapToGrid w:val="0"/>
        <w:spacing w:line="360" w:lineRule="auto"/>
        <w:jc w:val="center"/>
        <w:rPr>
          <w:rFonts w:ascii="仿宋" w:hAnsi="仿宋" w:eastAsia="仿宋" w:cs="仿宋"/>
          <w:b/>
          <w:caps/>
          <w:color w:val="auto"/>
          <w:sz w:val="48"/>
          <w:szCs w:val="48"/>
          <w:highlight w:val="none"/>
        </w:rPr>
      </w:pPr>
      <w:r>
        <w:rPr>
          <w:rFonts w:hint="eastAsia" w:ascii="仿宋" w:hAnsi="仿宋" w:eastAsia="仿宋" w:cs="仿宋"/>
          <w:b/>
          <w:caps/>
          <w:color w:val="auto"/>
          <w:sz w:val="48"/>
          <w:szCs w:val="48"/>
          <w:highlight w:val="none"/>
        </w:rPr>
        <w:t xml:space="preserve"> </w:t>
      </w:r>
    </w:p>
    <w:p w14:paraId="0220F7F5">
      <w:pPr>
        <w:pStyle w:val="10"/>
        <w:wordWrap w:val="0"/>
        <w:snapToGrid w:val="0"/>
        <w:spacing w:line="360" w:lineRule="auto"/>
        <w:jc w:val="center"/>
        <w:rPr>
          <w:rFonts w:ascii="仿宋" w:hAnsi="仿宋" w:eastAsia="仿宋" w:cs="仿宋"/>
          <w:b/>
          <w:caps/>
          <w:color w:val="auto"/>
          <w:sz w:val="48"/>
          <w:szCs w:val="48"/>
          <w:highlight w:val="none"/>
        </w:rPr>
      </w:pPr>
      <w:r>
        <w:rPr>
          <w:rFonts w:hint="eastAsia" w:ascii="仿宋" w:hAnsi="仿宋" w:eastAsia="仿宋" w:cs="仿宋"/>
          <w:b/>
          <w:caps/>
          <w:color w:val="auto"/>
          <w:sz w:val="48"/>
          <w:szCs w:val="48"/>
          <w:highlight w:val="none"/>
        </w:rPr>
        <w:t>投标文件</w:t>
      </w:r>
    </w:p>
    <w:p w14:paraId="7AB6617C">
      <w:pPr>
        <w:pStyle w:val="10"/>
        <w:wordWrap w:val="0"/>
        <w:snapToGrid w:val="0"/>
        <w:spacing w:line="360" w:lineRule="auto"/>
        <w:ind w:firstLine="3086" w:firstLineChars="1281"/>
        <w:rPr>
          <w:rFonts w:ascii="仿宋" w:hAnsi="仿宋" w:eastAsia="仿宋" w:cs="仿宋"/>
          <w:b/>
          <w:caps/>
          <w:color w:val="auto"/>
          <w:sz w:val="24"/>
          <w:szCs w:val="24"/>
          <w:highlight w:val="none"/>
        </w:rPr>
      </w:pPr>
      <w:r>
        <w:rPr>
          <w:rFonts w:hint="eastAsia" w:ascii="仿宋" w:hAnsi="仿宋" w:eastAsia="仿宋" w:cs="仿宋"/>
          <w:b/>
          <w:caps/>
          <w:color w:val="auto"/>
          <w:sz w:val="24"/>
          <w:szCs w:val="24"/>
          <w:highlight w:val="none"/>
        </w:rPr>
        <w:t xml:space="preserve">                   </w:t>
      </w:r>
    </w:p>
    <w:p w14:paraId="7452FAFD">
      <w:pPr>
        <w:pStyle w:val="10"/>
        <w:wordWrap w:val="0"/>
        <w:snapToGrid w:val="0"/>
        <w:spacing w:line="360" w:lineRule="auto"/>
        <w:jc w:val="center"/>
        <w:rPr>
          <w:rFonts w:ascii="仿宋" w:hAnsi="仿宋" w:eastAsia="仿宋" w:cs="仿宋"/>
          <w:b/>
          <w:caps/>
          <w:color w:val="auto"/>
          <w:sz w:val="24"/>
          <w:szCs w:val="24"/>
          <w:highlight w:val="none"/>
        </w:rPr>
      </w:pPr>
      <w:r>
        <w:rPr>
          <w:rFonts w:hint="eastAsia" w:ascii="仿宋" w:hAnsi="仿宋" w:eastAsia="仿宋" w:cs="仿宋"/>
          <w:b/>
          <w:caps/>
          <w:color w:val="auto"/>
          <w:sz w:val="24"/>
          <w:szCs w:val="24"/>
          <w:highlight w:val="none"/>
        </w:rPr>
        <w:t xml:space="preserve"> </w:t>
      </w:r>
    </w:p>
    <w:p w14:paraId="245230B5">
      <w:pPr>
        <w:pStyle w:val="10"/>
        <w:wordWrap w:val="0"/>
        <w:snapToGrid w:val="0"/>
        <w:spacing w:line="360" w:lineRule="auto"/>
        <w:jc w:val="center"/>
        <w:rPr>
          <w:rFonts w:ascii="仿宋" w:hAnsi="仿宋" w:eastAsia="仿宋" w:cs="仿宋"/>
          <w:b/>
          <w:caps/>
          <w:color w:val="auto"/>
          <w:sz w:val="24"/>
          <w:szCs w:val="24"/>
          <w:highlight w:val="none"/>
        </w:rPr>
      </w:pPr>
      <w:r>
        <w:rPr>
          <w:rFonts w:hint="eastAsia" w:ascii="仿宋" w:hAnsi="仿宋" w:eastAsia="仿宋" w:cs="仿宋"/>
          <w:b/>
          <w:caps/>
          <w:color w:val="auto"/>
          <w:sz w:val="24"/>
          <w:szCs w:val="24"/>
          <w:highlight w:val="none"/>
        </w:rPr>
        <w:t xml:space="preserve"> </w:t>
      </w:r>
    </w:p>
    <w:p w14:paraId="40BA75F1">
      <w:pPr>
        <w:pStyle w:val="10"/>
        <w:wordWrap w:val="0"/>
        <w:snapToGrid w:val="0"/>
        <w:spacing w:line="360" w:lineRule="auto"/>
        <w:jc w:val="center"/>
        <w:rPr>
          <w:rFonts w:ascii="仿宋" w:hAnsi="仿宋" w:eastAsia="仿宋" w:cs="仿宋"/>
          <w:b/>
          <w:caps/>
          <w:color w:val="auto"/>
          <w:sz w:val="24"/>
          <w:szCs w:val="24"/>
          <w:highlight w:val="none"/>
        </w:rPr>
      </w:pPr>
      <w:r>
        <w:rPr>
          <w:rFonts w:hint="eastAsia" w:ascii="仿宋" w:hAnsi="仿宋" w:eastAsia="仿宋" w:cs="仿宋"/>
          <w:b/>
          <w:caps/>
          <w:color w:val="auto"/>
          <w:sz w:val="24"/>
          <w:szCs w:val="24"/>
          <w:highlight w:val="none"/>
        </w:rPr>
        <w:t xml:space="preserve"> </w:t>
      </w:r>
    </w:p>
    <w:p w14:paraId="5485F0AE">
      <w:pPr>
        <w:pStyle w:val="10"/>
        <w:wordWrap w:val="0"/>
        <w:snapToGrid w:val="0"/>
        <w:spacing w:line="360" w:lineRule="auto"/>
        <w:rPr>
          <w:rFonts w:ascii="仿宋" w:hAnsi="仿宋" w:eastAsia="仿宋" w:cs="仿宋"/>
          <w:b/>
          <w:caps/>
          <w:color w:val="auto"/>
          <w:sz w:val="24"/>
          <w:szCs w:val="24"/>
          <w:highlight w:val="none"/>
        </w:rPr>
      </w:pPr>
    </w:p>
    <w:p w14:paraId="46DD3A03">
      <w:pPr>
        <w:pStyle w:val="10"/>
        <w:wordWrap w:val="0"/>
        <w:snapToGrid w:val="0"/>
        <w:spacing w:line="360" w:lineRule="auto"/>
        <w:jc w:val="center"/>
        <w:rPr>
          <w:rFonts w:ascii="仿宋" w:hAnsi="仿宋" w:eastAsia="仿宋" w:cs="仿宋"/>
          <w:b/>
          <w:caps/>
          <w:color w:val="auto"/>
          <w:sz w:val="24"/>
          <w:szCs w:val="24"/>
          <w:highlight w:val="none"/>
        </w:rPr>
      </w:pPr>
      <w:r>
        <w:rPr>
          <w:rFonts w:hint="eastAsia" w:ascii="仿宋" w:hAnsi="仿宋" w:eastAsia="仿宋" w:cs="仿宋"/>
          <w:b/>
          <w:caps/>
          <w:color w:val="auto"/>
          <w:sz w:val="24"/>
          <w:szCs w:val="24"/>
          <w:highlight w:val="none"/>
        </w:rPr>
        <w:t xml:space="preserve"> </w:t>
      </w:r>
    </w:p>
    <w:p w14:paraId="26E476C3">
      <w:pPr>
        <w:pStyle w:val="10"/>
        <w:wordWrap w:val="0"/>
        <w:snapToGrid w:val="0"/>
        <w:spacing w:line="360" w:lineRule="auto"/>
        <w:rPr>
          <w:rFonts w:ascii="仿宋" w:hAnsi="仿宋" w:eastAsia="仿宋" w:cs="仿宋"/>
          <w:b/>
          <w:caps/>
          <w:color w:val="auto"/>
          <w:sz w:val="24"/>
          <w:szCs w:val="24"/>
          <w:highlight w:val="none"/>
        </w:rPr>
      </w:pPr>
      <w:r>
        <w:rPr>
          <w:rFonts w:hint="eastAsia" w:ascii="仿宋" w:hAnsi="仿宋" w:eastAsia="仿宋" w:cs="仿宋"/>
          <w:b/>
          <w:caps/>
          <w:color w:val="auto"/>
          <w:sz w:val="24"/>
          <w:szCs w:val="24"/>
          <w:highlight w:val="none"/>
        </w:rPr>
        <w:t xml:space="preserve"> </w:t>
      </w:r>
    </w:p>
    <w:p w14:paraId="27D1DB5F">
      <w:pPr>
        <w:autoSpaceDE w:val="0"/>
        <w:spacing w:line="480" w:lineRule="auto"/>
        <w:outlineLvl w:val="0"/>
        <w:rPr>
          <w:rFonts w:ascii="仿宋" w:hAnsi="仿宋" w:eastAsia="仿宋" w:cs="仿宋"/>
          <w:color w:val="auto"/>
          <w:sz w:val="30"/>
          <w:szCs w:val="30"/>
          <w:highlight w:val="none"/>
        </w:rPr>
      </w:pPr>
      <w:bookmarkStart w:id="83" w:name="_Toc3648"/>
      <w:bookmarkEnd w:id="83"/>
      <w:bookmarkStart w:id="84" w:name="_Toc15875"/>
      <w:bookmarkStart w:id="85" w:name="_Toc25855"/>
      <w:r>
        <w:rPr>
          <w:rFonts w:hint="eastAsia" w:ascii="仿宋" w:hAnsi="仿宋" w:eastAsia="仿宋" w:cs="仿宋"/>
          <w:color w:val="auto"/>
          <w:sz w:val="30"/>
          <w:szCs w:val="30"/>
          <w:highlight w:val="none"/>
        </w:rPr>
        <w:t>招标编号</w:t>
      </w:r>
      <w:bookmarkEnd w:id="84"/>
      <w:bookmarkEnd w:id="85"/>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u w:val="single"/>
        </w:rPr>
        <w:t xml:space="preserve">                      </w:t>
      </w:r>
    </w:p>
    <w:p w14:paraId="3B911A2A">
      <w:pPr>
        <w:autoSpaceDE w:val="0"/>
        <w:spacing w:line="480" w:lineRule="auto"/>
        <w:outlineLvl w:val="0"/>
        <w:rPr>
          <w:rFonts w:ascii="仿宋" w:hAnsi="仿宋" w:eastAsia="仿宋" w:cs="仿宋"/>
          <w:color w:val="auto"/>
          <w:sz w:val="30"/>
          <w:szCs w:val="30"/>
          <w:highlight w:val="none"/>
          <w:u w:val="single"/>
        </w:rPr>
      </w:pPr>
      <w:bookmarkStart w:id="86" w:name="_Toc5792"/>
      <w:bookmarkEnd w:id="86"/>
      <w:bookmarkStart w:id="87" w:name="_Toc110"/>
      <w:r>
        <w:rPr>
          <w:rFonts w:hint="eastAsia" w:ascii="仿宋" w:hAnsi="仿宋" w:eastAsia="仿宋" w:cs="仿宋"/>
          <w:color w:val="auto"/>
          <w:sz w:val="30"/>
          <w:szCs w:val="30"/>
          <w:highlight w:val="none"/>
        </w:rPr>
        <w:t>投标人全称</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加盖电子公章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w:t>
      </w:r>
      <w:bookmarkEnd w:id="87"/>
      <w:r>
        <w:rPr>
          <w:rFonts w:hint="eastAsia" w:ascii="仿宋" w:hAnsi="仿宋" w:eastAsia="仿宋" w:cs="仿宋"/>
          <w:color w:val="auto"/>
          <w:sz w:val="30"/>
          <w:szCs w:val="30"/>
          <w:highlight w:val="none"/>
          <w:u w:val="single"/>
        </w:rPr>
        <w:t xml:space="preserve">           </w:t>
      </w:r>
    </w:p>
    <w:p w14:paraId="6E3B15E1">
      <w:pPr>
        <w:autoSpaceDE w:val="0"/>
        <w:spacing w:line="480" w:lineRule="auto"/>
        <w:outlineLvl w:val="0"/>
        <w:rPr>
          <w:rFonts w:ascii="仿宋" w:hAnsi="仿宋" w:eastAsia="仿宋" w:cs="仿宋"/>
          <w:color w:val="auto"/>
          <w:sz w:val="30"/>
          <w:szCs w:val="30"/>
          <w:highlight w:val="none"/>
          <w:u w:val="single"/>
        </w:rPr>
      </w:pPr>
      <w:bookmarkStart w:id="88" w:name="_Toc13199"/>
      <w:bookmarkEnd w:id="88"/>
      <w:bookmarkStart w:id="89" w:name="_Toc8559"/>
      <w:bookmarkStart w:id="90" w:name="_Toc23260"/>
      <w:r>
        <w:rPr>
          <w:rFonts w:hint="eastAsia" w:ascii="仿宋" w:hAnsi="仿宋" w:eastAsia="仿宋" w:cs="仿宋"/>
          <w:color w:val="auto"/>
          <w:sz w:val="30"/>
          <w:szCs w:val="30"/>
          <w:highlight w:val="none"/>
        </w:rPr>
        <w:t>地址：</w:t>
      </w:r>
      <w:bookmarkEnd w:id="89"/>
      <w:bookmarkEnd w:id="90"/>
      <w:r>
        <w:rPr>
          <w:rFonts w:hint="eastAsia" w:ascii="仿宋" w:hAnsi="仿宋" w:eastAsia="仿宋" w:cs="仿宋"/>
          <w:color w:val="auto"/>
          <w:sz w:val="30"/>
          <w:szCs w:val="30"/>
          <w:highlight w:val="none"/>
          <w:u w:val="single"/>
        </w:rPr>
        <w:t xml:space="preserve">                               </w:t>
      </w:r>
    </w:p>
    <w:p w14:paraId="4525744C">
      <w:pPr>
        <w:autoSpaceDE w:val="0"/>
        <w:spacing w:line="480" w:lineRule="auto"/>
        <w:outlineLvl w:val="0"/>
        <w:rPr>
          <w:rFonts w:ascii="仿宋" w:hAnsi="仿宋" w:eastAsia="仿宋" w:cs="仿宋"/>
          <w:color w:val="auto"/>
          <w:sz w:val="30"/>
          <w:szCs w:val="30"/>
          <w:highlight w:val="none"/>
        </w:rPr>
      </w:pPr>
      <w:bookmarkStart w:id="91" w:name="_Toc27615"/>
      <w:bookmarkEnd w:id="91"/>
      <w:bookmarkStart w:id="92" w:name="_Toc7856"/>
      <w:bookmarkStart w:id="93" w:name="_Toc3203"/>
      <w:r>
        <w:rPr>
          <w:rFonts w:hint="eastAsia" w:ascii="仿宋" w:hAnsi="仿宋" w:eastAsia="仿宋" w:cs="仿宋"/>
          <w:color w:val="auto"/>
          <w:sz w:val="30"/>
          <w:szCs w:val="30"/>
          <w:highlight w:val="none"/>
        </w:rPr>
        <w:t>联系人：</w:t>
      </w:r>
      <w:bookmarkEnd w:id="92"/>
      <w:bookmarkEnd w:id="93"/>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09B319B0">
      <w:pPr>
        <w:autoSpaceDE w:val="0"/>
        <w:spacing w:line="480" w:lineRule="auto"/>
        <w:outlineLvl w:val="0"/>
        <w:rPr>
          <w:rFonts w:ascii="仿宋" w:hAnsi="仿宋" w:eastAsia="仿宋" w:cs="仿宋"/>
          <w:color w:val="auto"/>
          <w:sz w:val="30"/>
          <w:szCs w:val="30"/>
          <w:highlight w:val="none"/>
          <w:u w:val="single"/>
        </w:rPr>
      </w:pPr>
      <w:bookmarkStart w:id="94" w:name="_Toc21508"/>
      <w:bookmarkEnd w:id="94"/>
      <w:bookmarkStart w:id="95" w:name="_Toc25297"/>
      <w:bookmarkStart w:id="96" w:name="_Toc29001"/>
      <w:r>
        <w:rPr>
          <w:rFonts w:hint="eastAsia" w:ascii="仿宋" w:hAnsi="仿宋" w:eastAsia="仿宋" w:cs="仿宋"/>
          <w:color w:val="auto"/>
          <w:sz w:val="30"/>
          <w:szCs w:val="30"/>
          <w:highlight w:val="none"/>
        </w:rPr>
        <w:t>联系电话：</w:t>
      </w:r>
      <w:bookmarkEnd w:id="95"/>
      <w:bookmarkEnd w:id="96"/>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26F3494D">
      <w:pPr>
        <w:autoSpaceDE w:val="0"/>
        <w:spacing w:line="480" w:lineRule="auto"/>
        <w:outlineLvl w:val="0"/>
        <w:rPr>
          <w:rFonts w:ascii="仿宋" w:hAnsi="仿宋" w:eastAsia="仿宋" w:cs="仿宋"/>
          <w:b/>
          <w:bCs/>
          <w:color w:val="auto"/>
          <w:sz w:val="32"/>
          <w:szCs w:val="32"/>
          <w:highlight w:val="none"/>
        </w:rPr>
      </w:pPr>
      <w:bookmarkStart w:id="97" w:name="_Toc2788"/>
      <w:bookmarkEnd w:id="97"/>
      <w:bookmarkStart w:id="98" w:name="_Toc6389"/>
      <w:bookmarkStart w:id="99" w:name="_Toc11027"/>
      <w:r>
        <w:rPr>
          <w:rFonts w:hint="eastAsia" w:ascii="仿宋" w:hAnsi="仿宋" w:eastAsia="仿宋" w:cs="仿宋"/>
          <w:color w:val="auto"/>
          <w:sz w:val="30"/>
          <w:szCs w:val="30"/>
          <w:highlight w:val="none"/>
        </w:rPr>
        <w:t>日    期：</w:t>
      </w:r>
      <w:bookmarkEnd w:id="98"/>
      <w:bookmarkEnd w:id="99"/>
      <w:r>
        <w:rPr>
          <w:rFonts w:hint="eastAsia" w:ascii="仿宋" w:hAnsi="仿宋" w:eastAsia="仿宋" w:cs="仿宋"/>
          <w:color w:val="auto"/>
          <w:sz w:val="30"/>
          <w:szCs w:val="30"/>
          <w:highlight w:val="none"/>
          <w:u w:val="single"/>
        </w:rPr>
        <w:t xml:space="preserve">                           </w:t>
      </w:r>
      <w:bookmarkStart w:id="100" w:name="_Toc174601751"/>
      <w:bookmarkEnd w:id="100"/>
      <w:bookmarkStart w:id="101" w:name="_Toc277776502"/>
      <w:bookmarkEnd w:id="101"/>
      <w:bookmarkStart w:id="102" w:name="_Toc427678319"/>
      <w:bookmarkEnd w:id="102"/>
      <w:bookmarkStart w:id="103" w:name="_Toc38173198"/>
      <w:bookmarkEnd w:id="103"/>
      <w:bookmarkStart w:id="104" w:name="_Toc427678317"/>
      <w:bookmarkEnd w:id="104"/>
    </w:p>
    <w:p w14:paraId="38FCC4DA">
      <w:pPr>
        <w:rPr>
          <w:rFonts w:ascii="仿宋" w:hAnsi="仿宋" w:eastAsia="仿宋" w:cs="仿宋"/>
          <w:b/>
          <w:bCs/>
          <w:color w:val="auto"/>
          <w:sz w:val="32"/>
          <w:szCs w:val="32"/>
          <w:highlight w:val="none"/>
        </w:rPr>
      </w:pPr>
      <w:bookmarkStart w:id="105" w:name="_Toc20272"/>
      <w:bookmarkEnd w:id="105"/>
      <w:r>
        <w:rPr>
          <w:rFonts w:hint="eastAsia" w:ascii="仿宋" w:hAnsi="仿宋" w:eastAsia="仿宋" w:cs="仿宋"/>
          <w:b/>
          <w:bCs/>
          <w:color w:val="auto"/>
          <w:sz w:val="32"/>
          <w:szCs w:val="32"/>
          <w:highlight w:val="none"/>
        </w:rPr>
        <w:br w:type="page"/>
      </w:r>
    </w:p>
    <w:p w14:paraId="10D3C971">
      <w:pPr>
        <w:outlineLvl w:val="2"/>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第一部分  资格审查部分</w:t>
      </w:r>
    </w:p>
    <w:p w14:paraId="228E8154">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4FA78737">
      <w:pPr>
        <w:autoSpaceDE w:val="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8"/>
          <w:szCs w:val="28"/>
          <w:highlight w:val="none"/>
        </w:rPr>
        <w:t>一、营业执照</w:t>
      </w:r>
    </w:p>
    <w:p w14:paraId="47ED717C">
      <w:pPr>
        <w:autoSpaceDE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具有独立承担民事责任的能力，具有营业执照或事业单位法人证书或民办非企业单位登记证书或社会团体法人登记证书或基金会法人登记证书或自然人的身份证明。（提供扫描件）</w:t>
      </w:r>
    </w:p>
    <w:p w14:paraId="32E9F6E6">
      <w:pPr>
        <w:autoSpaceDE w:val="0"/>
        <w:spacing w:line="360" w:lineRule="auto"/>
        <w:jc w:val="center"/>
        <w:rPr>
          <w:rFonts w:ascii="仿宋" w:hAnsi="仿宋" w:eastAsia="仿宋" w:cs="仿宋"/>
          <w:b/>
          <w:color w:val="auto"/>
          <w:sz w:val="28"/>
          <w:szCs w:val="28"/>
          <w:highlight w:val="none"/>
        </w:rPr>
      </w:pPr>
    </w:p>
    <w:p w14:paraId="49D31908">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rPr>
        <w:t>、财务要求</w:t>
      </w:r>
    </w:p>
    <w:p w14:paraId="50408D2F">
      <w:pPr>
        <w:autoSpaceDE w:val="0"/>
        <w:spacing w:line="360" w:lineRule="auto"/>
        <w:ind w:firstLine="484" w:firstLineChars="200"/>
        <w:rPr>
          <w:rFonts w:ascii="仿宋" w:hAnsi="仿宋" w:eastAsia="仿宋" w:cs="仿宋"/>
          <w:b/>
          <w:color w:val="auto"/>
          <w:sz w:val="28"/>
          <w:szCs w:val="28"/>
          <w:highlight w:val="none"/>
        </w:rPr>
      </w:pPr>
      <w:r>
        <w:rPr>
          <w:rFonts w:hint="eastAsia" w:ascii="仿宋" w:hAnsi="仿宋" w:eastAsia="仿宋" w:cs="仿宋"/>
          <w:spacing w:val="1"/>
          <w:w w:val="100"/>
          <w:sz w:val="24"/>
          <w:szCs w:val="24"/>
          <w:highlight w:val="none"/>
        </w:rPr>
        <w:t>提供</w:t>
      </w:r>
      <w:r>
        <w:rPr>
          <w:rFonts w:hint="eastAsia" w:ascii="仿宋" w:hAnsi="仿宋" w:eastAsia="仿宋" w:cs="仿宋"/>
          <w:spacing w:val="1"/>
          <w:w w:val="100"/>
          <w:sz w:val="24"/>
          <w:szCs w:val="24"/>
          <w:highlight w:val="none"/>
          <w:lang w:val="en-US" w:eastAsia="zh-CN"/>
        </w:rPr>
        <w:t>投标人</w:t>
      </w:r>
      <w:r>
        <w:rPr>
          <w:rFonts w:hint="eastAsia" w:ascii="仿宋" w:hAnsi="仿宋" w:eastAsia="仿宋" w:cs="仿宋"/>
          <w:spacing w:val="1"/>
          <w:w w:val="100"/>
          <w:sz w:val="24"/>
          <w:szCs w:val="24"/>
          <w:highlight w:val="none"/>
        </w:rPr>
        <w:t>2024年</w:t>
      </w:r>
      <w:r>
        <w:rPr>
          <w:rFonts w:hint="eastAsia" w:ascii="仿宋" w:hAnsi="仿宋" w:eastAsia="仿宋" w:cs="仿宋"/>
          <w:spacing w:val="1"/>
          <w:w w:val="100"/>
          <w:sz w:val="24"/>
          <w:szCs w:val="24"/>
          <w:highlight w:val="none"/>
          <w:lang w:val="en-US" w:eastAsia="zh-CN"/>
        </w:rPr>
        <w:t>或2025年</w:t>
      </w:r>
      <w:r>
        <w:rPr>
          <w:rFonts w:hint="eastAsia" w:ascii="仿宋" w:hAnsi="仿宋" w:eastAsia="仿宋" w:cs="仿宋"/>
          <w:spacing w:val="1"/>
          <w:w w:val="100"/>
          <w:sz w:val="24"/>
          <w:szCs w:val="24"/>
          <w:highlight w:val="none"/>
        </w:rPr>
        <w:t>财务状况报告</w:t>
      </w:r>
      <w:r>
        <w:rPr>
          <w:rFonts w:hint="eastAsia" w:ascii="仿宋" w:hAnsi="仿宋" w:eastAsia="仿宋" w:cs="仿宋"/>
          <w:spacing w:val="1"/>
          <w:w w:val="100"/>
          <w:sz w:val="24"/>
          <w:szCs w:val="24"/>
          <w:highlight w:val="none"/>
          <w:lang w:eastAsia="zh-CN"/>
        </w:rPr>
        <w:t>（</w:t>
      </w:r>
      <w:r>
        <w:rPr>
          <w:rFonts w:hint="eastAsia" w:ascii="仿宋" w:hAnsi="仿宋" w:eastAsia="仿宋" w:cs="仿宋"/>
          <w:spacing w:val="1"/>
          <w:w w:val="100"/>
          <w:sz w:val="24"/>
          <w:szCs w:val="24"/>
          <w:highlight w:val="none"/>
        </w:rPr>
        <w:t>至少包含审计报告、资产负债表、利润表、现金流量表</w:t>
      </w:r>
      <w:r>
        <w:rPr>
          <w:rFonts w:hint="eastAsia" w:ascii="仿宋" w:hAnsi="仿宋" w:eastAsia="仿宋" w:cs="仿宋"/>
          <w:spacing w:val="1"/>
          <w:w w:val="100"/>
          <w:sz w:val="24"/>
          <w:szCs w:val="24"/>
          <w:highlight w:val="none"/>
          <w:lang w:eastAsia="zh-CN"/>
        </w:rPr>
        <w:t>）。</w:t>
      </w:r>
      <w:r>
        <w:rPr>
          <w:rFonts w:hint="eastAsia" w:ascii="仿宋" w:hAnsi="仿宋" w:eastAsia="仿宋" w:cs="仿宋"/>
          <w:spacing w:val="1"/>
          <w:w w:val="100"/>
          <w:sz w:val="24"/>
          <w:szCs w:val="24"/>
          <w:highlight w:val="none"/>
        </w:rPr>
        <w:t>成立未满1年或成立至今未产生经营活动的</w:t>
      </w:r>
      <w:r>
        <w:rPr>
          <w:rFonts w:hint="eastAsia" w:ascii="仿宋" w:hAnsi="仿宋" w:eastAsia="仿宋" w:cs="仿宋"/>
          <w:spacing w:val="1"/>
          <w:w w:val="100"/>
          <w:sz w:val="24"/>
          <w:szCs w:val="24"/>
          <w:highlight w:val="none"/>
          <w:lang w:val="en-US" w:eastAsia="zh-CN"/>
        </w:rPr>
        <w:t>投标人</w:t>
      </w:r>
      <w:r>
        <w:rPr>
          <w:rFonts w:hint="eastAsia" w:ascii="仿宋" w:hAnsi="仿宋" w:eastAsia="仿宋" w:cs="仿宋"/>
          <w:spacing w:val="1"/>
          <w:w w:val="100"/>
          <w:sz w:val="24"/>
          <w:szCs w:val="24"/>
          <w:highlight w:val="none"/>
        </w:rPr>
        <w:t>提供自成立至今的财务报表或财务情况说明</w:t>
      </w:r>
      <w:r>
        <w:rPr>
          <w:rFonts w:hint="eastAsia" w:ascii="仿宋" w:hAnsi="仿宋" w:eastAsia="仿宋" w:cs="仿宋"/>
          <w:spacing w:val="1"/>
          <w:w w:val="100"/>
          <w:sz w:val="24"/>
          <w:szCs w:val="24"/>
          <w:highlight w:val="none"/>
          <w:lang w:val="en-US" w:eastAsia="zh-CN"/>
        </w:rPr>
        <w:t>，</w:t>
      </w:r>
      <w:r>
        <w:rPr>
          <w:rFonts w:hint="eastAsia" w:ascii="仿宋" w:hAnsi="仿宋" w:eastAsia="仿宋" w:cs="仿宋"/>
          <w:spacing w:val="1"/>
          <w:w w:val="100"/>
          <w:sz w:val="24"/>
          <w:szCs w:val="24"/>
          <w:highlight w:val="none"/>
        </w:rPr>
        <w:t>或提供自</w:t>
      </w:r>
      <w:r>
        <w:rPr>
          <w:rFonts w:hint="eastAsia" w:ascii="仿宋" w:hAnsi="仿宋" w:eastAsia="仿宋" w:cs="仿宋"/>
          <w:spacing w:val="1"/>
          <w:w w:val="100"/>
          <w:sz w:val="24"/>
          <w:szCs w:val="24"/>
          <w:highlight w:val="none"/>
          <w:lang w:val="en-US" w:eastAsia="zh-CN"/>
        </w:rPr>
        <w:t>投标</w:t>
      </w:r>
      <w:r>
        <w:rPr>
          <w:rFonts w:hint="eastAsia" w:ascii="仿宋" w:hAnsi="仿宋" w:eastAsia="仿宋" w:cs="仿宋"/>
          <w:spacing w:val="1"/>
          <w:w w:val="100"/>
          <w:sz w:val="24"/>
          <w:szCs w:val="24"/>
          <w:highlight w:val="none"/>
        </w:rPr>
        <w:t>文件提交截止时间前三个月内基本开户银行出具的资信证明。</w:t>
      </w:r>
      <w:r>
        <w:rPr>
          <w:rFonts w:hint="eastAsia" w:ascii="仿宋" w:hAnsi="仿宋" w:eastAsia="仿宋" w:cs="仿宋"/>
          <w:color w:val="auto"/>
          <w:sz w:val="24"/>
          <w:szCs w:val="24"/>
          <w:highlight w:val="none"/>
        </w:rPr>
        <w:t>（提供扫描件）</w:t>
      </w:r>
      <w:r>
        <w:rPr>
          <w:rFonts w:hint="eastAsia" w:ascii="仿宋" w:hAnsi="仿宋" w:eastAsia="仿宋" w:cs="仿宋"/>
          <w:b/>
          <w:color w:val="auto"/>
          <w:sz w:val="28"/>
          <w:szCs w:val="28"/>
          <w:highlight w:val="none"/>
        </w:rPr>
        <w:t xml:space="preserve"> </w:t>
      </w:r>
    </w:p>
    <w:p w14:paraId="5F4A81CF">
      <w:pPr>
        <w:autoSpaceDE w:val="0"/>
        <w:spacing w:line="360" w:lineRule="auto"/>
        <w:jc w:val="center"/>
        <w:rPr>
          <w:rFonts w:ascii="仿宋" w:hAnsi="仿宋" w:eastAsia="仿宋" w:cs="仿宋"/>
          <w:b/>
          <w:color w:val="auto"/>
          <w:sz w:val="28"/>
          <w:szCs w:val="28"/>
          <w:highlight w:val="none"/>
        </w:rPr>
      </w:pPr>
    </w:p>
    <w:p w14:paraId="15BF051A">
      <w:pPr>
        <w:autoSpaceDE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、税收要求</w:t>
      </w:r>
    </w:p>
    <w:p w14:paraId="3831A85C">
      <w:pPr>
        <w:autoSpaceDE w:val="0"/>
        <w:spacing w:line="360" w:lineRule="auto"/>
        <w:ind w:firstLine="480" w:firstLineChars="200"/>
        <w:rPr>
          <w:rFonts w:ascii="仿宋" w:hAnsi="仿宋" w:eastAsia="仿宋" w:cs="仿宋"/>
          <w:b/>
          <w:color w:val="auto"/>
          <w:sz w:val="28"/>
          <w:szCs w:val="28"/>
          <w:highlight w:val="none"/>
        </w:rPr>
      </w:pPr>
      <w:r>
        <w:rPr>
          <w:rFonts w:hint="eastAsia" w:ascii="仿宋" w:hAnsi="仿宋" w:eastAsia="仿宋" w:cs="仿宋"/>
          <w:color w:val="auto"/>
          <w:kern w:val="0"/>
          <w:sz w:val="24"/>
          <w:szCs w:val="24"/>
          <w:highlight w:val="none"/>
        </w:rPr>
        <w:t>提供投标人缴税所属时间在202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年1月至本项目</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提交截止时间前任意1个月的税务局税收通用缴款书或银行电子缴税（费）凭证或税务局出具纳税情况的相关证明，依法免税的，应提供依法免税的相关证明文件，</w:t>
      </w:r>
      <w:r>
        <w:rPr>
          <w:rFonts w:hint="eastAsia" w:ascii="仿宋" w:hAnsi="仿宋" w:eastAsia="仿宋" w:cs="仿宋"/>
          <w:color w:val="auto"/>
          <w:sz w:val="24"/>
          <w:szCs w:val="24"/>
          <w:highlight w:val="none"/>
        </w:rPr>
        <w:t>投标人成立不足一年的，无需提供。（提供扫描件）</w:t>
      </w:r>
    </w:p>
    <w:p w14:paraId="7911612E">
      <w:pPr>
        <w:autoSpaceDE w:val="0"/>
        <w:spacing w:line="360" w:lineRule="auto"/>
        <w:jc w:val="center"/>
        <w:rPr>
          <w:rFonts w:ascii="仿宋" w:hAnsi="仿宋" w:eastAsia="仿宋" w:cs="仿宋"/>
          <w:b/>
          <w:color w:val="auto"/>
          <w:sz w:val="28"/>
          <w:szCs w:val="28"/>
          <w:highlight w:val="none"/>
        </w:rPr>
      </w:pPr>
    </w:p>
    <w:p w14:paraId="76393743">
      <w:pPr>
        <w:autoSpaceDE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、社保要求</w:t>
      </w:r>
    </w:p>
    <w:p w14:paraId="5A126FF1">
      <w:pPr>
        <w:pageBreakBefore w:val="0"/>
        <w:kinsoku/>
        <w:overflowPunct/>
        <w:topLinePunct w:val="0"/>
        <w:autoSpaceDE w:val="0"/>
        <w:autoSpaceDN/>
        <w:bidi w:val="0"/>
        <w:adjustRightInd/>
        <w:snapToGrid/>
        <w:spacing w:line="348" w:lineRule="auto"/>
        <w:ind w:firstLine="480" w:firstLineChars="200"/>
        <w:textAlignment w:val="auto"/>
        <w:rPr>
          <w:rFonts w:ascii="仿宋" w:hAnsi="仿宋" w:eastAsia="仿宋" w:cs="仿宋"/>
          <w:b/>
          <w:color w:val="auto"/>
          <w:sz w:val="28"/>
          <w:szCs w:val="28"/>
          <w:highlight w:val="none"/>
        </w:rPr>
      </w:pPr>
      <w:r>
        <w:rPr>
          <w:rFonts w:hint="eastAsia" w:ascii="仿宋" w:hAnsi="仿宋" w:eastAsia="仿宋" w:cs="仿宋"/>
          <w:color w:val="auto"/>
          <w:sz w:val="24"/>
          <w:szCs w:val="24"/>
          <w:highlight w:val="none"/>
        </w:rPr>
        <w:t>提供投标人缴费所属时间在202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1月至本项目投标文件提交截止时间前任意1个月的社会保险费缴款书或银行电子缴税（费）凭证或社保管理部门出具的有效的缴款证明，依法免缴的，应提供依法免缴的相关证明文件；投标人成立不足一年的，无需提供。（提供扫描件）</w:t>
      </w:r>
    </w:p>
    <w:p w14:paraId="076B505F">
      <w:pPr>
        <w:autoSpaceDE w:val="0"/>
        <w:spacing w:line="360" w:lineRule="auto"/>
        <w:ind w:firstLine="562" w:firstLineChars="200"/>
        <w:jc w:val="center"/>
        <w:rPr>
          <w:rFonts w:ascii="仿宋" w:hAnsi="仿宋" w:eastAsia="仿宋" w:cs="仿宋"/>
          <w:b/>
          <w:color w:val="auto"/>
          <w:sz w:val="28"/>
          <w:szCs w:val="28"/>
          <w:highlight w:val="none"/>
        </w:rPr>
      </w:pPr>
    </w:p>
    <w:p w14:paraId="07262C25">
      <w:pPr>
        <w:autoSpaceDE w:val="0"/>
        <w:spacing w:line="360" w:lineRule="auto"/>
        <w:ind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、专业技术能力</w:t>
      </w:r>
    </w:p>
    <w:p w14:paraId="647ABEFC">
      <w:pPr>
        <w:autoSpaceDE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提供投标人具有履行合同所必需的设备和专业技术能力证明材料或书面声明</w:t>
      </w:r>
      <w:r>
        <w:rPr>
          <w:rFonts w:hint="eastAsia" w:ascii="仿宋" w:hAnsi="仿宋" w:eastAsia="仿宋" w:cs="仿宋"/>
          <w:bCs/>
          <w:color w:val="auto"/>
          <w:sz w:val="24"/>
          <w:szCs w:val="24"/>
          <w:highlight w:val="none"/>
        </w:rPr>
        <w:t>。（格式自拟）</w:t>
      </w:r>
    </w:p>
    <w:p w14:paraId="0E23BA1B">
      <w:pPr>
        <w:autoSpaceDE w:val="0"/>
        <w:spacing w:line="360" w:lineRule="auto"/>
        <w:jc w:val="center"/>
        <w:rPr>
          <w:rFonts w:hint="eastAsia" w:ascii="仿宋" w:hAnsi="仿宋" w:eastAsia="仿宋" w:cs="仿宋"/>
          <w:b/>
          <w:color w:val="auto"/>
          <w:sz w:val="28"/>
          <w:szCs w:val="28"/>
          <w:highlight w:val="none"/>
          <w:lang w:val="en-US" w:eastAsia="zh-CN"/>
        </w:rPr>
      </w:pPr>
    </w:p>
    <w:p w14:paraId="0145B32D">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14:paraId="06BD4043">
      <w:pPr>
        <w:autoSpaceDE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、书面声明</w:t>
      </w:r>
    </w:p>
    <w:p w14:paraId="501FD48D">
      <w:pPr>
        <w:autoSpaceDE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提供参加</w:t>
      </w:r>
      <w:r>
        <w:rPr>
          <w:rFonts w:hint="eastAsia" w:ascii="仿宋" w:hAnsi="仿宋" w:eastAsia="仿宋" w:cs="仿宋"/>
          <w:bCs/>
          <w:color w:val="auto"/>
          <w:sz w:val="24"/>
          <w:szCs w:val="24"/>
          <w:highlight w:val="none"/>
          <w:lang w:val="en-US" w:eastAsia="zh-CN"/>
        </w:rPr>
        <w:t>本次</w:t>
      </w:r>
      <w:r>
        <w:rPr>
          <w:rFonts w:hint="eastAsia" w:ascii="仿宋" w:hAnsi="仿宋" w:eastAsia="仿宋" w:cs="仿宋"/>
          <w:bCs/>
          <w:color w:val="auto"/>
          <w:sz w:val="24"/>
          <w:szCs w:val="24"/>
          <w:highlight w:val="none"/>
        </w:rPr>
        <w:t>政府采购活动前3年内在经营活动中没有重大违法记录的书面声明（重大违法记录，是指投标人因违法经营受到刑事处罚或者责令停产停业、吊销许可证或者执照、较大数额罚款等行政处罚）。（格式自拟）</w:t>
      </w:r>
    </w:p>
    <w:p w14:paraId="3CBAD298">
      <w:pPr>
        <w:autoSpaceDE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5CDB2026">
      <w:pPr>
        <w:autoSpaceDE w:val="0"/>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、法律、行政法规规定的其他条件</w:t>
      </w:r>
    </w:p>
    <w:p w14:paraId="157483DF">
      <w:pPr>
        <w:autoSpaceDE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1.投标人应在“信用中国”网站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未被列入失信被执行人、重大税收违法失信主体，中国政府采购网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没有政府采购严重违法失信行为记录。（注：采购人或采购代理机构通过“信用中国”网、“中国政府采购网”等渠道查询相关主体信用记录，若投标人存在被列入失信被执行人、重大税收违法失信主体、政府采购严重违法失信行为记录名单，则投标无效。）</w:t>
      </w:r>
    </w:p>
    <w:p w14:paraId="259042C3">
      <w:pPr>
        <w:autoSpaceDE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55D69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w w:val="100"/>
          <w:kern w:val="2"/>
          <w:sz w:val="24"/>
          <w:szCs w:val="24"/>
          <w:highlight w:val="none"/>
          <w:lang w:val="en-US" w:eastAsia="zh-CN" w:bidi="ar-SA"/>
        </w:rPr>
      </w:pPr>
      <w:r>
        <w:rPr>
          <w:rFonts w:hint="eastAsia" w:ascii="仿宋" w:hAnsi="仿宋" w:eastAsia="仿宋" w:cs="仿宋"/>
          <w:bCs/>
          <w:w w:val="100"/>
          <w:kern w:val="2"/>
          <w:sz w:val="24"/>
          <w:szCs w:val="24"/>
          <w:highlight w:val="none"/>
          <w:lang w:val="en-US" w:eastAsia="zh-CN" w:bidi="ar-SA"/>
        </w:rPr>
        <w:t>3.分支机构参与投标的，分支机构还须获得总公司（或总公司授权的分公司）出具的授权书。同一家公司的总公司和下属的不同分支机构不能同时参与本项目的采购活动。</w:t>
      </w:r>
    </w:p>
    <w:p w14:paraId="68F312EB">
      <w:pPr>
        <w:autoSpaceDE w:val="0"/>
        <w:spacing w:line="360" w:lineRule="auto"/>
        <w:ind w:firstLine="480" w:firstLineChars="200"/>
        <w:rPr>
          <w:rFonts w:hint="eastAsia" w:ascii="仿宋" w:hAnsi="仿宋" w:eastAsia="仿宋" w:cs="仿宋"/>
          <w:color w:val="auto"/>
          <w:sz w:val="24"/>
          <w:szCs w:val="24"/>
          <w:highlight w:val="none"/>
        </w:rPr>
      </w:pPr>
    </w:p>
    <w:p w14:paraId="0DD237B0">
      <w:pPr>
        <w:autoSpaceDE w:val="0"/>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0E222BE8">
      <w:pPr>
        <w:autoSpaceDE w:val="0"/>
        <w:spacing w:line="360" w:lineRule="auto"/>
        <w:jc w:val="center"/>
        <w:rPr>
          <w:rFonts w:hint="eastAsia" w:ascii="仿宋" w:hAnsi="仿宋" w:eastAsia="仿宋" w:cs="仿宋"/>
          <w:b/>
          <w:color w:val="auto"/>
          <w:sz w:val="28"/>
          <w:szCs w:val="28"/>
          <w:highlight w:val="none"/>
          <w:lang w:val="en-US" w:eastAsia="zh-CN"/>
        </w:rPr>
      </w:pPr>
    </w:p>
    <w:p w14:paraId="5C3D83E0">
      <w:pPr>
        <w:autoSpaceDE w:val="0"/>
        <w:spacing w:line="360" w:lineRule="auto"/>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1A928069">
      <w:pPr>
        <w:spacing w:line="360" w:lineRule="auto"/>
        <w:jc w:val="center"/>
        <w:rPr>
          <w:rFonts w:ascii="仿宋" w:hAnsi="仿宋" w:eastAsia="仿宋" w:cs="仿宋"/>
          <w:color w:val="auto"/>
          <w:sz w:val="28"/>
          <w:szCs w:val="28"/>
          <w:highlight w:val="none"/>
        </w:rPr>
      </w:pPr>
      <w:bookmarkStart w:id="106" w:name="_Toc478214728"/>
      <w:bookmarkEnd w:id="106"/>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、中小微企业声明函</w:t>
      </w:r>
    </w:p>
    <w:p w14:paraId="15128239">
      <w:pPr>
        <w:pStyle w:val="6"/>
        <w:spacing w:beforeLines="100" w:line="360" w:lineRule="auto"/>
        <w:ind w:firstLine="0"/>
        <w:jc w:val="center"/>
        <w:rPr>
          <w:rFonts w:hint="eastAsia" w:ascii="仿宋" w:hAnsi="仿宋" w:eastAsia="仿宋" w:cs="仿宋"/>
          <w:b/>
          <w:color w:val="auto"/>
          <w:spacing w:val="6"/>
          <w:sz w:val="24"/>
          <w:szCs w:val="24"/>
          <w:highlight w:val="none"/>
          <w:lang w:eastAsia="zh-CN"/>
        </w:rPr>
      </w:pPr>
      <w:r>
        <w:rPr>
          <w:rFonts w:hint="eastAsia" w:ascii="仿宋" w:hAnsi="仿宋" w:eastAsia="仿宋" w:cs="仿宋"/>
          <w:b/>
          <w:color w:val="auto"/>
          <w:sz w:val="28"/>
          <w:szCs w:val="28"/>
          <w:highlight w:val="none"/>
        </w:rPr>
        <w:t>（一）</w:t>
      </w:r>
      <w:r>
        <w:rPr>
          <w:rFonts w:hint="eastAsia" w:ascii="仿宋" w:hAnsi="仿宋" w:eastAsia="仿宋" w:cs="仿宋"/>
          <w:b/>
          <w:color w:val="auto"/>
          <w:spacing w:val="6"/>
          <w:sz w:val="24"/>
          <w:szCs w:val="24"/>
          <w:highlight w:val="none"/>
        </w:rPr>
        <w:t>中小企业声明函</w:t>
      </w:r>
      <w:r>
        <w:rPr>
          <w:rFonts w:hint="eastAsia" w:ascii="仿宋" w:hAnsi="仿宋" w:eastAsia="仿宋" w:cs="仿宋"/>
          <w:b/>
          <w:color w:val="auto"/>
          <w:spacing w:val="6"/>
          <w:sz w:val="24"/>
          <w:szCs w:val="24"/>
          <w:highlight w:val="none"/>
          <w:lang w:eastAsia="zh-CN"/>
        </w:rPr>
        <w:t>（</w:t>
      </w:r>
      <w:r>
        <w:rPr>
          <w:rFonts w:hint="eastAsia" w:ascii="仿宋" w:hAnsi="仿宋" w:eastAsia="仿宋" w:cs="仿宋"/>
          <w:b/>
          <w:color w:val="auto"/>
          <w:spacing w:val="6"/>
          <w:sz w:val="24"/>
          <w:szCs w:val="24"/>
          <w:highlight w:val="none"/>
        </w:rPr>
        <w:t>货物</w:t>
      </w:r>
      <w:r>
        <w:rPr>
          <w:rFonts w:hint="eastAsia" w:ascii="仿宋" w:hAnsi="仿宋" w:eastAsia="仿宋" w:cs="仿宋"/>
          <w:b/>
          <w:color w:val="auto"/>
          <w:spacing w:val="6"/>
          <w:sz w:val="24"/>
          <w:szCs w:val="24"/>
          <w:highlight w:val="none"/>
          <w:lang w:eastAsia="zh-CN"/>
        </w:rPr>
        <w:t>）</w:t>
      </w:r>
    </w:p>
    <w:p w14:paraId="7C9ED4C0">
      <w:pPr>
        <w:widowControl/>
        <w:autoSpaceDE w:val="0"/>
        <w:spacing w:line="500" w:lineRule="exact"/>
        <w:ind w:firstLine="480"/>
        <w:jc w:val="left"/>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shd w:val="clear" w:color="auto" w:fill="FFFFFF"/>
        </w:rPr>
        <w:t xml:space="preserve">     （单位名称）</w:t>
      </w:r>
      <w:r>
        <w:rPr>
          <w:rFonts w:hint="eastAsia" w:ascii="仿宋" w:hAnsi="仿宋" w:eastAsia="仿宋" w:cs="仿宋"/>
          <w:color w:val="auto"/>
          <w:sz w:val="24"/>
          <w:szCs w:val="24"/>
          <w:highlight w:val="none"/>
          <w:shd w:val="clear" w:color="auto" w:fill="FFFFFF"/>
        </w:rPr>
        <w:t>的</w:t>
      </w:r>
      <w:r>
        <w:rPr>
          <w:rFonts w:hint="eastAsia" w:ascii="仿宋" w:hAnsi="仿宋" w:eastAsia="仿宋" w:cs="仿宋"/>
          <w:color w:val="auto"/>
          <w:sz w:val="24"/>
          <w:szCs w:val="24"/>
          <w:highlight w:val="none"/>
          <w:u w:val="single"/>
          <w:shd w:val="clear" w:color="auto" w:fill="FFFFFF"/>
        </w:rPr>
        <w:t xml:space="preserve">    （项目名称）</w:t>
      </w:r>
      <w:r>
        <w:rPr>
          <w:rFonts w:hint="eastAsia" w:ascii="仿宋" w:hAnsi="仿宋" w:eastAsia="仿宋" w:cs="仿宋"/>
          <w:color w:val="auto"/>
          <w:sz w:val="24"/>
          <w:szCs w:val="24"/>
          <w:highlight w:val="none"/>
          <w:shd w:val="clear" w:color="auto" w:fill="FFFFFF"/>
        </w:rPr>
        <w:t>采购活动，提供的货物全部由符合政策要求的中小企业制造。相关企业（含联合体中的中小企业、签订分包意向协议的中小企业）的具体情况如下：</w:t>
      </w:r>
    </w:p>
    <w:p w14:paraId="14DB99B7">
      <w:pPr>
        <w:widowControl/>
        <w:autoSpaceDE w:val="0"/>
        <w:spacing w:line="500" w:lineRule="exact"/>
        <w:ind w:firstLine="480"/>
        <w:jc w:val="left"/>
        <w:rPr>
          <w:rFonts w:ascii="仿宋" w:hAnsi="仿宋" w:eastAsia="仿宋" w:cs="仿宋"/>
          <w:color w:val="auto"/>
          <w:highlight w:val="none"/>
        </w:rPr>
      </w:pPr>
      <w:r>
        <w:rPr>
          <w:rFonts w:hint="eastAsia" w:ascii="仿宋" w:hAnsi="仿宋" w:eastAsia="仿宋" w:cs="仿宋"/>
          <w:color w:val="auto"/>
          <w:kern w:val="0"/>
          <w:sz w:val="24"/>
          <w:szCs w:val="24"/>
          <w:highlight w:val="none"/>
          <w:shd w:val="clear" w:color="auto" w:fill="FFFFFF"/>
        </w:rPr>
        <w:t>1.</w:t>
      </w:r>
      <w:r>
        <w:rPr>
          <w:rFonts w:hint="eastAsia" w:ascii="仿宋" w:hAnsi="仿宋" w:eastAsia="仿宋" w:cs="仿宋"/>
          <w:color w:val="auto"/>
          <w:kern w:val="0"/>
          <w:sz w:val="24"/>
          <w:szCs w:val="24"/>
          <w:highlight w:val="none"/>
          <w:u w:val="single"/>
          <w:shd w:val="clear" w:color="auto" w:fill="FFFFFF"/>
        </w:rPr>
        <w:t xml:space="preserve">     （标的名称）</w:t>
      </w:r>
      <w:r>
        <w:rPr>
          <w:rFonts w:hint="eastAsia" w:ascii="仿宋" w:hAnsi="仿宋" w:eastAsia="仿宋" w:cs="仿宋"/>
          <w:color w:val="auto"/>
          <w:kern w:val="0"/>
          <w:sz w:val="24"/>
          <w:szCs w:val="24"/>
          <w:highlight w:val="none"/>
          <w:shd w:val="clear" w:color="auto" w:fill="FFFFFF"/>
        </w:rPr>
        <w:t>，属于</w:t>
      </w:r>
      <w:r>
        <w:rPr>
          <w:rFonts w:hint="eastAsia" w:ascii="仿宋" w:hAnsi="仿宋" w:eastAsia="仿宋" w:cs="仿宋"/>
          <w:color w:val="auto"/>
          <w:kern w:val="0"/>
          <w:sz w:val="24"/>
          <w:szCs w:val="24"/>
          <w:highlight w:val="none"/>
          <w:u w:val="single"/>
          <w:shd w:val="clear" w:color="auto" w:fill="FFFFFF"/>
        </w:rPr>
        <w:t xml:space="preserve">     （采购文件中明确的所属行业）</w:t>
      </w:r>
      <w:r>
        <w:rPr>
          <w:rFonts w:hint="eastAsia" w:ascii="仿宋" w:hAnsi="仿宋" w:eastAsia="仿宋" w:cs="仿宋"/>
          <w:color w:val="auto"/>
          <w:kern w:val="0"/>
          <w:sz w:val="24"/>
          <w:szCs w:val="24"/>
          <w:highlight w:val="none"/>
          <w:shd w:val="clear" w:color="auto" w:fill="FFFFFF"/>
        </w:rPr>
        <w:t>行业；制造商为</w:t>
      </w:r>
      <w:r>
        <w:rPr>
          <w:rFonts w:hint="eastAsia" w:ascii="仿宋" w:hAnsi="仿宋" w:eastAsia="仿宋" w:cs="仿宋"/>
          <w:color w:val="auto"/>
          <w:kern w:val="0"/>
          <w:sz w:val="24"/>
          <w:szCs w:val="24"/>
          <w:highlight w:val="none"/>
          <w:u w:val="single"/>
          <w:shd w:val="clear" w:color="auto" w:fill="FFFFFF"/>
        </w:rPr>
        <w:t xml:space="preserve">       （企业名称）</w:t>
      </w:r>
      <w:r>
        <w:rPr>
          <w:rFonts w:hint="eastAsia" w:ascii="仿宋" w:hAnsi="仿宋" w:eastAsia="仿宋" w:cs="仿宋"/>
          <w:color w:val="auto"/>
          <w:kern w:val="0"/>
          <w:sz w:val="24"/>
          <w:szCs w:val="24"/>
          <w:highlight w:val="none"/>
          <w:shd w:val="clear" w:color="auto" w:fill="FFFFFF"/>
        </w:rPr>
        <w:t>，从业人员</w:t>
      </w:r>
      <w:r>
        <w:rPr>
          <w:rFonts w:hint="eastAsia" w:ascii="仿宋" w:hAnsi="仿宋" w:eastAsia="仿宋" w:cs="仿宋"/>
          <w:color w:val="auto"/>
          <w:kern w:val="0"/>
          <w:sz w:val="24"/>
          <w:szCs w:val="24"/>
          <w:highlight w:val="none"/>
          <w:u w:val="single"/>
          <w:shd w:val="clear" w:color="auto" w:fill="FFFFFF"/>
        </w:rPr>
        <w:t xml:space="preserve">    </w:t>
      </w:r>
      <w:r>
        <w:rPr>
          <w:rFonts w:hint="eastAsia" w:ascii="仿宋" w:hAnsi="仿宋" w:eastAsia="仿宋" w:cs="仿宋"/>
          <w:color w:val="auto"/>
          <w:kern w:val="0"/>
          <w:sz w:val="24"/>
          <w:szCs w:val="24"/>
          <w:highlight w:val="none"/>
          <w:shd w:val="clear" w:color="auto" w:fill="FFFFFF"/>
        </w:rPr>
        <w:t>人，营业收入为</w:t>
      </w:r>
      <w:r>
        <w:rPr>
          <w:rFonts w:hint="eastAsia" w:ascii="仿宋" w:hAnsi="仿宋" w:eastAsia="仿宋" w:cs="仿宋"/>
          <w:color w:val="auto"/>
          <w:kern w:val="0"/>
          <w:sz w:val="24"/>
          <w:szCs w:val="24"/>
          <w:highlight w:val="none"/>
          <w:u w:val="single"/>
          <w:shd w:val="clear" w:color="auto" w:fill="FFFFFF"/>
        </w:rPr>
        <w:t xml:space="preserve">    </w:t>
      </w:r>
      <w:r>
        <w:rPr>
          <w:rFonts w:hint="eastAsia" w:ascii="仿宋" w:hAnsi="仿宋" w:eastAsia="仿宋" w:cs="仿宋"/>
          <w:color w:val="auto"/>
          <w:kern w:val="0"/>
          <w:sz w:val="24"/>
          <w:szCs w:val="24"/>
          <w:highlight w:val="none"/>
          <w:shd w:val="clear" w:color="auto" w:fill="FFFFFF"/>
        </w:rPr>
        <w:t>万元，资产总额为</w:t>
      </w:r>
      <w:r>
        <w:rPr>
          <w:rFonts w:hint="eastAsia" w:ascii="仿宋" w:hAnsi="仿宋" w:eastAsia="仿宋" w:cs="仿宋"/>
          <w:color w:val="auto"/>
          <w:kern w:val="0"/>
          <w:sz w:val="24"/>
          <w:szCs w:val="24"/>
          <w:highlight w:val="none"/>
          <w:u w:val="single"/>
          <w:shd w:val="clear" w:color="auto" w:fill="FFFFFF"/>
        </w:rPr>
        <w:t xml:space="preserve">   </w:t>
      </w:r>
      <w:r>
        <w:rPr>
          <w:rFonts w:hint="eastAsia" w:ascii="仿宋" w:hAnsi="仿宋" w:eastAsia="仿宋" w:cs="仿宋"/>
          <w:color w:val="auto"/>
          <w:kern w:val="0"/>
          <w:sz w:val="24"/>
          <w:szCs w:val="24"/>
          <w:highlight w:val="none"/>
          <w:shd w:val="clear" w:color="auto" w:fill="FFFFFF"/>
        </w:rPr>
        <w:t>万元</w:t>
      </w:r>
      <w:r>
        <w:rPr>
          <w:rFonts w:hint="eastAsia" w:ascii="仿宋" w:hAnsi="仿宋" w:eastAsia="仿宋" w:cs="仿宋"/>
          <w:color w:val="auto"/>
          <w:kern w:val="0"/>
          <w:sz w:val="24"/>
          <w:szCs w:val="24"/>
          <w:highlight w:val="none"/>
          <w:shd w:val="clear" w:color="auto" w:fill="FFFFFF"/>
          <w:vertAlign w:val="superscript"/>
        </w:rPr>
        <w:t>1</w:t>
      </w:r>
      <w:r>
        <w:rPr>
          <w:rFonts w:hint="eastAsia" w:ascii="仿宋" w:hAnsi="仿宋" w:eastAsia="仿宋" w:cs="仿宋"/>
          <w:color w:val="auto"/>
          <w:kern w:val="0"/>
          <w:sz w:val="24"/>
          <w:szCs w:val="24"/>
          <w:highlight w:val="none"/>
          <w:shd w:val="clear" w:color="auto" w:fill="FFFFFF"/>
        </w:rPr>
        <w:t>，属于</w:t>
      </w:r>
      <w:r>
        <w:rPr>
          <w:rFonts w:hint="eastAsia" w:ascii="仿宋" w:hAnsi="仿宋" w:eastAsia="仿宋" w:cs="仿宋"/>
          <w:color w:val="auto"/>
          <w:kern w:val="0"/>
          <w:sz w:val="24"/>
          <w:szCs w:val="24"/>
          <w:highlight w:val="none"/>
          <w:u w:val="single"/>
          <w:shd w:val="clear" w:color="auto" w:fill="FFFFFF"/>
        </w:rPr>
        <w:t xml:space="preserve">     （中型企业、小型企业、微型企业）</w:t>
      </w:r>
      <w:r>
        <w:rPr>
          <w:rFonts w:hint="eastAsia" w:ascii="仿宋" w:hAnsi="仿宋" w:eastAsia="仿宋" w:cs="仿宋"/>
          <w:color w:val="auto"/>
          <w:kern w:val="0"/>
          <w:sz w:val="24"/>
          <w:szCs w:val="24"/>
          <w:highlight w:val="none"/>
          <w:shd w:val="clear" w:color="auto" w:fill="FFFFFF"/>
        </w:rPr>
        <w:t>；</w:t>
      </w:r>
    </w:p>
    <w:p w14:paraId="71AAAC80">
      <w:pPr>
        <w:widowControl/>
        <w:autoSpaceDE w:val="0"/>
        <w:spacing w:line="500" w:lineRule="exact"/>
        <w:ind w:firstLine="480"/>
        <w:jc w:val="left"/>
        <w:rPr>
          <w:rFonts w:ascii="仿宋" w:hAnsi="仿宋" w:eastAsia="仿宋" w:cs="仿宋"/>
          <w:color w:val="auto"/>
          <w:highlight w:val="none"/>
        </w:rPr>
      </w:pPr>
      <w:r>
        <w:rPr>
          <w:rFonts w:hint="eastAsia" w:ascii="仿宋" w:hAnsi="仿宋" w:eastAsia="仿宋" w:cs="仿宋"/>
          <w:color w:val="auto"/>
          <w:kern w:val="0"/>
          <w:sz w:val="24"/>
          <w:szCs w:val="24"/>
          <w:highlight w:val="none"/>
          <w:shd w:val="clear" w:color="auto" w:fill="FFFFFF"/>
        </w:rPr>
        <w:t>2.</w:t>
      </w:r>
      <w:r>
        <w:rPr>
          <w:rFonts w:hint="eastAsia" w:ascii="仿宋" w:hAnsi="仿宋" w:eastAsia="仿宋" w:cs="仿宋"/>
          <w:color w:val="auto"/>
          <w:kern w:val="0"/>
          <w:sz w:val="24"/>
          <w:szCs w:val="24"/>
          <w:highlight w:val="none"/>
          <w:u w:val="single"/>
          <w:shd w:val="clear" w:color="auto" w:fill="FFFFFF"/>
        </w:rPr>
        <w:t xml:space="preserve">     （标的名称）</w:t>
      </w:r>
      <w:r>
        <w:rPr>
          <w:rFonts w:hint="eastAsia" w:ascii="仿宋" w:hAnsi="仿宋" w:eastAsia="仿宋" w:cs="仿宋"/>
          <w:color w:val="auto"/>
          <w:kern w:val="0"/>
          <w:sz w:val="24"/>
          <w:szCs w:val="24"/>
          <w:highlight w:val="none"/>
          <w:shd w:val="clear" w:color="auto" w:fill="FFFFFF"/>
        </w:rPr>
        <w:t>，属于</w:t>
      </w:r>
      <w:r>
        <w:rPr>
          <w:rFonts w:hint="eastAsia" w:ascii="仿宋" w:hAnsi="仿宋" w:eastAsia="仿宋" w:cs="仿宋"/>
          <w:color w:val="auto"/>
          <w:kern w:val="0"/>
          <w:sz w:val="24"/>
          <w:szCs w:val="24"/>
          <w:highlight w:val="none"/>
          <w:u w:val="single"/>
          <w:shd w:val="clear" w:color="auto" w:fill="FFFFFF"/>
        </w:rPr>
        <w:t xml:space="preserve">     （采购文件中明确的所属行业）</w:t>
      </w:r>
      <w:r>
        <w:rPr>
          <w:rFonts w:hint="eastAsia" w:ascii="仿宋" w:hAnsi="仿宋" w:eastAsia="仿宋" w:cs="仿宋"/>
          <w:color w:val="auto"/>
          <w:kern w:val="0"/>
          <w:sz w:val="24"/>
          <w:szCs w:val="24"/>
          <w:highlight w:val="none"/>
          <w:shd w:val="clear" w:color="auto" w:fill="FFFFFF"/>
        </w:rPr>
        <w:t>行业；制造商为</w:t>
      </w:r>
      <w:r>
        <w:rPr>
          <w:rFonts w:hint="eastAsia" w:ascii="仿宋" w:hAnsi="仿宋" w:eastAsia="仿宋" w:cs="仿宋"/>
          <w:color w:val="auto"/>
          <w:kern w:val="0"/>
          <w:sz w:val="24"/>
          <w:szCs w:val="24"/>
          <w:highlight w:val="none"/>
          <w:u w:val="single"/>
          <w:shd w:val="clear" w:color="auto" w:fill="FFFFFF"/>
        </w:rPr>
        <w:t xml:space="preserve">       （企业名称）</w:t>
      </w:r>
      <w:r>
        <w:rPr>
          <w:rFonts w:hint="eastAsia" w:ascii="仿宋" w:hAnsi="仿宋" w:eastAsia="仿宋" w:cs="仿宋"/>
          <w:color w:val="auto"/>
          <w:kern w:val="0"/>
          <w:sz w:val="24"/>
          <w:szCs w:val="24"/>
          <w:highlight w:val="none"/>
          <w:shd w:val="clear" w:color="auto" w:fill="FFFFFF"/>
        </w:rPr>
        <w:t>，从业人员</w:t>
      </w:r>
      <w:r>
        <w:rPr>
          <w:rFonts w:hint="eastAsia" w:ascii="仿宋" w:hAnsi="仿宋" w:eastAsia="仿宋" w:cs="仿宋"/>
          <w:color w:val="auto"/>
          <w:kern w:val="0"/>
          <w:sz w:val="24"/>
          <w:szCs w:val="24"/>
          <w:highlight w:val="none"/>
          <w:u w:val="single"/>
          <w:shd w:val="clear" w:color="auto" w:fill="FFFFFF"/>
        </w:rPr>
        <w:t xml:space="preserve">    </w:t>
      </w:r>
      <w:r>
        <w:rPr>
          <w:rFonts w:hint="eastAsia" w:ascii="仿宋" w:hAnsi="仿宋" w:eastAsia="仿宋" w:cs="仿宋"/>
          <w:color w:val="auto"/>
          <w:kern w:val="0"/>
          <w:sz w:val="24"/>
          <w:szCs w:val="24"/>
          <w:highlight w:val="none"/>
          <w:shd w:val="clear" w:color="auto" w:fill="FFFFFF"/>
        </w:rPr>
        <w:t>人，营业收入为</w:t>
      </w:r>
      <w:r>
        <w:rPr>
          <w:rFonts w:hint="eastAsia" w:ascii="仿宋" w:hAnsi="仿宋" w:eastAsia="仿宋" w:cs="仿宋"/>
          <w:color w:val="auto"/>
          <w:kern w:val="0"/>
          <w:sz w:val="24"/>
          <w:szCs w:val="24"/>
          <w:highlight w:val="none"/>
          <w:u w:val="single"/>
          <w:shd w:val="clear" w:color="auto" w:fill="FFFFFF"/>
        </w:rPr>
        <w:t xml:space="preserve">    </w:t>
      </w:r>
      <w:r>
        <w:rPr>
          <w:rFonts w:hint="eastAsia" w:ascii="仿宋" w:hAnsi="仿宋" w:eastAsia="仿宋" w:cs="仿宋"/>
          <w:color w:val="auto"/>
          <w:kern w:val="0"/>
          <w:sz w:val="24"/>
          <w:szCs w:val="24"/>
          <w:highlight w:val="none"/>
          <w:shd w:val="clear" w:color="auto" w:fill="FFFFFF"/>
        </w:rPr>
        <w:t>万元，资产总额为</w:t>
      </w:r>
      <w:r>
        <w:rPr>
          <w:rFonts w:hint="eastAsia" w:ascii="仿宋" w:hAnsi="仿宋" w:eastAsia="仿宋" w:cs="仿宋"/>
          <w:color w:val="auto"/>
          <w:kern w:val="0"/>
          <w:sz w:val="24"/>
          <w:szCs w:val="24"/>
          <w:highlight w:val="none"/>
          <w:u w:val="single"/>
          <w:shd w:val="clear" w:color="auto" w:fill="FFFFFF"/>
        </w:rPr>
        <w:t xml:space="preserve">   </w:t>
      </w:r>
      <w:r>
        <w:rPr>
          <w:rFonts w:hint="eastAsia" w:ascii="仿宋" w:hAnsi="仿宋" w:eastAsia="仿宋" w:cs="仿宋"/>
          <w:color w:val="auto"/>
          <w:kern w:val="0"/>
          <w:sz w:val="24"/>
          <w:szCs w:val="24"/>
          <w:highlight w:val="none"/>
          <w:shd w:val="clear" w:color="auto" w:fill="FFFFFF"/>
        </w:rPr>
        <w:t>万元</w:t>
      </w:r>
      <w:r>
        <w:rPr>
          <w:rFonts w:hint="eastAsia" w:ascii="仿宋" w:hAnsi="仿宋" w:eastAsia="仿宋" w:cs="仿宋"/>
          <w:color w:val="auto"/>
          <w:kern w:val="0"/>
          <w:sz w:val="24"/>
          <w:szCs w:val="24"/>
          <w:highlight w:val="none"/>
          <w:shd w:val="clear" w:color="auto" w:fill="FFFFFF"/>
          <w:vertAlign w:val="superscript"/>
        </w:rPr>
        <w:t>1</w:t>
      </w:r>
      <w:r>
        <w:rPr>
          <w:rFonts w:hint="eastAsia" w:ascii="仿宋" w:hAnsi="仿宋" w:eastAsia="仿宋" w:cs="仿宋"/>
          <w:color w:val="auto"/>
          <w:kern w:val="0"/>
          <w:sz w:val="24"/>
          <w:szCs w:val="24"/>
          <w:highlight w:val="none"/>
          <w:shd w:val="clear" w:color="auto" w:fill="FFFFFF"/>
        </w:rPr>
        <w:t>，属于</w:t>
      </w:r>
      <w:r>
        <w:rPr>
          <w:rFonts w:hint="eastAsia" w:ascii="仿宋" w:hAnsi="仿宋" w:eastAsia="仿宋" w:cs="仿宋"/>
          <w:color w:val="auto"/>
          <w:kern w:val="0"/>
          <w:sz w:val="24"/>
          <w:szCs w:val="24"/>
          <w:highlight w:val="none"/>
          <w:u w:val="single"/>
          <w:shd w:val="clear" w:color="auto" w:fill="FFFFFF"/>
        </w:rPr>
        <w:t xml:space="preserve">     （中型企业、小型企业、微型企业）</w:t>
      </w:r>
      <w:r>
        <w:rPr>
          <w:rFonts w:hint="eastAsia" w:ascii="仿宋" w:hAnsi="仿宋" w:eastAsia="仿宋" w:cs="仿宋"/>
          <w:color w:val="auto"/>
          <w:kern w:val="0"/>
          <w:sz w:val="24"/>
          <w:szCs w:val="24"/>
          <w:highlight w:val="none"/>
          <w:shd w:val="clear" w:color="auto" w:fill="FFFFFF"/>
        </w:rPr>
        <w:t>；</w:t>
      </w:r>
    </w:p>
    <w:p w14:paraId="5B75A942">
      <w:pPr>
        <w:widowControl/>
        <w:autoSpaceDE w:val="0"/>
        <w:spacing w:line="500" w:lineRule="exact"/>
        <w:ind w:firstLine="482"/>
        <w:jc w:val="left"/>
        <w:rPr>
          <w:rFonts w:ascii="仿宋" w:hAnsi="仿宋" w:eastAsia="仿宋" w:cs="仿宋"/>
          <w:color w:val="auto"/>
          <w:highlight w:val="none"/>
        </w:rPr>
      </w:pPr>
      <w:r>
        <w:rPr>
          <w:rFonts w:hint="eastAsia" w:ascii="仿宋" w:hAnsi="仿宋" w:eastAsia="仿宋" w:cs="仿宋"/>
          <w:color w:val="auto"/>
          <w:kern w:val="0"/>
          <w:sz w:val="24"/>
          <w:szCs w:val="24"/>
          <w:highlight w:val="none"/>
          <w:shd w:val="clear" w:color="auto" w:fill="FFFFFF"/>
        </w:rPr>
        <w:t>……</w:t>
      </w:r>
    </w:p>
    <w:p w14:paraId="4E5AADB1">
      <w:pPr>
        <w:widowControl/>
        <w:autoSpaceDE w:val="0"/>
        <w:spacing w:line="500" w:lineRule="exact"/>
        <w:ind w:firstLine="480"/>
        <w:jc w:val="left"/>
        <w:rPr>
          <w:rFonts w:ascii="仿宋" w:hAnsi="仿宋" w:eastAsia="仿宋" w:cs="仿宋"/>
          <w:color w:val="auto"/>
          <w:highlight w:val="none"/>
        </w:rPr>
      </w:pPr>
      <w:r>
        <w:rPr>
          <w:rFonts w:hint="eastAsia" w:ascii="仿宋" w:hAnsi="仿宋" w:eastAsia="仿宋" w:cs="仿宋"/>
          <w:color w:val="auto"/>
          <w:kern w:val="0"/>
          <w:sz w:val="24"/>
          <w:szCs w:val="24"/>
          <w:highlight w:val="none"/>
          <w:shd w:val="clear" w:color="auto" w:fill="FFFFFF"/>
        </w:rPr>
        <w:t>以上企业，不属于大企业的分支机构，不存在控股股东为大企业的情形，也不存在与大企业的负责人为同一人的情形。</w:t>
      </w:r>
    </w:p>
    <w:p w14:paraId="41E07B97">
      <w:pPr>
        <w:widowControl/>
        <w:autoSpaceDE w:val="0"/>
        <w:spacing w:line="500" w:lineRule="exact"/>
        <w:ind w:firstLine="480"/>
        <w:jc w:val="left"/>
        <w:rPr>
          <w:rFonts w:ascii="仿宋" w:hAnsi="仿宋" w:eastAsia="仿宋" w:cs="仿宋"/>
          <w:color w:val="auto"/>
          <w:highlight w:val="none"/>
        </w:rPr>
      </w:pPr>
      <w:r>
        <w:rPr>
          <w:rFonts w:hint="eastAsia" w:ascii="仿宋" w:hAnsi="仿宋" w:eastAsia="仿宋" w:cs="仿宋"/>
          <w:color w:val="auto"/>
          <w:kern w:val="0"/>
          <w:sz w:val="24"/>
          <w:szCs w:val="24"/>
          <w:highlight w:val="none"/>
          <w:shd w:val="clear" w:color="auto" w:fill="FFFFFF"/>
        </w:rPr>
        <w:t>本企业对上述声明内容的真实性负责。如有虚假，将依法承担相应责任。</w:t>
      </w:r>
    </w:p>
    <w:p w14:paraId="302C0A35">
      <w:pPr>
        <w:widowControl/>
        <w:autoSpaceDE w:val="0"/>
        <w:spacing w:line="500" w:lineRule="exact"/>
        <w:ind w:firstLine="5280"/>
        <w:jc w:val="left"/>
        <w:rPr>
          <w:rFonts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w:t>
      </w:r>
    </w:p>
    <w:p w14:paraId="0099A8CA">
      <w:pPr>
        <w:widowControl/>
        <w:autoSpaceDE w:val="0"/>
        <w:spacing w:line="500" w:lineRule="exact"/>
        <w:ind w:firstLine="528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企业名称（</w:t>
      </w:r>
      <w:r>
        <w:rPr>
          <w:rFonts w:hint="eastAsia" w:ascii="仿宋" w:hAnsi="仿宋" w:eastAsia="仿宋" w:cs="仿宋"/>
          <w:color w:val="auto"/>
          <w:sz w:val="24"/>
          <w:szCs w:val="24"/>
          <w:highlight w:val="none"/>
        </w:rPr>
        <w:t>加盖电子公章</w:t>
      </w:r>
      <w:r>
        <w:rPr>
          <w:rFonts w:hint="eastAsia" w:ascii="仿宋" w:hAnsi="仿宋" w:eastAsia="仿宋" w:cs="仿宋"/>
          <w:color w:val="auto"/>
          <w:kern w:val="0"/>
          <w:sz w:val="24"/>
          <w:szCs w:val="24"/>
          <w:highlight w:val="none"/>
          <w:shd w:val="clear" w:color="auto" w:fill="FFFFFF"/>
        </w:rPr>
        <w:t>）：</w:t>
      </w:r>
    </w:p>
    <w:p w14:paraId="05180444">
      <w:pPr>
        <w:widowControl/>
        <w:autoSpaceDE w:val="0"/>
        <w:spacing w:line="500" w:lineRule="exact"/>
        <w:ind w:firstLine="528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日 期：</w:t>
      </w:r>
    </w:p>
    <w:p w14:paraId="3C7A4B00">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2A54BCB0">
      <w:pPr>
        <w:spacing w:line="360" w:lineRule="auto"/>
        <w:rPr>
          <w:rFonts w:ascii="仿宋" w:hAnsi="仿宋" w:eastAsia="仿宋" w:cs="仿宋"/>
          <w:color w:val="auto"/>
          <w:sz w:val="22"/>
          <w:szCs w:val="22"/>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从业人员、营业收入、资产总额填报上一年度数据，无上一年度数据的新成立企业可不填报</w:t>
      </w:r>
      <w:r>
        <w:rPr>
          <w:rFonts w:hint="eastAsia" w:ascii="仿宋" w:hAnsi="仿宋" w:eastAsia="仿宋" w:cs="仿宋"/>
          <w:color w:val="auto"/>
          <w:sz w:val="22"/>
          <w:szCs w:val="22"/>
          <w:highlight w:val="none"/>
        </w:rPr>
        <w:t>。</w:t>
      </w:r>
    </w:p>
    <w:p w14:paraId="1006513F">
      <w:pPr>
        <w:pStyle w:val="18"/>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ascii="仿宋" w:hAnsi="仿宋" w:eastAsia="仿宋" w:cs="仿宋"/>
          <w:b/>
          <w:bCs/>
          <w:color w:val="auto"/>
          <w:highlight w:val="none"/>
        </w:rPr>
      </w:pP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en-US" w:eastAsia="zh-CN"/>
        </w:rPr>
        <w:t xml:space="preserve">    </w:t>
      </w:r>
      <w:r>
        <w:rPr>
          <w:rFonts w:hint="eastAsia" w:ascii="仿宋" w:hAnsi="仿宋" w:eastAsia="仿宋" w:cs="仿宋"/>
          <w:b/>
          <w:color w:val="auto"/>
          <w:sz w:val="24"/>
          <w:szCs w:val="24"/>
          <w:highlight w:val="none"/>
          <w:lang w:val="en-US" w:eastAsia="zh-CN"/>
        </w:rPr>
        <w:t>2.投标人所提供的全部产品须为小微企业制造，投标报价即可享受价格扣除10%。投标人必须将招标文件第三章的第二部分技术需求中所列的全部产品按顺序逐项填报，不得缺项漏项或任意合并，否则可视为不享受价格扣除。</w:t>
      </w:r>
    </w:p>
    <w:p w14:paraId="3A9F67E7">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5501BF0">
      <w:pPr>
        <w:pStyle w:val="7"/>
        <w:spacing w:line="360" w:lineRule="auto"/>
        <w:jc w:val="center"/>
        <w:rPr>
          <w:rFonts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kern w:val="0"/>
          <w:sz w:val="28"/>
          <w:szCs w:val="28"/>
          <w:highlight w:val="none"/>
        </w:rPr>
        <w:t>监狱企业声明函</w:t>
      </w:r>
    </w:p>
    <w:p w14:paraId="17C12A31">
      <w:pPr>
        <w:pStyle w:val="7"/>
        <w:spacing w:line="360" w:lineRule="auto"/>
        <w:jc w:val="center"/>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w:t>
      </w:r>
      <w:r>
        <w:rPr>
          <w:rFonts w:hint="eastAsia" w:ascii="仿宋" w:hAnsi="仿宋" w:eastAsia="仿宋" w:cs="仿宋"/>
          <w:color w:val="auto"/>
          <w:sz w:val="24"/>
          <w:szCs w:val="24"/>
          <w:highlight w:val="none"/>
        </w:rPr>
        <w:t>不属于监狱企业的无需填写</w:t>
      </w:r>
      <w:r>
        <w:rPr>
          <w:rFonts w:hint="eastAsia" w:ascii="仿宋" w:hAnsi="仿宋" w:eastAsia="仿宋" w:cs="仿宋"/>
          <w:color w:val="auto"/>
          <w:spacing w:val="-4"/>
          <w:sz w:val="24"/>
          <w:szCs w:val="24"/>
          <w:highlight w:val="none"/>
        </w:rPr>
        <w:t>）</w:t>
      </w:r>
    </w:p>
    <w:p w14:paraId="2D4AF5D0">
      <w:pPr>
        <w:pStyle w:val="7"/>
        <w:spacing w:line="360" w:lineRule="auto"/>
        <w:ind w:firstLine="464" w:firstLineChars="200"/>
        <w:jc w:val="left"/>
        <w:rPr>
          <w:rFonts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xml:space="preserve">公司郑重声明，根据《关于政府采购支持监狱企业发展有关问题的通知》 </w:t>
      </w:r>
      <w:r>
        <w:rPr>
          <w:rFonts w:hint="eastAsia" w:ascii="仿宋" w:hAnsi="仿宋" w:eastAsia="仿宋" w:cs="仿宋"/>
          <w:color w:val="auto"/>
          <w:sz w:val="24"/>
          <w:szCs w:val="24"/>
          <w:highlight w:val="none"/>
        </w:rPr>
        <w:t>（财库</w:t>
      </w:r>
      <w:r>
        <w:rPr>
          <w:rFonts w:hint="eastAsia" w:ascii="仿宋" w:hAnsi="仿宋" w:eastAsia="仿宋" w:cs="仿宋"/>
          <w:color w:val="auto"/>
          <w:sz w:val="24"/>
          <w:szCs w:val="24"/>
          <w:highlight w:val="none"/>
          <w:lang w:eastAsia="zh-CN"/>
        </w:rPr>
        <w:t>〔2014〕</w:t>
      </w:r>
      <w:r>
        <w:rPr>
          <w:rFonts w:hint="eastAsia" w:ascii="仿宋" w:hAnsi="仿宋" w:eastAsia="仿宋" w:cs="仿宋"/>
          <w:color w:val="auto"/>
          <w:sz w:val="24"/>
          <w:szCs w:val="24"/>
          <w:highlight w:val="none"/>
        </w:rPr>
        <w:t>68</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z w:val="24"/>
          <w:szCs w:val="24"/>
          <w:highlight w:val="none"/>
        </w:rPr>
        <w:t xml:space="preserve">号）的规定，本公司为监狱企业。 </w:t>
      </w:r>
    </w:p>
    <w:p w14:paraId="1D95117F">
      <w:pPr>
        <w:pStyle w:val="7"/>
        <w:spacing w:line="360" w:lineRule="auto"/>
        <w:ind w:firstLine="452" w:firstLineChars="200"/>
        <w:jc w:val="left"/>
        <w:rPr>
          <w:rFonts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根据上述标准，我公司属于监狱企业的理由为：</w:t>
      </w:r>
      <w:r>
        <w:rPr>
          <w:rFonts w:hint="eastAsia" w:ascii="仿宋" w:hAnsi="仿宋" w:eastAsia="仿宋" w:cs="仿宋"/>
          <w:color w:val="auto"/>
          <w:spacing w:val="-7"/>
          <w:sz w:val="24"/>
          <w:szCs w:val="24"/>
          <w:highlight w:val="none"/>
          <w:u w:val="single"/>
        </w:rPr>
        <w:t xml:space="preserve">                    </w:t>
      </w:r>
      <w:r>
        <w:rPr>
          <w:rFonts w:hint="eastAsia" w:ascii="仿宋" w:hAnsi="仿宋" w:eastAsia="仿宋" w:cs="仿宋"/>
          <w:color w:val="auto"/>
          <w:spacing w:val="-7"/>
          <w:sz w:val="24"/>
          <w:szCs w:val="24"/>
          <w:highlight w:val="none"/>
        </w:rPr>
        <w:t>。</w:t>
      </w:r>
    </w:p>
    <w:p w14:paraId="4E9FECA8">
      <w:pPr>
        <w:pStyle w:val="7"/>
        <w:spacing w:line="360" w:lineRule="auto"/>
        <w:ind w:firstLine="476" w:firstLineChars="200"/>
        <w:jc w:val="left"/>
        <w:rPr>
          <w:rFonts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本公司为参加</w:t>
      </w:r>
      <w:r>
        <w:rPr>
          <w:rFonts w:hint="eastAsia" w:ascii="仿宋" w:hAnsi="仿宋" w:eastAsia="仿宋" w:cs="仿宋"/>
          <w:color w:val="auto"/>
          <w:spacing w:val="-1"/>
          <w:sz w:val="24"/>
          <w:szCs w:val="24"/>
          <w:highlight w:val="none"/>
          <w:u w:val="single" w:color="000000"/>
        </w:rPr>
        <w:tab/>
      </w:r>
      <w:r>
        <w:rPr>
          <w:rFonts w:hint="eastAsia" w:ascii="仿宋" w:hAnsi="仿宋" w:eastAsia="仿宋" w:cs="仿宋"/>
          <w:color w:val="auto"/>
          <w:spacing w:val="-1"/>
          <w:sz w:val="24"/>
          <w:szCs w:val="24"/>
          <w:highlight w:val="none"/>
          <w:u w:val="single" w:color="000000"/>
        </w:rPr>
        <w:t>（项目名称）</w:t>
      </w:r>
      <w:r>
        <w:rPr>
          <w:rFonts w:hint="eastAsia" w:ascii="仿宋" w:hAnsi="仿宋" w:eastAsia="仿宋" w:cs="仿宋"/>
          <w:color w:val="auto"/>
          <w:spacing w:val="34"/>
          <w:sz w:val="24"/>
          <w:szCs w:val="24"/>
          <w:highlight w:val="none"/>
          <w:u w:val="single"/>
        </w:rPr>
        <w:t xml:space="preserve"> </w:t>
      </w:r>
      <w:r>
        <w:rPr>
          <w:rFonts w:hint="eastAsia" w:ascii="仿宋" w:hAnsi="仿宋" w:eastAsia="仿宋" w:cs="仿宋"/>
          <w:color w:val="auto"/>
          <w:spacing w:val="-6"/>
          <w:sz w:val="24"/>
          <w:szCs w:val="24"/>
          <w:highlight w:val="none"/>
          <w:u w:val="single"/>
        </w:rPr>
        <w:t>（招标编号：         ）</w:t>
      </w:r>
      <w:r>
        <w:rPr>
          <w:rFonts w:hint="eastAsia" w:ascii="仿宋" w:hAnsi="仿宋" w:eastAsia="仿宋" w:cs="仿宋"/>
          <w:color w:val="auto"/>
          <w:spacing w:val="-6"/>
          <w:sz w:val="24"/>
          <w:szCs w:val="24"/>
          <w:highlight w:val="none"/>
        </w:rPr>
        <w:t>采购活动提供本企业</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single" w:color="000000"/>
        </w:rPr>
        <w:t>（填写制造的货</w:t>
      </w:r>
      <w:r>
        <w:rPr>
          <w:rFonts w:hint="eastAsia" w:ascii="仿宋" w:hAnsi="仿宋" w:eastAsia="仿宋" w:cs="仿宋"/>
          <w:color w:val="auto"/>
          <w:spacing w:val="-8"/>
          <w:sz w:val="24"/>
          <w:szCs w:val="24"/>
          <w:highlight w:val="none"/>
          <w:u w:val="single" w:color="000000"/>
        </w:rPr>
        <w:t>物，由本企业承担工程、提供服务）</w:t>
      </w:r>
      <w:r>
        <w:rPr>
          <w:rFonts w:hint="eastAsia" w:ascii="仿宋" w:hAnsi="仿宋" w:eastAsia="仿宋" w:cs="仿宋"/>
          <w:color w:val="auto"/>
          <w:spacing w:val="-8"/>
          <w:sz w:val="24"/>
          <w:szCs w:val="24"/>
          <w:highlight w:val="none"/>
        </w:rPr>
        <w:t>。</w:t>
      </w:r>
    </w:p>
    <w:p w14:paraId="7DE1849A">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D403462">
      <w:pPr>
        <w:pStyle w:val="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本条所称货物不包括使用大型企业注册商标的货物和服务。 </w:t>
      </w:r>
    </w:p>
    <w:p w14:paraId="44BA76DD">
      <w:pPr>
        <w:pStyle w:val="7"/>
        <w:spacing w:line="360" w:lineRule="auto"/>
        <w:ind w:firstLine="472" w:firstLineChars="200"/>
        <w:jc w:val="left"/>
        <w:rPr>
          <w:rFonts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本公司对上述声明的真实性负责。如有虚假，将依法承担相应责任。</w:t>
      </w:r>
    </w:p>
    <w:p w14:paraId="587F3A67">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74D0F68">
      <w:pPr>
        <w:spacing w:line="360" w:lineRule="auto"/>
        <w:ind w:firstLine="2" w:firstLineChars="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06AAA4C">
      <w:pPr>
        <w:spacing w:line="360" w:lineRule="auto"/>
        <w:ind w:firstLine="2" w:firstLineChars="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53C730D5">
      <w:pPr>
        <w:adjustRightInd w:val="0"/>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D62A120">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2FBBFCD">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BEF267C">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81E9959">
      <w:pPr>
        <w:pStyle w:val="7"/>
        <w:spacing w:line="360" w:lineRule="auto"/>
        <w:ind w:firstLine="478" w:firstLineChars="200"/>
        <w:jc w:val="left"/>
        <w:rPr>
          <w:rFonts w:ascii="仿宋" w:hAnsi="仿宋" w:eastAsia="仿宋" w:cs="仿宋"/>
          <w:b/>
          <w:bCs/>
          <w:color w:val="auto"/>
          <w:spacing w:val="-1"/>
          <w:sz w:val="24"/>
          <w:szCs w:val="24"/>
          <w:highlight w:val="none"/>
        </w:rPr>
      </w:pPr>
      <w:r>
        <w:rPr>
          <w:rFonts w:hint="eastAsia" w:ascii="仿宋" w:hAnsi="仿宋" w:eastAsia="仿宋" w:cs="仿宋"/>
          <w:b/>
          <w:bCs/>
          <w:color w:val="auto"/>
          <w:spacing w:val="-1"/>
          <w:sz w:val="24"/>
          <w:szCs w:val="24"/>
          <w:highlight w:val="none"/>
        </w:rPr>
        <w:t>注：若产品出自符合国家规定的监狱企业，则该产品制造企业必须出具上述声明函，且投标人必须提供应当提供由省级以上监狱管理局、戒毒管理局（含新疆生产建设兵团）出具的属于监狱企业的证明文件，否则在评审时将不考虑对该监狱企业的相关优惠。监狱企业视同小型、微型企业，享受</w:t>
      </w:r>
      <w:r>
        <w:rPr>
          <w:rFonts w:hint="eastAsia" w:ascii="仿宋" w:hAnsi="仿宋" w:eastAsia="仿宋" w:cs="仿宋"/>
          <w:b/>
          <w:bCs/>
          <w:color w:val="auto"/>
          <w:spacing w:val="-1"/>
          <w:sz w:val="24"/>
          <w:szCs w:val="24"/>
          <w:highlight w:val="none"/>
          <w:lang w:eastAsia="zh-CN"/>
        </w:rPr>
        <w:t>评审</w:t>
      </w:r>
      <w:r>
        <w:rPr>
          <w:rFonts w:hint="eastAsia" w:ascii="仿宋" w:hAnsi="仿宋" w:eastAsia="仿宋" w:cs="仿宋"/>
          <w:b/>
          <w:bCs/>
          <w:color w:val="auto"/>
          <w:spacing w:val="-1"/>
          <w:sz w:val="24"/>
          <w:szCs w:val="24"/>
          <w:highlight w:val="none"/>
        </w:rPr>
        <w:t>价格扣除等政府采购促进中小企业发展的政府采购政策。</w:t>
      </w:r>
    </w:p>
    <w:p w14:paraId="1C6EE858">
      <w:pPr>
        <w:pStyle w:val="7"/>
        <w:spacing w:line="360" w:lineRule="auto"/>
        <w:jc w:val="center"/>
        <w:rPr>
          <w:rFonts w:ascii="仿宋" w:hAnsi="仿宋" w:eastAsia="仿宋" w:cs="仿宋"/>
          <w:b/>
          <w:color w:val="auto"/>
          <w:kern w:val="0"/>
          <w:sz w:val="24"/>
          <w:szCs w:val="24"/>
          <w:highlight w:val="none"/>
        </w:rPr>
      </w:pPr>
      <w:r>
        <w:rPr>
          <w:rFonts w:hint="eastAsia" w:ascii="仿宋" w:hAnsi="仿宋" w:eastAsia="仿宋" w:cs="仿宋"/>
          <w:b/>
          <w:bCs/>
          <w:color w:val="auto"/>
          <w:spacing w:val="-1"/>
          <w:sz w:val="24"/>
          <w:szCs w:val="24"/>
          <w:highlight w:val="none"/>
        </w:rPr>
        <w:br w:type="page"/>
      </w:r>
      <w:r>
        <w:rPr>
          <w:rFonts w:hint="eastAsia" w:ascii="仿宋" w:hAnsi="仿宋" w:eastAsia="仿宋" w:cs="仿宋"/>
          <w:b/>
          <w:color w:val="auto"/>
          <w:sz w:val="28"/>
          <w:szCs w:val="28"/>
          <w:highlight w:val="none"/>
        </w:rPr>
        <w:t>（三）</w:t>
      </w:r>
      <w:r>
        <w:rPr>
          <w:rFonts w:hint="eastAsia" w:ascii="仿宋" w:hAnsi="仿宋" w:eastAsia="仿宋" w:cs="仿宋"/>
          <w:b/>
          <w:color w:val="auto"/>
          <w:kern w:val="0"/>
          <w:sz w:val="28"/>
          <w:szCs w:val="28"/>
          <w:highlight w:val="none"/>
        </w:rPr>
        <w:t>残疾人福利性单位声明函</w:t>
      </w:r>
    </w:p>
    <w:p w14:paraId="1F986737">
      <w:pPr>
        <w:pStyle w:val="7"/>
        <w:spacing w:line="360" w:lineRule="auto"/>
        <w:ind w:firstLine="420"/>
        <w:jc w:val="center"/>
        <w:rPr>
          <w:rFonts w:ascii="仿宋" w:hAnsi="仿宋" w:eastAsia="仿宋" w:cs="仿宋"/>
          <w:color w:val="auto"/>
          <w:sz w:val="24"/>
          <w:szCs w:val="24"/>
          <w:highlight w:val="none"/>
        </w:rPr>
      </w:pPr>
      <w:bookmarkStart w:id="107" w:name="_Toc20904"/>
      <w:bookmarkEnd w:id="107"/>
      <w:bookmarkStart w:id="108" w:name="_Toc12907"/>
      <w:r>
        <w:rPr>
          <w:rFonts w:hint="eastAsia" w:ascii="仿宋" w:hAnsi="仿宋" w:eastAsia="仿宋" w:cs="仿宋"/>
          <w:color w:val="auto"/>
          <w:sz w:val="24"/>
          <w:szCs w:val="24"/>
          <w:highlight w:val="none"/>
        </w:rPr>
        <w:t>（不属于残疾人福利性单位的无需填写）</w:t>
      </w:r>
      <w:bookmarkEnd w:id="108"/>
    </w:p>
    <w:p w14:paraId="1F27C25D">
      <w:pPr>
        <w:pStyle w:val="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w:t>
      </w:r>
      <w:r>
        <w:rPr>
          <w:rFonts w:hint="eastAsia" w:ascii="仿宋" w:hAnsi="仿宋" w:eastAsia="仿宋" w:cs="仿宋"/>
          <w:color w:val="auto"/>
          <w:spacing w:val="-10"/>
          <w:sz w:val="24"/>
          <w:szCs w:val="24"/>
          <w:highlight w:val="none"/>
        </w:rPr>
        <w:t>的通知》（财库〔2017〕</w:t>
      </w:r>
      <w:r>
        <w:rPr>
          <w:rFonts w:hint="eastAsia" w:ascii="仿宋" w:hAnsi="仿宋" w:eastAsia="仿宋" w:cs="仿宋"/>
          <w:color w:val="auto"/>
          <w:sz w:val="24"/>
          <w:szCs w:val="24"/>
          <w:highlight w:val="none"/>
        </w:rPr>
        <w:t>141</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z w:val="24"/>
          <w:szCs w:val="24"/>
          <w:highlight w:val="none"/>
        </w:rPr>
        <w:t>号）的规定，本单位为符合条件的残疾人福利性单位，且本单位参加</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color="000000"/>
        </w:rPr>
        <w:tab/>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pacing w:val="-1"/>
          <w:sz w:val="24"/>
          <w:szCs w:val="24"/>
          <w:highlight w:val="none"/>
        </w:rPr>
        <w:t>单位的</w:t>
      </w:r>
      <w:r>
        <w:rPr>
          <w:rFonts w:hint="eastAsia" w:ascii="仿宋" w:hAnsi="仿宋" w:eastAsia="仿宋" w:cs="仿宋"/>
          <w:color w:val="auto"/>
          <w:spacing w:val="-1"/>
          <w:sz w:val="24"/>
          <w:szCs w:val="24"/>
          <w:highlight w:val="none"/>
          <w:u w:val="single" w:color="000000"/>
        </w:rPr>
        <w:tab/>
      </w:r>
      <w:r>
        <w:rPr>
          <w:rFonts w:hint="eastAsia" w:ascii="仿宋" w:hAnsi="仿宋" w:eastAsia="仿宋" w:cs="仿宋"/>
          <w:color w:val="auto"/>
          <w:spacing w:val="-1"/>
          <w:sz w:val="24"/>
          <w:szCs w:val="24"/>
          <w:highlight w:val="none"/>
          <w:u w:val="single" w:color="000000"/>
        </w:rPr>
        <w:t xml:space="preserve">              </w:t>
      </w:r>
      <w:r>
        <w:rPr>
          <w:rFonts w:hint="eastAsia" w:ascii="仿宋" w:hAnsi="仿宋" w:eastAsia="仿宋" w:cs="仿宋"/>
          <w:color w:val="auto"/>
          <w:spacing w:val="-4"/>
          <w:sz w:val="24"/>
          <w:szCs w:val="24"/>
          <w:highlight w:val="none"/>
        </w:rPr>
        <w:t>项目采购活动提供本单位制造的货物（由本单位承担工程/提供服务），或者提供其他残疾人福利性单位制造的货物（不包括使用非残疾人福利性单位注册商标的货物）。</w:t>
      </w:r>
    </w:p>
    <w:p w14:paraId="5C509B4A">
      <w:pPr>
        <w:pStyle w:val="7"/>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198A5E53">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36A85FA">
      <w:pPr>
        <w:pStyle w:val="7"/>
        <w:spacing w:line="360" w:lineRule="auto"/>
        <w:ind w:firstLine="420"/>
        <w:jc w:val="lef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注： 单独列出所供残疾人福利性单位制造的货物产品单价和总价。</w:t>
      </w:r>
    </w:p>
    <w:p w14:paraId="798836DA">
      <w:pPr>
        <w:pStyle w:val="7"/>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（若投标文件中无上述材料，则在评审时不考虑对该小、微企业的相关优惠。）</w:t>
      </w:r>
    </w:p>
    <w:p w14:paraId="41E765B6">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04A4B17">
      <w:pPr>
        <w:spacing w:line="360" w:lineRule="auto"/>
        <w:ind w:firstLine="2" w:firstLineChars="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B3CAB04">
      <w:pPr>
        <w:spacing w:line="360" w:lineRule="auto"/>
        <w:ind w:firstLine="2" w:firstLineChars="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2DCD9FE8">
      <w:pPr>
        <w:adjustRightInd w:val="0"/>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04743314">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011B367E">
      <w:pPr>
        <w:pStyle w:val="7"/>
        <w:spacing w:line="360" w:lineRule="auto"/>
        <w:ind w:left="27" w:hanging="27"/>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1307FD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7A9A0C5">
      <w:pPr>
        <w:pStyle w:val="19"/>
        <w:autoSpaceDE w:val="0"/>
        <w:spacing w:after="0" w:line="360" w:lineRule="auto"/>
        <w:ind w:left="0" w:leftChars="0" w:firstLine="478"/>
        <w:rPr>
          <w:rFonts w:ascii="仿宋" w:hAnsi="仿宋" w:eastAsia="仿宋" w:cs="仿宋"/>
          <w:b/>
          <w:bCs/>
          <w:color w:val="auto"/>
          <w:spacing w:val="-1"/>
          <w:sz w:val="24"/>
          <w:szCs w:val="24"/>
          <w:highlight w:val="none"/>
        </w:rPr>
      </w:pPr>
      <w:r>
        <w:rPr>
          <w:rFonts w:hint="eastAsia" w:ascii="仿宋" w:hAnsi="仿宋" w:eastAsia="仿宋" w:cs="仿宋"/>
          <w:b/>
          <w:bCs/>
          <w:color w:val="auto"/>
          <w:spacing w:val="-1"/>
          <w:sz w:val="24"/>
          <w:szCs w:val="24"/>
          <w:highlight w:val="none"/>
        </w:rPr>
        <w:t>注：符合条件的残疾人福利性单位在参加政府采购活动时，应当提供本通知规定的《残疾人福利性单位声明函》，并对声明的真实性负责。招标代理机构在随中标、中标结果同时公告其《残疾人福利性单位声明函》，接受社会监督。投标人提供的《残疾人福利性单位声明函》与事实不符的，依照《中华人民共和国政府采购法》第七十七条第一款的规定追究法律责任。</w:t>
      </w:r>
    </w:p>
    <w:p w14:paraId="170F257E">
      <w:pPr>
        <w:pStyle w:val="10"/>
        <w:spacing w:line="360" w:lineRule="auto"/>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70DCDFDF">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59409EF6">
      <w:pPr>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九、关于符合本国产品标准的声明函</w:t>
      </w:r>
    </w:p>
    <w:p w14:paraId="5C6F9C1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1E4140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1.</w:t>
      </w:r>
      <w:r>
        <w:rPr>
          <w:rStyle w:val="26"/>
          <w:rFonts w:hint="eastAsia" w:ascii="仿宋" w:hAnsi="仿宋" w:eastAsia="仿宋" w:cs="仿宋"/>
          <w:i w:val="0"/>
          <w:iCs w:val="0"/>
          <w:caps w:val="0"/>
          <w:color w:val="333333"/>
          <w:spacing w:val="0"/>
          <w:sz w:val="24"/>
          <w:szCs w:val="24"/>
          <w:highlight w:val="none"/>
          <w:u w:val="singl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，生产厂为</w:t>
      </w:r>
      <w:r>
        <w:rPr>
          <w:rStyle w:val="26"/>
          <w:rFonts w:hint="eastAsia" w:ascii="仿宋" w:hAnsi="仿宋" w:eastAsia="仿宋" w:cs="仿宋"/>
          <w:i w:val="0"/>
          <w:iCs w:val="0"/>
          <w:caps w:val="0"/>
          <w:color w:val="333333"/>
          <w:spacing w:val="0"/>
          <w:sz w:val="24"/>
          <w:szCs w:val="24"/>
          <w:highlight w:val="none"/>
          <w:u w:val="single"/>
          <w:shd w:val="clear" w:fill="FFFFFF"/>
        </w:rPr>
        <w:t>（厂名）</w:t>
      </w:r>
      <w:r>
        <w:rPr>
          <w:rFonts w:hint="eastAsia" w:ascii="仿宋" w:hAnsi="仿宋" w:eastAsia="仿宋" w:cs="仿宋"/>
          <w:i w:val="0"/>
          <w:iCs w:val="0"/>
          <w:caps w:val="0"/>
          <w:color w:val="333333"/>
          <w:spacing w:val="0"/>
          <w:sz w:val="24"/>
          <w:szCs w:val="24"/>
          <w:highlight w:val="none"/>
          <w:shd w:val="clear" w:fill="FFFFFF"/>
        </w:rPr>
        <w:t>，厂址为</w:t>
      </w:r>
      <w:r>
        <w:rPr>
          <w:rStyle w:val="26"/>
          <w:rFonts w:hint="eastAsia" w:ascii="仿宋" w:hAnsi="仿宋" w:eastAsia="仿宋" w:cs="仿宋"/>
          <w:i w:val="0"/>
          <w:iCs w:val="0"/>
          <w:caps w:val="0"/>
          <w:color w:val="333333"/>
          <w:spacing w:val="0"/>
          <w:sz w:val="24"/>
          <w:szCs w:val="24"/>
          <w:highlight w:val="none"/>
          <w:u w:val="single"/>
          <w:shd w:val="clear" w:fill="FFFFFF"/>
        </w:rPr>
        <w:t>（生产厂址）</w:t>
      </w:r>
      <w:r>
        <w:rPr>
          <w:rFonts w:hint="eastAsia" w:ascii="仿宋" w:hAnsi="仿宋" w:eastAsia="仿宋" w:cs="仿宋"/>
          <w:i w:val="0"/>
          <w:iCs w:val="0"/>
          <w:caps w:val="0"/>
          <w:color w:val="333333"/>
          <w:spacing w:val="0"/>
          <w:sz w:val="24"/>
          <w:szCs w:val="24"/>
          <w:highlight w:val="none"/>
          <w:shd w:val="clear" w:fill="FFFFFF"/>
        </w:rPr>
        <w:t>。</w:t>
      </w:r>
      <w:r>
        <w:rPr>
          <w:rStyle w:val="26"/>
          <w:rFonts w:hint="eastAsia" w:ascii="仿宋" w:hAnsi="仿宋" w:eastAsia="仿宋" w:cs="仿宋"/>
          <w:i w:val="0"/>
          <w:iCs w:val="0"/>
          <w:caps w:val="0"/>
          <w:color w:val="333333"/>
          <w:spacing w:val="0"/>
          <w:sz w:val="24"/>
          <w:szCs w:val="24"/>
          <w:highlight w:val="none"/>
          <w:u w:val="singl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的中国境内生产的组件成本占比≥</w:t>
      </w:r>
      <w:r>
        <w:rPr>
          <w:rStyle w:val="26"/>
          <w:rFonts w:hint="eastAsia" w:ascii="仿宋" w:hAnsi="仿宋" w:eastAsia="仿宋" w:cs="仿宋"/>
          <w:i w:val="0"/>
          <w:iCs w:val="0"/>
          <w:caps w:val="0"/>
          <w:color w:val="333333"/>
          <w:spacing w:val="0"/>
          <w:sz w:val="24"/>
          <w:szCs w:val="24"/>
          <w:highlight w:val="none"/>
          <w:u w:val="single"/>
          <w:shd w:val="clear" w:fill="FFFFFF"/>
        </w:rPr>
        <w:t>（规定比例）</w:t>
      </w:r>
      <w:r>
        <w:rPr>
          <w:rFonts w:hint="eastAsia" w:ascii="仿宋" w:hAnsi="仿宋" w:eastAsia="仿宋" w:cs="仿宋"/>
          <w:i w:val="0"/>
          <w:iCs w:val="0"/>
          <w:caps w:val="0"/>
          <w:color w:val="333333"/>
          <w:spacing w:val="0"/>
          <w:sz w:val="24"/>
          <w:szCs w:val="24"/>
          <w:highlight w:val="none"/>
          <w:shd w:val="clear" w:fill="FFFFFF"/>
        </w:rPr>
        <w:t>。</w:t>
      </w:r>
      <w:r>
        <w:rPr>
          <w:rStyle w:val="26"/>
          <w:rFonts w:hint="eastAsia" w:ascii="仿宋" w:hAnsi="仿宋" w:eastAsia="仿宋" w:cs="仿宋"/>
          <w:i w:val="0"/>
          <w:iCs w:val="0"/>
          <w:caps w:val="0"/>
          <w:color w:val="333333"/>
          <w:spacing w:val="0"/>
          <w:sz w:val="24"/>
          <w:szCs w:val="24"/>
          <w:highlight w:val="none"/>
          <w:u w:val="singl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w:t>
      </w:r>
      <w:r>
        <w:rPr>
          <w:rStyle w:val="26"/>
          <w:rFonts w:hint="eastAsia" w:ascii="仿宋" w:hAnsi="仿宋" w:eastAsia="仿宋" w:cs="仿宋"/>
          <w:i w:val="0"/>
          <w:iCs w:val="0"/>
          <w:caps w:val="0"/>
          <w:color w:val="333333"/>
          <w:spacing w:val="0"/>
          <w:sz w:val="24"/>
          <w:szCs w:val="24"/>
          <w:highlight w:val="none"/>
          <w:u w:val="single"/>
          <w:shd w:val="clear" w:fill="FFFFFF"/>
        </w:rPr>
        <w:t>（关键组件）</w:t>
      </w:r>
      <w:r>
        <w:rPr>
          <w:rFonts w:hint="eastAsia" w:ascii="仿宋" w:hAnsi="仿宋" w:eastAsia="仿宋" w:cs="仿宋"/>
          <w:i w:val="0"/>
          <w:iCs w:val="0"/>
          <w:caps w:val="0"/>
          <w:color w:val="333333"/>
          <w:spacing w:val="0"/>
          <w:sz w:val="24"/>
          <w:szCs w:val="24"/>
          <w:highlight w:val="none"/>
          <w:shd w:val="clear" w:fill="FFFFFF"/>
        </w:rPr>
        <w:t>在中国境内生产。</w:t>
      </w:r>
      <w:r>
        <w:rPr>
          <w:rStyle w:val="26"/>
          <w:rFonts w:hint="eastAsia" w:ascii="仿宋" w:hAnsi="仿宋" w:eastAsia="仿宋" w:cs="仿宋"/>
          <w:i w:val="0"/>
          <w:iCs w:val="0"/>
          <w:caps w:val="0"/>
          <w:color w:val="333333"/>
          <w:spacing w:val="0"/>
          <w:sz w:val="24"/>
          <w:szCs w:val="24"/>
          <w:highlight w:val="none"/>
          <w:u w:val="singl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w:t>
      </w:r>
      <w:r>
        <w:rPr>
          <w:rStyle w:val="26"/>
          <w:rFonts w:hint="eastAsia" w:ascii="仿宋" w:hAnsi="仿宋" w:eastAsia="仿宋" w:cs="仿宋"/>
          <w:i w:val="0"/>
          <w:iCs w:val="0"/>
          <w:caps w:val="0"/>
          <w:color w:val="333333"/>
          <w:spacing w:val="0"/>
          <w:sz w:val="24"/>
          <w:szCs w:val="24"/>
          <w:highlight w:val="none"/>
          <w:u w:val="single"/>
          <w:shd w:val="clear" w:fill="FFFFFF"/>
        </w:rPr>
        <w:t>（关键工序）</w:t>
      </w:r>
      <w:r>
        <w:rPr>
          <w:rFonts w:hint="eastAsia" w:ascii="仿宋" w:hAnsi="仿宋" w:eastAsia="仿宋" w:cs="仿宋"/>
          <w:i w:val="0"/>
          <w:iCs w:val="0"/>
          <w:caps w:val="0"/>
          <w:color w:val="333333"/>
          <w:spacing w:val="0"/>
          <w:sz w:val="24"/>
          <w:szCs w:val="24"/>
          <w:highlight w:val="none"/>
          <w:shd w:val="clear" w:fill="FFFFFF"/>
        </w:rPr>
        <w:t>在中国境内完成。</w:t>
      </w:r>
    </w:p>
    <w:p w14:paraId="2D6190A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2.</w:t>
      </w:r>
      <w:r>
        <w:rPr>
          <w:rStyle w:val="26"/>
          <w:rFonts w:hint="eastAsia" w:ascii="仿宋" w:hAnsi="仿宋" w:eastAsia="仿宋" w:cs="仿宋"/>
          <w:i w:val="0"/>
          <w:iCs w:val="0"/>
          <w:caps w:val="0"/>
          <w:color w:val="333333"/>
          <w:spacing w:val="0"/>
          <w:sz w:val="24"/>
          <w:szCs w:val="24"/>
          <w:highlight w:val="none"/>
          <w:u w:val="singl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，生产厂为</w:t>
      </w:r>
      <w:r>
        <w:rPr>
          <w:rStyle w:val="26"/>
          <w:rFonts w:hint="eastAsia" w:ascii="仿宋" w:hAnsi="仿宋" w:eastAsia="仿宋" w:cs="仿宋"/>
          <w:i w:val="0"/>
          <w:iCs w:val="0"/>
          <w:caps w:val="0"/>
          <w:color w:val="333333"/>
          <w:spacing w:val="0"/>
          <w:sz w:val="24"/>
          <w:szCs w:val="24"/>
          <w:highlight w:val="none"/>
          <w:u w:val="single"/>
          <w:shd w:val="clear" w:fill="FFFFFF"/>
        </w:rPr>
        <w:t>（厂名）</w:t>
      </w:r>
      <w:r>
        <w:rPr>
          <w:rFonts w:hint="eastAsia" w:ascii="仿宋" w:hAnsi="仿宋" w:eastAsia="仿宋" w:cs="仿宋"/>
          <w:i w:val="0"/>
          <w:iCs w:val="0"/>
          <w:caps w:val="0"/>
          <w:color w:val="333333"/>
          <w:spacing w:val="0"/>
          <w:sz w:val="24"/>
          <w:szCs w:val="24"/>
          <w:highlight w:val="none"/>
          <w:shd w:val="clear" w:fill="FFFFFF"/>
        </w:rPr>
        <w:t>，厂址为</w:t>
      </w:r>
      <w:r>
        <w:rPr>
          <w:rStyle w:val="26"/>
          <w:rFonts w:hint="eastAsia" w:ascii="仿宋" w:hAnsi="仿宋" w:eastAsia="仿宋" w:cs="仿宋"/>
          <w:i w:val="0"/>
          <w:iCs w:val="0"/>
          <w:caps w:val="0"/>
          <w:color w:val="333333"/>
          <w:spacing w:val="0"/>
          <w:sz w:val="24"/>
          <w:szCs w:val="24"/>
          <w:highlight w:val="none"/>
          <w:u w:val="single"/>
          <w:shd w:val="clear" w:fill="FFFFFF"/>
        </w:rPr>
        <w:t>（生产厂址）</w:t>
      </w:r>
      <w:r>
        <w:rPr>
          <w:rFonts w:hint="eastAsia" w:ascii="仿宋" w:hAnsi="仿宋" w:eastAsia="仿宋" w:cs="仿宋"/>
          <w:i w:val="0"/>
          <w:iCs w:val="0"/>
          <w:caps w:val="0"/>
          <w:color w:val="333333"/>
          <w:spacing w:val="0"/>
          <w:sz w:val="24"/>
          <w:szCs w:val="24"/>
          <w:highlight w:val="none"/>
          <w:shd w:val="clear" w:fill="FFFFFF"/>
        </w:rPr>
        <w:t>。</w:t>
      </w:r>
      <w:r>
        <w:rPr>
          <w:rStyle w:val="26"/>
          <w:rFonts w:hint="eastAsia" w:ascii="仿宋" w:hAnsi="仿宋" w:eastAsia="仿宋" w:cs="仿宋"/>
          <w:i w:val="0"/>
          <w:iCs w:val="0"/>
          <w:caps w:val="0"/>
          <w:color w:val="333333"/>
          <w:spacing w:val="0"/>
          <w:sz w:val="24"/>
          <w:szCs w:val="24"/>
          <w:highlight w:val="none"/>
          <w:u w:val="singl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的中国境内生产的组件成本占比≥</w:t>
      </w:r>
      <w:r>
        <w:rPr>
          <w:rStyle w:val="26"/>
          <w:rFonts w:hint="eastAsia" w:ascii="仿宋" w:hAnsi="仿宋" w:eastAsia="仿宋" w:cs="仿宋"/>
          <w:i w:val="0"/>
          <w:iCs w:val="0"/>
          <w:caps w:val="0"/>
          <w:color w:val="333333"/>
          <w:spacing w:val="0"/>
          <w:sz w:val="24"/>
          <w:szCs w:val="24"/>
          <w:highlight w:val="none"/>
          <w:u w:val="single"/>
          <w:shd w:val="clear" w:fill="FFFFFF"/>
        </w:rPr>
        <w:t>（规定比例）</w:t>
      </w:r>
      <w:r>
        <w:rPr>
          <w:rFonts w:hint="eastAsia" w:ascii="仿宋" w:hAnsi="仿宋" w:eastAsia="仿宋" w:cs="仿宋"/>
          <w:i w:val="0"/>
          <w:iCs w:val="0"/>
          <w:caps w:val="0"/>
          <w:color w:val="333333"/>
          <w:spacing w:val="0"/>
          <w:sz w:val="24"/>
          <w:szCs w:val="24"/>
          <w:highlight w:val="none"/>
          <w:shd w:val="clear" w:fill="FFFFFF"/>
        </w:rPr>
        <w:t>。</w:t>
      </w:r>
      <w:r>
        <w:rPr>
          <w:rStyle w:val="26"/>
          <w:rFonts w:hint="eastAsia" w:ascii="仿宋" w:hAnsi="仿宋" w:eastAsia="仿宋" w:cs="仿宋"/>
          <w:i w:val="0"/>
          <w:iCs w:val="0"/>
          <w:caps w:val="0"/>
          <w:color w:val="333333"/>
          <w:spacing w:val="0"/>
          <w:sz w:val="24"/>
          <w:szCs w:val="24"/>
          <w:highlight w:val="none"/>
          <w:u w:val="singl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w:t>
      </w:r>
      <w:r>
        <w:rPr>
          <w:rStyle w:val="26"/>
          <w:rFonts w:hint="eastAsia" w:ascii="仿宋" w:hAnsi="仿宋" w:eastAsia="仿宋" w:cs="仿宋"/>
          <w:i w:val="0"/>
          <w:iCs w:val="0"/>
          <w:caps w:val="0"/>
          <w:color w:val="333333"/>
          <w:spacing w:val="0"/>
          <w:sz w:val="24"/>
          <w:szCs w:val="24"/>
          <w:highlight w:val="none"/>
          <w:u w:val="single"/>
          <w:shd w:val="clear" w:fill="FFFFFF"/>
        </w:rPr>
        <w:t>（关键组件）</w:t>
      </w:r>
      <w:r>
        <w:rPr>
          <w:rFonts w:hint="eastAsia" w:ascii="仿宋" w:hAnsi="仿宋" w:eastAsia="仿宋" w:cs="仿宋"/>
          <w:i w:val="0"/>
          <w:iCs w:val="0"/>
          <w:caps w:val="0"/>
          <w:color w:val="333333"/>
          <w:spacing w:val="0"/>
          <w:sz w:val="24"/>
          <w:szCs w:val="24"/>
          <w:highlight w:val="none"/>
          <w:shd w:val="clear" w:fill="FFFFFF"/>
        </w:rPr>
        <w:t>在中国境内生产。</w:t>
      </w:r>
      <w:r>
        <w:rPr>
          <w:rStyle w:val="26"/>
          <w:rFonts w:hint="eastAsia" w:ascii="仿宋" w:hAnsi="仿宋" w:eastAsia="仿宋" w:cs="仿宋"/>
          <w:i w:val="0"/>
          <w:iCs w:val="0"/>
          <w:caps w:val="0"/>
          <w:color w:val="333333"/>
          <w:spacing w:val="0"/>
          <w:sz w:val="24"/>
          <w:szCs w:val="24"/>
          <w:highlight w:val="none"/>
          <w:u w:val="singl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w:t>
      </w:r>
      <w:r>
        <w:rPr>
          <w:rStyle w:val="26"/>
          <w:rFonts w:hint="eastAsia" w:ascii="仿宋" w:hAnsi="仿宋" w:eastAsia="仿宋" w:cs="仿宋"/>
          <w:i w:val="0"/>
          <w:iCs w:val="0"/>
          <w:caps w:val="0"/>
          <w:color w:val="333333"/>
          <w:spacing w:val="0"/>
          <w:sz w:val="24"/>
          <w:szCs w:val="24"/>
          <w:highlight w:val="none"/>
          <w:u w:val="single"/>
          <w:shd w:val="clear" w:fill="FFFFFF"/>
        </w:rPr>
        <w:t>（关键工序）</w:t>
      </w:r>
      <w:r>
        <w:rPr>
          <w:rFonts w:hint="eastAsia" w:ascii="仿宋" w:hAnsi="仿宋" w:eastAsia="仿宋" w:cs="仿宋"/>
          <w:i w:val="0"/>
          <w:iCs w:val="0"/>
          <w:caps w:val="0"/>
          <w:color w:val="333333"/>
          <w:spacing w:val="0"/>
          <w:sz w:val="24"/>
          <w:szCs w:val="24"/>
          <w:highlight w:val="none"/>
          <w:shd w:val="clear" w:fill="FFFFFF"/>
        </w:rPr>
        <w:t>在中国境内完成。</w:t>
      </w:r>
    </w:p>
    <w:p w14:paraId="401B2C8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w:t>
      </w:r>
    </w:p>
    <w:p w14:paraId="2801706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本公司（单位）对上述声明内容的真实性负责。如有虚假，愿承担相应法律责任。</w:t>
      </w:r>
    </w:p>
    <w:p w14:paraId="77312B0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仿宋" w:hAnsi="仿宋" w:eastAsia="仿宋" w:cs="仿宋"/>
          <w:i w:val="0"/>
          <w:iCs w:val="0"/>
          <w:caps w:val="0"/>
          <w:color w:val="333333"/>
          <w:spacing w:val="0"/>
          <w:sz w:val="24"/>
          <w:szCs w:val="24"/>
          <w:highlight w:val="none"/>
        </w:rPr>
      </w:pPr>
    </w:p>
    <w:p w14:paraId="00E6C5B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仿宋" w:hAnsi="仿宋" w:eastAsia="仿宋" w:cs="仿宋"/>
          <w:i w:val="0"/>
          <w:iCs w:val="0"/>
          <w:caps w:val="0"/>
          <w:color w:val="333333"/>
          <w:spacing w:val="0"/>
          <w:sz w:val="24"/>
          <w:szCs w:val="24"/>
          <w:highlight w:val="none"/>
          <w:shd w:val="clear" w:fill="FFFFFF"/>
        </w:rPr>
      </w:pPr>
    </w:p>
    <w:p w14:paraId="39E8640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仿宋" w:hAnsi="仿宋" w:eastAsia="仿宋" w:cs="仿宋"/>
          <w:i w:val="0"/>
          <w:iCs w:val="0"/>
          <w:caps w:val="0"/>
          <w:color w:val="333333"/>
          <w:spacing w:val="0"/>
          <w:sz w:val="24"/>
          <w:szCs w:val="24"/>
          <w:highlight w:val="none"/>
          <w:shd w:val="clear" w:fill="FFFFFF"/>
        </w:rPr>
      </w:pPr>
    </w:p>
    <w:p w14:paraId="1AA7399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公司（单位）名称（盖章）：　        </w:t>
      </w:r>
    </w:p>
    <w:p w14:paraId="26A7B23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0"/>
        <w:jc w:val="center"/>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lang w:val="en-US" w:eastAsia="zh-CN"/>
        </w:rPr>
        <w:t xml:space="preserve">                                    </w:t>
      </w:r>
      <w:r>
        <w:rPr>
          <w:rFonts w:hint="eastAsia" w:ascii="仿宋" w:hAnsi="仿宋" w:eastAsia="仿宋" w:cs="仿宋"/>
          <w:i w:val="0"/>
          <w:iCs w:val="0"/>
          <w:caps w:val="0"/>
          <w:color w:val="333333"/>
          <w:spacing w:val="0"/>
          <w:sz w:val="24"/>
          <w:szCs w:val="24"/>
          <w:highlight w:val="none"/>
          <w:shd w:val="clear" w:fill="FFFFFF"/>
        </w:rPr>
        <w:t>日期：　     年　  月　  日    </w:t>
      </w:r>
    </w:p>
    <w:p w14:paraId="49009326">
      <w:pPr>
        <w:pStyle w:val="6"/>
        <w:autoSpaceDE w:val="0"/>
        <w:spacing w:line="360" w:lineRule="auto"/>
        <w:ind w:firstLine="0"/>
        <w:outlineLvl w:val="1"/>
        <w:rPr>
          <w:rFonts w:hint="eastAsia" w:ascii="仿宋" w:hAnsi="仿宋" w:eastAsia="仿宋" w:cs="仿宋"/>
          <w:b/>
          <w:bCs/>
          <w:color w:val="auto"/>
          <w:sz w:val="32"/>
          <w:szCs w:val="32"/>
          <w:highlight w:val="none"/>
        </w:rPr>
      </w:pPr>
    </w:p>
    <w:p w14:paraId="489FE5D6">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7CA0CF75">
      <w:pPr>
        <w:pStyle w:val="6"/>
        <w:autoSpaceDE w:val="0"/>
        <w:spacing w:line="360" w:lineRule="auto"/>
        <w:ind w:firstLine="0"/>
        <w:outlineLvl w:val="1"/>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第二部分  报价部分</w:t>
      </w:r>
    </w:p>
    <w:p w14:paraId="793D1ABD">
      <w:pPr>
        <w:pStyle w:val="3"/>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一、投标报价一览表</w:t>
      </w:r>
    </w:p>
    <w:p w14:paraId="3C610A31">
      <w:pPr>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7B1319A6">
      <w:pPr>
        <w:rPr>
          <w:rFonts w:ascii="仿宋" w:hAnsi="仿宋" w:eastAsia="仿宋" w:cs="仿宋"/>
          <w:color w:val="auto"/>
          <w:sz w:val="24"/>
          <w:szCs w:val="24"/>
          <w:highlight w:val="none"/>
        </w:rPr>
      </w:pPr>
    </w:p>
    <w:tbl>
      <w:tblPr>
        <w:tblStyle w:val="2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6433"/>
      </w:tblGrid>
      <w:tr w14:paraId="5CB0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423" w:type="dxa"/>
            <w:tcBorders>
              <w:top w:val="single" w:color="auto" w:sz="4" w:space="0"/>
              <w:left w:val="single" w:color="auto" w:sz="4" w:space="0"/>
              <w:bottom w:val="single" w:color="auto" w:sz="4" w:space="0"/>
              <w:right w:val="single" w:color="auto" w:sz="4" w:space="0"/>
            </w:tcBorders>
            <w:vAlign w:val="center"/>
          </w:tcPr>
          <w:p w14:paraId="72315A3D">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投标报价（元）</w:t>
            </w:r>
          </w:p>
        </w:tc>
        <w:tc>
          <w:tcPr>
            <w:tcW w:w="6433" w:type="dxa"/>
            <w:tcBorders>
              <w:top w:val="single" w:color="auto" w:sz="4" w:space="0"/>
              <w:left w:val="single" w:color="auto" w:sz="4" w:space="0"/>
              <w:bottom w:val="single" w:color="auto" w:sz="4" w:space="0"/>
              <w:right w:val="single" w:color="auto" w:sz="4" w:space="0"/>
            </w:tcBorders>
            <w:vAlign w:val="center"/>
          </w:tcPr>
          <w:p w14:paraId="03EF0B7F">
            <w:pPr>
              <w:spacing w:line="360" w:lineRule="auto"/>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              大写：</w:t>
            </w:r>
          </w:p>
        </w:tc>
      </w:tr>
      <w:tr w14:paraId="52B4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23" w:type="dxa"/>
            <w:tcBorders>
              <w:top w:val="single" w:color="auto" w:sz="4" w:space="0"/>
              <w:left w:val="single" w:color="auto" w:sz="4" w:space="0"/>
              <w:bottom w:val="single" w:color="auto" w:sz="4" w:space="0"/>
              <w:right w:val="single" w:color="auto" w:sz="4" w:space="0"/>
            </w:tcBorders>
            <w:vAlign w:val="center"/>
          </w:tcPr>
          <w:p w14:paraId="18AA0203">
            <w:pPr>
              <w:autoSpaceDE w:val="0"/>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6433" w:type="dxa"/>
            <w:tcBorders>
              <w:top w:val="single" w:color="auto" w:sz="4" w:space="0"/>
              <w:left w:val="single" w:color="auto" w:sz="4" w:space="0"/>
              <w:bottom w:val="single" w:color="auto" w:sz="4" w:space="0"/>
              <w:right w:val="single" w:color="auto" w:sz="4" w:space="0"/>
            </w:tcBorders>
            <w:vAlign w:val="center"/>
          </w:tcPr>
          <w:p w14:paraId="7F8D7AE1">
            <w:pPr>
              <w:spacing w:line="360" w:lineRule="auto"/>
              <w:rPr>
                <w:rFonts w:ascii="仿宋" w:hAnsi="仿宋" w:eastAsia="仿宋" w:cs="仿宋"/>
                <w:color w:val="auto"/>
                <w:sz w:val="24"/>
                <w:szCs w:val="24"/>
                <w:highlight w:val="none"/>
              </w:rPr>
            </w:pPr>
          </w:p>
        </w:tc>
      </w:tr>
      <w:tr w14:paraId="0811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23" w:type="dxa"/>
            <w:tcBorders>
              <w:top w:val="single" w:color="auto" w:sz="4" w:space="0"/>
              <w:left w:val="single" w:color="auto" w:sz="4" w:space="0"/>
              <w:bottom w:val="single" w:color="auto" w:sz="4" w:space="0"/>
              <w:right w:val="single" w:color="auto" w:sz="4" w:space="0"/>
            </w:tcBorders>
            <w:vAlign w:val="center"/>
          </w:tcPr>
          <w:p w14:paraId="4A3158BD">
            <w:pPr>
              <w:autoSpaceDE w:val="0"/>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433" w:type="dxa"/>
            <w:tcBorders>
              <w:top w:val="single" w:color="auto" w:sz="4" w:space="0"/>
              <w:left w:val="single" w:color="auto" w:sz="4" w:space="0"/>
              <w:bottom w:val="single" w:color="auto" w:sz="4" w:space="0"/>
              <w:right w:val="single" w:color="auto" w:sz="4" w:space="0"/>
            </w:tcBorders>
            <w:vAlign w:val="center"/>
          </w:tcPr>
          <w:p w14:paraId="780156F6">
            <w:pPr>
              <w:spacing w:line="360" w:lineRule="auto"/>
              <w:rPr>
                <w:rFonts w:ascii="仿宋" w:hAnsi="仿宋" w:eastAsia="仿宋" w:cs="仿宋"/>
                <w:color w:val="auto"/>
                <w:sz w:val="24"/>
                <w:szCs w:val="24"/>
                <w:highlight w:val="none"/>
              </w:rPr>
            </w:pPr>
          </w:p>
        </w:tc>
      </w:tr>
      <w:tr w14:paraId="2719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23" w:type="dxa"/>
            <w:tcBorders>
              <w:top w:val="single" w:color="auto" w:sz="4" w:space="0"/>
              <w:left w:val="single" w:color="auto" w:sz="4" w:space="0"/>
              <w:bottom w:val="single" w:color="auto" w:sz="4" w:space="0"/>
              <w:right w:val="single" w:color="auto" w:sz="4" w:space="0"/>
            </w:tcBorders>
            <w:vAlign w:val="center"/>
          </w:tcPr>
          <w:p w14:paraId="031E227F">
            <w:pPr>
              <w:pStyle w:val="11"/>
              <w:spacing w:before="120" w:beforeAutospacing="0" w:after="120" w:afterAutospacing="0" w:line="360" w:lineRule="auto"/>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433" w:type="dxa"/>
            <w:tcBorders>
              <w:top w:val="single" w:color="auto" w:sz="4" w:space="0"/>
              <w:left w:val="single" w:color="auto" w:sz="4" w:space="0"/>
              <w:bottom w:val="single" w:color="auto" w:sz="4" w:space="0"/>
              <w:right w:val="single" w:color="auto" w:sz="4" w:space="0"/>
            </w:tcBorders>
            <w:vAlign w:val="center"/>
          </w:tcPr>
          <w:p w14:paraId="5E9DB839">
            <w:pPr>
              <w:spacing w:line="360" w:lineRule="auto"/>
              <w:rPr>
                <w:rFonts w:ascii="仿宋" w:hAnsi="仿宋" w:eastAsia="仿宋" w:cs="仿宋"/>
                <w:bCs/>
                <w:color w:val="auto"/>
                <w:sz w:val="24"/>
                <w:szCs w:val="24"/>
                <w:highlight w:val="none"/>
                <w:u w:val="single"/>
              </w:rPr>
            </w:pPr>
          </w:p>
        </w:tc>
      </w:tr>
      <w:tr w14:paraId="5524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23" w:type="dxa"/>
            <w:tcBorders>
              <w:top w:val="single" w:color="auto" w:sz="4" w:space="0"/>
              <w:left w:val="single" w:color="auto" w:sz="4" w:space="0"/>
              <w:bottom w:val="single" w:color="auto" w:sz="4" w:space="0"/>
              <w:right w:val="single" w:color="auto" w:sz="4" w:space="0"/>
            </w:tcBorders>
            <w:vAlign w:val="center"/>
          </w:tcPr>
          <w:p w14:paraId="1DBE918C">
            <w:pPr>
              <w:pStyle w:val="11"/>
              <w:spacing w:before="120" w:beforeAutospacing="0" w:after="120" w:afterAutospacing="0" w:line="360" w:lineRule="auto"/>
              <w:ind w:left="0" w:leftChar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6433" w:type="dxa"/>
            <w:tcBorders>
              <w:top w:val="single" w:color="auto" w:sz="4" w:space="0"/>
              <w:left w:val="single" w:color="auto" w:sz="4" w:space="0"/>
              <w:bottom w:val="single" w:color="auto" w:sz="4" w:space="0"/>
              <w:right w:val="single" w:color="auto" w:sz="4" w:space="0"/>
            </w:tcBorders>
            <w:vAlign w:val="center"/>
          </w:tcPr>
          <w:p w14:paraId="34873C81">
            <w:pPr>
              <w:spacing w:line="360" w:lineRule="auto"/>
              <w:rPr>
                <w:rFonts w:ascii="仿宋" w:hAnsi="仿宋" w:eastAsia="仿宋" w:cs="仿宋"/>
                <w:bCs/>
                <w:color w:val="auto"/>
                <w:sz w:val="24"/>
                <w:szCs w:val="24"/>
                <w:highlight w:val="none"/>
                <w:u w:val="single"/>
              </w:rPr>
            </w:pPr>
          </w:p>
        </w:tc>
      </w:tr>
    </w:tbl>
    <w:p w14:paraId="44D1FE23">
      <w:pPr>
        <w:pStyle w:val="34"/>
        <w:spacing w:before="0" w:beforeAutospacing="0" w:after="0" w:afterAutospacing="0" w:line="360" w:lineRule="auto"/>
        <w:ind w:left="0" w:right="23"/>
        <w:rPr>
          <w:rFonts w:ascii="仿宋" w:hAnsi="仿宋" w:eastAsia="仿宋" w:cs="仿宋"/>
          <w:color w:val="auto"/>
          <w:highlight w:val="none"/>
        </w:rPr>
      </w:pPr>
      <w:r>
        <w:rPr>
          <w:rFonts w:hint="eastAsia" w:ascii="仿宋" w:hAnsi="仿宋" w:eastAsia="仿宋" w:cs="仿宋"/>
          <w:color w:val="auto"/>
          <w:highlight w:val="none"/>
        </w:rPr>
        <w:t xml:space="preserve"> </w:t>
      </w:r>
    </w:p>
    <w:p w14:paraId="25A5740E">
      <w:pPr>
        <w:pStyle w:val="34"/>
        <w:spacing w:before="0" w:beforeAutospacing="0" w:after="0" w:afterAutospacing="0" w:line="360" w:lineRule="auto"/>
        <w:ind w:left="0" w:right="0" w:firstLine="420" w:firstLineChars="200"/>
        <w:rPr>
          <w:rFonts w:ascii="仿宋" w:hAnsi="仿宋" w:eastAsia="仿宋" w:cs="仿宋"/>
          <w:color w:val="auto"/>
          <w:highlight w:val="none"/>
        </w:rPr>
      </w:pPr>
      <w:r>
        <w:rPr>
          <w:rFonts w:hint="eastAsia" w:ascii="仿宋" w:hAnsi="仿宋" w:eastAsia="仿宋" w:cs="仿宋"/>
          <w:color w:val="auto"/>
          <w:highlight w:val="none"/>
        </w:rPr>
        <w:t>注：1.</w:t>
      </w:r>
      <w:r>
        <w:rPr>
          <w:rFonts w:hint="eastAsia" w:ascii="仿宋" w:hAnsi="仿宋" w:eastAsia="仿宋" w:cs="仿宋"/>
          <w:color w:val="auto"/>
          <w:sz w:val="24"/>
          <w:szCs w:val="24"/>
          <w:highlight w:val="none"/>
        </w:rPr>
        <w:t>投标报价为全包价，以人民币为结算单位，包括本项目所有货品、货品运输装卸、验收、售后服务、质保等伴随的服务及各种税费等全部费用。</w:t>
      </w:r>
    </w:p>
    <w:p w14:paraId="13F03850">
      <w:pPr>
        <w:pStyle w:val="34"/>
        <w:spacing w:before="0" w:beforeAutospacing="0" w:after="0" w:afterAutospacing="0" w:line="360" w:lineRule="auto"/>
        <w:ind w:right="23"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2.投标报价超过预算价作无效标书处理。</w:t>
      </w:r>
    </w:p>
    <w:p w14:paraId="6B507E16">
      <w:pPr>
        <w:spacing w:line="360" w:lineRule="auto"/>
        <w:ind w:firstLine="2" w:firstLineChars="1"/>
        <w:rPr>
          <w:rFonts w:ascii="仿宋" w:hAnsi="仿宋" w:eastAsia="仿宋" w:cs="仿宋"/>
          <w:color w:val="auto"/>
          <w:highlight w:val="none"/>
        </w:rPr>
      </w:pPr>
      <w:r>
        <w:rPr>
          <w:rFonts w:hint="eastAsia" w:ascii="仿宋" w:hAnsi="仿宋" w:eastAsia="仿宋" w:cs="仿宋"/>
          <w:color w:val="auto"/>
          <w:highlight w:val="none"/>
        </w:rPr>
        <w:t xml:space="preserve"> </w:t>
      </w:r>
    </w:p>
    <w:p w14:paraId="6A7C8104">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DFF552C">
      <w:pPr>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56969E">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5659FDC8">
      <w:pPr>
        <w:autoSpaceDE w:val="0"/>
        <w:adjustRightInd w:val="0"/>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2CE9132">
      <w:pPr>
        <w:autoSpaceDE w:val="0"/>
        <w:spacing w:line="360" w:lineRule="auto"/>
        <w:jc w:val="left"/>
        <w:rPr>
          <w:rFonts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44BB09D">
      <w:pPr>
        <w:pStyle w:val="10"/>
        <w:spacing w:line="360" w:lineRule="auto"/>
        <w:rPr>
          <w:rFonts w:ascii="仿宋" w:hAnsi="仿宋" w:eastAsia="仿宋" w:cs="仿宋"/>
          <w:b/>
          <w:color w:val="auto"/>
          <w:highlight w:val="none"/>
        </w:rPr>
      </w:pPr>
      <w:r>
        <w:rPr>
          <w:rFonts w:hint="eastAsia" w:ascii="仿宋" w:hAnsi="仿宋" w:eastAsia="仿宋" w:cs="仿宋"/>
          <w:b/>
          <w:color w:val="auto"/>
          <w:highlight w:val="none"/>
        </w:rPr>
        <w:t xml:space="preserve"> </w:t>
      </w:r>
    </w:p>
    <w:p w14:paraId="01DDB219">
      <w:pP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49960E76">
      <w:pPr>
        <w:rPr>
          <w:rFonts w:ascii="仿宋" w:hAnsi="仿宋" w:eastAsia="仿宋" w:cs="仿宋"/>
          <w:b/>
          <w:bCs/>
          <w:color w:val="auto"/>
          <w:sz w:val="32"/>
          <w:szCs w:val="32"/>
          <w:highlight w:val="none"/>
        </w:rPr>
      </w:pPr>
      <w:r>
        <w:rPr>
          <w:rFonts w:hint="eastAsia" w:ascii="仿宋" w:hAnsi="仿宋" w:eastAsia="仿宋" w:cs="仿宋"/>
          <w:bCs/>
          <w:color w:val="auto"/>
          <w:kern w:val="0"/>
          <w:sz w:val="28"/>
          <w:szCs w:val="28"/>
          <w:highlight w:val="none"/>
        </w:rPr>
        <w:br w:type="page"/>
      </w:r>
    </w:p>
    <w:p w14:paraId="44F6728B">
      <w:pPr>
        <w:pStyle w:val="3"/>
        <w:numPr>
          <w:ilvl w:val="0"/>
          <w:numId w:val="8"/>
        </w:numPr>
        <w:autoSpaceDE w:val="0"/>
        <w:spacing w:before="0" w:after="0" w:line="360" w:lineRule="auto"/>
        <w:jc w:val="center"/>
        <w:rPr>
          <w:rFonts w:ascii="仿宋" w:hAnsi="仿宋" w:eastAsia="仿宋" w:cs="仿宋"/>
          <w:color w:val="auto"/>
          <w:highlight w:val="none"/>
        </w:rPr>
      </w:pPr>
      <w:r>
        <w:rPr>
          <w:rFonts w:hint="eastAsia" w:ascii="仿宋" w:hAnsi="仿宋" w:eastAsia="仿宋" w:cs="仿宋"/>
          <w:color w:val="auto"/>
          <w:highlight w:val="none"/>
        </w:rPr>
        <w:t>分项报价表</w:t>
      </w:r>
    </w:p>
    <w:p w14:paraId="61CF7BE9">
      <w:pPr>
        <w:pStyle w:val="10"/>
        <w:spacing w:line="360" w:lineRule="auto"/>
        <w:rPr>
          <w:rFonts w:ascii="仿宋" w:hAnsi="仿宋" w:eastAsia="仿宋" w:cs="仿宋"/>
          <w:color w:val="auto"/>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bl>
      <w:tblPr>
        <w:tblStyle w:val="20"/>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291"/>
        <w:gridCol w:w="1315"/>
        <w:gridCol w:w="1433"/>
        <w:gridCol w:w="1702"/>
        <w:gridCol w:w="1256"/>
        <w:gridCol w:w="847"/>
        <w:gridCol w:w="952"/>
      </w:tblGrid>
      <w:tr w14:paraId="3D32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14:paraId="12A9363A">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91" w:type="dxa"/>
            <w:tcBorders>
              <w:top w:val="single" w:color="auto" w:sz="4" w:space="0"/>
              <w:left w:val="single" w:color="auto" w:sz="4" w:space="0"/>
              <w:bottom w:val="single" w:color="auto" w:sz="4" w:space="0"/>
              <w:right w:val="single" w:color="auto" w:sz="4" w:space="0"/>
            </w:tcBorders>
            <w:vAlign w:val="center"/>
          </w:tcPr>
          <w:p w14:paraId="1CA4541D">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1315" w:type="dxa"/>
            <w:tcBorders>
              <w:top w:val="single" w:color="auto" w:sz="4" w:space="0"/>
              <w:left w:val="single" w:color="auto" w:sz="4" w:space="0"/>
              <w:bottom w:val="single" w:color="auto" w:sz="4" w:space="0"/>
              <w:right w:val="single" w:color="auto" w:sz="4" w:space="0"/>
            </w:tcBorders>
            <w:vAlign w:val="center"/>
          </w:tcPr>
          <w:p w14:paraId="4203D564">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433" w:type="dxa"/>
            <w:tcBorders>
              <w:top w:val="single" w:color="auto" w:sz="4" w:space="0"/>
              <w:left w:val="single" w:color="auto" w:sz="4" w:space="0"/>
              <w:bottom w:val="single" w:color="auto" w:sz="4" w:space="0"/>
              <w:right w:val="single" w:color="auto" w:sz="4" w:space="0"/>
            </w:tcBorders>
            <w:vAlign w:val="center"/>
          </w:tcPr>
          <w:p w14:paraId="0B8DCBF4">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1702" w:type="dxa"/>
            <w:tcBorders>
              <w:top w:val="single" w:color="auto" w:sz="4" w:space="0"/>
              <w:left w:val="single" w:color="auto" w:sz="4" w:space="0"/>
              <w:bottom w:val="single" w:color="auto" w:sz="4" w:space="0"/>
              <w:right w:val="single" w:color="auto" w:sz="4" w:space="0"/>
            </w:tcBorders>
            <w:vAlign w:val="center"/>
          </w:tcPr>
          <w:p w14:paraId="542E73AF">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1256" w:type="dxa"/>
            <w:tcBorders>
              <w:top w:val="single" w:color="auto" w:sz="4" w:space="0"/>
              <w:left w:val="single" w:color="auto" w:sz="4" w:space="0"/>
              <w:bottom w:val="single" w:color="auto" w:sz="4" w:space="0"/>
              <w:right w:val="single" w:color="auto" w:sz="4" w:space="0"/>
            </w:tcBorders>
            <w:vAlign w:val="center"/>
          </w:tcPr>
          <w:p w14:paraId="70A604B2">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14:paraId="0CED2091">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847" w:type="dxa"/>
            <w:tcBorders>
              <w:top w:val="single" w:color="auto" w:sz="4" w:space="0"/>
              <w:left w:val="single" w:color="auto" w:sz="4" w:space="0"/>
              <w:bottom w:val="single" w:color="auto" w:sz="4" w:space="0"/>
              <w:right w:val="single" w:color="auto" w:sz="4" w:space="0"/>
            </w:tcBorders>
            <w:vAlign w:val="center"/>
          </w:tcPr>
          <w:p w14:paraId="6CA379F8">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952" w:type="dxa"/>
            <w:tcBorders>
              <w:top w:val="single" w:color="auto" w:sz="4" w:space="0"/>
              <w:left w:val="single" w:color="auto" w:sz="4" w:space="0"/>
              <w:bottom w:val="single" w:color="auto" w:sz="4" w:space="0"/>
              <w:right w:val="single" w:color="auto" w:sz="4" w:space="0"/>
            </w:tcBorders>
            <w:vAlign w:val="center"/>
          </w:tcPr>
          <w:p w14:paraId="1C47401D">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14:paraId="1D35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054B3B75">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78CBB5E2">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4F5A8A6B">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320A6BD5">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313EC71B">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0AB687DD">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6D48CC92">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64691D5D">
            <w:pPr>
              <w:pStyle w:val="10"/>
              <w:widowControl/>
              <w:spacing w:line="360" w:lineRule="auto"/>
              <w:rPr>
                <w:rFonts w:ascii="仿宋" w:hAnsi="仿宋" w:eastAsia="仿宋" w:cs="仿宋"/>
                <w:color w:val="auto"/>
                <w:sz w:val="24"/>
                <w:szCs w:val="24"/>
                <w:highlight w:val="none"/>
              </w:rPr>
            </w:pPr>
          </w:p>
        </w:tc>
      </w:tr>
      <w:tr w14:paraId="762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2354AC15">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082DC602">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689E05F4">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7E782A6A">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3F0B0B58">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57D4A53D">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6315CF3B">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01E5B175">
            <w:pPr>
              <w:pStyle w:val="10"/>
              <w:widowControl/>
              <w:spacing w:line="360" w:lineRule="auto"/>
              <w:rPr>
                <w:rFonts w:ascii="仿宋" w:hAnsi="仿宋" w:eastAsia="仿宋" w:cs="仿宋"/>
                <w:color w:val="auto"/>
                <w:sz w:val="24"/>
                <w:szCs w:val="24"/>
                <w:highlight w:val="none"/>
              </w:rPr>
            </w:pPr>
          </w:p>
        </w:tc>
      </w:tr>
      <w:tr w14:paraId="747C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0C9E0D65">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0C540042">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707C145A">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7A1046E3">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645BA0EC">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546216FE">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21F105E6">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28596B41">
            <w:pPr>
              <w:pStyle w:val="10"/>
              <w:widowControl/>
              <w:spacing w:line="360" w:lineRule="auto"/>
              <w:rPr>
                <w:rFonts w:ascii="仿宋" w:hAnsi="仿宋" w:eastAsia="仿宋" w:cs="仿宋"/>
                <w:color w:val="auto"/>
                <w:sz w:val="24"/>
                <w:szCs w:val="24"/>
                <w:highlight w:val="none"/>
              </w:rPr>
            </w:pPr>
          </w:p>
        </w:tc>
      </w:tr>
      <w:tr w14:paraId="0239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3792DCA7">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7B4EBEC4">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68ABB00F">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6BFAA4E6">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CFF36BD">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09F26737">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54A0429A">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1D1D5454">
            <w:pPr>
              <w:pStyle w:val="10"/>
              <w:widowControl/>
              <w:spacing w:line="360" w:lineRule="auto"/>
              <w:rPr>
                <w:rFonts w:ascii="仿宋" w:hAnsi="仿宋" w:eastAsia="仿宋" w:cs="仿宋"/>
                <w:color w:val="auto"/>
                <w:sz w:val="24"/>
                <w:szCs w:val="24"/>
                <w:highlight w:val="none"/>
              </w:rPr>
            </w:pPr>
          </w:p>
        </w:tc>
      </w:tr>
      <w:tr w14:paraId="45C7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301520EA">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56AF03EE">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0F8C816B">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7026A426">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7E6D92ED">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24A68212">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1B04A860">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77F3281B">
            <w:pPr>
              <w:pStyle w:val="10"/>
              <w:widowControl/>
              <w:spacing w:line="360" w:lineRule="auto"/>
              <w:rPr>
                <w:rFonts w:ascii="仿宋" w:hAnsi="仿宋" w:eastAsia="仿宋" w:cs="仿宋"/>
                <w:color w:val="auto"/>
                <w:sz w:val="24"/>
                <w:szCs w:val="24"/>
                <w:highlight w:val="none"/>
              </w:rPr>
            </w:pPr>
          </w:p>
        </w:tc>
      </w:tr>
      <w:tr w14:paraId="50D0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44E64262">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767E28BC">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066F818C">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5ADB0CCF">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11B5C022">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4E9D3496">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543B307C">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352E68BD">
            <w:pPr>
              <w:pStyle w:val="10"/>
              <w:widowControl/>
              <w:spacing w:line="360" w:lineRule="auto"/>
              <w:rPr>
                <w:rFonts w:ascii="仿宋" w:hAnsi="仿宋" w:eastAsia="仿宋" w:cs="仿宋"/>
                <w:color w:val="auto"/>
                <w:sz w:val="24"/>
                <w:szCs w:val="24"/>
                <w:highlight w:val="none"/>
              </w:rPr>
            </w:pPr>
          </w:p>
        </w:tc>
      </w:tr>
      <w:tr w14:paraId="055F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1" w:type="dxa"/>
            <w:tcBorders>
              <w:top w:val="single" w:color="auto" w:sz="4" w:space="0"/>
              <w:left w:val="single" w:color="auto" w:sz="4" w:space="0"/>
              <w:bottom w:val="single" w:color="auto" w:sz="4" w:space="0"/>
              <w:right w:val="single" w:color="auto" w:sz="4" w:space="0"/>
            </w:tcBorders>
          </w:tcPr>
          <w:p w14:paraId="28FB8037">
            <w:pPr>
              <w:pStyle w:val="10"/>
              <w:widowControl/>
              <w:spacing w:line="360" w:lineRule="auto"/>
              <w:rPr>
                <w:rFonts w:ascii="仿宋" w:hAnsi="仿宋" w:eastAsia="仿宋" w:cs="仿宋"/>
                <w:color w:val="auto"/>
                <w:sz w:val="24"/>
                <w:szCs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29658689">
            <w:pPr>
              <w:pStyle w:val="10"/>
              <w:widowControl/>
              <w:spacing w:line="360" w:lineRule="auto"/>
              <w:rPr>
                <w:rFonts w:ascii="仿宋" w:hAnsi="仿宋" w:eastAsia="仿宋" w:cs="仿宋"/>
                <w:color w:val="auto"/>
                <w:sz w:val="24"/>
                <w:szCs w:val="24"/>
                <w:highlight w:val="none"/>
              </w:rPr>
            </w:pPr>
          </w:p>
        </w:tc>
        <w:tc>
          <w:tcPr>
            <w:tcW w:w="1315" w:type="dxa"/>
            <w:tcBorders>
              <w:top w:val="single" w:color="auto" w:sz="4" w:space="0"/>
              <w:left w:val="single" w:color="auto" w:sz="4" w:space="0"/>
              <w:bottom w:val="single" w:color="auto" w:sz="4" w:space="0"/>
              <w:right w:val="single" w:color="auto" w:sz="4" w:space="0"/>
            </w:tcBorders>
          </w:tcPr>
          <w:p w14:paraId="50BD48B3">
            <w:pPr>
              <w:pStyle w:val="10"/>
              <w:widowControl/>
              <w:spacing w:line="360" w:lineRule="auto"/>
              <w:rPr>
                <w:rFonts w:ascii="仿宋" w:hAnsi="仿宋" w:eastAsia="仿宋" w:cs="仿宋"/>
                <w:color w:val="auto"/>
                <w:sz w:val="24"/>
                <w:szCs w:val="24"/>
                <w:highlight w:val="none"/>
              </w:rPr>
            </w:pPr>
          </w:p>
        </w:tc>
        <w:tc>
          <w:tcPr>
            <w:tcW w:w="1433" w:type="dxa"/>
            <w:tcBorders>
              <w:top w:val="single" w:color="auto" w:sz="4" w:space="0"/>
              <w:left w:val="single" w:color="auto" w:sz="4" w:space="0"/>
              <w:bottom w:val="single" w:color="auto" w:sz="4" w:space="0"/>
              <w:right w:val="single" w:color="auto" w:sz="4" w:space="0"/>
            </w:tcBorders>
          </w:tcPr>
          <w:p w14:paraId="000825A4">
            <w:pPr>
              <w:pStyle w:val="10"/>
              <w:widowControl/>
              <w:spacing w:line="360" w:lineRule="auto"/>
              <w:rPr>
                <w:rFonts w:ascii="仿宋" w:hAnsi="仿宋" w:eastAsia="仿宋" w:cs="仿宋"/>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tcPr>
          <w:p w14:paraId="092D5373">
            <w:pPr>
              <w:pStyle w:val="10"/>
              <w:widowControl/>
              <w:spacing w:line="360" w:lineRule="auto"/>
              <w:rPr>
                <w:rFonts w:ascii="仿宋" w:hAnsi="仿宋" w:eastAsia="仿宋" w:cs="仿宋"/>
                <w:color w:val="auto"/>
                <w:sz w:val="24"/>
                <w:szCs w:val="24"/>
                <w:highlight w:val="none"/>
              </w:rPr>
            </w:pPr>
          </w:p>
        </w:tc>
        <w:tc>
          <w:tcPr>
            <w:tcW w:w="1256" w:type="dxa"/>
            <w:tcBorders>
              <w:top w:val="single" w:color="auto" w:sz="4" w:space="0"/>
              <w:left w:val="single" w:color="auto" w:sz="4" w:space="0"/>
              <w:bottom w:val="single" w:color="auto" w:sz="4" w:space="0"/>
              <w:right w:val="single" w:color="auto" w:sz="4" w:space="0"/>
            </w:tcBorders>
          </w:tcPr>
          <w:p w14:paraId="405E0973">
            <w:pPr>
              <w:pStyle w:val="10"/>
              <w:widowControl/>
              <w:spacing w:line="360" w:lineRule="auto"/>
              <w:rPr>
                <w:rFonts w:ascii="仿宋" w:hAnsi="仿宋" w:eastAsia="仿宋" w:cs="仿宋"/>
                <w:color w:val="auto"/>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5023E50">
            <w:pPr>
              <w:pStyle w:val="10"/>
              <w:widowControl/>
              <w:spacing w:line="360" w:lineRule="auto"/>
              <w:rPr>
                <w:rFonts w:ascii="仿宋" w:hAnsi="仿宋" w:eastAsia="仿宋" w:cs="仿宋"/>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tcPr>
          <w:p w14:paraId="696C0F6C">
            <w:pPr>
              <w:pStyle w:val="10"/>
              <w:widowControl/>
              <w:spacing w:line="360" w:lineRule="auto"/>
              <w:rPr>
                <w:rFonts w:ascii="仿宋" w:hAnsi="仿宋" w:eastAsia="仿宋" w:cs="仿宋"/>
                <w:color w:val="auto"/>
                <w:sz w:val="24"/>
                <w:szCs w:val="24"/>
                <w:highlight w:val="none"/>
              </w:rPr>
            </w:pPr>
          </w:p>
        </w:tc>
      </w:tr>
      <w:tr w14:paraId="073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52" w:type="dxa"/>
            <w:gridSpan w:val="2"/>
            <w:tcBorders>
              <w:top w:val="single" w:color="auto" w:sz="4" w:space="0"/>
              <w:left w:val="single" w:color="auto" w:sz="4" w:space="0"/>
              <w:bottom w:val="single" w:color="auto" w:sz="4" w:space="0"/>
              <w:right w:val="single" w:color="auto" w:sz="4" w:space="0"/>
            </w:tcBorders>
            <w:vAlign w:val="center"/>
          </w:tcPr>
          <w:p w14:paraId="66BA7C6B">
            <w:pPr>
              <w:pStyle w:val="10"/>
              <w:widowControl/>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合计（元）</w:t>
            </w:r>
          </w:p>
        </w:tc>
        <w:tc>
          <w:tcPr>
            <w:tcW w:w="7505" w:type="dxa"/>
            <w:gridSpan w:val="6"/>
            <w:tcBorders>
              <w:top w:val="single" w:color="auto" w:sz="4" w:space="0"/>
              <w:left w:val="single" w:color="auto" w:sz="4" w:space="0"/>
              <w:bottom w:val="single" w:color="auto" w:sz="4" w:space="0"/>
              <w:right w:val="single" w:color="auto" w:sz="4" w:space="0"/>
            </w:tcBorders>
          </w:tcPr>
          <w:p w14:paraId="7826D454">
            <w:pPr>
              <w:pStyle w:val="10"/>
              <w:widowControl/>
              <w:spacing w:line="360" w:lineRule="auto"/>
              <w:rPr>
                <w:rFonts w:ascii="仿宋" w:hAnsi="仿宋" w:eastAsia="仿宋" w:cs="仿宋"/>
                <w:color w:val="auto"/>
                <w:sz w:val="24"/>
                <w:szCs w:val="24"/>
                <w:highlight w:val="none"/>
              </w:rPr>
            </w:pPr>
          </w:p>
        </w:tc>
      </w:tr>
    </w:tbl>
    <w:p w14:paraId="641D4E5F">
      <w:pPr>
        <w:wordWrap w:val="0"/>
        <w:snapToGrid w:val="0"/>
        <w:spacing w:line="700" w:lineRule="exact"/>
        <w:ind w:firstLine="240" w:firstLineChars="100"/>
        <w:rPr>
          <w:rFonts w:ascii="仿宋" w:hAnsi="仿宋" w:eastAsia="仿宋" w:cs="仿宋"/>
          <w:caps/>
          <w:color w:val="auto"/>
          <w:sz w:val="24"/>
          <w:szCs w:val="24"/>
          <w:highlight w:val="none"/>
        </w:rPr>
      </w:pPr>
      <w:r>
        <w:rPr>
          <w:rFonts w:hint="eastAsia" w:ascii="仿宋" w:hAnsi="仿宋" w:eastAsia="仿宋" w:cs="仿宋"/>
          <w:caps/>
          <w:color w:val="auto"/>
          <w:sz w:val="24"/>
          <w:szCs w:val="24"/>
          <w:highlight w:val="none"/>
        </w:rPr>
        <w:t xml:space="preserve"> </w:t>
      </w:r>
    </w:p>
    <w:p w14:paraId="4CA5EE00">
      <w:pPr>
        <w:rPr>
          <w:rFonts w:ascii="仿宋" w:hAnsi="仿宋" w:eastAsia="仿宋" w:cs="仿宋"/>
          <w:color w:val="auto"/>
          <w:highlight w:val="none"/>
        </w:rPr>
      </w:pPr>
      <w:r>
        <w:rPr>
          <w:rFonts w:hint="eastAsia" w:ascii="仿宋" w:hAnsi="仿宋" w:eastAsia="仿宋" w:cs="仿宋"/>
          <w:color w:val="auto"/>
          <w:highlight w:val="none"/>
        </w:rPr>
        <w:t xml:space="preserve"> </w:t>
      </w:r>
    </w:p>
    <w:p w14:paraId="21EFC29C">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2C427F88">
      <w:pPr>
        <w:autoSpaceDE w:val="0"/>
        <w:adjustRightInd w:val="0"/>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2DA53AA1">
      <w:pPr>
        <w:autoSpaceDE w:val="0"/>
        <w:spacing w:line="360" w:lineRule="auto"/>
        <w:jc w:val="left"/>
        <w:rPr>
          <w:rFonts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8C2338">
      <w:pPr>
        <w:rPr>
          <w:rFonts w:ascii="仿宋" w:hAnsi="仿宋" w:eastAsia="仿宋" w:cs="仿宋"/>
          <w:b/>
          <w:bCs/>
          <w:color w:val="auto"/>
          <w:sz w:val="32"/>
          <w:szCs w:val="32"/>
          <w:highlight w:val="none"/>
        </w:rPr>
      </w:pPr>
    </w:p>
    <w:p w14:paraId="6070D43E">
      <w:pPr>
        <w:rPr>
          <w:rFonts w:ascii="仿宋" w:hAnsi="仿宋" w:eastAsia="仿宋" w:cs="仿宋"/>
          <w:b/>
          <w:bCs/>
          <w:color w:val="auto"/>
          <w:sz w:val="32"/>
          <w:szCs w:val="32"/>
          <w:highlight w:val="none"/>
        </w:rPr>
      </w:pPr>
    </w:p>
    <w:p w14:paraId="457B4DD0">
      <w:pPr>
        <w:rPr>
          <w:rFonts w:ascii="仿宋" w:hAnsi="仿宋" w:eastAsia="仿宋" w:cs="仿宋"/>
          <w:b/>
          <w:bCs/>
          <w:color w:val="auto"/>
          <w:sz w:val="32"/>
          <w:szCs w:val="32"/>
          <w:highlight w:val="none"/>
        </w:rPr>
      </w:pPr>
    </w:p>
    <w:p w14:paraId="6CD416D8">
      <w:pPr>
        <w:rPr>
          <w:rFonts w:ascii="仿宋" w:hAnsi="仿宋" w:eastAsia="仿宋" w:cs="仿宋"/>
          <w:b/>
          <w:bCs/>
          <w:color w:val="auto"/>
          <w:sz w:val="32"/>
          <w:szCs w:val="32"/>
          <w:highlight w:val="none"/>
        </w:rPr>
      </w:pPr>
    </w:p>
    <w:p w14:paraId="183A12EC">
      <w:pPr>
        <w:rPr>
          <w:rFonts w:ascii="仿宋" w:hAnsi="仿宋" w:eastAsia="仿宋" w:cs="仿宋"/>
          <w:b/>
          <w:bCs/>
          <w:color w:val="auto"/>
          <w:sz w:val="32"/>
          <w:szCs w:val="32"/>
          <w:highlight w:val="none"/>
        </w:rPr>
      </w:pPr>
    </w:p>
    <w:p w14:paraId="7F71C008">
      <w:pPr>
        <w:rPr>
          <w:rFonts w:ascii="仿宋" w:hAnsi="仿宋" w:eastAsia="仿宋" w:cs="仿宋"/>
          <w:b/>
          <w:bCs/>
          <w:color w:val="auto"/>
          <w:sz w:val="32"/>
          <w:szCs w:val="32"/>
          <w:highlight w:val="none"/>
        </w:rPr>
      </w:pPr>
    </w:p>
    <w:p w14:paraId="7937C58E">
      <w:pPr>
        <w:rPr>
          <w:rFonts w:ascii="仿宋" w:hAnsi="仿宋" w:eastAsia="仿宋" w:cs="仿宋"/>
          <w:b/>
          <w:bCs/>
          <w:color w:val="auto"/>
          <w:sz w:val="32"/>
          <w:szCs w:val="32"/>
          <w:highlight w:val="none"/>
        </w:rPr>
      </w:pPr>
    </w:p>
    <w:p w14:paraId="57A32879">
      <w:pPr>
        <w:rPr>
          <w:rFonts w:ascii="仿宋" w:hAnsi="仿宋" w:eastAsia="仿宋" w:cs="仿宋"/>
          <w:b/>
          <w:bCs/>
          <w:color w:val="auto"/>
          <w:sz w:val="32"/>
          <w:szCs w:val="32"/>
          <w:highlight w:val="none"/>
        </w:rPr>
      </w:pPr>
    </w:p>
    <w:p w14:paraId="3DEC92AD">
      <w:pPr>
        <w:rPr>
          <w:rFonts w:ascii="仿宋" w:hAnsi="仿宋" w:eastAsia="仿宋" w:cs="仿宋"/>
          <w:b/>
          <w:bCs/>
          <w:color w:val="auto"/>
          <w:sz w:val="32"/>
          <w:szCs w:val="32"/>
          <w:highlight w:val="none"/>
        </w:rPr>
      </w:pPr>
    </w:p>
    <w:p w14:paraId="1551B2CA">
      <w:pPr>
        <w:rPr>
          <w:rFonts w:ascii="仿宋" w:hAnsi="仿宋" w:eastAsia="仿宋" w:cs="仿宋"/>
          <w:b/>
          <w:bCs/>
          <w:color w:val="auto"/>
          <w:sz w:val="32"/>
          <w:szCs w:val="32"/>
          <w:highlight w:val="none"/>
        </w:rPr>
      </w:pPr>
    </w:p>
    <w:p w14:paraId="55F6ED26">
      <w:pPr>
        <w:rPr>
          <w:rFonts w:ascii="仿宋" w:hAnsi="仿宋" w:eastAsia="仿宋" w:cs="仿宋"/>
          <w:b/>
          <w:bCs/>
          <w:color w:val="auto"/>
          <w:sz w:val="32"/>
          <w:szCs w:val="32"/>
          <w:highlight w:val="none"/>
        </w:rPr>
      </w:pPr>
    </w:p>
    <w:p w14:paraId="0CCFF6FE">
      <w:pP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第三部分  商务技术部分</w:t>
      </w:r>
    </w:p>
    <w:p w14:paraId="2E1C1250">
      <w:pPr>
        <w:pStyle w:val="3"/>
        <w:spacing w:line="360" w:lineRule="auto"/>
        <w:jc w:val="center"/>
        <w:rPr>
          <w:rFonts w:ascii="仿宋" w:hAnsi="仿宋" w:eastAsia="仿宋" w:cs="仿宋"/>
          <w:color w:val="auto"/>
          <w:highlight w:val="none"/>
        </w:rPr>
      </w:pPr>
      <w:bookmarkStart w:id="109" w:name="_Toc486885404"/>
      <w:bookmarkEnd w:id="109"/>
      <w:bookmarkStart w:id="110" w:name="_Toc393354841"/>
      <w:r>
        <w:rPr>
          <w:rFonts w:hint="eastAsia" w:ascii="仿宋" w:hAnsi="仿宋" w:eastAsia="仿宋" w:cs="仿宋"/>
          <w:color w:val="auto"/>
          <w:highlight w:val="none"/>
        </w:rPr>
        <w:t>一</w:t>
      </w:r>
      <w:bookmarkEnd w:id="110"/>
      <w:r>
        <w:rPr>
          <w:rFonts w:hint="eastAsia" w:ascii="仿宋" w:hAnsi="仿宋" w:eastAsia="仿宋" w:cs="仿宋"/>
          <w:color w:val="auto"/>
          <w:highlight w:val="none"/>
        </w:rPr>
        <w:t>、投标函</w:t>
      </w:r>
    </w:p>
    <w:p w14:paraId="15A58C0D">
      <w:pPr>
        <w:pStyle w:val="1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w:t>
      </w:r>
    </w:p>
    <w:p w14:paraId="64B4759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我方仔细研究了</w:t>
      </w:r>
      <w:r>
        <w:rPr>
          <w:rFonts w:hint="eastAsia" w:ascii="仿宋" w:hAnsi="仿宋" w:eastAsia="仿宋" w:cs="仿宋"/>
          <w:color w:val="auto"/>
          <w:sz w:val="24"/>
          <w:szCs w:val="24"/>
          <w:highlight w:val="none"/>
          <w:u w:val="single"/>
        </w:rPr>
        <w:t>（采购项目名称）（招标编号：  ）</w:t>
      </w:r>
      <w:r>
        <w:rPr>
          <w:rFonts w:hint="eastAsia" w:ascii="仿宋" w:hAnsi="仿宋" w:eastAsia="仿宋" w:cs="仿宋"/>
          <w:color w:val="auto"/>
          <w:sz w:val="24"/>
          <w:szCs w:val="24"/>
          <w:highlight w:val="none"/>
        </w:rPr>
        <w:t>项目招标文件的全部内容，</w:t>
      </w:r>
      <w:r>
        <w:rPr>
          <w:rFonts w:hint="eastAsia" w:ascii="仿宋" w:hAnsi="仿宋" w:eastAsia="仿宋" w:cs="仿宋"/>
          <w:color w:val="auto"/>
          <w:kern w:val="0"/>
          <w:sz w:val="24"/>
          <w:szCs w:val="24"/>
          <w:highlight w:val="none"/>
        </w:rPr>
        <w:t>愿意以人民币</w:t>
      </w:r>
      <w:r>
        <w:rPr>
          <w:rFonts w:hint="eastAsia" w:ascii="仿宋" w:hAnsi="仿宋" w:eastAsia="仿宋" w:cs="仿宋"/>
          <w:color w:val="auto"/>
          <w:kern w:val="0"/>
          <w:sz w:val="24"/>
          <w:szCs w:val="24"/>
          <w:highlight w:val="none"/>
          <w:u w:val="single"/>
        </w:rPr>
        <w:t>（大写）（￥）</w:t>
      </w:r>
      <w:r>
        <w:rPr>
          <w:rFonts w:hint="eastAsia" w:ascii="仿宋" w:hAnsi="仿宋" w:eastAsia="仿宋" w:cs="仿宋"/>
          <w:color w:val="auto"/>
          <w:kern w:val="0"/>
          <w:sz w:val="24"/>
          <w:szCs w:val="24"/>
          <w:highlight w:val="none"/>
        </w:rPr>
        <w:t>的投标总报价</w:t>
      </w:r>
      <w:r>
        <w:rPr>
          <w:rFonts w:hint="eastAsia" w:ascii="仿宋" w:hAnsi="仿宋" w:eastAsia="仿宋" w:cs="仿宋"/>
          <w:color w:val="auto"/>
          <w:sz w:val="24"/>
          <w:szCs w:val="24"/>
          <w:highlight w:val="none"/>
        </w:rPr>
        <w:t>，按合同约定实施和完成。</w:t>
      </w:r>
    </w:p>
    <w:p w14:paraId="17D9BF5A">
      <w:pPr>
        <w:pStyle w:val="10"/>
        <w:spacing w:line="360" w:lineRule="auto"/>
        <w:ind w:firstLine="420"/>
        <w:rPr>
          <w:rFonts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10"/>
          <w:sz w:val="24"/>
          <w:szCs w:val="24"/>
          <w:highlight w:val="none"/>
        </w:rPr>
        <w:t>我方已详细审查全部招标文件，包括</w:t>
      </w:r>
      <w:r>
        <w:rPr>
          <w:rFonts w:hint="eastAsia" w:ascii="仿宋" w:hAnsi="仿宋" w:eastAsia="仿宋" w:cs="仿宋"/>
          <w:i/>
          <w:color w:val="auto"/>
          <w:spacing w:val="-10"/>
          <w:sz w:val="24"/>
          <w:szCs w:val="24"/>
          <w:highlight w:val="none"/>
          <w:u w:val="single"/>
        </w:rPr>
        <w:t>（</w:t>
      </w:r>
      <w:r>
        <w:rPr>
          <w:rFonts w:hint="eastAsia" w:ascii="仿宋" w:hAnsi="仿宋" w:eastAsia="仿宋" w:cs="仿宋"/>
          <w:color w:val="auto"/>
          <w:spacing w:val="-10"/>
          <w:sz w:val="24"/>
          <w:szCs w:val="24"/>
          <w:highlight w:val="none"/>
          <w:u w:val="single"/>
        </w:rPr>
        <w:t>澄清文件）</w:t>
      </w:r>
      <w:r>
        <w:rPr>
          <w:rFonts w:hint="eastAsia" w:ascii="仿宋" w:hAnsi="仿宋" w:eastAsia="仿宋" w:cs="仿宋"/>
          <w:color w:val="auto"/>
          <w:spacing w:val="-10"/>
          <w:sz w:val="24"/>
          <w:szCs w:val="24"/>
          <w:highlight w:val="none"/>
          <w:u w:val="single"/>
          <w:lang w:eastAsia="zh-CN"/>
        </w:rPr>
        <w:t>（</w:t>
      </w:r>
      <w:r>
        <w:rPr>
          <w:rFonts w:hint="eastAsia" w:ascii="仿宋" w:hAnsi="仿宋" w:eastAsia="仿宋" w:cs="仿宋"/>
          <w:color w:val="auto"/>
          <w:spacing w:val="-10"/>
          <w:sz w:val="24"/>
          <w:szCs w:val="24"/>
          <w:highlight w:val="none"/>
          <w:u w:val="single"/>
        </w:rPr>
        <w:t>如果有的话</w:t>
      </w:r>
      <w:r>
        <w:rPr>
          <w:rFonts w:hint="eastAsia" w:ascii="仿宋" w:hAnsi="仿宋" w:eastAsia="仿宋" w:cs="仿宋"/>
          <w:color w:val="auto"/>
          <w:spacing w:val="-10"/>
          <w:sz w:val="24"/>
          <w:szCs w:val="24"/>
          <w:highlight w:val="none"/>
          <w:u w:val="single"/>
          <w:lang w:eastAsia="zh-CN"/>
        </w:rPr>
        <w:t>）</w:t>
      </w:r>
      <w:r>
        <w:rPr>
          <w:rFonts w:hint="eastAsia" w:ascii="仿宋" w:hAnsi="仿宋" w:eastAsia="仿宋" w:cs="仿宋"/>
          <w:color w:val="auto"/>
          <w:spacing w:val="-10"/>
          <w:sz w:val="24"/>
          <w:szCs w:val="24"/>
          <w:highlight w:val="none"/>
        </w:rPr>
        <w:t>。我方完全理解相关文件要求，并承担对这方面有不明及误解的后果，</w:t>
      </w:r>
      <w:r>
        <w:rPr>
          <w:rFonts w:hint="eastAsia" w:ascii="仿宋" w:hAnsi="仿宋" w:eastAsia="仿宋" w:cs="仿宋"/>
          <w:color w:val="auto"/>
          <w:sz w:val="24"/>
          <w:szCs w:val="24"/>
          <w:highlight w:val="none"/>
        </w:rPr>
        <w:t>遵守国家有关</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和规章</w:t>
      </w:r>
      <w:r>
        <w:rPr>
          <w:rFonts w:hint="eastAsia" w:ascii="仿宋" w:hAnsi="仿宋" w:eastAsia="仿宋" w:cs="仿宋"/>
          <w:color w:val="auto"/>
          <w:spacing w:val="-10"/>
          <w:sz w:val="24"/>
          <w:szCs w:val="24"/>
          <w:highlight w:val="none"/>
        </w:rPr>
        <w:t>。</w:t>
      </w:r>
    </w:p>
    <w:p w14:paraId="0F793F6F">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同意投标人须知中关于没收投标保证金的规定。</w:t>
      </w:r>
    </w:p>
    <w:p w14:paraId="28DD8F77">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同意应贵方要求提供与本</w:t>
      </w:r>
      <w:r>
        <w:rPr>
          <w:rFonts w:hint="eastAsia" w:ascii="仿宋" w:hAnsi="仿宋" w:eastAsia="仿宋" w:cs="仿宋"/>
          <w:color w:val="auto"/>
          <w:sz w:val="24"/>
          <w:szCs w:val="24"/>
          <w:highlight w:val="none"/>
          <w:lang w:val="en-US" w:eastAsia="zh-CN"/>
        </w:rPr>
        <w:t>次</w:t>
      </w:r>
      <w:r>
        <w:rPr>
          <w:rFonts w:hint="eastAsia" w:ascii="仿宋" w:hAnsi="仿宋" w:eastAsia="仿宋" w:cs="仿宋"/>
          <w:color w:val="auto"/>
          <w:sz w:val="24"/>
          <w:szCs w:val="24"/>
          <w:highlight w:val="none"/>
        </w:rPr>
        <w:t>投标有关的任何数据或资料，并保证数据和资料的完整性和真实性。</w:t>
      </w:r>
    </w:p>
    <w:p w14:paraId="1934C7BA">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我们郑重声明：我们符合政府采购法规定的参加采购活动应当具备的条件：具有健全的财务会计制度、依法缴纳税收和社会保障资金、参加本次采购活动之前的三年内在经营活动中无重大违法活动。</w:t>
      </w:r>
    </w:p>
    <w:p w14:paraId="0B712C76">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我方具备《中华人民共和国政府采购法》第二十二条规定的所有条件。我方保证没有处于被责令停业，投标资料被取消，财产被接管、冻结，破产状态；保证在最近三年内的经营活动中没有重大违法记录、骗取中标和严重违约及重大质量、安全问题。我方不是为此招标项目的前期准备工作提供设计、咨询服务的任何法人及其任何附属机构（单位）。与招标采购单位聘请的为此项目提供咨询服务的公司及任何附属机构均无关联，我方不是招标采购单位的附属机构。</w:t>
      </w:r>
    </w:p>
    <w:p w14:paraId="36F28726">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完全理解贵方不一定要接受最低报价的投标人为中标人的行为。</w:t>
      </w:r>
    </w:p>
    <w:p w14:paraId="620B90B0">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如我方中标：</w:t>
      </w:r>
    </w:p>
    <w:p w14:paraId="6F30F5DC">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（1）我方承诺在收到中标通知书后，在中标通知书规定的期限内与你方签订合同，并履行相应的合同责任和义务。</w:t>
      </w:r>
    </w:p>
    <w:p w14:paraId="662ACF47">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（2）我方承诺按照招标文件规定向你方递交履约担保。</w:t>
      </w:r>
    </w:p>
    <w:p w14:paraId="103287B3">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（3）我方承诺将承担售后服务及保修责任。</w:t>
      </w:r>
    </w:p>
    <w:p w14:paraId="66D3CFD1">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我方在此声明，所递交的投标文件及有关资料内容完整、真实和准确。</w:t>
      </w:r>
    </w:p>
    <w:p w14:paraId="395D6EF7">
      <w:pPr>
        <w:pStyle w:val="1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w:t>
      </w:r>
      <w:r>
        <w:rPr>
          <w:rFonts w:hint="eastAsia" w:ascii="仿宋" w:hAnsi="仿宋" w:eastAsia="仿宋" w:cs="仿宋"/>
          <w:color w:val="auto"/>
          <w:sz w:val="24"/>
          <w:szCs w:val="24"/>
          <w:highlight w:val="none"/>
          <w:lang w:val="en-US" w:eastAsia="zh-CN"/>
        </w:rPr>
        <w:t>地</w:t>
      </w:r>
      <w:r>
        <w:rPr>
          <w:rFonts w:hint="eastAsia" w:ascii="仿宋" w:hAnsi="仿宋" w:eastAsia="仿宋" w:cs="仿宋"/>
          <w:color w:val="auto"/>
          <w:sz w:val="24"/>
          <w:szCs w:val="24"/>
          <w:highlight w:val="none"/>
        </w:rPr>
        <w:t>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14:paraId="6BEE97E3">
      <w:pPr>
        <w:pStyle w:val="10"/>
        <w:spacing w:line="360" w:lineRule="auto"/>
        <w:ind w:firstLine="4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rPr>
        <w:t>投标有效期为投标截止之日起90日历天。</w:t>
      </w:r>
    </w:p>
    <w:p w14:paraId="4E0BFBC3">
      <w:pPr>
        <w:pStyle w:val="1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2308DB5">
      <w:pPr>
        <w:spacing w:line="360" w:lineRule="auto"/>
        <w:ind w:firstLine="1800" w:firstLineChars="7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05D4CDB">
      <w:pPr>
        <w:spacing w:line="360" w:lineRule="auto"/>
        <w:ind w:firstLine="1800" w:firstLineChars="75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EFAC4D2">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C955BB9">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DEC4193">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248F4B">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33EB36FE">
      <w:pPr>
        <w:autoSpaceDE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8B48259">
      <w:pPr>
        <w:autoSpaceDE w:val="0"/>
        <w:spacing w:line="360" w:lineRule="auto"/>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14:paraId="01F170C8">
      <w:pPr>
        <w:autoSpaceDE w:val="0"/>
        <w:spacing w:line="360" w:lineRule="auto"/>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3A707371">
      <w:pPr>
        <w:autoSpaceDE w:val="0"/>
        <w:spacing w:line="360" w:lineRule="auto"/>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11AA074F">
      <w:pPr>
        <w:autoSpaceDE w:val="0"/>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C045723">
      <w:pPr>
        <w:pStyle w:val="3"/>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br w:type="page"/>
      </w:r>
    </w:p>
    <w:p w14:paraId="1F02EB85">
      <w:pPr>
        <w:spacing w:line="360" w:lineRule="auto"/>
        <w:jc w:val="center"/>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二、投标人基本情况表</w:t>
      </w:r>
    </w:p>
    <w:tbl>
      <w:tblPr>
        <w:tblStyle w:val="20"/>
        <w:tblW w:w="894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8"/>
        <w:gridCol w:w="2181"/>
        <w:gridCol w:w="2760"/>
        <w:gridCol w:w="1289"/>
      </w:tblGrid>
      <w:tr w14:paraId="7166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718" w:type="dxa"/>
            <w:tcBorders>
              <w:top w:val="single" w:color="auto" w:sz="4" w:space="0"/>
              <w:left w:val="single" w:color="auto" w:sz="4" w:space="0"/>
              <w:bottom w:val="single" w:color="auto" w:sz="4" w:space="0"/>
              <w:right w:val="single" w:color="auto" w:sz="4" w:space="0"/>
            </w:tcBorders>
            <w:vAlign w:val="center"/>
          </w:tcPr>
          <w:p w14:paraId="506B629E">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230" w:type="dxa"/>
            <w:gridSpan w:val="3"/>
            <w:tcBorders>
              <w:top w:val="single" w:color="auto" w:sz="4" w:space="0"/>
              <w:left w:val="single" w:color="auto" w:sz="4" w:space="0"/>
              <w:bottom w:val="single" w:color="auto" w:sz="4" w:space="0"/>
              <w:right w:val="single" w:color="auto" w:sz="4" w:space="0"/>
            </w:tcBorders>
            <w:vAlign w:val="center"/>
          </w:tcPr>
          <w:p w14:paraId="2DDB9790">
            <w:pPr>
              <w:pStyle w:val="10"/>
              <w:autoSpaceDE w:val="0"/>
              <w:snapToGrid w:val="0"/>
              <w:spacing w:line="360" w:lineRule="auto"/>
              <w:jc w:val="center"/>
              <w:rPr>
                <w:rFonts w:ascii="仿宋" w:hAnsi="仿宋" w:eastAsia="仿宋" w:cs="仿宋"/>
                <w:color w:val="auto"/>
                <w:sz w:val="24"/>
                <w:szCs w:val="24"/>
                <w:highlight w:val="none"/>
              </w:rPr>
            </w:pPr>
          </w:p>
        </w:tc>
      </w:tr>
      <w:tr w14:paraId="5497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718" w:type="dxa"/>
            <w:tcBorders>
              <w:top w:val="single" w:color="auto" w:sz="4" w:space="0"/>
              <w:left w:val="single" w:color="auto" w:sz="4" w:space="0"/>
              <w:bottom w:val="single" w:color="auto" w:sz="4" w:space="0"/>
              <w:right w:val="single" w:color="auto" w:sz="4" w:space="0"/>
            </w:tcBorders>
            <w:vAlign w:val="center"/>
          </w:tcPr>
          <w:p w14:paraId="5868D1FA">
            <w:pPr>
              <w:pStyle w:val="10"/>
              <w:autoSpaceDE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p w14:paraId="0D998586">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6230" w:type="dxa"/>
            <w:gridSpan w:val="3"/>
            <w:tcBorders>
              <w:top w:val="single" w:color="auto" w:sz="4" w:space="0"/>
              <w:left w:val="single" w:color="auto" w:sz="4" w:space="0"/>
              <w:bottom w:val="single" w:color="auto" w:sz="4" w:space="0"/>
              <w:right w:val="single" w:color="auto" w:sz="4" w:space="0"/>
            </w:tcBorders>
            <w:vAlign w:val="center"/>
          </w:tcPr>
          <w:p w14:paraId="02114777">
            <w:pPr>
              <w:pStyle w:val="10"/>
              <w:autoSpaceDE w:val="0"/>
              <w:snapToGrid w:val="0"/>
              <w:spacing w:line="360" w:lineRule="auto"/>
              <w:jc w:val="center"/>
              <w:rPr>
                <w:rFonts w:ascii="仿宋" w:hAnsi="仿宋" w:eastAsia="仿宋" w:cs="仿宋"/>
                <w:color w:val="auto"/>
                <w:sz w:val="24"/>
                <w:szCs w:val="24"/>
                <w:highlight w:val="none"/>
              </w:rPr>
            </w:pPr>
          </w:p>
        </w:tc>
      </w:tr>
      <w:tr w14:paraId="72AA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718" w:type="dxa"/>
            <w:tcBorders>
              <w:top w:val="single" w:color="auto" w:sz="4" w:space="0"/>
              <w:left w:val="single" w:color="auto" w:sz="4" w:space="0"/>
              <w:bottom w:val="single" w:color="auto" w:sz="4" w:space="0"/>
              <w:right w:val="single" w:color="auto" w:sz="4" w:space="0"/>
            </w:tcBorders>
            <w:vAlign w:val="center"/>
          </w:tcPr>
          <w:p w14:paraId="7B1B970C">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81" w:type="dxa"/>
            <w:tcBorders>
              <w:top w:val="single" w:color="auto" w:sz="4" w:space="0"/>
              <w:left w:val="single" w:color="auto" w:sz="4" w:space="0"/>
              <w:bottom w:val="single" w:color="auto" w:sz="4" w:space="0"/>
              <w:right w:val="single" w:color="auto" w:sz="4" w:space="0"/>
            </w:tcBorders>
            <w:vAlign w:val="center"/>
          </w:tcPr>
          <w:p w14:paraId="271F73F8">
            <w:pPr>
              <w:pStyle w:val="10"/>
              <w:autoSpaceDE w:val="0"/>
              <w:snapToGrid w:val="0"/>
              <w:spacing w:line="360" w:lineRule="auto"/>
              <w:jc w:val="center"/>
              <w:rPr>
                <w:rFonts w:ascii="仿宋" w:hAnsi="仿宋" w:eastAsia="仿宋" w:cs="仿宋"/>
                <w:color w:val="auto"/>
                <w:sz w:val="24"/>
                <w:szCs w:val="24"/>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14:paraId="032735BD">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289" w:type="dxa"/>
            <w:tcBorders>
              <w:top w:val="single" w:color="auto" w:sz="4" w:space="0"/>
              <w:left w:val="single" w:color="auto" w:sz="4" w:space="0"/>
              <w:bottom w:val="single" w:color="auto" w:sz="4" w:space="0"/>
              <w:right w:val="single" w:color="auto" w:sz="4" w:space="0"/>
            </w:tcBorders>
            <w:vAlign w:val="center"/>
          </w:tcPr>
          <w:p w14:paraId="65F36F68">
            <w:pPr>
              <w:pStyle w:val="10"/>
              <w:autoSpaceDE w:val="0"/>
              <w:snapToGrid w:val="0"/>
              <w:spacing w:line="360" w:lineRule="auto"/>
              <w:jc w:val="center"/>
              <w:rPr>
                <w:rFonts w:ascii="仿宋" w:hAnsi="仿宋" w:eastAsia="仿宋" w:cs="仿宋"/>
                <w:color w:val="auto"/>
                <w:sz w:val="24"/>
                <w:szCs w:val="24"/>
                <w:highlight w:val="none"/>
              </w:rPr>
            </w:pPr>
          </w:p>
        </w:tc>
      </w:tr>
      <w:tr w14:paraId="78BD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718" w:type="dxa"/>
            <w:tcBorders>
              <w:top w:val="single" w:color="auto" w:sz="4" w:space="0"/>
              <w:left w:val="single" w:color="auto" w:sz="4" w:space="0"/>
              <w:bottom w:val="single" w:color="auto" w:sz="4" w:space="0"/>
              <w:right w:val="single" w:color="auto" w:sz="4" w:space="0"/>
            </w:tcBorders>
            <w:vAlign w:val="center"/>
          </w:tcPr>
          <w:p w14:paraId="4FA23EBC">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公司成立日期</w:t>
            </w:r>
          </w:p>
        </w:tc>
        <w:tc>
          <w:tcPr>
            <w:tcW w:w="2181" w:type="dxa"/>
            <w:tcBorders>
              <w:top w:val="single" w:color="auto" w:sz="4" w:space="0"/>
              <w:left w:val="single" w:color="auto" w:sz="4" w:space="0"/>
              <w:bottom w:val="single" w:color="auto" w:sz="4" w:space="0"/>
              <w:right w:val="single" w:color="auto" w:sz="4" w:space="0"/>
            </w:tcBorders>
            <w:vAlign w:val="center"/>
          </w:tcPr>
          <w:p w14:paraId="6F01278C">
            <w:pPr>
              <w:pStyle w:val="10"/>
              <w:autoSpaceDE w:val="0"/>
              <w:snapToGrid w:val="0"/>
              <w:spacing w:line="360" w:lineRule="auto"/>
              <w:jc w:val="center"/>
              <w:rPr>
                <w:rFonts w:ascii="仿宋" w:hAnsi="仿宋" w:eastAsia="仿宋" w:cs="仿宋"/>
                <w:color w:val="auto"/>
                <w:sz w:val="24"/>
                <w:szCs w:val="24"/>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14:paraId="7E5B4997">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企业网站网址（如有）</w:t>
            </w:r>
          </w:p>
        </w:tc>
        <w:tc>
          <w:tcPr>
            <w:tcW w:w="1289" w:type="dxa"/>
            <w:tcBorders>
              <w:top w:val="single" w:color="auto" w:sz="4" w:space="0"/>
              <w:left w:val="single" w:color="auto" w:sz="4" w:space="0"/>
              <w:bottom w:val="single" w:color="auto" w:sz="4" w:space="0"/>
              <w:right w:val="single" w:color="auto" w:sz="4" w:space="0"/>
            </w:tcBorders>
            <w:vAlign w:val="center"/>
          </w:tcPr>
          <w:p w14:paraId="5B1DF4A9">
            <w:pPr>
              <w:pStyle w:val="10"/>
              <w:autoSpaceDE w:val="0"/>
              <w:snapToGrid w:val="0"/>
              <w:spacing w:line="360" w:lineRule="auto"/>
              <w:jc w:val="center"/>
              <w:rPr>
                <w:rFonts w:ascii="仿宋" w:hAnsi="仿宋" w:eastAsia="仿宋" w:cs="仿宋"/>
                <w:color w:val="auto"/>
                <w:sz w:val="24"/>
                <w:szCs w:val="24"/>
                <w:highlight w:val="none"/>
              </w:rPr>
            </w:pPr>
          </w:p>
        </w:tc>
      </w:tr>
      <w:tr w14:paraId="2A7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718" w:type="dxa"/>
            <w:tcBorders>
              <w:top w:val="single" w:color="auto" w:sz="4" w:space="0"/>
              <w:left w:val="single" w:color="auto" w:sz="4" w:space="0"/>
              <w:bottom w:val="single" w:color="auto" w:sz="4" w:space="0"/>
              <w:right w:val="single" w:color="auto" w:sz="4" w:space="0"/>
            </w:tcBorders>
            <w:vAlign w:val="center"/>
          </w:tcPr>
          <w:p w14:paraId="778C9DF4">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企业电话</w:t>
            </w:r>
          </w:p>
        </w:tc>
        <w:tc>
          <w:tcPr>
            <w:tcW w:w="2181" w:type="dxa"/>
            <w:tcBorders>
              <w:top w:val="single" w:color="auto" w:sz="4" w:space="0"/>
              <w:left w:val="single" w:color="auto" w:sz="4" w:space="0"/>
              <w:bottom w:val="single" w:color="auto" w:sz="4" w:space="0"/>
              <w:right w:val="single" w:color="auto" w:sz="4" w:space="0"/>
            </w:tcBorders>
            <w:vAlign w:val="center"/>
          </w:tcPr>
          <w:p w14:paraId="66472E3C">
            <w:pPr>
              <w:pStyle w:val="10"/>
              <w:autoSpaceDE w:val="0"/>
              <w:snapToGrid w:val="0"/>
              <w:spacing w:line="360" w:lineRule="auto"/>
              <w:jc w:val="center"/>
              <w:rPr>
                <w:rFonts w:ascii="仿宋" w:hAnsi="仿宋" w:eastAsia="仿宋" w:cs="仿宋"/>
                <w:color w:val="auto"/>
                <w:sz w:val="24"/>
                <w:szCs w:val="24"/>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14:paraId="0BB8DCDE">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p>
        </w:tc>
        <w:tc>
          <w:tcPr>
            <w:tcW w:w="1289" w:type="dxa"/>
            <w:tcBorders>
              <w:top w:val="single" w:color="auto" w:sz="4" w:space="0"/>
              <w:left w:val="single" w:color="auto" w:sz="4" w:space="0"/>
              <w:bottom w:val="single" w:color="auto" w:sz="4" w:space="0"/>
              <w:right w:val="single" w:color="auto" w:sz="4" w:space="0"/>
            </w:tcBorders>
            <w:vAlign w:val="center"/>
          </w:tcPr>
          <w:p w14:paraId="00FF416B">
            <w:pPr>
              <w:pStyle w:val="10"/>
              <w:autoSpaceDE w:val="0"/>
              <w:snapToGrid w:val="0"/>
              <w:spacing w:line="360" w:lineRule="auto"/>
              <w:jc w:val="center"/>
              <w:rPr>
                <w:rFonts w:ascii="仿宋" w:hAnsi="仿宋" w:eastAsia="仿宋" w:cs="仿宋"/>
                <w:color w:val="auto"/>
                <w:sz w:val="24"/>
                <w:szCs w:val="24"/>
                <w:highlight w:val="none"/>
              </w:rPr>
            </w:pPr>
          </w:p>
        </w:tc>
      </w:tr>
      <w:tr w14:paraId="0E21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718" w:type="dxa"/>
            <w:tcBorders>
              <w:top w:val="single" w:color="auto" w:sz="4" w:space="0"/>
              <w:left w:val="single" w:color="auto" w:sz="4" w:space="0"/>
              <w:bottom w:val="single" w:color="auto" w:sz="4" w:space="0"/>
              <w:right w:val="single" w:color="auto" w:sz="4" w:space="0"/>
            </w:tcBorders>
            <w:vAlign w:val="center"/>
          </w:tcPr>
          <w:p w14:paraId="1E85AF08">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公司简介</w:t>
            </w:r>
          </w:p>
        </w:tc>
        <w:tc>
          <w:tcPr>
            <w:tcW w:w="6230" w:type="dxa"/>
            <w:gridSpan w:val="3"/>
            <w:tcBorders>
              <w:top w:val="single" w:color="auto" w:sz="4" w:space="0"/>
              <w:left w:val="single" w:color="auto" w:sz="4" w:space="0"/>
              <w:bottom w:val="single" w:color="auto" w:sz="4" w:space="0"/>
              <w:right w:val="single" w:color="auto" w:sz="4" w:space="0"/>
            </w:tcBorders>
            <w:vAlign w:val="center"/>
          </w:tcPr>
          <w:p w14:paraId="1C9552EB">
            <w:pPr>
              <w:pStyle w:val="10"/>
              <w:autoSpaceDE w:val="0"/>
              <w:snapToGrid w:val="0"/>
              <w:spacing w:line="360" w:lineRule="auto"/>
              <w:jc w:val="center"/>
              <w:rPr>
                <w:rFonts w:ascii="仿宋" w:hAnsi="仿宋" w:eastAsia="仿宋" w:cs="仿宋"/>
                <w:color w:val="auto"/>
                <w:sz w:val="24"/>
                <w:szCs w:val="24"/>
                <w:highlight w:val="none"/>
              </w:rPr>
            </w:pPr>
          </w:p>
        </w:tc>
      </w:tr>
      <w:tr w14:paraId="69FE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718" w:type="dxa"/>
            <w:tcBorders>
              <w:top w:val="single" w:color="auto" w:sz="4" w:space="0"/>
              <w:left w:val="single" w:color="auto" w:sz="4" w:space="0"/>
              <w:bottom w:val="single" w:color="auto" w:sz="4" w:space="0"/>
              <w:right w:val="single" w:color="auto" w:sz="4" w:space="0"/>
            </w:tcBorders>
            <w:vAlign w:val="center"/>
          </w:tcPr>
          <w:p w14:paraId="0C9D18D2">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230" w:type="dxa"/>
            <w:gridSpan w:val="3"/>
            <w:tcBorders>
              <w:top w:val="single" w:color="auto" w:sz="4" w:space="0"/>
              <w:left w:val="single" w:color="auto" w:sz="4" w:space="0"/>
              <w:bottom w:val="single" w:color="auto" w:sz="4" w:space="0"/>
              <w:right w:val="single" w:color="auto" w:sz="4" w:space="0"/>
            </w:tcBorders>
            <w:vAlign w:val="center"/>
          </w:tcPr>
          <w:p w14:paraId="7DD33D89">
            <w:pPr>
              <w:pStyle w:val="10"/>
              <w:autoSpaceDE w:val="0"/>
              <w:snapToGrid w:val="0"/>
              <w:spacing w:line="360" w:lineRule="auto"/>
              <w:jc w:val="center"/>
              <w:rPr>
                <w:rFonts w:ascii="仿宋" w:hAnsi="仿宋" w:eastAsia="仿宋" w:cs="仿宋"/>
                <w:color w:val="auto"/>
                <w:sz w:val="24"/>
                <w:szCs w:val="24"/>
                <w:highlight w:val="none"/>
              </w:rPr>
            </w:pPr>
          </w:p>
        </w:tc>
      </w:tr>
      <w:tr w14:paraId="1158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718" w:type="dxa"/>
            <w:tcBorders>
              <w:top w:val="single" w:color="auto" w:sz="4" w:space="0"/>
              <w:left w:val="single" w:color="auto" w:sz="4" w:space="0"/>
              <w:bottom w:val="single" w:color="auto" w:sz="4" w:space="0"/>
              <w:right w:val="single" w:color="auto" w:sz="4" w:space="0"/>
            </w:tcBorders>
            <w:vAlign w:val="center"/>
          </w:tcPr>
          <w:p w14:paraId="699066FD">
            <w:pPr>
              <w:pStyle w:val="10"/>
              <w:autoSpaceDE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公司拥有资质证书</w:t>
            </w:r>
          </w:p>
        </w:tc>
        <w:tc>
          <w:tcPr>
            <w:tcW w:w="6230" w:type="dxa"/>
            <w:gridSpan w:val="3"/>
            <w:tcBorders>
              <w:top w:val="single" w:color="auto" w:sz="4" w:space="0"/>
              <w:left w:val="single" w:color="auto" w:sz="4" w:space="0"/>
              <w:bottom w:val="single" w:color="auto" w:sz="4" w:space="0"/>
              <w:right w:val="single" w:color="auto" w:sz="4" w:space="0"/>
            </w:tcBorders>
            <w:vAlign w:val="center"/>
          </w:tcPr>
          <w:p w14:paraId="55104563">
            <w:pPr>
              <w:pStyle w:val="10"/>
              <w:autoSpaceDE w:val="0"/>
              <w:snapToGrid w:val="0"/>
              <w:spacing w:line="360" w:lineRule="auto"/>
              <w:jc w:val="center"/>
              <w:rPr>
                <w:rFonts w:ascii="仿宋" w:hAnsi="仿宋" w:eastAsia="仿宋" w:cs="仿宋"/>
                <w:color w:val="auto"/>
                <w:sz w:val="24"/>
                <w:szCs w:val="24"/>
                <w:highlight w:val="none"/>
              </w:rPr>
            </w:pPr>
          </w:p>
        </w:tc>
      </w:tr>
    </w:tbl>
    <w:p w14:paraId="0EE0331A">
      <w:pPr>
        <w:spacing w:line="72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9E08575">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046B3E9">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6971F707">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法定代表人或其委托代理人（电子签章）：</w:t>
      </w:r>
      <w:r>
        <w:rPr>
          <w:rFonts w:hint="eastAsia" w:ascii="仿宋" w:hAnsi="仿宋" w:eastAsia="仿宋" w:cs="仿宋"/>
          <w:color w:val="auto"/>
          <w:sz w:val="24"/>
          <w:szCs w:val="24"/>
          <w:highlight w:val="none"/>
          <w:u w:val="single"/>
        </w:rPr>
        <w:t xml:space="preserve">                 </w:t>
      </w:r>
    </w:p>
    <w:p w14:paraId="7C4B4C54">
      <w:pPr>
        <w:autoSpaceDE w:val="0"/>
        <w:spacing w:line="360" w:lineRule="auto"/>
        <w:jc w:val="left"/>
        <w:rPr>
          <w:rFonts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324271">
      <w:pP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01025F02">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三、法定代表人身份证明书及授权书</w:t>
      </w:r>
    </w:p>
    <w:p w14:paraId="6335D75E">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E2FA4F3">
      <w:pPr>
        <w:spacing w:line="36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（一）法定代表人身份证明书</w:t>
      </w:r>
    </w:p>
    <w:p w14:paraId="33BED22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1DC4151">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7A776421">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442A3893">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DFD4410">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AD5223">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7C062CE0">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14:paraId="0C098764">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（投标人名称）  </w:t>
      </w:r>
      <w:r>
        <w:rPr>
          <w:rFonts w:hint="eastAsia" w:ascii="仿宋" w:hAnsi="仿宋" w:eastAsia="仿宋" w:cs="仿宋"/>
          <w:color w:val="auto"/>
          <w:sz w:val="24"/>
          <w:szCs w:val="24"/>
          <w:highlight w:val="none"/>
        </w:rPr>
        <w:t>的法定代表人。</w:t>
      </w:r>
    </w:p>
    <w:p w14:paraId="405B1BF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616A495">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52F35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9E2C5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法定代表人身份证复印件</w:t>
      </w:r>
    </w:p>
    <w:p w14:paraId="5D33A65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B72DCB9">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B80724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141D956">
      <w:pPr>
        <w:spacing w:line="360" w:lineRule="auto"/>
        <w:ind w:firstLine="3120" w:firstLineChars="1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193EB77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7D96F4">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715A712">
      <w:pPr>
        <w:pStyle w:val="3"/>
        <w:wordWrap w:val="0"/>
        <w:jc w:val="center"/>
        <w:rPr>
          <w:rFonts w:ascii="仿宋" w:hAnsi="仿宋" w:eastAsia="仿宋" w:cs="仿宋"/>
          <w:b w:val="0"/>
          <w:bCs/>
          <w:caps/>
          <w:color w:val="auto"/>
          <w:highlight w:val="none"/>
        </w:rPr>
      </w:pPr>
      <w:r>
        <w:rPr>
          <w:rFonts w:hint="eastAsia" w:ascii="仿宋" w:hAnsi="仿宋" w:eastAsia="仿宋" w:cs="仿宋"/>
          <w:b w:val="0"/>
          <w:bCs/>
          <w:color w:val="auto"/>
          <w:sz w:val="24"/>
          <w:szCs w:val="24"/>
          <w:highlight w:val="none"/>
        </w:rPr>
        <w:br w:type="page"/>
      </w:r>
      <w:r>
        <w:rPr>
          <w:rFonts w:hint="eastAsia" w:ascii="仿宋" w:hAnsi="仿宋" w:eastAsia="仿宋" w:cs="仿宋"/>
          <w:bCs/>
          <w:color w:val="auto"/>
          <w:sz w:val="28"/>
          <w:szCs w:val="28"/>
          <w:highlight w:val="none"/>
        </w:rPr>
        <w:t>（二）法定代表人授权书</w:t>
      </w:r>
    </w:p>
    <w:p w14:paraId="3E35CF19">
      <w:pPr>
        <w:spacing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（投标人名称）   </w:t>
      </w:r>
      <w:r>
        <w:rPr>
          <w:rFonts w:hint="eastAsia" w:ascii="仿宋" w:hAnsi="仿宋" w:eastAsia="仿宋" w:cs="仿宋"/>
          <w:color w:val="auto"/>
          <w:sz w:val="24"/>
          <w:szCs w:val="24"/>
          <w:highlight w:val="none"/>
        </w:rPr>
        <w:t>的法定代表人，现委托</w:t>
      </w:r>
      <w:r>
        <w:rPr>
          <w:rFonts w:hint="eastAsia" w:ascii="仿宋" w:hAnsi="仿宋" w:eastAsia="仿宋" w:cs="仿宋"/>
          <w:color w:val="auto"/>
          <w:sz w:val="24"/>
          <w:szCs w:val="24"/>
          <w:highlight w:val="none"/>
          <w:u w:val="single"/>
        </w:rPr>
        <w:t xml:space="preserve">  （姓名）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文件、签订合同和处理有关事宜，其法律后果由我方承担。</w:t>
      </w:r>
    </w:p>
    <w:p w14:paraId="18957D96">
      <w:pPr>
        <w:spacing w:beforeLines="50"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rPr>
        <w:t xml:space="preserve">             </w:t>
      </w:r>
    </w:p>
    <w:p w14:paraId="0EC2357B">
      <w:pPr>
        <w:spacing w:beforeLines="100" w:afterLines="100" w:line="5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06F3A458">
      <w:pPr>
        <w:spacing w:line="360" w:lineRule="auto"/>
        <w:ind w:left="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DB2BCC3">
      <w:pPr>
        <w:spacing w:line="360" w:lineRule="auto"/>
        <w:ind w:left="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附：代理人身份证复印件</w:t>
      </w:r>
    </w:p>
    <w:p w14:paraId="0FB7501F">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ABA0E2C">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8E89ADE">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CCA6B69">
      <w:pPr>
        <w:spacing w:line="3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723BF037">
      <w:pPr>
        <w:spacing w:line="30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4A38616">
      <w:pPr>
        <w:spacing w:line="3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（电子签章）    </w:t>
      </w:r>
    </w:p>
    <w:p w14:paraId="161D3C2A">
      <w:pPr>
        <w:spacing w:line="30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32C49B">
      <w:pPr>
        <w:spacing w:line="3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1C70194C">
      <w:pPr>
        <w:spacing w:line="30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E8C40B7">
      <w:pPr>
        <w:spacing w:line="3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（签字）       </w:t>
      </w:r>
    </w:p>
    <w:p w14:paraId="4A833C0C">
      <w:pPr>
        <w:spacing w:line="30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141006B">
      <w:pPr>
        <w:spacing w:line="3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34E0C5FC">
      <w:pPr>
        <w:spacing w:line="30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70AF23C">
      <w:pPr>
        <w:spacing w:line="300" w:lineRule="exact"/>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u w:val="single"/>
        </w:rPr>
        <w:t xml:space="preserve">                               </w:t>
      </w:r>
    </w:p>
    <w:p w14:paraId="6F136700">
      <w:pPr>
        <w:spacing w:line="300" w:lineRule="exact"/>
        <w:ind w:firstLine="4080" w:firstLineChars="17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7E92411">
      <w:pPr>
        <w:spacing w:line="3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p>
    <w:p w14:paraId="6B2D4999">
      <w:pPr>
        <w:spacing w:line="3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3F8E61B">
      <w:pPr>
        <w:spacing w:line="300" w:lineRule="exact"/>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ABFB5E4">
      <w:pPr>
        <w:ind w:right="-328" w:rightChars="-1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F173075">
      <w:pPr>
        <w:ind w:right="-328" w:rightChars="-1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ACCE762">
      <w:pPr>
        <w:ind w:right="-328" w:rightChars="-1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A27F8AD">
      <w:pP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404DB1A8">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四、保证金</w:t>
      </w:r>
    </w:p>
    <w:p w14:paraId="70D23376">
      <w:pPr>
        <w:spacing w:before="120" w:after="12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投标人提交的投标保证金应采用招标文件中规定的形式，并在此提供相应凭证的扫描件。</w:t>
      </w:r>
    </w:p>
    <w:p w14:paraId="418C76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 xml:space="preserve"> </w:t>
      </w:r>
      <w:bookmarkStart w:id="111" w:name="_Toc16450"/>
    </w:p>
    <w:p w14:paraId="36421F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商务条款偏离表</w:t>
      </w:r>
      <w:bookmarkEnd w:id="111"/>
    </w:p>
    <w:p w14:paraId="13A232A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bookmarkStart w:id="112" w:name="OLE_LINK31"/>
      <w:bookmarkStart w:id="113" w:name="_Hlk478972650"/>
      <w:bookmarkStart w:id="114" w:name="OLE_LINK37"/>
      <w:r>
        <w:rPr>
          <w:rFonts w:hint="eastAsia" w:ascii="仿宋" w:hAnsi="仿宋" w:eastAsia="仿宋" w:cs="仿宋"/>
          <w:sz w:val="24"/>
          <w:szCs w:val="24"/>
          <w:highlight w:val="none"/>
        </w:rPr>
        <w:t>请对应招标文件</w:t>
      </w:r>
      <w:r>
        <w:rPr>
          <w:rFonts w:hint="eastAsia" w:ascii="仿宋" w:hAnsi="仿宋" w:eastAsia="仿宋" w:cs="仿宋"/>
          <w:sz w:val="24"/>
          <w:szCs w:val="24"/>
          <w:highlight w:val="none"/>
          <w:lang w:val="en-US" w:eastAsia="zh-CN"/>
        </w:rPr>
        <w:t>中</w:t>
      </w:r>
      <w:bookmarkStart w:id="115" w:name="OLE_LINK120"/>
      <w:r>
        <w:rPr>
          <w:rFonts w:hint="eastAsia" w:ascii="仿宋" w:hAnsi="仿宋" w:eastAsia="仿宋" w:cs="仿宋"/>
          <w:b/>
          <w:color w:val="000000" w:themeColor="text1"/>
          <w:sz w:val="24"/>
          <w:szCs w:val="24"/>
          <w:highlight w:val="none"/>
          <w:lang w:val="en-US" w:eastAsia="zh-CN"/>
          <w14:textFill>
            <w14:solidFill>
              <w14:schemeClr w14:val="tx1"/>
            </w14:solidFill>
          </w14:textFill>
        </w:rPr>
        <w:t>第三章采购需求“第一部分商务需求”</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要求认真填写该表</w:t>
      </w:r>
      <w:bookmarkEnd w:id="112"/>
      <w:bookmarkEnd w:id="113"/>
      <w:bookmarkEnd w:id="115"/>
      <w:r>
        <w:rPr>
          <w:rFonts w:hint="eastAsia" w:ascii="仿宋" w:hAnsi="仿宋" w:eastAsia="仿宋" w:cs="仿宋"/>
          <w:color w:val="000000" w:themeColor="text1"/>
          <w:sz w:val="24"/>
          <w:szCs w:val="24"/>
          <w:highlight w:val="none"/>
          <w14:textFill>
            <w14:solidFill>
              <w14:schemeClr w14:val="tx1"/>
            </w14:solidFill>
          </w14:textFill>
        </w:rPr>
        <w:t>。</w:t>
      </w:r>
    </w:p>
    <w:p w14:paraId="73F38C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我公司已详细阅读招标文件中商务要求，所有商务要求均无偏离，中标后我公司将严格遵照执行。</w:t>
      </w:r>
    </w:p>
    <w:p w14:paraId="1711D7D2">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□我公司已详细阅读招标文件中商务要求，除下述条款有偏离外，其余条款我公司均予以认可，中标后将严格遵照执行。</w:t>
      </w:r>
    </w:p>
    <w:tbl>
      <w:tblPr>
        <w:tblStyle w:val="20"/>
        <w:tblW w:w="91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1"/>
        <w:gridCol w:w="1976"/>
        <w:gridCol w:w="2549"/>
        <w:gridCol w:w="2536"/>
        <w:gridCol w:w="1402"/>
      </w:tblGrid>
      <w:tr w14:paraId="75B0A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731" w:type="dxa"/>
            <w:vAlign w:val="center"/>
          </w:tcPr>
          <w:p w14:paraId="527C5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序号</w:t>
            </w:r>
          </w:p>
        </w:tc>
        <w:tc>
          <w:tcPr>
            <w:tcW w:w="1976" w:type="dxa"/>
            <w:vAlign w:val="center"/>
          </w:tcPr>
          <w:p w14:paraId="5623F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bCs/>
                <w:sz w:val="24"/>
                <w:szCs w:val="24"/>
                <w:highlight w:val="none"/>
                <w:lang w:val="en-US" w:eastAsia="zh-CN"/>
              </w:rPr>
            </w:pPr>
            <w:bookmarkStart w:id="116" w:name="OLE_LINK121"/>
            <w:r>
              <w:rPr>
                <w:rFonts w:hint="eastAsia" w:ascii="仿宋" w:hAnsi="仿宋" w:eastAsia="仿宋" w:cs="仿宋"/>
                <w:b/>
                <w:bCs/>
                <w:sz w:val="24"/>
                <w:szCs w:val="24"/>
                <w:highlight w:val="none"/>
                <w:lang w:val="en-US" w:eastAsia="zh-CN"/>
              </w:rPr>
              <w:t>招标文件条目号</w:t>
            </w:r>
            <w:bookmarkEnd w:id="116"/>
          </w:p>
        </w:tc>
        <w:tc>
          <w:tcPr>
            <w:tcW w:w="2549" w:type="dxa"/>
            <w:vAlign w:val="center"/>
          </w:tcPr>
          <w:p w14:paraId="5CD34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招标文件的商务条款</w:t>
            </w:r>
          </w:p>
        </w:tc>
        <w:tc>
          <w:tcPr>
            <w:tcW w:w="2536" w:type="dxa"/>
            <w:vAlign w:val="center"/>
          </w:tcPr>
          <w:p w14:paraId="1F5F0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投标文件的商务条款</w:t>
            </w:r>
          </w:p>
        </w:tc>
        <w:tc>
          <w:tcPr>
            <w:tcW w:w="1402" w:type="dxa"/>
            <w:vAlign w:val="center"/>
          </w:tcPr>
          <w:p w14:paraId="409CC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偏离说明</w:t>
            </w:r>
          </w:p>
        </w:tc>
      </w:tr>
      <w:tr w14:paraId="42AA2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1" w:type="dxa"/>
          </w:tcPr>
          <w:p w14:paraId="5A8EB39B">
            <w:pPr>
              <w:spacing w:line="600" w:lineRule="exact"/>
              <w:ind w:firstLine="0" w:firstLineChars="0"/>
              <w:rPr>
                <w:rFonts w:hint="eastAsia" w:ascii="仿宋" w:hAnsi="仿宋" w:eastAsia="仿宋" w:cs="仿宋"/>
                <w:sz w:val="24"/>
                <w:szCs w:val="24"/>
                <w:highlight w:val="none"/>
              </w:rPr>
            </w:pPr>
          </w:p>
        </w:tc>
        <w:tc>
          <w:tcPr>
            <w:tcW w:w="1976" w:type="dxa"/>
          </w:tcPr>
          <w:p w14:paraId="53F10E18">
            <w:pPr>
              <w:spacing w:line="600" w:lineRule="exact"/>
              <w:ind w:firstLine="0" w:firstLineChars="0"/>
              <w:rPr>
                <w:rFonts w:hint="eastAsia" w:ascii="仿宋" w:hAnsi="仿宋" w:eastAsia="仿宋" w:cs="仿宋"/>
                <w:sz w:val="24"/>
                <w:szCs w:val="24"/>
                <w:highlight w:val="none"/>
              </w:rPr>
            </w:pPr>
          </w:p>
        </w:tc>
        <w:tc>
          <w:tcPr>
            <w:tcW w:w="2549" w:type="dxa"/>
          </w:tcPr>
          <w:p w14:paraId="025AFC30">
            <w:pPr>
              <w:spacing w:line="600" w:lineRule="exact"/>
              <w:ind w:firstLine="0" w:firstLineChars="0"/>
              <w:rPr>
                <w:rFonts w:hint="eastAsia" w:ascii="仿宋" w:hAnsi="仿宋" w:eastAsia="仿宋" w:cs="仿宋"/>
                <w:sz w:val="24"/>
                <w:szCs w:val="24"/>
                <w:highlight w:val="none"/>
              </w:rPr>
            </w:pPr>
          </w:p>
        </w:tc>
        <w:tc>
          <w:tcPr>
            <w:tcW w:w="2536" w:type="dxa"/>
          </w:tcPr>
          <w:p w14:paraId="6633E503">
            <w:pPr>
              <w:spacing w:line="600" w:lineRule="exact"/>
              <w:ind w:firstLine="0" w:firstLineChars="0"/>
              <w:rPr>
                <w:rFonts w:hint="eastAsia" w:ascii="仿宋" w:hAnsi="仿宋" w:eastAsia="仿宋" w:cs="仿宋"/>
                <w:sz w:val="24"/>
                <w:szCs w:val="24"/>
                <w:highlight w:val="none"/>
              </w:rPr>
            </w:pPr>
          </w:p>
        </w:tc>
        <w:tc>
          <w:tcPr>
            <w:tcW w:w="1402" w:type="dxa"/>
          </w:tcPr>
          <w:p w14:paraId="32790817">
            <w:pPr>
              <w:spacing w:line="600" w:lineRule="exact"/>
              <w:ind w:firstLine="0" w:firstLineChars="0"/>
              <w:rPr>
                <w:rFonts w:hint="eastAsia" w:ascii="仿宋" w:hAnsi="仿宋" w:eastAsia="仿宋" w:cs="仿宋"/>
                <w:sz w:val="24"/>
                <w:szCs w:val="24"/>
                <w:highlight w:val="none"/>
              </w:rPr>
            </w:pPr>
          </w:p>
        </w:tc>
      </w:tr>
      <w:tr w14:paraId="639CD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1" w:type="dxa"/>
          </w:tcPr>
          <w:p w14:paraId="04F95979">
            <w:pPr>
              <w:spacing w:line="600" w:lineRule="exact"/>
              <w:ind w:firstLine="0" w:firstLineChars="0"/>
              <w:rPr>
                <w:rFonts w:hint="eastAsia" w:ascii="仿宋" w:hAnsi="仿宋" w:eastAsia="仿宋" w:cs="仿宋"/>
                <w:sz w:val="24"/>
                <w:szCs w:val="24"/>
                <w:highlight w:val="none"/>
              </w:rPr>
            </w:pPr>
          </w:p>
        </w:tc>
        <w:tc>
          <w:tcPr>
            <w:tcW w:w="1976" w:type="dxa"/>
          </w:tcPr>
          <w:p w14:paraId="0B5BE0F5">
            <w:pPr>
              <w:spacing w:line="600" w:lineRule="exact"/>
              <w:ind w:firstLine="0" w:firstLineChars="0"/>
              <w:rPr>
                <w:rFonts w:hint="eastAsia" w:ascii="仿宋" w:hAnsi="仿宋" w:eastAsia="仿宋" w:cs="仿宋"/>
                <w:sz w:val="24"/>
                <w:szCs w:val="24"/>
                <w:highlight w:val="none"/>
              </w:rPr>
            </w:pPr>
          </w:p>
        </w:tc>
        <w:tc>
          <w:tcPr>
            <w:tcW w:w="2549" w:type="dxa"/>
          </w:tcPr>
          <w:p w14:paraId="3B01415E">
            <w:pPr>
              <w:spacing w:line="600" w:lineRule="exact"/>
              <w:ind w:firstLine="0" w:firstLineChars="0"/>
              <w:rPr>
                <w:rFonts w:hint="eastAsia" w:ascii="仿宋" w:hAnsi="仿宋" w:eastAsia="仿宋" w:cs="仿宋"/>
                <w:sz w:val="24"/>
                <w:szCs w:val="24"/>
                <w:highlight w:val="none"/>
              </w:rPr>
            </w:pPr>
          </w:p>
        </w:tc>
        <w:tc>
          <w:tcPr>
            <w:tcW w:w="2536" w:type="dxa"/>
          </w:tcPr>
          <w:p w14:paraId="2271DA2F">
            <w:pPr>
              <w:spacing w:line="600" w:lineRule="exact"/>
              <w:ind w:firstLine="0" w:firstLineChars="0"/>
              <w:rPr>
                <w:rFonts w:hint="eastAsia" w:ascii="仿宋" w:hAnsi="仿宋" w:eastAsia="仿宋" w:cs="仿宋"/>
                <w:sz w:val="24"/>
                <w:szCs w:val="24"/>
                <w:highlight w:val="none"/>
              </w:rPr>
            </w:pPr>
          </w:p>
        </w:tc>
        <w:tc>
          <w:tcPr>
            <w:tcW w:w="1402" w:type="dxa"/>
          </w:tcPr>
          <w:p w14:paraId="4E3F29F1">
            <w:pPr>
              <w:spacing w:line="600" w:lineRule="exact"/>
              <w:ind w:firstLine="0" w:firstLineChars="0"/>
              <w:rPr>
                <w:rFonts w:hint="eastAsia" w:ascii="仿宋" w:hAnsi="仿宋" w:eastAsia="仿宋" w:cs="仿宋"/>
                <w:sz w:val="24"/>
                <w:szCs w:val="24"/>
                <w:highlight w:val="none"/>
              </w:rPr>
            </w:pPr>
          </w:p>
        </w:tc>
      </w:tr>
      <w:tr w14:paraId="0D306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31" w:type="dxa"/>
          </w:tcPr>
          <w:p w14:paraId="4702D680">
            <w:pPr>
              <w:spacing w:line="600" w:lineRule="exact"/>
              <w:ind w:firstLine="0" w:firstLineChars="0"/>
              <w:rPr>
                <w:rFonts w:hint="eastAsia" w:ascii="仿宋" w:hAnsi="仿宋" w:eastAsia="仿宋" w:cs="仿宋"/>
                <w:sz w:val="24"/>
                <w:szCs w:val="24"/>
                <w:highlight w:val="none"/>
              </w:rPr>
            </w:pPr>
          </w:p>
        </w:tc>
        <w:tc>
          <w:tcPr>
            <w:tcW w:w="1976" w:type="dxa"/>
          </w:tcPr>
          <w:p w14:paraId="57EE49DF">
            <w:pPr>
              <w:spacing w:line="600" w:lineRule="exact"/>
              <w:ind w:firstLine="0" w:firstLineChars="0"/>
              <w:rPr>
                <w:rFonts w:hint="eastAsia" w:ascii="仿宋" w:hAnsi="仿宋" w:eastAsia="仿宋" w:cs="仿宋"/>
                <w:sz w:val="24"/>
                <w:szCs w:val="24"/>
                <w:highlight w:val="none"/>
              </w:rPr>
            </w:pPr>
          </w:p>
        </w:tc>
        <w:tc>
          <w:tcPr>
            <w:tcW w:w="2549" w:type="dxa"/>
          </w:tcPr>
          <w:p w14:paraId="6F888CC7">
            <w:pPr>
              <w:spacing w:line="600" w:lineRule="exact"/>
              <w:ind w:firstLine="0" w:firstLineChars="0"/>
              <w:rPr>
                <w:rFonts w:hint="eastAsia" w:ascii="仿宋" w:hAnsi="仿宋" w:eastAsia="仿宋" w:cs="仿宋"/>
                <w:sz w:val="24"/>
                <w:szCs w:val="24"/>
                <w:highlight w:val="none"/>
              </w:rPr>
            </w:pPr>
          </w:p>
        </w:tc>
        <w:tc>
          <w:tcPr>
            <w:tcW w:w="2536" w:type="dxa"/>
          </w:tcPr>
          <w:p w14:paraId="4F419E20">
            <w:pPr>
              <w:spacing w:line="600" w:lineRule="exact"/>
              <w:ind w:firstLine="0" w:firstLineChars="0"/>
              <w:rPr>
                <w:rFonts w:hint="eastAsia" w:ascii="仿宋" w:hAnsi="仿宋" w:eastAsia="仿宋" w:cs="仿宋"/>
                <w:sz w:val="24"/>
                <w:szCs w:val="24"/>
                <w:highlight w:val="none"/>
              </w:rPr>
            </w:pPr>
          </w:p>
        </w:tc>
        <w:tc>
          <w:tcPr>
            <w:tcW w:w="1402" w:type="dxa"/>
          </w:tcPr>
          <w:p w14:paraId="61645939">
            <w:pPr>
              <w:spacing w:line="600" w:lineRule="exact"/>
              <w:ind w:firstLine="0" w:firstLineChars="0"/>
              <w:rPr>
                <w:rFonts w:hint="eastAsia" w:ascii="仿宋" w:hAnsi="仿宋" w:eastAsia="仿宋" w:cs="仿宋"/>
                <w:sz w:val="24"/>
                <w:szCs w:val="24"/>
                <w:highlight w:val="none"/>
              </w:rPr>
            </w:pPr>
          </w:p>
        </w:tc>
      </w:tr>
      <w:tr w14:paraId="7BC6F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731" w:type="dxa"/>
            <w:vAlign w:val="center"/>
          </w:tcPr>
          <w:p w14:paraId="48E29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976" w:type="dxa"/>
          </w:tcPr>
          <w:p w14:paraId="6F18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549" w:type="dxa"/>
          </w:tcPr>
          <w:p w14:paraId="5F396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2536" w:type="dxa"/>
          </w:tcPr>
          <w:p w14:paraId="1A1E4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402" w:type="dxa"/>
          </w:tcPr>
          <w:p w14:paraId="4DD49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r>
    </w:tbl>
    <w:p w14:paraId="72D157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color w:val="000000"/>
          <w:sz w:val="24"/>
          <w:szCs w:val="24"/>
          <w:highlight w:val="none"/>
        </w:rPr>
      </w:pPr>
      <w:bookmarkStart w:id="117" w:name="OLE_LINK196"/>
      <w:r>
        <w:rPr>
          <w:rFonts w:hint="eastAsia" w:ascii="仿宋" w:hAnsi="仿宋" w:eastAsia="仿宋" w:cs="仿宋"/>
          <w:b/>
          <w:color w:val="000000"/>
          <w:sz w:val="24"/>
          <w:szCs w:val="24"/>
          <w:highlight w:val="none"/>
        </w:rPr>
        <w:t>表格填写说明：</w:t>
      </w:r>
    </w:p>
    <w:p w14:paraId="3358D3F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投标人根据实际投标情况，填写本表格，若无偏离，</w:t>
      </w:r>
      <w:r>
        <w:rPr>
          <w:rFonts w:hint="eastAsia" w:ascii="仿宋" w:hAnsi="仿宋" w:eastAsia="仿宋" w:cs="仿宋"/>
          <w:b/>
          <w:bCs/>
          <w:color w:val="auto"/>
          <w:sz w:val="24"/>
          <w:szCs w:val="24"/>
          <w:highlight w:val="none"/>
        </w:rPr>
        <w:t>则勾选A项</w:t>
      </w:r>
      <w:r>
        <w:rPr>
          <w:rFonts w:hint="eastAsia" w:ascii="仿宋" w:hAnsi="仿宋" w:eastAsia="仿宋" w:cs="仿宋"/>
          <w:color w:val="auto"/>
          <w:sz w:val="24"/>
          <w:szCs w:val="24"/>
          <w:highlight w:val="none"/>
        </w:rPr>
        <w:t>。若有偏离，</w:t>
      </w:r>
      <w:r>
        <w:rPr>
          <w:rFonts w:hint="eastAsia" w:ascii="仿宋" w:hAnsi="仿宋" w:eastAsia="仿宋" w:cs="仿宋"/>
          <w:b/>
          <w:bCs/>
          <w:color w:val="auto"/>
          <w:sz w:val="24"/>
          <w:szCs w:val="24"/>
          <w:highlight w:val="none"/>
        </w:rPr>
        <w:t>则勾选B项</w:t>
      </w:r>
      <w:r>
        <w:rPr>
          <w:rFonts w:hint="eastAsia" w:ascii="仿宋" w:hAnsi="仿宋" w:eastAsia="仿宋" w:cs="仿宋"/>
          <w:color w:val="auto"/>
          <w:sz w:val="24"/>
          <w:szCs w:val="24"/>
          <w:highlight w:val="none"/>
        </w:rPr>
        <w:t>，按表格要求及实际情况填写。表格中只需填写有“偏离”部分，“无偏离”部分不用填写。</w:t>
      </w:r>
    </w:p>
    <w:p w14:paraId="17119D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“偏离”系指“正偏离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负偏离”或“无偏离”。</w:t>
      </w:r>
    </w:p>
    <w:p w14:paraId="167EF05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勾选示例：</w:t>
      </w:r>
      <w:r>
        <w:rPr>
          <w:rFonts w:hint="eastAsia" w:ascii="仿宋" w:hAnsi="仿宋" w:eastAsia="仿宋" w:cs="仿宋"/>
          <w:b/>
          <w:bCs/>
          <w:color w:val="auto"/>
          <w:sz w:val="24"/>
          <w:szCs w:val="24"/>
          <w:highlight w:val="none"/>
        </w:rPr>
        <w:sym w:font="Wingdings 2" w:char="0052"/>
      </w:r>
      <w:bookmarkEnd w:id="114"/>
      <w:bookmarkEnd w:id="117"/>
    </w:p>
    <w:p w14:paraId="4BBD6E57">
      <w:pPr>
        <w:rPr>
          <w:rFonts w:hint="eastAsia" w:ascii="仿宋" w:hAnsi="仿宋" w:eastAsia="仿宋" w:cs="仿宋"/>
          <w:color w:val="auto"/>
          <w:highlight w:val="none"/>
        </w:rPr>
      </w:pPr>
    </w:p>
    <w:p w14:paraId="1C6947AB">
      <w:pPr>
        <w:autoSpaceDE w:val="0"/>
        <w:spacing w:line="360" w:lineRule="auto"/>
        <w:rPr>
          <w:rFonts w:hint="eastAsia" w:ascii="仿宋" w:hAnsi="仿宋" w:eastAsia="仿宋" w:cs="仿宋"/>
          <w:color w:val="auto"/>
          <w:sz w:val="24"/>
          <w:szCs w:val="24"/>
          <w:highlight w:val="none"/>
        </w:rPr>
      </w:pPr>
    </w:p>
    <w:p w14:paraId="2F3D6215">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2F4080B2">
      <w:pPr>
        <w:autoSpaceDE w:val="0"/>
        <w:adjustRightInd w:val="0"/>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1822FFB">
      <w:pPr>
        <w:autoSpaceDE w:val="0"/>
        <w:spacing w:line="360" w:lineRule="auto"/>
        <w:jc w:val="left"/>
        <w:rPr>
          <w:rFonts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14C53AAB">
      <w:pP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15DF125E">
      <w:pPr>
        <w:rPr>
          <w:rFonts w:hint="eastAsia" w:ascii="仿宋" w:hAnsi="仿宋" w:eastAsia="仿宋" w:cs="仿宋"/>
          <w:color w:val="auto"/>
          <w:highlight w:val="none"/>
          <w:lang w:val="en-US" w:eastAsia="zh-CN"/>
        </w:rPr>
      </w:pPr>
    </w:p>
    <w:p w14:paraId="38060C93">
      <w:pPr>
        <w:pStyle w:val="3"/>
        <w:keepLines w:val="0"/>
        <w:autoSpaceDE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、技术规格偏离表</w:t>
      </w:r>
    </w:p>
    <w:p w14:paraId="47B41559">
      <w:pPr>
        <w:pStyle w:val="10"/>
        <w:autoSpaceDE w:val="0"/>
        <w:spacing w:line="360" w:lineRule="auto"/>
        <w:ind w:firstLine="210" w:firstLineChars="100"/>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szCs w:val="24"/>
          <w:highlight w:val="none"/>
        </w:rPr>
        <w:t>请按提供技术、服务的实际响应情况，逐条对应招标文件的第三章采购需求，按要求认真填写该表。</w:t>
      </w:r>
    </w:p>
    <w:p w14:paraId="65E4441D">
      <w:pPr>
        <w:pStyle w:val="10"/>
        <w:spacing w:line="360" w:lineRule="auto"/>
        <w:jc w:val="left"/>
        <w:rPr>
          <w:rFonts w:ascii="仿宋" w:hAnsi="仿宋" w:eastAsia="仿宋" w:cs="仿宋"/>
          <w:b/>
          <w:color w:val="auto"/>
          <w:highlight w:val="none"/>
        </w:rPr>
      </w:pPr>
      <w:r>
        <w:rPr>
          <w:rFonts w:hint="eastAsia" w:ascii="仿宋" w:hAnsi="仿宋" w:eastAsia="仿宋" w:cs="仿宋"/>
          <w:b/>
          <w:color w:val="auto"/>
          <w:sz w:val="24"/>
          <w:szCs w:val="24"/>
          <w:highlight w:val="none"/>
        </w:rPr>
        <w:t xml:space="preserve">项目名称：                                                                               </w:t>
      </w:r>
    </w:p>
    <w:tbl>
      <w:tblPr>
        <w:tblStyle w:val="20"/>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73"/>
        <w:gridCol w:w="2224"/>
        <w:gridCol w:w="2224"/>
        <w:gridCol w:w="2110"/>
        <w:gridCol w:w="1335"/>
      </w:tblGrid>
      <w:tr w14:paraId="27FC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5961B7A">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序号</w:t>
            </w:r>
          </w:p>
        </w:tc>
        <w:tc>
          <w:tcPr>
            <w:tcW w:w="1173" w:type="dxa"/>
            <w:tcBorders>
              <w:top w:val="single" w:color="auto" w:sz="4" w:space="0"/>
              <w:left w:val="single" w:color="auto" w:sz="4" w:space="0"/>
              <w:bottom w:val="single" w:color="auto" w:sz="4" w:space="0"/>
              <w:right w:val="single" w:color="auto" w:sz="4" w:space="0"/>
            </w:tcBorders>
            <w:vAlign w:val="center"/>
          </w:tcPr>
          <w:p w14:paraId="341978B6">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货物名称</w:t>
            </w:r>
          </w:p>
        </w:tc>
        <w:tc>
          <w:tcPr>
            <w:tcW w:w="2224" w:type="dxa"/>
            <w:tcBorders>
              <w:top w:val="single" w:color="auto" w:sz="4" w:space="0"/>
              <w:left w:val="single" w:color="auto" w:sz="4" w:space="0"/>
              <w:bottom w:val="single" w:color="auto" w:sz="4" w:space="0"/>
              <w:right w:val="single" w:color="auto" w:sz="4" w:space="0"/>
            </w:tcBorders>
            <w:vAlign w:val="center"/>
          </w:tcPr>
          <w:p w14:paraId="0E0DF757">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品牌/规格型号/产地</w:t>
            </w:r>
          </w:p>
        </w:tc>
        <w:tc>
          <w:tcPr>
            <w:tcW w:w="2224" w:type="dxa"/>
            <w:tcBorders>
              <w:top w:val="single" w:color="auto" w:sz="4" w:space="0"/>
              <w:left w:val="single" w:color="auto" w:sz="4" w:space="0"/>
              <w:bottom w:val="single" w:color="auto" w:sz="4" w:space="0"/>
              <w:right w:val="single" w:color="auto" w:sz="4" w:space="0"/>
            </w:tcBorders>
            <w:vAlign w:val="center"/>
          </w:tcPr>
          <w:p w14:paraId="1EE52617">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招标文件采购要求</w:t>
            </w:r>
          </w:p>
        </w:tc>
        <w:tc>
          <w:tcPr>
            <w:tcW w:w="2110" w:type="dxa"/>
            <w:tcBorders>
              <w:top w:val="single" w:color="auto" w:sz="4" w:space="0"/>
              <w:left w:val="single" w:color="auto" w:sz="4" w:space="0"/>
              <w:bottom w:val="single" w:color="auto" w:sz="4" w:space="0"/>
              <w:right w:val="single" w:color="auto" w:sz="4" w:space="0"/>
            </w:tcBorders>
            <w:vAlign w:val="center"/>
          </w:tcPr>
          <w:p w14:paraId="3A320E30">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投标文件响应参数</w:t>
            </w:r>
          </w:p>
        </w:tc>
        <w:tc>
          <w:tcPr>
            <w:tcW w:w="1335" w:type="dxa"/>
            <w:tcBorders>
              <w:top w:val="single" w:color="auto" w:sz="4" w:space="0"/>
              <w:left w:val="single" w:color="auto" w:sz="4" w:space="0"/>
              <w:bottom w:val="single" w:color="auto" w:sz="4" w:space="0"/>
              <w:right w:val="single" w:color="auto" w:sz="4" w:space="0"/>
            </w:tcBorders>
            <w:vAlign w:val="center"/>
          </w:tcPr>
          <w:p w14:paraId="16DE631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偏离概述</w:t>
            </w:r>
          </w:p>
        </w:tc>
      </w:tr>
      <w:tr w14:paraId="4242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0D78CF0B">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1173" w:type="dxa"/>
            <w:tcBorders>
              <w:top w:val="single" w:color="auto" w:sz="4" w:space="0"/>
              <w:left w:val="single" w:color="auto" w:sz="4" w:space="0"/>
              <w:bottom w:val="single" w:color="auto" w:sz="4" w:space="0"/>
              <w:right w:val="single" w:color="auto" w:sz="4" w:space="0"/>
            </w:tcBorders>
            <w:vAlign w:val="center"/>
          </w:tcPr>
          <w:p w14:paraId="5BA58E16">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330ADC42">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7FB72B46">
            <w:pPr>
              <w:spacing w:line="360" w:lineRule="auto"/>
              <w:jc w:val="center"/>
              <w:rPr>
                <w:rFonts w:ascii="仿宋" w:hAnsi="仿宋" w:eastAsia="仿宋" w:cs="仿宋"/>
                <w:color w:val="auto"/>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733168B9">
            <w:pPr>
              <w:spacing w:line="360" w:lineRule="auto"/>
              <w:jc w:val="center"/>
              <w:rPr>
                <w:rFonts w:ascii="仿宋" w:hAnsi="仿宋" w:eastAsia="仿宋" w:cs="仿宋"/>
                <w:color w:val="auto"/>
                <w:highlight w:val="none"/>
              </w:rPr>
            </w:pPr>
          </w:p>
        </w:tc>
        <w:tc>
          <w:tcPr>
            <w:tcW w:w="1335" w:type="dxa"/>
            <w:tcBorders>
              <w:top w:val="single" w:color="auto" w:sz="4" w:space="0"/>
              <w:left w:val="single" w:color="auto" w:sz="4" w:space="0"/>
              <w:bottom w:val="single" w:color="auto" w:sz="4" w:space="0"/>
              <w:right w:val="single" w:color="auto" w:sz="4" w:space="0"/>
            </w:tcBorders>
          </w:tcPr>
          <w:p w14:paraId="7F0296B1">
            <w:pPr>
              <w:spacing w:line="360" w:lineRule="auto"/>
              <w:jc w:val="center"/>
              <w:rPr>
                <w:rFonts w:ascii="仿宋" w:hAnsi="仿宋" w:eastAsia="仿宋" w:cs="仿宋"/>
                <w:color w:val="auto"/>
                <w:highlight w:val="none"/>
              </w:rPr>
            </w:pPr>
          </w:p>
        </w:tc>
      </w:tr>
      <w:tr w14:paraId="2A1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202A0999">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1173" w:type="dxa"/>
            <w:tcBorders>
              <w:top w:val="single" w:color="auto" w:sz="4" w:space="0"/>
              <w:left w:val="single" w:color="auto" w:sz="4" w:space="0"/>
              <w:bottom w:val="single" w:color="auto" w:sz="4" w:space="0"/>
              <w:right w:val="single" w:color="auto" w:sz="4" w:space="0"/>
            </w:tcBorders>
            <w:vAlign w:val="center"/>
          </w:tcPr>
          <w:p w14:paraId="063CD16F">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492A826C">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57F2D297">
            <w:pPr>
              <w:spacing w:line="360" w:lineRule="auto"/>
              <w:jc w:val="center"/>
              <w:rPr>
                <w:rFonts w:ascii="仿宋" w:hAnsi="仿宋" w:eastAsia="仿宋" w:cs="仿宋"/>
                <w:color w:val="auto"/>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0D95F492">
            <w:pPr>
              <w:spacing w:line="360" w:lineRule="auto"/>
              <w:jc w:val="center"/>
              <w:rPr>
                <w:rFonts w:ascii="仿宋" w:hAnsi="仿宋" w:eastAsia="仿宋" w:cs="仿宋"/>
                <w:color w:val="auto"/>
                <w:highlight w:val="none"/>
              </w:rPr>
            </w:pPr>
          </w:p>
        </w:tc>
        <w:tc>
          <w:tcPr>
            <w:tcW w:w="1335" w:type="dxa"/>
            <w:tcBorders>
              <w:top w:val="single" w:color="auto" w:sz="4" w:space="0"/>
              <w:left w:val="single" w:color="auto" w:sz="4" w:space="0"/>
              <w:bottom w:val="single" w:color="auto" w:sz="4" w:space="0"/>
              <w:right w:val="single" w:color="auto" w:sz="4" w:space="0"/>
            </w:tcBorders>
          </w:tcPr>
          <w:p w14:paraId="64ACCBFD">
            <w:pPr>
              <w:spacing w:line="360" w:lineRule="auto"/>
              <w:jc w:val="center"/>
              <w:rPr>
                <w:rFonts w:ascii="仿宋" w:hAnsi="仿宋" w:eastAsia="仿宋" w:cs="仿宋"/>
                <w:color w:val="auto"/>
                <w:highlight w:val="none"/>
              </w:rPr>
            </w:pPr>
          </w:p>
        </w:tc>
      </w:tr>
      <w:tr w14:paraId="6F30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1A76B22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1173" w:type="dxa"/>
            <w:tcBorders>
              <w:top w:val="single" w:color="auto" w:sz="4" w:space="0"/>
              <w:left w:val="single" w:color="auto" w:sz="4" w:space="0"/>
              <w:bottom w:val="single" w:color="auto" w:sz="4" w:space="0"/>
              <w:right w:val="single" w:color="auto" w:sz="4" w:space="0"/>
            </w:tcBorders>
            <w:vAlign w:val="center"/>
          </w:tcPr>
          <w:p w14:paraId="225E59F7">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0F97D106">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2BDF7D71">
            <w:pPr>
              <w:spacing w:line="360" w:lineRule="auto"/>
              <w:jc w:val="center"/>
              <w:rPr>
                <w:rFonts w:ascii="仿宋" w:hAnsi="仿宋" w:eastAsia="仿宋" w:cs="仿宋"/>
                <w:color w:val="auto"/>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4123C675">
            <w:pPr>
              <w:spacing w:line="360" w:lineRule="auto"/>
              <w:jc w:val="center"/>
              <w:rPr>
                <w:rFonts w:ascii="仿宋" w:hAnsi="仿宋" w:eastAsia="仿宋" w:cs="仿宋"/>
                <w:color w:val="auto"/>
                <w:highlight w:val="none"/>
              </w:rPr>
            </w:pPr>
          </w:p>
        </w:tc>
        <w:tc>
          <w:tcPr>
            <w:tcW w:w="1335" w:type="dxa"/>
            <w:tcBorders>
              <w:top w:val="single" w:color="auto" w:sz="4" w:space="0"/>
              <w:left w:val="single" w:color="auto" w:sz="4" w:space="0"/>
              <w:bottom w:val="single" w:color="auto" w:sz="4" w:space="0"/>
              <w:right w:val="single" w:color="auto" w:sz="4" w:space="0"/>
            </w:tcBorders>
          </w:tcPr>
          <w:p w14:paraId="226BD64D">
            <w:pPr>
              <w:spacing w:line="360" w:lineRule="auto"/>
              <w:jc w:val="center"/>
              <w:rPr>
                <w:rFonts w:ascii="仿宋" w:hAnsi="仿宋" w:eastAsia="仿宋" w:cs="仿宋"/>
                <w:color w:val="auto"/>
                <w:highlight w:val="none"/>
              </w:rPr>
            </w:pPr>
          </w:p>
        </w:tc>
      </w:tr>
      <w:tr w14:paraId="4BF5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579CC47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w:t>
            </w:r>
          </w:p>
        </w:tc>
        <w:tc>
          <w:tcPr>
            <w:tcW w:w="1173" w:type="dxa"/>
            <w:tcBorders>
              <w:top w:val="single" w:color="auto" w:sz="4" w:space="0"/>
              <w:left w:val="single" w:color="auto" w:sz="4" w:space="0"/>
              <w:bottom w:val="single" w:color="auto" w:sz="4" w:space="0"/>
              <w:right w:val="single" w:color="auto" w:sz="4" w:space="0"/>
            </w:tcBorders>
            <w:vAlign w:val="center"/>
          </w:tcPr>
          <w:p w14:paraId="1AA16F02">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66045445">
            <w:pPr>
              <w:spacing w:line="360" w:lineRule="auto"/>
              <w:jc w:val="center"/>
              <w:rPr>
                <w:rFonts w:ascii="仿宋" w:hAnsi="仿宋" w:eastAsia="仿宋" w:cs="仿宋"/>
                <w:color w:val="auto"/>
                <w:highlight w:val="none"/>
              </w:rPr>
            </w:pPr>
          </w:p>
        </w:tc>
        <w:tc>
          <w:tcPr>
            <w:tcW w:w="2224" w:type="dxa"/>
            <w:tcBorders>
              <w:top w:val="single" w:color="auto" w:sz="4" w:space="0"/>
              <w:left w:val="single" w:color="auto" w:sz="4" w:space="0"/>
              <w:bottom w:val="single" w:color="auto" w:sz="4" w:space="0"/>
              <w:right w:val="single" w:color="auto" w:sz="4" w:space="0"/>
            </w:tcBorders>
            <w:vAlign w:val="center"/>
          </w:tcPr>
          <w:p w14:paraId="05E57BDC">
            <w:pPr>
              <w:spacing w:line="360" w:lineRule="auto"/>
              <w:jc w:val="center"/>
              <w:rPr>
                <w:rFonts w:ascii="仿宋" w:hAnsi="仿宋" w:eastAsia="仿宋" w:cs="仿宋"/>
                <w:color w:val="auto"/>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44192D8">
            <w:pPr>
              <w:spacing w:line="360" w:lineRule="auto"/>
              <w:jc w:val="center"/>
              <w:rPr>
                <w:rFonts w:ascii="仿宋" w:hAnsi="仿宋" w:eastAsia="仿宋" w:cs="仿宋"/>
                <w:color w:val="auto"/>
                <w:highlight w:val="none"/>
              </w:rPr>
            </w:pPr>
          </w:p>
        </w:tc>
        <w:tc>
          <w:tcPr>
            <w:tcW w:w="1335" w:type="dxa"/>
            <w:tcBorders>
              <w:top w:val="single" w:color="auto" w:sz="4" w:space="0"/>
              <w:left w:val="single" w:color="auto" w:sz="4" w:space="0"/>
              <w:bottom w:val="single" w:color="auto" w:sz="4" w:space="0"/>
              <w:right w:val="single" w:color="auto" w:sz="4" w:space="0"/>
            </w:tcBorders>
          </w:tcPr>
          <w:p w14:paraId="50924057">
            <w:pPr>
              <w:spacing w:line="360" w:lineRule="auto"/>
              <w:jc w:val="center"/>
              <w:rPr>
                <w:rFonts w:ascii="仿宋" w:hAnsi="仿宋" w:eastAsia="仿宋" w:cs="仿宋"/>
                <w:color w:val="auto"/>
                <w:highlight w:val="none"/>
              </w:rPr>
            </w:pPr>
          </w:p>
        </w:tc>
      </w:tr>
    </w:tbl>
    <w:p w14:paraId="0E71EAE0">
      <w:pPr>
        <w:pStyle w:val="1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表格中“偏离”一列，投标人只能如实填写“正偏离”“负偏离”或“无偏离”。凡投标内容高于招标文件要求的，按“正偏离”填写（招标文件中参数关于“不低于”“不小于”的表述，只要投标参数“高于”或“大于”招标参数，均属正偏离，但该正偏离加分意义是否明显由评标专家决定）；低于招标文件要求的，按“负偏离”填写；满足招标文件要求的，按“无偏离”填写。并在“</w:t>
      </w:r>
      <w:r>
        <w:rPr>
          <w:rFonts w:hint="eastAsia" w:ascii="仿宋" w:hAnsi="仿宋" w:eastAsia="仿宋" w:cs="仿宋"/>
          <w:b/>
          <w:bCs/>
          <w:color w:val="auto"/>
          <w:sz w:val="24"/>
          <w:szCs w:val="24"/>
          <w:highlight w:val="none"/>
        </w:rPr>
        <w:t>投标文件响应栏</w:t>
      </w:r>
      <w:r>
        <w:rPr>
          <w:rFonts w:hint="eastAsia" w:ascii="仿宋" w:hAnsi="仿宋" w:eastAsia="仿宋" w:cs="仿宋"/>
          <w:color w:val="auto"/>
          <w:sz w:val="24"/>
          <w:szCs w:val="24"/>
          <w:highlight w:val="none"/>
        </w:rPr>
        <w:t>”一列中写明技术参数。</w:t>
      </w:r>
    </w:p>
    <w:p w14:paraId="417A84E3">
      <w:pPr>
        <w:pStyle w:val="1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2.序号应对应该产品在</w:t>
      </w:r>
      <w:r>
        <w:rPr>
          <w:rFonts w:hint="eastAsia" w:ascii="仿宋" w:hAnsi="仿宋" w:eastAsia="仿宋" w:cs="仿宋"/>
          <w:b/>
          <w:bCs/>
          <w:color w:val="auto"/>
          <w:sz w:val="24"/>
          <w:szCs w:val="24"/>
          <w:highlight w:val="none"/>
        </w:rPr>
        <w:t>第三章《采购需求》</w:t>
      </w:r>
      <w:r>
        <w:rPr>
          <w:rFonts w:hint="eastAsia" w:ascii="仿宋" w:hAnsi="仿宋" w:eastAsia="仿宋" w:cs="仿宋"/>
          <w:color w:val="auto"/>
          <w:sz w:val="24"/>
          <w:szCs w:val="24"/>
          <w:highlight w:val="none"/>
        </w:rPr>
        <w:t>中的序号。</w:t>
      </w:r>
    </w:p>
    <w:p w14:paraId="0AAA6C85">
      <w:pPr>
        <w:spacing w:line="360" w:lineRule="auto"/>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3.各投标人必须对招标文件第三章采购需求中的技术参数要求作出全面、真实的反映，投标人除如实填写技术规格偏离表外，投标产品所提供的参数信息必须与设备技术支持资料</w:t>
      </w:r>
      <w:r>
        <w:rPr>
          <w:rFonts w:hint="eastAsia" w:ascii="仿宋" w:hAnsi="仿宋" w:eastAsia="仿宋" w:cs="仿宋"/>
          <w:b/>
          <w:color w:val="auto"/>
          <w:sz w:val="24"/>
          <w:szCs w:val="24"/>
          <w:highlight w:val="none"/>
        </w:rPr>
        <w:t>（包括投标产品技术白皮书或检测报告或印刷宣传彩页或性能参数说明</w:t>
      </w:r>
      <w:r>
        <w:rPr>
          <w:rFonts w:hint="eastAsia" w:ascii="仿宋" w:hAnsi="仿宋" w:eastAsia="仿宋" w:cs="仿宋"/>
          <w:b/>
          <w:color w:val="auto"/>
          <w:sz w:val="24"/>
          <w:szCs w:val="24"/>
          <w:highlight w:val="none"/>
          <w:lang w:val="en-US" w:eastAsia="zh-CN"/>
        </w:rPr>
        <w:t>或承诺</w:t>
      </w:r>
      <w:r>
        <w:rPr>
          <w:rFonts w:hint="eastAsia" w:ascii="仿宋" w:hAnsi="仿宋" w:eastAsia="仿宋" w:cs="仿宋"/>
          <w:b/>
          <w:color w:val="auto"/>
          <w:sz w:val="24"/>
          <w:szCs w:val="24"/>
          <w:highlight w:val="none"/>
        </w:rPr>
        <w:t>等）一致，后附产品技术资料，若投标文件中最新技术支持资料参数与技术规格偏离表应答不符或无技术资料应答，而投标人又未在投标文件中作出说明和解释的，视为不</w:t>
      </w:r>
      <w:r>
        <w:rPr>
          <w:rFonts w:hint="eastAsia" w:ascii="仿宋" w:hAnsi="仿宋" w:eastAsia="仿宋" w:cs="仿宋"/>
          <w:b/>
          <w:color w:val="auto"/>
          <w:sz w:val="24"/>
          <w:szCs w:val="24"/>
          <w:highlight w:val="none"/>
          <w:lang w:val="en-US" w:eastAsia="zh-CN"/>
        </w:rPr>
        <w:t>满足</w:t>
      </w:r>
      <w:r>
        <w:rPr>
          <w:rFonts w:hint="eastAsia" w:ascii="仿宋" w:hAnsi="仿宋" w:eastAsia="仿宋" w:cs="仿宋"/>
          <w:b/>
          <w:color w:val="auto"/>
          <w:sz w:val="24"/>
          <w:szCs w:val="24"/>
          <w:highlight w:val="none"/>
        </w:rPr>
        <w:t>该</w:t>
      </w:r>
      <w:r>
        <w:rPr>
          <w:rFonts w:hint="eastAsia" w:ascii="仿宋" w:hAnsi="仿宋" w:eastAsia="仿宋" w:cs="仿宋"/>
          <w:b/>
          <w:color w:val="auto"/>
          <w:sz w:val="24"/>
          <w:szCs w:val="24"/>
          <w:highlight w:val="none"/>
          <w:lang w:val="en-US" w:eastAsia="zh-CN"/>
        </w:rPr>
        <w:t>条</w:t>
      </w:r>
      <w:r>
        <w:rPr>
          <w:rFonts w:hint="eastAsia" w:ascii="仿宋" w:hAnsi="仿宋" w:eastAsia="仿宋" w:cs="仿宋"/>
          <w:b/>
          <w:color w:val="auto"/>
          <w:sz w:val="24"/>
          <w:szCs w:val="24"/>
          <w:highlight w:val="none"/>
        </w:rPr>
        <w:t>技术参数要求。</w:t>
      </w:r>
    </w:p>
    <w:p w14:paraId="04060A28">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C56EECC">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CEA1790">
      <w:pPr>
        <w:autoSpaceDE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5AF722F4">
      <w:pPr>
        <w:autoSpaceDE w:val="0"/>
        <w:adjustRightInd w:val="0"/>
        <w:snapToGrid w:val="0"/>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aps/>
          <w:color w:val="auto"/>
          <w:sz w:val="24"/>
          <w:szCs w:val="24"/>
          <w:highlight w:val="none"/>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0C824A01">
      <w:pPr>
        <w:autoSpaceDE w:val="0"/>
        <w:spacing w:line="360" w:lineRule="auto"/>
        <w:jc w:val="left"/>
        <w:rPr>
          <w:rFonts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602F5471">
      <w:pP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1E93A71A">
      <w:pP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 </w:t>
      </w:r>
    </w:p>
    <w:p w14:paraId="270BAA35">
      <w:pPr>
        <w:adjustRightInd w:val="0"/>
        <w:spacing w:line="360" w:lineRule="auto"/>
        <w:ind w:left="0" w:leftChars="0" w:right="0" w:rightChars="0" w:firstLine="0" w:firstLineChars="0"/>
        <w:jc w:val="center"/>
        <w:rPr>
          <w:rFonts w:hint="eastAsia" w:ascii="仿宋" w:hAnsi="仿宋" w:eastAsia="仿宋" w:cs="仿宋"/>
          <w:bCs/>
          <w:color w:val="auto"/>
          <w:highlight w:val="none"/>
          <w:lang w:val="en-US" w:eastAsia="zh-CN"/>
        </w:rPr>
      </w:pPr>
    </w:p>
    <w:p w14:paraId="669803FC">
      <w:pPr>
        <w:adjustRightInd w:val="0"/>
        <w:spacing w:line="360" w:lineRule="auto"/>
        <w:ind w:left="0" w:leftChars="0" w:right="0" w:rightChars="0" w:firstLine="0" w:firstLineChars="0"/>
        <w:jc w:val="center"/>
        <w:rPr>
          <w:rFonts w:hint="eastAsia" w:ascii="仿宋" w:hAnsi="仿宋" w:eastAsia="仿宋" w:cs="仿宋"/>
          <w:b/>
          <w:bCs/>
          <w:color w:val="auto"/>
          <w:kern w:val="2"/>
          <w:sz w:val="32"/>
          <w:szCs w:val="32"/>
          <w:highlight w:val="none"/>
          <w:lang w:val="zh-TW" w:eastAsia="zh-CN" w:bidi="ar-SA"/>
        </w:rPr>
      </w:pPr>
      <w:r>
        <w:rPr>
          <w:rFonts w:hint="eastAsia" w:ascii="仿宋" w:hAnsi="仿宋" w:eastAsia="仿宋" w:cs="仿宋"/>
          <w:b/>
          <w:bCs/>
          <w:color w:val="auto"/>
          <w:kern w:val="2"/>
          <w:sz w:val="32"/>
          <w:szCs w:val="32"/>
          <w:highlight w:val="none"/>
          <w:lang w:val="en-US" w:eastAsia="zh-CN" w:bidi="ar-SA"/>
        </w:rPr>
        <w:t>七、</w:t>
      </w:r>
      <w:r>
        <w:rPr>
          <w:rFonts w:hint="eastAsia" w:ascii="仿宋" w:hAnsi="仿宋" w:eastAsia="仿宋" w:cs="仿宋"/>
          <w:b/>
          <w:bCs/>
          <w:color w:val="auto"/>
          <w:kern w:val="2"/>
          <w:sz w:val="32"/>
          <w:szCs w:val="32"/>
          <w:highlight w:val="none"/>
          <w:lang w:val="zh-TW" w:eastAsia="zh-CN" w:bidi="ar-SA"/>
        </w:rPr>
        <w:t>项目实施方案</w:t>
      </w:r>
    </w:p>
    <w:p w14:paraId="09DB2B40">
      <w:pPr>
        <w:pStyle w:val="3"/>
        <w:keepLines w:val="0"/>
        <w:autoSpaceDE w:val="0"/>
        <w:spacing w:before="0" w:after="0" w:line="360" w:lineRule="auto"/>
        <w:ind w:left="1014" w:leftChars="483" w:firstLine="2925" w:firstLineChars="1214"/>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（格式自拟）</w:t>
      </w:r>
    </w:p>
    <w:p w14:paraId="6E529AAF">
      <w:pPr>
        <w:autoSpaceDE w:val="0"/>
        <w:adjustRightInd w:val="0"/>
        <w:spacing w:line="360" w:lineRule="auto"/>
        <w:jc w:val="both"/>
        <w:rPr>
          <w:rFonts w:ascii="仿宋" w:hAnsi="仿宋" w:eastAsia="仿宋" w:cs="仿宋"/>
          <w:b/>
          <w:bCs/>
          <w:color w:val="auto"/>
          <w:sz w:val="32"/>
          <w:szCs w:val="32"/>
          <w:highlight w:val="none"/>
        </w:rPr>
      </w:pPr>
    </w:p>
    <w:p w14:paraId="5C90C0B2">
      <w:pPr>
        <w:adjustRightInd w:val="0"/>
        <w:spacing w:line="360" w:lineRule="auto"/>
        <w:ind w:left="0" w:leftChars="0" w:right="0" w:rightChars="0" w:firstLine="0" w:firstLineChars="0"/>
        <w:jc w:val="center"/>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八、</w:t>
      </w:r>
      <w:r>
        <w:rPr>
          <w:rFonts w:hint="eastAsia" w:ascii="仿宋" w:hAnsi="仿宋" w:eastAsia="仿宋" w:cs="仿宋"/>
          <w:b/>
          <w:bCs/>
          <w:color w:val="auto"/>
          <w:kern w:val="2"/>
          <w:sz w:val="32"/>
          <w:szCs w:val="32"/>
          <w:highlight w:val="none"/>
          <w:lang w:val="zh-TW" w:eastAsia="zh-CN" w:bidi="ar-SA"/>
        </w:rPr>
        <w:t>质量保证及保证措施</w:t>
      </w:r>
    </w:p>
    <w:p w14:paraId="7C2BC02D">
      <w:pPr>
        <w:pStyle w:val="3"/>
        <w:keepLines w:val="0"/>
        <w:autoSpaceDE w:val="0"/>
        <w:spacing w:before="0" w:after="0" w:line="360" w:lineRule="auto"/>
        <w:ind w:left="425"/>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（格式自拟）</w:t>
      </w:r>
    </w:p>
    <w:p w14:paraId="08BDE1BA">
      <w:pPr>
        <w:adjustRightInd w:val="0"/>
        <w:spacing w:line="360" w:lineRule="auto"/>
        <w:ind w:left="0" w:leftChars="0" w:right="0" w:rightChars="0" w:firstLine="0" w:firstLineChars="0"/>
        <w:jc w:val="center"/>
        <w:rPr>
          <w:rFonts w:hint="eastAsia" w:ascii="仿宋" w:hAnsi="仿宋" w:eastAsia="仿宋" w:cs="仿宋"/>
          <w:b/>
          <w:bCs/>
          <w:color w:val="auto"/>
          <w:kern w:val="2"/>
          <w:sz w:val="32"/>
          <w:szCs w:val="32"/>
          <w:highlight w:val="none"/>
          <w:lang w:val="en-US" w:eastAsia="zh-CN" w:bidi="ar-SA"/>
        </w:rPr>
      </w:pPr>
    </w:p>
    <w:p w14:paraId="32449B6B">
      <w:pPr>
        <w:adjustRightInd w:val="0"/>
        <w:spacing w:line="360" w:lineRule="auto"/>
        <w:ind w:left="0" w:leftChars="0" w:right="0" w:rightChars="0" w:firstLine="0" w:firstLineChars="0"/>
        <w:jc w:val="center"/>
        <w:rPr>
          <w:rFonts w:hint="default"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九、</w:t>
      </w:r>
      <w:r>
        <w:rPr>
          <w:rFonts w:hint="eastAsia" w:ascii="仿宋" w:hAnsi="仿宋" w:eastAsia="仿宋" w:cs="仿宋"/>
          <w:b/>
          <w:bCs/>
          <w:color w:val="auto"/>
          <w:kern w:val="2"/>
          <w:sz w:val="32"/>
          <w:szCs w:val="32"/>
          <w:highlight w:val="none"/>
          <w:lang w:val="zh-TW" w:eastAsia="zh-CN" w:bidi="ar-SA"/>
        </w:rPr>
        <w:t>售后服务方案</w:t>
      </w:r>
    </w:p>
    <w:p w14:paraId="377C7C63">
      <w:pPr>
        <w:adjustRightInd w:val="0"/>
        <w:spacing w:line="360" w:lineRule="auto"/>
        <w:ind w:left="0" w:leftChars="0" w:right="0" w:rightChars="0" w:firstLine="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xml:space="preserve">  （格式自拟）</w:t>
      </w:r>
    </w:p>
    <w:p w14:paraId="4168ACF1">
      <w:pPr>
        <w:autoSpaceDE w:val="0"/>
        <w:spacing w:line="360" w:lineRule="auto"/>
        <w:ind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1284FF6D">
      <w:pPr>
        <w:autoSpaceDE w:val="0"/>
        <w:adjustRightIn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其他</w:t>
      </w:r>
      <w:r>
        <w:rPr>
          <w:rFonts w:hint="eastAsia" w:ascii="仿宋" w:hAnsi="仿宋" w:eastAsia="仿宋" w:cs="仿宋"/>
          <w:b/>
          <w:bCs/>
          <w:color w:val="auto"/>
          <w:sz w:val="32"/>
          <w:szCs w:val="32"/>
          <w:highlight w:val="none"/>
        </w:rPr>
        <w:t>资料</w:t>
      </w:r>
    </w:p>
    <w:p w14:paraId="2BD6C11B">
      <w:pPr>
        <w:rPr>
          <w:rFonts w:ascii="仿宋" w:hAnsi="仿宋" w:eastAsia="仿宋" w:cs="仿宋"/>
          <w:color w:val="auto"/>
          <w:highlight w:val="none"/>
        </w:rPr>
      </w:pPr>
    </w:p>
    <w:sectPr>
      <w:pgSz w:w="11906" w:h="16838"/>
      <w:pgMar w:top="1355" w:right="1321" w:bottom="1355" w:left="1321"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F12C7D-F69C-4D71-93BE-015F53EFBC07}"/>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3F0FAAEA-8391-4DA8-B582-5A2C6372352C}"/>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337B6670-07E3-4111-B470-1579798583E8}"/>
  </w:font>
  <w:font w:name="Wingdings 2">
    <w:altName w:val="Wingdings"/>
    <w:panose1 w:val="05020102010507070707"/>
    <w:charset w:val="02"/>
    <w:family w:val="roman"/>
    <w:pitch w:val="default"/>
    <w:sig w:usb0="00000000" w:usb1="00000000" w:usb2="00000000" w:usb3="00000000" w:csb0="80000000" w:csb1="00000000"/>
    <w:embedRegular r:id="rId4" w:fontKey="{A541792E-5F03-49A6-B44E-6BE4BBE84D7A}"/>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4634">
    <w:pPr>
      <w:pStyle w:val="13"/>
      <w:jc w:val="right"/>
      <w:rPr>
        <w:rFonts w:ascii="仿宋" w:hAnsi="仿宋" w:eastAsia="仿宋" w:cs="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9E36">
    <w:pPr>
      <w:pStyle w:val="13"/>
      <w:jc w:val="right"/>
      <w:rPr>
        <w:rFonts w:ascii="仿宋" w:hAnsi="仿宋" w:eastAsia="仿宋" w:cs="仿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180DF">
                          <w:pPr>
                            <w:pStyle w:val="13"/>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4180DF">
                    <w:pPr>
                      <w:pStyle w:val="13"/>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7C9F">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850D2"/>
    <w:multiLevelType w:val="singleLevel"/>
    <w:tmpl w:val="B46850D2"/>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86314A"/>
    <w:multiLevelType w:val="singleLevel"/>
    <w:tmpl w:val="CF86314A"/>
    <w:lvl w:ilvl="0" w:tentative="0">
      <w:start w:val="1"/>
      <w:numFmt w:val="decimal"/>
      <w:lvlText w:val="%1."/>
      <w:lvlJc w:val="left"/>
      <w:pPr>
        <w:tabs>
          <w:tab w:val="left" w:pos="312"/>
        </w:tabs>
      </w:p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A2D0255"/>
    <w:multiLevelType w:val="multilevel"/>
    <w:tmpl w:val="0A2D025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YjQ4MTY0ZmRjZTFmZGFiNmIyNDg0NTMwYTg1ZjEifQ=="/>
  </w:docVars>
  <w:rsids>
    <w:rsidRoot w:val="00971A65"/>
    <w:rsid w:val="00047197"/>
    <w:rsid w:val="000515F1"/>
    <w:rsid w:val="00092509"/>
    <w:rsid w:val="000B6281"/>
    <w:rsid w:val="000C3DA7"/>
    <w:rsid w:val="001669D4"/>
    <w:rsid w:val="001A64C4"/>
    <w:rsid w:val="0022181C"/>
    <w:rsid w:val="00225378"/>
    <w:rsid w:val="00246664"/>
    <w:rsid w:val="00262B34"/>
    <w:rsid w:val="002C4449"/>
    <w:rsid w:val="002D7BFC"/>
    <w:rsid w:val="0030701D"/>
    <w:rsid w:val="003A0914"/>
    <w:rsid w:val="003F23CE"/>
    <w:rsid w:val="00525518"/>
    <w:rsid w:val="0055574E"/>
    <w:rsid w:val="0058699B"/>
    <w:rsid w:val="00610597"/>
    <w:rsid w:val="0061443A"/>
    <w:rsid w:val="00641E35"/>
    <w:rsid w:val="00643BE3"/>
    <w:rsid w:val="00726300"/>
    <w:rsid w:val="00771B68"/>
    <w:rsid w:val="00861DAB"/>
    <w:rsid w:val="00881383"/>
    <w:rsid w:val="0089189B"/>
    <w:rsid w:val="00902C2A"/>
    <w:rsid w:val="00971A65"/>
    <w:rsid w:val="00A72D9F"/>
    <w:rsid w:val="00A95A9A"/>
    <w:rsid w:val="00A96211"/>
    <w:rsid w:val="00B20DF2"/>
    <w:rsid w:val="00B249B3"/>
    <w:rsid w:val="00BD608E"/>
    <w:rsid w:val="00C14B91"/>
    <w:rsid w:val="00CA271F"/>
    <w:rsid w:val="00CE37F7"/>
    <w:rsid w:val="00D24FF0"/>
    <w:rsid w:val="00D72607"/>
    <w:rsid w:val="00E21C39"/>
    <w:rsid w:val="00E6284A"/>
    <w:rsid w:val="00E97AB8"/>
    <w:rsid w:val="00FB4547"/>
    <w:rsid w:val="00FF56BA"/>
    <w:rsid w:val="01013CDC"/>
    <w:rsid w:val="01062EEC"/>
    <w:rsid w:val="0111235A"/>
    <w:rsid w:val="011473B7"/>
    <w:rsid w:val="01170C55"/>
    <w:rsid w:val="01176E27"/>
    <w:rsid w:val="012810B4"/>
    <w:rsid w:val="014541E2"/>
    <w:rsid w:val="01463C70"/>
    <w:rsid w:val="014F6641"/>
    <w:rsid w:val="015654C1"/>
    <w:rsid w:val="015D20F7"/>
    <w:rsid w:val="016C0FA1"/>
    <w:rsid w:val="01714809"/>
    <w:rsid w:val="017240DE"/>
    <w:rsid w:val="017311EE"/>
    <w:rsid w:val="017D31AE"/>
    <w:rsid w:val="01814321"/>
    <w:rsid w:val="01934780"/>
    <w:rsid w:val="01B13F71"/>
    <w:rsid w:val="01BA61B0"/>
    <w:rsid w:val="01BD7A4F"/>
    <w:rsid w:val="01C25065"/>
    <w:rsid w:val="01CF32DE"/>
    <w:rsid w:val="01CF7782"/>
    <w:rsid w:val="01D84888"/>
    <w:rsid w:val="01EA0118"/>
    <w:rsid w:val="01EB6680"/>
    <w:rsid w:val="01EC20E2"/>
    <w:rsid w:val="01F40F97"/>
    <w:rsid w:val="01FB0577"/>
    <w:rsid w:val="01FD42EF"/>
    <w:rsid w:val="02033D08"/>
    <w:rsid w:val="0204742C"/>
    <w:rsid w:val="02054F52"/>
    <w:rsid w:val="020A2568"/>
    <w:rsid w:val="020A29E6"/>
    <w:rsid w:val="021B4495"/>
    <w:rsid w:val="0227319D"/>
    <w:rsid w:val="02300221"/>
    <w:rsid w:val="02315D47"/>
    <w:rsid w:val="023A2E4D"/>
    <w:rsid w:val="023B0973"/>
    <w:rsid w:val="02405F8A"/>
    <w:rsid w:val="02497534"/>
    <w:rsid w:val="02557C87"/>
    <w:rsid w:val="026522DA"/>
    <w:rsid w:val="02681684"/>
    <w:rsid w:val="02736B92"/>
    <w:rsid w:val="027C16B8"/>
    <w:rsid w:val="027F6AB2"/>
    <w:rsid w:val="02832A46"/>
    <w:rsid w:val="0284056C"/>
    <w:rsid w:val="02895C3D"/>
    <w:rsid w:val="029F0F02"/>
    <w:rsid w:val="02A276C4"/>
    <w:rsid w:val="02A30F1D"/>
    <w:rsid w:val="02A824AD"/>
    <w:rsid w:val="02AF7A07"/>
    <w:rsid w:val="02BC393C"/>
    <w:rsid w:val="02C62933"/>
    <w:rsid w:val="02DF39F5"/>
    <w:rsid w:val="02E220EA"/>
    <w:rsid w:val="02E84657"/>
    <w:rsid w:val="02ED1C6E"/>
    <w:rsid w:val="030A0A72"/>
    <w:rsid w:val="030B2A3C"/>
    <w:rsid w:val="030D2310"/>
    <w:rsid w:val="03135E3A"/>
    <w:rsid w:val="031E451D"/>
    <w:rsid w:val="03200295"/>
    <w:rsid w:val="03215DBB"/>
    <w:rsid w:val="03250913"/>
    <w:rsid w:val="0326672B"/>
    <w:rsid w:val="0328539C"/>
    <w:rsid w:val="0328714A"/>
    <w:rsid w:val="033159F7"/>
    <w:rsid w:val="033930D8"/>
    <w:rsid w:val="034D095E"/>
    <w:rsid w:val="0352163A"/>
    <w:rsid w:val="03563CB7"/>
    <w:rsid w:val="035A307B"/>
    <w:rsid w:val="035E2B6B"/>
    <w:rsid w:val="03601B55"/>
    <w:rsid w:val="03604B36"/>
    <w:rsid w:val="036142AE"/>
    <w:rsid w:val="0366286F"/>
    <w:rsid w:val="036C34DA"/>
    <w:rsid w:val="036F4D79"/>
    <w:rsid w:val="037203C5"/>
    <w:rsid w:val="03771E7F"/>
    <w:rsid w:val="037759DB"/>
    <w:rsid w:val="037A17DE"/>
    <w:rsid w:val="039C5442"/>
    <w:rsid w:val="03B279E6"/>
    <w:rsid w:val="03B44E81"/>
    <w:rsid w:val="03B64756"/>
    <w:rsid w:val="03BB1D6C"/>
    <w:rsid w:val="03BB23AC"/>
    <w:rsid w:val="03BE185C"/>
    <w:rsid w:val="03C84489"/>
    <w:rsid w:val="03C86237"/>
    <w:rsid w:val="03CF75C5"/>
    <w:rsid w:val="03E17915"/>
    <w:rsid w:val="03E868D9"/>
    <w:rsid w:val="03EA7997"/>
    <w:rsid w:val="03EE0F11"/>
    <w:rsid w:val="03F87CC6"/>
    <w:rsid w:val="03FD05D6"/>
    <w:rsid w:val="04003C23"/>
    <w:rsid w:val="040F1E36"/>
    <w:rsid w:val="04125FCD"/>
    <w:rsid w:val="04146E62"/>
    <w:rsid w:val="041741E8"/>
    <w:rsid w:val="042711AF"/>
    <w:rsid w:val="042A536C"/>
    <w:rsid w:val="04352076"/>
    <w:rsid w:val="04471852"/>
    <w:rsid w:val="044C5F8B"/>
    <w:rsid w:val="04601D6A"/>
    <w:rsid w:val="046248DD"/>
    <w:rsid w:val="0462603D"/>
    <w:rsid w:val="04653610"/>
    <w:rsid w:val="046B42E1"/>
    <w:rsid w:val="046C12B8"/>
    <w:rsid w:val="04763EE5"/>
    <w:rsid w:val="04814D63"/>
    <w:rsid w:val="04846602"/>
    <w:rsid w:val="048D195A"/>
    <w:rsid w:val="048E122E"/>
    <w:rsid w:val="04926F71"/>
    <w:rsid w:val="04934A97"/>
    <w:rsid w:val="0494610D"/>
    <w:rsid w:val="04982B21"/>
    <w:rsid w:val="04991296"/>
    <w:rsid w:val="04B05649"/>
    <w:rsid w:val="04B14F1D"/>
    <w:rsid w:val="04C035DB"/>
    <w:rsid w:val="04C40660"/>
    <w:rsid w:val="04CF69F1"/>
    <w:rsid w:val="04D07A99"/>
    <w:rsid w:val="04D10807"/>
    <w:rsid w:val="04D550AF"/>
    <w:rsid w:val="04D56E5D"/>
    <w:rsid w:val="04D70530"/>
    <w:rsid w:val="04E452F2"/>
    <w:rsid w:val="04E6106A"/>
    <w:rsid w:val="04EF43C3"/>
    <w:rsid w:val="04F574FF"/>
    <w:rsid w:val="04F75026"/>
    <w:rsid w:val="04F82B4C"/>
    <w:rsid w:val="0501370E"/>
    <w:rsid w:val="05047743"/>
    <w:rsid w:val="051C683A"/>
    <w:rsid w:val="05295E06"/>
    <w:rsid w:val="0532605E"/>
    <w:rsid w:val="053718C6"/>
    <w:rsid w:val="054933A7"/>
    <w:rsid w:val="055406CA"/>
    <w:rsid w:val="05547CA7"/>
    <w:rsid w:val="056703FD"/>
    <w:rsid w:val="056A4671"/>
    <w:rsid w:val="057523EE"/>
    <w:rsid w:val="057C552B"/>
    <w:rsid w:val="058B2628"/>
    <w:rsid w:val="058F29B1"/>
    <w:rsid w:val="0591547A"/>
    <w:rsid w:val="05940AC6"/>
    <w:rsid w:val="05993AE7"/>
    <w:rsid w:val="059D0313"/>
    <w:rsid w:val="05A30D0A"/>
    <w:rsid w:val="05A607FA"/>
    <w:rsid w:val="05A83628"/>
    <w:rsid w:val="05AA2098"/>
    <w:rsid w:val="05B11678"/>
    <w:rsid w:val="05B13426"/>
    <w:rsid w:val="05B80C59"/>
    <w:rsid w:val="05C217CC"/>
    <w:rsid w:val="05C37B32"/>
    <w:rsid w:val="05C71188"/>
    <w:rsid w:val="05D86EA4"/>
    <w:rsid w:val="05EB3940"/>
    <w:rsid w:val="05EC4C3F"/>
    <w:rsid w:val="05F11A75"/>
    <w:rsid w:val="05F429BC"/>
    <w:rsid w:val="05F86E6F"/>
    <w:rsid w:val="06113EC5"/>
    <w:rsid w:val="061E4834"/>
    <w:rsid w:val="06210D11"/>
    <w:rsid w:val="0623356C"/>
    <w:rsid w:val="06257970"/>
    <w:rsid w:val="062736E9"/>
    <w:rsid w:val="0636214C"/>
    <w:rsid w:val="06383B48"/>
    <w:rsid w:val="06386398"/>
    <w:rsid w:val="063D2F0C"/>
    <w:rsid w:val="063E0A32"/>
    <w:rsid w:val="063F4ED6"/>
    <w:rsid w:val="06450013"/>
    <w:rsid w:val="06471FDD"/>
    <w:rsid w:val="065D710A"/>
    <w:rsid w:val="06654211"/>
    <w:rsid w:val="066761DB"/>
    <w:rsid w:val="06703003"/>
    <w:rsid w:val="06782196"/>
    <w:rsid w:val="067B3A34"/>
    <w:rsid w:val="067C1B47"/>
    <w:rsid w:val="067C50E0"/>
    <w:rsid w:val="068965D5"/>
    <w:rsid w:val="068B6787"/>
    <w:rsid w:val="06913258"/>
    <w:rsid w:val="0696086E"/>
    <w:rsid w:val="06A64F55"/>
    <w:rsid w:val="06AB60C8"/>
    <w:rsid w:val="06AC0092"/>
    <w:rsid w:val="06B86FCA"/>
    <w:rsid w:val="06BD1E8C"/>
    <w:rsid w:val="06BD5DFB"/>
    <w:rsid w:val="06D01FD2"/>
    <w:rsid w:val="06D21BAA"/>
    <w:rsid w:val="06DA4BFF"/>
    <w:rsid w:val="06DC2725"/>
    <w:rsid w:val="06E33E73"/>
    <w:rsid w:val="06F10F7B"/>
    <w:rsid w:val="06F7130D"/>
    <w:rsid w:val="07016FBD"/>
    <w:rsid w:val="07041C7C"/>
    <w:rsid w:val="07091040"/>
    <w:rsid w:val="070D6D82"/>
    <w:rsid w:val="070D6E84"/>
    <w:rsid w:val="07100621"/>
    <w:rsid w:val="07195727"/>
    <w:rsid w:val="071A324D"/>
    <w:rsid w:val="072510C4"/>
    <w:rsid w:val="072E0AA7"/>
    <w:rsid w:val="073B6A3E"/>
    <w:rsid w:val="073E518E"/>
    <w:rsid w:val="07416A2C"/>
    <w:rsid w:val="07483930"/>
    <w:rsid w:val="07491CD5"/>
    <w:rsid w:val="074C0E53"/>
    <w:rsid w:val="074D2288"/>
    <w:rsid w:val="07523500"/>
    <w:rsid w:val="0757624F"/>
    <w:rsid w:val="075A3457"/>
    <w:rsid w:val="075E433E"/>
    <w:rsid w:val="076369A2"/>
    <w:rsid w:val="07691ADF"/>
    <w:rsid w:val="076E4620"/>
    <w:rsid w:val="076F18E3"/>
    <w:rsid w:val="077A3CEC"/>
    <w:rsid w:val="077C1812"/>
    <w:rsid w:val="07832BA1"/>
    <w:rsid w:val="07886409"/>
    <w:rsid w:val="078A2181"/>
    <w:rsid w:val="07967A89"/>
    <w:rsid w:val="079B4950"/>
    <w:rsid w:val="07A70F85"/>
    <w:rsid w:val="07AF43CA"/>
    <w:rsid w:val="07B94814"/>
    <w:rsid w:val="07BA06BE"/>
    <w:rsid w:val="07C733D5"/>
    <w:rsid w:val="07C80EFB"/>
    <w:rsid w:val="07CC279A"/>
    <w:rsid w:val="07D433FC"/>
    <w:rsid w:val="07D96C64"/>
    <w:rsid w:val="07DE0EBE"/>
    <w:rsid w:val="07E07FF3"/>
    <w:rsid w:val="07E8334B"/>
    <w:rsid w:val="07EA2C20"/>
    <w:rsid w:val="07F17513"/>
    <w:rsid w:val="07F67816"/>
    <w:rsid w:val="07F7358F"/>
    <w:rsid w:val="07FA2989"/>
    <w:rsid w:val="0803371E"/>
    <w:rsid w:val="08053EFD"/>
    <w:rsid w:val="080A1B76"/>
    <w:rsid w:val="080C0DE8"/>
    <w:rsid w:val="081C4DA3"/>
    <w:rsid w:val="08222CA6"/>
    <w:rsid w:val="08256BE2"/>
    <w:rsid w:val="082A74C0"/>
    <w:rsid w:val="082E5202"/>
    <w:rsid w:val="083640B7"/>
    <w:rsid w:val="08397703"/>
    <w:rsid w:val="083E11BD"/>
    <w:rsid w:val="08536A17"/>
    <w:rsid w:val="0854453D"/>
    <w:rsid w:val="085C2FC2"/>
    <w:rsid w:val="085F360E"/>
    <w:rsid w:val="08640C24"/>
    <w:rsid w:val="087B41C0"/>
    <w:rsid w:val="08800C7C"/>
    <w:rsid w:val="08840D3E"/>
    <w:rsid w:val="08843074"/>
    <w:rsid w:val="088766C0"/>
    <w:rsid w:val="08901A19"/>
    <w:rsid w:val="089B03BE"/>
    <w:rsid w:val="089F0192"/>
    <w:rsid w:val="08A96637"/>
    <w:rsid w:val="08B576D2"/>
    <w:rsid w:val="08BD0334"/>
    <w:rsid w:val="08C17691"/>
    <w:rsid w:val="08C44A90"/>
    <w:rsid w:val="08DA0EE6"/>
    <w:rsid w:val="08DF02AB"/>
    <w:rsid w:val="08DF591E"/>
    <w:rsid w:val="08F161BC"/>
    <w:rsid w:val="08F2252A"/>
    <w:rsid w:val="08F37FEB"/>
    <w:rsid w:val="09002EF6"/>
    <w:rsid w:val="090728DE"/>
    <w:rsid w:val="090D306A"/>
    <w:rsid w:val="091323EF"/>
    <w:rsid w:val="0913264A"/>
    <w:rsid w:val="091343F8"/>
    <w:rsid w:val="091D7025"/>
    <w:rsid w:val="091F7B45"/>
    <w:rsid w:val="09265ED9"/>
    <w:rsid w:val="09303D43"/>
    <w:rsid w:val="09420839"/>
    <w:rsid w:val="09436A8B"/>
    <w:rsid w:val="09442803"/>
    <w:rsid w:val="09552F0C"/>
    <w:rsid w:val="095F13EB"/>
    <w:rsid w:val="0960344D"/>
    <w:rsid w:val="097A6225"/>
    <w:rsid w:val="097F5A20"/>
    <w:rsid w:val="09864BCA"/>
    <w:rsid w:val="098A1833"/>
    <w:rsid w:val="09945539"/>
    <w:rsid w:val="0995730B"/>
    <w:rsid w:val="09975029"/>
    <w:rsid w:val="099D39BD"/>
    <w:rsid w:val="09A908B8"/>
    <w:rsid w:val="09A90B64"/>
    <w:rsid w:val="09B17E88"/>
    <w:rsid w:val="09B74C81"/>
    <w:rsid w:val="09C53944"/>
    <w:rsid w:val="09CB4CD3"/>
    <w:rsid w:val="09CF6571"/>
    <w:rsid w:val="09D75426"/>
    <w:rsid w:val="09E813E1"/>
    <w:rsid w:val="09F14739"/>
    <w:rsid w:val="09F63AFE"/>
    <w:rsid w:val="09F67FE5"/>
    <w:rsid w:val="0A002BCE"/>
    <w:rsid w:val="0A01005E"/>
    <w:rsid w:val="0A03621B"/>
    <w:rsid w:val="0A065003"/>
    <w:rsid w:val="0A0D0E47"/>
    <w:rsid w:val="0A0F2E11"/>
    <w:rsid w:val="0A0F696E"/>
    <w:rsid w:val="0A20038D"/>
    <w:rsid w:val="0A206DCD"/>
    <w:rsid w:val="0A3463D4"/>
    <w:rsid w:val="0A544CC8"/>
    <w:rsid w:val="0A5771F6"/>
    <w:rsid w:val="0A5927C6"/>
    <w:rsid w:val="0A5F5B47"/>
    <w:rsid w:val="0A6767AA"/>
    <w:rsid w:val="0A690774"/>
    <w:rsid w:val="0A71587A"/>
    <w:rsid w:val="0A7D7D7B"/>
    <w:rsid w:val="0A85794D"/>
    <w:rsid w:val="0A8A4E3C"/>
    <w:rsid w:val="0A91533A"/>
    <w:rsid w:val="0A984BB5"/>
    <w:rsid w:val="0AA52E8C"/>
    <w:rsid w:val="0AA64BFD"/>
    <w:rsid w:val="0AA862BE"/>
    <w:rsid w:val="0AB3379D"/>
    <w:rsid w:val="0ACB4F8A"/>
    <w:rsid w:val="0AD40704"/>
    <w:rsid w:val="0AFB3396"/>
    <w:rsid w:val="0B057D70"/>
    <w:rsid w:val="0B1701D0"/>
    <w:rsid w:val="0B1A2C6E"/>
    <w:rsid w:val="0B212DFC"/>
    <w:rsid w:val="0B264B83"/>
    <w:rsid w:val="0B2662C4"/>
    <w:rsid w:val="0B2E5F16"/>
    <w:rsid w:val="0B3D575C"/>
    <w:rsid w:val="0B464611"/>
    <w:rsid w:val="0B492353"/>
    <w:rsid w:val="0B4B7E79"/>
    <w:rsid w:val="0B4E1717"/>
    <w:rsid w:val="0B582596"/>
    <w:rsid w:val="0B6B051B"/>
    <w:rsid w:val="0B7218AA"/>
    <w:rsid w:val="0B7F5D75"/>
    <w:rsid w:val="0B884C29"/>
    <w:rsid w:val="0B996E37"/>
    <w:rsid w:val="0B9D4CB5"/>
    <w:rsid w:val="0B9F6D1F"/>
    <w:rsid w:val="0BA80E28"/>
    <w:rsid w:val="0BAA662D"/>
    <w:rsid w:val="0BAB6B6A"/>
    <w:rsid w:val="0BAD28E2"/>
    <w:rsid w:val="0BAE0408"/>
    <w:rsid w:val="0BB35A1E"/>
    <w:rsid w:val="0BBD2B5E"/>
    <w:rsid w:val="0BC12B31"/>
    <w:rsid w:val="0BC55E7E"/>
    <w:rsid w:val="0BC73F17"/>
    <w:rsid w:val="0BD240F7"/>
    <w:rsid w:val="0BDB52FF"/>
    <w:rsid w:val="0BDC4F75"/>
    <w:rsid w:val="0BEA2263"/>
    <w:rsid w:val="0BEB171A"/>
    <w:rsid w:val="0BEC359B"/>
    <w:rsid w:val="0BEE0687"/>
    <w:rsid w:val="0BF42BC2"/>
    <w:rsid w:val="0BF57DE5"/>
    <w:rsid w:val="0BF909FB"/>
    <w:rsid w:val="0BF91683"/>
    <w:rsid w:val="0C053F3F"/>
    <w:rsid w:val="0C1446DA"/>
    <w:rsid w:val="0C177D5B"/>
    <w:rsid w:val="0C1C2E6D"/>
    <w:rsid w:val="0C1D1A5F"/>
    <w:rsid w:val="0C1E0A6B"/>
    <w:rsid w:val="0C234952"/>
    <w:rsid w:val="0C252478"/>
    <w:rsid w:val="0C2B1A59"/>
    <w:rsid w:val="0C324B95"/>
    <w:rsid w:val="0C3703FE"/>
    <w:rsid w:val="0C3B1C9C"/>
    <w:rsid w:val="0C3B7EEE"/>
    <w:rsid w:val="0C424FD1"/>
    <w:rsid w:val="0C4843B9"/>
    <w:rsid w:val="0C4B11C9"/>
    <w:rsid w:val="0C62191E"/>
    <w:rsid w:val="0C637445"/>
    <w:rsid w:val="0C670CE3"/>
    <w:rsid w:val="0C672CC9"/>
    <w:rsid w:val="0C673F81"/>
    <w:rsid w:val="0C684A5B"/>
    <w:rsid w:val="0C6D2071"/>
    <w:rsid w:val="0C760F26"/>
    <w:rsid w:val="0C832815"/>
    <w:rsid w:val="0C833643"/>
    <w:rsid w:val="0C84135A"/>
    <w:rsid w:val="0C8A2C23"/>
    <w:rsid w:val="0C8C699B"/>
    <w:rsid w:val="0C8E0BA6"/>
    <w:rsid w:val="0C8F1FE8"/>
    <w:rsid w:val="0C9413AC"/>
    <w:rsid w:val="0C9950B0"/>
    <w:rsid w:val="0CA13DC5"/>
    <w:rsid w:val="0CA37841"/>
    <w:rsid w:val="0CB90E13"/>
    <w:rsid w:val="0CBC1381"/>
    <w:rsid w:val="0CD262FD"/>
    <w:rsid w:val="0CD30126"/>
    <w:rsid w:val="0CD345CA"/>
    <w:rsid w:val="0CDB522D"/>
    <w:rsid w:val="0CE048A7"/>
    <w:rsid w:val="0CE20369"/>
    <w:rsid w:val="0CEB1914"/>
    <w:rsid w:val="0CF45AAD"/>
    <w:rsid w:val="0D002EE5"/>
    <w:rsid w:val="0D033E95"/>
    <w:rsid w:val="0D0C188A"/>
    <w:rsid w:val="0D146881"/>
    <w:rsid w:val="0D1F511A"/>
    <w:rsid w:val="0D307327"/>
    <w:rsid w:val="0D3F3A0E"/>
    <w:rsid w:val="0D3F57BC"/>
    <w:rsid w:val="0D406A75"/>
    <w:rsid w:val="0D447276"/>
    <w:rsid w:val="0D450893"/>
    <w:rsid w:val="0D462D5E"/>
    <w:rsid w:val="0D6276FC"/>
    <w:rsid w:val="0D6B65B1"/>
    <w:rsid w:val="0D714374"/>
    <w:rsid w:val="0D7A4A46"/>
    <w:rsid w:val="0D7F205C"/>
    <w:rsid w:val="0D810CF2"/>
    <w:rsid w:val="0D811A27"/>
    <w:rsid w:val="0D8B27AF"/>
    <w:rsid w:val="0D8B6C53"/>
    <w:rsid w:val="0D8E0654"/>
    <w:rsid w:val="0D9553DC"/>
    <w:rsid w:val="0D967279"/>
    <w:rsid w:val="0D9918E3"/>
    <w:rsid w:val="0D9C2C0E"/>
    <w:rsid w:val="0DA815B3"/>
    <w:rsid w:val="0DA846A1"/>
    <w:rsid w:val="0DAD6BC9"/>
    <w:rsid w:val="0DB717F6"/>
    <w:rsid w:val="0DC363ED"/>
    <w:rsid w:val="0DC911D8"/>
    <w:rsid w:val="0DCC24B6"/>
    <w:rsid w:val="0DD57ECE"/>
    <w:rsid w:val="0DE545B5"/>
    <w:rsid w:val="0DE85960"/>
    <w:rsid w:val="0DEB14A0"/>
    <w:rsid w:val="0DEB5B62"/>
    <w:rsid w:val="0DFE11D3"/>
    <w:rsid w:val="0DFE74E5"/>
    <w:rsid w:val="0E06452B"/>
    <w:rsid w:val="0E064F10"/>
    <w:rsid w:val="0E124BC8"/>
    <w:rsid w:val="0E172E1A"/>
    <w:rsid w:val="0E1F2F02"/>
    <w:rsid w:val="0E2F75DE"/>
    <w:rsid w:val="0E353495"/>
    <w:rsid w:val="0E39045D"/>
    <w:rsid w:val="0E3F3599"/>
    <w:rsid w:val="0E4868F2"/>
    <w:rsid w:val="0E550A45"/>
    <w:rsid w:val="0E707BF7"/>
    <w:rsid w:val="0E715E49"/>
    <w:rsid w:val="0E753703"/>
    <w:rsid w:val="0E7616B1"/>
    <w:rsid w:val="0E7F7B0E"/>
    <w:rsid w:val="0E925DBF"/>
    <w:rsid w:val="0E9D4E90"/>
    <w:rsid w:val="0EA068E5"/>
    <w:rsid w:val="0EBE4E06"/>
    <w:rsid w:val="0ED01515"/>
    <w:rsid w:val="0EDF7256"/>
    <w:rsid w:val="0EE04D7C"/>
    <w:rsid w:val="0EF6634E"/>
    <w:rsid w:val="0EFC19C0"/>
    <w:rsid w:val="0EFF16A6"/>
    <w:rsid w:val="0F0415AF"/>
    <w:rsid w:val="0F0A004B"/>
    <w:rsid w:val="0F0A6605"/>
    <w:rsid w:val="0F1121FC"/>
    <w:rsid w:val="0F124079"/>
    <w:rsid w:val="0F1435CD"/>
    <w:rsid w:val="0F144BE2"/>
    <w:rsid w:val="0F16079E"/>
    <w:rsid w:val="0F1A64E0"/>
    <w:rsid w:val="0F270583"/>
    <w:rsid w:val="0F272A69"/>
    <w:rsid w:val="0F3330FE"/>
    <w:rsid w:val="0F354CA9"/>
    <w:rsid w:val="0F394AB2"/>
    <w:rsid w:val="0F3D7D45"/>
    <w:rsid w:val="0F501F02"/>
    <w:rsid w:val="0F515C7A"/>
    <w:rsid w:val="0F553938"/>
    <w:rsid w:val="0F6C6610"/>
    <w:rsid w:val="0F751969"/>
    <w:rsid w:val="0F7754E4"/>
    <w:rsid w:val="0F7756E1"/>
    <w:rsid w:val="0F783207"/>
    <w:rsid w:val="0F786D63"/>
    <w:rsid w:val="0F7A0D2D"/>
    <w:rsid w:val="0F7D6A6F"/>
    <w:rsid w:val="0F846FC0"/>
    <w:rsid w:val="0F8B2F3A"/>
    <w:rsid w:val="0F955B67"/>
    <w:rsid w:val="0FA61B22"/>
    <w:rsid w:val="0FA77648"/>
    <w:rsid w:val="0FAA63DA"/>
    <w:rsid w:val="0FAB0EE6"/>
    <w:rsid w:val="0FB00BF3"/>
    <w:rsid w:val="0FC54C0F"/>
    <w:rsid w:val="0FCC70AF"/>
    <w:rsid w:val="0FD146C5"/>
    <w:rsid w:val="0FD77F2D"/>
    <w:rsid w:val="0FD83CA6"/>
    <w:rsid w:val="0FE20680"/>
    <w:rsid w:val="0FE32D76"/>
    <w:rsid w:val="0FE34E6D"/>
    <w:rsid w:val="0FE91A0F"/>
    <w:rsid w:val="0FEF171B"/>
    <w:rsid w:val="0FF149DF"/>
    <w:rsid w:val="0FF7412C"/>
    <w:rsid w:val="0FFD54BA"/>
    <w:rsid w:val="10014FAA"/>
    <w:rsid w:val="100D394F"/>
    <w:rsid w:val="100D681E"/>
    <w:rsid w:val="101822F4"/>
    <w:rsid w:val="10196798"/>
    <w:rsid w:val="101F18D4"/>
    <w:rsid w:val="1021564D"/>
    <w:rsid w:val="102A536F"/>
    <w:rsid w:val="102E6B3D"/>
    <w:rsid w:val="10307259"/>
    <w:rsid w:val="1034712E"/>
    <w:rsid w:val="103A04BC"/>
    <w:rsid w:val="103C2486"/>
    <w:rsid w:val="10433815"/>
    <w:rsid w:val="10482BD9"/>
    <w:rsid w:val="105570A4"/>
    <w:rsid w:val="105769DE"/>
    <w:rsid w:val="106317C1"/>
    <w:rsid w:val="106519DD"/>
    <w:rsid w:val="10675755"/>
    <w:rsid w:val="107B59E5"/>
    <w:rsid w:val="108005C5"/>
    <w:rsid w:val="108256F2"/>
    <w:rsid w:val="108F6A5A"/>
    <w:rsid w:val="109B13F1"/>
    <w:rsid w:val="109B779B"/>
    <w:rsid w:val="10AC0666"/>
    <w:rsid w:val="10B262A5"/>
    <w:rsid w:val="10BB15FD"/>
    <w:rsid w:val="10BD79F7"/>
    <w:rsid w:val="10C34956"/>
    <w:rsid w:val="10C36704"/>
    <w:rsid w:val="10C761F4"/>
    <w:rsid w:val="10C83D1A"/>
    <w:rsid w:val="10CA03BA"/>
    <w:rsid w:val="10D053A3"/>
    <w:rsid w:val="10D06B4C"/>
    <w:rsid w:val="10D17073"/>
    <w:rsid w:val="10DB1C9F"/>
    <w:rsid w:val="10DB57FB"/>
    <w:rsid w:val="10DE52EC"/>
    <w:rsid w:val="10EF12A7"/>
    <w:rsid w:val="10F0323E"/>
    <w:rsid w:val="10F44B0F"/>
    <w:rsid w:val="10FC7C66"/>
    <w:rsid w:val="1111121D"/>
    <w:rsid w:val="111156C1"/>
    <w:rsid w:val="11162CD7"/>
    <w:rsid w:val="11194576"/>
    <w:rsid w:val="111A5379"/>
    <w:rsid w:val="111D59EE"/>
    <w:rsid w:val="111D5D5A"/>
    <w:rsid w:val="1124023D"/>
    <w:rsid w:val="112544CB"/>
    <w:rsid w:val="11254AAD"/>
    <w:rsid w:val="113D35D8"/>
    <w:rsid w:val="113E3458"/>
    <w:rsid w:val="11457119"/>
    <w:rsid w:val="114A2981"/>
    <w:rsid w:val="1154735C"/>
    <w:rsid w:val="115501C7"/>
    <w:rsid w:val="115A177E"/>
    <w:rsid w:val="117A1BED"/>
    <w:rsid w:val="118440E5"/>
    <w:rsid w:val="118B7221"/>
    <w:rsid w:val="11B81FE1"/>
    <w:rsid w:val="11BF511D"/>
    <w:rsid w:val="11BF6ECB"/>
    <w:rsid w:val="11DE2F5E"/>
    <w:rsid w:val="11E319E8"/>
    <w:rsid w:val="11E52CF7"/>
    <w:rsid w:val="11F254F3"/>
    <w:rsid w:val="11FA7F03"/>
    <w:rsid w:val="11FF551A"/>
    <w:rsid w:val="120174E4"/>
    <w:rsid w:val="12062478"/>
    <w:rsid w:val="12064AFA"/>
    <w:rsid w:val="120B0362"/>
    <w:rsid w:val="120C7C36"/>
    <w:rsid w:val="120D40DA"/>
    <w:rsid w:val="1211524D"/>
    <w:rsid w:val="12137217"/>
    <w:rsid w:val="12180BBD"/>
    <w:rsid w:val="121A73FA"/>
    <w:rsid w:val="122136E2"/>
    <w:rsid w:val="122B630F"/>
    <w:rsid w:val="12354002"/>
    <w:rsid w:val="12366443"/>
    <w:rsid w:val="124A6E0E"/>
    <w:rsid w:val="124A70DD"/>
    <w:rsid w:val="124C0DF9"/>
    <w:rsid w:val="124D44D7"/>
    <w:rsid w:val="125D0492"/>
    <w:rsid w:val="126D3BD7"/>
    <w:rsid w:val="12751C80"/>
    <w:rsid w:val="12767A99"/>
    <w:rsid w:val="127A4E8F"/>
    <w:rsid w:val="127C4DBC"/>
    <w:rsid w:val="12913EC6"/>
    <w:rsid w:val="12993BC0"/>
    <w:rsid w:val="12B24C82"/>
    <w:rsid w:val="12B502CE"/>
    <w:rsid w:val="12B94205"/>
    <w:rsid w:val="12B96010"/>
    <w:rsid w:val="12C16C73"/>
    <w:rsid w:val="12CC5D44"/>
    <w:rsid w:val="12CD386A"/>
    <w:rsid w:val="12D40754"/>
    <w:rsid w:val="12D90460"/>
    <w:rsid w:val="12DA1AE3"/>
    <w:rsid w:val="12E1661A"/>
    <w:rsid w:val="12E666D9"/>
    <w:rsid w:val="12EE2CBB"/>
    <w:rsid w:val="12F62DC0"/>
    <w:rsid w:val="12F64D28"/>
    <w:rsid w:val="12F9283C"/>
    <w:rsid w:val="12F9465F"/>
    <w:rsid w:val="12FD414F"/>
    <w:rsid w:val="130628D8"/>
    <w:rsid w:val="1312127D"/>
    <w:rsid w:val="131345F6"/>
    <w:rsid w:val="1319085D"/>
    <w:rsid w:val="13192BB3"/>
    <w:rsid w:val="131B16E4"/>
    <w:rsid w:val="13201BEB"/>
    <w:rsid w:val="13217712"/>
    <w:rsid w:val="132D4308"/>
    <w:rsid w:val="13333E5F"/>
    <w:rsid w:val="133C752B"/>
    <w:rsid w:val="134A6C68"/>
    <w:rsid w:val="134F0723"/>
    <w:rsid w:val="135950FD"/>
    <w:rsid w:val="135E0C4A"/>
    <w:rsid w:val="135E44C2"/>
    <w:rsid w:val="1360023A"/>
    <w:rsid w:val="13673B1E"/>
    <w:rsid w:val="136A7FCD"/>
    <w:rsid w:val="137B1518"/>
    <w:rsid w:val="137E05D5"/>
    <w:rsid w:val="137F4B64"/>
    <w:rsid w:val="13845891"/>
    <w:rsid w:val="13853D9C"/>
    <w:rsid w:val="13911829"/>
    <w:rsid w:val="139530F9"/>
    <w:rsid w:val="13954387"/>
    <w:rsid w:val="139A4983"/>
    <w:rsid w:val="139D148E"/>
    <w:rsid w:val="139E41CE"/>
    <w:rsid w:val="139F6FB4"/>
    <w:rsid w:val="13A46379"/>
    <w:rsid w:val="13A740BB"/>
    <w:rsid w:val="13BA2040"/>
    <w:rsid w:val="13BB36C2"/>
    <w:rsid w:val="13C22CA3"/>
    <w:rsid w:val="13C50D8E"/>
    <w:rsid w:val="13D03611"/>
    <w:rsid w:val="13D425A7"/>
    <w:rsid w:val="13E175CD"/>
    <w:rsid w:val="13FB4994"/>
    <w:rsid w:val="13FD017F"/>
    <w:rsid w:val="14040CF5"/>
    <w:rsid w:val="14186D67"/>
    <w:rsid w:val="141D41B0"/>
    <w:rsid w:val="14273AF2"/>
    <w:rsid w:val="14281A18"/>
    <w:rsid w:val="142A5125"/>
    <w:rsid w:val="143E4A1F"/>
    <w:rsid w:val="14411E19"/>
    <w:rsid w:val="14467430"/>
    <w:rsid w:val="14504752"/>
    <w:rsid w:val="145351FC"/>
    <w:rsid w:val="14691370"/>
    <w:rsid w:val="146A2969"/>
    <w:rsid w:val="146D2C0E"/>
    <w:rsid w:val="1471031F"/>
    <w:rsid w:val="147676E1"/>
    <w:rsid w:val="14791424"/>
    <w:rsid w:val="14832432"/>
    <w:rsid w:val="1485084F"/>
    <w:rsid w:val="148F6CB8"/>
    <w:rsid w:val="1490549F"/>
    <w:rsid w:val="14952165"/>
    <w:rsid w:val="14977C8B"/>
    <w:rsid w:val="149C1746"/>
    <w:rsid w:val="14A34882"/>
    <w:rsid w:val="14AD3953"/>
    <w:rsid w:val="14AD74AF"/>
    <w:rsid w:val="14B32638"/>
    <w:rsid w:val="14B7032D"/>
    <w:rsid w:val="14BC5944"/>
    <w:rsid w:val="14C33176"/>
    <w:rsid w:val="14C60571"/>
    <w:rsid w:val="14CD5DA3"/>
    <w:rsid w:val="14CF4495"/>
    <w:rsid w:val="14D07641"/>
    <w:rsid w:val="14E07884"/>
    <w:rsid w:val="14E1184E"/>
    <w:rsid w:val="14E35883"/>
    <w:rsid w:val="14E530ED"/>
    <w:rsid w:val="14E60C13"/>
    <w:rsid w:val="14E7655D"/>
    <w:rsid w:val="14EE644B"/>
    <w:rsid w:val="14F1166B"/>
    <w:rsid w:val="14FB646C"/>
    <w:rsid w:val="150177FB"/>
    <w:rsid w:val="15044AF8"/>
    <w:rsid w:val="151B08BC"/>
    <w:rsid w:val="152534E9"/>
    <w:rsid w:val="15267261"/>
    <w:rsid w:val="152754B3"/>
    <w:rsid w:val="152F4368"/>
    <w:rsid w:val="153E27FD"/>
    <w:rsid w:val="15406575"/>
    <w:rsid w:val="15436065"/>
    <w:rsid w:val="154A73F4"/>
    <w:rsid w:val="155618F4"/>
    <w:rsid w:val="155838BF"/>
    <w:rsid w:val="155C2C83"/>
    <w:rsid w:val="155C3CBE"/>
    <w:rsid w:val="156C1118"/>
    <w:rsid w:val="157306F8"/>
    <w:rsid w:val="15763D45"/>
    <w:rsid w:val="15791A87"/>
    <w:rsid w:val="157E0E4B"/>
    <w:rsid w:val="15804BC3"/>
    <w:rsid w:val="158259D8"/>
    <w:rsid w:val="15842DD8"/>
    <w:rsid w:val="158E5532"/>
    <w:rsid w:val="158F3058"/>
    <w:rsid w:val="15916DD0"/>
    <w:rsid w:val="15926908"/>
    <w:rsid w:val="159C47CF"/>
    <w:rsid w:val="15A105F5"/>
    <w:rsid w:val="15A4110E"/>
    <w:rsid w:val="15A5233F"/>
    <w:rsid w:val="15B50D11"/>
    <w:rsid w:val="15D46CBD"/>
    <w:rsid w:val="15D83496"/>
    <w:rsid w:val="15DE18EA"/>
    <w:rsid w:val="15E92769"/>
    <w:rsid w:val="15EE77FF"/>
    <w:rsid w:val="15F335E7"/>
    <w:rsid w:val="160752E5"/>
    <w:rsid w:val="160C28FB"/>
    <w:rsid w:val="160E1E79"/>
    <w:rsid w:val="161A0B74"/>
    <w:rsid w:val="161B13E4"/>
    <w:rsid w:val="16290DB7"/>
    <w:rsid w:val="163C6D3C"/>
    <w:rsid w:val="163F661D"/>
    <w:rsid w:val="16571DC8"/>
    <w:rsid w:val="165B4EA8"/>
    <w:rsid w:val="165D633E"/>
    <w:rsid w:val="165E3157"/>
    <w:rsid w:val="166167A3"/>
    <w:rsid w:val="16695FEE"/>
    <w:rsid w:val="167069E6"/>
    <w:rsid w:val="1672275E"/>
    <w:rsid w:val="168E3310"/>
    <w:rsid w:val="16907088"/>
    <w:rsid w:val="16930926"/>
    <w:rsid w:val="169E17A5"/>
    <w:rsid w:val="169F376F"/>
    <w:rsid w:val="16A50D85"/>
    <w:rsid w:val="16AC39B5"/>
    <w:rsid w:val="16B32D77"/>
    <w:rsid w:val="16B56AEF"/>
    <w:rsid w:val="16DC22CD"/>
    <w:rsid w:val="16DE1BA1"/>
    <w:rsid w:val="16E15B36"/>
    <w:rsid w:val="16E41182"/>
    <w:rsid w:val="16E970DD"/>
    <w:rsid w:val="16EE7E2B"/>
    <w:rsid w:val="16F07B27"/>
    <w:rsid w:val="16F14633"/>
    <w:rsid w:val="16F2389F"/>
    <w:rsid w:val="16F75359"/>
    <w:rsid w:val="16FA2753"/>
    <w:rsid w:val="17081314"/>
    <w:rsid w:val="17092375"/>
    <w:rsid w:val="17101F77"/>
    <w:rsid w:val="17103D25"/>
    <w:rsid w:val="171A4BA4"/>
    <w:rsid w:val="171C3DAD"/>
    <w:rsid w:val="17244882"/>
    <w:rsid w:val="173A4718"/>
    <w:rsid w:val="173E61CA"/>
    <w:rsid w:val="17427E0B"/>
    <w:rsid w:val="174340FA"/>
    <w:rsid w:val="17487963"/>
    <w:rsid w:val="174F5D45"/>
    <w:rsid w:val="17554800"/>
    <w:rsid w:val="175C2E16"/>
    <w:rsid w:val="175C51BC"/>
    <w:rsid w:val="17606B7B"/>
    <w:rsid w:val="17667DE9"/>
    <w:rsid w:val="178D35C8"/>
    <w:rsid w:val="178F5592"/>
    <w:rsid w:val="17942BA8"/>
    <w:rsid w:val="179606CE"/>
    <w:rsid w:val="17A76437"/>
    <w:rsid w:val="17A96653"/>
    <w:rsid w:val="17AA23CB"/>
    <w:rsid w:val="17B84AE8"/>
    <w:rsid w:val="17C16C1E"/>
    <w:rsid w:val="17C36FE9"/>
    <w:rsid w:val="17C84600"/>
    <w:rsid w:val="17D363F7"/>
    <w:rsid w:val="17D80A18"/>
    <w:rsid w:val="17E56F60"/>
    <w:rsid w:val="17F17FFA"/>
    <w:rsid w:val="17F378CF"/>
    <w:rsid w:val="17F65611"/>
    <w:rsid w:val="180429EE"/>
    <w:rsid w:val="18061116"/>
    <w:rsid w:val="180C3847"/>
    <w:rsid w:val="182B589C"/>
    <w:rsid w:val="182E6B59"/>
    <w:rsid w:val="18322A41"/>
    <w:rsid w:val="1844012A"/>
    <w:rsid w:val="184E2D57"/>
    <w:rsid w:val="18512847"/>
    <w:rsid w:val="18552337"/>
    <w:rsid w:val="185540E5"/>
    <w:rsid w:val="18561C0B"/>
    <w:rsid w:val="186B1B5B"/>
    <w:rsid w:val="187D188E"/>
    <w:rsid w:val="187F4775"/>
    <w:rsid w:val="187F73B4"/>
    <w:rsid w:val="18846779"/>
    <w:rsid w:val="18876269"/>
    <w:rsid w:val="18934C0E"/>
    <w:rsid w:val="18950986"/>
    <w:rsid w:val="189664AC"/>
    <w:rsid w:val="189866C8"/>
    <w:rsid w:val="189A5F9C"/>
    <w:rsid w:val="18AE7C99"/>
    <w:rsid w:val="18B828C6"/>
    <w:rsid w:val="18C354F3"/>
    <w:rsid w:val="18D314AE"/>
    <w:rsid w:val="18E37A69"/>
    <w:rsid w:val="18E611E1"/>
    <w:rsid w:val="18EB43EE"/>
    <w:rsid w:val="18ED07C2"/>
    <w:rsid w:val="18F03E0E"/>
    <w:rsid w:val="18FC27B3"/>
    <w:rsid w:val="1901426D"/>
    <w:rsid w:val="19053D5D"/>
    <w:rsid w:val="19081158"/>
    <w:rsid w:val="190B0C48"/>
    <w:rsid w:val="19153875"/>
    <w:rsid w:val="191C4C03"/>
    <w:rsid w:val="191F2BA2"/>
    <w:rsid w:val="193A32DB"/>
    <w:rsid w:val="193D3EBB"/>
    <w:rsid w:val="194D74B2"/>
    <w:rsid w:val="19516FA3"/>
    <w:rsid w:val="19553A9D"/>
    <w:rsid w:val="195D6994"/>
    <w:rsid w:val="195F4104"/>
    <w:rsid w:val="197131A1"/>
    <w:rsid w:val="1971594C"/>
    <w:rsid w:val="19831126"/>
    <w:rsid w:val="19881E8B"/>
    <w:rsid w:val="19882298"/>
    <w:rsid w:val="199548B2"/>
    <w:rsid w:val="19992412"/>
    <w:rsid w:val="199D21ED"/>
    <w:rsid w:val="19AC6690"/>
    <w:rsid w:val="19B17A41"/>
    <w:rsid w:val="19CD0EB8"/>
    <w:rsid w:val="19D4436C"/>
    <w:rsid w:val="19D61256"/>
    <w:rsid w:val="19DC4392"/>
    <w:rsid w:val="19E80F89"/>
    <w:rsid w:val="19E971DB"/>
    <w:rsid w:val="1A07140F"/>
    <w:rsid w:val="1A073B05"/>
    <w:rsid w:val="1A0A54CA"/>
    <w:rsid w:val="1A0E6C42"/>
    <w:rsid w:val="1A1409D8"/>
    <w:rsid w:val="1A1F2BFD"/>
    <w:rsid w:val="1A2521DD"/>
    <w:rsid w:val="1A393593"/>
    <w:rsid w:val="1A395967"/>
    <w:rsid w:val="1A3D3083"/>
    <w:rsid w:val="1A3E4845"/>
    <w:rsid w:val="1A420B5C"/>
    <w:rsid w:val="1A432DD4"/>
    <w:rsid w:val="1A442663"/>
    <w:rsid w:val="1A46462D"/>
    <w:rsid w:val="1A4A5C7F"/>
    <w:rsid w:val="1A5328A6"/>
    <w:rsid w:val="1A5403CD"/>
    <w:rsid w:val="1A622AE9"/>
    <w:rsid w:val="1A69031C"/>
    <w:rsid w:val="1A6E5487"/>
    <w:rsid w:val="1A7016AA"/>
    <w:rsid w:val="1A725422"/>
    <w:rsid w:val="1A7647E7"/>
    <w:rsid w:val="1A7B3BAB"/>
    <w:rsid w:val="1A7F161B"/>
    <w:rsid w:val="1A8011C2"/>
    <w:rsid w:val="1A8A3DEE"/>
    <w:rsid w:val="1A8C400A"/>
    <w:rsid w:val="1AA2738A"/>
    <w:rsid w:val="1AA50C28"/>
    <w:rsid w:val="1ABC669E"/>
    <w:rsid w:val="1AC15A62"/>
    <w:rsid w:val="1AC63078"/>
    <w:rsid w:val="1AD31C39"/>
    <w:rsid w:val="1AD4308C"/>
    <w:rsid w:val="1ADA6B24"/>
    <w:rsid w:val="1ADF05DE"/>
    <w:rsid w:val="1AEE4DCF"/>
    <w:rsid w:val="1AF35B65"/>
    <w:rsid w:val="1AF42245"/>
    <w:rsid w:val="1AF45F58"/>
    <w:rsid w:val="1AF5570C"/>
    <w:rsid w:val="1AF776D6"/>
    <w:rsid w:val="1AFA4D42"/>
    <w:rsid w:val="1AFF47DC"/>
    <w:rsid w:val="1B0167A6"/>
    <w:rsid w:val="1B092048"/>
    <w:rsid w:val="1B0B7B8D"/>
    <w:rsid w:val="1B1568E3"/>
    <w:rsid w:val="1B2304CB"/>
    <w:rsid w:val="1B252495"/>
    <w:rsid w:val="1B267FBB"/>
    <w:rsid w:val="1B29190B"/>
    <w:rsid w:val="1B2E0C1E"/>
    <w:rsid w:val="1B326960"/>
    <w:rsid w:val="1B4D19EC"/>
    <w:rsid w:val="1B4D5548"/>
    <w:rsid w:val="1B55264E"/>
    <w:rsid w:val="1B5C578B"/>
    <w:rsid w:val="1B5E7755"/>
    <w:rsid w:val="1B602520"/>
    <w:rsid w:val="1B6630B8"/>
    <w:rsid w:val="1B6869AE"/>
    <w:rsid w:val="1B6B3188"/>
    <w:rsid w:val="1B6D7998"/>
    <w:rsid w:val="1B741B09"/>
    <w:rsid w:val="1B803B6F"/>
    <w:rsid w:val="1B945384"/>
    <w:rsid w:val="1BA16EE5"/>
    <w:rsid w:val="1BA67AEA"/>
    <w:rsid w:val="1BA74CB4"/>
    <w:rsid w:val="1BAA299A"/>
    <w:rsid w:val="1BB43819"/>
    <w:rsid w:val="1BBB7DC7"/>
    <w:rsid w:val="1BBE4697"/>
    <w:rsid w:val="1BC31618"/>
    <w:rsid w:val="1BC62263"/>
    <w:rsid w:val="1BCF0653"/>
    <w:rsid w:val="1BD22841"/>
    <w:rsid w:val="1BD619E1"/>
    <w:rsid w:val="1BD75223"/>
    <w:rsid w:val="1BDB0DA5"/>
    <w:rsid w:val="1BE4120F"/>
    <w:rsid w:val="1BE834C2"/>
    <w:rsid w:val="1BF530EC"/>
    <w:rsid w:val="1BFD6F6E"/>
    <w:rsid w:val="1BFE6842"/>
    <w:rsid w:val="1C024980"/>
    <w:rsid w:val="1C0C71B1"/>
    <w:rsid w:val="1C112A19"/>
    <w:rsid w:val="1C13269C"/>
    <w:rsid w:val="1C19367C"/>
    <w:rsid w:val="1C1C4F1A"/>
    <w:rsid w:val="1C1E2C0B"/>
    <w:rsid w:val="1C1E6EE4"/>
    <w:rsid w:val="1C297D63"/>
    <w:rsid w:val="1C36422E"/>
    <w:rsid w:val="1C365FDC"/>
    <w:rsid w:val="1C3E1334"/>
    <w:rsid w:val="1C5823F6"/>
    <w:rsid w:val="1C683D33"/>
    <w:rsid w:val="1C744EE3"/>
    <w:rsid w:val="1C76287C"/>
    <w:rsid w:val="1C777F77"/>
    <w:rsid w:val="1C782A98"/>
    <w:rsid w:val="1C844F99"/>
    <w:rsid w:val="1C856F63"/>
    <w:rsid w:val="1C8A4A19"/>
    <w:rsid w:val="1C8C02F2"/>
    <w:rsid w:val="1C964CCC"/>
    <w:rsid w:val="1C967BEB"/>
    <w:rsid w:val="1CA7512B"/>
    <w:rsid w:val="1CAE0268"/>
    <w:rsid w:val="1CCB2BC8"/>
    <w:rsid w:val="1CDD6D9F"/>
    <w:rsid w:val="1CE27F12"/>
    <w:rsid w:val="1CEB14BC"/>
    <w:rsid w:val="1CF35F62"/>
    <w:rsid w:val="1CFA16FF"/>
    <w:rsid w:val="1CFF359F"/>
    <w:rsid w:val="1CFF6D16"/>
    <w:rsid w:val="1D061E52"/>
    <w:rsid w:val="1D146C1A"/>
    <w:rsid w:val="1D1C585C"/>
    <w:rsid w:val="1D241F08"/>
    <w:rsid w:val="1D28626C"/>
    <w:rsid w:val="1D3F35B6"/>
    <w:rsid w:val="1D4754C2"/>
    <w:rsid w:val="1D507571"/>
    <w:rsid w:val="1D533029"/>
    <w:rsid w:val="1D631052"/>
    <w:rsid w:val="1D69418F"/>
    <w:rsid w:val="1D895589"/>
    <w:rsid w:val="1D8B05A9"/>
    <w:rsid w:val="1D931894"/>
    <w:rsid w:val="1D947594"/>
    <w:rsid w:val="1D951428"/>
    <w:rsid w:val="1D971F1E"/>
    <w:rsid w:val="1DA022A7"/>
    <w:rsid w:val="1DB16262"/>
    <w:rsid w:val="1DBB0E8E"/>
    <w:rsid w:val="1DC6683D"/>
    <w:rsid w:val="1DD51824"/>
    <w:rsid w:val="1DD91315"/>
    <w:rsid w:val="1DE21613"/>
    <w:rsid w:val="1DE5415D"/>
    <w:rsid w:val="1DE55E1B"/>
    <w:rsid w:val="1DE8351C"/>
    <w:rsid w:val="1DF63C75"/>
    <w:rsid w:val="1DFF7113"/>
    <w:rsid w:val="1E05035C"/>
    <w:rsid w:val="1E0F2F96"/>
    <w:rsid w:val="1E100D38"/>
    <w:rsid w:val="1E195BB5"/>
    <w:rsid w:val="1E1C3E72"/>
    <w:rsid w:val="1E1E54FA"/>
    <w:rsid w:val="1E25455A"/>
    <w:rsid w:val="1E2D469C"/>
    <w:rsid w:val="1E307194"/>
    <w:rsid w:val="1E326C77"/>
    <w:rsid w:val="1E3429EF"/>
    <w:rsid w:val="1E3824F9"/>
    <w:rsid w:val="1E3A3507"/>
    <w:rsid w:val="1E4A3FC0"/>
    <w:rsid w:val="1E5D3CF4"/>
    <w:rsid w:val="1E616D7F"/>
    <w:rsid w:val="1E831280"/>
    <w:rsid w:val="1E8872C6"/>
    <w:rsid w:val="1E975C3E"/>
    <w:rsid w:val="1EA7346A"/>
    <w:rsid w:val="1EAB4489"/>
    <w:rsid w:val="1EAD65EA"/>
    <w:rsid w:val="1EB678A8"/>
    <w:rsid w:val="1EBA1146"/>
    <w:rsid w:val="1EBD6862"/>
    <w:rsid w:val="1ED63AA6"/>
    <w:rsid w:val="1ED73F5D"/>
    <w:rsid w:val="1EDA3596"/>
    <w:rsid w:val="1EDB10BC"/>
    <w:rsid w:val="1EDD1986"/>
    <w:rsid w:val="1EFA71A0"/>
    <w:rsid w:val="1EFB350D"/>
    <w:rsid w:val="1F0506DA"/>
    <w:rsid w:val="1F06438B"/>
    <w:rsid w:val="1F0979D8"/>
    <w:rsid w:val="1F0D1100"/>
    <w:rsid w:val="1F114ADE"/>
    <w:rsid w:val="1F1C3BAF"/>
    <w:rsid w:val="1F1C595D"/>
    <w:rsid w:val="1F204CF5"/>
    <w:rsid w:val="1F212F73"/>
    <w:rsid w:val="1F234F3D"/>
    <w:rsid w:val="1F2605E8"/>
    <w:rsid w:val="1F274302"/>
    <w:rsid w:val="1F29091D"/>
    <w:rsid w:val="1F2C36C6"/>
    <w:rsid w:val="1F2E287D"/>
    <w:rsid w:val="1F340FC0"/>
    <w:rsid w:val="1F4153C3"/>
    <w:rsid w:val="1F46255F"/>
    <w:rsid w:val="1F480DDB"/>
    <w:rsid w:val="1F501AAA"/>
    <w:rsid w:val="1F520570"/>
    <w:rsid w:val="1F52137F"/>
    <w:rsid w:val="1F552C1D"/>
    <w:rsid w:val="1F63358C"/>
    <w:rsid w:val="1F703EFB"/>
    <w:rsid w:val="1F7D3F22"/>
    <w:rsid w:val="1F80781B"/>
    <w:rsid w:val="1FA37E2C"/>
    <w:rsid w:val="1FA47700"/>
    <w:rsid w:val="1FA6661C"/>
    <w:rsid w:val="1FAB2A51"/>
    <w:rsid w:val="1FB318E7"/>
    <w:rsid w:val="1FB42039"/>
    <w:rsid w:val="1FBE4C66"/>
    <w:rsid w:val="1FBF453A"/>
    <w:rsid w:val="1FC81641"/>
    <w:rsid w:val="1FCD4EA9"/>
    <w:rsid w:val="1FD53D5E"/>
    <w:rsid w:val="1FD75D28"/>
    <w:rsid w:val="1FED554B"/>
    <w:rsid w:val="1FF561AE"/>
    <w:rsid w:val="1FFC7CC1"/>
    <w:rsid w:val="200B777F"/>
    <w:rsid w:val="201254CA"/>
    <w:rsid w:val="20191E9C"/>
    <w:rsid w:val="201B3E66"/>
    <w:rsid w:val="20213793"/>
    <w:rsid w:val="20250841"/>
    <w:rsid w:val="2027280B"/>
    <w:rsid w:val="20277878"/>
    <w:rsid w:val="20295C74"/>
    <w:rsid w:val="202D1D4F"/>
    <w:rsid w:val="202D4955"/>
    <w:rsid w:val="202F346E"/>
    <w:rsid w:val="20315438"/>
    <w:rsid w:val="20344F28"/>
    <w:rsid w:val="203A7297"/>
    <w:rsid w:val="203F6EF4"/>
    <w:rsid w:val="20404975"/>
    <w:rsid w:val="205C1FDB"/>
    <w:rsid w:val="205C7FDB"/>
    <w:rsid w:val="20672C08"/>
    <w:rsid w:val="20686BAE"/>
    <w:rsid w:val="206F5F60"/>
    <w:rsid w:val="207035BF"/>
    <w:rsid w:val="20710D0B"/>
    <w:rsid w:val="20743577"/>
    <w:rsid w:val="20796DDF"/>
    <w:rsid w:val="207D215D"/>
    <w:rsid w:val="20837F29"/>
    <w:rsid w:val="20916ECC"/>
    <w:rsid w:val="20A35C0A"/>
    <w:rsid w:val="20A53730"/>
    <w:rsid w:val="20A839AB"/>
    <w:rsid w:val="20AE6A88"/>
    <w:rsid w:val="20B16579"/>
    <w:rsid w:val="20C53DD2"/>
    <w:rsid w:val="20C95670"/>
    <w:rsid w:val="20CA0B32"/>
    <w:rsid w:val="20CF69FF"/>
    <w:rsid w:val="20D416BD"/>
    <w:rsid w:val="20DA2292"/>
    <w:rsid w:val="20EF2BFD"/>
    <w:rsid w:val="211D59BC"/>
    <w:rsid w:val="2120725A"/>
    <w:rsid w:val="212154AC"/>
    <w:rsid w:val="214473ED"/>
    <w:rsid w:val="214C004F"/>
    <w:rsid w:val="21505D92"/>
    <w:rsid w:val="215869F4"/>
    <w:rsid w:val="215A6C10"/>
    <w:rsid w:val="21681D2D"/>
    <w:rsid w:val="217428B7"/>
    <w:rsid w:val="217D46AD"/>
    <w:rsid w:val="21810F97"/>
    <w:rsid w:val="21817CF9"/>
    <w:rsid w:val="21821CC3"/>
    <w:rsid w:val="21893052"/>
    <w:rsid w:val="21957C48"/>
    <w:rsid w:val="219C4B33"/>
    <w:rsid w:val="21B71334"/>
    <w:rsid w:val="21BA7A65"/>
    <w:rsid w:val="21BC3427"/>
    <w:rsid w:val="21BE0F4D"/>
    <w:rsid w:val="21BF4CC5"/>
    <w:rsid w:val="21C244AB"/>
    <w:rsid w:val="21C978F2"/>
    <w:rsid w:val="21CB366A"/>
    <w:rsid w:val="21CB5418"/>
    <w:rsid w:val="21DD349D"/>
    <w:rsid w:val="21EE1107"/>
    <w:rsid w:val="21EF55AB"/>
    <w:rsid w:val="21F66939"/>
    <w:rsid w:val="21F901D7"/>
    <w:rsid w:val="21FA5CFD"/>
    <w:rsid w:val="21FE03AF"/>
    <w:rsid w:val="220123D8"/>
    <w:rsid w:val="22125EF5"/>
    <w:rsid w:val="221C0C67"/>
    <w:rsid w:val="22260037"/>
    <w:rsid w:val="222B4109"/>
    <w:rsid w:val="222B5EB7"/>
    <w:rsid w:val="22302271"/>
    <w:rsid w:val="22372AAE"/>
    <w:rsid w:val="223E3E3C"/>
    <w:rsid w:val="224376A4"/>
    <w:rsid w:val="224C47AB"/>
    <w:rsid w:val="22525B39"/>
    <w:rsid w:val="225673D8"/>
    <w:rsid w:val="225D0766"/>
    <w:rsid w:val="226715E5"/>
    <w:rsid w:val="226A69DF"/>
    <w:rsid w:val="226E2973"/>
    <w:rsid w:val="22736A7A"/>
    <w:rsid w:val="227710FC"/>
    <w:rsid w:val="2277734E"/>
    <w:rsid w:val="22791318"/>
    <w:rsid w:val="227B0BEC"/>
    <w:rsid w:val="227B299A"/>
    <w:rsid w:val="22857CBD"/>
    <w:rsid w:val="228C4BA7"/>
    <w:rsid w:val="22970B49"/>
    <w:rsid w:val="229C0B63"/>
    <w:rsid w:val="22AA3280"/>
    <w:rsid w:val="22AC6304"/>
    <w:rsid w:val="22AF0896"/>
    <w:rsid w:val="22AF27BA"/>
    <w:rsid w:val="22AF4D3A"/>
    <w:rsid w:val="22B10AB2"/>
    <w:rsid w:val="22B20386"/>
    <w:rsid w:val="22B61C24"/>
    <w:rsid w:val="22B91715"/>
    <w:rsid w:val="22BB36DF"/>
    <w:rsid w:val="22BE6D2B"/>
    <w:rsid w:val="22CC58EC"/>
    <w:rsid w:val="22CE3701"/>
    <w:rsid w:val="22D14DC5"/>
    <w:rsid w:val="22DF22AD"/>
    <w:rsid w:val="22E433D4"/>
    <w:rsid w:val="22E5075C"/>
    <w:rsid w:val="22E63B6F"/>
    <w:rsid w:val="22EC5646"/>
    <w:rsid w:val="22F34C27"/>
    <w:rsid w:val="22F51C15"/>
    <w:rsid w:val="22FB1D2D"/>
    <w:rsid w:val="22FB61DA"/>
    <w:rsid w:val="23007DBD"/>
    <w:rsid w:val="231124DA"/>
    <w:rsid w:val="23144B9D"/>
    <w:rsid w:val="2323790C"/>
    <w:rsid w:val="23294AEC"/>
    <w:rsid w:val="23356FED"/>
    <w:rsid w:val="2338088B"/>
    <w:rsid w:val="23384D2F"/>
    <w:rsid w:val="2355768F"/>
    <w:rsid w:val="23607DE2"/>
    <w:rsid w:val="23671171"/>
    <w:rsid w:val="2373298F"/>
    <w:rsid w:val="2378337E"/>
    <w:rsid w:val="237E4DC7"/>
    <w:rsid w:val="23863CED"/>
    <w:rsid w:val="23865A9B"/>
    <w:rsid w:val="2396098A"/>
    <w:rsid w:val="239D4B92"/>
    <w:rsid w:val="23B24AE2"/>
    <w:rsid w:val="23B45007"/>
    <w:rsid w:val="23B65932"/>
    <w:rsid w:val="23BC770E"/>
    <w:rsid w:val="23CE155A"/>
    <w:rsid w:val="23CE7442"/>
    <w:rsid w:val="23D5432C"/>
    <w:rsid w:val="23DA1943"/>
    <w:rsid w:val="23DF33FD"/>
    <w:rsid w:val="23E12CD1"/>
    <w:rsid w:val="23E24451"/>
    <w:rsid w:val="23E32EED"/>
    <w:rsid w:val="23E40A13"/>
    <w:rsid w:val="23F01166"/>
    <w:rsid w:val="23F92711"/>
    <w:rsid w:val="23FA0466"/>
    <w:rsid w:val="24003A9F"/>
    <w:rsid w:val="240510B5"/>
    <w:rsid w:val="240A129F"/>
    <w:rsid w:val="240B2444"/>
    <w:rsid w:val="24194B61"/>
    <w:rsid w:val="241D19BD"/>
    <w:rsid w:val="243A7A59"/>
    <w:rsid w:val="2446022B"/>
    <w:rsid w:val="244B2840"/>
    <w:rsid w:val="244D0366"/>
    <w:rsid w:val="244E6A2F"/>
    <w:rsid w:val="24526424"/>
    <w:rsid w:val="24547947"/>
    <w:rsid w:val="24577437"/>
    <w:rsid w:val="245A2A83"/>
    <w:rsid w:val="245C67FB"/>
    <w:rsid w:val="246456B0"/>
    <w:rsid w:val="246F29D3"/>
    <w:rsid w:val="24704055"/>
    <w:rsid w:val="247453CB"/>
    <w:rsid w:val="247B1F1B"/>
    <w:rsid w:val="24870E7D"/>
    <w:rsid w:val="24A80E38"/>
    <w:rsid w:val="24A8655D"/>
    <w:rsid w:val="24AB32DF"/>
    <w:rsid w:val="24AC2947"/>
    <w:rsid w:val="24AF4B7D"/>
    <w:rsid w:val="24B623B0"/>
    <w:rsid w:val="24B6415E"/>
    <w:rsid w:val="24C04FDC"/>
    <w:rsid w:val="24CF1A0F"/>
    <w:rsid w:val="24D055DB"/>
    <w:rsid w:val="24D50BFC"/>
    <w:rsid w:val="24E30CCB"/>
    <w:rsid w:val="24F20F0E"/>
    <w:rsid w:val="24F579FC"/>
    <w:rsid w:val="25015510"/>
    <w:rsid w:val="25056E93"/>
    <w:rsid w:val="250A26FB"/>
    <w:rsid w:val="250C1FD0"/>
    <w:rsid w:val="251247E7"/>
    <w:rsid w:val="252C2672"/>
    <w:rsid w:val="254C061E"/>
    <w:rsid w:val="25551BC9"/>
    <w:rsid w:val="25553977"/>
    <w:rsid w:val="256040C9"/>
    <w:rsid w:val="2579555F"/>
    <w:rsid w:val="25822292"/>
    <w:rsid w:val="258B7398"/>
    <w:rsid w:val="25900E53"/>
    <w:rsid w:val="25911713"/>
    <w:rsid w:val="259C15A5"/>
    <w:rsid w:val="259D0E7A"/>
    <w:rsid w:val="25A0096A"/>
    <w:rsid w:val="25A12DD9"/>
    <w:rsid w:val="25A93CC2"/>
    <w:rsid w:val="25AC5561"/>
    <w:rsid w:val="25AE752B"/>
    <w:rsid w:val="25B6018D"/>
    <w:rsid w:val="25B83F05"/>
    <w:rsid w:val="25BE697B"/>
    <w:rsid w:val="25CD1049"/>
    <w:rsid w:val="25CE3729"/>
    <w:rsid w:val="25D0124F"/>
    <w:rsid w:val="25D52D09"/>
    <w:rsid w:val="25DF76E4"/>
    <w:rsid w:val="25E20F82"/>
    <w:rsid w:val="25F835C8"/>
    <w:rsid w:val="26031625"/>
    <w:rsid w:val="260D1EFB"/>
    <w:rsid w:val="2611159E"/>
    <w:rsid w:val="26192BF6"/>
    <w:rsid w:val="261F5D33"/>
    <w:rsid w:val="262B46D7"/>
    <w:rsid w:val="262C2DBC"/>
    <w:rsid w:val="262E7B62"/>
    <w:rsid w:val="26303437"/>
    <w:rsid w:val="2635403B"/>
    <w:rsid w:val="263D14C7"/>
    <w:rsid w:val="26413EFB"/>
    <w:rsid w:val="264D464E"/>
    <w:rsid w:val="265A4FBD"/>
    <w:rsid w:val="265A6D6B"/>
    <w:rsid w:val="26633E71"/>
    <w:rsid w:val="2668592C"/>
    <w:rsid w:val="266B0F78"/>
    <w:rsid w:val="2670658E"/>
    <w:rsid w:val="26760048"/>
    <w:rsid w:val="26804717"/>
    <w:rsid w:val="268169ED"/>
    <w:rsid w:val="2685203A"/>
    <w:rsid w:val="26880CE5"/>
    <w:rsid w:val="26916953"/>
    <w:rsid w:val="26924756"/>
    <w:rsid w:val="26946721"/>
    <w:rsid w:val="26971D6D"/>
    <w:rsid w:val="2697665E"/>
    <w:rsid w:val="26AF70B6"/>
    <w:rsid w:val="26B14C8A"/>
    <w:rsid w:val="26B66697"/>
    <w:rsid w:val="26B91F5A"/>
    <w:rsid w:val="26BB5A5B"/>
    <w:rsid w:val="26C012C4"/>
    <w:rsid w:val="26C64A18"/>
    <w:rsid w:val="26CA0473"/>
    <w:rsid w:val="26CA3EF0"/>
    <w:rsid w:val="26CC5EBA"/>
    <w:rsid w:val="26D421E9"/>
    <w:rsid w:val="26DA3B4A"/>
    <w:rsid w:val="26E103CA"/>
    <w:rsid w:val="26F107AF"/>
    <w:rsid w:val="26F15921"/>
    <w:rsid w:val="26FB22FC"/>
    <w:rsid w:val="2702368A"/>
    <w:rsid w:val="27127645"/>
    <w:rsid w:val="271D6716"/>
    <w:rsid w:val="271E423C"/>
    <w:rsid w:val="2725351F"/>
    <w:rsid w:val="27290E16"/>
    <w:rsid w:val="272C4BAB"/>
    <w:rsid w:val="27376525"/>
    <w:rsid w:val="27441EF5"/>
    <w:rsid w:val="275A1718"/>
    <w:rsid w:val="27602AA7"/>
    <w:rsid w:val="2764472D"/>
    <w:rsid w:val="27651E6B"/>
    <w:rsid w:val="2769195B"/>
    <w:rsid w:val="277125BE"/>
    <w:rsid w:val="27715FC1"/>
    <w:rsid w:val="277D0F63"/>
    <w:rsid w:val="278B3937"/>
    <w:rsid w:val="278E13C2"/>
    <w:rsid w:val="279544FE"/>
    <w:rsid w:val="27A44741"/>
    <w:rsid w:val="27A504B9"/>
    <w:rsid w:val="27AC35F6"/>
    <w:rsid w:val="27AC7A9A"/>
    <w:rsid w:val="27C13545"/>
    <w:rsid w:val="27C22E19"/>
    <w:rsid w:val="27CA47D6"/>
    <w:rsid w:val="27D22A6A"/>
    <w:rsid w:val="27D33279"/>
    <w:rsid w:val="27D8088F"/>
    <w:rsid w:val="27DB0DAB"/>
    <w:rsid w:val="27F21951"/>
    <w:rsid w:val="27F73402"/>
    <w:rsid w:val="27FB4F2F"/>
    <w:rsid w:val="280276BA"/>
    <w:rsid w:val="28122BE0"/>
    <w:rsid w:val="281573ED"/>
    <w:rsid w:val="28186EDD"/>
    <w:rsid w:val="282520F2"/>
    <w:rsid w:val="282C1F78"/>
    <w:rsid w:val="282E7E53"/>
    <w:rsid w:val="28304227"/>
    <w:rsid w:val="28327F9F"/>
    <w:rsid w:val="28336056"/>
    <w:rsid w:val="283425F5"/>
    <w:rsid w:val="2842411B"/>
    <w:rsid w:val="28446E77"/>
    <w:rsid w:val="28481571"/>
    <w:rsid w:val="285C501C"/>
    <w:rsid w:val="286F6864"/>
    <w:rsid w:val="28912F63"/>
    <w:rsid w:val="28942A08"/>
    <w:rsid w:val="2894416C"/>
    <w:rsid w:val="289742A6"/>
    <w:rsid w:val="289F315B"/>
    <w:rsid w:val="28A54C15"/>
    <w:rsid w:val="28A864B3"/>
    <w:rsid w:val="28B14C9A"/>
    <w:rsid w:val="28B906C0"/>
    <w:rsid w:val="28B9246E"/>
    <w:rsid w:val="28BC3D0D"/>
    <w:rsid w:val="28C12115"/>
    <w:rsid w:val="28C606E7"/>
    <w:rsid w:val="28CC03F4"/>
    <w:rsid w:val="28CC474C"/>
    <w:rsid w:val="28D3224F"/>
    <w:rsid w:val="28D4148C"/>
    <w:rsid w:val="28E5332C"/>
    <w:rsid w:val="28F10206"/>
    <w:rsid w:val="290577E8"/>
    <w:rsid w:val="291122AA"/>
    <w:rsid w:val="291476A5"/>
    <w:rsid w:val="29192F0D"/>
    <w:rsid w:val="291B6C85"/>
    <w:rsid w:val="291E22D1"/>
    <w:rsid w:val="291E6775"/>
    <w:rsid w:val="291F392A"/>
    <w:rsid w:val="292518B2"/>
    <w:rsid w:val="292C49EE"/>
    <w:rsid w:val="29451F54"/>
    <w:rsid w:val="295264D7"/>
    <w:rsid w:val="295E5D81"/>
    <w:rsid w:val="2964687E"/>
    <w:rsid w:val="29705256"/>
    <w:rsid w:val="29714AF7"/>
    <w:rsid w:val="29736AC1"/>
    <w:rsid w:val="297D524A"/>
    <w:rsid w:val="298760C9"/>
    <w:rsid w:val="298A5BB9"/>
    <w:rsid w:val="29916F47"/>
    <w:rsid w:val="29924D42"/>
    <w:rsid w:val="299344DE"/>
    <w:rsid w:val="2993550F"/>
    <w:rsid w:val="29954C89"/>
    <w:rsid w:val="29A32DEA"/>
    <w:rsid w:val="29AE7AF9"/>
    <w:rsid w:val="29B449E4"/>
    <w:rsid w:val="29B50FF4"/>
    <w:rsid w:val="29B77500"/>
    <w:rsid w:val="29BF1D06"/>
    <w:rsid w:val="29C45425"/>
    <w:rsid w:val="29C966E1"/>
    <w:rsid w:val="29C96EA1"/>
    <w:rsid w:val="29CA31EB"/>
    <w:rsid w:val="29D07A70"/>
    <w:rsid w:val="29D84B76"/>
    <w:rsid w:val="29D86924"/>
    <w:rsid w:val="29E90B31"/>
    <w:rsid w:val="29EB2AFB"/>
    <w:rsid w:val="29F319B0"/>
    <w:rsid w:val="29F85218"/>
    <w:rsid w:val="29F91CFC"/>
    <w:rsid w:val="2A0616E3"/>
    <w:rsid w:val="2A0C7722"/>
    <w:rsid w:val="2A0E1057"/>
    <w:rsid w:val="2A174D4D"/>
    <w:rsid w:val="2A21679F"/>
    <w:rsid w:val="2A2E4796"/>
    <w:rsid w:val="2A357B24"/>
    <w:rsid w:val="2A385615"/>
    <w:rsid w:val="2A3D0108"/>
    <w:rsid w:val="2A3E67BC"/>
    <w:rsid w:val="2A467D32"/>
    <w:rsid w:val="2A4B3E74"/>
    <w:rsid w:val="2A4F43BB"/>
    <w:rsid w:val="2A53196C"/>
    <w:rsid w:val="2A5561C7"/>
    <w:rsid w:val="2A662182"/>
    <w:rsid w:val="2A6D3510"/>
    <w:rsid w:val="2A720B27"/>
    <w:rsid w:val="2A8D46CE"/>
    <w:rsid w:val="2A8E3487"/>
    <w:rsid w:val="2A9860B3"/>
    <w:rsid w:val="2AA1765E"/>
    <w:rsid w:val="2AAD6003"/>
    <w:rsid w:val="2AAE2EE9"/>
    <w:rsid w:val="2AB949A8"/>
    <w:rsid w:val="2AC109ED"/>
    <w:rsid w:val="2AC90642"/>
    <w:rsid w:val="2ACA2711"/>
    <w:rsid w:val="2AD43590"/>
    <w:rsid w:val="2ADD7247"/>
    <w:rsid w:val="2AE00186"/>
    <w:rsid w:val="2AE412F9"/>
    <w:rsid w:val="2AF23A16"/>
    <w:rsid w:val="2AF754D0"/>
    <w:rsid w:val="2AFB4FC0"/>
    <w:rsid w:val="2AFE060C"/>
    <w:rsid w:val="2B0674C1"/>
    <w:rsid w:val="2B0858E1"/>
    <w:rsid w:val="2B136138"/>
    <w:rsid w:val="2B1478F6"/>
    <w:rsid w:val="2B1C6CE5"/>
    <w:rsid w:val="2B204A27"/>
    <w:rsid w:val="2B236056"/>
    <w:rsid w:val="2B3B50FE"/>
    <w:rsid w:val="2B485D2C"/>
    <w:rsid w:val="2B520958"/>
    <w:rsid w:val="2B54647E"/>
    <w:rsid w:val="2B58197D"/>
    <w:rsid w:val="2B630ECA"/>
    <w:rsid w:val="2B65068C"/>
    <w:rsid w:val="2B732DA8"/>
    <w:rsid w:val="2B7663F5"/>
    <w:rsid w:val="2B8C58B9"/>
    <w:rsid w:val="2B8C5C18"/>
    <w:rsid w:val="2B8D373E"/>
    <w:rsid w:val="2B960995"/>
    <w:rsid w:val="2BA90B57"/>
    <w:rsid w:val="2BAA0794"/>
    <w:rsid w:val="2BAC0068"/>
    <w:rsid w:val="2BB25380"/>
    <w:rsid w:val="2BB313F7"/>
    <w:rsid w:val="2BC7343E"/>
    <w:rsid w:val="2BDA4BD6"/>
    <w:rsid w:val="2BEE68D3"/>
    <w:rsid w:val="2BEF61A7"/>
    <w:rsid w:val="2BFF4E3C"/>
    <w:rsid w:val="2C02412C"/>
    <w:rsid w:val="2C043A01"/>
    <w:rsid w:val="2C10566F"/>
    <w:rsid w:val="2C1300E8"/>
    <w:rsid w:val="2C152843"/>
    <w:rsid w:val="2C1764C2"/>
    <w:rsid w:val="2C1927E2"/>
    <w:rsid w:val="2C1C51EE"/>
    <w:rsid w:val="2C267E1B"/>
    <w:rsid w:val="2C273B93"/>
    <w:rsid w:val="2C2A71DF"/>
    <w:rsid w:val="2C2B3683"/>
    <w:rsid w:val="2C3845A9"/>
    <w:rsid w:val="2C385DA0"/>
    <w:rsid w:val="2C3D33B6"/>
    <w:rsid w:val="2C412EA7"/>
    <w:rsid w:val="2C5030EA"/>
    <w:rsid w:val="2C6170A5"/>
    <w:rsid w:val="2C640943"/>
    <w:rsid w:val="2C6676A8"/>
    <w:rsid w:val="2C680433"/>
    <w:rsid w:val="2C6E3570"/>
    <w:rsid w:val="2C73502A"/>
    <w:rsid w:val="2C7F39CF"/>
    <w:rsid w:val="2C8430F7"/>
    <w:rsid w:val="2C862667"/>
    <w:rsid w:val="2C8763E0"/>
    <w:rsid w:val="2C8A2821"/>
    <w:rsid w:val="2C8E5424"/>
    <w:rsid w:val="2C8E59C0"/>
    <w:rsid w:val="2C9A4365"/>
    <w:rsid w:val="2C9C1E8B"/>
    <w:rsid w:val="2C9F7BCD"/>
    <w:rsid w:val="2CAD4098"/>
    <w:rsid w:val="2CAE7E10"/>
    <w:rsid w:val="2CB01DDA"/>
    <w:rsid w:val="2CB97AED"/>
    <w:rsid w:val="2CBA0563"/>
    <w:rsid w:val="2CC118F2"/>
    <w:rsid w:val="2CC97514"/>
    <w:rsid w:val="2CCA108C"/>
    <w:rsid w:val="2CCE400E"/>
    <w:rsid w:val="2CDA0C05"/>
    <w:rsid w:val="2CDD14F5"/>
    <w:rsid w:val="2CDD4252"/>
    <w:rsid w:val="2CDE275D"/>
    <w:rsid w:val="2CE43832"/>
    <w:rsid w:val="2CE72161"/>
    <w:rsid w:val="2CE808B5"/>
    <w:rsid w:val="2CF717B7"/>
    <w:rsid w:val="2CF92AD5"/>
    <w:rsid w:val="2CF972DD"/>
    <w:rsid w:val="2D0637A8"/>
    <w:rsid w:val="2D094E3D"/>
    <w:rsid w:val="2D0D4B37"/>
    <w:rsid w:val="2D1161A8"/>
    <w:rsid w:val="2D205BB7"/>
    <w:rsid w:val="2D2D6F87"/>
    <w:rsid w:val="2D3042B4"/>
    <w:rsid w:val="2D3110AE"/>
    <w:rsid w:val="2D366C95"/>
    <w:rsid w:val="2D3E4DC0"/>
    <w:rsid w:val="2D455153"/>
    <w:rsid w:val="2D482013"/>
    <w:rsid w:val="2D4A5D8B"/>
    <w:rsid w:val="2D4F15F3"/>
    <w:rsid w:val="2D4F6EFD"/>
    <w:rsid w:val="2D542766"/>
    <w:rsid w:val="2D563588"/>
    <w:rsid w:val="2D5717A7"/>
    <w:rsid w:val="2D6B7AAF"/>
    <w:rsid w:val="2D7C30AE"/>
    <w:rsid w:val="2D7F400A"/>
    <w:rsid w:val="2DAA682A"/>
    <w:rsid w:val="2DB17BB8"/>
    <w:rsid w:val="2DB651CE"/>
    <w:rsid w:val="2DBD030B"/>
    <w:rsid w:val="2DBF0527"/>
    <w:rsid w:val="2DC13959"/>
    <w:rsid w:val="2DC436ED"/>
    <w:rsid w:val="2DC44A8D"/>
    <w:rsid w:val="2DC55411"/>
    <w:rsid w:val="2DCF6290"/>
    <w:rsid w:val="2DD02B38"/>
    <w:rsid w:val="2DDA5646"/>
    <w:rsid w:val="2DE0049D"/>
    <w:rsid w:val="2DE040AB"/>
    <w:rsid w:val="2DE375AC"/>
    <w:rsid w:val="2DF301D1"/>
    <w:rsid w:val="2DF45098"/>
    <w:rsid w:val="2DF62ED8"/>
    <w:rsid w:val="2DF6515F"/>
    <w:rsid w:val="2DF857E7"/>
    <w:rsid w:val="2E053A60"/>
    <w:rsid w:val="2E0A386D"/>
    <w:rsid w:val="2E0A72C8"/>
    <w:rsid w:val="2E0C3040"/>
    <w:rsid w:val="2E1662EC"/>
    <w:rsid w:val="2E180D2E"/>
    <w:rsid w:val="2E18664A"/>
    <w:rsid w:val="2E193224"/>
    <w:rsid w:val="2E262354"/>
    <w:rsid w:val="2E2959A0"/>
    <w:rsid w:val="2E310CF9"/>
    <w:rsid w:val="2E3E4209"/>
    <w:rsid w:val="2E41718E"/>
    <w:rsid w:val="2E52320C"/>
    <w:rsid w:val="2E6030FC"/>
    <w:rsid w:val="2E607376"/>
    <w:rsid w:val="2E6D1E35"/>
    <w:rsid w:val="2E6E3D4C"/>
    <w:rsid w:val="2E821554"/>
    <w:rsid w:val="2E862DF3"/>
    <w:rsid w:val="2E864DCE"/>
    <w:rsid w:val="2E8773D1"/>
    <w:rsid w:val="2E922BF6"/>
    <w:rsid w:val="2E995F26"/>
    <w:rsid w:val="2E9C077D"/>
    <w:rsid w:val="2E9F1F0C"/>
    <w:rsid w:val="2E9F23E6"/>
    <w:rsid w:val="2EA30912"/>
    <w:rsid w:val="2EA65243"/>
    <w:rsid w:val="2EAB5D1F"/>
    <w:rsid w:val="2EB01C1E"/>
    <w:rsid w:val="2EB21E3A"/>
    <w:rsid w:val="2EDD4A5A"/>
    <w:rsid w:val="2EE713B8"/>
    <w:rsid w:val="2EEA050C"/>
    <w:rsid w:val="2EEB0EA8"/>
    <w:rsid w:val="2EEF6BEA"/>
    <w:rsid w:val="2EFC30B5"/>
    <w:rsid w:val="2F031C30"/>
    <w:rsid w:val="2F0A3A24"/>
    <w:rsid w:val="2F106B60"/>
    <w:rsid w:val="2F120B2A"/>
    <w:rsid w:val="2F176141"/>
    <w:rsid w:val="2F177EEF"/>
    <w:rsid w:val="2F191EB9"/>
    <w:rsid w:val="2F1C5505"/>
    <w:rsid w:val="2F240FCC"/>
    <w:rsid w:val="2F320885"/>
    <w:rsid w:val="2F3D3FCE"/>
    <w:rsid w:val="2F4A3E20"/>
    <w:rsid w:val="2F4F58DB"/>
    <w:rsid w:val="2F642A08"/>
    <w:rsid w:val="2F6A2B3A"/>
    <w:rsid w:val="2F725125"/>
    <w:rsid w:val="2F762E67"/>
    <w:rsid w:val="2F8337D6"/>
    <w:rsid w:val="2F911A4F"/>
    <w:rsid w:val="2F974B8C"/>
    <w:rsid w:val="2F994DA8"/>
    <w:rsid w:val="2F9E5F1A"/>
    <w:rsid w:val="2FA5374C"/>
    <w:rsid w:val="2FA63021"/>
    <w:rsid w:val="2FAB7D1C"/>
    <w:rsid w:val="2FAC6889"/>
    <w:rsid w:val="2FB120F1"/>
    <w:rsid w:val="2FB43990"/>
    <w:rsid w:val="2FBD494B"/>
    <w:rsid w:val="2FC82F97"/>
    <w:rsid w:val="2FD367B5"/>
    <w:rsid w:val="2FD858D0"/>
    <w:rsid w:val="2FEB5F72"/>
    <w:rsid w:val="2FED0C50"/>
    <w:rsid w:val="2FF56CFE"/>
    <w:rsid w:val="2FF94035"/>
    <w:rsid w:val="30042D84"/>
    <w:rsid w:val="30080C6F"/>
    <w:rsid w:val="300C37CC"/>
    <w:rsid w:val="300C557A"/>
    <w:rsid w:val="30135AFB"/>
    <w:rsid w:val="301E705B"/>
    <w:rsid w:val="302E54F0"/>
    <w:rsid w:val="302F1268"/>
    <w:rsid w:val="30316D8E"/>
    <w:rsid w:val="30405223"/>
    <w:rsid w:val="304541E5"/>
    <w:rsid w:val="30465F1F"/>
    <w:rsid w:val="30465F8E"/>
    <w:rsid w:val="304B79C9"/>
    <w:rsid w:val="30564A47"/>
    <w:rsid w:val="30590093"/>
    <w:rsid w:val="305D3D96"/>
    <w:rsid w:val="30654C8A"/>
    <w:rsid w:val="30676828"/>
    <w:rsid w:val="30782C0F"/>
    <w:rsid w:val="307A0735"/>
    <w:rsid w:val="307A24E3"/>
    <w:rsid w:val="307C75B0"/>
    <w:rsid w:val="308275EA"/>
    <w:rsid w:val="308C0854"/>
    <w:rsid w:val="308E7498"/>
    <w:rsid w:val="308F4C3A"/>
    <w:rsid w:val="30982FE6"/>
    <w:rsid w:val="309C68FD"/>
    <w:rsid w:val="30AA79E3"/>
    <w:rsid w:val="30AB758A"/>
    <w:rsid w:val="30AF64B9"/>
    <w:rsid w:val="30B023A9"/>
    <w:rsid w:val="30DD6F16"/>
    <w:rsid w:val="30E6401D"/>
    <w:rsid w:val="30E65DCB"/>
    <w:rsid w:val="30F06C49"/>
    <w:rsid w:val="30F46739"/>
    <w:rsid w:val="30FA1876"/>
    <w:rsid w:val="310426F5"/>
    <w:rsid w:val="310600FC"/>
    <w:rsid w:val="31061FC9"/>
    <w:rsid w:val="3107217A"/>
    <w:rsid w:val="310B3A83"/>
    <w:rsid w:val="310E5321"/>
    <w:rsid w:val="31102E48"/>
    <w:rsid w:val="311F308B"/>
    <w:rsid w:val="31216728"/>
    <w:rsid w:val="31216E03"/>
    <w:rsid w:val="3125551E"/>
    <w:rsid w:val="312F0DDF"/>
    <w:rsid w:val="31352B82"/>
    <w:rsid w:val="3135465C"/>
    <w:rsid w:val="313C1E8F"/>
    <w:rsid w:val="31411253"/>
    <w:rsid w:val="31496359"/>
    <w:rsid w:val="314F1BC2"/>
    <w:rsid w:val="31540F86"/>
    <w:rsid w:val="31682C84"/>
    <w:rsid w:val="317909ED"/>
    <w:rsid w:val="317E24A7"/>
    <w:rsid w:val="318A10D1"/>
    <w:rsid w:val="318C5758"/>
    <w:rsid w:val="3196159F"/>
    <w:rsid w:val="319F5F79"/>
    <w:rsid w:val="31A32694"/>
    <w:rsid w:val="31A33CBC"/>
    <w:rsid w:val="31B031A0"/>
    <w:rsid w:val="31B45EC9"/>
    <w:rsid w:val="31C854D0"/>
    <w:rsid w:val="31D73965"/>
    <w:rsid w:val="31E62DD6"/>
    <w:rsid w:val="31EC54A4"/>
    <w:rsid w:val="31ED3189"/>
    <w:rsid w:val="31F167D5"/>
    <w:rsid w:val="31FE5396"/>
    <w:rsid w:val="3202678C"/>
    <w:rsid w:val="3207249C"/>
    <w:rsid w:val="32236BAB"/>
    <w:rsid w:val="32244DFC"/>
    <w:rsid w:val="322D3335"/>
    <w:rsid w:val="32430E48"/>
    <w:rsid w:val="32494863"/>
    <w:rsid w:val="32584AA6"/>
    <w:rsid w:val="325D43BB"/>
    <w:rsid w:val="32655415"/>
    <w:rsid w:val="32672F3B"/>
    <w:rsid w:val="326F76CF"/>
    <w:rsid w:val="32770709"/>
    <w:rsid w:val="32774ADB"/>
    <w:rsid w:val="3284589B"/>
    <w:rsid w:val="32877139"/>
    <w:rsid w:val="328B4E7C"/>
    <w:rsid w:val="328E083B"/>
    <w:rsid w:val="32904240"/>
    <w:rsid w:val="32957AA8"/>
    <w:rsid w:val="329B2BE5"/>
    <w:rsid w:val="32A221C5"/>
    <w:rsid w:val="32A63A63"/>
    <w:rsid w:val="32B20B24"/>
    <w:rsid w:val="32B37F2E"/>
    <w:rsid w:val="32BF4B25"/>
    <w:rsid w:val="32C57C62"/>
    <w:rsid w:val="32CC6782"/>
    <w:rsid w:val="32CE4D68"/>
    <w:rsid w:val="32CE7097"/>
    <w:rsid w:val="32D103B5"/>
    <w:rsid w:val="32EB76C8"/>
    <w:rsid w:val="32EC3440"/>
    <w:rsid w:val="32EE0F67"/>
    <w:rsid w:val="32F01183"/>
    <w:rsid w:val="32F32A21"/>
    <w:rsid w:val="32F93719"/>
    <w:rsid w:val="33064502"/>
    <w:rsid w:val="330752C3"/>
    <w:rsid w:val="330B1B18"/>
    <w:rsid w:val="331468C4"/>
    <w:rsid w:val="33154745"/>
    <w:rsid w:val="331C1F78"/>
    <w:rsid w:val="332E1CAB"/>
    <w:rsid w:val="332E5807"/>
    <w:rsid w:val="33386686"/>
    <w:rsid w:val="333A23FE"/>
    <w:rsid w:val="335C6818"/>
    <w:rsid w:val="3369683F"/>
    <w:rsid w:val="336B0809"/>
    <w:rsid w:val="33704071"/>
    <w:rsid w:val="33751688"/>
    <w:rsid w:val="337B6A5F"/>
    <w:rsid w:val="33883169"/>
    <w:rsid w:val="33955886"/>
    <w:rsid w:val="33977E12"/>
    <w:rsid w:val="339935C8"/>
    <w:rsid w:val="339E233F"/>
    <w:rsid w:val="33A45AC9"/>
    <w:rsid w:val="33A61841"/>
    <w:rsid w:val="33AA1331"/>
    <w:rsid w:val="33AE2763"/>
    <w:rsid w:val="33C87A09"/>
    <w:rsid w:val="33CD3272"/>
    <w:rsid w:val="33F56E0F"/>
    <w:rsid w:val="33F702EF"/>
    <w:rsid w:val="340547BA"/>
    <w:rsid w:val="340824FC"/>
    <w:rsid w:val="340F388A"/>
    <w:rsid w:val="340F5638"/>
    <w:rsid w:val="341B49F7"/>
    <w:rsid w:val="34254E5C"/>
    <w:rsid w:val="34361804"/>
    <w:rsid w:val="343659B5"/>
    <w:rsid w:val="3437693D"/>
    <w:rsid w:val="344D7F0F"/>
    <w:rsid w:val="344E43B3"/>
    <w:rsid w:val="347831DE"/>
    <w:rsid w:val="348921E8"/>
    <w:rsid w:val="348F22D5"/>
    <w:rsid w:val="34911E0A"/>
    <w:rsid w:val="34931DC5"/>
    <w:rsid w:val="34993154"/>
    <w:rsid w:val="349C065E"/>
    <w:rsid w:val="349F1B61"/>
    <w:rsid w:val="34A42225"/>
    <w:rsid w:val="34A71D15"/>
    <w:rsid w:val="34AA5361"/>
    <w:rsid w:val="34B5463C"/>
    <w:rsid w:val="34BB756E"/>
    <w:rsid w:val="34BC6507"/>
    <w:rsid w:val="34C33809"/>
    <w:rsid w:val="34C603ED"/>
    <w:rsid w:val="34CA064D"/>
    <w:rsid w:val="34CC79CE"/>
    <w:rsid w:val="34DE5F4B"/>
    <w:rsid w:val="34DF060F"/>
    <w:rsid w:val="34E645EB"/>
    <w:rsid w:val="34E97C37"/>
    <w:rsid w:val="34F07218"/>
    <w:rsid w:val="34F230EB"/>
    <w:rsid w:val="34F8431E"/>
    <w:rsid w:val="35012CF7"/>
    <w:rsid w:val="350B22A4"/>
    <w:rsid w:val="3522062E"/>
    <w:rsid w:val="35246EC1"/>
    <w:rsid w:val="35250261"/>
    <w:rsid w:val="352D221A"/>
    <w:rsid w:val="352E1AEE"/>
    <w:rsid w:val="35301D0A"/>
    <w:rsid w:val="353942DE"/>
    <w:rsid w:val="353C420B"/>
    <w:rsid w:val="35441312"/>
    <w:rsid w:val="354E2190"/>
    <w:rsid w:val="35535965"/>
    <w:rsid w:val="355C2AFF"/>
    <w:rsid w:val="355D23D3"/>
    <w:rsid w:val="35613C72"/>
    <w:rsid w:val="3564627D"/>
    <w:rsid w:val="356C2617"/>
    <w:rsid w:val="35780FBB"/>
    <w:rsid w:val="357C0AAC"/>
    <w:rsid w:val="3583008C"/>
    <w:rsid w:val="359202CF"/>
    <w:rsid w:val="3598340C"/>
    <w:rsid w:val="359978AF"/>
    <w:rsid w:val="359B1849"/>
    <w:rsid w:val="359C73A0"/>
    <w:rsid w:val="35A82DD0"/>
    <w:rsid w:val="35A87AF3"/>
    <w:rsid w:val="35B00755"/>
    <w:rsid w:val="35B04BF9"/>
    <w:rsid w:val="35B069A7"/>
    <w:rsid w:val="35B44D6B"/>
    <w:rsid w:val="35B84990"/>
    <w:rsid w:val="35BB78C9"/>
    <w:rsid w:val="35BC359E"/>
    <w:rsid w:val="35C044BA"/>
    <w:rsid w:val="35C83CF1"/>
    <w:rsid w:val="35D2691D"/>
    <w:rsid w:val="35D54660"/>
    <w:rsid w:val="35EB3E83"/>
    <w:rsid w:val="35EB5C31"/>
    <w:rsid w:val="35EF74CF"/>
    <w:rsid w:val="35F13A8D"/>
    <w:rsid w:val="35F745D6"/>
    <w:rsid w:val="36050AA1"/>
    <w:rsid w:val="360867E3"/>
    <w:rsid w:val="361231BE"/>
    <w:rsid w:val="3619454C"/>
    <w:rsid w:val="361A476F"/>
    <w:rsid w:val="36257395"/>
    <w:rsid w:val="362829E1"/>
    <w:rsid w:val="36295031"/>
    <w:rsid w:val="3629776F"/>
    <w:rsid w:val="362D1DA6"/>
    <w:rsid w:val="362D5E70"/>
    <w:rsid w:val="362F5B1E"/>
    <w:rsid w:val="36301896"/>
    <w:rsid w:val="36325C04"/>
    <w:rsid w:val="363E0998"/>
    <w:rsid w:val="363E3FB3"/>
    <w:rsid w:val="3643781B"/>
    <w:rsid w:val="36455341"/>
    <w:rsid w:val="364A5AAB"/>
    <w:rsid w:val="364F61C0"/>
    <w:rsid w:val="365732C7"/>
    <w:rsid w:val="365B4E52"/>
    <w:rsid w:val="366817A6"/>
    <w:rsid w:val="36694181"/>
    <w:rsid w:val="366F7802"/>
    <w:rsid w:val="3670428D"/>
    <w:rsid w:val="367479D5"/>
    <w:rsid w:val="3676199F"/>
    <w:rsid w:val="367C4ADB"/>
    <w:rsid w:val="367E0853"/>
    <w:rsid w:val="36897924"/>
    <w:rsid w:val="368D5AF8"/>
    <w:rsid w:val="368F2A60"/>
    <w:rsid w:val="369260AD"/>
    <w:rsid w:val="3699568D"/>
    <w:rsid w:val="369B31B3"/>
    <w:rsid w:val="36B4763B"/>
    <w:rsid w:val="36BC40FA"/>
    <w:rsid w:val="36BD137C"/>
    <w:rsid w:val="36C73FA8"/>
    <w:rsid w:val="36CE5337"/>
    <w:rsid w:val="36D3294D"/>
    <w:rsid w:val="36D84407"/>
    <w:rsid w:val="36DD37CC"/>
    <w:rsid w:val="36DD557A"/>
    <w:rsid w:val="36E0150E"/>
    <w:rsid w:val="36E37F45"/>
    <w:rsid w:val="36E56B24"/>
    <w:rsid w:val="36E74237"/>
    <w:rsid w:val="36EA7C97"/>
    <w:rsid w:val="36F47E38"/>
    <w:rsid w:val="36F56D67"/>
    <w:rsid w:val="36F6488E"/>
    <w:rsid w:val="36FB31B6"/>
    <w:rsid w:val="36FD5C1C"/>
    <w:rsid w:val="36FE5B80"/>
    <w:rsid w:val="372907BF"/>
    <w:rsid w:val="372949B6"/>
    <w:rsid w:val="37353608"/>
    <w:rsid w:val="37377380"/>
    <w:rsid w:val="373A0C1E"/>
    <w:rsid w:val="37427AD3"/>
    <w:rsid w:val="3747231F"/>
    <w:rsid w:val="3747333B"/>
    <w:rsid w:val="374C2700"/>
    <w:rsid w:val="374F7A62"/>
    <w:rsid w:val="37607F59"/>
    <w:rsid w:val="37700C46"/>
    <w:rsid w:val="37753A04"/>
    <w:rsid w:val="377A1B2B"/>
    <w:rsid w:val="377A78F4"/>
    <w:rsid w:val="377D0B0B"/>
    <w:rsid w:val="378637D2"/>
    <w:rsid w:val="37977E1F"/>
    <w:rsid w:val="379F6CD3"/>
    <w:rsid w:val="37B22EAA"/>
    <w:rsid w:val="37B7226F"/>
    <w:rsid w:val="37C30C14"/>
    <w:rsid w:val="37C6490D"/>
    <w:rsid w:val="37C91FA2"/>
    <w:rsid w:val="37D01583"/>
    <w:rsid w:val="37D03331"/>
    <w:rsid w:val="37D5058C"/>
    <w:rsid w:val="37D73D98"/>
    <w:rsid w:val="37D84772"/>
    <w:rsid w:val="37DE43A9"/>
    <w:rsid w:val="37E1553E"/>
    <w:rsid w:val="37E31CBE"/>
    <w:rsid w:val="37E961A0"/>
    <w:rsid w:val="37F52FC7"/>
    <w:rsid w:val="37FE1C4C"/>
    <w:rsid w:val="38060F79"/>
    <w:rsid w:val="38066101"/>
    <w:rsid w:val="381C6576"/>
    <w:rsid w:val="3825367C"/>
    <w:rsid w:val="383C632A"/>
    <w:rsid w:val="38455ACD"/>
    <w:rsid w:val="38507FCD"/>
    <w:rsid w:val="385B709E"/>
    <w:rsid w:val="386D0B7F"/>
    <w:rsid w:val="38743A38"/>
    <w:rsid w:val="387D6121"/>
    <w:rsid w:val="388008B3"/>
    <w:rsid w:val="38871C41"/>
    <w:rsid w:val="38997BC6"/>
    <w:rsid w:val="38A04AB1"/>
    <w:rsid w:val="38A65A7D"/>
    <w:rsid w:val="38A81BB8"/>
    <w:rsid w:val="38BD5663"/>
    <w:rsid w:val="38CA5FD2"/>
    <w:rsid w:val="38CF183A"/>
    <w:rsid w:val="38D330D8"/>
    <w:rsid w:val="38D46E50"/>
    <w:rsid w:val="38D86941"/>
    <w:rsid w:val="38E250CA"/>
    <w:rsid w:val="38E52E0C"/>
    <w:rsid w:val="38E86458"/>
    <w:rsid w:val="38EA0422"/>
    <w:rsid w:val="38EE1CC0"/>
    <w:rsid w:val="38F70502"/>
    <w:rsid w:val="38F90665"/>
    <w:rsid w:val="38FC1F69"/>
    <w:rsid w:val="38FE651C"/>
    <w:rsid w:val="38FF4281"/>
    <w:rsid w:val="39282356"/>
    <w:rsid w:val="392A2581"/>
    <w:rsid w:val="392A3342"/>
    <w:rsid w:val="392C2F5A"/>
    <w:rsid w:val="39300B77"/>
    <w:rsid w:val="394624FA"/>
    <w:rsid w:val="394713D0"/>
    <w:rsid w:val="39506E1D"/>
    <w:rsid w:val="3951224F"/>
    <w:rsid w:val="39537D75"/>
    <w:rsid w:val="395F2BBE"/>
    <w:rsid w:val="39677CC5"/>
    <w:rsid w:val="396E2E01"/>
    <w:rsid w:val="396E78A8"/>
    <w:rsid w:val="397A17A6"/>
    <w:rsid w:val="397B107A"/>
    <w:rsid w:val="398664FD"/>
    <w:rsid w:val="39893797"/>
    <w:rsid w:val="39974106"/>
    <w:rsid w:val="39AC56D7"/>
    <w:rsid w:val="39B76556"/>
    <w:rsid w:val="39BF540B"/>
    <w:rsid w:val="39C36951"/>
    <w:rsid w:val="39C42A21"/>
    <w:rsid w:val="39C5042C"/>
    <w:rsid w:val="39DC7D6B"/>
    <w:rsid w:val="39F054BC"/>
    <w:rsid w:val="39F350B4"/>
    <w:rsid w:val="39FA6830"/>
    <w:rsid w:val="3A092B2A"/>
    <w:rsid w:val="3A145757"/>
    <w:rsid w:val="3A1503FF"/>
    <w:rsid w:val="3A1A0893"/>
    <w:rsid w:val="3A1A4D37"/>
    <w:rsid w:val="3A1F0006"/>
    <w:rsid w:val="3A263F97"/>
    <w:rsid w:val="3A26548A"/>
    <w:rsid w:val="3A2E68EE"/>
    <w:rsid w:val="3A331955"/>
    <w:rsid w:val="3A3359A9"/>
    <w:rsid w:val="3A335FE0"/>
    <w:rsid w:val="3A5C70FE"/>
    <w:rsid w:val="3A63048C"/>
    <w:rsid w:val="3A654204"/>
    <w:rsid w:val="3A6C702C"/>
    <w:rsid w:val="3A6D30B9"/>
    <w:rsid w:val="3A6F6E31"/>
    <w:rsid w:val="3A773F37"/>
    <w:rsid w:val="3A775CE5"/>
    <w:rsid w:val="3A79380C"/>
    <w:rsid w:val="3A7B57D6"/>
    <w:rsid w:val="3A7C154E"/>
    <w:rsid w:val="3A7C32FC"/>
    <w:rsid w:val="3A802780"/>
    <w:rsid w:val="3A8E1EA0"/>
    <w:rsid w:val="3A9909E1"/>
    <w:rsid w:val="3A992100"/>
    <w:rsid w:val="3A9B19D4"/>
    <w:rsid w:val="3AA80595"/>
    <w:rsid w:val="3ABE1B66"/>
    <w:rsid w:val="3AC802EF"/>
    <w:rsid w:val="3ACC7DDF"/>
    <w:rsid w:val="3AD42011"/>
    <w:rsid w:val="3ADB0022"/>
    <w:rsid w:val="3ADD023E"/>
    <w:rsid w:val="3AE07D2F"/>
    <w:rsid w:val="3AE75F01"/>
    <w:rsid w:val="3AF30FDE"/>
    <w:rsid w:val="3AF410E4"/>
    <w:rsid w:val="3AF93A4A"/>
    <w:rsid w:val="3B1672AC"/>
    <w:rsid w:val="3B19209B"/>
    <w:rsid w:val="3B20012B"/>
    <w:rsid w:val="3B252A87"/>
    <w:rsid w:val="3B2C2F74"/>
    <w:rsid w:val="3B3F4A55"/>
    <w:rsid w:val="3B4262F3"/>
    <w:rsid w:val="3B443E1A"/>
    <w:rsid w:val="3B4F1833"/>
    <w:rsid w:val="3B521418"/>
    <w:rsid w:val="3B54214A"/>
    <w:rsid w:val="3B5847DC"/>
    <w:rsid w:val="3B6B584A"/>
    <w:rsid w:val="3B6E70E8"/>
    <w:rsid w:val="3B7010B2"/>
    <w:rsid w:val="3B7172BA"/>
    <w:rsid w:val="3B750477"/>
    <w:rsid w:val="3B7F01E6"/>
    <w:rsid w:val="3B8531F2"/>
    <w:rsid w:val="3B8C2C1C"/>
    <w:rsid w:val="3B9303C7"/>
    <w:rsid w:val="3BA66882"/>
    <w:rsid w:val="3BAB0EC3"/>
    <w:rsid w:val="3BAE1BDB"/>
    <w:rsid w:val="3BB05BDD"/>
    <w:rsid w:val="3BC66F24"/>
    <w:rsid w:val="3BC91DFB"/>
    <w:rsid w:val="3BC9431F"/>
    <w:rsid w:val="3BDC4AFB"/>
    <w:rsid w:val="3BE4674F"/>
    <w:rsid w:val="3BE61375"/>
    <w:rsid w:val="3BF3242B"/>
    <w:rsid w:val="3BF910A8"/>
    <w:rsid w:val="3BFB328F"/>
    <w:rsid w:val="3BFC2946"/>
    <w:rsid w:val="3C12216A"/>
    <w:rsid w:val="3C1E28BD"/>
    <w:rsid w:val="3C281E5C"/>
    <w:rsid w:val="3C2974B3"/>
    <w:rsid w:val="3C37572C"/>
    <w:rsid w:val="3C3C0F95"/>
    <w:rsid w:val="3C3C1CB9"/>
    <w:rsid w:val="3C4B215E"/>
    <w:rsid w:val="3C5C1637"/>
    <w:rsid w:val="3C5F4C83"/>
    <w:rsid w:val="3C6504EB"/>
    <w:rsid w:val="3C6B3628"/>
    <w:rsid w:val="3C712D37"/>
    <w:rsid w:val="3C7324DC"/>
    <w:rsid w:val="3C74072E"/>
    <w:rsid w:val="3C751ED8"/>
    <w:rsid w:val="3C76177D"/>
    <w:rsid w:val="3C7C5835"/>
    <w:rsid w:val="3C7E335B"/>
    <w:rsid w:val="3C860462"/>
    <w:rsid w:val="3C8A7F52"/>
    <w:rsid w:val="3C8E0738"/>
    <w:rsid w:val="3C9012E0"/>
    <w:rsid w:val="3C9379BC"/>
    <w:rsid w:val="3C940DD1"/>
    <w:rsid w:val="3CA07FB4"/>
    <w:rsid w:val="3CA32DC2"/>
    <w:rsid w:val="3CA54D8C"/>
    <w:rsid w:val="3CAF1767"/>
    <w:rsid w:val="3CC01BC6"/>
    <w:rsid w:val="3CC201B3"/>
    <w:rsid w:val="3CCA47F2"/>
    <w:rsid w:val="3CCA753F"/>
    <w:rsid w:val="3CCB3E6D"/>
    <w:rsid w:val="3CCD4062"/>
    <w:rsid w:val="3CD4741F"/>
    <w:rsid w:val="3CDC2254"/>
    <w:rsid w:val="3CDD12F1"/>
    <w:rsid w:val="3CE05DC4"/>
    <w:rsid w:val="3CE07B72"/>
    <w:rsid w:val="3CE31410"/>
    <w:rsid w:val="3CE9358A"/>
    <w:rsid w:val="3CFB55E5"/>
    <w:rsid w:val="3CFC25BA"/>
    <w:rsid w:val="3D2D6B2F"/>
    <w:rsid w:val="3D3A1978"/>
    <w:rsid w:val="3D411665"/>
    <w:rsid w:val="3D4225DB"/>
    <w:rsid w:val="3D483FA5"/>
    <w:rsid w:val="3D4A5F79"/>
    <w:rsid w:val="3D4E71D1"/>
    <w:rsid w:val="3D4F2F4A"/>
    <w:rsid w:val="3D532A3A"/>
    <w:rsid w:val="3D6E0A76"/>
    <w:rsid w:val="3D7529B0"/>
    <w:rsid w:val="3D8810B1"/>
    <w:rsid w:val="3D8F1598"/>
    <w:rsid w:val="3D8F3BD3"/>
    <w:rsid w:val="3D995F73"/>
    <w:rsid w:val="3D9B65E3"/>
    <w:rsid w:val="3DA652FE"/>
    <w:rsid w:val="3DAE1A1E"/>
    <w:rsid w:val="3DB00B59"/>
    <w:rsid w:val="3DB16804"/>
    <w:rsid w:val="3DB57251"/>
    <w:rsid w:val="3DB66B25"/>
    <w:rsid w:val="3DB72FC9"/>
    <w:rsid w:val="3DBD7EB3"/>
    <w:rsid w:val="3DD479C1"/>
    <w:rsid w:val="3DD75419"/>
    <w:rsid w:val="3DE56543"/>
    <w:rsid w:val="3DF24001"/>
    <w:rsid w:val="3E111FAD"/>
    <w:rsid w:val="3E133F77"/>
    <w:rsid w:val="3E2241BA"/>
    <w:rsid w:val="3E2B1CC9"/>
    <w:rsid w:val="3E2B72D1"/>
    <w:rsid w:val="3E2B7513"/>
    <w:rsid w:val="3E2D0960"/>
    <w:rsid w:val="3E3A53A1"/>
    <w:rsid w:val="3E3C34CE"/>
    <w:rsid w:val="3E3F6B1A"/>
    <w:rsid w:val="3E4800C5"/>
    <w:rsid w:val="3E481E73"/>
    <w:rsid w:val="3E500D27"/>
    <w:rsid w:val="3E502AD5"/>
    <w:rsid w:val="3E5541D1"/>
    <w:rsid w:val="3E6447D3"/>
    <w:rsid w:val="3E6622F9"/>
    <w:rsid w:val="3E725142"/>
    <w:rsid w:val="3E726EF0"/>
    <w:rsid w:val="3E760346"/>
    <w:rsid w:val="3E79027E"/>
    <w:rsid w:val="3E7A3FF6"/>
    <w:rsid w:val="3E810EE1"/>
    <w:rsid w:val="3E8E35FE"/>
    <w:rsid w:val="3E950E30"/>
    <w:rsid w:val="3E9577F8"/>
    <w:rsid w:val="3E9A6446"/>
    <w:rsid w:val="3E9C33B9"/>
    <w:rsid w:val="3EA01CAF"/>
    <w:rsid w:val="3EA80B63"/>
    <w:rsid w:val="3EAD617A"/>
    <w:rsid w:val="3EB219E2"/>
    <w:rsid w:val="3EB43064"/>
    <w:rsid w:val="3EB63280"/>
    <w:rsid w:val="3EB92D70"/>
    <w:rsid w:val="3EC05EAD"/>
    <w:rsid w:val="3EE33949"/>
    <w:rsid w:val="3EE37DED"/>
    <w:rsid w:val="3EF26282"/>
    <w:rsid w:val="3EF67B21"/>
    <w:rsid w:val="3EFE0783"/>
    <w:rsid w:val="3F165BAA"/>
    <w:rsid w:val="3F19736B"/>
    <w:rsid w:val="3F1E2BD3"/>
    <w:rsid w:val="3F221C11"/>
    <w:rsid w:val="3F2327AF"/>
    <w:rsid w:val="3F255D10"/>
    <w:rsid w:val="3F2A5A1C"/>
    <w:rsid w:val="3F2D1CB6"/>
    <w:rsid w:val="3F32667F"/>
    <w:rsid w:val="3F402B4A"/>
    <w:rsid w:val="3F406FEE"/>
    <w:rsid w:val="3F424B14"/>
    <w:rsid w:val="3F5860E5"/>
    <w:rsid w:val="3F591E5E"/>
    <w:rsid w:val="3F7337E4"/>
    <w:rsid w:val="3F760C61"/>
    <w:rsid w:val="3F80513D"/>
    <w:rsid w:val="3F836EDA"/>
    <w:rsid w:val="3F8679B0"/>
    <w:rsid w:val="3F9D12D9"/>
    <w:rsid w:val="3FA35906"/>
    <w:rsid w:val="3FA43E50"/>
    <w:rsid w:val="3FA90056"/>
    <w:rsid w:val="3FB05F21"/>
    <w:rsid w:val="3FBB48C6"/>
    <w:rsid w:val="3FBD3436"/>
    <w:rsid w:val="3FC7326B"/>
    <w:rsid w:val="3FCC0881"/>
    <w:rsid w:val="3FD61700"/>
    <w:rsid w:val="3FD662F8"/>
    <w:rsid w:val="3FD87226"/>
    <w:rsid w:val="3FE43E1D"/>
    <w:rsid w:val="3FEB51AC"/>
    <w:rsid w:val="3FF04570"/>
    <w:rsid w:val="3FF37BBC"/>
    <w:rsid w:val="3FF73B50"/>
    <w:rsid w:val="3FF83425"/>
    <w:rsid w:val="3FFA53EF"/>
    <w:rsid w:val="3FFB1940"/>
    <w:rsid w:val="4004626D"/>
    <w:rsid w:val="400B699B"/>
    <w:rsid w:val="40215527"/>
    <w:rsid w:val="402B1A4C"/>
    <w:rsid w:val="402D7572"/>
    <w:rsid w:val="40302BBE"/>
    <w:rsid w:val="403A57EB"/>
    <w:rsid w:val="404C3770"/>
    <w:rsid w:val="404C551E"/>
    <w:rsid w:val="404E573A"/>
    <w:rsid w:val="40534AFF"/>
    <w:rsid w:val="40582115"/>
    <w:rsid w:val="40632F94"/>
    <w:rsid w:val="40643F31"/>
    <w:rsid w:val="40742122"/>
    <w:rsid w:val="4074518C"/>
    <w:rsid w:val="4081341A"/>
    <w:rsid w:val="40880C4C"/>
    <w:rsid w:val="40886274"/>
    <w:rsid w:val="408C5510"/>
    <w:rsid w:val="408E5B37"/>
    <w:rsid w:val="40905D53"/>
    <w:rsid w:val="40925627"/>
    <w:rsid w:val="409C0254"/>
    <w:rsid w:val="409C1AA7"/>
    <w:rsid w:val="40A4535A"/>
    <w:rsid w:val="40A8309D"/>
    <w:rsid w:val="40A84E4B"/>
    <w:rsid w:val="40B82BB4"/>
    <w:rsid w:val="40B9143D"/>
    <w:rsid w:val="40BE3287"/>
    <w:rsid w:val="40C31C84"/>
    <w:rsid w:val="40C33A32"/>
    <w:rsid w:val="40C477AB"/>
    <w:rsid w:val="40C5625C"/>
    <w:rsid w:val="40C63CCB"/>
    <w:rsid w:val="40D21EC7"/>
    <w:rsid w:val="40D55514"/>
    <w:rsid w:val="40D64CC0"/>
    <w:rsid w:val="40DC68A2"/>
    <w:rsid w:val="40E83499"/>
    <w:rsid w:val="40ED6D01"/>
    <w:rsid w:val="40F46F69"/>
    <w:rsid w:val="40F53820"/>
    <w:rsid w:val="40F97454"/>
    <w:rsid w:val="41087697"/>
    <w:rsid w:val="411E335F"/>
    <w:rsid w:val="41270465"/>
    <w:rsid w:val="412901AA"/>
    <w:rsid w:val="4134048C"/>
    <w:rsid w:val="413606A8"/>
    <w:rsid w:val="41383010"/>
    <w:rsid w:val="413B57D4"/>
    <w:rsid w:val="41452699"/>
    <w:rsid w:val="41474664"/>
    <w:rsid w:val="414D1F99"/>
    <w:rsid w:val="41540B2E"/>
    <w:rsid w:val="41674009"/>
    <w:rsid w:val="4168282C"/>
    <w:rsid w:val="41686388"/>
    <w:rsid w:val="416C5E78"/>
    <w:rsid w:val="416D1FB5"/>
    <w:rsid w:val="416E0685"/>
    <w:rsid w:val="41760AA5"/>
    <w:rsid w:val="417D62D7"/>
    <w:rsid w:val="418238EE"/>
    <w:rsid w:val="418C2076"/>
    <w:rsid w:val="418F7DB9"/>
    <w:rsid w:val="419B675D"/>
    <w:rsid w:val="41A156CC"/>
    <w:rsid w:val="41B15F81"/>
    <w:rsid w:val="41B2577E"/>
    <w:rsid w:val="41BB295C"/>
    <w:rsid w:val="41BF46F3"/>
    <w:rsid w:val="41D20247"/>
    <w:rsid w:val="41D57EC1"/>
    <w:rsid w:val="41DA54D8"/>
    <w:rsid w:val="41E2613A"/>
    <w:rsid w:val="41E40104"/>
    <w:rsid w:val="41EA3241"/>
    <w:rsid w:val="41FB544E"/>
    <w:rsid w:val="42051E29"/>
    <w:rsid w:val="42056F8B"/>
    <w:rsid w:val="42097B6B"/>
    <w:rsid w:val="42100EF9"/>
    <w:rsid w:val="42114C71"/>
    <w:rsid w:val="42154762"/>
    <w:rsid w:val="42192726"/>
    <w:rsid w:val="421D53C4"/>
    <w:rsid w:val="42220C2D"/>
    <w:rsid w:val="42276243"/>
    <w:rsid w:val="422C64D3"/>
    <w:rsid w:val="422E75D1"/>
    <w:rsid w:val="422F6EA6"/>
    <w:rsid w:val="423544BC"/>
    <w:rsid w:val="423821FE"/>
    <w:rsid w:val="42382C58"/>
    <w:rsid w:val="423D15C3"/>
    <w:rsid w:val="423E4D4A"/>
    <w:rsid w:val="4242307D"/>
    <w:rsid w:val="42490230"/>
    <w:rsid w:val="4252375D"/>
    <w:rsid w:val="425828A0"/>
    <w:rsid w:val="426478A4"/>
    <w:rsid w:val="426B6130"/>
    <w:rsid w:val="426F0B0E"/>
    <w:rsid w:val="42750D5C"/>
    <w:rsid w:val="42771BAB"/>
    <w:rsid w:val="427C658F"/>
    <w:rsid w:val="42817701"/>
    <w:rsid w:val="4283791D"/>
    <w:rsid w:val="428A2851"/>
    <w:rsid w:val="428F35C1"/>
    <w:rsid w:val="42935686"/>
    <w:rsid w:val="42962E63"/>
    <w:rsid w:val="42986794"/>
    <w:rsid w:val="42A33B1C"/>
    <w:rsid w:val="42A653BA"/>
    <w:rsid w:val="42B749AD"/>
    <w:rsid w:val="42BF46CD"/>
    <w:rsid w:val="42C10446"/>
    <w:rsid w:val="42C121F4"/>
    <w:rsid w:val="42C345BC"/>
    <w:rsid w:val="42CA554C"/>
    <w:rsid w:val="42D40179"/>
    <w:rsid w:val="42D53EF1"/>
    <w:rsid w:val="42DE42AF"/>
    <w:rsid w:val="42E14644"/>
    <w:rsid w:val="42E23AB3"/>
    <w:rsid w:val="42F00D2B"/>
    <w:rsid w:val="42F9198D"/>
    <w:rsid w:val="43000F6E"/>
    <w:rsid w:val="431542ED"/>
    <w:rsid w:val="43195B8C"/>
    <w:rsid w:val="431E13F4"/>
    <w:rsid w:val="431E31A2"/>
    <w:rsid w:val="431E7646"/>
    <w:rsid w:val="432A7D99"/>
    <w:rsid w:val="433E55F2"/>
    <w:rsid w:val="434150E2"/>
    <w:rsid w:val="4346094B"/>
    <w:rsid w:val="43482554"/>
    <w:rsid w:val="43524A0F"/>
    <w:rsid w:val="435412BA"/>
    <w:rsid w:val="43554284"/>
    <w:rsid w:val="435B61A4"/>
    <w:rsid w:val="435C697A"/>
    <w:rsid w:val="43603026"/>
    <w:rsid w:val="43657023"/>
    <w:rsid w:val="43663830"/>
    <w:rsid w:val="436F49F9"/>
    <w:rsid w:val="43721740"/>
    <w:rsid w:val="43880F63"/>
    <w:rsid w:val="438A5406"/>
    <w:rsid w:val="43947392"/>
    <w:rsid w:val="439711A6"/>
    <w:rsid w:val="439972F7"/>
    <w:rsid w:val="43A35D9D"/>
    <w:rsid w:val="43AF029E"/>
    <w:rsid w:val="43B056F6"/>
    <w:rsid w:val="43B81849"/>
    <w:rsid w:val="43C875B2"/>
    <w:rsid w:val="43CC3AB9"/>
    <w:rsid w:val="43D321DE"/>
    <w:rsid w:val="43DE2931"/>
    <w:rsid w:val="43E53CC0"/>
    <w:rsid w:val="43F87E97"/>
    <w:rsid w:val="44000AFA"/>
    <w:rsid w:val="440950CF"/>
    <w:rsid w:val="441F5288"/>
    <w:rsid w:val="44366721"/>
    <w:rsid w:val="44450C02"/>
    <w:rsid w:val="44561F95"/>
    <w:rsid w:val="445D7CFA"/>
    <w:rsid w:val="446217B4"/>
    <w:rsid w:val="446B0669"/>
    <w:rsid w:val="446F7A2D"/>
    <w:rsid w:val="44775260"/>
    <w:rsid w:val="447D65EE"/>
    <w:rsid w:val="448F6DAD"/>
    <w:rsid w:val="44986F84"/>
    <w:rsid w:val="449C4CC6"/>
    <w:rsid w:val="44B5539E"/>
    <w:rsid w:val="44B738AE"/>
    <w:rsid w:val="44C10289"/>
    <w:rsid w:val="44D07B86"/>
    <w:rsid w:val="44DD795F"/>
    <w:rsid w:val="44DE708D"/>
    <w:rsid w:val="44E64193"/>
    <w:rsid w:val="44E67CEF"/>
    <w:rsid w:val="44ED5522"/>
    <w:rsid w:val="44EE3048"/>
    <w:rsid w:val="44F20D8A"/>
    <w:rsid w:val="44FC5765"/>
    <w:rsid w:val="44FF7003"/>
    <w:rsid w:val="450308A1"/>
    <w:rsid w:val="450B1E4C"/>
    <w:rsid w:val="45126D36"/>
    <w:rsid w:val="451A3E3D"/>
    <w:rsid w:val="451E56DB"/>
    <w:rsid w:val="45260A34"/>
    <w:rsid w:val="453452D6"/>
    <w:rsid w:val="45372C41"/>
    <w:rsid w:val="453942C3"/>
    <w:rsid w:val="453C0257"/>
    <w:rsid w:val="454B049A"/>
    <w:rsid w:val="45524D57"/>
    <w:rsid w:val="45555D50"/>
    <w:rsid w:val="45602F3F"/>
    <w:rsid w:val="4565330A"/>
    <w:rsid w:val="456652D4"/>
    <w:rsid w:val="45682DFA"/>
    <w:rsid w:val="456A0921"/>
    <w:rsid w:val="456D6663"/>
    <w:rsid w:val="45717F01"/>
    <w:rsid w:val="457378FC"/>
    <w:rsid w:val="4580164A"/>
    <w:rsid w:val="45835E86"/>
    <w:rsid w:val="458D763F"/>
    <w:rsid w:val="459040FF"/>
    <w:rsid w:val="45967968"/>
    <w:rsid w:val="4597548E"/>
    <w:rsid w:val="45A33E32"/>
    <w:rsid w:val="45A63B54"/>
    <w:rsid w:val="45A73923"/>
    <w:rsid w:val="45AD4CB1"/>
    <w:rsid w:val="45AE5C02"/>
    <w:rsid w:val="45B4254C"/>
    <w:rsid w:val="45C36283"/>
    <w:rsid w:val="45C73FC5"/>
    <w:rsid w:val="45C83899"/>
    <w:rsid w:val="45CA13BF"/>
    <w:rsid w:val="45CB439E"/>
    <w:rsid w:val="45D43FEC"/>
    <w:rsid w:val="45D95AA6"/>
    <w:rsid w:val="45DD7344"/>
    <w:rsid w:val="45E85A95"/>
    <w:rsid w:val="45EF7078"/>
    <w:rsid w:val="45F36B68"/>
    <w:rsid w:val="45F416D5"/>
    <w:rsid w:val="45F83A10"/>
    <w:rsid w:val="45F97EF6"/>
    <w:rsid w:val="45FE72BB"/>
    <w:rsid w:val="46054AED"/>
    <w:rsid w:val="4618037D"/>
    <w:rsid w:val="461B3B13"/>
    <w:rsid w:val="461B5928"/>
    <w:rsid w:val="461F4196"/>
    <w:rsid w:val="46216020"/>
    <w:rsid w:val="4629483F"/>
    <w:rsid w:val="462C02CC"/>
    <w:rsid w:val="46454EEA"/>
    <w:rsid w:val="4657593E"/>
    <w:rsid w:val="465B470D"/>
    <w:rsid w:val="465E5C2B"/>
    <w:rsid w:val="46623CEE"/>
    <w:rsid w:val="46625A9C"/>
    <w:rsid w:val="46647A66"/>
    <w:rsid w:val="466B0DF4"/>
    <w:rsid w:val="466D5B1B"/>
    <w:rsid w:val="466F1F67"/>
    <w:rsid w:val="467F3837"/>
    <w:rsid w:val="468031F2"/>
    <w:rsid w:val="46871EED"/>
    <w:rsid w:val="4694464B"/>
    <w:rsid w:val="46955E71"/>
    <w:rsid w:val="469B0FAE"/>
    <w:rsid w:val="469F0A9E"/>
    <w:rsid w:val="46A02DC8"/>
    <w:rsid w:val="46A31A63"/>
    <w:rsid w:val="46AC6D17"/>
    <w:rsid w:val="46B53E1D"/>
    <w:rsid w:val="46BC1650"/>
    <w:rsid w:val="46BD6B9F"/>
    <w:rsid w:val="46C15975"/>
    <w:rsid w:val="46C202E8"/>
    <w:rsid w:val="46C2249B"/>
    <w:rsid w:val="46C502B5"/>
    <w:rsid w:val="46C50728"/>
    <w:rsid w:val="46C9712E"/>
    <w:rsid w:val="46CB53EF"/>
    <w:rsid w:val="46DC584E"/>
    <w:rsid w:val="46E22739"/>
    <w:rsid w:val="46E93AC7"/>
    <w:rsid w:val="46EE5581"/>
    <w:rsid w:val="46F25BDF"/>
    <w:rsid w:val="46F43360"/>
    <w:rsid w:val="46F45F7E"/>
    <w:rsid w:val="46F81F5C"/>
    <w:rsid w:val="46FA25B9"/>
    <w:rsid w:val="4710374A"/>
    <w:rsid w:val="47121802"/>
    <w:rsid w:val="47176886"/>
    <w:rsid w:val="471A45C8"/>
    <w:rsid w:val="471A6376"/>
    <w:rsid w:val="47207E67"/>
    <w:rsid w:val="47213261"/>
    <w:rsid w:val="47240FA3"/>
    <w:rsid w:val="472E47E5"/>
    <w:rsid w:val="473B3818"/>
    <w:rsid w:val="473C166C"/>
    <w:rsid w:val="474451A1"/>
    <w:rsid w:val="47462CC7"/>
    <w:rsid w:val="47482EE3"/>
    <w:rsid w:val="474C7708"/>
    <w:rsid w:val="475278BE"/>
    <w:rsid w:val="47596E9F"/>
    <w:rsid w:val="47631ACB"/>
    <w:rsid w:val="476D7C3C"/>
    <w:rsid w:val="476E4F16"/>
    <w:rsid w:val="47705F96"/>
    <w:rsid w:val="47706655"/>
    <w:rsid w:val="47775577"/>
    <w:rsid w:val="47833F1C"/>
    <w:rsid w:val="47A345BE"/>
    <w:rsid w:val="47A74968"/>
    <w:rsid w:val="47AA234B"/>
    <w:rsid w:val="47AA59C1"/>
    <w:rsid w:val="47AD2D46"/>
    <w:rsid w:val="47B039BF"/>
    <w:rsid w:val="47BB1907"/>
    <w:rsid w:val="47C307BC"/>
    <w:rsid w:val="47CA38F8"/>
    <w:rsid w:val="47D227AD"/>
    <w:rsid w:val="47D4106D"/>
    <w:rsid w:val="47EA3F9B"/>
    <w:rsid w:val="47ED3A8B"/>
    <w:rsid w:val="47EF665A"/>
    <w:rsid w:val="47F44E19"/>
    <w:rsid w:val="47F863F4"/>
    <w:rsid w:val="480239B3"/>
    <w:rsid w:val="4803065F"/>
    <w:rsid w:val="480C3F11"/>
    <w:rsid w:val="480F345C"/>
    <w:rsid w:val="48233009"/>
    <w:rsid w:val="48270D4B"/>
    <w:rsid w:val="48357205"/>
    <w:rsid w:val="483B65A4"/>
    <w:rsid w:val="48567CB8"/>
    <w:rsid w:val="48580F04"/>
    <w:rsid w:val="48651873"/>
    <w:rsid w:val="488520C4"/>
    <w:rsid w:val="488F069E"/>
    <w:rsid w:val="489932CB"/>
    <w:rsid w:val="48A20EC3"/>
    <w:rsid w:val="48A44149"/>
    <w:rsid w:val="48A648ED"/>
    <w:rsid w:val="48B30830"/>
    <w:rsid w:val="48B40105"/>
    <w:rsid w:val="48B82CB2"/>
    <w:rsid w:val="48BB7650"/>
    <w:rsid w:val="48BF4A4F"/>
    <w:rsid w:val="48C447EC"/>
    <w:rsid w:val="48D03190"/>
    <w:rsid w:val="48DA5DBD"/>
    <w:rsid w:val="48DB1B35"/>
    <w:rsid w:val="48DD53FB"/>
    <w:rsid w:val="48DD58AD"/>
    <w:rsid w:val="48E21116"/>
    <w:rsid w:val="48F96348"/>
    <w:rsid w:val="49023556"/>
    <w:rsid w:val="490966A2"/>
    <w:rsid w:val="49127957"/>
    <w:rsid w:val="49137521"/>
    <w:rsid w:val="493231C8"/>
    <w:rsid w:val="493C4382"/>
    <w:rsid w:val="49492F43"/>
    <w:rsid w:val="494D658F"/>
    <w:rsid w:val="49521DF7"/>
    <w:rsid w:val="49543DC1"/>
    <w:rsid w:val="498166D1"/>
    <w:rsid w:val="498D2E30"/>
    <w:rsid w:val="498D72D3"/>
    <w:rsid w:val="498E0956"/>
    <w:rsid w:val="49935F6C"/>
    <w:rsid w:val="499C726F"/>
    <w:rsid w:val="49A95790"/>
    <w:rsid w:val="49AD5BED"/>
    <w:rsid w:val="49AE2DA6"/>
    <w:rsid w:val="49B11B75"/>
    <w:rsid w:val="49B123F5"/>
    <w:rsid w:val="49B52245"/>
    <w:rsid w:val="49B77EAC"/>
    <w:rsid w:val="49C66341"/>
    <w:rsid w:val="49CB1BAA"/>
    <w:rsid w:val="49CD5922"/>
    <w:rsid w:val="49EB5D84"/>
    <w:rsid w:val="49EF5898"/>
    <w:rsid w:val="49F03B78"/>
    <w:rsid w:val="49F20EE5"/>
    <w:rsid w:val="4A050C18"/>
    <w:rsid w:val="4A070E34"/>
    <w:rsid w:val="4A0F5F3A"/>
    <w:rsid w:val="4A111CB3"/>
    <w:rsid w:val="4A121587"/>
    <w:rsid w:val="4A123335"/>
    <w:rsid w:val="4A192915"/>
    <w:rsid w:val="4A361719"/>
    <w:rsid w:val="4A392FB7"/>
    <w:rsid w:val="4A3C6604"/>
    <w:rsid w:val="4A415589"/>
    <w:rsid w:val="4A541B9F"/>
    <w:rsid w:val="4A563B69"/>
    <w:rsid w:val="4A664F68"/>
    <w:rsid w:val="4A6D4A0F"/>
    <w:rsid w:val="4A722025"/>
    <w:rsid w:val="4A730277"/>
    <w:rsid w:val="4A7364C9"/>
    <w:rsid w:val="4A7638C4"/>
    <w:rsid w:val="4A767D68"/>
    <w:rsid w:val="4A7933B4"/>
    <w:rsid w:val="4A7D4C52"/>
    <w:rsid w:val="4A807A1E"/>
    <w:rsid w:val="4A83274D"/>
    <w:rsid w:val="4A8A3813"/>
    <w:rsid w:val="4A911E84"/>
    <w:rsid w:val="4A963F66"/>
    <w:rsid w:val="4A9C3D82"/>
    <w:rsid w:val="4AAC3626"/>
    <w:rsid w:val="4AB35D6E"/>
    <w:rsid w:val="4ABA1BC3"/>
    <w:rsid w:val="4ABC1023"/>
    <w:rsid w:val="4AC2736B"/>
    <w:rsid w:val="4AC30D91"/>
    <w:rsid w:val="4AC40AD3"/>
    <w:rsid w:val="4ACB00B3"/>
    <w:rsid w:val="4ACD1F07"/>
    <w:rsid w:val="4AD145C4"/>
    <w:rsid w:val="4AD30D16"/>
    <w:rsid w:val="4AD35E1A"/>
    <w:rsid w:val="4AD41253"/>
    <w:rsid w:val="4ADD4A49"/>
    <w:rsid w:val="4AEB2504"/>
    <w:rsid w:val="4AEF3676"/>
    <w:rsid w:val="4AF018C8"/>
    <w:rsid w:val="4AF15640"/>
    <w:rsid w:val="4AFB026D"/>
    <w:rsid w:val="4AFD7946"/>
    <w:rsid w:val="4B045373"/>
    <w:rsid w:val="4B0A3F40"/>
    <w:rsid w:val="4B1B3BC5"/>
    <w:rsid w:val="4B241572"/>
    <w:rsid w:val="4B2D2BAA"/>
    <w:rsid w:val="4B325670"/>
    <w:rsid w:val="4B357FF2"/>
    <w:rsid w:val="4B3774F7"/>
    <w:rsid w:val="4B38501D"/>
    <w:rsid w:val="4B3D6AD7"/>
    <w:rsid w:val="4B447E66"/>
    <w:rsid w:val="4B4C2876"/>
    <w:rsid w:val="4B4D6D1A"/>
    <w:rsid w:val="4B542EFC"/>
    <w:rsid w:val="4B5D2CD5"/>
    <w:rsid w:val="4B5E0914"/>
    <w:rsid w:val="4B616322"/>
    <w:rsid w:val="4B646826"/>
    <w:rsid w:val="4B647BC0"/>
    <w:rsid w:val="4B661B8A"/>
    <w:rsid w:val="4B6D570B"/>
    <w:rsid w:val="4B857541"/>
    <w:rsid w:val="4B8B15F1"/>
    <w:rsid w:val="4B8E2E8F"/>
    <w:rsid w:val="4B9078B5"/>
    <w:rsid w:val="4B9A1834"/>
    <w:rsid w:val="4BA34B8C"/>
    <w:rsid w:val="4BAB1C93"/>
    <w:rsid w:val="4BAB3A41"/>
    <w:rsid w:val="4BB153BE"/>
    <w:rsid w:val="4BB225EC"/>
    <w:rsid w:val="4BB52B12"/>
    <w:rsid w:val="4BBF201F"/>
    <w:rsid w:val="4BC13264"/>
    <w:rsid w:val="4BC60599"/>
    <w:rsid w:val="4BC76EA1"/>
    <w:rsid w:val="4BCF5981"/>
    <w:rsid w:val="4BD302E8"/>
    <w:rsid w:val="4BE17463"/>
    <w:rsid w:val="4BE5547B"/>
    <w:rsid w:val="4BEA1743"/>
    <w:rsid w:val="4BF10A52"/>
    <w:rsid w:val="4C0513A3"/>
    <w:rsid w:val="4C0D6ED6"/>
    <w:rsid w:val="4C1A16B3"/>
    <w:rsid w:val="4C285091"/>
    <w:rsid w:val="4C2B6930"/>
    <w:rsid w:val="4C3752D5"/>
    <w:rsid w:val="4C3E2B07"/>
    <w:rsid w:val="4C43011D"/>
    <w:rsid w:val="4C4579F1"/>
    <w:rsid w:val="4C4E2DA6"/>
    <w:rsid w:val="4C525465"/>
    <w:rsid w:val="4C561BFF"/>
    <w:rsid w:val="4C6726C0"/>
    <w:rsid w:val="4C766A43"/>
    <w:rsid w:val="4C771B75"/>
    <w:rsid w:val="4C7D362F"/>
    <w:rsid w:val="4C7E1155"/>
    <w:rsid w:val="4C82595A"/>
    <w:rsid w:val="4C87000A"/>
    <w:rsid w:val="4C92075D"/>
    <w:rsid w:val="4C9B78D1"/>
    <w:rsid w:val="4C9E565A"/>
    <w:rsid w:val="4CA23096"/>
    <w:rsid w:val="4CB434FF"/>
    <w:rsid w:val="4CB46925"/>
    <w:rsid w:val="4CBD57DA"/>
    <w:rsid w:val="4CC34DBA"/>
    <w:rsid w:val="4CCC1EC1"/>
    <w:rsid w:val="4CD11B43"/>
    <w:rsid w:val="4CD174D7"/>
    <w:rsid w:val="4CDB2104"/>
    <w:rsid w:val="4CE0341F"/>
    <w:rsid w:val="4CE0771A"/>
    <w:rsid w:val="4CE23492"/>
    <w:rsid w:val="4CE54D31"/>
    <w:rsid w:val="4CE74F4D"/>
    <w:rsid w:val="4CEE62DB"/>
    <w:rsid w:val="4CEF6FC4"/>
    <w:rsid w:val="4CFF2296"/>
    <w:rsid w:val="4D0A4797"/>
    <w:rsid w:val="4D0B0C3B"/>
    <w:rsid w:val="4D0C49B3"/>
    <w:rsid w:val="4D0E4287"/>
    <w:rsid w:val="4D0F1DAD"/>
    <w:rsid w:val="4D161DBB"/>
    <w:rsid w:val="4D1D096E"/>
    <w:rsid w:val="4D21045F"/>
    <w:rsid w:val="4D267823"/>
    <w:rsid w:val="4D36558C"/>
    <w:rsid w:val="4D40134C"/>
    <w:rsid w:val="4D40640B"/>
    <w:rsid w:val="4D587BF8"/>
    <w:rsid w:val="4D605D48"/>
    <w:rsid w:val="4D6A628D"/>
    <w:rsid w:val="4D6B16DA"/>
    <w:rsid w:val="4D704F42"/>
    <w:rsid w:val="4D7367E0"/>
    <w:rsid w:val="4D761E2D"/>
    <w:rsid w:val="4D782049"/>
    <w:rsid w:val="4D896004"/>
    <w:rsid w:val="4D970721"/>
    <w:rsid w:val="4D975404"/>
    <w:rsid w:val="4D990ED1"/>
    <w:rsid w:val="4D9A1FBF"/>
    <w:rsid w:val="4D9F75D5"/>
    <w:rsid w:val="4DA819E3"/>
    <w:rsid w:val="4DAC0F44"/>
    <w:rsid w:val="4DAE095F"/>
    <w:rsid w:val="4DAE7818"/>
    <w:rsid w:val="4DBA7F6B"/>
    <w:rsid w:val="4DBD24AC"/>
    <w:rsid w:val="4DBE3EFF"/>
    <w:rsid w:val="4DC4528E"/>
    <w:rsid w:val="4DC4703C"/>
    <w:rsid w:val="4DC6361A"/>
    <w:rsid w:val="4DCA6127"/>
    <w:rsid w:val="4DCC6F1B"/>
    <w:rsid w:val="4DD52FF7"/>
    <w:rsid w:val="4DE44FE8"/>
    <w:rsid w:val="4DF158C1"/>
    <w:rsid w:val="4DF30DF0"/>
    <w:rsid w:val="4DF67155"/>
    <w:rsid w:val="4DFA0CB0"/>
    <w:rsid w:val="4E005F07"/>
    <w:rsid w:val="4E037B64"/>
    <w:rsid w:val="4E065892"/>
    <w:rsid w:val="4E094A4F"/>
    <w:rsid w:val="4E10402F"/>
    <w:rsid w:val="4E165AE9"/>
    <w:rsid w:val="4E17716C"/>
    <w:rsid w:val="4E191136"/>
    <w:rsid w:val="4E1C0C26"/>
    <w:rsid w:val="4E2142A9"/>
    <w:rsid w:val="4E353A96"/>
    <w:rsid w:val="4E375A60"/>
    <w:rsid w:val="4E3C4E24"/>
    <w:rsid w:val="4E3C509F"/>
    <w:rsid w:val="4E3F66C2"/>
    <w:rsid w:val="4E402B66"/>
    <w:rsid w:val="4E4361B3"/>
    <w:rsid w:val="4E437F61"/>
    <w:rsid w:val="4E45017D"/>
    <w:rsid w:val="4E46667C"/>
    <w:rsid w:val="4E485577"/>
    <w:rsid w:val="4E4A12EF"/>
    <w:rsid w:val="4E4E2408"/>
    <w:rsid w:val="4E516B22"/>
    <w:rsid w:val="4E604FB7"/>
    <w:rsid w:val="4E6E54A3"/>
    <w:rsid w:val="4E6F0D56"/>
    <w:rsid w:val="4E6F6FA8"/>
    <w:rsid w:val="4E7740AE"/>
    <w:rsid w:val="4E792811"/>
    <w:rsid w:val="4E7D295F"/>
    <w:rsid w:val="4E8011B5"/>
    <w:rsid w:val="4E916F1E"/>
    <w:rsid w:val="4E9407BC"/>
    <w:rsid w:val="4E993470"/>
    <w:rsid w:val="4E9B5FEF"/>
    <w:rsid w:val="4E9D1D67"/>
    <w:rsid w:val="4E9F0C87"/>
    <w:rsid w:val="4EB175C0"/>
    <w:rsid w:val="4ED11A10"/>
    <w:rsid w:val="4ED27537"/>
    <w:rsid w:val="4ED60DD5"/>
    <w:rsid w:val="4EDF237F"/>
    <w:rsid w:val="4EE72FE2"/>
    <w:rsid w:val="4F0911AA"/>
    <w:rsid w:val="4F096F8F"/>
    <w:rsid w:val="4F0C0C9A"/>
    <w:rsid w:val="4F1311B1"/>
    <w:rsid w:val="4F393F8B"/>
    <w:rsid w:val="4F3A5808"/>
    <w:rsid w:val="4F413D75"/>
    <w:rsid w:val="4F42646A"/>
    <w:rsid w:val="4F493C9D"/>
    <w:rsid w:val="4F5166AD"/>
    <w:rsid w:val="4F583EE0"/>
    <w:rsid w:val="4F59078B"/>
    <w:rsid w:val="4F644AAD"/>
    <w:rsid w:val="4F674123"/>
    <w:rsid w:val="4F681AF1"/>
    <w:rsid w:val="4F6C34E7"/>
    <w:rsid w:val="4F7A5C04"/>
    <w:rsid w:val="4F7C0C9E"/>
    <w:rsid w:val="4F836998"/>
    <w:rsid w:val="4F844CD5"/>
    <w:rsid w:val="4F9546EF"/>
    <w:rsid w:val="4FA9473B"/>
    <w:rsid w:val="4FAE4233"/>
    <w:rsid w:val="4FB31ECA"/>
    <w:rsid w:val="4FC357FD"/>
    <w:rsid w:val="4FCD667C"/>
    <w:rsid w:val="4FD03A76"/>
    <w:rsid w:val="4FD572DE"/>
    <w:rsid w:val="4FD942A1"/>
    <w:rsid w:val="4FDD6193"/>
    <w:rsid w:val="4FE17A31"/>
    <w:rsid w:val="4FF04118"/>
    <w:rsid w:val="4FF754A7"/>
    <w:rsid w:val="4FFD0694"/>
    <w:rsid w:val="50016325"/>
    <w:rsid w:val="50040716"/>
    <w:rsid w:val="500656EA"/>
    <w:rsid w:val="50073C10"/>
    <w:rsid w:val="500876B4"/>
    <w:rsid w:val="500B4BE0"/>
    <w:rsid w:val="501E6ED7"/>
    <w:rsid w:val="50206D91"/>
    <w:rsid w:val="5025041A"/>
    <w:rsid w:val="50334703"/>
    <w:rsid w:val="5034122C"/>
    <w:rsid w:val="503D51EA"/>
    <w:rsid w:val="503E1327"/>
    <w:rsid w:val="503E2F33"/>
    <w:rsid w:val="504306EC"/>
    <w:rsid w:val="50485D02"/>
    <w:rsid w:val="504B57F2"/>
    <w:rsid w:val="504C7B26"/>
    <w:rsid w:val="50591CBD"/>
    <w:rsid w:val="5062593B"/>
    <w:rsid w:val="506643DA"/>
    <w:rsid w:val="50722D7F"/>
    <w:rsid w:val="50723E08"/>
    <w:rsid w:val="50770396"/>
    <w:rsid w:val="507A1C34"/>
    <w:rsid w:val="507E34D2"/>
    <w:rsid w:val="508378A2"/>
    <w:rsid w:val="509727E6"/>
    <w:rsid w:val="509C604E"/>
    <w:rsid w:val="509C631F"/>
    <w:rsid w:val="50A32F39"/>
    <w:rsid w:val="50B52C6C"/>
    <w:rsid w:val="50C57353"/>
    <w:rsid w:val="50C80BF1"/>
    <w:rsid w:val="50C86E43"/>
    <w:rsid w:val="50CD6207"/>
    <w:rsid w:val="50D50522"/>
    <w:rsid w:val="50D931FE"/>
    <w:rsid w:val="50E0418D"/>
    <w:rsid w:val="50F07DF4"/>
    <w:rsid w:val="50F975DD"/>
    <w:rsid w:val="510734C7"/>
    <w:rsid w:val="510A2FB8"/>
    <w:rsid w:val="510E57E5"/>
    <w:rsid w:val="51142224"/>
    <w:rsid w:val="5124051D"/>
    <w:rsid w:val="512C73D2"/>
    <w:rsid w:val="51301DAE"/>
    <w:rsid w:val="51321F21"/>
    <w:rsid w:val="513A6339"/>
    <w:rsid w:val="51426BF5"/>
    <w:rsid w:val="514429C2"/>
    <w:rsid w:val="514F07F2"/>
    <w:rsid w:val="515753B9"/>
    <w:rsid w:val="515F4D2C"/>
    <w:rsid w:val="51624BA2"/>
    <w:rsid w:val="516528E4"/>
    <w:rsid w:val="51654692"/>
    <w:rsid w:val="5167040A"/>
    <w:rsid w:val="516C5A20"/>
    <w:rsid w:val="51730B5D"/>
    <w:rsid w:val="517A1416"/>
    <w:rsid w:val="518A40F8"/>
    <w:rsid w:val="518C60C3"/>
    <w:rsid w:val="519D5BDA"/>
    <w:rsid w:val="51AC0513"/>
    <w:rsid w:val="51AE6039"/>
    <w:rsid w:val="51BB2504"/>
    <w:rsid w:val="51BC6CE7"/>
    <w:rsid w:val="51C23892"/>
    <w:rsid w:val="51C70EA9"/>
    <w:rsid w:val="51C972C4"/>
    <w:rsid w:val="51CC130F"/>
    <w:rsid w:val="51CE2237"/>
    <w:rsid w:val="51DB6702"/>
    <w:rsid w:val="51E9516C"/>
    <w:rsid w:val="51ED4DB3"/>
    <w:rsid w:val="51F16987"/>
    <w:rsid w:val="52000202"/>
    <w:rsid w:val="52027EBF"/>
    <w:rsid w:val="52081BED"/>
    <w:rsid w:val="521E31BF"/>
    <w:rsid w:val="52214A5D"/>
    <w:rsid w:val="522575FF"/>
    <w:rsid w:val="523227C6"/>
    <w:rsid w:val="52374280"/>
    <w:rsid w:val="523C29F9"/>
    <w:rsid w:val="5244083E"/>
    <w:rsid w:val="5248479E"/>
    <w:rsid w:val="52495D62"/>
    <w:rsid w:val="524E0A73"/>
    <w:rsid w:val="52505342"/>
    <w:rsid w:val="5256362F"/>
    <w:rsid w:val="52576524"/>
    <w:rsid w:val="526D6A4B"/>
    <w:rsid w:val="528C2E2C"/>
    <w:rsid w:val="529C2335"/>
    <w:rsid w:val="52A1794C"/>
    <w:rsid w:val="52A35472"/>
    <w:rsid w:val="52A64F62"/>
    <w:rsid w:val="52AE3E89"/>
    <w:rsid w:val="52B633F7"/>
    <w:rsid w:val="52BC6C70"/>
    <w:rsid w:val="52C15F54"/>
    <w:rsid w:val="52C33D66"/>
    <w:rsid w:val="52C804AE"/>
    <w:rsid w:val="52CC2C1B"/>
    <w:rsid w:val="52D41ACF"/>
    <w:rsid w:val="52D63A99"/>
    <w:rsid w:val="52DE46FC"/>
    <w:rsid w:val="52E61D37"/>
    <w:rsid w:val="52EF6909"/>
    <w:rsid w:val="52F1442F"/>
    <w:rsid w:val="52F45CCD"/>
    <w:rsid w:val="52FB3500"/>
    <w:rsid w:val="53015E73"/>
    <w:rsid w:val="5302663C"/>
    <w:rsid w:val="53052C74"/>
    <w:rsid w:val="53080E48"/>
    <w:rsid w:val="5310251E"/>
    <w:rsid w:val="531342F1"/>
    <w:rsid w:val="531F2FEB"/>
    <w:rsid w:val="532C190B"/>
    <w:rsid w:val="53397FAB"/>
    <w:rsid w:val="533B1B4E"/>
    <w:rsid w:val="533D58C6"/>
    <w:rsid w:val="533F163E"/>
    <w:rsid w:val="53424C8B"/>
    <w:rsid w:val="534D3630"/>
    <w:rsid w:val="53511372"/>
    <w:rsid w:val="535350EA"/>
    <w:rsid w:val="535E75EB"/>
    <w:rsid w:val="537312E8"/>
    <w:rsid w:val="53775BA0"/>
    <w:rsid w:val="537A08C9"/>
    <w:rsid w:val="537C6565"/>
    <w:rsid w:val="537D5CC3"/>
    <w:rsid w:val="53834143"/>
    <w:rsid w:val="538418DC"/>
    <w:rsid w:val="53985717"/>
    <w:rsid w:val="53990623"/>
    <w:rsid w:val="539F032F"/>
    <w:rsid w:val="53A43D28"/>
    <w:rsid w:val="53AA09C1"/>
    <w:rsid w:val="53AC47FA"/>
    <w:rsid w:val="53C65075"/>
    <w:rsid w:val="53CE29C2"/>
    <w:rsid w:val="53E06252"/>
    <w:rsid w:val="53E2021C"/>
    <w:rsid w:val="53E421E6"/>
    <w:rsid w:val="53E47AF0"/>
    <w:rsid w:val="53E723A1"/>
    <w:rsid w:val="53E93358"/>
    <w:rsid w:val="53EE0073"/>
    <w:rsid w:val="53F57F4F"/>
    <w:rsid w:val="53FA7313"/>
    <w:rsid w:val="53FD70F6"/>
    <w:rsid w:val="540752DD"/>
    <w:rsid w:val="54077C82"/>
    <w:rsid w:val="540B2405"/>
    <w:rsid w:val="540D34EB"/>
    <w:rsid w:val="540D5BAD"/>
    <w:rsid w:val="54106B37"/>
    <w:rsid w:val="54201234"/>
    <w:rsid w:val="54247939"/>
    <w:rsid w:val="542B571F"/>
    <w:rsid w:val="542D593B"/>
    <w:rsid w:val="543071D9"/>
    <w:rsid w:val="543A71BE"/>
    <w:rsid w:val="543F11CA"/>
    <w:rsid w:val="543F2D91"/>
    <w:rsid w:val="544F3B03"/>
    <w:rsid w:val="545A6004"/>
    <w:rsid w:val="545E69E5"/>
    <w:rsid w:val="545F361A"/>
    <w:rsid w:val="54624EB9"/>
    <w:rsid w:val="546926EB"/>
    <w:rsid w:val="54701694"/>
    <w:rsid w:val="54717CCC"/>
    <w:rsid w:val="54776BB6"/>
    <w:rsid w:val="547C241E"/>
    <w:rsid w:val="548958AC"/>
    <w:rsid w:val="54971006"/>
    <w:rsid w:val="54984EB3"/>
    <w:rsid w:val="549F50E1"/>
    <w:rsid w:val="54A008B7"/>
    <w:rsid w:val="54A6749B"/>
    <w:rsid w:val="54AA3464"/>
    <w:rsid w:val="54AC1CC0"/>
    <w:rsid w:val="54AF6350"/>
    <w:rsid w:val="54B576DE"/>
    <w:rsid w:val="54B90CF5"/>
    <w:rsid w:val="54B90F7D"/>
    <w:rsid w:val="54BB2F47"/>
    <w:rsid w:val="54BC6CBF"/>
    <w:rsid w:val="54BE6593"/>
    <w:rsid w:val="54C17D57"/>
    <w:rsid w:val="54C85664"/>
    <w:rsid w:val="54CA318A"/>
    <w:rsid w:val="54D745DB"/>
    <w:rsid w:val="54D933CD"/>
    <w:rsid w:val="54DE6C35"/>
    <w:rsid w:val="54E55B5A"/>
    <w:rsid w:val="54E81862"/>
    <w:rsid w:val="54ED6E78"/>
    <w:rsid w:val="54F46459"/>
    <w:rsid w:val="54FE1085"/>
    <w:rsid w:val="5503044A"/>
    <w:rsid w:val="55052414"/>
    <w:rsid w:val="552322AF"/>
    <w:rsid w:val="552503C0"/>
    <w:rsid w:val="552A00CC"/>
    <w:rsid w:val="552B174F"/>
    <w:rsid w:val="55326F81"/>
    <w:rsid w:val="55390EB8"/>
    <w:rsid w:val="553B7BE4"/>
    <w:rsid w:val="55410F72"/>
    <w:rsid w:val="55482300"/>
    <w:rsid w:val="55537708"/>
    <w:rsid w:val="555869E7"/>
    <w:rsid w:val="5560589C"/>
    <w:rsid w:val="55747599"/>
    <w:rsid w:val="557C4123"/>
    <w:rsid w:val="5580109A"/>
    <w:rsid w:val="55806C15"/>
    <w:rsid w:val="55852C7F"/>
    <w:rsid w:val="55886BA1"/>
    <w:rsid w:val="55894DF3"/>
    <w:rsid w:val="558F6181"/>
    <w:rsid w:val="55992CA8"/>
    <w:rsid w:val="55A35789"/>
    <w:rsid w:val="55B0580B"/>
    <w:rsid w:val="55B22FA5"/>
    <w:rsid w:val="55B61960"/>
    <w:rsid w:val="55BC7D0E"/>
    <w:rsid w:val="55C37BD9"/>
    <w:rsid w:val="55CD0F9E"/>
    <w:rsid w:val="55CE2806"/>
    <w:rsid w:val="55DD1CCE"/>
    <w:rsid w:val="55DF2C65"/>
    <w:rsid w:val="55E4027B"/>
    <w:rsid w:val="55E77D6B"/>
    <w:rsid w:val="55F52488"/>
    <w:rsid w:val="55FB7373"/>
    <w:rsid w:val="55FF3307"/>
    <w:rsid w:val="56091A90"/>
    <w:rsid w:val="560E70A6"/>
    <w:rsid w:val="56130B60"/>
    <w:rsid w:val="5613290E"/>
    <w:rsid w:val="561346BC"/>
    <w:rsid w:val="562543F0"/>
    <w:rsid w:val="562763BA"/>
    <w:rsid w:val="56280165"/>
    <w:rsid w:val="56530F5D"/>
    <w:rsid w:val="56535401"/>
    <w:rsid w:val="56552F27"/>
    <w:rsid w:val="565A053D"/>
    <w:rsid w:val="565D002E"/>
    <w:rsid w:val="56690780"/>
    <w:rsid w:val="56757125"/>
    <w:rsid w:val="567C6706"/>
    <w:rsid w:val="568455BA"/>
    <w:rsid w:val="56861332"/>
    <w:rsid w:val="56874282"/>
    <w:rsid w:val="568B6949"/>
    <w:rsid w:val="56903F5F"/>
    <w:rsid w:val="569357FD"/>
    <w:rsid w:val="56971675"/>
    <w:rsid w:val="56986138"/>
    <w:rsid w:val="569A40BE"/>
    <w:rsid w:val="569C2904"/>
    <w:rsid w:val="56A33C92"/>
    <w:rsid w:val="56A47A0A"/>
    <w:rsid w:val="56B37C4E"/>
    <w:rsid w:val="56CF0F2B"/>
    <w:rsid w:val="56D05B1A"/>
    <w:rsid w:val="56DB69E5"/>
    <w:rsid w:val="56E073C6"/>
    <w:rsid w:val="56E9366F"/>
    <w:rsid w:val="56EA7B13"/>
    <w:rsid w:val="56EB73E7"/>
    <w:rsid w:val="56F00EA2"/>
    <w:rsid w:val="56F76F41"/>
    <w:rsid w:val="56FC58A6"/>
    <w:rsid w:val="56FC7846"/>
    <w:rsid w:val="57006D6F"/>
    <w:rsid w:val="570D55B0"/>
    <w:rsid w:val="571132F2"/>
    <w:rsid w:val="571A6C30"/>
    <w:rsid w:val="572528F9"/>
    <w:rsid w:val="572D17AE"/>
    <w:rsid w:val="573541E6"/>
    <w:rsid w:val="5753390A"/>
    <w:rsid w:val="57574A7D"/>
    <w:rsid w:val="57601B83"/>
    <w:rsid w:val="576077E8"/>
    <w:rsid w:val="57622CEB"/>
    <w:rsid w:val="57684EDC"/>
    <w:rsid w:val="576F626A"/>
    <w:rsid w:val="5774562F"/>
    <w:rsid w:val="577675F9"/>
    <w:rsid w:val="5778511F"/>
    <w:rsid w:val="578135A0"/>
    <w:rsid w:val="579637F7"/>
    <w:rsid w:val="5798756F"/>
    <w:rsid w:val="579B0E0D"/>
    <w:rsid w:val="579D4B86"/>
    <w:rsid w:val="579D7124"/>
    <w:rsid w:val="579E08FE"/>
    <w:rsid w:val="57A11BE3"/>
    <w:rsid w:val="57A777B2"/>
    <w:rsid w:val="57AE6C15"/>
    <w:rsid w:val="57B67C8D"/>
    <w:rsid w:val="57B91294"/>
    <w:rsid w:val="57BC3BD4"/>
    <w:rsid w:val="57C51D9A"/>
    <w:rsid w:val="57D65228"/>
    <w:rsid w:val="57DC632E"/>
    <w:rsid w:val="57E5363B"/>
    <w:rsid w:val="57EE3633"/>
    <w:rsid w:val="57F40CD0"/>
    <w:rsid w:val="57FE314A"/>
    <w:rsid w:val="57FF75EE"/>
    <w:rsid w:val="5806097D"/>
    <w:rsid w:val="58090EFA"/>
    <w:rsid w:val="580C3AB9"/>
    <w:rsid w:val="581D341E"/>
    <w:rsid w:val="58272CC8"/>
    <w:rsid w:val="582E1C82"/>
    <w:rsid w:val="58385E1F"/>
    <w:rsid w:val="584B2834"/>
    <w:rsid w:val="584C2108"/>
    <w:rsid w:val="58580AAD"/>
    <w:rsid w:val="585B234B"/>
    <w:rsid w:val="586C4558"/>
    <w:rsid w:val="587F24DD"/>
    <w:rsid w:val="587F428B"/>
    <w:rsid w:val="58895E0A"/>
    <w:rsid w:val="58931AE5"/>
    <w:rsid w:val="589D2551"/>
    <w:rsid w:val="589F66DB"/>
    <w:rsid w:val="58A106A5"/>
    <w:rsid w:val="58AE2DC2"/>
    <w:rsid w:val="58B303D9"/>
    <w:rsid w:val="58B33F35"/>
    <w:rsid w:val="58BC54DF"/>
    <w:rsid w:val="58BC771F"/>
    <w:rsid w:val="58CE6FC1"/>
    <w:rsid w:val="58D85002"/>
    <w:rsid w:val="58DF4D2A"/>
    <w:rsid w:val="58E52E80"/>
    <w:rsid w:val="58EC0385"/>
    <w:rsid w:val="58F05189"/>
    <w:rsid w:val="58F06F37"/>
    <w:rsid w:val="58F702C5"/>
    <w:rsid w:val="58FA1B64"/>
    <w:rsid w:val="58FE78A6"/>
    <w:rsid w:val="59012EF2"/>
    <w:rsid w:val="59030A18"/>
    <w:rsid w:val="59170968"/>
    <w:rsid w:val="59197681"/>
    <w:rsid w:val="591C7D2C"/>
    <w:rsid w:val="59253609"/>
    <w:rsid w:val="592D44DB"/>
    <w:rsid w:val="593037D7"/>
    <w:rsid w:val="59464DA9"/>
    <w:rsid w:val="59481573"/>
    <w:rsid w:val="594C0979"/>
    <w:rsid w:val="594F3C5E"/>
    <w:rsid w:val="59522196"/>
    <w:rsid w:val="595B0854"/>
    <w:rsid w:val="59600776"/>
    <w:rsid w:val="596334BB"/>
    <w:rsid w:val="59687BBD"/>
    <w:rsid w:val="59694B3B"/>
    <w:rsid w:val="596D2336"/>
    <w:rsid w:val="596F0ED2"/>
    <w:rsid w:val="59710078"/>
    <w:rsid w:val="59750590"/>
    <w:rsid w:val="59851D75"/>
    <w:rsid w:val="598E7916"/>
    <w:rsid w:val="599E2B07"/>
    <w:rsid w:val="599E6993"/>
    <w:rsid w:val="59A55F73"/>
    <w:rsid w:val="59C56616"/>
    <w:rsid w:val="59C604DE"/>
    <w:rsid w:val="59C95329"/>
    <w:rsid w:val="59CD1026"/>
    <w:rsid w:val="59CF4D9E"/>
    <w:rsid w:val="59E36A9C"/>
    <w:rsid w:val="59E37BAC"/>
    <w:rsid w:val="59E44CEE"/>
    <w:rsid w:val="59E54F88"/>
    <w:rsid w:val="59EE16C8"/>
    <w:rsid w:val="59F66527"/>
    <w:rsid w:val="59F91E1B"/>
    <w:rsid w:val="59F93C29"/>
    <w:rsid w:val="5A0215A1"/>
    <w:rsid w:val="5A097BEB"/>
    <w:rsid w:val="5A0E1D6B"/>
    <w:rsid w:val="5A13795C"/>
    <w:rsid w:val="5A1D62E8"/>
    <w:rsid w:val="5A3410A5"/>
    <w:rsid w:val="5A386DE8"/>
    <w:rsid w:val="5A3966BC"/>
    <w:rsid w:val="5A3A3C09"/>
    <w:rsid w:val="5A3A61EC"/>
    <w:rsid w:val="5A3E3CD2"/>
    <w:rsid w:val="5A3F47C7"/>
    <w:rsid w:val="5A490FF5"/>
    <w:rsid w:val="5A4E03B9"/>
    <w:rsid w:val="5A584D94"/>
    <w:rsid w:val="5A5A0B0C"/>
    <w:rsid w:val="5A615BD7"/>
    <w:rsid w:val="5A673229"/>
    <w:rsid w:val="5A6C083F"/>
    <w:rsid w:val="5A6E4EEC"/>
    <w:rsid w:val="5A7122F9"/>
    <w:rsid w:val="5A737E20"/>
    <w:rsid w:val="5A7C4F26"/>
    <w:rsid w:val="5A7E0C06"/>
    <w:rsid w:val="5A7F4351"/>
    <w:rsid w:val="5A7F4A16"/>
    <w:rsid w:val="5A8D7133"/>
    <w:rsid w:val="5A8E4C59"/>
    <w:rsid w:val="5A9102A6"/>
    <w:rsid w:val="5A910924"/>
    <w:rsid w:val="5A912133"/>
    <w:rsid w:val="5A9C7376"/>
    <w:rsid w:val="5AB0697E"/>
    <w:rsid w:val="5AB55661"/>
    <w:rsid w:val="5AC65875"/>
    <w:rsid w:val="5ACB1A0A"/>
    <w:rsid w:val="5AD4209C"/>
    <w:rsid w:val="5ADE3A07"/>
    <w:rsid w:val="5ADF3707"/>
    <w:rsid w:val="5AFA5E4B"/>
    <w:rsid w:val="5B013AD3"/>
    <w:rsid w:val="5B046CCA"/>
    <w:rsid w:val="5B060C94"/>
    <w:rsid w:val="5B2D4472"/>
    <w:rsid w:val="5B370E4D"/>
    <w:rsid w:val="5B432946"/>
    <w:rsid w:val="5B501F0F"/>
    <w:rsid w:val="5B503CBD"/>
    <w:rsid w:val="5B5A5DEF"/>
    <w:rsid w:val="5B692B86"/>
    <w:rsid w:val="5B6A4DC4"/>
    <w:rsid w:val="5B6B6D49"/>
    <w:rsid w:val="5B745BFD"/>
    <w:rsid w:val="5B857E0A"/>
    <w:rsid w:val="5B962018"/>
    <w:rsid w:val="5BA16563"/>
    <w:rsid w:val="5BA2451E"/>
    <w:rsid w:val="5BA34735"/>
    <w:rsid w:val="5BBA55DA"/>
    <w:rsid w:val="5BC546AB"/>
    <w:rsid w:val="5BC76675"/>
    <w:rsid w:val="5BC776FE"/>
    <w:rsid w:val="5BCE7A03"/>
    <w:rsid w:val="5BE10DB9"/>
    <w:rsid w:val="5BE56AFB"/>
    <w:rsid w:val="5BED3CEF"/>
    <w:rsid w:val="5BF1724E"/>
    <w:rsid w:val="5BF31218"/>
    <w:rsid w:val="5BF44F90"/>
    <w:rsid w:val="5BF907F8"/>
    <w:rsid w:val="5BFF72D5"/>
    <w:rsid w:val="5C007491"/>
    <w:rsid w:val="5C163DE7"/>
    <w:rsid w:val="5C1949F7"/>
    <w:rsid w:val="5C1B076F"/>
    <w:rsid w:val="5C207B33"/>
    <w:rsid w:val="5C216AB1"/>
    <w:rsid w:val="5C2869E8"/>
    <w:rsid w:val="5C31448F"/>
    <w:rsid w:val="5C3F26AF"/>
    <w:rsid w:val="5C403D31"/>
    <w:rsid w:val="5C451348"/>
    <w:rsid w:val="5C4C26D6"/>
    <w:rsid w:val="5C4F4200"/>
    <w:rsid w:val="5C6A7000"/>
    <w:rsid w:val="5C71213D"/>
    <w:rsid w:val="5C717109"/>
    <w:rsid w:val="5C734895"/>
    <w:rsid w:val="5C776F19"/>
    <w:rsid w:val="5C7B120D"/>
    <w:rsid w:val="5C9522CF"/>
    <w:rsid w:val="5C9F314E"/>
    <w:rsid w:val="5C9F4EFC"/>
    <w:rsid w:val="5CA1390D"/>
    <w:rsid w:val="5CA50038"/>
    <w:rsid w:val="5CA61FE4"/>
    <w:rsid w:val="5CA7000F"/>
    <w:rsid w:val="5CA80218"/>
    <w:rsid w:val="5CA9083C"/>
    <w:rsid w:val="5CAE513F"/>
    <w:rsid w:val="5CB1629C"/>
    <w:rsid w:val="5CB37796"/>
    <w:rsid w:val="5CBA1D36"/>
    <w:rsid w:val="5CBB4C65"/>
    <w:rsid w:val="5CBE30B7"/>
    <w:rsid w:val="5CBF10FA"/>
    <w:rsid w:val="5CC03A3D"/>
    <w:rsid w:val="5CD42D46"/>
    <w:rsid w:val="5CD66C9C"/>
    <w:rsid w:val="5CDF354A"/>
    <w:rsid w:val="5CE62B2B"/>
    <w:rsid w:val="5CE70651"/>
    <w:rsid w:val="5CE96177"/>
    <w:rsid w:val="5CEB0141"/>
    <w:rsid w:val="5CF54B1C"/>
    <w:rsid w:val="5CFA65D6"/>
    <w:rsid w:val="5CFB5EAA"/>
    <w:rsid w:val="5CFD1C22"/>
    <w:rsid w:val="5CFD699D"/>
    <w:rsid w:val="5D071531"/>
    <w:rsid w:val="5D1443E0"/>
    <w:rsid w:val="5D1A5681"/>
    <w:rsid w:val="5D1D22C5"/>
    <w:rsid w:val="5D215911"/>
    <w:rsid w:val="5D261179"/>
    <w:rsid w:val="5D2B66A8"/>
    <w:rsid w:val="5D2B6790"/>
    <w:rsid w:val="5D2D69AC"/>
    <w:rsid w:val="5D373386"/>
    <w:rsid w:val="5D3C0667"/>
    <w:rsid w:val="5D447851"/>
    <w:rsid w:val="5D465377"/>
    <w:rsid w:val="5D5339AB"/>
    <w:rsid w:val="5D5472D5"/>
    <w:rsid w:val="5D644278"/>
    <w:rsid w:val="5D6E0887"/>
    <w:rsid w:val="5D776F45"/>
    <w:rsid w:val="5D7D63F1"/>
    <w:rsid w:val="5D7E4802"/>
    <w:rsid w:val="5D9205BD"/>
    <w:rsid w:val="5D9702C9"/>
    <w:rsid w:val="5DA86032"/>
    <w:rsid w:val="5DAB78D0"/>
    <w:rsid w:val="5DAD53F7"/>
    <w:rsid w:val="5DAF1A17"/>
    <w:rsid w:val="5DBB3FB7"/>
    <w:rsid w:val="5DC82230"/>
    <w:rsid w:val="5DCB3ACF"/>
    <w:rsid w:val="5DD25AD6"/>
    <w:rsid w:val="5DD9443E"/>
    <w:rsid w:val="5DDC3F2E"/>
    <w:rsid w:val="5DDE7CA6"/>
    <w:rsid w:val="5DE0273B"/>
    <w:rsid w:val="5DE54B90"/>
    <w:rsid w:val="5DE7641D"/>
    <w:rsid w:val="5DEB5F1F"/>
    <w:rsid w:val="5DF815F7"/>
    <w:rsid w:val="5DFB0858"/>
    <w:rsid w:val="5DFC31B0"/>
    <w:rsid w:val="5DFD637E"/>
    <w:rsid w:val="5E0019CA"/>
    <w:rsid w:val="5E021B2B"/>
    <w:rsid w:val="5E03241E"/>
    <w:rsid w:val="5E14191A"/>
    <w:rsid w:val="5E231B5D"/>
    <w:rsid w:val="5E282CCF"/>
    <w:rsid w:val="5E2A2EEB"/>
    <w:rsid w:val="5E4F4700"/>
    <w:rsid w:val="5E4F48FF"/>
    <w:rsid w:val="5E51004B"/>
    <w:rsid w:val="5E595B38"/>
    <w:rsid w:val="5E6E797B"/>
    <w:rsid w:val="5E8206C3"/>
    <w:rsid w:val="5E895E64"/>
    <w:rsid w:val="5E8C345B"/>
    <w:rsid w:val="5E8F0FA0"/>
    <w:rsid w:val="5E9B16F3"/>
    <w:rsid w:val="5E9B5A14"/>
    <w:rsid w:val="5EA20CD3"/>
    <w:rsid w:val="5EA9249D"/>
    <w:rsid w:val="5EAA5DDA"/>
    <w:rsid w:val="5EBD205C"/>
    <w:rsid w:val="5EBD3D5F"/>
    <w:rsid w:val="5EBF497F"/>
    <w:rsid w:val="5EC0115A"/>
    <w:rsid w:val="5EC0466B"/>
    <w:rsid w:val="5EC155FD"/>
    <w:rsid w:val="5ECC7AFE"/>
    <w:rsid w:val="5ED00919"/>
    <w:rsid w:val="5ED370DF"/>
    <w:rsid w:val="5ED66BCF"/>
    <w:rsid w:val="5EF332DD"/>
    <w:rsid w:val="5EF37781"/>
    <w:rsid w:val="5EFC1507"/>
    <w:rsid w:val="5EFC6636"/>
    <w:rsid w:val="5F06135B"/>
    <w:rsid w:val="5F067039"/>
    <w:rsid w:val="5F08322C"/>
    <w:rsid w:val="5F093B11"/>
    <w:rsid w:val="5F0B4ACB"/>
    <w:rsid w:val="5F0E6369"/>
    <w:rsid w:val="5F261904"/>
    <w:rsid w:val="5F337B7D"/>
    <w:rsid w:val="5F3F4774"/>
    <w:rsid w:val="5F463D55"/>
    <w:rsid w:val="5F4B3119"/>
    <w:rsid w:val="5F4C0C3F"/>
    <w:rsid w:val="5F5B21A9"/>
    <w:rsid w:val="5F5C5326"/>
    <w:rsid w:val="5F640305"/>
    <w:rsid w:val="5F685A79"/>
    <w:rsid w:val="5F7563E8"/>
    <w:rsid w:val="5F7601FA"/>
    <w:rsid w:val="5F772D91"/>
    <w:rsid w:val="5F793330"/>
    <w:rsid w:val="5F7D6C03"/>
    <w:rsid w:val="5F857F66"/>
    <w:rsid w:val="5F9745B0"/>
    <w:rsid w:val="5F9D32AC"/>
    <w:rsid w:val="5FA6034F"/>
    <w:rsid w:val="5FAF0759"/>
    <w:rsid w:val="5FAF36A8"/>
    <w:rsid w:val="5FAF7CB1"/>
    <w:rsid w:val="5FB011CE"/>
    <w:rsid w:val="5FB05863"/>
    <w:rsid w:val="5FB213EA"/>
    <w:rsid w:val="5FB32A6C"/>
    <w:rsid w:val="5FB46F10"/>
    <w:rsid w:val="5FBB1A30"/>
    <w:rsid w:val="5FC15189"/>
    <w:rsid w:val="5FCD1D80"/>
    <w:rsid w:val="5FD21144"/>
    <w:rsid w:val="5FD27396"/>
    <w:rsid w:val="5FDD7031"/>
    <w:rsid w:val="5FE570CA"/>
    <w:rsid w:val="5FE62E42"/>
    <w:rsid w:val="5FF11F12"/>
    <w:rsid w:val="5FF13CC0"/>
    <w:rsid w:val="5FF90DC7"/>
    <w:rsid w:val="5FFF04A2"/>
    <w:rsid w:val="600B28A8"/>
    <w:rsid w:val="601B6F8F"/>
    <w:rsid w:val="601C07A3"/>
    <w:rsid w:val="601E25DC"/>
    <w:rsid w:val="602120CC"/>
    <w:rsid w:val="60230C02"/>
    <w:rsid w:val="60286F67"/>
    <w:rsid w:val="602A0F80"/>
    <w:rsid w:val="602B6AA7"/>
    <w:rsid w:val="603404FE"/>
    <w:rsid w:val="60457B68"/>
    <w:rsid w:val="604F6C39"/>
    <w:rsid w:val="60522285"/>
    <w:rsid w:val="60575AEE"/>
    <w:rsid w:val="60617557"/>
    <w:rsid w:val="60624BBE"/>
    <w:rsid w:val="606512DC"/>
    <w:rsid w:val="6065645C"/>
    <w:rsid w:val="606C3347"/>
    <w:rsid w:val="60742E16"/>
    <w:rsid w:val="607B6A42"/>
    <w:rsid w:val="60883EF9"/>
    <w:rsid w:val="6089214B"/>
    <w:rsid w:val="608D5332"/>
    <w:rsid w:val="608E5A3C"/>
    <w:rsid w:val="60A00D94"/>
    <w:rsid w:val="60CA7F7D"/>
    <w:rsid w:val="60D1764E"/>
    <w:rsid w:val="60D741FE"/>
    <w:rsid w:val="60E03D35"/>
    <w:rsid w:val="60E107A2"/>
    <w:rsid w:val="60E20C4E"/>
    <w:rsid w:val="60E70C20"/>
    <w:rsid w:val="60EC6236"/>
    <w:rsid w:val="60F442E1"/>
    <w:rsid w:val="610537C5"/>
    <w:rsid w:val="610E43FE"/>
    <w:rsid w:val="610F0176"/>
    <w:rsid w:val="611063C8"/>
    <w:rsid w:val="61175E51"/>
    <w:rsid w:val="61227EAA"/>
    <w:rsid w:val="612B3202"/>
    <w:rsid w:val="612C3FFB"/>
    <w:rsid w:val="613320B7"/>
    <w:rsid w:val="61341414"/>
    <w:rsid w:val="613A3445"/>
    <w:rsid w:val="614C3178"/>
    <w:rsid w:val="614D13CA"/>
    <w:rsid w:val="61534507"/>
    <w:rsid w:val="615A5895"/>
    <w:rsid w:val="615F2EAC"/>
    <w:rsid w:val="61616C24"/>
    <w:rsid w:val="61682A61"/>
    <w:rsid w:val="61807AA7"/>
    <w:rsid w:val="6189617B"/>
    <w:rsid w:val="618D3F8D"/>
    <w:rsid w:val="61907509"/>
    <w:rsid w:val="61A44D62"/>
    <w:rsid w:val="61B902AA"/>
    <w:rsid w:val="61C147F1"/>
    <w:rsid w:val="61C15914"/>
    <w:rsid w:val="61CB0541"/>
    <w:rsid w:val="61D35B82"/>
    <w:rsid w:val="61D57F94"/>
    <w:rsid w:val="61DE0274"/>
    <w:rsid w:val="61ED6709"/>
    <w:rsid w:val="61EE5FDE"/>
    <w:rsid w:val="61F41846"/>
    <w:rsid w:val="61FF1B11"/>
    <w:rsid w:val="62031A89"/>
    <w:rsid w:val="620A72BB"/>
    <w:rsid w:val="620D2908"/>
    <w:rsid w:val="621E0449"/>
    <w:rsid w:val="622A170C"/>
    <w:rsid w:val="622F0AD0"/>
    <w:rsid w:val="623065F6"/>
    <w:rsid w:val="6239194F"/>
    <w:rsid w:val="62397BA1"/>
    <w:rsid w:val="623A1223"/>
    <w:rsid w:val="62465E1A"/>
    <w:rsid w:val="624706E9"/>
    <w:rsid w:val="62564257"/>
    <w:rsid w:val="6260512D"/>
    <w:rsid w:val="62634C1E"/>
    <w:rsid w:val="626C70F7"/>
    <w:rsid w:val="627209BD"/>
    <w:rsid w:val="62832BCA"/>
    <w:rsid w:val="6299063F"/>
    <w:rsid w:val="629B6165"/>
    <w:rsid w:val="62A25746"/>
    <w:rsid w:val="62B1579E"/>
    <w:rsid w:val="62B66AFB"/>
    <w:rsid w:val="62B83782"/>
    <w:rsid w:val="62BD60DC"/>
    <w:rsid w:val="62CF7BBD"/>
    <w:rsid w:val="62D376AD"/>
    <w:rsid w:val="62DD22DA"/>
    <w:rsid w:val="62DE1443"/>
    <w:rsid w:val="62F200E4"/>
    <w:rsid w:val="6300421A"/>
    <w:rsid w:val="63015CF9"/>
    <w:rsid w:val="63027F93"/>
    <w:rsid w:val="63094CB9"/>
    <w:rsid w:val="630E6937"/>
    <w:rsid w:val="631F0B45"/>
    <w:rsid w:val="632048BD"/>
    <w:rsid w:val="63212166"/>
    <w:rsid w:val="632356CD"/>
    <w:rsid w:val="633565CF"/>
    <w:rsid w:val="633F2F95"/>
    <w:rsid w:val="635D166D"/>
    <w:rsid w:val="636B4CFE"/>
    <w:rsid w:val="636F36FE"/>
    <w:rsid w:val="6372336A"/>
    <w:rsid w:val="63765563"/>
    <w:rsid w:val="63803C56"/>
    <w:rsid w:val="6381535B"/>
    <w:rsid w:val="63874AAA"/>
    <w:rsid w:val="63892462"/>
    <w:rsid w:val="638E1826"/>
    <w:rsid w:val="63916CE9"/>
    <w:rsid w:val="639826A5"/>
    <w:rsid w:val="639A466F"/>
    <w:rsid w:val="63AD43A2"/>
    <w:rsid w:val="63B05C41"/>
    <w:rsid w:val="63B3128D"/>
    <w:rsid w:val="63C86E42"/>
    <w:rsid w:val="63CB4828"/>
    <w:rsid w:val="63CE4319"/>
    <w:rsid w:val="63E87188"/>
    <w:rsid w:val="63E91153"/>
    <w:rsid w:val="63EB012C"/>
    <w:rsid w:val="63ED0C43"/>
    <w:rsid w:val="63FB7E15"/>
    <w:rsid w:val="63FD075A"/>
    <w:rsid w:val="641C5084"/>
    <w:rsid w:val="641E2BAA"/>
    <w:rsid w:val="642D103F"/>
    <w:rsid w:val="64382184"/>
    <w:rsid w:val="643B1AE6"/>
    <w:rsid w:val="643F06BF"/>
    <w:rsid w:val="64400263"/>
    <w:rsid w:val="64416899"/>
    <w:rsid w:val="64446389"/>
    <w:rsid w:val="6445282D"/>
    <w:rsid w:val="64460353"/>
    <w:rsid w:val="64471332"/>
    <w:rsid w:val="644D348F"/>
    <w:rsid w:val="6456784C"/>
    <w:rsid w:val="645E38EF"/>
    <w:rsid w:val="646B7DB9"/>
    <w:rsid w:val="646F3406"/>
    <w:rsid w:val="646F785E"/>
    <w:rsid w:val="647933E3"/>
    <w:rsid w:val="64866ED7"/>
    <w:rsid w:val="648B3FB8"/>
    <w:rsid w:val="648C5075"/>
    <w:rsid w:val="6497295D"/>
    <w:rsid w:val="649C269E"/>
    <w:rsid w:val="64A04C33"/>
    <w:rsid w:val="64A532CB"/>
    <w:rsid w:val="64C45DE1"/>
    <w:rsid w:val="64C71494"/>
    <w:rsid w:val="64CD45D0"/>
    <w:rsid w:val="64CF0348"/>
    <w:rsid w:val="64CF659A"/>
    <w:rsid w:val="64D30F5B"/>
    <w:rsid w:val="64DF4A2F"/>
    <w:rsid w:val="64E57B6C"/>
    <w:rsid w:val="64EC3722"/>
    <w:rsid w:val="64ED07CF"/>
    <w:rsid w:val="650755D0"/>
    <w:rsid w:val="650E70C3"/>
    <w:rsid w:val="65110961"/>
    <w:rsid w:val="65154379"/>
    <w:rsid w:val="651641C9"/>
    <w:rsid w:val="651D10B4"/>
    <w:rsid w:val="652017FE"/>
    <w:rsid w:val="652561BA"/>
    <w:rsid w:val="65270084"/>
    <w:rsid w:val="652B47FF"/>
    <w:rsid w:val="652E1513"/>
    <w:rsid w:val="65314B5F"/>
    <w:rsid w:val="65385D9F"/>
    <w:rsid w:val="6549634D"/>
    <w:rsid w:val="655A5E64"/>
    <w:rsid w:val="655D7702"/>
    <w:rsid w:val="656D260F"/>
    <w:rsid w:val="656F6C8F"/>
    <w:rsid w:val="657333CA"/>
    <w:rsid w:val="6575048D"/>
    <w:rsid w:val="65827169"/>
    <w:rsid w:val="6587477F"/>
    <w:rsid w:val="65984BDE"/>
    <w:rsid w:val="659959D4"/>
    <w:rsid w:val="65B92FA9"/>
    <w:rsid w:val="65BA20E6"/>
    <w:rsid w:val="65BC6B1F"/>
    <w:rsid w:val="65BF03BD"/>
    <w:rsid w:val="65C6174B"/>
    <w:rsid w:val="65D639F8"/>
    <w:rsid w:val="65D8147F"/>
    <w:rsid w:val="65F91B21"/>
    <w:rsid w:val="65F938CF"/>
    <w:rsid w:val="65FD40A2"/>
    <w:rsid w:val="65FE3D28"/>
    <w:rsid w:val="660758C0"/>
    <w:rsid w:val="660E76D3"/>
    <w:rsid w:val="66136147"/>
    <w:rsid w:val="661C75BD"/>
    <w:rsid w:val="66293A88"/>
    <w:rsid w:val="662C66AE"/>
    <w:rsid w:val="663234E8"/>
    <w:rsid w:val="663314D9"/>
    <w:rsid w:val="66344907"/>
    <w:rsid w:val="663C1A0D"/>
    <w:rsid w:val="663C4F2C"/>
    <w:rsid w:val="663C7C5F"/>
    <w:rsid w:val="66402D4F"/>
    <w:rsid w:val="664E34EF"/>
    <w:rsid w:val="66522FDF"/>
    <w:rsid w:val="665242EE"/>
    <w:rsid w:val="66586183"/>
    <w:rsid w:val="66663BB5"/>
    <w:rsid w:val="66763171"/>
    <w:rsid w:val="66882EA5"/>
    <w:rsid w:val="669C425A"/>
    <w:rsid w:val="66A15D14"/>
    <w:rsid w:val="66B94E0C"/>
    <w:rsid w:val="66BD4EB0"/>
    <w:rsid w:val="66BF5FF7"/>
    <w:rsid w:val="66C2208B"/>
    <w:rsid w:val="66C37A39"/>
    <w:rsid w:val="66CA0DC7"/>
    <w:rsid w:val="66CA7430"/>
    <w:rsid w:val="66CD4D5B"/>
    <w:rsid w:val="66CE16B9"/>
    <w:rsid w:val="66E77BCB"/>
    <w:rsid w:val="66E8749F"/>
    <w:rsid w:val="66EC10AB"/>
    <w:rsid w:val="66EC3434"/>
    <w:rsid w:val="66F00016"/>
    <w:rsid w:val="66FE3167"/>
    <w:rsid w:val="670100D5"/>
    <w:rsid w:val="67044388"/>
    <w:rsid w:val="6706547A"/>
    <w:rsid w:val="6709601B"/>
    <w:rsid w:val="670E46A1"/>
    <w:rsid w:val="6728524B"/>
    <w:rsid w:val="672957C5"/>
    <w:rsid w:val="67317098"/>
    <w:rsid w:val="673821D5"/>
    <w:rsid w:val="67397CFB"/>
    <w:rsid w:val="674C08AA"/>
    <w:rsid w:val="674D7A09"/>
    <w:rsid w:val="674F751F"/>
    <w:rsid w:val="67564D51"/>
    <w:rsid w:val="675863D3"/>
    <w:rsid w:val="676254A4"/>
    <w:rsid w:val="676E5BF7"/>
    <w:rsid w:val="67713939"/>
    <w:rsid w:val="677A27ED"/>
    <w:rsid w:val="677C66A3"/>
    <w:rsid w:val="678216A2"/>
    <w:rsid w:val="678A67A9"/>
    <w:rsid w:val="67917B37"/>
    <w:rsid w:val="67931FE7"/>
    <w:rsid w:val="6796514D"/>
    <w:rsid w:val="679C6C08"/>
    <w:rsid w:val="67AA29A7"/>
    <w:rsid w:val="67B6759E"/>
    <w:rsid w:val="67BF28F6"/>
    <w:rsid w:val="67D31EFE"/>
    <w:rsid w:val="67D60969"/>
    <w:rsid w:val="67D971F6"/>
    <w:rsid w:val="67DD2D7C"/>
    <w:rsid w:val="67E64BC1"/>
    <w:rsid w:val="67EB7247"/>
    <w:rsid w:val="67EE4F89"/>
    <w:rsid w:val="67F10517"/>
    <w:rsid w:val="67FA56DC"/>
    <w:rsid w:val="67FB761A"/>
    <w:rsid w:val="67FC2C0A"/>
    <w:rsid w:val="68012F0F"/>
    <w:rsid w:val="680B78E9"/>
    <w:rsid w:val="680F45AC"/>
    <w:rsid w:val="681C2B17"/>
    <w:rsid w:val="68295FC1"/>
    <w:rsid w:val="68376930"/>
    <w:rsid w:val="6841330B"/>
    <w:rsid w:val="68432C8D"/>
    <w:rsid w:val="68440261"/>
    <w:rsid w:val="684A4454"/>
    <w:rsid w:val="6865349E"/>
    <w:rsid w:val="687D7FB3"/>
    <w:rsid w:val="687E00BB"/>
    <w:rsid w:val="68881FE0"/>
    <w:rsid w:val="688E4077"/>
    <w:rsid w:val="68AA0EB0"/>
    <w:rsid w:val="68AD09A1"/>
    <w:rsid w:val="68B24209"/>
    <w:rsid w:val="68B910F3"/>
    <w:rsid w:val="68BA4E6C"/>
    <w:rsid w:val="68C55CEA"/>
    <w:rsid w:val="68CC7B01"/>
    <w:rsid w:val="68D5400D"/>
    <w:rsid w:val="68D75A1D"/>
    <w:rsid w:val="68D91796"/>
    <w:rsid w:val="68EF720B"/>
    <w:rsid w:val="68F46203"/>
    <w:rsid w:val="690F6F65"/>
    <w:rsid w:val="69181B01"/>
    <w:rsid w:val="692073C4"/>
    <w:rsid w:val="69230C63"/>
    <w:rsid w:val="6928049C"/>
    <w:rsid w:val="69286015"/>
    <w:rsid w:val="692A0243"/>
    <w:rsid w:val="6938470E"/>
    <w:rsid w:val="693C476F"/>
    <w:rsid w:val="69407A67"/>
    <w:rsid w:val="6942558D"/>
    <w:rsid w:val="694336B0"/>
    <w:rsid w:val="69454696"/>
    <w:rsid w:val="69482477"/>
    <w:rsid w:val="694A2693"/>
    <w:rsid w:val="694A4441"/>
    <w:rsid w:val="6953779A"/>
    <w:rsid w:val="695D5F23"/>
    <w:rsid w:val="696E4CB7"/>
    <w:rsid w:val="696E5EC9"/>
    <w:rsid w:val="696E6382"/>
    <w:rsid w:val="697459BD"/>
    <w:rsid w:val="69801C11"/>
    <w:rsid w:val="69823BDB"/>
    <w:rsid w:val="69894212"/>
    <w:rsid w:val="698F62F8"/>
    <w:rsid w:val="6990454A"/>
    <w:rsid w:val="69951B60"/>
    <w:rsid w:val="69A753F0"/>
    <w:rsid w:val="69B1021E"/>
    <w:rsid w:val="69B144C0"/>
    <w:rsid w:val="69B83AA1"/>
    <w:rsid w:val="69BD2E65"/>
    <w:rsid w:val="69BE2684"/>
    <w:rsid w:val="69CA2F1C"/>
    <w:rsid w:val="69DC6DBD"/>
    <w:rsid w:val="69DD4D5E"/>
    <w:rsid w:val="69E34781"/>
    <w:rsid w:val="69E46644"/>
    <w:rsid w:val="69EC27EE"/>
    <w:rsid w:val="69ED1256"/>
    <w:rsid w:val="69F76122"/>
    <w:rsid w:val="69FD14B4"/>
    <w:rsid w:val="6A0D375B"/>
    <w:rsid w:val="6A127BEA"/>
    <w:rsid w:val="6A1F7993"/>
    <w:rsid w:val="6A2151A2"/>
    <w:rsid w:val="6A220F1A"/>
    <w:rsid w:val="6A262C10"/>
    <w:rsid w:val="6A274783"/>
    <w:rsid w:val="6A413A96"/>
    <w:rsid w:val="6A4477E0"/>
    <w:rsid w:val="6A5135AE"/>
    <w:rsid w:val="6A527A52"/>
    <w:rsid w:val="6A570C85"/>
    <w:rsid w:val="6A576E16"/>
    <w:rsid w:val="6A5F0290"/>
    <w:rsid w:val="6A647785"/>
    <w:rsid w:val="6A6634FD"/>
    <w:rsid w:val="6A6652AB"/>
    <w:rsid w:val="6A6A40A3"/>
    <w:rsid w:val="6A8273FD"/>
    <w:rsid w:val="6A835E5D"/>
    <w:rsid w:val="6A842F44"/>
    <w:rsid w:val="6A8614A9"/>
    <w:rsid w:val="6A8D0A8A"/>
    <w:rsid w:val="6A9D5B77"/>
    <w:rsid w:val="6AB830E4"/>
    <w:rsid w:val="6AB9362D"/>
    <w:rsid w:val="6ABF2BB2"/>
    <w:rsid w:val="6ACB797A"/>
    <w:rsid w:val="6AD13942"/>
    <w:rsid w:val="6AD541DF"/>
    <w:rsid w:val="6AE14931"/>
    <w:rsid w:val="6AED777A"/>
    <w:rsid w:val="6AEE4776"/>
    <w:rsid w:val="6AF503DD"/>
    <w:rsid w:val="6AFC79BD"/>
    <w:rsid w:val="6B0D1787"/>
    <w:rsid w:val="6B0D3978"/>
    <w:rsid w:val="6B3218ED"/>
    <w:rsid w:val="6B3709F5"/>
    <w:rsid w:val="6B376C47"/>
    <w:rsid w:val="6B3B04E6"/>
    <w:rsid w:val="6B3E1D84"/>
    <w:rsid w:val="6B48013F"/>
    <w:rsid w:val="6B4F3F91"/>
    <w:rsid w:val="6B585085"/>
    <w:rsid w:val="6B5862AA"/>
    <w:rsid w:val="6B594E10"/>
    <w:rsid w:val="6B715CB5"/>
    <w:rsid w:val="6B74389E"/>
    <w:rsid w:val="6B802B4E"/>
    <w:rsid w:val="6B806E15"/>
    <w:rsid w:val="6B8579B3"/>
    <w:rsid w:val="6B861377"/>
    <w:rsid w:val="6B8D6867"/>
    <w:rsid w:val="6BA350A4"/>
    <w:rsid w:val="6BA72D75"/>
    <w:rsid w:val="6BAA7419"/>
    <w:rsid w:val="6BAD2A21"/>
    <w:rsid w:val="6BAE515B"/>
    <w:rsid w:val="6BAF67DE"/>
    <w:rsid w:val="6BB362CE"/>
    <w:rsid w:val="6BB64010"/>
    <w:rsid w:val="6BBF1117"/>
    <w:rsid w:val="6BC04E8F"/>
    <w:rsid w:val="6BC06C3D"/>
    <w:rsid w:val="6BC56001"/>
    <w:rsid w:val="6BC71D79"/>
    <w:rsid w:val="6BD44496"/>
    <w:rsid w:val="6BD54C66"/>
    <w:rsid w:val="6BD9385B"/>
    <w:rsid w:val="6BDF3567"/>
    <w:rsid w:val="6BE7241B"/>
    <w:rsid w:val="6BEE37AA"/>
    <w:rsid w:val="6BEE5558"/>
    <w:rsid w:val="6BF10DB8"/>
    <w:rsid w:val="6BF14353"/>
    <w:rsid w:val="6C00528B"/>
    <w:rsid w:val="6C033A1C"/>
    <w:rsid w:val="6C046B2A"/>
    <w:rsid w:val="6C07661A"/>
    <w:rsid w:val="6C0E5BFA"/>
    <w:rsid w:val="6C2076DB"/>
    <w:rsid w:val="6C2C42D2"/>
    <w:rsid w:val="6C2C7E2E"/>
    <w:rsid w:val="6C2F04F0"/>
    <w:rsid w:val="6C344993"/>
    <w:rsid w:val="6C3F58AC"/>
    <w:rsid w:val="6C3F5DB4"/>
    <w:rsid w:val="6C5F4664"/>
    <w:rsid w:val="6C6121CE"/>
    <w:rsid w:val="6C6B0957"/>
    <w:rsid w:val="6C6E6699"/>
    <w:rsid w:val="6C700663"/>
    <w:rsid w:val="6C735A5D"/>
    <w:rsid w:val="6C7672FB"/>
    <w:rsid w:val="6C7C2EFD"/>
    <w:rsid w:val="6C7E0384"/>
    <w:rsid w:val="6C7F2654"/>
    <w:rsid w:val="6C817171"/>
    <w:rsid w:val="6C8859AD"/>
    <w:rsid w:val="6C90138C"/>
    <w:rsid w:val="6C9A2CE1"/>
    <w:rsid w:val="6C9C1458"/>
    <w:rsid w:val="6C9C6D62"/>
    <w:rsid w:val="6C9F43D9"/>
    <w:rsid w:val="6CA95923"/>
    <w:rsid w:val="6CAB7073"/>
    <w:rsid w:val="6CBC11B2"/>
    <w:rsid w:val="6CBC7404"/>
    <w:rsid w:val="6CC4450B"/>
    <w:rsid w:val="6CC938CF"/>
    <w:rsid w:val="6CD02EB0"/>
    <w:rsid w:val="6CD77BB4"/>
    <w:rsid w:val="6CDB1F80"/>
    <w:rsid w:val="6CE402EB"/>
    <w:rsid w:val="6CE91505"/>
    <w:rsid w:val="6CEA3DAE"/>
    <w:rsid w:val="6CED5810"/>
    <w:rsid w:val="6D036DE1"/>
    <w:rsid w:val="6D0E5786"/>
    <w:rsid w:val="6D247B1F"/>
    <w:rsid w:val="6D263BCB"/>
    <w:rsid w:val="6D2A25C0"/>
    <w:rsid w:val="6D2B458A"/>
    <w:rsid w:val="6D2D0302"/>
    <w:rsid w:val="6D303B03"/>
    <w:rsid w:val="6D323B6A"/>
    <w:rsid w:val="6D354A50"/>
    <w:rsid w:val="6D3B2A1F"/>
    <w:rsid w:val="6D3E606B"/>
    <w:rsid w:val="6D400035"/>
    <w:rsid w:val="6D4517B6"/>
    <w:rsid w:val="6D4A44DB"/>
    <w:rsid w:val="6D4C69DA"/>
    <w:rsid w:val="6D4F2026"/>
    <w:rsid w:val="6D543AE1"/>
    <w:rsid w:val="6D6261FE"/>
    <w:rsid w:val="6D6A3304"/>
    <w:rsid w:val="6D70716A"/>
    <w:rsid w:val="6D716441"/>
    <w:rsid w:val="6D7D3037"/>
    <w:rsid w:val="6D7E14B2"/>
    <w:rsid w:val="6D836174"/>
    <w:rsid w:val="6D8433BC"/>
    <w:rsid w:val="6D8F2D6B"/>
    <w:rsid w:val="6D940381"/>
    <w:rsid w:val="6D9D06E2"/>
    <w:rsid w:val="6D9F7164"/>
    <w:rsid w:val="6DAA159D"/>
    <w:rsid w:val="6DB427D1"/>
    <w:rsid w:val="6DB77BCC"/>
    <w:rsid w:val="6DBD091D"/>
    <w:rsid w:val="6DBE71AC"/>
    <w:rsid w:val="6DC81DD9"/>
    <w:rsid w:val="6DCA3DA3"/>
    <w:rsid w:val="6DCD73EF"/>
    <w:rsid w:val="6DD30EA9"/>
    <w:rsid w:val="6DD44651"/>
    <w:rsid w:val="6DE74955"/>
    <w:rsid w:val="6DF1132F"/>
    <w:rsid w:val="6DFB5D0A"/>
    <w:rsid w:val="6DFE57FA"/>
    <w:rsid w:val="6E0077C5"/>
    <w:rsid w:val="6E020C56"/>
    <w:rsid w:val="6E032E11"/>
    <w:rsid w:val="6E04138B"/>
    <w:rsid w:val="6E105C5A"/>
    <w:rsid w:val="6E1374F8"/>
    <w:rsid w:val="6E184B0E"/>
    <w:rsid w:val="6E1F40EF"/>
    <w:rsid w:val="6E296D1B"/>
    <w:rsid w:val="6E386362"/>
    <w:rsid w:val="6E427DDD"/>
    <w:rsid w:val="6E46167B"/>
    <w:rsid w:val="6E4A0A40"/>
    <w:rsid w:val="6E552738"/>
    <w:rsid w:val="6E563714"/>
    <w:rsid w:val="6E566CE7"/>
    <w:rsid w:val="6E602332"/>
    <w:rsid w:val="6E657628"/>
    <w:rsid w:val="6E6910B0"/>
    <w:rsid w:val="6E6978BE"/>
    <w:rsid w:val="6E7177C1"/>
    <w:rsid w:val="6E7716CA"/>
    <w:rsid w:val="6E8403F6"/>
    <w:rsid w:val="6E8421A4"/>
    <w:rsid w:val="6E8D72AA"/>
    <w:rsid w:val="6E9879FD"/>
    <w:rsid w:val="6E9D3265"/>
    <w:rsid w:val="6EA35E84"/>
    <w:rsid w:val="6EA44E24"/>
    <w:rsid w:val="6EA70CF0"/>
    <w:rsid w:val="6EBF78C0"/>
    <w:rsid w:val="6EC24A7A"/>
    <w:rsid w:val="6ECD3B4B"/>
    <w:rsid w:val="6ED749C9"/>
    <w:rsid w:val="6EE331A4"/>
    <w:rsid w:val="6EE3336E"/>
    <w:rsid w:val="6EE669BA"/>
    <w:rsid w:val="6EFA1A2D"/>
    <w:rsid w:val="6F011A46"/>
    <w:rsid w:val="6F0A08FB"/>
    <w:rsid w:val="6F1C23DC"/>
    <w:rsid w:val="6F2B261F"/>
    <w:rsid w:val="6F2B6AC3"/>
    <w:rsid w:val="6F3040D9"/>
    <w:rsid w:val="6F321C00"/>
    <w:rsid w:val="6F323CF6"/>
    <w:rsid w:val="6F491A22"/>
    <w:rsid w:val="6F4B2CC1"/>
    <w:rsid w:val="6F4D4C8B"/>
    <w:rsid w:val="6F534814"/>
    <w:rsid w:val="6F565A78"/>
    <w:rsid w:val="6F667AFB"/>
    <w:rsid w:val="6F6D49E6"/>
    <w:rsid w:val="6F82134B"/>
    <w:rsid w:val="6F86518E"/>
    <w:rsid w:val="6F981017"/>
    <w:rsid w:val="6F9811D2"/>
    <w:rsid w:val="6F997223"/>
    <w:rsid w:val="6F9D4AB4"/>
    <w:rsid w:val="6FA348AB"/>
    <w:rsid w:val="6FB22007"/>
    <w:rsid w:val="6FB2689C"/>
    <w:rsid w:val="6FC30AAA"/>
    <w:rsid w:val="6FC36CFC"/>
    <w:rsid w:val="6FCA7062"/>
    <w:rsid w:val="6FD459F6"/>
    <w:rsid w:val="6FDD1A35"/>
    <w:rsid w:val="6FF2313D"/>
    <w:rsid w:val="6FF269B8"/>
    <w:rsid w:val="6FFE7D34"/>
    <w:rsid w:val="700417EE"/>
    <w:rsid w:val="70074C5A"/>
    <w:rsid w:val="700D7F77"/>
    <w:rsid w:val="70147557"/>
    <w:rsid w:val="70170A19"/>
    <w:rsid w:val="70180DF5"/>
    <w:rsid w:val="701D6A70"/>
    <w:rsid w:val="70207CAA"/>
    <w:rsid w:val="70241EE0"/>
    <w:rsid w:val="702459EC"/>
    <w:rsid w:val="702754DC"/>
    <w:rsid w:val="702E23C7"/>
    <w:rsid w:val="70335C2F"/>
    <w:rsid w:val="70383246"/>
    <w:rsid w:val="704158C2"/>
    <w:rsid w:val="7047792D"/>
    <w:rsid w:val="7049031A"/>
    <w:rsid w:val="704A673A"/>
    <w:rsid w:val="70512559"/>
    <w:rsid w:val="705C54C7"/>
    <w:rsid w:val="705D4A5A"/>
    <w:rsid w:val="70606FEC"/>
    <w:rsid w:val="70626515"/>
    <w:rsid w:val="70666005"/>
    <w:rsid w:val="706E6C67"/>
    <w:rsid w:val="70730722"/>
    <w:rsid w:val="70785D38"/>
    <w:rsid w:val="708159DE"/>
    <w:rsid w:val="708446DD"/>
    <w:rsid w:val="708C3333"/>
    <w:rsid w:val="709013B2"/>
    <w:rsid w:val="70905EDD"/>
    <w:rsid w:val="70934920"/>
    <w:rsid w:val="70952446"/>
    <w:rsid w:val="709D59C2"/>
    <w:rsid w:val="709F5073"/>
    <w:rsid w:val="70A1703D"/>
    <w:rsid w:val="70A906E5"/>
    <w:rsid w:val="70AB1C6A"/>
    <w:rsid w:val="70BE5702"/>
    <w:rsid w:val="70C920F0"/>
    <w:rsid w:val="70CB230C"/>
    <w:rsid w:val="70CB40BA"/>
    <w:rsid w:val="70CD6084"/>
    <w:rsid w:val="70D016D0"/>
    <w:rsid w:val="70D34D1C"/>
    <w:rsid w:val="70E92F39"/>
    <w:rsid w:val="70EB475C"/>
    <w:rsid w:val="70EB650A"/>
    <w:rsid w:val="70F3716D"/>
    <w:rsid w:val="70F57389"/>
    <w:rsid w:val="70FA6D60"/>
    <w:rsid w:val="70FD48EC"/>
    <w:rsid w:val="70FE623D"/>
    <w:rsid w:val="71063A97"/>
    <w:rsid w:val="710C2988"/>
    <w:rsid w:val="710E3FA6"/>
    <w:rsid w:val="71122145"/>
    <w:rsid w:val="711315BD"/>
    <w:rsid w:val="71156C82"/>
    <w:rsid w:val="711A6DEF"/>
    <w:rsid w:val="7122468C"/>
    <w:rsid w:val="71436346"/>
    <w:rsid w:val="714A1482"/>
    <w:rsid w:val="71566079"/>
    <w:rsid w:val="716B13F9"/>
    <w:rsid w:val="716B78A7"/>
    <w:rsid w:val="716F2C97"/>
    <w:rsid w:val="717209D9"/>
    <w:rsid w:val="71771B4C"/>
    <w:rsid w:val="717C1858"/>
    <w:rsid w:val="718C272C"/>
    <w:rsid w:val="7194265C"/>
    <w:rsid w:val="719600D1"/>
    <w:rsid w:val="719E532A"/>
    <w:rsid w:val="719F53DF"/>
    <w:rsid w:val="71A072F4"/>
    <w:rsid w:val="71A566B9"/>
    <w:rsid w:val="71BC5EA3"/>
    <w:rsid w:val="71C92D3B"/>
    <w:rsid w:val="71CC00E9"/>
    <w:rsid w:val="71CF6311"/>
    <w:rsid w:val="71CF6831"/>
    <w:rsid w:val="71DE7E1D"/>
    <w:rsid w:val="71F118FE"/>
    <w:rsid w:val="71F4319C"/>
    <w:rsid w:val="71F66F14"/>
    <w:rsid w:val="71F83C19"/>
    <w:rsid w:val="71FB09CF"/>
    <w:rsid w:val="71FE401B"/>
    <w:rsid w:val="720065D5"/>
    <w:rsid w:val="720205F5"/>
    <w:rsid w:val="720362ED"/>
    <w:rsid w:val="72077373"/>
    <w:rsid w:val="72086C48"/>
    <w:rsid w:val="720930EC"/>
    <w:rsid w:val="720A29C0"/>
    <w:rsid w:val="72111FA0"/>
    <w:rsid w:val="72113D4E"/>
    <w:rsid w:val="72154D9E"/>
    <w:rsid w:val="721675B7"/>
    <w:rsid w:val="72181581"/>
    <w:rsid w:val="72181AC2"/>
    <w:rsid w:val="721B2E1F"/>
    <w:rsid w:val="721C4D44"/>
    <w:rsid w:val="721F5C3A"/>
    <w:rsid w:val="72231CD3"/>
    <w:rsid w:val="722872EA"/>
    <w:rsid w:val="722A12B4"/>
    <w:rsid w:val="722A4E10"/>
    <w:rsid w:val="722F0678"/>
    <w:rsid w:val="72330169"/>
    <w:rsid w:val="723D2D95"/>
    <w:rsid w:val="723E08BB"/>
    <w:rsid w:val="72451C4A"/>
    <w:rsid w:val="7258197D"/>
    <w:rsid w:val="725C4053"/>
    <w:rsid w:val="72620A4E"/>
    <w:rsid w:val="72671BC0"/>
    <w:rsid w:val="72833651"/>
    <w:rsid w:val="728704B4"/>
    <w:rsid w:val="72871193"/>
    <w:rsid w:val="728A3B01"/>
    <w:rsid w:val="72952BD1"/>
    <w:rsid w:val="72955C6D"/>
    <w:rsid w:val="72A042BA"/>
    <w:rsid w:val="72AB5F51"/>
    <w:rsid w:val="72B702B0"/>
    <w:rsid w:val="72B80A2B"/>
    <w:rsid w:val="72C74D55"/>
    <w:rsid w:val="72CA465D"/>
    <w:rsid w:val="72D56701"/>
    <w:rsid w:val="72D82ABE"/>
    <w:rsid w:val="72E476B5"/>
    <w:rsid w:val="72E94CCB"/>
    <w:rsid w:val="72F07E08"/>
    <w:rsid w:val="72FD2525"/>
    <w:rsid w:val="73043B0A"/>
    <w:rsid w:val="730B4C41"/>
    <w:rsid w:val="730E028E"/>
    <w:rsid w:val="731E3543"/>
    <w:rsid w:val="732301DD"/>
    <w:rsid w:val="73263829"/>
    <w:rsid w:val="732775A1"/>
    <w:rsid w:val="732857F3"/>
    <w:rsid w:val="73297EDB"/>
    <w:rsid w:val="733A06B3"/>
    <w:rsid w:val="7343262D"/>
    <w:rsid w:val="73467A28"/>
    <w:rsid w:val="734E2D80"/>
    <w:rsid w:val="735637C7"/>
    <w:rsid w:val="735A30D2"/>
    <w:rsid w:val="735C3151"/>
    <w:rsid w:val="735F0AE9"/>
    <w:rsid w:val="73643DE1"/>
    <w:rsid w:val="73683E42"/>
    <w:rsid w:val="73702CF6"/>
    <w:rsid w:val="73722F12"/>
    <w:rsid w:val="737C169B"/>
    <w:rsid w:val="737F2F3A"/>
    <w:rsid w:val="73905147"/>
    <w:rsid w:val="73931910"/>
    <w:rsid w:val="73970283"/>
    <w:rsid w:val="73A6496A"/>
    <w:rsid w:val="73A840F5"/>
    <w:rsid w:val="73B41467"/>
    <w:rsid w:val="73B9469D"/>
    <w:rsid w:val="73B9644B"/>
    <w:rsid w:val="73BD2CF8"/>
    <w:rsid w:val="73C848E1"/>
    <w:rsid w:val="73D72D76"/>
    <w:rsid w:val="73D868D7"/>
    <w:rsid w:val="73E13BF4"/>
    <w:rsid w:val="73E3171A"/>
    <w:rsid w:val="73E831D5"/>
    <w:rsid w:val="73EF1E6D"/>
    <w:rsid w:val="73F22E45"/>
    <w:rsid w:val="73F25B52"/>
    <w:rsid w:val="73F658CE"/>
    <w:rsid w:val="73F73418"/>
    <w:rsid w:val="73F83B01"/>
    <w:rsid w:val="741C69DA"/>
    <w:rsid w:val="741E320F"/>
    <w:rsid w:val="74244C1C"/>
    <w:rsid w:val="7425398B"/>
    <w:rsid w:val="742D5592"/>
    <w:rsid w:val="743106D8"/>
    <w:rsid w:val="74343D24"/>
    <w:rsid w:val="743C52B6"/>
    <w:rsid w:val="74471CA9"/>
    <w:rsid w:val="745148D6"/>
    <w:rsid w:val="74542618"/>
    <w:rsid w:val="745942EE"/>
    <w:rsid w:val="745D7AC7"/>
    <w:rsid w:val="746D7236"/>
    <w:rsid w:val="747131CA"/>
    <w:rsid w:val="74784559"/>
    <w:rsid w:val="74855837"/>
    <w:rsid w:val="748B5DC2"/>
    <w:rsid w:val="74A013B9"/>
    <w:rsid w:val="74A94712"/>
    <w:rsid w:val="74B11819"/>
    <w:rsid w:val="74B530B7"/>
    <w:rsid w:val="74B7598C"/>
    <w:rsid w:val="74C24811"/>
    <w:rsid w:val="74C652C4"/>
    <w:rsid w:val="74D472B5"/>
    <w:rsid w:val="74D55507"/>
    <w:rsid w:val="74E33682"/>
    <w:rsid w:val="74E514C2"/>
    <w:rsid w:val="74E6678F"/>
    <w:rsid w:val="74E76FE8"/>
    <w:rsid w:val="74F82FA3"/>
    <w:rsid w:val="750202C6"/>
    <w:rsid w:val="75045DEC"/>
    <w:rsid w:val="750C6A4F"/>
    <w:rsid w:val="751029E3"/>
    <w:rsid w:val="751853F4"/>
    <w:rsid w:val="751C3813"/>
    <w:rsid w:val="751F6782"/>
    <w:rsid w:val="752514B2"/>
    <w:rsid w:val="752662F5"/>
    <w:rsid w:val="75271ADB"/>
    <w:rsid w:val="75306BE1"/>
    <w:rsid w:val="753853BA"/>
    <w:rsid w:val="7541494A"/>
    <w:rsid w:val="75497CA3"/>
    <w:rsid w:val="754B57C9"/>
    <w:rsid w:val="754C2FEB"/>
    <w:rsid w:val="75501ACE"/>
    <w:rsid w:val="755A5A0C"/>
    <w:rsid w:val="755B7BD7"/>
    <w:rsid w:val="755C0BB7"/>
    <w:rsid w:val="75651DC8"/>
    <w:rsid w:val="75664E30"/>
    <w:rsid w:val="756A4739"/>
    <w:rsid w:val="756B19C7"/>
    <w:rsid w:val="756E3266"/>
    <w:rsid w:val="758672DF"/>
    <w:rsid w:val="75897CC2"/>
    <w:rsid w:val="75930F1E"/>
    <w:rsid w:val="75986535"/>
    <w:rsid w:val="759E1D9D"/>
    <w:rsid w:val="759E3629"/>
    <w:rsid w:val="75A153E9"/>
    <w:rsid w:val="75A35605"/>
    <w:rsid w:val="75A635D8"/>
    <w:rsid w:val="75B0387E"/>
    <w:rsid w:val="75B07D22"/>
    <w:rsid w:val="75B570E6"/>
    <w:rsid w:val="75B82733"/>
    <w:rsid w:val="75C335B1"/>
    <w:rsid w:val="75C44DF2"/>
    <w:rsid w:val="75C537CD"/>
    <w:rsid w:val="75C86E1A"/>
    <w:rsid w:val="75D457BF"/>
    <w:rsid w:val="75DF53EF"/>
    <w:rsid w:val="75F93477"/>
    <w:rsid w:val="75FC2F67"/>
    <w:rsid w:val="75FE74B0"/>
    <w:rsid w:val="75FF2AA9"/>
    <w:rsid w:val="76053BCA"/>
    <w:rsid w:val="760A579A"/>
    <w:rsid w:val="76165DD7"/>
    <w:rsid w:val="76202721"/>
    <w:rsid w:val="7620778A"/>
    <w:rsid w:val="7625601A"/>
    <w:rsid w:val="762A3629"/>
    <w:rsid w:val="762B1157"/>
    <w:rsid w:val="76312C11"/>
    <w:rsid w:val="763D7808"/>
    <w:rsid w:val="764010A6"/>
    <w:rsid w:val="7648473C"/>
    <w:rsid w:val="764D37C3"/>
    <w:rsid w:val="764D731F"/>
    <w:rsid w:val="76524935"/>
    <w:rsid w:val="765B1BF9"/>
    <w:rsid w:val="765B5EE0"/>
    <w:rsid w:val="766B7857"/>
    <w:rsid w:val="767B0330"/>
    <w:rsid w:val="767D7C04"/>
    <w:rsid w:val="768076F4"/>
    <w:rsid w:val="76844FC1"/>
    <w:rsid w:val="76885999"/>
    <w:rsid w:val="768E1E11"/>
    <w:rsid w:val="769413F2"/>
    <w:rsid w:val="769D3E02"/>
    <w:rsid w:val="76AF1D88"/>
    <w:rsid w:val="76AF7FDA"/>
    <w:rsid w:val="76B15B00"/>
    <w:rsid w:val="76B346EE"/>
    <w:rsid w:val="76B4160A"/>
    <w:rsid w:val="76B96E8E"/>
    <w:rsid w:val="76BA0E58"/>
    <w:rsid w:val="76C07AF1"/>
    <w:rsid w:val="76C21ABB"/>
    <w:rsid w:val="76C375E1"/>
    <w:rsid w:val="76C54050"/>
    <w:rsid w:val="76CC75F6"/>
    <w:rsid w:val="76D417EE"/>
    <w:rsid w:val="76EC4D8A"/>
    <w:rsid w:val="76EC740F"/>
    <w:rsid w:val="76F81981"/>
    <w:rsid w:val="76F87F1C"/>
    <w:rsid w:val="76FD6F97"/>
    <w:rsid w:val="7706409E"/>
    <w:rsid w:val="772207AC"/>
    <w:rsid w:val="7723469A"/>
    <w:rsid w:val="77251C93"/>
    <w:rsid w:val="772F063A"/>
    <w:rsid w:val="772F1899"/>
    <w:rsid w:val="77334767"/>
    <w:rsid w:val="773659A0"/>
    <w:rsid w:val="77375748"/>
    <w:rsid w:val="77455749"/>
    <w:rsid w:val="7749033E"/>
    <w:rsid w:val="77495D38"/>
    <w:rsid w:val="774C75D7"/>
    <w:rsid w:val="7750356B"/>
    <w:rsid w:val="77583C2E"/>
    <w:rsid w:val="77672662"/>
    <w:rsid w:val="776D5ECB"/>
    <w:rsid w:val="77731007"/>
    <w:rsid w:val="77905715"/>
    <w:rsid w:val="77942362"/>
    <w:rsid w:val="77996CC0"/>
    <w:rsid w:val="77A318EC"/>
    <w:rsid w:val="77AE0291"/>
    <w:rsid w:val="77BC413C"/>
    <w:rsid w:val="77C11D73"/>
    <w:rsid w:val="77CE4490"/>
    <w:rsid w:val="77D01FB6"/>
    <w:rsid w:val="77D31AA6"/>
    <w:rsid w:val="77D71596"/>
    <w:rsid w:val="77DA0AC8"/>
    <w:rsid w:val="77DA4BE2"/>
    <w:rsid w:val="77F959B0"/>
    <w:rsid w:val="78016613"/>
    <w:rsid w:val="780340E9"/>
    <w:rsid w:val="78066079"/>
    <w:rsid w:val="78166313"/>
    <w:rsid w:val="782A3DBC"/>
    <w:rsid w:val="7840713B"/>
    <w:rsid w:val="78414C61"/>
    <w:rsid w:val="78450BF6"/>
    <w:rsid w:val="784713A0"/>
    <w:rsid w:val="78487A51"/>
    <w:rsid w:val="7851759A"/>
    <w:rsid w:val="78526E6F"/>
    <w:rsid w:val="785E5813"/>
    <w:rsid w:val="7860333A"/>
    <w:rsid w:val="786077DD"/>
    <w:rsid w:val="78616A57"/>
    <w:rsid w:val="786372CE"/>
    <w:rsid w:val="786F3A75"/>
    <w:rsid w:val="786F7A21"/>
    <w:rsid w:val="7872596E"/>
    <w:rsid w:val="788449C2"/>
    <w:rsid w:val="788F00C3"/>
    <w:rsid w:val="789214E0"/>
    <w:rsid w:val="78926FC6"/>
    <w:rsid w:val="7899274E"/>
    <w:rsid w:val="78A9623C"/>
    <w:rsid w:val="78B13B95"/>
    <w:rsid w:val="78B35AFC"/>
    <w:rsid w:val="78B47496"/>
    <w:rsid w:val="78B62999"/>
    <w:rsid w:val="78B6564F"/>
    <w:rsid w:val="78C0027C"/>
    <w:rsid w:val="78C55892"/>
    <w:rsid w:val="78C7537B"/>
    <w:rsid w:val="78C80335"/>
    <w:rsid w:val="78CE2981"/>
    <w:rsid w:val="78D23F5A"/>
    <w:rsid w:val="78EC1071"/>
    <w:rsid w:val="78ED2AF3"/>
    <w:rsid w:val="78EE6B97"/>
    <w:rsid w:val="78F543CA"/>
    <w:rsid w:val="78F8056F"/>
    <w:rsid w:val="78F9378E"/>
    <w:rsid w:val="78FF6FF6"/>
    <w:rsid w:val="79030169"/>
    <w:rsid w:val="79040574"/>
    <w:rsid w:val="79134850"/>
    <w:rsid w:val="79164340"/>
    <w:rsid w:val="792F71B0"/>
    <w:rsid w:val="7931117A"/>
    <w:rsid w:val="793842B6"/>
    <w:rsid w:val="79415644"/>
    <w:rsid w:val="79450F83"/>
    <w:rsid w:val="7946222B"/>
    <w:rsid w:val="794A5A1C"/>
    <w:rsid w:val="795409C4"/>
    <w:rsid w:val="795804B5"/>
    <w:rsid w:val="795C61F7"/>
    <w:rsid w:val="79671AA9"/>
    <w:rsid w:val="79674AD6"/>
    <w:rsid w:val="79782905"/>
    <w:rsid w:val="797C5167"/>
    <w:rsid w:val="797D4961"/>
    <w:rsid w:val="798017B9"/>
    <w:rsid w:val="798219D5"/>
    <w:rsid w:val="79870D9A"/>
    <w:rsid w:val="798E3ED6"/>
    <w:rsid w:val="79A13C0A"/>
    <w:rsid w:val="79A74F98"/>
    <w:rsid w:val="79AE4579"/>
    <w:rsid w:val="79BB7D58"/>
    <w:rsid w:val="79BE0C60"/>
    <w:rsid w:val="79BF0534"/>
    <w:rsid w:val="79C142AC"/>
    <w:rsid w:val="79CB6702"/>
    <w:rsid w:val="79E166FC"/>
    <w:rsid w:val="79E60B0D"/>
    <w:rsid w:val="79EA1A55"/>
    <w:rsid w:val="79F72FA5"/>
    <w:rsid w:val="79F75F20"/>
    <w:rsid w:val="7A016D9E"/>
    <w:rsid w:val="7A036672"/>
    <w:rsid w:val="7A0C78C6"/>
    <w:rsid w:val="7A0D74F1"/>
    <w:rsid w:val="7A102B3D"/>
    <w:rsid w:val="7A15284A"/>
    <w:rsid w:val="7A18177B"/>
    <w:rsid w:val="7A1A39BC"/>
    <w:rsid w:val="7A1C2238"/>
    <w:rsid w:val="7A1C5986"/>
    <w:rsid w:val="7A2111EE"/>
    <w:rsid w:val="7A252A8D"/>
    <w:rsid w:val="7A454EDD"/>
    <w:rsid w:val="7A480529"/>
    <w:rsid w:val="7A490A6F"/>
    <w:rsid w:val="7A505630"/>
    <w:rsid w:val="7A5213A8"/>
    <w:rsid w:val="7A545120"/>
    <w:rsid w:val="7A664E53"/>
    <w:rsid w:val="7A6D7491"/>
    <w:rsid w:val="7A7632E8"/>
    <w:rsid w:val="7A843FF9"/>
    <w:rsid w:val="7A8A28F0"/>
    <w:rsid w:val="7A8D23E0"/>
    <w:rsid w:val="7A94376E"/>
    <w:rsid w:val="7A970A65"/>
    <w:rsid w:val="7A990D85"/>
    <w:rsid w:val="7A9F3D81"/>
    <w:rsid w:val="7A9F497D"/>
    <w:rsid w:val="7AA37E55"/>
    <w:rsid w:val="7AB91427"/>
    <w:rsid w:val="7AD95625"/>
    <w:rsid w:val="7AE53FCA"/>
    <w:rsid w:val="7AE71AF0"/>
    <w:rsid w:val="7AEA15E0"/>
    <w:rsid w:val="7AF05002"/>
    <w:rsid w:val="7AF16E13"/>
    <w:rsid w:val="7AF20495"/>
    <w:rsid w:val="7AF45466"/>
    <w:rsid w:val="7AFE32DE"/>
    <w:rsid w:val="7AFE6E3A"/>
    <w:rsid w:val="7B05466C"/>
    <w:rsid w:val="7B0F54EB"/>
    <w:rsid w:val="7B166879"/>
    <w:rsid w:val="7B18439F"/>
    <w:rsid w:val="7B1B3E90"/>
    <w:rsid w:val="7B2B62C3"/>
    <w:rsid w:val="7B2E3BC3"/>
    <w:rsid w:val="7B2E5971"/>
    <w:rsid w:val="7B2F5245"/>
    <w:rsid w:val="7B332F87"/>
    <w:rsid w:val="7B3867F0"/>
    <w:rsid w:val="7B3960C4"/>
    <w:rsid w:val="7B42766E"/>
    <w:rsid w:val="7B454A69"/>
    <w:rsid w:val="7B48416D"/>
    <w:rsid w:val="7B4927AB"/>
    <w:rsid w:val="7B51340D"/>
    <w:rsid w:val="7B5B603A"/>
    <w:rsid w:val="7B63305F"/>
    <w:rsid w:val="7B6B0973"/>
    <w:rsid w:val="7B707D38"/>
    <w:rsid w:val="7B737828"/>
    <w:rsid w:val="7B771A51"/>
    <w:rsid w:val="7B825CBD"/>
    <w:rsid w:val="7B9A3006"/>
    <w:rsid w:val="7B9B0391"/>
    <w:rsid w:val="7B9B1144"/>
    <w:rsid w:val="7BA07ADE"/>
    <w:rsid w:val="7BA120D2"/>
    <w:rsid w:val="7BA43E85"/>
    <w:rsid w:val="7BB340C8"/>
    <w:rsid w:val="7BB75966"/>
    <w:rsid w:val="7BBA7205"/>
    <w:rsid w:val="7BC40083"/>
    <w:rsid w:val="7BC70502"/>
    <w:rsid w:val="7BC91759"/>
    <w:rsid w:val="7BC97448"/>
    <w:rsid w:val="7BCD518A"/>
    <w:rsid w:val="7BDD0CF8"/>
    <w:rsid w:val="7BE6624C"/>
    <w:rsid w:val="7BEA19EE"/>
    <w:rsid w:val="7BEC3136"/>
    <w:rsid w:val="7BF32717"/>
    <w:rsid w:val="7BF5648F"/>
    <w:rsid w:val="7BF81ADB"/>
    <w:rsid w:val="7BFA5D31"/>
    <w:rsid w:val="7BFC781D"/>
    <w:rsid w:val="7C0155B9"/>
    <w:rsid w:val="7C084414"/>
    <w:rsid w:val="7C0A1AFB"/>
    <w:rsid w:val="7C0D1A2A"/>
    <w:rsid w:val="7C0F5212"/>
    <w:rsid w:val="7C2E374F"/>
    <w:rsid w:val="7C417CE1"/>
    <w:rsid w:val="7C463BAC"/>
    <w:rsid w:val="7C4E477F"/>
    <w:rsid w:val="7C4F3C43"/>
    <w:rsid w:val="7C556F2D"/>
    <w:rsid w:val="7C572CA5"/>
    <w:rsid w:val="7C594F25"/>
    <w:rsid w:val="7C5C02BC"/>
    <w:rsid w:val="7C5C4760"/>
    <w:rsid w:val="7C701FB9"/>
    <w:rsid w:val="7C736F1F"/>
    <w:rsid w:val="7C7750F6"/>
    <w:rsid w:val="7C7E1CA6"/>
    <w:rsid w:val="7C80044E"/>
    <w:rsid w:val="7C87766B"/>
    <w:rsid w:val="7C8D4919"/>
    <w:rsid w:val="7C95557C"/>
    <w:rsid w:val="7CA0289E"/>
    <w:rsid w:val="7CA3413D"/>
    <w:rsid w:val="7CAC1243"/>
    <w:rsid w:val="7CB336AA"/>
    <w:rsid w:val="7CB400F8"/>
    <w:rsid w:val="7CBB1486"/>
    <w:rsid w:val="7CBB3234"/>
    <w:rsid w:val="7CC223AE"/>
    <w:rsid w:val="7CC85951"/>
    <w:rsid w:val="7CCA3477"/>
    <w:rsid w:val="7CCD1C44"/>
    <w:rsid w:val="7CCF6F3E"/>
    <w:rsid w:val="7CD90809"/>
    <w:rsid w:val="7CDB0AD4"/>
    <w:rsid w:val="7CDB7433"/>
    <w:rsid w:val="7CE3278B"/>
    <w:rsid w:val="7CE53EC5"/>
    <w:rsid w:val="7CED53B8"/>
    <w:rsid w:val="7CF149BD"/>
    <w:rsid w:val="7CF93D5D"/>
    <w:rsid w:val="7D0821F2"/>
    <w:rsid w:val="7D083FA0"/>
    <w:rsid w:val="7D0E3C35"/>
    <w:rsid w:val="7D10537A"/>
    <w:rsid w:val="7D1172F8"/>
    <w:rsid w:val="7D126BCC"/>
    <w:rsid w:val="7D16490F"/>
    <w:rsid w:val="7D1868D9"/>
    <w:rsid w:val="7D2012E9"/>
    <w:rsid w:val="7D220DCD"/>
    <w:rsid w:val="7D221505"/>
    <w:rsid w:val="7D225061"/>
    <w:rsid w:val="7D2A2168"/>
    <w:rsid w:val="7D311748"/>
    <w:rsid w:val="7D375332"/>
    <w:rsid w:val="7D3D1E9B"/>
    <w:rsid w:val="7D44147C"/>
    <w:rsid w:val="7D470F6C"/>
    <w:rsid w:val="7D4A2A43"/>
    <w:rsid w:val="7D52346D"/>
    <w:rsid w:val="7D5611AF"/>
    <w:rsid w:val="7D5947FB"/>
    <w:rsid w:val="7D5B0573"/>
    <w:rsid w:val="7D5E1E12"/>
    <w:rsid w:val="7D615C92"/>
    <w:rsid w:val="7D6A4C5A"/>
    <w:rsid w:val="7D6D6C43"/>
    <w:rsid w:val="7D704031"/>
    <w:rsid w:val="7D781125"/>
    <w:rsid w:val="7D7B26DD"/>
    <w:rsid w:val="7D8E0949"/>
    <w:rsid w:val="7D983576"/>
    <w:rsid w:val="7D9A5540"/>
    <w:rsid w:val="7DA243F4"/>
    <w:rsid w:val="7DA2685B"/>
    <w:rsid w:val="7DB55ED6"/>
    <w:rsid w:val="7DB67EA0"/>
    <w:rsid w:val="7DBB54B6"/>
    <w:rsid w:val="7DBF4FA6"/>
    <w:rsid w:val="7DC51E91"/>
    <w:rsid w:val="7DD20774"/>
    <w:rsid w:val="7DD50326"/>
    <w:rsid w:val="7DD81BC4"/>
    <w:rsid w:val="7DD97789"/>
    <w:rsid w:val="7DE06CCB"/>
    <w:rsid w:val="7DF03B2A"/>
    <w:rsid w:val="7DF764EE"/>
    <w:rsid w:val="7DFA4230"/>
    <w:rsid w:val="7DFC3B04"/>
    <w:rsid w:val="7E0C5029"/>
    <w:rsid w:val="7E0E1A8A"/>
    <w:rsid w:val="7E175822"/>
    <w:rsid w:val="7E1846B6"/>
    <w:rsid w:val="7E1A2963"/>
    <w:rsid w:val="7E1D1694"/>
    <w:rsid w:val="7E235535"/>
    <w:rsid w:val="7E327526"/>
    <w:rsid w:val="7E3F39F1"/>
    <w:rsid w:val="7E5F22E5"/>
    <w:rsid w:val="7E61605D"/>
    <w:rsid w:val="7E655B4E"/>
    <w:rsid w:val="7E6B47E6"/>
    <w:rsid w:val="7E880059"/>
    <w:rsid w:val="7E97017E"/>
    <w:rsid w:val="7E9F14AB"/>
    <w:rsid w:val="7EA321D2"/>
    <w:rsid w:val="7EA71F32"/>
    <w:rsid w:val="7EAA3560"/>
    <w:rsid w:val="7EB919F5"/>
    <w:rsid w:val="7EBA751C"/>
    <w:rsid w:val="7ED71E7C"/>
    <w:rsid w:val="7ED83A3E"/>
    <w:rsid w:val="7EDB5E10"/>
    <w:rsid w:val="7EE03426"/>
    <w:rsid w:val="7EE8052D"/>
    <w:rsid w:val="7EEF18BB"/>
    <w:rsid w:val="7EF667A6"/>
    <w:rsid w:val="7EFA7860"/>
    <w:rsid w:val="7EFC7B34"/>
    <w:rsid w:val="7EFE7470"/>
    <w:rsid w:val="7F016EF9"/>
    <w:rsid w:val="7F0F5AB9"/>
    <w:rsid w:val="7F25708B"/>
    <w:rsid w:val="7F2A46A1"/>
    <w:rsid w:val="7F2F1CB8"/>
    <w:rsid w:val="7F386CB6"/>
    <w:rsid w:val="7F45772D"/>
    <w:rsid w:val="7F460DAF"/>
    <w:rsid w:val="7F4C0323"/>
    <w:rsid w:val="7F502798"/>
    <w:rsid w:val="7F596D35"/>
    <w:rsid w:val="7F5B0B7E"/>
    <w:rsid w:val="7F64148E"/>
    <w:rsid w:val="7F6C2F0C"/>
    <w:rsid w:val="7F7238C6"/>
    <w:rsid w:val="7F796573"/>
    <w:rsid w:val="7F7973D7"/>
    <w:rsid w:val="7F8204DC"/>
    <w:rsid w:val="7F871AF4"/>
    <w:rsid w:val="7F8813C8"/>
    <w:rsid w:val="7F8952AA"/>
    <w:rsid w:val="7F8E4C30"/>
    <w:rsid w:val="7F983C52"/>
    <w:rsid w:val="7F9D30C5"/>
    <w:rsid w:val="7F9D3155"/>
    <w:rsid w:val="7F9E0BEB"/>
    <w:rsid w:val="7FA93818"/>
    <w:rsid w:val="7FAD65E7"/>
    <w:rsid w:val="7FB126CD"/>
    <w:rsid w:val="7FBD362E"/>
    <w:rsid w:val="7FC22B2C"/>
    <w:rsid w:val="7FCF6FF7"/>
    <w:rsid w:val="7FD717CD"/>
    <w:rsid w:val="7FDD34C2"/>
    <w:rsid w:val="7FE17456"/>
    <w:rsid w:val="7FE43061"/>
    <w:rsid w:val="7FF37189"/>
    <w:rsid w:val="7FFE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autoRedefine/>
    <w:qFormat/>
    <w:uiPriority w:val="99"/>
    <w:pPr>
      <w:keepNext/>
      <w:keepLines/>
      <w:adjustRightInd w:val="0"/>
      <w:spacing w:before="120" w:after="100" w:afterAutospacing="1" w:line="360" w:lineRule="auto"/>
      <w:outlineLvl w:val="0"/>
    </w:pPr>
    <w:rPr>
      <w:rFonts w:eastAsia="黑体"/>
      <w:b/>
      <w:kern w:val="44"/>
      <w:sz w:val="28"/>
      <w:szCs w:val="28"/>
    </w:rPr>
  </w:style>
  <w:style w:type="paragraph" w:styleId="3">
    <w:name w:val="heading 2"/>
    <w:basedOn w:val="1"/>
    <w:next w:val="1"/>
    <w:link w:val="30"/>
    <w:autoRedefine/>
    <w:qFormat/>
    <w:uiPriority w:val="99"/>
    <w:pPr>
      <w:keepNext/>
      <w:keepLines/>
      <w:spacing w:before="260" w:after="260" w:line="412" w:lineRule="auto"/>
      <w:outlineLvl w:val="1"/>
    </w:pPr>
    <w:rPr>
      <w:rFonts w:ascii="Arial" w:hAnsi="Arial" w:eastAsia="黑体"/>
      <w:b/>
      <w:sz w:val="32"/>
      <w:szCs w:val="32"/>
    </w:rPr>
  </w:style>
  <w:style w:type="paragraph" w:styleId="4">
    <w:name w:val="heading 3"/>
    <w:basedOn w:val="1"/>
    <w:next w:val="1"/>
    <w:link w:val="29"/>
    <w:qFormat/>
    <w:uiPriority w:val="99"/>
    <w:pPr>
      <w:keepNext/>
      <w:keepLines/>
      <w:spacing w:before="260" w:after="260" w:line="412" w:lineRule="auto"/>
      <w:outlineLvl w:val="2"/>
    </w:pPr>
    <w:rPr>
      <w:b/>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pPr>
  </w:style>
  <w:style w:type="paragraph" w:styleId="7">
    <w:name w:val="Body Text"/>
    <w:basedOn w:val="1"/>
    <w:link w:val="36"/>
    <w:unhideWhenUsed/>
    <w:qFormat/>
    <w:uiPriority w:val="99"/>
    <w:pPr>
      <w:spacing w:before="100" w:beforeAutospacing="1" w:after="120"/>
    </w:pPr>
    <w:rPr>
      <w:sz w:val="36"/>
      <w:szCs w:val="36"/>
    </w:rPr>
  </w:style>
  <w:style w:type="paragraph" w:styleId="8">
    <w:name w:val="Body Text Indent"/>
    <w:basedOn w:val="1"/>
    <w:link w:val="40"/>
    <w:autoRedefine/>
    <w:unhideWhenUsed/>
    <w:qFormat/>
    <w:uiPriority w:val="99"/>
    <w:pPr>
      <w:spacing w:before="100" w:beforeAutospacing="1" w:after="120"/>
      <w:ind w:left="420" w:leftChars="200"/>
    </w:pPr>
    <w:rPr>
      <w:rFonts w:ascii="宋体"/>
    </w:rPr>
  </w:style>
  <w:style w:type="paragraph" w:styleId="9">
    <w:name w:val="Block Text"/>
    <w:basedOn w:val="1"/>
    <w:next w:val="1"/>
    <w:autoRedefine/>
    <w:qFormat/>
    <w:uiPriority w:val="99"/>
    <w:pPr>
      <w:overflowPunct w:val="0"/>
      <w:autoSpaceDE w:val="0"/>
      <w:autoSpaceDN w:val="0"/>
      <w:adjustRightInd w:val="0"/>
      <w:spacing w:before="60" w:after="60" w:line="440" w:lineRule="exact"/>
      <w:ind w:left="420" w:leftChars="150" w:right="1"/>
      <w:textAlignment w:val="baseline"/>
    </w:pPr>
    <w:rPr>
      <w:rFonts w:ascii="宋体" w:hAnsi="Times New Roman"/>
      <w:sz w:val="24"/>
      <w:szCs w:val="20"/>
    </w:rPr>
  </w:style>
  <w:style w:type="paragraph" w:styleId="10">
    <w:name w:val="Plain Text"/>
    <w:basedOn w:val="1"/>
    <w:next w:val="1"/>
    <w:link w:val="33"/>
    <w:autoRedefine/>
    <w:unhideWhenUsed/>
    <w:qFormat/>
    <w:uiPriority w:val="99"/>
    <w:rPr>
      <w:rFonts w:ascii="宋体" w:hAnsi="Courier New"/>
    </w:rPr>
  </w:style>
  <w:style w:type="paragraph" w:styleId="11">
    <w:name w:val="Date"/>
    <w:basedOn w:val="1"/>
    <w:next w:val="1"/>
    <w:link w:val="37"/>
    <w:autoRedefine/>
    <w:unhideWhenUsed/>
    <w:qFormat/>
    <w:uiPriority w:val="99"/>
    <w:pPr>
      <w:spacing w:before="100" w:beforeAutospacing="1" w:after="100" w:afterAutospacing="1"/>
      <w:ind w:left="100" w:leftChars="2500"/>
    </w:pPr>
  </w:style>
  <w:style w:type="paragraph" w:styleId="12">
    <w:name w:val="Balloon Text"/>
    <w:basedOn w:val="1"/>
    <w:link w:val="54"/>
    <w:autoRedefine/>
    <w:semiHidden/>
    <w:unhideWhenUsed/>
    <w:qFormat/>
    <w:uiPriority w:val="99"/>
    <w:rPr>
      <w:sz w:val="18"/>
      <w:szCs w:val="18"/>
    </w:rPr>
  </w:style>
  <w:style w:type="paragraph" w:styleId="13">
    <w:name w:val="footer"/>
    <w:basedOn w:val="1"/>
    <w:link w:val="39"/>
    <w:unhideWhenUsed/>
    <w:qFormat/>
    <w:uiPriority w:val="99"/>
    <w:pPr>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header"/>
    <w:basedOn w:val="1"/>
    <w:link w:val="44"/>
    <w:autoRedefine/>
    <w:unhideWhenUsed/>
    <w:qFormat/>
    <w:uiPriority w:val="99"/>
    <w:pPr>
      <w:pBdr>
        <w:bottom w:val="single" w:color="auto" w:sz="6" w:space="1"/>
      </w:pBdr>
      <w:snapToGrid w:val="0"/>
      <w:jc w:val="center"/>
    </w:pPr>
    <w:rPr>
      <w:sz w:val="18"/>
      <w:szCs w:val="18"/>
    </w:rPr>
  </w:style>
  <w:style w:type="paragraph" w:styleId="16">
    <w:name w:val="toc 1"/>
    <w:basedOn w:val="1"/>
    <w:next w:val="1"/>
    <w:autoRedefine/>
    <w:unhideWhenUsed/>
    <w:qFormat/>
    <w:uiPriority w:val="99"/>
    <w:pPr>
      <w:spacing w:before="120" w:after="120"/>
      <w:jc w:val="left"/>
    </w:pPr>
    <w:rPr>
      <w:b/>
      <w:caps/>
      <w:sz w:val="20"/>
      <w:szCs w:val="20"/>
    </w:rPr>
  </w:style>
  <w:style w:type="paragraph" w:styleId="17">
    <w:name w:val="Body Text 2"/>
    <w:basedOn w:val="1"/>
    <w:unhideWhenUsed/>
    <w:qFormat/>
    <w:uiPriority w:val="0"/>
    <w:pPr>
      <w:spacing w:after="120" w:line="480" w:lineRule="auto"/>
    </w:pPr>
    <w:rPr>
      <w:szCs w:val="24"/>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olor w:val="000000"/>
      <w:kern w:val="0"/>
      <w:sz w:val="18"/>
      <w:szCs w:val="18"/>
    </w:rPr>
  </w:style>
  <w:style w:type="paragraph" w:styleId="19">
    <w:name w:val="Body Text First Indent 2"/>
    <w:basedOn w:val="8"/>
    <w:next w:val="9"/>
    <w:link w:val="41"/>
    <w:autoRedefine/>
    <w:unhideWhenUsed/>
    <w:qFormat/>
    <w:uiPriority w:val="99"/>
    <w:pPr>
      <w:ind w:firstLine="420" w:firstLineChars="200"/>
    </w:pPr>
    <w:rPr>
      <w:rFonts w:ascii="Times New Roman"/>
    </w:rPr>
  </w:style>
  <w:style w:type="table" w:styleId="21">
    <w:name w:val="Table Grid"/>
    <w:basedOn w:val="20"/>
    <w:autoRedefine/>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page number"/>
    <w:basedOn w:val="22"/>
    <w:autoRedefine/>
    <w:unhideWhenUsed/>
    <w:qFormat/>
    <w:uiPriority w:val="99"/>
  </w:style>
  <w:style w:type="character" w:styleId="25">
    <w:name w:val="FollowedHyperlink"/>
    <w:basedOn w:val="22"/>
    <w:autoRedefine/>
    <w:unhideWhenUsed/>
    <w:qFormat/>
    <w:uiPriority w:val="99"/>
    <w:rPr>
      <w:color w:val="800080"/>
      <w:u w:val="single"/>
    </w:rPr>
  </w:style>
  <w:style w:type="character" w:styleId="26">
    <w:name w:val="Emphasis"/>
    <w:basedOn w:val="22"/>
    <w:qFormat/>
    <w:uiPriority w:val="20"/>
    <w:rPr>
      <w:i/>
    </w:rPr>
  </w:style>
  <w:style w:type="character" w:styleId="27">
    <w:name w:val="Hyperlink"/>
    <w:basedOn w:val="22"/>
    <w:autoRedefine/>
    <w:unhideWhenUsed/>
    <w:qFormat/>
    <w:uiPriority w:val="99"/>
    <w:rPr>
      <w:color w:val="0000FF"/>
      <w:u w:val="single"/>
    </w:rPr>
  </w:style>
  <w:style w:type="character" w:styleId="28">
    <w:name w:val="annotation reference"/>
    <w:basedOn w:val="22"/>
    <w:autoRedefine/>
    <w:qFormat/>
    <w:uiPriority w:val="0"/>
    <w:rPr>
      <w:sz w:val="21"/>
      <w:szCs w:val="21"/>
    </w:rPr>
  </w:style>
  <w:style w:type="character" w:customStyle="1" w:styleId="29">
    <w:name w:val="标题 3 Char"/>
    <w:basedOn w:val="22"/>
    <w:link w:val="4"/>
    <w:autoRedefine/>
    <w:qFormat/>
    <w:uiPriority w:val="99"/>
    <w:rPr>
      <w:rFonts w:ascii="Times New Roman" w:hAnsi="Times New Roman" w:eastAsia="宋体" w:cs="Times New Roman"/>
      <w:b/>
      <w:sz w:val="32"/>
      <w:szCs w:val="32"/>
    </w:rPr>
  </w:style>
  <w:style w:type="character" w:customStyle="1" w:styleId="30">
    <w:name w:val="标题 2 Char"/>
    <w:basedOn w:val="22"/>
    <w:link w:val="3"/>
    <w:autoRedefine/>
    <w:qFormat/>
    <w:uiPriority w:val="99"/>
    <w:rPr>
      <w:rFonts w:ascii="Arial" w:hAnsi="Arial" w:eastAsia="黑体" w:cs="Times New Roman"/>
      <w:b/>
      <w:sz w:val="32"/>
      <w:szCs w:val="32"/>
    </w:rPr>
  </w:style>
  <w:style w:type="character" w:customStyle="1" w:styleId="31">
    <w:name w:val="标题 1 Char"/>
    <w:basedOn w:val="22"/>
    <w:link w:val="2"/>
    <w:autoRedefine/>
    <w:qFormat/>
    <w:uiPriority w:val="99"/>
    <w:rPr>
      <w:rFonts w:ascii="Times New Roman" w:hAnsi="Times New Roman" w:eastAsia="黑体" w:cs="Times New Roman"/>
      <w:b/>
      <w:kern w:val="44"/>
      <w:sz w:val="28"/>
      <w:szCs w:val="28"/>
    </w:rPr>
  </w:style>
  <w:style w:type="paragraph" w:customStyle="1" w:styleId="32">
    <w:name w:val="AONormal"/>
    <w:basedOn w:val="1"/>
    <w:autoRedefine/>
    <w:qFormat/>
    <w:uiPriority w:val="0"/>
    <w:pPr>
      <w:widowControl/>
      <w:autoSpaceDE w:val="0"/>
      <w:autoSpaceDN w:val="0"/>
      <w:adjustRightInd w:val="0"/>
      <w:spacing w:line="400" w:lineRule="exact"/>
      <w:ind w:firstLine="440" w:firstLineChars="200"/>
      <w:jc w:val="left"/>
    </w:pPr>
    <w:rPr>
      <w:rFonts w:ascii="华文楷体" w:hAnsi="华文楷体" w:eastAsia="华文楷体" w:cs="宋体"/>
      <w:kern w:val="0"/>
      <w:sz w:val="22"/>
      <w:szCs w:val="22"/>
    </w:rPr>
  </w:style>
  <w:style w:type="character" w:customStyle="1" w:styleId="33">
    <w:name w:val="纯文本 Char"/>
    <w:basedOn w:val="22"/>
    <w:link w:val="10"/>
    <w:autoRedefine/>
    <w:qFormat/>
    <w:uiPriority w:val="99"/>
    <w:rPr>
      <w:rFonts w:ascii="宋体" w:hAnsi="Courier New" w:eastAsia="宋体" w:cs="Times New Roman"/>
      <w:szCs w:val="21"/>
    </w:rPr>
  </w:style>
  <w:style w:type="paragraph" w:customStyle="1" w:styleId="34">
    <w:name w:val="Blockquote"/>
    <w:basedOn w:val="1"/>
    <w:autoRedefine/>
    <w:qFormat/>
    <w:uiPriority w:val="0"/>
    <w:pPr>
      <w:autoSpaceDE w:val="0"/>
      <w:autoSpaceDN w:val="0"/>
      <w:adjustRightInd w:val="0"/>
      <w:spacing w:before="100" w:beforeAutospacing="1" w:after="100" w:afterAutospacing="1"/>
      <w:ind w:left="360" w:right="360"/>
    </w:pPr>
  </w:style>
  <w:style w:type="paragraph" w:customStyle="1" w:styleId="35">
    <w:name w:val="正文 New"/>
    <w:basedOn w:val="1"/>
    <w:autoRedefine/>
    <w:qFormat/>
    <w:uiPriority w:val="0"/>
  </w:style>
  <w:style w:type="character" w:customStyle="1" w:styleId="36">
    <w:name w:val="正文文本 Char"/>
    <w:basedOn w:val="22"/>
    <w:link w:val="7"/>
    <w:autoRedefine/>
    <w:qFormat/>
    <w:uiPriority w:val="99"/>
    <w:rPr>
      <w:rFonts w:ascii="Times New Roman" w:hAnsi="Times New Roman" w:eastAsia="宋体" w:cs="Times New Roman"/>
      <w:sz w:val="36"/>
      <w:szCs w:val="36"/>
    </w:rPr>
  </w:style>
  <w:style w:type="character" w:customStyle="1" w:styleId="37">
    <w:name w:val="日期 Char"/>
    <w:basedOn w:val="22"/>
    <w:link w:val="11"/>
    <w:autoRedefine/>
    <w:qFormat/>
    <w:uiPriority w:val="99"/>
    <w:rPr>
      <w:rFonts w:ascii="Times New Roman" w:hAnsi="Times New Roman" w:eastAsia="宋体" w:cs="Times New Roman"/>
      <w:szCs w:val="21"/>
    </w:rPr>
  </w:style>
  <w:style w:type="paragraph" w:customStyle="1" w:styleId="38">
    <w:name w:val="p2"/>
    <w:basedOn w:val="1"/>
    <w:autoRedefine/>
    <w:qFormat/>
    <w:uiPriority w:val="0"/>
    <w:pPr>
      <w:widowControl/>
      <w:spacing w:line="480" w:lineRule="auto"/>
      <w:ind w:firstLine="420"/>
      <w:jc w:val="left"/>
    </w:pPr>
    <w:rPr>
      <w:rFonts w:ascii="宋体" w:hAnsi="宋体" w:cs="宋体"/>
      <w:kern w:val="0"/>
    </w:rPr>
  </w:style>
  <w:style w:type="character" w:customStyle="1" w:styleId="39">
    <w:name w:val="页脚 Char"/>
    <w:basedOn w:val="22"/>
    <w:link w:val="13"/>
    <w:autoRedefine/>
    <w:qFormat/>
    <w:uiPriority w:val="99"/>
    <w:rPr>
      <w:rFonts w:ascii="Times New Roman" w:hAnsi="Times New Roman" w:eastAsia="宋体" w:cs="Times New Roman"/>
      <w:sz w:val="18"/>
      <w:szCs w:val="18"/>
    </w:rPr>
  </w:style>
  <w:style w:type="character" w:customStyle="1" w:styleId="40">
    <w:name w:val="正文文本缩进 Char"/>
    <w:basedOn w:val="22"/>
    <w:link w:val="8"/>
    <w:autoRedefine/>
    <w:qFormat/>
    <w:uiPriority w:val="99"/>
    <w:rPr>
      <w:rFonts w:ascii="宋体" w:hAnsi="Times New Roman" w:eastAsia="宋体" w:cs="Times New Roman"/>
      <w:szCs w:val="21"/>
    </w:rPr>
  </w:style>
  <w:style w:type="character" w:customStyle="1" w:styleId="41">
    <w:name w:val="正文首行缩进 2 Char"/>
    <w:basedOn w:val="40"/>
    <w:link w:val="19"/>
    <w:autoRedefine/>
    <w:qFormat/>
    <w:uiPriority w:val="99"/>
    <w:rPr>
      <w:rFonts w:ascii="Times New Roman"/>
    </w:rPr>
  </w:style>
  <w:style w:type="paragraph" w:customStyle="1" w:styleId="42">
    <w:name w:val="列出段落1"/>
    <w:basedOn w:val="1"/>
    <w:autoRedefine/>
    <w:qFormat/>
    <w:uiPriority w:val="0"/>
    <w:pPr>
      <w:spacing w:before="100" w:beforeAutospacing="1" w:after="100" w:afterAutospacing="1"/>
      <w:ind w:left="1939" w:hanging="601"/>
    </w:pPr>
    <w:rPr>
      <w:rFonts w:ascii="宋体" w:hAnsi="宋体" w:cs="宋体"/>
    </w:rPr>
  </w:style>
  <w:style w:type="paragraph" w:customStyle="1" w:styleId="43">
    <w:name w:val="列出段落11"/>
    <w:basedOn w:val="1"/>
    <w:autoRedefine/>
    <w:qFormat/>
    <w:uiPriority w:val="0"/>
    <w:pPr>
      <w:ind w:firstLine="420" w:firstLineChars="200"/>
    </w:pPr>
    <w:rPr>
      <w:rFonts w:ascii="Calibri" w:hAnsi="Calibri"/>
    </w:rPr>
  </w:style>
  <w:style w:type="character" w:customStyle="1" w:styleId="44">
    <w:name w:val="页眉 Char"/>
    <w:basedOn w:val="22"/>
    <w:link w:val="15"/>
    <w:autoRedefine/>
    <w:qFormat/>
    <w:uiPriority w:val="99"/>
    <w:rPr>
      <w:rFonts w:ascii="Times New Roman" w:hAnsi="Times New Roman" w:eastAsia="宋体" w:cs="Times New Roman"/>
      <w:sz w:val="18"/>
      <w:szCs w:val="18"/>
    </w:rPr>
  </w:style>
  <w:style w:type="character" w:customStyle="1" w:styleId="45">
    <w:name w:val="10"/>
    <w:basedOn w:val="22"/>
    <w:autoRedefine/>
    <w:qFormat/>
    <w:uiPriority w:val="0"/>
    <w:rPr>
      <w:rFonts w:hint="default" w:ascii="Times New Roman" w:hAnsi="Times New Roman" w:cs="Times New Roman"/>
    </w:rPr>
  </w:style>
  <w:style w:type="character" w:customStyle="1" w:styleId="46">
    <w:name w:val="15"/>
    <w:basedOn w:val="22"/>
    <w:autoRedefine/>
    <w:qFormat/>
    <w:uiPriority w:val="0"/>
    <w:rPr>
      <w:rFonts w:hint="eastAsia" w:ascii="宋体" w:hAnsi="宋体" w:eastAsia="宋体"/>
      <w:color w:val="000000"/>
      <w:sz w:val="22"/>
      <w:szCs w:val="22"/>
    </w:rPr>
  </w:style>
  <w:style w:type="paragraph" w:customStyle="1" w:styleId="47">
    <w:name w:val="WPSOffice手动目录 1"/>
    <w:autoRedefine/>
    <w:qFormat/>
    <w:uiPriority w:val="0"/>
    <w:rPr>
      <w:rFonts w:asciiTheme="minorHAnsi" w:hAnsiTheme="minorHAnsi" w:eastAsiaTheme="minorEastAsia" w:cstheme="minorBidi"/>
      <w:lang w:val="en-US" w:eastAsia="zh-CN" w:bidi="ar-SA"/>
    </w:rPr>
  </w:style>
  <w:style w:type="character" w:customStyle="1" w:styleId="48">
    <w:name w:val="font31"/>
    <w:basedOn w:val="22"/>
    <w:autoRedefine/>
    <w:qFormat/>
    <w:uiPriority w:val="0"/>
    <w:rPr>
      <w:rFonts w:hint="default" w:ascii="Times New Roman" w:hAnsi="Times New Roman" w:cs="Times New Roman"/>
      <w:color w:val="FF0000"/>
      <w:sz w:val="22"/>
      <w:szCs w:val="22"/>
      <w:u w:val="none"/>
    </w:rPr>
  </w:style>
  <w:style w:type="character" w:customStyle="1" w:styleId="49">
    <w:name w:val="font51"/>
    <w:basedOn w:val="22"/>
    <w:autoRedefine/>
    <w:qFormat/>
    <w:uiPriority w:val="0"/>
    <w:rPr>
      <w:rFonts w:hint="default" w:ascii="方正仿宋_GBK" w:hAnsi="方正仿宋_GBK" w:eastAsia="方正仿宋_GBK" w:cs="方正仿宋_GBK"/>
      <w:color w:val="FF0000"/>
      <w:sz w:val="22"/>
      <w:szCs w:val="22"/>
      <w:u w:val="none"/>
    </w:rPr>
  </w:style>
  <w:style w:type="character" w:customStyle="1" w:styleId="50">
    <w:name w:val="NormalCharacter"/>
    <w:autoRedefine/>
    <w:qFormat/>
    <w:uiPriority w:val="0"/>
  </w:style>
  <w:style w:type="paragraph" w:customStyle="1" w:styleId="51">
    <w:name w:val="p0"/>
    <w:basedOn w:val="1"/>
    <w:autoRedefine/>
    <w:qFormat/>
    <w:uiPriority w:val="0"/>
    <w:pPr>
      <w:widowControl/>
      <w:ind w:firstLine="420"/>
      <w:jc w:val="left"/>
    </w:pPr>
    <w:rPr>
      <w:kern w:val="0"/>
      <w:sz w:val="20"/>
      <w:szCs w:val="20"/>
    </w:rPr>
  </w:style>
  <w:style w:type="paragraph" w:styleId="52">
    <w:name w:val="No Spacing"/>
    <w:autoRedefine/>
    <w:qFormat/>
    <w:uiPriority w:val="1"/>
    <w:pPr>
      <w:adjustRightInd w:val="0"/>
      <w:snapToGrid w:val="0"/>
    </w:pPr>
    <w:rPr>
      <w:rFonts w:ascii="Tahoma" w:hAnsi="Tahoma" w:eastAsia="宋体" w:cs="Times New Roman"/>
      <w:sz w:val="22"/>
      <w:szCs w:val="22"/>
      <w:lang w:val="en-US" w:eastAsia="zh-CN" w:bidi="ar-SA"/>
    </w:rPr>
  </w:style>
  <w:style w:type="character" w:customStyle="1" w:styleId="53">
    <w:name w:val="CharAttribute0"/>
    <w:autoRedefine/>
    <w:qFormat/>
    <w:uiPriority w:val="0"/>
    <w:rPr>
      <w:rFonts w:ascii="Times New Roman" w:eastAsia="宋体"/>
      <w:sz w:val="21"/>
    </w:rPr>
  </w:style>
  <w:style w:type="character" w:customStyle="1" w:styleId="54">
    <w:name w:val="批注框文本 Char"/>
    <w:basedOn w:val="22"/>
    <w:link w:val="12"/>
    <w:autoRedefine/>
    <w:semiHidden/>
    <w:qFormat/>
    <w:uiPriority w:val="99"/>
    <w:rPr>
      <w:kern w:val="2"/>
      <w:sz w:val="18"/>
      <w:szCs w:val="18"/>
    </w:rPr>
  </w:style>
  <w:style w:type="paragraph" w:customStyle="1" w:styleId="55">
    <w:name w:val="Table Text"/>
    <w:basedOn w:val="1"/>
    <w:autoRedefine/>
    <w:semiHidden/>
    <w:qFormat/>
    <w:uiPriority w:val="0"/>
    <w:rPr>
      <w:rFonts w:ascii="宋体" w:hAnsi="宋体" w:eastAsia="宋体" w:cs="宋体"/>
      <w:sz w:val="12"/>
      <w:szCs w:val="12"/>
      <w:lang w:val="en-US" w:eastAsia="en-US" w:bidi="ar-SA"/>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character" w:customStyle="1" w:styleId="57">
    <w:name w:val="font141"/>
    <w:basedOn w:val="22"/>
    <w:autoRedefine/>
    <w:qFormat/>
    <w:uiPriority w:val="0"/>
    <w:rPr>
      <w:rFonts w:hint="eastAsia" w:ascii="宋体" w:hAnsi="宋体" w:eastAsia="宋体" w:cs="宋体"/>
      <w:color w:val="FF0000"/>
      <w:sz w:val="20"/>
      <w:szCs w:val="20"/>
      <w:u w:val="none"/>
    </w:rPr>
  </w:style>
  <w:style w:type="character" w:customStyle="1" w:styleId="58">
    <w:name w:val="font151"/>
    <w:basedOn w:val="22"/>
    <w:autoRedefine/>
    <w:qFormat/>
    <w:uiPriority w:val="0"/>
    <w:rPr>
      <w:rFonts w:hint="eastAsia" w:ascii="宋体" w:hAnsi="宋体" w:eastAsia="宋体" w:cs="宋体"/>
      <w:color w:val="FF0000"/>
      <w:sz w:val="22"/>
      <w:szCs w:val="22"/>
      <w:u w:val="none"/>
    </w:rPr>
  </w:style>
  <w:style w:type="character" w:customStyle="1" w:styleId="59">
    <w:name w:val="font11"/>
    <w:basedOn w:val="22"/>
    <w:autoRedefine/>
    <w:qFormat/>
    <w:uiPriority w:val="0"/>
    <w:rPr>
      <w:rFonts w:hint="eastAsia" w:ascii="宋体" w:hAnsi="宋体" w:eastAsia="宋体" w:cs="宋体"/>
      <w:color w:val="000000"/>
      <w:sz w:val="22"/>
      <w:szCs w:val="22"/>
      <w:u w:val="none"/>
    </w:rPr>
  </w:style>
  <w:style w:type="character" w:customStyle="1" w:styleId="60">
    <w:name w:val="font41"/>
    <w:basedOn w:val="22"/>
    <w:qFormat/>
    <w:uiPriority w:val="0"/>
    <w:rPr>
      <w:rFonts w:ascii="微软雅黑" w:hAnsi="微软雅黑" w:eastAsia="微软雅黑" w:cs="微软雅黑"/>
      <w:color w:val="000000"/>
      <w:sz w:val="20"/>
      <w:szCs w:val="20"/>
      <w:u w:val="none"/>
    </w:rPr>
  </w:style>
  <w:style w:type="character" w:customStyle="1" w:styleId="61">
    <w:name w:val="font21"/>
    <w:basedOn w:val="22"/>
    <w:qFormat/>
    <w:uiPriority w:val="0"/>
    <w:rPr>
      <w:rFonts w:hint="eastAsia" w:ascii="宋体" w:hAnsi="宋体" w:eastAsia="宋体" w:cs="宋体"/>
      <w:color w:val="C00000"/>
      <w:sz w:val="18"/>
      <w:szCs w:val="18"/>
      <w:u w:val="none"/>
    </w:rPr>
  </w:style>
  <w:style w:type="character" w:customStyle="1" w:styleId="62">
    <w:name w:val="font01"/>
    <w:basedOn w:val="22"/>
    <w:qFormat/>
    <w:uiPriority w:val="0"/>
    <w:rPr>
      <w:rFonts w:hint="eastAsia" w:ascii="宋体" w:hAnsi="宋体" w:eastAsia="宋体" w:cs="宋体"/>
      <w:color w:val="000000"/>
      <w:sz w:val="22"/>
      <w:szCs w:val="22"/>
      <w:u w:val="none"/>
    </w:rPr>
  </w:style>
  <w:style w:type="character" w:customStyle="1" w:styleId="63">
    <w:name w:val="font61"/>
    <w:basedOn w:val="22"/>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a290bfc4-02da-4529-a012-3ec049a6f8c5</errorID>
      <errorWord>(</errorWord>
      <group>L1_Format</group>
      <groupName>格式问题</groupName>
      <ability>L2_HalfPunc</ability>
      <abilityName>全半角检查</abilityName>
      <candidateList>
        <item>（</item>
      </candidateList>
      <explain>文本全半角错误。</explain>
      <paraID>6E4FFCA7</paraID>
      <start>24</start>
      <end>25</end>
      <status>modified</status>
      <modifiedWord>（</modifiedWord>
      <trackRevisions>false</trackRevisions>
    </reviewItem>
    <reviewItem>
      <errorID>165fc809-7329-4a22-9760-b9a002ed2d8c</errorID>
      <errorWord>)</errorWord>
      <group>L1_Format</group>
      <groupName>格式问题</groupName>
      <ability>L2_HalfPunc</ability>
      <abilityName>全半角检查</abilityName>
      <candidateList>
        <item>）</item>
      </candidateList>
      <explain>文本全半角错误。</explain>
      <paraID>6E4FFCA7</paraID>
      <start>49</start>
      <end>50</end>
      <status>modified</status>
      <modifiedWord>）</modifiedWord>
      <trackRevisions>false</trackRevisions>
    </reviewItem>
    <reviewItem>
      <errorID>21e56a14-f903-4e29-87fe-fe4db3a36aa9</errorID>
      <errorWord>部</errorWord>
      <group>L1_Word</group>
      <groupName>字词问题</groupName>
      <ability>L2_Typo</ability>
      <abilityName>字词错误</abilityName>
      <candidateList>
        <item>部第</item>
      </candidateList>
      <explain/>
      <paraID>37087B66</paraID>
      <start>43</start>
      <end>45</end>
      <status>modified</status>
      <modifiedWord>部第</modifiedWord>
      <trackRevisions>false</trackRevisions>
    </reviewItem>
    <reviewItem>
      <errorID>2937dba4-557a-45a8-b9b5-81e52719bfab</errorID>
      <errorWord>及</errorWord>
      <group>L1_Word</group>
      <groupName>字词问题</groupName>
      <ability>L2_Typo</ability>
      <abilityName>字词错误</abilityName>
      <candidateList>
        <item>及与</item>
      </candidateList>
      <explain/>
      <paraID>619010E1</paraID>
      <start>53</start>
      <end>55</end>
      <status>modified</status>
      <modifiedWord>及与</modifiedWord>
      <trackRevisions>false</trackRevisions>
    </reviewItem>
    <reviewItem>
      <errorID>2bb2ef55-ae9e-4936-a23e-12a756771da2</errorID>
      <errorWord>置</errorWord>
      <group>L1_Word</group>
      <groupName>字词问题</groupName>
      <ability>L2_Typo</ability>
      <abilityName>字词错误</abilityName>
      <candidateList>
        <item>置加</item>
      </candidateList>
      <explain/>
      <paraID>126DCF76</paraID>
      <start>18</start>
      <end>19</end>
      <status>unmodified</status>
      <modifiedWord/>
      <trackRevisions>false</trackRevisions>
    </reviewItem>
    <reviewItem>
      <errorID>b3e307d3-ed9c-4dcb-9482-9bcf7dba452e</errorID>
      <errorWord>,</errorWord>
      <group>L1_Format</group>
      <groupName>格式问题</groupName>
      <ability>L2_HalfPunc</ability>
      <abilityName>全半角检查</abilityName>
      <candidateList>
        <item>，</item>
      </candidateList>
      <explain>文本全半角错误。</explain>
      <paraID>54299E86</paraID>
      <start>16</start>
      <end>17</end>
      <status>modified</status>
      <modifiedWord>，</modifiedWord>
      <trackRevisions>false</trackRevisions>
    </reviewItem>
    <reviewItem>
      <errorID>326ee4b7-d826-44f5-90f2-eebf254cb056</errorID>
      <errorWord>案</errorWord>
      <group>L1_Word</group>
      <groupName>字词问题</groupName>
      <ability>L2_Typo</ability>
      <abilityName>字词错误</abilityName>
      <candidateList>
        <item>案包</item>
      </candidateList>
      <explain/>
      <paraID> 8EE89B9</paraID>
      <start>11</start>
      <end>13</end>
      <status>modified</status>
      <modifiedWord>案包</modifiedWord>
      <trackRevisions>false</trackRevisions>
    </reviewItem>
    <reviewItem>
      <errorID>b413d146-9cea-44fc-8bf3-d92bee0cef0e</errorID>
      <errorWord>案</errorWord>
      <group>L1_Word</group>
      <groupName>字词问题</groupName>
      <ability>L2_Typo</ability>
      <abilityName>字词错误</abilityName>
      <candidateList>
        <item>案包</item>
      </candidateList>
      <explain/>
      <paraID>4AA8362B</paraID>
      <start>13</start>
      <end>15</end>
      <status>modified</status>
      <modifiedWord>案包</modifiedWord>
      <trackRevisions>false</trackRevisions>
    </reviewItem>
    <reviewItem>
      <errorID>51bb9ddb-e796-4d0c-8d28-b3966ea080f8</errorID>
      <errorWord>(</errorWord>
      <group>L1_Format</group>
      <groupName>格式问题</groupName>
      <ability>L2_HalfPunc</ability>
      <abilityName>全半角检查</abilityName>
      <candidateList>
        <item>（</item>
      </candidateList>
      <explain>文本全半角错误。</explain>
      <paraID>50408D2F</paraID>
      <start>16</start>
      <end>17</end>
      <status>modified</status>
      <modifiedWord>（</modifiedWord>
      <trackRevisions>false</trackRevisions>
    </reviewItem>
    <reviewItem>
      <errorID>8f698b74-6fe3-4ced-b494-3e8076478e47</errorID>
      <errorWord>)</errorWord>
      <group>L1_Format</group>
      <groupName>格式问题</groupName>
      <ability>L2_HalfPunc</ability>
      <abilityName>全半角检查</abilityName>
      <candidateList>
        <item>）</item>
      </candidateList>
      <explain>文本全半角错误。</explain>
      <paraID>50408D2F</paraID>
      <start>41</start>
      <end>42</end>
      <status>modified</status>
      <modifiedWord>）</modifiedWord>
      <trackRevisions>false</trackRevisions>
    </reviewItem>
    <reviewItem>
      <errorID>c009a581-c380-4730-9013-ac1443d1e9d9</errorID>
      <errorWord>评审中</errorWord>
      <group>L1_Word</group>
      <groupName>字词问题</groupName>
      <ability>L2_Typo</ability>
      <abilityName>字词错误</abilityName>
      <candidateList>
        <item>评审</item>
      </candidateList>
      <explain/>
      <paraID>781E9959</paraID>
      <start>129</start>
      <end>131</end>
      <status>modified</status>
      <modifiedWord>评审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95f09-d75f-4090-88d5-27d8c0e2125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70</Pages>
  <Words>20385</Words>
  <Characters>22603</Characters>
  <Lines>381</Lines>
  <Paragraphs>107</Paragraphs>
  <TotalTime>48</TotalTime>
  <ScaleCrop>false</ScaleCrop>
  <LinksUpToDate>false</LinksUpToDate>
  <CharactersWithSpaces>23096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2024-06-26T14:17:00Z</dcterms:created>
  <dc:creator>Sky123.Org</dc:creator>
  <cp:lastModifiedBy>德宏州润宇招标代理有限公司</cp:lastModifiedBy>
  <cp:lastPrinted>2025-07-27T08:40:00Z</cp:lastPrinted>
  <dcterms:modified xsi:type="dcterms:W3CDTF">2026-04-27T03:30:04Z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47662BB3386D46BEBC043B59B0B0389A_13</vt:lpwstr>
  </property>
  <property fmtid="{D5CDD505-2E9C-101B-9397-08002B2CF9AE}" pid="4" name="KSOTemplateDocerSaveRecord">
    <vt:lpwstr>eyJoZGlkIjoiYTVhYmRmZjc5OTY2YmQ4YjEwMzM0YmYwM2JlZDM2NzciLCJ1c2VySWQiOiI0NDA0NDU3OTUifQ==</vt:lpwstr>
  </property>
</Properties>
</file>