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42DD5">
      <w:pPr>
        <w:jc w:val="center"/>
        <w:rPr>
          <w:color w:val="000000" w:themeColor="text1"/>
          <w:sz w:val="40"/>
          <w:szCs w:val="40"/>
          <w:highlight w:val="none"/>
          <w14:textFill>
            <w14:solidFill>
              <w14:schemeClr w14:val="tx1"/>
            </w14:solidFill>
          </w14:textFill>
        </w:rPr>
      </w:pPr>
      <w:bookmarkStart w:id="0" w:name="_Toc466454728"/>
      <w:bookmarkStart w:id="1" w:name="_Toc466466372"/>
      <w:bookmarkStart w:id="2" w:name="_Toc465257481"/>
      <w:r>
        <w:rPr>
          <w:rFonts w:hint="eastAsia" w:ascii="宋体" w:hAnsi="宋体" w:cs="宋体"/>
          <w:b/>
          <w:color w:val="000000" w:themeColor="text1"/>
          <w:sz w:val="40"/>
          <w:szCs w:val="40"/>
          <w:highlight w:val="none"/>
          <w:lang w:eastAsia="zh-CN"/>
          <w14:textFill>
            <w14:solidFill>
              <w14:schemeClr w14:val="tx1"/>
            </w14:solidFill>
          </w14:textFill>
        </w:rPr>
        <w:t>延吉市看守所在押人员食堂食材采购项目</w:t>
      </w:r>
    </w:p>
    <w:p w14:paraId="5A6E1FCC">
      <w:pPr>
        <w:ind w:firstLine="2168" w:firstLineChars="600"/>
        <w:rPr>
          <w:rFonts w:ascii="宋体" w:hAnsi="宋体" w:cs="宋体"/>
          <w:b/>
          <w:color w:val="000000" w:themeColor="text1"/>
          <w:sz w:val="36"/>
          <w:szCs w:val="144"/>
          <w:highlight w:val="none"/>
          <w14:textFill>
            <w14:solidFill>
              <w14:schemeClr w14:val="tx1"/>
            </w14:solidFill>
          </w14:textFill>
        </w:rPr>
      </w:pPr>
    </w:p>
    <w:p w14:paraId="1F8ADE06">
      <w:pPr>
        <w:pStyle w:val="22"/>
        <w:rPr>
          <w:rFonts w:ascii="宋体" w:hAnsi="宋体" w:cs="宋体"/>
          <w:b/>
          <w:color w:val="000000" w:themeColor="text1"/>
          <w:sz w:val="36"/>
          <w:szCs w:val="144"/>
          <w:highlight w:val="none"/>
          <w14:textFill>
            <w14:solidFill>
              <w14:schemeClr w14:val="tx1"/>
            </w14:solidFill>
          </w14:textFill>
        </w:rPr>
      </w:pPr>
    </w:p>
    <w:p w14:paraId="662B7D43">
      <w:pPr>
        <w:pStyle w:val="27"/>
        <w:rPr>
          <w:highlight w:val="none"/>
        </w:rPr>
      </w:pPr>
    </w:p>
    <w:p w14:paraId="0E34305E">
      <w:pPr>
        <w:rPr>
          <w:highlight w:val="none"/>
        </w:rPr>
      </w:pPr>
    </w:p>
    <w:p w14:paraId="68227C28">
      <w:pPr>
        <w:pStyle w:val="2"/>
        <w:rPr>
          <w:highlight w:val="none"/>
        </w:rPr>
      </w:pPr>
    </w:p>
    <w:p w14:paraId="6378E7C5">
      <w:pPr>
        <w:pStyle w:val="3"/>
        <w:rPr>
          <w:highlight w:val="none"/>
        </w:rPr>
      </w:pPr>
    </w:p>
    <w:p w14:paraId="42FCE9B2">
      <w:pPr>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JLCR2026-CG33</w:t>
      </w:r>
    </w:p>
    <w:p w14:paraId="0ADA6503">
      <w:pPr>
        <w:jc w:val="center"/>
        <w:rPr>
          <w:rFonts w:ascii="宋体" w:hAnsi="宋体" w:cs="宋体"/>
          <w:b/>
          <w:color w:val="000000" w:themeColor="text1"/>
          <w:sz w:val="96"/>
          <w:szCs w:val="96"/>
          <w:highlight w:val="none"/>
          <w14:textFill>
            <w14:solidFill>
              <w14:schemeClr w14:val="tx1"/>
            </w14:solidFill>
          </w14:textFill>
        </w:rPr>
      </w:pPr>
    </w:p>
    <w:p w14:paraId="4D92B55B">
      <w:pPr>
        <w:jc w:val="center"/>
        <w:rPr>
          <w:rFonts w:ascii="宋体" w:hAnsi="宋体" w:cs="宋体"/>
          <w:b/>
          <w:color w:val="000000" w:themeColor="text1"/>
          <w:sz w:val="96"/>
          <w:szCs w:val="96"/>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p>
    <w:p w14:paraId="6B53B15C">
      <w:pPr>
        <w:jc w:val="center"/>
        <w:rPr>
          <w:rFonts w:ascii="宋体" w:hAnsi="宋体" w:cs="宋体"/>
          <w:b/>
          <w:color w:val="000000" w:themeColor="text1"/>
          <w:sz w:val="32"/>
          <w:szCs w:val="96"/>
          <w:highlight w:val="none"/>
          <w14:textFill>
            <w14:solidFill>
              <w14:schemeClr w14:val="tx1"/>
            </w14:solidFill>
          </w14:textFill>
        </w:rPr>
      </w:pPr>
    </w:p>
    <w:p w14:paraId="53686BBA">
      <w:pPr>
        <w:widowControl/>
        <w:autoSpaceDE w:val="0"/>
        <w:autoSpaceDN w:val="0"/>
        <w:adjustRightInd w:val="0"/>
        <w:spacing w:line="480" w:lineRule="auto"/>
        <w:ind w:right="-28" w:firstLine="1928" w:firstLineChars="600"/>
        <w:jc w:val="left"/>
        <w:textAlignment w:val="bottom"/>
        <w:rPr>
          <w:rFonts w:ascii="宋体" w:hAnsi="宋体" w:cs="宋体"/>
          <w:b/>
          <w:bCs/>
          <w:color w:val="000000" w:themeColor="text1"/>
          <w:kern w:val="0"/>
          <w:sz w:val="32"/>
          <w:szCs w:val="28"/>
          <w:highlight w:val="none"/>
          <w14:textFill>
            <w14:solidFill>
              <w14:schemeClr w14:val="tx1"/>
            </w14:solidFill>
          </w14:textFill>
        </w:rPr>
      </w:pPr>
    </w:p>
    <w:p w14:paraId="3E51D7B3">
      <w:pPr>
        <w:pStyle w:val="2"/>
        <w:rPr>
          <w:rFonts w:ascii="宋体" w:hAnsi="宋体" w:cs="宋体"/>
          <w:b/>
          <w:bCs/>
          <w:color w:val="000000" w:themeColor="text1"/>
          <w:kern w:val="0"/>
          <w:sz w:val="32"/>
          <w:szCs w:val="28"/>
          <w:highlight w:val="none"/>
          <w14:textFill>
            <w14:solidFill>
              <w14:schemeClr w14:val="tx1"/>
            </w14:solidFill>
          </w14:textFill>
        </w:rPr>
      </w:pPr>
    </w:p>
    <w:p w14:paraId="02FC909A">
      <w:pPr>
        <w:pStyle w:val="3"/>
        <w:rPr>
          <w:highlight w:val="none"/>
        </w:rPr>
      </w:pPr>
    </w:p>
    <w:p w14:paraId="7B476039">
      <w:pPr>
        <w:rPr>
          <w:highlight w:val="none"/>
        </w:rPr>
      </w:pPr>
    </w:p>
    <w:p w14:paraId="22C6E51C">
      <w:pPr>
        <w:widowControl/>
        <w:autoSpaceDE w:val="0"/>
        <w:autoSpaceDN w:val="0"/>
        <w:adjustRightInd w:val="0"/>
        <w:spacing w:line="480" w:lineRule="auto"/>
        <w:ind w:right="-28"/>
        <w:jc w:val="center"/>
        <w:textAlignment w:val="bottom"/>
        <w:rPr>
          <w:rFonts w:ascii="宋体" w:hAnsi="宋体" w:cs="宋体"/>
          <w:b/>
          <w:bCs/>
          <w:color w:val="000000" w:themeColor="text1"/>
          <w:kern w:val="0"/>
          <w:sz w:val="32"/>
          <w:szCs w:val="28"/>
          <w:highlight w:val="none"/>
          <w14:textFill>
            <w14:solidFill>
              <w14:schemeClr w14:val="tx1"/>
            </w14:solidFill>
          </w14:textFill>
        </w:rPr>
      </w:pPr>
    </w:p>
    <w:p w14:paraId="5518AAAF">
      <w:pPr>
        <w:widowControl/>
        <w:autoSpaceDE w:val="0"/>
        <w:autoSpaceDN w:val="0"/>
        <w:adjustRightInd w:val="0"/>
        <w:spacing w:line="480" w:lineRule="auto"/>
        <w:ind w:right="-28"/>
        <w:jc w:val="both"/>
        <w:textAlignment w:val="bottom"/>
        <w:rPr>
          <w:rFonts w:hint="eastAsia" w:ascii="宋体" w:hAnsi="宋体" w:cs="宋体"/>
          <w:b/>
          <w:bCs/>
          <w:color w:val="000000" w:themeColor="text1"/>
          <w:kern w:val="0"/>
          <w:sz w:val="32"/>
          <w:szCs w:val="28"/>
          <w:highlight w:val="none"/>
          <w14:textFill>
            <w14:solidFill>
              <w14:schemeClr w14:val="tx1"/>
            </w14:solidFill>
          </w14:textFill>
        </w:rPr>
      </w:pPr>
    </w:p>
    <w:p w14:paraId="16A45DD9">
      <w:pPr>
        <w:rPr>
          <w:rFonts w:hint="eastAsia"/>
          <w:highlight w:val="none"/>
        </w:rPr>
      </w:pPr>
    </w:p>
    <w:p w14:paraId="7B6C1116">
      <w:pPr>
        <w:widowControl/>
        <w:autoSpaceDE w:val="0"/>
        <w:autoSpaceDN w:val="0"/>
        <w:adjustRightInd w:val="0"/>
        <w:spacing w:line="480" w:lineRule="auto"/>
        <w:ind w:right="-28"/>
        <w:jc w:val="center"/>
        <w:textAlignment w:val="bottom"/>
        <w:rPr>
          <w:rFonts w:hint="eastAsia" w:ascii="宋体" w:hAnsi="宋体" w:cs="宋体"/>
          <w:b/>
          <w:bCs/>
          <w:color w:val="000000" w:themeColor="text1"/>
          <w:kern w:val="0"/>
          <w:sz w:val="32"/>
          <w:szCs w:val="28"/>
          <w:highlight w:val="none"/>
          <w14:textFill>
            <w14:solidFill>
              <w14:schemeClr w14:val="tx1"/>
            </w14:solidFill>
          </w14:textFill>
        </w:rPr>
      </w:pPr>
    </w:p>
    <w:p w14:paraId="357C010A">
      <w:pPr>
        <w:pStyle w:val="2"/>
        <w:rPr>
          <w:rFonts w:hint="eastAsia"/>
          <w:highlight w:val="none"/>
        </w:rPr>
      </w:pPr>
    </w:p>
    <w:p w14:paraId="22DF7027">
      <w:pPr>
        <w:widowControl/>
        <w:autoSpaceDE w:val="0"/>
        <w:autoSpaceDN w:val="0"/>
        <w:adjustRightInd w:val="0"/>
        <w:spacing w:line="480" w:lineRule="auto"/>
        <w:ind w:right="-28"/>
        <w:jc w:val="center"/>
        <w:textAlignment w:val="bottom"/>
        <w:rPr>
          <w:rFonts w:ascii="宋体" w:hAnsi="宋体" w:cs="宋体"/>
          <w:b/>
          <w:color w:val="000000" w:themeColor="text1"/>
          <w:sz w:val="48"/>
          <w:szCs w:val="56"/>
          <w:highlight w:val="none"/>
          <w14:textFill>
            <w14:solidFill>
              <w14:schemeClr w14:val="tx1"/>
            </w14:solidFill>
          </w14:textFill>
        </w:rPr>
        <w:sectPr>
          <w:headerReference r:id="rId3" w:type="first"/>
          <w:footerReference r:id="rId4" w:type="default"/>
          <w:pgSz w:w="11905" w:h="16838"/>
          <w:pgMar w:top="1440" w:right="1803" w:bottom="1440" w:left="1803" w:header="1140" w:footer="720" w:gutter="0"/>
          <w:pgNumType w:start="1"/>
          <w:cols w:space="0" w:num="1"/>
          <w:docGrid w:type="lines" w:linePitch="317" w:charSpace="0"/>
        </w:sectPr>
      </w:pPr>
      <w:r>
        <w:rPr>
          <w:rFonts w:hint="eastAsia" w:ascii="宋体" w:hAnsi="宋体" w:cs="宋体"/>
          <w:b/>
          <w:bCs/>
          <w:color w:val="000000" w:themeColor="text1"/>
          <w:kern w:val="0"/>
          <w:sz w:val="32"/>
          <w:szCs w:val="28"/>
          <w:highlight w:val="none"/>
          <w14:textFill>
            <w14:solidFill>
              <w14:schemeClr w14:val="tx1"/>
            </w14:solidFill>
          </w14:textFill>
        </w:rPr>
        <w:t>吉林省长润工程咨询有限公司</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kern w:val="0"/>
          <w:sz w:val="32"/>
          <w:szCs w:val="28"/>
          <w:highlight w:val="none"/>
          <w14:textFill>
            <w14:solidFill>
              <w14:schemeClr w14:val="tx1"/>
            </w14:solidFill>
          </w14:textFill>
        </w:rPr>
        <w:t>编制</w:t>
      </w:r>
    </w:p>
    <w:p w14:paraId="5ADF8236">
      <w:pPr>
        <w:jc w:val="center"/>
        <w:rPr>
          <w:color w:val="000000" w:themeColor="text1"/>
          <w:sz w:val="40"/>
          <w:szCs w:val="40"/>
          <w:highlight w:val="none"/>
          <w14:textFill>
            <w14:solidFill>
              <w14:schemeClr w14:val="tx1"/>
            </w14:solidFill>
          </w14:textFill>
        </w:rPr>
      </w:pPr>
      <w:r>
        <w:rPr>
          <w:rFonts w:hint="eastAsia" w:ascii="宋体" w:hAnsi="宋体" w:cs="宋体"/>
          <w:b/>
          <w:color w:val="000000" w:themeColor="text1"/>
          <w:sz w:val="40"/>
          <w:szCs w:val="40"/>
          <w:highlight w:val="none"/>
          <w:lang w:eastAsia="zh-CN"/>
          <w14:textFill>
            <w14:solidFill>
              <w14:schemeClr w14:val="tx1"/>
            </w14:solidFill>
          </w14:textFill>
        </w:rPr>
        <w:t>延吉市看守所在押人员食堂食材采购项目</w:t>
      </w:r>
    </w:p>
    <w:p w14:paraId="37DE010F">
      <w:pPr>
        <w:ind w:firstLine="2168" w:firstLineChars="600"/>
        <w:rPr>
          <w:rFonts w:ascii="宋体" w:hAnsi="宋体" w:cs="宋体"/>
          <w:b/>
          <w:color w:val="000000" w:themeColor="text1"/>
          <w:sz w:val="36"/>
          <w:szCs w:val="144"/>
          <w:highlight w:val="none"/>
          <w14:textFill>
            <w14:solidFill>
              <w14:schemeClr w14:val="tx1"/>
            </w14:solidFill>
          </w14:textFill>
        </w:rPr>
      </w:pPr>
    </w:p>
    <w:p w14:paraId="3FE865B0">
      <w:pPr>
        <w:pStyle w:val="27"/>
        <w:rPr>
          <w:highlight w:val="none"/>
        </w:rPr>
      </w:pPr>
    </w:p>
    <w:p w14:paraId="715EFD78">
      <w:pPr>
        <w:rPr>
          <w:highlight w:val="none"/>
        </w:rPr>
      </w:pPr>
    </w:p>
    <w:p w14:paraId="66531AEF">
      <w:pPr>
        <w:pStyle w:val="3"/>
        <w:ind w:left="0" w:leftChars="0" w:firstLine="0" w:firstLineChars="0"/>
        <w:jc w:val="both"/>
        <w:rPr>
          <w:highlight w:val="none"/>
        </w:rPr>
      </w:pPr>
    </w:p>
    <w:p w14:paraId="5422E741">
      <w:pPr>
        <w:rPr>
          <w:highlight w:val="none"/>
        </w:rPr>
      </w:pPr>
    </w:p>
    <w:p w14:paraId="57C9F4DD">
      <w:pPr>
        <w:pStyle w:val="2"/>
        <w:rPr>
          <w:highlight w:val="none"/>
        </w:rPr>
      </w:pPr>
    </w:p>
    <w:p w14:paraId="5F583B0D">
      <w:pPr>
        <w:jc w:val="center"/>
        <w:rPr>
          <w:rFonts w:hint="eastAsia" w:ascii="宋体" w:hAnsi="宋体" w:eastAsia="宋体" w:cs="宋体"/>
          <w:b/>
          <w:color w:val="000000" w:themeColor="text1"/>
          <w:sz w:val="32"/>
          <w:szCs w:val="96"/>
          <w:highlight w:val="none"/>
          <w:lang w:eastAsia="zh-CN"/>
          <w14:textFill>
            <w14:solidFill>
              <w14:schemeClr w14:val="tx1"/>
            </w14:solidFill>
          </w14:textFill>
        </w:rPr>
      </w:pPr>
      <w:r>
        <w:rPr>
          <w:rFonts w:hint="eastAsia" w:ascii="宋体" w:hAnsi="宋体" w:cs="宋体"/>
          <w:b/>
          <w:color w:val="000000" w:themeColor="text1"/>
          <w:sz w:val="32"/>
          <w:szCs w:val="96"/>
          <w:highlight w:val="none"/>
          <w14:textFill>
            <w14:solidFill>
              <w14:schemeClr w14:val="tx1"/>
            </w14:solidFill>
          </w14:textFill>
        </w:rPr>
        <w:t>项目编号：</w:t>
      </w:r>
      <w:r>
        <w:rPr>
          <w:rFonts w:hint="eastAsia" w:ascii="宋体" w:hAnsi="宋体" w:cs="宋体"/>
          <w:b/>
          <w:color w:val="000000" w:themeColor="text1"/>
          <w:sz w:val="32"/>
          <w:szCs w:val="96"/>
          <w:highlight w:val="none"/>
          <w:lang w:eastAsia="zh-CN"/>
          <w14:textFill>
            <w14:solidFill>
              <w14:schemeClr w14:val="tx1"/>
            </w14:solidFill>
          </w14:textFill>
        </w:rPr>
        <w:t>JLCR2026-CG33</w:t>
      </w:r>
    </w:p>
    <w:p w14:paraId="57CD7D38">
      <w:pPr>
        <w:jc w:val="center"/>
        <w:rPr>
          <w:rFonts w:ascii="宋体" w:hAnsi="宋体" w:cs="宋体"/>
          <w:b/>
          <w:color w:val="000000" w:themeColor="text1"/>
          <w:highlight w:val="none"/>
          <w14:textFill>
            <w14:solidFill>
              <w14:schemeClr w14:val="tx1"/>
            </w14:solidFill>
          </w14:textFill>
        </w:rPr>
      </w:pPr>
    </w:p>
    <w:p w14:paraId="134374E5">
      <w:pPr>
        <w:jc w:val="center"/>
        <w:rPr>
          <w:rFonts w:ascii="宋体" w:hAnsi="宋体" w:cs="宋体"/>
          <w:b/>
          <w:color w:val="000000" w:themeColor="text1"/>
          <w:sz w:val="52"/>
          <w:szCs w:val="52"/>
          <w:highlight w:val="none"/>
          <w14:textFill>
            <w14:solidFill>
              <w14:schemeClr w14:val="tx1"/>
            </w14:solidFill>
          </w14:textFill>
        </w:rPr>
      </w:pPr>
    </w:p>
    <w:p w14:paraId="2383F32E">
      <w:pPr>
        <w:jc w:val="center"/>
        <w:rPr>
          <w:rFonts w:ascii="宋体" w:hAnsi="宋体" w:cs="宋体"/>
          <w:b/>
          <w:color w:val="000000" w:themeColor="text1"/>
          <w:sz w:val="96"/>
          <w:szCs w:val="96"/>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p>
    <w:p w14:paraId="26A97626">
      <w:pPr>
        <w:jc w:val="center"/>
        <w:rPr>
          <w:rFonts w:ascii="宋体" w:hAnsi="宋体" w:cs="宋体"/>
          <w:b/>
          <w:color w:val="000000" w:themeColor="text1"/>
          <w:sz w:val="96"/>
          <w:szCs w:val="96"/>
          <w:highlight w:val="none"/>
          <w14:textFill>
            <w14:solidFill>
              <w14:schemeClr w14:val="tx1"/>
            </w14:solidFill>
          </w14:textFill>
        </w:rPr>
      </w:pPr>
    </w:p>
    <w:p w14:paraId="141AF218">
      <w:pPr>
        <w:widowControl/>
        <w:autoSpaceDE w:val="0"/>
        <w:autoSpaceDN w:val="0"/>
        <w:adjustRightInd w:val="0"/>
        <w:spacing w:line="480" w:lineRule="auto"/>
        <w:ind w:right="-28" w:firstLine="1928" w:firstLineChars="600"/>
        <w:textAlignment w:val="bottom"/>
        <w:rPr>
          <w:rFonts w:hint="eastAsia" w:ascii="宋体" w:hAnsi="宋体" w:cs="宋体"/>
          <w:b/>
          <w:color w:val="000000" w:themeColor="text1"/>
          <w:kern w:val="0"/>
          <w:sz w:val="32"/>
          <w:szCs w:val="28"/>
          <w:highlight w:val="none"/>
          <w14:textFill>
            <w14:solidFill>
              <w14:schemeClr w14:val="tx1"/>
            </w14:solidFill>
          </w14:textFill>
        </w:rPr>
      </w:pPr>
      <w:bookmarkStart w:id="3" w:name="OLE_LINK10"/>
    </w:p>
    <w:p w14:paraId="5B506A69">
      <w:pPr>
        <w:pStyle w:val="2"/>
        <w:rPr>
          <w:rFonts w:hint="eastAsia"/>
          <w:highlight w:val="none"/>
        </w:rPr>
      </w:pPr>
    </w:p>
    <w:p w14:paraId="7EF48F60">
      <w:pPr>
        <w:pStyle w:val="2"/>
        <w:rPr>
          <w:rFonts w:hint="eastAsia" w:ascii="宋体" w:hAnsi="宋体" w:cs="宋体"/>
          <w:b/>
          <w:color w:val="000000" w:themeColor="text1"/>
          <w:kern w:val="0"/>
          <w:sz w:val="32"/>
          <w:szCs w:val="28"/>
          <w:highlight w:val="none"/>
          <w14:textFill>
            <w14:solidFill>
              <w14:schemeClr w14:val="tx1"/>
            </w14:solidFill>
          </w14:textFill>
        </w:rPr>
      </w:pPr>
    </w:p>
    <w:p w14:paraId="43745314">
      <w:pPr>
        <w:pStyle w:val="3"/>
        <w:rPr>
          <w:rFonts w:hint="eastAsia"/>
          <w:highlight w:val="none"/>
        </w:rPr>
      </w:pPr>
    </w:p>
    <w:p w14:paraId="653ED746">
      <w:pPr>
        <w:widowControl/>
        <w:autoSpaceDE w:val="0"/>
        <w:autoSpaceDN w:val="0"/>
        <w:adjustRightInd w:val="0"/>
        <w:spacing w:line="720" w:lineRule="auto"/>
        <w:ind w:right="-28" w:firstLine="1606" w:firstLineChars="500"/>
        <w:textAlignment w:val="bottom"/>
        <w:rPr>
          <w:rFonts w:ascii="宋体" w:hAnsi="宋体" w:cs="宋体"/>
          <w:b/>
          <w:color w:val="000000" w:themeColor="text1"/>
          <w:kern w:val="0"/>
          <w:sz w:val="32"/>
          <w:szCs w:val="28"/>
          <w:highlight w:val="none"/>
          <w:lang w:val="zh-CN"/>
          <w14:textFill>
            <w14:solidFill>
              <w14:schemeClr w14:val="tx1"/>
            </w14:solidFill>
          </w14:textFill>
        </w:rPr>
      </w:pPr>
      <w:r>
        <w:rPr>
          <w:rFonts w:hint="eastAsia" w:ascii="宋体" w:hAnsi="宋体" w:cs="宋体"/>
          <w:b/>
          <w:color w:val="000000" w:themeColor="text1"/>
          <w:kern w:val="0"/>
          <w:sz w:val="32"/>
          <w:szCs w:val="28"/>
          <w:highlight w:val="none"/>
          <w:lang w:eastAsia="zh-CN"/>
          <w14:textFill>
            <w14:solidFill>
              <w14:schemeClr w14:val="tx1"/>
            </w14:solidFill>
          </w14:textFill>
        </w:rPr>
        <w:t>采</w:t>
      </w:r>
      <w:r>
        <w:rPr>
          <w:rFonts w:hint="eastAsia" w:ascii="宋体" w:hAnsi="宋体" w:cs="宋体"/>
          <w:b/>
          <w:color w:val="000000" w:themeColor="text1"/>
          <w:kern w:val="0"/>
          <w:sz w:val="32"/>
          <w:szCs w:val="28"/>
          <w:highlight w:val="none"/>
          <w:lang w:val="en-US" w:eastAsia="zh-CN"/>
          <w14:textFill>
            <w14:solidFill>
              <w14:schemeClr w14:val="tx1"/>
            </w14:solidFill>
          </w14:textFill>
        </w:rPr>
        <w:t xml:space="preserve"> </w:t>
      </w:r>
      <w:r>
        <w:rPr>
          <w:rFonts w:hint="eastAsia" w:ascii="宋体" w:hAnsi="宋体" w:cs="宋体"/>
          <w:b/>
          <w:color w:val="000000" w:themeColor="text1"/>
          <w:kern w:val="0"/>
          <w:sz w:val="32"/>
          <w:szCs w:val="28"/>
          <w:highlight w:val="none"/>
          <w:lang w:eastAsia="zh-CN"/>
          <w14:textFill>
            <w14:solidFill>
              <w14:schemeClr w14:val="tx1"/>
            </w14:solidFill>
          </w14:textFill>
        </w:rPr>
        <w:t>购</w:t>
      </w:r>
      <w:r>
        <w:rPr>
          <w:rFonts w:hint="eastAsia" w:ascii="宋体" w:hAnsi="宋体" w:cs="宋体"/>
          <w:b/>
          <w:color w:val="000000" w:themeColor="text1"/>
          <w:kern w:val="0"/>
          <w:sz w:val="32"/>
          <w:szCs w:val="28"/>
          <w:highlight w:val="none"/>
          <w:lang w:val="en-US" w:eastAsia="zh-CN"/>
          <w14:textFill>
            <w14:solidFill>
              <w14:schemeClr w14:val="tx1"/>
            </w14:solidFill>
          </w14:textFill>
        </w:rPr>
        <w:t xml:space="preserve"> </w:t>
      </w:r>
      <w:r>
        <w:rPr>
          <w:rFonts w:hint="eastAsia" w:ascii="宋体" w:hAnsi="宋体" w:cs="宋体"/>
          <w:b/>
          <w:color w:val="000000" w:themeColor="text1"/>
          <w:kern w:val="0"/>
          <w:sz w:val="32"/>
          <w:szCs w:val="28"/>
          <w:highlight w:val="none"/>
          <w:lang w:eastAsia="zh-CN"/>
          <w14:textFill>
            <w14:solidFill>
              <w14:schemeClr w14:val="tx1"/>
            </w14:solidFill>
          </w14:textFill>
        </w:rPr>
        <w:t>人</w:t>
      </w:r>
      <w:r>
        <w:rPr>
          <w:rFonts w:hint="eastAsia" w:ascii="宋体" w:hAnsi="宋体" w:cs="宋体"/>
          <w:b/>
          <w:color w:val="000000" w:themeColor="text1"/>
          <w:kern w:val="0"/>
          <w:sz w:val="32"/>
          <w:szCs w:val="28"/>
          <w:highlight w:val="none"/>
          <w14:textFill>
            <w14:solidFill>
              <w14:schemeClr w14:val="tx1"/>
            </w14:solidFill>
          </w14:textFill>
        </w:rPr>
        <w:t>：</w:t>
      </w:r>
      <w:bookmarkEnd w:id="3"/>
      <w:r>
        <w:rPr>
          <w:rFonts w:hint="eastAsia" w:ascii="宋体" w:hAnsi="宋体" w:cs="宋体"/>
          <w:b/>
          <w:color w:val="000000" w:themeColor="text1"/>
          <w:kern w:val="0"/>
          <w:sz w:val="32"/>
          <w:szCs w:val="28"/>
          <w:highlight w:val="none"/>
          <w:lang w:eastAsia="zh-CN"/>
          <w14:textFill>
            <w14:solidFill>
              <w14:schemeClr w14:val="tx1"/>
            </w14:solidFill>
          </w14:textFill>
        </w:rPr>
        <w:t>延吉市看守所</w:t>
      </w:r>
    </w:p>
    <w:p w14:paraId="7DC30D9A">
      <w:pPr>
        <w:widowControl/>
        <w:autoSpaceDE w:val="0"/>
        <w:autoSpaceDN w:val="0"/>
        <w:adjustRightInd w:val="0"/>
        <w:spacing w:line="720" w:lineRule="auto"/>
        <w:ind w:right="-28" w:firstLine="1606" w:firstLineChars="500"/>
        <w:jc w:val="left"/>
        <w:textAlignment w:val="bottom"/>
        <w:rPr>
          <w:rFonts w:ascii="宋体" w:hAnsi="宋体" w:cs="宋体"/>
          <w:b/>
          <w:color w:val="000000" w:themeColor="text1"/>
          <w:sz w:val="32"/>
          <w:szCs w:val="52"/>
          <w:highlight w:val="none"/>
          <w14:textFill>
            <w14:solidFill>
              <w14:schemeClr w14:val="tx1"/>
            </w14:solidFill>
          </w14:textFill>
        </w:rPr>
      </w:pPr>
      <w:r>
        <w:rPr>
          <w:rFonts w:hint="eastAsia" w:ascii="宋体" w:hAnsi="宋体" w:cs="宋体"/>
          <w:b/>
          <w:color w:val="000000" w:themeColor="text1"/>
          <w:kern w:val="0"/>
          <w:sz w:val="32"/>
          <w:szCs w:val="28"/>
          <w:highlight w:val="none"/>
          <w:lang w:val="zh-CN"/>
          <w14:textFill>
            <w14:solidFill>
              <w14:schemeClr w14:val="tx1"/>
            </w14:solidFill>
          </w14:textFill>
        </w:rPr>
        <w:t>代理机构：</w:t>
      </w:r>
      <w:r>
        <w:rPr>
          <w:rFonts w:hint="eastAsia" w:ascii="宋体" w:hAnsi="宋体" w:cs="宋体"/>
          <w:b/>
          <w:bCs/>
          <w:color w:val="000000" w:themeColor="text1"/>
          <w:kern w:val="0"/>
          <w:sz w:val="32"/>
          <w:szCs w:val="28"/>
          <w:highlight w:val="none"/>
          <w14:textFill>
            <w14:solidFill>
              <w14:schemeClr w14:val="tx1"/>
            </w14:solidFill>
          </w14:textFill>
        </w:rPr>
        <w:t>吉林省长润工程咨询有限公司</w:t>
      </w:r>
    </w:p>
    <w:p w14:paraId="6940C6CC">
      <w:pPr>
        <w:spacing w:line="720" w:lineRule="auto"/>
        <w:jc w:val="center"/>
        <w:rPr>
          <w:rFonts w:ascii="宋体" w:hAnsi="宋体" w:cs="宋体"/>
          <w:b/>
          <w:color w:val="000000" w:themeColor="text1"/>
          <w:sz w:val="32"/>
          <w:szCs w:val="52"/>
          <w:highlight w:val="none"/>
          <w14:textFill>
            <w14:solidFill>
              <w14:schemeClr w14:val="tx1"/>
            </w14:solidFill>
          </w14:textFill>
        </w:rPr>
        <w:sectPr>
          <w:pgSz w:w="11905" w:h="16838"/>
          <w:pgMar w:top="1440" w:right="1803" w:bottom="1440" w:left="1803" w:header="1140" w:footer="720" w:gutter="0"/>
          <w:pgNumType w:start="1"/>
          <w:cols w:space="0" w:num="1"/>
          <w:docGrid w:type="lines" w:linePitch="317" w:charSpace="0"/>
        </w:sectPr>
      </w:pPr>
      <w:r>
        <w:rPr>
          <w:rFonts w:hint="eastAsia" w:ascii="宋体" w:hAnsi="宋体" w:cs="宋体"/>
          <w:b/>
          <w:color w:val="000000" w:themeColor="text1"/>
          <w:sz w:val="32"/>
          <w:szCs w:val="52"/>
          <w:highlight w:val="none"/>
          <w14:textFill>
            <w14:solidFill>
              <w14:schemeClr w14:val="tx1"/>
            </w14:solidFill>
          </w14:textFill>
        </w:rPr>
        <w:t>二〇二</w:t>
      </w:r>
      <w:r>
        <w:rPr>
          <w:rFonts w:hint="eastAsia" w:ascii="宋体" w:hAnsi="宋体" w:cs="宋体"/>
          <w:b/>
          <w:color w:val="000000" w:themeColor="text1"/>
          <w:sz w:val="32"/>
          <w:szCs w:val="52"/>
          <w:highlight w:val="none"/>
          <w:lang w:eastAsia="zh-CN"/>
          <w14:textFill>
            <w14:solidFill>
              <w14:schemeClr w14:val="tx1"/>
            </w14:solidFill>
          </w14:textFill>
        </w:rPr>
        <w:t>六</w:t>
      </w:r>
      <w:r>
        <w:rPr>
          <w:rFonts w:hint="eastAsia" w:ascii="宋体" w:hAnsi="宋体" w:cs="宋体"/>
          <w:b/>
          <w:color w:val="000000" w:themeColor="text1"/>
          <w:sz w:val="32"/>
          <w:szCs w:val="52"/>
          <w:highlight w:val="none"/>
          <w14:textFill>
            <w14:solidFill>
              <w14:schemeClr w14:val="tx1"/>
            </w14:solidFill>
          </w14:textFill>
        </w:rPr>
        <w:t>年</w:t>
      </w:r>
      <w:r>
        <w:rPr>
          <w:rFonts w:hint="eastAsia" w:ascii="宋体" w:hAnsi="宋体" w:cs="宋体"/>
          <w:b/>
          <w:color w:val="000000" w:themeColor="text1"/>
          <w:sz w:val="32"/>
          <w:szCs w:val="52"/>
          <w:highlight w:val="none"/>
          <w:lang w:eastAsia="zh-CN"/>
          <w14:textFill>
            <w14:solidFill>
              <w14:schemeClr w14:val="tx1"/>
            </w14:solidFill>
          </w14:textFill>
        </w:rPr>
        <w:t>五</w:t>
      </w:r>
      <w:r>
        <w:rPr>
          <w:rFonts w:hint="eastAsia" w:ascii="宋体" w:hAnsi="宋体" w:cs="宋体"/>
          <w:b/>
          <w:color w:val="000000" w:themeColor="text1"/>
          <w:sz w:val="32"/>
          <w:szCs w:val="52"/>
          <w:highlight w:val="none"/>
          <w14:textFill>
            <w14:solidFill>
              <w14:schemeClr w14:val="tx1"/>
            </w14:solidFill>
          </w14:textFill>
        </w:rPr>
        <w:t>月</w:t>
      </w:r>
    </w:p>
    <w:sdt>
      <w:sdtPr>
        <w:rPr>
          <w:rFonts w:ascii="宋体" w:hAnsi="宋体"/>
          <w:b/>
          <w:bCs/>
          <w:caps/>
          <w:color w:val="000000" w:themeColor="text1"/>
          <w:highlight w:val="none"/>
          <w14:textFill>
            <w14:solidFill>
              <w14:schemeClr w14:val="tx1"/>
            </w14:solidFill>
          </w14:textFill>
        </w:rPr>
        <w:id w:val="147477770"/>
        <w15:color w:val="DBDBDB"/>
        <w:docPartObj>
          <w:docPartGallery w:val="Table of Contents"/>
          <w:docPartUnique/>
        </w:docPartObj>
      </w:sdtPr>
      <w:sdtEndPr>
        <w:rPr>
          <w:rFonts w:hint="eastAsia" w:ascii="Times New Roman" w:hAnsi="Times New Roman" w:cs="Times New Roman"/>
          <w:b/>
          <w:bCs w:val="0"/>
          <w:caps/>
          <w:color w:val="000000" w:themeColor="text1"/>
          <w:sz w:val="24"/>
          <w:szCs w:val="28"/>
          <w:highlight w:val="none"/>
          <w14:textFill>
            <w14:solidFill>
              <w14:schemeClr w14:val="tx1"/>
            </w14:solidFill>
          </w14:textFill>
        </w:rPr>
      </w:sdtEndPr>
      <w:sdtContent>
        <w:p w14:paraId="35A5A9F8">
          <w:pPr>
            <w:jc w:val="center"/>
            <w:outlineLvl w:val="0"/>
            <w:rPr>
              <w:rFonts w:ascii="宋体" w:hAnsi="宋体"/>
              <w:b/>
              <w:bCs/>
              <w:color w:val="000000" w:themeColor="text1"/>
              <w:sz w:val="48"/>
              <w:szCs w:val="48"/>
              <w:highlight w:val="none"/>
              <w14:textFill>
                <w14:solidFill>
                  <w14:schemeClr w14:val="tx1"/>
                </w14:solidFill>
              </w14:textFill>
            </w:rPr>
          </w:pPr>
          <w:r>
            <w:rPr>
              <w:rFonts w:ascii="宋体" w:hAnsi="宋体"/>
              <w:b/>
              <w:bCs/>
              <w:color w:val="000000" w:themeColor="text1"/>
              <w:sz w:val="44"/>
              <w:szCs w:val="44"/>
              <w:highlight w:val="none"/>
              <w14:textFill>
                <w14:solidFill>
                  <w14:schemeClr w14:val="tx1"/>
                </w14:solidFill>
              </w14:textFill>
            </w:rPr>
            <w:t>目</w:t>
          </w:r>
          <w:r>
            <w:rPr>
              <w:rFonts w:hint="eastAsia" w:ascii="宋体" w:hAnsi="宋体"/>
              <w:b/>
              <w:bCs/>
              <w:color w:val="000000" w:themeColor="text1"/>
              <w:sz w:val="44"/>
              <w:szCs w:val="44"/>
              <w:highlight w:val="none"/>
              <w14:textFill>
                <w14:solidFill>
                  <w14:schemeClr w14:val="tx1"/>
                </w14:solidFill>
              </w14:textFill>
            </w:rPr>
            <w:t xml:space="preserve"> </w:t>
          </w:r>
          <w:r>
            <w:rPr>
              <w:rFonts w:ascii="宋体" w:hAnsi="宋体"/>
              <w:b/>
              <w:bCs/>
              <w:color w:val="000000" w:themeColor="text1"/>
              <w:sz w:val="44"/>
              <w:szCs w:val="44"/>
              <w:highlight w:val="none"/>
              <w14:textFill>
                <w14:solidFill>
                  <w14:schemeClr w14:val="tx1"/>
                </w14:solidFill>
              </w14:textFill>
            </w:rPr>
            <w:t>录</w:t>
          </w:r>
        </w:p>
        <w:p w14:paraId="1077967A">
          <w:pPr>
            <w:pStyle w:val="33"/>
            <w:rPr>
              <w:color w:val="000000" w:themeColor="text1"/>
              <w:highlight w:val="none"/>
              <w14:textFill>
                <w14:solidFill>
                  <w14:schemeClr w14:val="tx1"/>
                </w14:solidFill>
              </w14:textFill>
            </w:rPr>
          </w:pPr>
        </w:p>
        <w:p w14:paraId="636D596E">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rFonts w:hint="eastAsia" w:ascii="宋体" w:hAnsi="宋体" w:cs="宋体"/>
              <w:b w:val="0"/>
              <w:bCs w:val="0"/>
              <w:color w:val="000000" w:themeColor="text1"/>
              <w:sz w:val="36"/>
              <w:szCs w:val="36"/>
              <w:highlight w:val="none"/>
              <w14:textFill>
                <w14:solidFill>
                  <w14:schemeClr w14:val="tx1"/>
                </w14:solidFill>
              </w14:textFill>
            </w:rPr>
            <w:fldChar w:fldCharType="begin"/>
          </w:r>
          <w:r>
            <w:rPr>
              <w:rFonts w:hint="eastAsia" w:ascii="宋体" w:hAnsi="宋体" w:cs="宋体"/>
              <w:b w:val="0"/>
              <w:bCs w:val="0"/>
              <w:color w:val="000000" w:themeColor="text1"/>
              <w:sz w:val="36"/>
              <w:szCs w:val="36"/>
              <w:highlight w:val="none"/>
              <w14:textFill>
                <w14:solidFill>
                  <w14:schemeClr w14:val="tx1"/>
                </w14:solidFill>
              </w14:textFill>
            </w:rPr>
            <w:instrText xml:space="preserve">TOC \o "1-1" \h \u </w:instrText>
          </w:r>
          <w:r>
            <w:rPr>
              <w:rFonts w:hint="eastAsia" w:ascii="宋体" w:hAnsi="宋体" w:cs="宋体"/>
              <w:b w:val="0"/>
              <w:bCs w:val="0"/>
              <w:color w:val="000000" w:themeColor="text1"/>
              <w:sz w:val="36"/>
              <w:szCs w:val="36"/>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"_Toc31656"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第一章 竞争性磋商公告</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_Toc31656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1</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6572FC5F">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"_Toc29396"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第二章 供应商须知</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_Toc29396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6</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3C6FAD99">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"_Toc20951"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第三章 评标办法</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_Toc20951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35</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2785E762">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"_Toc5207"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第四章 政府采购合同书格式及条款</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_Toc5207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52</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08F93612">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"_Toc25811"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第五章 项目采购需求</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_Toc25811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54</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743FF73D">
          <w:pPr>
            <w:pStyle w:val="24"/>
            <w:tabs>
              <w:tab w:val="right" w:leader="dot" w:pos="8299"/>
              <w:tab w:val="clear" w:pos="8390"/>
            </w:tabs>
            <w:spacing w:line="1000" w:lineRule="exact"/>
            <w:rPr>
              <w:color w:val="000000" w:themeColor="text1"/>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"_Toc5076"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第六章 竞争性磋商响应文件格式</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_Toc5076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58</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2E4CF2FB">
          <w:pPr>
            <w:pStyle w:val="24"/>
            <w:tabs>
              <w:tab w:val="right" w:leader="dot" w:pos="8306"/>
              <w:tab w:val="clear" w:pos="8390"/>
            </w:tabs>
            <w:spacing w:line="1000" w:lineRule="exact"/>
            <w:rPr>
              <w:b w:val="0"/>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Cs w:val="36"/>
              <w:highlight w:val="none"/>
              <w14:textFill>
                <w14:solidFill>
                  <w14:schemeClr w14:val="tx1"/>
                </w14:solidFill>
              </w14:textFill>
            </w:rPr>
            <w:fldChar w:fldCharType="end"/>
          </w:r>
        </w:p>
      </w:sdtContent>
    </w:sdt>
    <w:p w14:paraId="1B14711B">
      <w:pPr>
        <w:rPr>
          <w:rFonts w:cs="Times New Roman"/>
          <w:color w:val="000000" w:themeColor="text1"/>
          <w:highlight w:val="none"/>
          <w14:textFill>
            <w14:solidFill>
              <w14:schemeClr w14:val="tx1"/>
            </w14:solidFill>
          </w14:textFill>
        </w:rPr>
      </w:pPr>
      <w:bookmarkStart w:id="242" w:name="_GoBack"/>
      <w:bookmarkEnd w:id="242"/>
    </w:p>
    <w:bookmarkEnd w:id="0"/>
    <w:bookmarkEnd w:id="1"/>
    <w:bookmarkEnd w:id="2"/>
    <w:p w14:paraId="00297EC7">
      <w:pPr>
        <w:pStyle w:val="18"/>
        <w:jc w:val="center"/>
        <w:rPr>
          <w:rFonts w:hAnsi="宋体" w:cs="Times New Roman"/>
          <w:b/>
          <w:bCs/>
          <w:color w:val="000000" w:themeColor="text1"/>
          <w:sz w:val="32"/>
          <w:szCs w:val="32"/>
          <w:highlight w:val="none"/>
          <w14:textFill>
            <w14:solidFill>
              <w14:schemeClr w14:val="tx1"/>
            </w14:solidFill>
          </w14:textFill>
        </w:rPr>
      </w:pPr>
    </w:p>
    <w:p w14:paraId="65DBB331">
      <w:pPr>
        <w:rPr>
          <w:color w:val="000000" w:themeColor="text1"/>
          <w:highlight w:val="none"/>
          <w14:textFill>
            <w14:solidFill>
              <w14:schemeClr w14:val="tx1"/>
            </w14:solidFill>
          </w14:textFill>
        </w:rPr>
        <w:sectPr>
          <w:headerReference r:id="rId5" w:type="default"/>
          <w:pgSz w:w="11905" w:h="16838"/>
          <w:pgMar w:top="1440" w:right="1803" w:bottom="1440" w:left="1803" w:header="1140" w:footer="720" w:gutter="0"/>
          <w:cols w:space="0" w:num="1"/>
          <w:docGrid w:type="lines" w:linePitch="317" w:charSpace="0"/>
        </w:sectPr>
      </w:pPr>
    </w:p>
    <w:p w14:paraId="3A5EBECC">
      <w:pPr>
        <w:pStyle w:val="4"/>
        <w:numPr>
          <w:ilvl w:val="0"/>
          <w:numId w:val="0"/>
        </w:numPr>
        <w:spacing w:before="0" w:after="0" w:line="360" w:lineRule="auto"/>
        <w:jc w:val="center"/>
        <w:rPr>
          <w:rFonts w:ascii="宋体" w:hAnsi="宋体" w:cs="宋体"/>
          <w:b/>
          <w:bCs/>
          <w:color w:val="000000" w:themeColor="text1"/>
          <w:highlight w:val="none"/>
          <w14:textFill>
            <w14:solidFill>
              <w14:schemeClr w14:val="tx1"/>
            </w14:solidFill>
          </w14:textFill>
        </w:rPr>
      </w:pPr>
      <w:bookmarkStart w:id="4" w:name="_Toc31656"/>
      <w:bookmarkStart w:id="5" w:name="_Toc6853"/>
      <w:bookmarkStart w:id="6" w:name="_Toc19476"/>
      <w:r>
        <w:rPr>
          <w:rFonts w:hint="eastAsia" w:ascii="宋体" w:hAnsi="宋体" w:eastAsia="宋体" w:cs="宋体"/>
          <w:b/>
          <w:bCs/>
          <w:color w:val="000000" w:themeColor="text1"/>
          <w:kern w:val="44"/>
          <w:sz w:val="36"/>
          <w:szCs w:val="36"/>
          <w:highlight w:val="none"/>
          <w:lang w:val="en-US" w:eastAsia="zh-CN" w:bidi="ar-SA"/>
          <w14:textFill>
            <w14:solidFill>
              <w14:schemeClr w14:val="tx1"/>
            </w14:solidFill>
          </w14:textFill>
        </w:rPr>
        <w:t>第一章</w:t>
      </w:r>
      <w:r>
        <w:rPr>
          <w:rFonts w:hint="eastAsia" w:ascii="宋体" w:hAnsi="宋体" w:cs="宋体"/>
          <w:b/>
          <w:bCs/>
          <w:color w:val="000000" w:themeColor="text1"/>
          <w:kern w:val="44"/>
          <w:sz w:val="36"/>
          <w:szCs w:val="36"/>
          <w:highlight w:val="none"/>
          <w:lang w:val="en-US" w:eastAsia="zh-CN" w:bidi="ar-SA"/>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竞争性磋商公告</w:t>
      </w:r>
      <w:bookmarkEnd w:id="4"/>
      <w:bookmarkEnd w:id="5"/>
      <w:bookmarkEnd w:id="6"/>
    </w:p>
    <w:p w14:paraId="3C7FD2B4">
      <w:pPr>
        <w:rPr>
          <w:color w:val="000000" w:themeColor="text1"/>
          <w:highlight w:val="none"/>
          <w14:textFill>
            <w14:solidFill>
              <w14:schemeClr w14:val="tx1"/>
            </w14:solidFill>
          </w14:textFill>
        </w:rPr>
      </w:pPr>
    </w:p>
    <w:p w14:paraId="183CD903">
      <w:pPr>
        <w:pStyle w:val="78"/>
        <w:pBdr>
          <w:top w:val="single" w:color="auto" w:sz="4" w:space="0"/>
          <w:left w:val="single" w:color="auto" w:sz="4" w:space="0"/>
          <w:bottom w:val="single" w:color="auto" w:sz="4" w:space="0"/>
          <w:right w:val="single" w:color="auto" w:sz="4" w:space="0"/>
        </w:pBdr>
        <w:spacing w:line="500" w:lineRule="exact"/>
        <w:ind w:firstLine="480" w:firstLineChars="200"/>
        <w:jc w:val="both"/>
        <w:rPr>
          <w:color w:val="000000" w:themeColor="text1"/>
          <w:sz w:val="24"/>
          <w:szCs w:val="24"/>
          <w:highlight w:val="none"/>
          <w14:textFill>
            <w14:solidFill>
              <w14:schemeClr w14:val="tx1"/>
            </w14:solidFill>
          </w14:textFill>
        </w:rPr>
      </w:pPr>
      <w:bookmarkStart w:id="7" w:name="_Toc465257483"/>
      <w:bookmarkStart w:id="8" w:name="_Toc466466374"/>
      <w:bookmarkStart w:id="9" w:name="_Toc466454730"/>
      <w:r>
        <w:rPr>
          <w:rFonts w:hint="eastAsia"/>
          <w:color w:val="000000" w:themeColor="text1"/>
          <w:sz w:val="24"/>
          <w:szCs w:val="24"/>
          <w:highlight w:val="none"/>
          <w14:textFill>
            <w14:solidFill>
              <w14:schemeClr w14:val="tx1"/>
            </w14:solidFill>
          </w14:textFill>
        </w:rPr>
        <w:t>项目概况：</w:t>
      </w:r>
      <w:r>
        <w:rPr>
          <w:rFonts w:hint="eastAsia"/>
          <w:color w:val="000000" w:themeColor="text1"/>
          <w:sz w:val="24"/>
          <w:szCs w:val="24"/>
          <w:highlight w:val="none"/>
          <w:u w:val="single"/>
          <w:lang w:val="en-US" w:eastAsia="zh-CN"/>
          <w14:textFill>
            <w14:solidFill>
              <w14:schemeClr w14:val="tx1"/>
            </w14:solidFill>
          </w14:textFill>
        </w:rPr>
        <w:t xml:space="preserve"> 延吉市看守所在押人员食堂食材采购项目 </w:t>
      </w:r>
      <w:r>
        <w:rPr>
          <w:rFonts w:hint="eastAsia"/>
          <w:color w:val="000000" w:themeColor="text1"/>
          <w:sz w:val="24"/>
          <w:szCs w:val="24"/>
          <w:highlight w:val="none"/>
          <w:lang w:val="en-US" w:eastAsia="zh-CN"/>
          <w14:textFill>
            <w14:solidFill>
              <w14:schemeClr w14:val="tx1"/>
            </w14:solidFill>
          </w14:textFill>
        </w:rPr>
        <w:t>的潜在供应商应按照竞争性磋商公告规定获取竞争性磋商文件，并于</w:t>
      </w:r>
      <w:r>
        <w:rPr>
          <w:rFonts w:hint="eastAsia"/>
          <w:color w:val="000000" w:themeColor="text1"/>
          <w:sz w:val="24"/>
          <w:szCs w:val="24"/>
          <w:highlight w:val="none"/>
          <w:u w:val="single"/>
          <w:lang w:val="en-US" w:eastAsia="zh-CN"/>
          <w14:textFill>
            <w14:solidFill>
              <w14:schemeClr w14:val="tx1"/>
            </w14:solidFill>
          </w14:textFill>
        </w:rPr>
        <w:t>2026年05月27日，</w:t>
      </w:r>
      <w:r>
        <w:rPr>
          <w:rFonts w:hint="eastAsia"/>
          <w:color w:val="000000" w:themeColor="text1"/>
          <w:sz w:val="24"/>
          <w:szCs w:val="24"/>
          <w:highlight w:val="none"/>
          <w:u w:val="single"/>
          <w:lang w:val="en-US" w:eastAsia="zh-CN"/>
          <w14:textFill>
            <w14:solidFill>
              <w14:schemeClr w14:val="tx1"/>
            </w14:solidFill>
          </w14:textFill>
        </w:rPr>
        <w:t>下午13时30分</w:t>
      </w:r>
      <w:r>
        <w:rPr>
          <w:rFonts w:hint="eastAsia"/>
          <w:color w:val="000000" w:themeColor="text1"/>
          <w:sz w:val="24"/>
          <w:szCs w:val="24"/>
          <w:highlight w:val="none"/>
          <w:lang w:val="en-US" w:eastAsia="zh-CN"/>
          <w14:textFill>
            <w14:solidFill>
              <w14:schemeClr w14:val="tx1"/>
            </w14:solidFill>
          </w14:textFill>
        </w:rPr>
        <w:t>（北京时间）前递交响应文件。</w:t>
      </w:r>
    </w:p>
    <w:p w14:paraId="6C5AED6C">
      <w:pPr>
        <w:autoSpaceDE w:val="0"/>
        <w:autoSpaceDN w:val="0"/>
        <w:adjustRightInd w:val="0"/>
        <w:spacing w:line="500" w:lineRule="exact"/>
        <w:jc w:val="left"/>
        <w:outlineLvl w:val="1"/>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一、项目基本情况 </w:t>
      </w:r>
    </w:p>
    <w:p w14:paraId="20D51A87">
      <w:pPr>
        <w:numPr>
          <w:ilvl w:val="0"/>
          <w:numId w:val="0"/>
        </w:numPr>
        <w:autoSpaceDE w:val="0"/>
        <w:autoSpaceDN w:val="0"/>
        <w:adjustRightInd w:val="0"/>
        <w:spacing w:line="440" w:lineRule="exact"/>
        <w:ind w:firstLine="480" w:firstLineChars="200"/>
        <w:jc w:val="left"/>
        <w:outlineLvl w:val="9"/>
        <w:rPr>
          <w:rFonts w:hint="default" w:eastAsia="汉鼎简楷体"/>
          <w:highlight w:val="none"/>
          <w:lang w:val="en-US" w:eastAsia="zh-CN"/>
        </w:rPr>
      </w:pPr>
      <w:r>
        <w:rPr>
          <w:rFonts w:hint="eastAsia" w:ascii="宋体" w:cs="宋体"/>
          <w:color w:val="000000" w:themeColor="text1"/>
          <w:sz w:val="24"/>
          <w:szCs w:val="24"/>
          <w:highlight w:val="none"/>
          <w14:textFill>
            <w14:solidFill>
              <w14:schemeClr w14:val="tx1"/>
            </w14:solidFill>
          </w14:textFill>
        </w:rPr>
        <w:t>1.采购编号：</w:t>
      </w:r>
      <w:bookmarkStart w:id="10" w:name="OLE_LINK1"/>
      <w:r>
        <w:rPr>
          <w:rFonts w:hint="eastAsia" w:ascii="宋体" w:hAnsi="宋体" w:eastAsia="宋体" w:cs="宋体"/>
          <w:sz w:val="24"/>
          <w:szCs w:val="24"/>
          <w:highlight w:val="none"/>
          <w:lang w:val="en-US" w:eastAsia="zh-CN"/>
        </w:rPr>
        <w:t>采购计划-[202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-00</w:t>
      </w:r>
      <w:r>
        <w:rPr>
          <w:rFonts w:hint="eastAsia" w:ascii="宋体" w:hAnsi="宋体" w:cs="宋体"/>
          <w:sz w:val="24"/>
          <w:szCs w:val="24"/>
          <w:highlight w:val="none"/>
          <w:lang w:val="en-US" w:eastAsia="zh-CN"/>
        </w:rPr>
        <w:t>068</w:t>
      </w:r>
      <w:r>
        <w:rPr>
          <w:rFonts w:hint="eastAsia" w:ascii="宋体" w:hAnsi="宋体" w:eastAsia="宋体" w:cs="宋体"/>
          <w:sz w:val="24"/>
          <w:szCs w:val="24"/>
          <w:highlight w:val="none"/>
          <w:lang w:val="en-US" w:eastAsia="zh-CN"/>
        </w:rPr>
        <w:t>号</w:t>
      </w:r>
      <w:bookmarkEnd w:id="10"/>
    </w:p>
    <w:p w14:paraId="11DB85B1">
      <w:pPr>
        <w:tabs>
          <w:tab w:val="left" w:pos="-3675"/>
        </w:tabs>
        <w:autoSpaceDE w:val="0"/>
        <w:autoSpaceDN w:val="0"/>
        <w:adjustRightInd w:val="0"/>
        <w:spacing w:line="460" w:lineRule="exact"/>
        <w:ind w:right="97" w:rightChars="46" w:firstLine="480" w:firstLineChars="200"/>
        <w:jc w:val="both"/>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延吉市看守所在押人员食堂食材采购项目</w:t>
      </w:r>
    </w:p>
    <w:p w14:paraId="2047E3FA">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JLCR2026-CG33</w:t>
      </w:r>
    </w:p>
    <w:p w14:paraId="4AEDB7AA">
      <w:pPr>
        <w:tabs>
          <w:tab w:val="left" w:pos="-3675"/>
        </w:tabs>
        <w:autoSpaceDE w:val="0"/>
        <w:autoSpaceDN w:val="0"/>
        <w:adjustRightInd w:val="0"/>
        <w:spacing w:line="460" w:lineRule="exact"/>
        <w:ind w:right="97" w:rightChars="46" w:firstLine="480"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.采购方式</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竞争性磋商</w:t>
      </w:r>
    </w:p>
    <w:p w14:paraId="1B76AF21">
      <w:pPr>
        <w:tabs>
          <w:tab w:val="left" w:pos="-3675"/>
        </w:tabs>
        <w:autoSpaceDE w:val="0"/>
        <w:autoSpaceDN w:val="0"/>
        <w:adjustRightInd w:val="0"/>
        <w:spacing w:line="460" w:lineRule="exact"/>
        <w:ind w:right="97" w:rightChars="46"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.预算金额：</w:t>
      </w:r>
      <w:r>
        <w:rPr>
          <w:rFonts w:hint="eastAsia" w:ascii="宋体" w:hAnsi="宋体" w:cs="宋体"/>
          <w:color w:val="000000" w:themeColor="text1"/>
          <w:sz w:val="24"/>
          <w:szCs w:val="24"/>
          <w:highlight w:val="none"/>
          <w:lang w:eastAsia="zh-CN"/>
          <w14:textFill>
            <w14:solidFill>
              <w14:schemeClr w14:val="tx1"/>
            </w14:solidFill>
          </w14:textFill>
        </w:rPr>
        <w:t>人民币</w:t>
      </w:r>
      <w:r>
        <w:rPr>
          <w:rFonts w:hint="eastAsia" w:ascii="宋体" w:hAnsi="宋体" w:cs="宋体"/>
          <w:color w:val="000000" w:themeColor="text1"/>
          <w:sz w:val="24"/>
          <w:szCs w:val="24"/>
          <w:highlight w:val="none"/>
          <w:lang w:val="en-US" w:eastAsia="zh-CN"/>
          <w14:textFill>
            <w14:solidFill>
              <w14:schemeClr w14:val="tx1"/>
            </w14:solidFill>
          </w14:textFill>
        </w:rPr>
        <w:t>1,560,000.00元</w:t>
      </w:r>
    </w:p>
    <w:p w14:paraId="025AF212">
      <w:pPr>
        <w:tabs>
          <w:tab w:val="left" w:pos="-3675"/>
        </w:tabs>
        <w:autoSpaceDE w:val="0"/>
        <w:autoSpaceDN w:val="0"/>
        <w:adjustRightInd w:val="0"/>
        <w:spacing w:line="460" w:lineRule="exact"/>
        <w:ind w:right="97" w:rightChars="46"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最高投标限价</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折扣率100%</w:t>
      </w:r>
    </w:p>
    <w:p w14:paraId="365F09D9">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.采购需求：</w:t>
      </w:r>
      <w:r>
        <w:rPr>
          <w:rFonts w:hint="eastAsia" w:ascii="宋体" w:hAnsi="宋体" w:cs="宋体"/>
          <w:color w:val="000000" w:themeColor="text1"/>
          <w:sz w:val="24"/>
          <w:szCs w:val="24"/>
          <w:highlight w:val="none"/>
          <w:lang w:eastAsia="zh-CN"/>
          <w14:textFill>
            <w14:solidFill>
              <w14:schemeClr w14:val="tx1"/>
            </w14:solidFill>
          </w14:textFill>
        </w:rPr>
        <w:t>详见项目采购需求</w:t>
      </w:r>
      <w:r>
        <w:rPr>
          <w:rFonts w:hint="eastAsia" w:ascii="宋体" w:hAnsi="宋体" w:cs="宋体"/>
          <w:color w:val="000000" w:themeColor="text1"/>
          <w:sz w:val="24"/>
          <w:szCs w:val="24"/>
          <w:highlight w:val="none"/>
          <w14:textFill>
            <w14:solidFill>
              <w14:schemeClr w14:val="tx1"/>
            </w14:solidFill>
          </w14:textFill>
        </w:rPr>
        <w:t>。</w:t>
      </w:r>
    </w:p>
    <w:p w14:paraId="47C08086">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合同履行期限：</w:t>
      </w:r>
      <w:r>
        <w:rPr>
          <w:rFonts w:hint="eastAsia" w:ascii="宋体" w:hAnsi="宋体" w:cs="宋体"/>
          <w:color w:val="000000" w:themeColor="text1"/>
          <w:sz w:val="24"/>
          <w:szCs w:val="24"/>
          <w:highlight w:val="none"/>
          <w:lang w:val="zh-CN"/>
          <w14:textFill>
            <w14:solidFill>
              <w14:schemeClr w14:val="tx1"/>
            </w14:solidFill>
          </w14:textFill>
        </w:rPr>
        <w:t>自签订合同之日起至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lang w:val="zh-CN" w:eastAsia="zh-CN"/>
          <w14:textFill>
            <w14:solidFill>
              <w14:schemeClr w14:val="tx1"/>
            </w14:solidFill>
          </w14:textFill>
        </w:rPr>
        <w:t>按采购人要求随时供货</w:t>
      </w:r>
      <w:r>
        <w:rPr>
          <w:rFonts w:hint="eastAsia" w:ascii="宋体" w:hAnsi="宋体" w:cs="宋体"/>
          <w:color w:val="000000" w:themeColor="text1"/>
          <w:sz w:val="24"/>
          <w:szCs w:val="24"/>
          <w:highlight w:val="none"/>
          <w:lang w:val="zh-CN"/>
          <w14:textFill>
            <w14:solidFill>
              <w14:schemeClr w14:val="tx1"/>
            </w14:solidFill>
          </w14:textFill>
        </w:rPr>
        <w:t>。</w:t>
      </w:r>
    </w:p>
    <w:p w14:paraId="5A1E746A">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质量要求：符合现行国家及行业合格标准</w:t>
      </w:r>
      <w:r>
        <w:rPr>
          <w:rFonts w:hint="eastAsia" w:ascii="宋体" w:hAnsi="宋体" w:cs="宋体"/>
          <w:color w:val="000000" w:themeColor="text1"/>
          <w:sz w:val="24"/>
          <w:szCs w:val="24"/>
          <w:highlight w:val="none"/>
          <w14:textFill>
            <w14:solidFill>
              <w14:schemeClr w14:val="tx1"/>
            </w14:solidFill>
          </w14:textFill>
        </w:rPr>
        <w:t>。</w:t>
      </w:r>
    </w:p>
    <w:p w14:paraId="695DB074">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本项目</w:t>
      </w:r>
      <w:r>
        <w:rPr>
          <w:rFonts w:hint="eastAsia" w:ascii="宋体" w:hAnsi="宋体" w:cs="宋体"/>
          <w:b/>
          <w:bCs/>
          <w:color w:val="000000" w:themeColor="text1"/>
          <w:sz w:val="24"/>
          <w:szCs w:val="24"/>
          <w:highlight w:val="none"/>
          <w:lang w:val="zh-CN"/>
          <w14:textFill>
            <w14:solidFill>
              <w14:schemeClr w14:val="tx1"/>
            </w14:solidFill>
          </w14:textFill>
        </w:rPr>
        <w:t>不接受</w:t>
      </w:r>
      <w:r>
        <w:rPr>
          <w:rFonts w:hint="eastAsia" w:ascii="宋体" w:hAnsi="宋体" w:cs="宋体"/>
          <w:color w:val="000000" w:themeColor="text1"/>
          <w:sz w:val="24"/>
          <w:szCs w:val="24"/>
          <w:highlight w:val="none"/>
          <w:lang w:val="zh-CN"/>
          <w14:textFill>
            <w14:solidFill>
              <w14:schemeClr w14:val="tx1"/>
            </w14:solidFill>
          </w14:textFill>
        </w:rPr>
        <w:t>联合体。</w:t>
      </w:r>
    </w:p>
    <w:p w14:paraId="3A43D17A">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二、申请人的资格要求</w:t>
      </w:r>
    </w:p>
    <w:p w14:paraId="2C15FE7E">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1.满足《中华人民共和国政府采购法》第二十二条的规定；</w:t>
      </w:r>
    </w:p>
    <w:p w14:paraId="310749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2.落实政府采购政策需满足的资格要求：</w:t>
      </w:r>
    </w:p>
    <w:p w14:paraId="1E9FC6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本项目全部面向中小企业采购；</w:t>
      </w:r>
    </w:p>
    <w:p w14:paraId="537B3B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《政府采购促进中小企业发展管理办法》(财库[2020]46号)；</w:t>
      </w:r>
    </w:p>
    <w:p w14:paraId="526745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《关于进一步加大政府采购支持中小企业力度的通知》(财库[2022]19号)；</w:t>
      </w:r>
    </w:p>
    <w:p w14:paraId="18C3B3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b w:val="0"/>
          <w:bCs w:val="0"/>
          <w:color w:val="000000" w:themeColor="text1"/>
          <w:highlight w:val="none"/>
          <w:lang w:val="en-US" w:eastAsia="zh-CN"/>
          <w14:textFill>
            <w14:solidFill>
              <w14:schemeClr w14:val="tx1"/>
            </w14:solidFill>
          </w14:textFill>
        </w:rPr>
      </w:pPr>
      <w:r>
        <w:rPr>
          <w:rFonts w:hint="eastAsia" w:ascii="宋体" w:hAnsi="宋体" w:cs="宋体"/>
          <w:color w:val="000000"/>
          <w:sz w:val="24"/>
          <w:highlight w:val="none"/>
        </w:rPr>
        <w:t>关于印发《吉林省强化政府采购政策支持中小企业发展落实举措》的通知(吉财采购[2022]478号)</w:t>
      </w:r>
      <w:r>
        <w:rPr>
          <w:rFonts w:hint="eastAsia" w:ascii="宋体" w:hAnsi="宋体" w:cs="宋体"/>
          <w:color w:val="000000"/>
          <w:sz w:val="24"/>
          <w:highlight w:val="none"/>
          <w:lang w:eastAsia="zh-CN"/>
        </w:rPr>
        <w:t>；</w:t>
      </w:r>
    </w:p>
    <w:p w14:paraId="42E878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本项目中小企业划分标准所属行业：批发业</w:t>
      </w:r>
    </w:p>
    <w:p w14:paraId="3D2093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3.本项目的特定资格要求：</w:t>
      </w:r>
    </w:p>
    <w:p w14:paraId="671F35D2">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color w:val="000000" w:themeColor="text1"/>
          <w:sz w:val="24"/>
          <w:szCs w:val="24"/>
          <w:highlight w:val="none"/>
          <w:lang w:eastAsia="zh-CN"/>
          <w14:textFill>
            <w14:solidFill>
              <w14:schemeClr w14:val="tx1"/>
            </w14:solidFill>
          </w14:textFill>
        </w:rPr>
        <w:t>供应商必须是具有独立承担民事责任能力的在中华人民共和国境内注册的法人或其他组织，投标时具有有效的营业执照，</w:t>
      </w:r>
      <w:r>
        <w:rPr>
          <w:rFonts w:hint="eastAsia" w:ascii="宋体" w:hAnsi="宋体" w:cs="宋体"/>
          <w:b/>
          <w:bCs/>
          <w:color w:val="000000" w:themeColor="text1"/>
          <w:sz w:val="24"/>
          <w:szCs w:val="24"/>
          <w:highlight w:val="none"/>
          <w:lang w:eastAsia="zh-CN"/>
          <w14:textFill>
            <w14:solidFill>
              <w14:schemeClr w14:val="tx1"/>
            </w14:solidFill>
          </w14:textFill>
        </w:rPr>
        <w:t>须具备相关行政主管部门核发的有效期内的《食品生产许可证》或《食品经营许可证》，</w:t>
      </w:r>
      <w:r>
        <w:rPr>
          <w:rFonts w:hint="eastAsia" w:ascii="宋体" w:hAnsi="宋体" w:cs="宋体"/>
          <w:b/>
          <w:bCs/>
          <w:color w:val="000000" w:themeColor="text1"/>
          <w:sz w:val="24"/>
          <w:szCs w:val="24"/>
          <w:highlight w:val="none"/>
          <w:lang w:val="en-US" w:eastAsia="zh-CN"/>
          <w14:textFill>
            <w14:solidFill>
              <w14:schemeClr w14:val="tx1"/>
            </w14:solidFill>
          </w14:textFill>
        </w:rPr>
        <w:t>在人员、设备、运输、资金等方面有相应的供货能力</w:t>
      </w:r>
      <w:r>
        <w:rPr>
          <w:rFonts w:hint="eastAsia" w:ascii="宋体" w:hAnsi="宋体" w:cs="宋体"/>
          <w:color w:val="000000" w:themeColor="text1"/>
          <w:sz w:val="24"/>
          <w:szCs w:val="24"/>
          <w:highlight w:val="none"/>
          <w14:textFill>
            <w14:solidFill>
              <w14:schemeClr w14:val="tx1"/>
            </w14:solidFill>
          </w14:textFill>
        </w:rPr>
        <w:t>；</w:t>
      </w:r>
    </w:p>
    <w:p w14:paraId="2BF4161A">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r>
        <w:rPr>
          <w:rFonts w:hint="eastAsia" w:ascii="宋体" w:hAnsi="宋体" w:cs="宋体"/>
          <w:color w:val="000000" w:themeColor="text1"/>
          <w:sz w:val="24"/>
          <w:szCs w:val="24"/>
          <w:highlight w:val="none"/>
          <w:lang w:val="en-US"/>
          <w14:textFill>
            <w14:solidFill>
              <w14:schemeClr w14:val="tx1"/>
            </w14:solidFill>
          </w14:textFill>
        </w:rPr>
        <w:t>未被市场监督管理机关在国家企业信用信息公示系统（http://www.gsxt.gov.cn/）中列入严重违法失信企业名单；供应商未被列入“信用中国”网站（www.creditchina.gov.cn）、中国政府采购网（www.ccgp.gov.cn）等渠道信用记录失信被执行人、重大税收违法失信主体、政府采购严重违法失信行为记录名单；</w:t>
      </w:r>
      <w:r>
        <w:rPr>
          <w:rFonts w:hint="eastAsia" w:ascii="宋体" w:hAnsi="宋体" w:cs="宋体"/>
          <w:b/>
          <w:bCs/>
          <w:color w:val="000000" w:themeColor="text1"/>
          <w:sz w:val="24"/>
          <w:szCs w:val="24"/>
          <w:highlight w:val="none"/>
          <w:lang w:val="en-US"/>
          <w14:textFill>
            <w14:solidFill>
              <w14:schemeClr w14:val="tx1"/>
            </w14:solidFill>
          </w14:textFill>
        </w:rPr>
        <w:t>在经营活动中依法经营，管理规范、诚实守信、未出现经营假冒伪劣产品行为，无食品卫生及食品安全不良记录，无拖欠货款行为，未发生过违法违规行为和严重食品安全事故；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近年（2025年度）</w:t>
      </w:r>
      <w:r>
        <w:rPr>
          <w:rFonts w:hint="eastAsia" w:ascii="宋体" w:hAnsi="宋体" w:cs="宋体"/>
          <w:color w:val="000000" w:themeColor="text1"/>
          <w:sz w:val="24"/>
          <w:szCs w:val="24"/>
          <w:highlight w:val="none"/>
          <w:lang w:val="en-US" w:eastAsia="zh-CN"/>
          <w14:textFill>
            <w14:solidFill>
              <w14:schemeClr w14:val="tx1"/>
            </w14:solidFill>
          </w14:textFill>
        </w:rPr>
        <w:t>财务审计报告或财务报表（含资产负债表、现金流量表、利润表），新成立企业提供当年验资报告或银行出具的公司资信证明</w:t>
      </w:r>
      <w:r>
        <w:rPr>
          <w:rFonts w:hint="eastAsia" w:ascii="宋体" w:hAnsi="宋体" w:cs="宋体"/>
          <w:color w:val="000000" w:themeColor="text1"/>
          <w:sz w:val="24"/>
          <w:szCs w:val="24"/>
          <w:highlight w:val="none"/>
          <w14:textFill>
            <w14:solidFill>
              <w14:schemeClr w14:val="tx1"/>
            </w14:solidFill>
          </w14:textFill>
        </w:rPr>
        <w:t>；</w:t>
      </w:r>
    </w:p>
    <w:p w14:paraId="737A23D2">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r>
        <w:rPr>
          <w:rFonts w:hint="eastAsia" w:ascii="宋体" w:hAnsi="宋体" w:cs="宋体"/>
          <w:color w:val="000000" w:themeColor="text1"/>
          <w:sz w:val="24"/>
          <w:szCs w:val="24"/>
          <w:highlight w:val="none"/>
          <w:lang w:val="en-US"/>
          <w14:textFill>
            <w14:solidFill>
              <w14:schemeClr w14:val="tx1"/>
            </w14:solidFill>
          </w14:textFill>
        </w:rPr>
        <w:t>供应商须具有保证项目顺利实施完成的人员和专业技术能力条件及具备电脑、打印机、货架、符合条件的运输车辆、并定期递交委托第三方进行产品检验报告（如供应商为代理商的由制造商出具的产品检验报告），需相应的各类食品储存、专用留样冰箱等设备，并要求从业人员须具有有效期内的健康证</w:t>
      </w:r>
      <w:r>
        <w:rPr>
          <w:rFonts w:hint="eastAsia" w:ascii="宋体" w:hAnsi="宋体" w:cs="宋体"/>
          <w:color w:val="000000" w:themeColor="text1"/>
          <w:sz w:val="24"/>
          <w:szCs w:val="24"/>
          <w:highlight w:val="none"/>
          <w14:textFill>
            <w14:solidFill>
              <w14:schemeClr w14:val="tx1"/>
            </w14:solidFill>
          </w14:textFill>
        </w:rPr>
        <w:t>；</w:t>
      </w:r>
    </w:p>
    <w:p w14:paraId="74F8D5A1">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）有依法缴纳税收和社会保障资金的良好记录：</w:t>
      </w:r>
      <w:r>
        <w:rPr>
          <w:rFonts w:hint="eastAsia" w:ascii="宋体" w:hAnsi="宋体" w:cs="宋体"/>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r>
        <w:rPr>
          <w:rFonts w:hint="eastAsia" w:ascii="宋体" w:hAnsi="宋体" w:cs="宋体"/>
          <w:color w:val="000000" w:themeColor="text1"/>
          <w:sz w:val="24"/>
          <w:szCs w:val="24"/>
          <w:highlight w:val="none"/>
          <w:lang w:val="zh-CN"/>
          <w14:textFill>
            <w14:solidFill>
              <w14:schemeClr w14:val="tx1"/>
            </w14:solidFill>
          </w14:textFill>
        </w:rPr>
        <w:t>；</w:t>
      </w:r>
    </w:p>
    <w:p w14:paraId="189A651C">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4ED0F2FD">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zh-CN"/>
          <w14:textFill>
            <w14:solidFill>
              <w14:schemeClr w14:val="tx1"/>
            </w14:solidFill>
          </w14:textFill>
        </w:rPr>
        <w:t>）拒绝列入政府取消投标资格记录期间的企业或个人投标；</w:t>
      </w:r>
    </w:p>
    <w:p w14:paraId="1EA140AD">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bookmarkStart w:id="11" w:name="bookmark26"/>
      <w:bookmarkStart w:id="12" w:name="bookmark27"/>
      <w:r>
        <w:rPr>
          <w:rFonts w:hint="eastAsia" w:ascii="宋体" w:hAnsi="宋体" w:cs="宋体"/>
          <w:color w:val="000000" w:themeColor="text1"/>
          <w:sz w:val="24"/>
          <w:szCs w:val="24"/>
          <w:highlight w:val="none"/>
          <w14:textFill>
            <w14:solidFill>
              <w14:schemeClr w14:val="tx1"/>
            </w14:solidFill>
          </w14:textFill>
        </w:rPr>
        <w:t>（</w:t>
      </w:r>
      <w:bookmarkEnd w:id="11"/>
      <w:r>
        <w:rPr>
          <w:rFonts w:hint="eastAsia" w:ascii="宋体" w:hAnsi="宋体" w:cs="宋体"/>
          <w:color w:val="000000" w:themeColor="text1"/>
          <w:sz w:val="24"/>
          <w:szCs w:val="24"/>
          <w:highlight w:val="none"/>
          <w14:textFill>
            <w14:solidFill>
              <w14:schemeClr w14:val="tx1"/>
            </w14:solidFill>
          </w14:textFill>
        </w:rPr>
        <w:t>7）本项目中标人不允许转包、拆包；</w:t>
      </w:r>
    </w:p>
    <w:p w14:paraId="7522AAE4">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bookmarkEnd w:id="12"/>
      <w:r>
        <w:rPr>
          <w:rFonts w:hint="eastAsia" w:ascii="宋体" w:hAnsi="宋体" w:cs="宋体"/>
          <w:color w:val="000000" w:themeColor="text1"/>
          <w:sz w:val="24"/>
          <w:szCs w:val="24"/>
          <w:highlight w:val="none"/>
          <w14:textFill>
            <w14:solidFill>
              <w14:schemeClr w14:val="tx1"/>
            </w14:solidFill>
          </w14:textFill>
        </w:rPr>
        <w:t>8）企业名称不同但法定代表人为同一个自然人的两个或者两个以上的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不得参加同一采购项目的投标；单位负责人为同一人或者存在控股、管理关系的不同单位，不得参加同一标段投标或者未划分标段的同一招标项目投标。如果出现上述情况，相关</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的投标均将被拒绝；</w:t>
      </w:r>
    </w:p>
    <w:p w14:paraId="5D9BC97B">
      <w:pPr>
        <w:spacing w:line="460" w:lineRule="exact"/>
        <w:ind w:firstLine="480" w:firstLineChars="200"/>
        <w:rPr>
          <w:rFonts w:hint="eastAsia" w:ascii="宋体" w:hAnsi="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14:textFill>
            <w14:solidFill>
              <w14:schemeClr w14:val="tx1"/>
            </w14:solidFill>
          </w14:textFill>
        </w:rPr>
        <w:t>（9）供应商须遵守《中华人民共和国食品安全法》、《中华人民共和国动物防疫法》、《中华人民共和国食品卫生法》、（合同履行过程中国家、省市如有新规定，执行国家、省市规定）；</w:t>
      </w:r>
    </w:p>
    <w:p w14:paraId="16A02D61">
      <w:pPr>
        <w:spacing w:line="460" w:lineRule="exact"/>
        <w:ind w:firstLine="480" w:firstLineChars="200"/>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10）必须具有固定的经营场所，有办公室、储存仓库等，经营场所、仓库距离坑池、暴露垃圾场(站)、旱厕等染源25米以上，不得设置在粉尘、有害气体、放射性物质和其他扩散性污染源的影响范围之内，食品安全状况和现场评价符合行业主管部门要求；</w:t>
      </w:r>
    </w:p>
    <w:p w14:paraId="70F7AA7E">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）法律、行政法规规定的其他条件；</w:t>
      </w:r>
    </w:p>
    <w:p w14:paraId="17BCC22B">
      <w:pPr>
        <w:autoSpaceDE w:val="0"/>
        <w:autoSpaceDN w:val="0"/>
        <w:adjustRightInd w:val="0"/>
        <w:spacing w:line="460" w:lineRule="exact"/>
        <w:jc w:val="left"/>
        <w:outlineLvl w:val="1"/>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三、获取采购文件</w:t>
      </w:r>
    </w:p>
    <w:p w14:paraId="5A540FD5">
      <w:pPr>
        <w:keepNext w:val="0"/>
        <w:keepLines w:val="0"/>
        <w:pageBreakBefore w:val="0"/>
        <w:widowControl w:val="0"/>
        <w:tabs>
          <w:tab w:val="left" w:pos="-3675"/>
        </w:tabs>
        <w:kinsoku/>
        <w:wordWrap/>
        <w:overflowPunct/>
        <w:topLinePunct w:val="0"/>
        <w:autoSpaceDE w:val="0"/>
        <w:autoSpaceDN w:val="0"/>
        <w:bidi w:val="0"/>
        <w:adjustRightInd w:val="0"/>
        <w:snapToGrid/>
        <w:spacing w:line="480" w:lineRule="exact"/>
        <w:ind w:left="0" w:leftChars="0" w:right="97" w:rightChars="46" w:firstLine="501" w:firstLineChars="209"/>
        <w:jc w:val="left"/>
        <w:textAlignment w:val="auto"/>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1.时间：</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2026年05月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13</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日至2026年05月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19</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，每日上午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至11: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0，下午13:30至16:00(法定公休日、法定节假日除外)(北京时间)。</w:t>
      </w:r>
    </w:p>
    <w:p w14:paraId="0210CAF3">
      <w:pPr>
        <w:keepNext w:val="0"/>
        <w:keepLines w:val="0"/>
        <w:pageBreakBefore w:val="0"/>
        <w:widowControl w:val="0"/>
        <w:tabs>
          <w:tab w:val="left" w:pos="-3675"/>
        </w:tabs>
        <w:kinsoku/>
        <w:wordWrap/>
        <w:overflowPunct/>
        <w:topLinePunct w:val="0"/>
        <w:autoSpaceDE w:val="0"/>
        <w:autoSpaceDN w:val="0"/>
        <w:bidi w:val="0"/>
        <w:adjustRightInd w:val="0"/>
        <w:snapToGrid/>
        <w:spacing w:line="500" w:lineRule="exact"/>
        <w:ind w:left="0" w:leftChars="0" w:right="0" w:rightChars="0" w:firstLine="501" w:firstLineChars="209"/>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2.地点：</w:t>
      </w:r>
      <w:r>
        <w:rPr>
          <w:rFonts w:hint="eastAsia" w:ascii="宋体" w:hAnsi="宋体" w:eastAsia="宋体" w:cs="宋体"/>
          <w:b w:val="0"/>
          <w:bCs w:val="0"/>
          <w:color w:val="auto"/>
          <w:sz w:val="24"/>
          <w:szCs w:val="24"/>
          <w:highlight w:val="none"/>
          <w:lang w:val="en-US" w:eastAsia="zh-CN"/>
        </w:rPr>
        <w:t>在“政采云”平台（http:// www.zcygov.cn）自行下载</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0401165D">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auto"/>
        <w:ind w:left="0" w:leftChars="0" w:right="97" w:rightChars="46" w:firstLine="501" w:firstLineChars="209"/>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3.方式：</w:t>
      </w:r>
      <w:r>
        <w:rPr>
          <w:rFonts w:hint="eastAsia" w:ascii="宋体" w:hAnsi="宋体" w:eastAsia="宋体" w:cs="宋体"/>
          <w:b w:val="0"/>
          <w:bCs w:val="0"/>
          <w:color w:val="auto"/>
          <w:sz w:val="24"/>
          <w:szCs w:val="24"/>
          <w:highlight w:val="none"/>
          <w:lang w:val="en-US" w:eastAsia="zh-CN"/>
        </w:rPr>
        <w:t>凡有意投标者，应当注册成为“政采云”平台供应商。凡已注册的供应商，按照授予的操作权限自行在“政采云”平台（http：//www.zcygov.cn）（操作路径：登录“政采云”平台-进入我的工作台-项目采购-获取采购文件-右上角搜索找到本项目-点击“申请获取采购文件”）按采购包下载采购文件并点击下载确认参加本项目采购招标。具体注册及下载采购文件方法请访问“政采云”平台查询相关信息</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未进行网上注册的供应商将无法参加本次招标。</w:t>
      </w:r>
    </w:p>
    <w:p w14:paraId="46C162C6">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auto"/>
        <w:ind w:left="0" w:leftChars="0" w:right="97" w:rightChars="46" w:firstLine="501" w:firstLineChars="209"/>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4.售价：免费</w:t>
      </w:r>
      <w:r>
        <w:rPr>
          <w:rFonts w:hint="eastAsia" w:ascii="宋体" w:hAnsi="宋体" w:eastAsia="宋体" w:cs="宋体"/>
          <w:b w:val="0"/>
          <w:bCs w:val="0"/>
          <w:color w:val="auto"/>
          <w:sz w:val="24"/>
          <w:szCs w:val="24"/>
          <w:highlight w:val="none"/>
          <w:lang w:val="zh-CN" w:eastAsia="zh-CN"/>
        </w:rPr>
        <w:t>。</w:t>
      </w:r>
    </w:p>
    <w:p w14:paraId="7765C46F">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四、响应文件提交</w:t>
      </w:r>
    </w:p>
    <w:p w14:paraId="2104EBE9">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1.截止时间：</w:t>
      </w:r>
      <w:r>
        <w:rPr>
          <w:rFonts w:hint="eastAsia" w:ascii="宋体" w:hAnsi="宋体" w:cs="宋体"/>
          <w:color w:val="000000" w:themeColor="text1"/>
          <w:sz w:val="24"/>
          <w:szCs w:val="24"/>
          <w:highlight w:val="none"/>
          <w:lang w:val="zh-CN" w:eastAsia="zh-CN"/>
          <w14:textFill>
            <w14:solidFill>
              <w14:schemeClr w14:val="tx1"/>
            </w14:solidFill>
          </w14:textFill>
        </w:rPr>
        <w:t>2026年05月27日，下午13时30分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p w14:paraId="587C50A3">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：本项目为全流程电子化项目，通过“政采云”平台（http：//www.zcygov.cn）实行在线电子投标，</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文件应加密并在提交截止时间前通过政府采购云平台在线提交</w:t>
      </w:r>
      <w:r>
        <w:rPr>
          <w:rFonts w:hint="eastAsia" w:ascii="宋体" w:hAnsi="宋体" w:eastAsia="宋体" w:cs="宋体"/>
          <w:color w:val="auto"/>
          <w:sz w:val="24"/>
          <w:szCs w:val="24"/>
          <w:highlight w:val="none"/>
          <w:lang w:val="en-US" w:eastAsia="zh-CN"/>
        </w:rPr>
        <w:t>。</w:t>
      </w:r>
    </w:p>
    <w:p w14:paraId="3BA3F24F">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操作步骤：</w:t>
      </w:r>
    </w:p>
    <w:p w14:paraId="7DBA4AF5">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1）未进行政采云注册并办理数字证书（CA认证）的供应商将无法参与本项目政府采购活动，潜在供应商应当在响应截止时间前，完成政采云平台上的CA数字证书办理及响应文件的提交。完成CA数字证书办理预计7日左右，建议各供应商抓紧时间办理。</w:t>
      </w:r>
    </w:p>
    <w:p w14:paraId="13556A9F">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（2）为确保网上操作合法、有效和安全，请供应商确保在电子响应过程中能够对相关数据电文进行加密和使用电子签章，妥善保管CA数字证书并使用有效的CA数字证书参与整个采购活动。</w:t>
      </w:r>
    </w:p>
    <w:p w14:paraId="6838A1C6">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（3）若对项目采购电子交易系统操作有疑问，可登录政采云平台，点击右侧咨询小采获取采小蜜智能服务管家帮助或点击右侧帮助文档查看供应商指南或拨打政采云服务热线95763获取热线服务帮助。</w:t>
      </w:r>
    </w:p>
    <w:p w14:paraId="0EF7CD5F">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auto"/>
          <w:spacing w:val="0"/>
          <w:kern w:val="2"/>
          <w:sz w:val="24"/>
          <w:szCs w:val="24"/>
          <w:highlight w:val="none"/>
          <w:lang w:val="en-US" w:eastAsia="zh-CN" w:bidi="ar-SA"/>
        </w:rPr>
        <w:t>（4）各供应商在投标截止前应确保成为政采云平台正式注册入库供应商，并完成CA数字证书申领。因未注册入库、未办理CA数字证书等原因造成无法投标或投标失败等后果由供应商自行承担。</w:t>
      </w:r>
    </w:p>
    <w:p w14:paraId="5A202AFB">
      <w:pPr>
        <w:autoSpaceDE w:val="0"/>
        <w:autoSpaceDN w:val="0"/>
        <w:adjustRightInd w:val="0"/>
        <w:spacing w:line="460" w:lineRule="exact"/>
        <w:jc w:val="left"/>
        <w:outlineLvl w:val="1"/>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五、开启</w:t>
      </w:r>
    </w:p>
    <w:p w14:paraId="7856FCF7">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auto"/>
          <w:sz w:val="24"/>
          <w:szCs w:val="24"/>
          <w:highlight w:val="none"/>
        </w:rPr>
        <w:t>开启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解密</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themeColor="text1"/>
          <w:sz w:val="24"/>
          <w:szCs w:val="24"/>
          <w:highlight w:val="none"/>
          <w:lang w:val="zh-CN"/>
          <w14:textFill>
            <w14:solidFill>
              <w14:schemeClr w14:val="tx1"/>
            </w14:solidFill>
          </w14:textFill>
        </w:rPr>
        <w:t>时间：</w:t>
      </w:r>
      <w:r>
        <w:rPr>
          <w:rFonts w:hint="eastAsia" w:ascii="宋体" w:hAnsi="宋体" w:cs="宋体"/>
          <w:color w:val="000000" w:themeColor="text1"/>
          <w:sz w:val="24"/>
          <w:szCs w:val="24"/>
          <w:highlight w:val="none"/>
          <w:lang w:val="zh-CN" w:eastAsia="zh-CN"/>
          <w14:textFill>
            <w14:solidFill>
              <w14:schemeClr w14:val="tx1"/>
            </w14:solidFill>
          </w14:textFill>
        </w:rPr>
        <w:t>2026年05月27日，下午13时30分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p w14:paraId="0BD583DE">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.开启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zh-CN" w:eastAsia="zh-CN"/>
        </w:rPr>
        <w:t>电子响应文件解密期限及方式：开启时间后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0分钟内，由供应商持制作该电子响应文件的同一数字证书（CA锁）及电脑进行远程解密（各</w:t>
      </w:r>
      <w:r>
        <w:rPr>
          <w:rFonts w:hint="eastAsia" w:ascii="宋体" w:hAnsi="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eastAsia="zh-CN"/>
        </w:rPr>
        <w:t>开标前及网上开评标系统公布</w:t>
      </w:r>
      <w:r>
        <w:rPr>
          <w:rFonts w:hint="eastAsia" w:ascii="宋体" w:hAnsi="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eastAsia="zh-CN"/>
        </w:rPr>
        <w:t>名单前，不要提前进行远程解密），没有在规定时间内解密成功的，视为无效响应</w:t>
      </w:r>
      <w:r>
        <w:rPr>
          <w:rFonts w:hint="eastAsia" w:ascii="宋体" w:hAnsi="宋体" w:eastAsia="宋体" w:cs="宋体"/>
          <w:color w:val="auto"/>
          <w:sz w:val="24"/>
          <w:szCs w:val="24"/>
          <w:highlight w:val="none"/>
        </w:rPr>
        <w:t>。</w:t>
      </w:r>
    </w:p>
    <w:p w14:paraId="5A9CCD92">
      <w:pPr>
        <w:autoSpaceDE w:val="0"/>
        <w:autoSpaceDN w:val="0"/>
        <w:adjustRightInd w:val="0"/>
        <w:spacing w:line="500" w:lineRule="exact"/>
        <w:ind w:firstLine="480" w:firstLineChars="200"/>
        <w:jc w:val="left"/>
        <w:outlineLvl w:val="9"/>
        <w:rPr>
          <w:rFonts w:hint="eastAsia" w:ascii="宋体" w:hAnsi="宋体" w:cs="宋体"/>
          <w:color w:val="auto"/>
          <w:sz w:val="24"/>
          <w:szCs w:val="24"/>
          <w:highlight w:val="none"/>
          <w:lang w:val="zh-CN"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.地点：</w:t>
      </w:r>
      <w:r>
        <w:rPr>
          <w:rFonts w:hint="eastAsia" w:ascii="宋体" w:hAnsi="宋体" w:eastAsia="宋体" w:cs="宋体"/>
          <w:color w:val="auto"/>
          <w:sz w:val="24"/>
          <w:szCs w:val="24"/>
          <w:highlight w:val="none"/>
          <w:lang w:val="en-US" w:eastAsia="zh-CN"/>
        </w:rPr>
        <w:t>延吉市</w:t>
      </w:r>
      <w:r>
        <w:rPr>
          <w:rFonts w:hint="eastAsia" w:ascii="宋体" w:hAnsi="宋体" w:eastAsia="宋体" w:cs="宋体"/>
          <w:color w:val="auto"/>
          <w:sz w:val="24"/>
          <w:szCs w:val="24"/>
          <w:highlight w:val="none"/>
          <w:lang w:val="zh-CN" w:eastAsia="zh-CN"/>
        </w:rPr>
        <w:t>公共资源交易中心（延吉市政务大厅6楼开标室）</w:t>
      </w:r>
      <w:r>
        <w:rPr>
          <w:rFonts w:hint="eastAsia" w:ascii="宋体" w:hAnsi="宋体" w:cs="宋体"/>
          <w:color w:val="auto"/>
          <w:sz w:val="24"/>
          <w:szCs w:val="24"/>
          <w:highlight w:val="none"/>
          <w:lang w:val="zh-CN" w:eastAsia="zh-CN"/>
        </w:rPr>
        <w:t>；</w:t>
      </w:r>
    </w:p>
    <w:p w14:paraId="52F57EA3">
      <w:pPr>
        <w:autoSpaceDE w:val="0"/>
        <w:autoSpaceDN w:val="0"/>
        <w:adjustRightInd w:val="0"/>
        <w:spacing w:line="500" w:lineRule="exact"/>
        <w:ind w:firstLine="720" w:firstLineChars="300"/>
        <w:jc w:val="left"/>
        <w:outlineLvl w:val="9"/>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auto"/>
          <w:sz w:val="24"/>
          <w:szCs w:val="24"/>
          <w:highlight w:val="none"/>
          <w:lang w:val="zh-CN" w:eastAsia="zh-CN"/>
        </w:rPr>
        <w:t>地址：延吉市光华路166－1号</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14:paraId="517131A9">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六、公告期限</w:t>
      </w:r>
    </w:p>
    <w:p w14:paraId="620E70A2">
      <w:pPr>
        <w:autoSpaceDE w:val="0"/>
        <w:autoSpaceDN w:val="0"/>
        <w:adjustRightInd w:val="0"/>
        <w:spacing w:line="460" w:lineRule="exact"/>
        <w:ind w:firstLine="480" w:firstLineChars="20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自本公告发出之日起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zh-CN"/>
          <w14:textFill>
            <w14:solidFill>
              <w14:schemeClr w14:val="tx1"/>
            </w14:solidFill>
          </w14:textFill>
        </w:rPr>
        <w:t>个工作日。</w:t>
      </w:r>
    </w:p>
    <w:p w14:paraId="2A1A661C">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七、其他补充事宜</w:t>
      </w:r>
    </w:p>
    <w:p w14:paraId="7A37F3B0">
      <w:pPr>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480" w:firstLineChars="200"/>
        <w:jc w:val="left"/>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1.本项目采用全流程电子化招投标，开标方式为远程开标，供应商须在提交投标文件截止时间前通过政府采购云平台（网址：</w:t>
      </w:r>
      <w:r>
        <w:rPr>
          <w:rFonts w:hint="eastAsia" w:ascii="宋体" w:hAnsi="宋体" w:eastAsia="宋体" w:cs="宋体"/>
          <w:color w:val="000000"/>
          <w:sz w:val="24"/>
          <w:szCs w:val="24"/>
          <w:highlight w:val="none"/>
          <w:lang w:val="en-US" w:eastAsia="zh-CN" w:bidi="ar"/>
        </w:rPr>
        <w:fldChar w:fldCharType="begin"/>
      </w:r>
      <w:r>
        <w:rPr>
          <w:rFonts w:hint="eastAsia" w:ascii="宋体" w:hAnsi="宋体" w:eastAsia="宋体" w:cs="宋体"/>
          <w:color w:val="000000"/>
          <w:sz w:val="24"/>
          <w:szCs w:val="24"/>
          <w:highlight w:val="none"/>
          <w:lang w:val="en-US" w:eastAsia="zh-CN" w:bidi="ar"/>
        </w:rPr>
        <w:instrText xml:space="preserve"> HYPERLINK "http://www.zcygov.cn）递交电子投标文件，并使用CA锁进行投标文件远程解密" </w:instrText>
      </w:r>
      <w:r>
        <w:rPr>
          <w:rFonts w:hint="eastAsia" w:ascii="宋体" w:hAnsi="宋体" w:eastAsia="宋体" w:cs="宋体"/>
          <w:color w:val="000000"/>
          <w:sz w:val="24"/>
          <w:szCs w:val="24"/>
          <w:highlight w:val="none"/>
          <w:lang w:val="en-US" w:eastAsia="zh-CN" w:bidi="ar"/>
        </w:rPr>
        <w:fldChar w:fldCharType="separate"/>
      </w:r>
      <w:r>
        <w:rPr>
          <w:rFonts w:hint="eastAsia" w:ascii="宋体" w:hAnsi="宋体" w:eastAsia="宋体" w:cs="宋体"/>
          <w:color w:val="000000"/>
          <w:sz w:val="24"/>
          <w:szCs w:val="24"/>
          <w:highlight w:val="none"/>
          <w:lang w:val="en-US" w:eastAsia="zh-CN" w:bidi="ar"/>
        </w:rPr>
        <w:t>http://www.zcygov.cn）递交电子投标文件，并使用CA锁进行投标文件远程解密</w:t>
      </w:r>
      <w:r>
        <w:rPr>
          <w:rFonts w:hint="eastAsia" w:ascii="宋体" w:hAnsi="宋体" w:eastAsia="宋体" w:cs="宋体"/>
          <w:color w:val="000000"/>
          <w:sz w:val="24"/>
          <w:szCs w:val="24"/>
          <w:highlight w:val="none"/>
          <w:lang w:val="en-US" w:eastAsia="zh-CN" w:bidi="ar"/>
        </w:rPr>
        <w:fldChar w:fldCharType="end"/>
      </w:r>
      <w:r>
        <w:rPr>
          <w:rFonts w:hint="eastAsia" w:ascii="宋体" w:hAnsi="宋体" w:eastAsia="宋体" w:cs="宋体"/>
          <w:color w:val="000000"/>
          <w:sz w:val="24"/>
          <w:szCs w:val="24"/>
          <w:highlight w:val="none"/>
          <w:lang w:val="en-US" w:eastAsia="zh-CN" w:bidi="ar"/>
        </w:rPr>
        <w:t>。</w:t>
      </w:r>
    </w:p>
    <w:p w14:paraId="5F9D2777">
      <w:pPr>
        <w:pStyle w:val="33"/>
        <w:keepNext w:val="0"/>
        <w:keepLines w:val="0"/>
        <w:pageBreakBefore w:val="0"/>
        <w:widowControl w:val="0"/>
        <w:kinsoku/>
        <w:wordWrap/>
        <w:overflowPunct/>
        <w:topLinePunct w:val="0"/>
        <w:bidi w:val="0"/>
        <w:snapToGrid/>
        <w:spacing w:after="0" w:line="460" w:lineRule="exact"/>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color w:val="000000"/>
          <w:sz w:val="24"/>
          <w:szCs w:val="24"/>
          <w:highlight w:val="none"/>
          <w:lang w:val="en-US" w:eastAsia="zh-CN" w:bidi="ar"/>
        </w:rPr>
        <w:t>2.投标操作流程：供应商在政府采购云平台网注册入库成为正式供应商后，在平台上按《政府采购项目电子交易管理操作指南-供应商》进行投标操作。</w:t>
      </w:r>
    </w:p>
    <w:p w14:paraId="4973BA03">
      <w:pPr>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bidi="ar"/>
        </w:rPr>
        <w:t>3</w:t>
      </w:r>
      <w:r>
        <w:rPr>
          <w:rFonts w:hint="eastAsia" w:ascii="宋体" w:hAnsi="宋体" w:eastAsia="宋体" w:cs="宋体"/>
          <w:color w:val="000000"/>
          <w:sz w:val="24"/>
          <w:szCs w:val="24"/>
          <w:highlight w:val="none"/>
          <w:lang w:bidi="ar"/>
        </w:rPr>
        <w:t>.</w:t>
      </w:r>
      <w:r>
        <w:rPr>
          <w:rFonts w:hint="eastAsia" w:ascii="宋体" w:hAnsi="宋体" w:eastAsia="宋体" w:cs="宋体"/>
          <w:color w:val="000000" w:themeColor="text1"/>
          <w:sz w:val="24"/>
          <w:szCs w:val="24"/>
          <w:highlight w:val="none"/>
          <w:lang w:val="zh-CN"/>
          <w14:textFill>
            <w14:solidFill>
              <w14:schemeClr w14:val="tx1"/>
            </w14:solidFill>
          </w14:textFill>
        </w:rPr>
        <w:t>有效供应商不足法定数量时，采购人另行组织采购。</w:t>
      </w:r>
    </w:p>
    <w:p w14:paraId="23DB1586">
      <w:pPr>
        <w:keepNext w:val="0"/>
        <w:keepLines w:val="0"/>
        <w:pageBreakBefore w:val="0"/>
        <w:widowControl w:val="0"/>
        <w:tabs>
          <w:tab w:val="left" w:pos="-3675"/>
        </w:tabs>
        <w:kinsoku/>
        <w:wordWrap/>
        <w:overflowPunct/>
        <w:topLinePunct w:val="0"/>
        <w:autoSpaceDE w:val="0"/>
        <w:autoSpaceDN w:val="0"/>
        <w:bidi w:val="0"/>
        <w:adjustRightInd w:val="0"/>
        <w:snapToGrid/>
        <w:spacing w:line="460" w:lineRule="exact"/>
        <w:ind w:right="0" w:righ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000000"/>
          <w:sz w:val="24"/>
          <w:szCs w:val="24"/>
          <w:highlight w:val="none"/>
          <w:lang w:val="en-US" w:eastAsia="zh-CN" w:bidi="ar"/>
        </w:rPr>
        <w:t>4.本次招标公告同时在“政采云”平台（http:// www.zcygov.cn）、同步推送到吉林省政府采购网（http://www.ccgp-jilin.gov.cn/），并同时在《中国政府采购网》上发布</w:t>
      </w:r>
      <w:r>
        <w:rPr>
          <w:rFonts w:hint="eastAsia" w:ascii="宋体" w:hAnsi="宋体" w:eastAsia="宋体" w:cs="宋体"/>
          <w:color w:val="auto"/>
          <w:sz w:val="24"/>
          <w:szCs w:val="24"/>
          <w:highlight w:val="none"/>
          <w:lang w:val="zh-CN" w:eastAsia="zh-CN"/>
        </w:rPr>
        <w:t>。</w:t>
      </w:r>
    </w:p>
    <w:p w14:paraId="531EB659">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八、凡对本次采购提出询问，请按以下方式联系。</w:t>
      </w:r>
    </w:p>
    <w:p w14:paraId="72FB813F">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.采购人信息</w:t>
      </w:r>
    </w:p>
    <w:p w14:paraId="3BC802AD">
      <w:pPr>
        <w:spacing w:line="460" w:lineRule="exact"/>
        <w:ind w:firstLine="720" w:firstLineChars="3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w:t>
      </w:r>
      <w:bookmarkStart w:id="13" w:name="OLE_LINK3"/>
      <w:r>
        <w:rPr>
          <w:rFonts w:hint="eastAsia" w:ascii="宋体" w:hAnsi="宋体" w:cs="宋体"/>
          <w:color w:val="000000" w:themeColor="text1"/>
          <w:sz w:val="24"/>
          <w:szCs w:val="24"/>
          <w:highlight w:val="none"/>
          <w:lang w:val="zh-CN"/>
          <w14:textFill>
            <w14:solidFill>
              <w14:schemeClr w14:val="tx1"/>
            </w14:solidFill>
          </w14:textFill>
        </w:rPr>
        <w:t>延吉市看守所</w:t>
      </w:r>
      <w:bookmarkEnd w:id="13"/>
    </w:p>
    <w:p w14:paraId="6A313660">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    址：延吉市依兰镇东兴村</w:t>
      </w:r>
    </w:p>
    <w:p w14:paraId="5E3F97A1">
      <w:pPr>
        <w:spacing w:line="460" w:lineRule="exact"/>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人：崔圣</w:t>
      </w:r>
    </w:p>
    <w:p w14:paraId="3F65FD5C">
      <w:pPr>
        <w:spacing w:line="460" w:lineRule="exact"/>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0433-</w:t>
      </w:r>
      <w:r>
        <w:rPr>
          <w:rFonts w:hint="eastAsia" w:ascii="宋体" w:hAnsi="宋体" w:cs="宋体"/>
          <w:color w:val="000000" w:themeColor="text1"/>
          <w:sz w:val="24"/>
          <w:szCs w:val="24"/>
          <w:highlight w:val="none"/>
          <w:lang w:val="zh-CN"/>
          <w14:textFill>
            <w14:solidFill>
              <w14:schemeClr w14:val="tx1"/>
            </w14:solidFill>
          </w14:textFill>
        </w:rPr>
        <w:t>2631177</w:t>
      </w:r>
    </w:p>
    <w:p w14:paraId="30EC9131">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zh-CN"/>
          <w14:textFill>
            <w14:solidFill>
              <w14:schemeClr w14:val="tx1"/>
            </w14:solidFill>
          </w14:textFill>
        </w:rPr>
        <w:t>采购代理机构信息</w:t>
      </w:r>
    </w:p>
    <w:p w14:paraId="5EF64C08">
      <w:pPr>
        <w:spacing w:line="46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w:t>
      </w:r>
      <w:r>
        <w:rPr>
          <w:rFonts w:hint="eastAsia" w:ascii="宋体" w:hAnsi="宋体" w:cs="宋体"/>
          <w:color w:val="000000" w:themeColor="text1"/>
          <w:sz w:val="24"/>
          <w:szCs w:val="24"/>
          <w:highlight w:val="none"/>
          <w14:textFill>
            <w14:solidFill>
              <w14:schemeClr w14:val="tx1"/>
            </w14:solidFill>
          </w14:textFill>
        </w:rPr>
        <w:t>吉林省长润</w:t>
      </w:r>
      <w:r>
        <w:rPr>
          <w:rFonts w:hint="eastAsia" w:ascii="宋体" w:hAnsi="宋体" w:cs="宋体"/>
          <w:color w:val="000000" w:themeColor="text1"/>
          <w:sz w:val="24"/>
          <w:szCs w:val="24"/>
          <w:highlight w:val="none"/>
          <w:lang w:val="zh-CN"/>
          <w14:textFill>
            <w14:solidFill>
              <w14:schemeClr w14:val="tx1"/>
            </w14:solidFill>
          </w14:textFill>
        </w:rPr>
        <w:t>工程咨询有限公司</w:t>
      </w:r>
    </w:p>
    <w:p w14:paraId="5482FE28">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址：延吉市人民路1977号</w:t>
      </w:r>
    </w:p>
    <w:p w14:paraId="78393599">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14:textFill>
            <w14:solidFill>
              <w14:schemeClr w14:val="tx1"/>
            </w14:solidFill>
          </w14:textFill>
        </w:rPr>
        <w:t>0433-2099999</w:t>
      </w:r>
    </w:p>
    <w:p w14:paraId="0CEE8CBD">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3.项目联系方式</w:t>
      </w:r>
    </w:p>
    <w:p w14:paraId="49991427">
      <w:pPr>
        <w:spacing w:line="46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项目联系人：</w:t>
      </w:r>
      <w:r>
        <w:rPr>
          <w:rFonts w:hint="eastAsia" w:ascii="宋体" w:hAnsi="宋体" w:cs="宋体"/>
          <w:color w:val="000000" w:themeColor="text1"/>
          <w:sz w:val="24"/>
          <w:szCs w:val="24"/>
          <w:highlight w:val="none"/>
          <w:lang w:eastAsia="zh-CN"/>
          <w14:textFill>
            <w14:solidFill>
              <w14:schemeClr w14:val="tx1"/>
            </w14:solidFill>
          </w14:textFill>
        </w:rPr>
        <w:t>孙明峰</w:t>
      </w:r>
      <w:r>
        <w:rPr>
          <w:rFonts w:hint="eastAsia" w:ascii="宋体" w:hAnsi="宋体" w:cs="宋体"/>
          <w:color w:val="000000" w:themeColor="text1"/>
          <w:sz w:val="24"/>
          <w:szCs w:val="24"/>
          <w:highlight w:val="none"/>
          <w:lang w:val="zh-CN"/>
          <w14:textFill>
            <w14:solidFill>
              <w14:schemeClr w14:val="tx1"/>
            </w14:solidFill>
          </w14:textFill>
        </w:rPr>
        <w:t xml:space="preserve"> </w:t>
      </w:r>
    </w:p>
    <w:p w14:paraId="64ADACE2">
      <w:pPr>
        <w:spacing w:line="460" w:lineRule="exact"/>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18843339002</w:t>
      </w:r>
      <w:r>
        <w:rPr>
          <w:rFonts w:hint="eastAsia" w:ascii="宋体" w:hAnsi="宋体" w:cs="宋体"/>
          <w:color w:val="000000" w:themeColor="text1"/>
          <w:sz w:val="24"/>
          <w:szCs w:val="24"/>
          <w:highlight w:val="none"/>
          <w14:textFill>
            <w14:solidFill>
              <w14:schemeClr w14:val="tx1"/>
            </w14:solidFill>
          </w14:textFill>
        </w:rPr>
        <w:t xml:space="preserve">     </w:t>
      </w:r>
    </w:p>
    <w:p w14:paraId="447063DB">
      <w:pPr>
        <w:pStyle w:val="2"/>
        <w:ind w:firstLine="496" w:firstLineChars="200"/>
        <w:rPr>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监督管理部门：</w:t>
      </w:r>
      <w:r>
        <w:rPr>
          <w:rFonts w:hint="eastAsia" w:ascii="宋体" w:eastAsia="宋体" w:cs="宋体"/>
          <w:b w:val="0"/>
          <w:bCs w:val="0"/>
          <w:color w:val="000000" w:themeColor="text1"/>
          <w:sz w:val="24"/>
          <w:szCs w:val="24"/>
          <w:highlight w:val="none"/>
          <w:lang w:val="en-US" w:eastAsia="zh-CN"/>
          <w14:textFill>
            <w14:solidFill>
              <w14:schemeClr w14:val="tx1"/>
            </w14:solidFill>
          </w14:textFill>
        </w:rPr>
        <w:t>延吉市财政局政府采购管理工作办公室</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513A51B5">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6CB6DC22">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3EDF14D3">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317EAAF8">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ascii="宋体" w:eastAsia="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吉林省长润</w:t>
      </w:r>
      <w:r>
        <w:rPr>
          <w:rFonts w:hint="eastAsia" w:ascii="宋体" w:hAnsi="宋体" w:cs="宋体"/>
          <w:color w:val="000000" w:themeColor="text1"/>
          <w:sz w:val="24"/>
          <w:szCs w:val="24"/>
          <w:highlight w:val="none"/>
          <w:lang w:val="zh-CN"/>
          <w14:textFill>
            <w14:solidFill>
              <w14:schemeClr w14:val="tx1"/>
            </w14:solidFill>
          </w14:textFill>
        </w:rPr>
        <w:t>工程咨询有限公司</w:t>
      </w:r>
    </w:p>
    <w:p w14:paraId="398B0815">
      <w:pPr>
        <w:keepNext w:val="0"/>
        <w:keepLines w:val="0"/>
        <w:pageBreakBefore w:val="0"/>
        <w:widowControl w:val="0"/>
        <w:kinsoku/>
        <w:wordWrap/>
        <w:overflowPunct/>
        <w:topLinePunct w:val="0"/>
        <w:bidi w:val="0"/>
        <w:snapToGrid/>
        <w:spacing w:line="460" w:lineRule="exact"/>
        <w:jc w:val="right"/>
        <w:textAlignment w:val="auto"/>
        <w:rPr>
          <w:rFonts w:hint="eastAsia" w:ascii="宋体" w:hAnsi="宋体" w:cs="宋体"/>
          <w:color w:val="auto"/>
          <w:kern w:val="0"/>
          <w:sz w:val="24"/>
          <w:szCs w:val="24"/>
          <w:highlight w:val="none"/>
          <w:shd w:val="clear" w:color="auto" w:fill="FFFFFF"/>
          <w:lang w:bidi="ar"/>
        </w:rPr>
      </w:pPr>
      <w:bookmarkStart w:id="14" w:name="_Toc26736"/>
      <w:bookmarkStart w:id="15" w:name="_Toc32728"/>
      <w:r>
        <w:rPr>
          <w:rFonts w:hint="eastAsia" w:ascii="宋体" w:hAnsi="宋体" w:cs="宋体"/>
          <w:color w:val="000000" w:themeColor="text1"/>
          <w:sz w:val="24"/>
          <w:szCs w:val="24"/>
          <w:highlight w:val="none"/>
          <w14:textFill>
            <w14:solidFill>
              <w14:schemeClr w14:val="tx1"/>
            </w14:solidFill>
          </w14:textFill>
        </w:rPr>
        <w:t xml:space="preserve"> </w:t>
      </w:r>
      <w:bookmarkEnd w:id="14"/>
      <w:bookmarkEnd w:id="15"/>
      <w:r>
        <w:rPr>
          <w:rFonts w:hint="eastAsia" w:ascii="宋体" w:hAnsi="宋体" w:cs="宋体"/>
          <w:color w:val="000000" w:themeColor="text1"/>
          <w:sz w:val="24"/>
          <w:szCs w:val="24"/>
          <w:highlight w:val="none"/>
          <w:lang w:val="en-US" w:eastAsia="zh-CN"/>
          <w14:textFill>
            <w14:solidFill>
              <w14:schemeClr w14:val="tx1"/>
            </w14:solidFill>
          </w14:textFill>
        </w:rPr>
        <w:t>2026年05月12日</w:t>
      </w:r>
    </w:p>
    <w:p w14:paraId="7AD932E1">
      <w:pPr>
        <w:pStyle w:val="2"/>
        <w:spacing w:line="480" w:lineRule="auto"/>
        <w:jc w:val="right"/>
        <w:rPr>
          <w:b w:val="0"/>
          <w:bCs w:val="0"/>
          <w:color w:val="000000" w:themeColor="text1"/>
          <w:highlight w:val="none"/>
          <w:lang w:val="zh-CN"/>
          <w14:textFill>
            <w14:solidFill>
              <w14:schemeClr w14:val="tx1"/>
            </w14:solidFill>
          </w14:textFill>
        </w:rPr>
        <w:sectPr>
          <w:headerReference r:id="rId6" w:type="default"/>
          <w:footerReference r:id="rId7" w:type="default"/>
          <w:pgSz w:w="11905" w:h="16838"/>
          <w:pgMar w:top="1440" w:right="1803" w:bottom="1440" w:left="1803" w:header="1140" w:footer="720" w:gutter="0"/>
          <w:pgNumType w:start="1"/>
          <w:cols w:space="0" w:num="1"/>
          <w:docGrid w:type="lines" w:linePitch="317" w:charSpace="0"/>
        </w:sectPr>
      </w:pPr>
    </w:p>
    <w:p w14:paraId="2EA8C9C2">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cs="宋体"/>
          <w:b/>
          <w:bCs/>
          <w:color w:val="000000" w:themeColor="text1"/>
          <w:highlight w:val="none"/>
          <w14:textFill>
            <w14:solidFill>
              <w14:schemeClr w14:val="tx1"/>
            </w14:solidFill>
          </w14:textFill>
        </w:rPr>
      </w:pPr>
      <w:bookmarkStart w:id="16" w:name="_Toc7416"/>
      <w:bookmarkStart w:id="17" w:name="_Toc29396"/>
      <w:bookmarkStart w:id="18" w:name="_Toc16390"/>
      <w:r>
        <w:rPr>
          <w:rFonts w:hint="eastAsia" w:ascii="宋体" w:hAnsi="宋体" w:cs="宋体"/>
          <w:b/>
          <w:bCs/>
          <w:color w:val="000000" w:themeColor="text1"/>
          <w:highlight w:val="none"/>
          <w14:textFill>
            <w14:solidFill>
              <w14:schemeClr w14:val="tx1"/>
            </w14:solidFill>
          </w14:textFill>
        </w:rPr>
        <w:t>第二章 供应商须知</w:t>
      </w:r>
      <w:bookmarkEnd w:id="7"/>
      <w:bookmarkEnd w:id="8"/>
      <w:bookmarkEnd w:id="9"/>
      <w:bookmarkEnd w:id="16"/>
      <w:bookmarkEnd w:id="17"/>
      <w:bookmarkEnd w:id="18"/>
    </w:p>
    <w:p w14:paraId="768EE43F">
      <w:pPr>
        <w:pStyle w:val="79"/>
        <w:keepNext/>
        <w:keepLines/>
        <w:pageBreakBefore w:val="0"/>
        <w:widowControl w:val="0"/>
        <w:kinsoku/>
        <w:wordWrap/>
        <w:overflowPunct/>
        <w:topLinePunct w:val="0"/>
        <w:autoSpaceDE/>
        <w:autoSpaceDN/>
        <w:bidi w:val="0"/>
        <w:adjustRightInd/>
        <w:snapToGrid/>
        <w:spacing w:after="0" w:line="500" w:lineRule="exact"/>
        <w:textAlignment w:val="auto"/>
        <w:outlineLvl w:val="1"/>
        <w:rPr>
          <w:color w:val="000000" w:themeColor="text1"/>
          <w:sz w:val="32"/>
          <w:szCs w:val="32"/>
          <w:highlight w:val="none"/>
          <w14:textFill>
            <w14:solidFill>
              <w14:schemeClr w14:val="tx1"/>
            </w14:solidFill>
          </w14:textFill>
        </w:rPr>
      </w:pPr>
      <w:bookmarkStart w:id="19" w:name="bookmark60"/>
      <w:bookmarkStart w:id="20" w:name="bookmark61"/>
      <w:bookmarkStart w:id="21" w:name="bookmark62"/>
      <w:r>
        <w:rPr>
          <w:rFonts w:hint="eastAsia"/>
          <w:color w:val="000000" w:themeColor="text1"/>
          <w:sz w:val="32"/>
          <w:szCs w:val="32"/>
          <w:highlight w:val="none"/>
          <w:lang w:eastAsia="zh-CN"/>
          <w14:textFill>
            <w14:solidFill>
              <w14:schemeClr w14:val="tx1"/>
            </w14:solidFill>
          </w14:textFill>
        </w:rPr>
        <w:t>一、</w:t>
      </w:r>
      <w:r>
        <w:rPr>
          <w:color w:val="000000" w:themeColor="text1"/>
          <w:sz w:val="32"/>
          <w:szCs w:val="32"/>
          <w:highlight w:val="none"/>
          <w14:textFill>
            <w14:solidFill>
              <w14:schemeClr w14:val="tx1"/>
            </w14:solidFill>
          </w14:textFill>
        </w:rPr>
        <w:t>供应商须知前附表</w:t>
      </w:r>
      <w:bookmarkEnd w:id="19"/>
      <w:bookmarkEnd w:id="20"/>
      <w:bookmarkEnd w:id="21"/>
    </w:p>
    <w:tbl>
      <w:tblPr>
        <w:tblStyle w:val="34"/>
        <w:tblW w:w="8586" w:type="dxa"/>
        <w:jc w:val="center"/>
        <w:tblLayout w:type="fixed"/>
        <w:tblCellMar>
          <w:top w:w="0" w:type="dxa"/>
          <w:left w:w="10" w:type="dxa"/>
          <w:bottom w:w="0" w:type="dxa"/>
          <w:right w:w="10" w:type="dxa"/>
        </w:tblCellMar>
      </w:tblPr>
      <w:tblGrid>
        <w:gridCol w:w="1018"/>
        <w:gridCol w:w="2208"/>
        <w:gridCol w:w="5360"/>
      </w:tblGrid>
      <w:tr w14:paraId="1A452304">
        <w:tblPrEx>
          <w:tblCellMar>
            <w:top w:w="0" w:type="dxa"/>
            <w:left w:w="10" w:type="dxa"/>
            <w:bottom w:w="0" w:type="dxa"/>
            <w:right w:w="10" w:type="dxa"/>
          </w:tblCellMar>
        </w:tblPrEx>
        <w:trPr>
          <w:trHeight w:val="524" w:hRule="exact"/>
          <w:jc w:val="center"/>
        </w:trPr>
        <w:tc>
          <w:tcPr>
            <w:tcW w:w="1018" w:type="dxa"/>
            <w:tcBorders>
              <w:top w:val="single" w:color="auto" w:sz="4" w:space="0"/>
              <w:left w:val="single" w:color="auto" w:sz="4" w:space="0"/>
            </w:tcBorders>
            <w:shd w:val="clear" w:color="auto" w:fill="FFFFFF"/>
            <w:vAlign w:val="center"/>
          </w:tcPr>
          <w:p w14:paraId="1A3C069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2208" w:type="dxa"/>
            <w:tcBorders>
              <w:top w:val="single" w:color="auto" w:sz="4" w:space="0"/>
              <w:left w:val="single" w:color="auto" w:sz="4" w:space="0"/>
            </w:tcBorders>
            <w:shd w:val="clear" w:color="auto" w:fill="FFFFFF"/>
            <w:vAlign w:val="center"/>
          </w:tcPr>
          <w:p w14:paraId="389A067E">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条款名称</w:t>
            </w:r>
          </w:p>
        </w:tc>
        <w:tc>
          <w:tcPr>
            <w:tcW w:w="5360" w:type="dxa"/>
            <w:tcBorders>
              <w:top w:val="single" w:color="auto" w:sz="4" w:space="0"/>
              <w:left w:val="single" w:color="auto" w:sz="4" w:space="0"/>
              <w:right w:val="single" w:color="auto" w:sz="4" w:space="0"/>
            </w:tcBorders>
            <w:shd w:val="clear" w:color="auto" w:fill="FFFFFF"/>
            <w:vAlign w:val="center"/>
          </w:tcPr>
          <w:p w14:paraId="35CAA654">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编列内容</w:t>
            </w:r>
          </w:p>
        </w:tc>
      </w:tr>
      <w:tr w14:paraId="08906559">
        <w:tblPrEx>
          <w:tblCellMar>
            <w:top w:w="0" w:type="dxa"/>
            <w:left w:w="10" w:type="dxa"/>
            <w:bottom w:w="0" w:type="dxa"/>
            <w:right w:w="10" w:type="dxa"/>
          </w:tblCellMar>
        </w:tblPrEx>
        <w:trPr>
          <w:trHeight w:val="1451" w:hRule="exact"/>
          <w:jc w:val="center"/>
        </w:trPr>
        <w:tc>
          <w:tcPr>
            <w:tcW w:w="1018" w:type="dxa"/>
            <w:tcBorders>
              <w:top w:val="single" w:color="auto" w:sz="4" w:space="0"/>
              <w:left w:val="single" w:color="auto" w:sz="4" w:space="0"/>
            </w:tcBorders>
            <w:shd w:val="clear" w:color="auto" w:fill="FFFFFF"/>
            <w:vAlign w:val="center"/>
          </w:tcPr>
          <w:p w14:paraId="511D804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1</w:t>
            </w:r>
          </w:p>
        </w:tc>
        <w:tc>
          <w:tcPr>
            <w:tcW w:w="2208" w:type="dxa"/>
            <w:tcBorders>
              <w:top w:val="single" w:color="auto" w:sz="4" w:space="0"/>
              <w:left w:val="single" w:color="auto" w:sz="4" w:space="0"/>
            </w:tcBorders>
            <w:shd w:val="clear" w:color="auto" w:fill="FFFFFF"/>
            <w:vAlign w:val="center"/>
          </w:tcPr>
          <w:p w14:paraId="69B7E8F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w:t>
            </w:r>
          </w:p>
        </w:tc>
        <w:tc>
          <w:tcPr>
            <w:tcW w:w="5360" w:type="dxa"/>
            <w:tcBorders>
              <w:top w:val="single" w:color="auto" w:sz="4" w:space="0"/>
              <w:left w:val="single" w:color="auto" w:sz="4" w:space="0"/>
              <w:right w:val="single" w:color="auto" w:sz="4" w:space="0"/>
            </w:tcBorders>
            <w:shd w:val="clear" w:color="auto" w:fill="FFFFFF"/>
            <w:vAlign w:val="center"/>
          </w:tcPr>
          <w:p w14:paraId="6098B51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称：延吉市看守所</w:t>
            </w:r>
          </w:p>
          <w:p w14:paraId="2D8683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    址：延吉市依兰镇东兴村</w:t>
            </w:r>
          </w:p>
          <w:p w14:paraId="29040A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人：崔圣</w:t>
            </w:r>
          </w:p>
          <w:p w14:paraId="0F3526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0433-</w:t>
            </w:r>
            <w:r>
              <w:rPr>
                <w:rFonts w:hint="eastAsia" w:ascii="宋体" w:hAnsi="宋体" w:cs="宋体"/>
                <w:color w:val="000000" w:themeColor="text1"/>
                <w:sz w:val="24"/>
                <w:szCs w:val="24"/>
                <w:highlight w:val="none"/>
                <w:lang w:val="zh-CN"/>
                <w14:textFill>
                  <w14:solidFill>
                    <w14:schemeClr w14:val="tx1"/>
                  </w14:solidFill>
                </w14:textFill>
              </w:rPr>
              <w:t>2631177</w:t>
            </w:r>
          </w:p>
          <w:p w14:paraId="5C2BE5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color w:val="000000" w:themeColor="text1"/>
                <w:sz w:val="24"/>
                <w:szCs w:val="24"/>
                <w:highlight w:val="none"/>
                <w14:textFill>
                  <w14:solidFill>
                    <w14:schemeClr w14:val="tx1"/>
                  </w14:solidFill>
                </w14:textFill>
              </w:rPr>
            </w:pPr>
          </w:p>
        </w:tc>
      </w:tr>
      <w:tr w14:paraId="069FC327">
        <w:tblPrEx>
          <w:tblCellMar>
            <w:top w:w="0" w:type="dxa"/>
            <w:left w:w="10" w:type="dxa"/>
            <w:bottom w:w="0" w:type="dxa"/>
            <w:right w:w="10" w:type="dxa"/>
          </w:tblCellMar>
        </w:tblPrEx>
        <w:trPr>
          <w:trHeight w:val="1885" w:hRule="exact"/>
          <w:jc w:val="center"/>
        </w:trPr>
        <w:tc>
          <w:tcPr>
            <w:tcW w:w="1018" w:type="dxa"/>
            <w:tcBorders>
              <w:top w:val="single" w:color="auto" w:sz="4" w:space="0"/>
              <w:left w:val="single" w:color="auto" w:sz="4" w:space="0"/>
            </w:tcBorders>
            <w:shd w:val="clear" w:color="auto" w:fill="FFFFFF"/>
            <w:vAlign w:val="center"/>
          </w:tcPr>
          <w:p w14:paraId="14CC3FC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2</w:t>
            </w:r>
          </w:p>
        </w:tc>
        <w:tc>
          <w:tcPr>
            <w:tcW w:w="2208" w:type="dxa"/>
            <w:tcBorders>
              <w:top w:val="single" w:color="auto" w:sz="4" w:space="0"/>
              <w:left w:val="single" w:color="auto" w:sz="4" w:space="0"/>
            </w:tcBorders>
            <w:shd w:val="clear" w:color="auto" w:fill="FFFFFF"/>
            <w:vAlign w:val="center"/>
          </w:tcPr>
          <w:p w14:paraId="76B2ACD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w:t>
            </w:r>
          </w:p>
        </w:tc>
        <w:tc>
          <w:tcPr>
            <w:tcW w:w="5360" w:type="dxa"/>
            <w:tcBorders>
              <w:top w:val="single" w:color="auto" w:sz="4" w:space="0"/>
              <w:left w:val="single" w:color="auto" w:sz="4" w:space="0"/>
              <w:right w:val="single" w:color="auto" w:sz="4" w:space="0"/>
            </w:tcBorders>
            <w:shd w:val="clear" w:color="auto" w:fill="FFFFFF"/>
            <w:vAlign w:val="center"/>
          </w:tcPr>
          <w:p w14:paraId="26C69A7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    称：吉林省长润工程咨询有限公司</w:t>
            </w:r>
          </w:p>
          <w:p w14:paraId="2F18E3D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址：延吉市人民路1977号</w:t>
            </w:r>
          </w:p>
          <w:p w14:paraId="665CF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eastAsia="zh-CN"/>
                <w14:textFill>
                  <w14:solidFill>
                    <w14:schemeClr w14:val="tx1"/>
                  </w14:solidFill>
                </w14:textFill>
              </w:rPr>
              <w:t>孙明峰</w:t>
            </w:r>
          </w:p>
          <w:p w14:paraId="1B2855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eastAsia="zh-CN"/>
                <w14:textFill>
                  <w14:solidFill>
                    <w14:schemeClr w14:val="tx1"/>
                  </w14:solidFill>
                </w14:textFill>
              </w:rPr>
              <w:t>18843339002</w:t>
            </w:r>
          </w:p>
          <w:p w14:paraId="06AB6B6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电子邮箱：jlcr9999@163.com</w:t>
            </w:r>
          </w:p>
        </w:tc>
      </w:tr>
      <w:tr w14:paraId="486A54CC">
        <w:tblPrEx>
          <w:tblCellMar>
            <w:top w:w="0" w:type="dxa"/>
            <w:left w:w="10" w:type="dxa"/>
            <w:bottom w:w="0" w:type="dxa"/>
            <w:right w:w="10" w:type="dxa"/>
          </w:tblCellMar>
        </w:tblPrEx>
        <w:trPr>
          <w:trHeight w:val="574" w:hRule="exact"/>
          <w:jc w:val="center"/>
        </w:trPr>
        <w:tc>
          <w:tcPr>
            <w:tcW w:w="1018" w:type="dxa"/>
            <w:tcBorders>
              <w:top w:val="single" w:color="auto" w:sz="4" w:space="0"/>
              <w:left w:val="single" w:color="auto" w:sz="4" w:space="0"/>
            </w:tcBorders>
            <w:shd w:val="clear" w:color="auto" w:fill="FFFFFF"/>
            <w:vAlign w:val="center"/>
          </w:tcPr>
          <w:p w14:paraId="630AC08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6</w:t>
            </w:r>
          </w:p>
        </w:tc>
        <w:tc>
          <w:tcPr>
            <w:tcW w:w="2208" w:type="dxa"/>
            <w:tcBorders>
              <w:top w:val="single" w:color="auto" w:sz="4" w:space="0"/>
              <w:left w:val="single" w:color="auto" w:sz="4" w:space="0"/>
            </w:tcBorders>
            <w:shd w:val="clear" w:color="auto" w:fill="FFFFFF"/>
            <w:vAlign w:val="center"/>
          </w:tcPr>
          <w:p w14:paraId="3E902DC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5360" w:type="dxa"/>
            <w:tcBorders>
              <w:top w:val="single" w:color="auto" w:sz="4" w:space="0"/>
              <w:left w:val="single" w:color="auto" w:sz="4" w:space="0"/>
              <w:right w:val="single" w:color="auto" w:sz="4" w:space="0"/>
            </w:tcBorders>
            <w:shd w:val="clear" w:color="auto" w:fill="FFFFFF"/>
            <w:vAlign w:val="center"/>
          </w:tcPr>
          <w:p w14:paraId="2D39FD5A">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延吉市看守所在押人员食堂食材采购项目</w:t>
            </w:r>
          </w:p>
        </w:tc>
      </w:tr>
      <w:tr w14:paraId="03D37414">
        <w:tblPrEx>
          <w:tblCellMar>
            <w:top w:w="0" w:type="dxa"/>
            <w:left w:w="10" w:type="dxa"/>
            <w:bottom w:w="0" w:type="dxa"/>
            <w:right w:w="10" w:type="dxa"/>
          </w:tblCellMar>
        </w:tblPrEx>
        <w:trPr>
          <w:trHeight w:val="535" w:hRule="exact"/>
          <w:jc w:val="center"/>
        </w:trPr>
        <w:tc>
          <w:tcPr>
            <w:tcW w:w="1018" w:type="dxa"/>
            <w:vMerge w:val="restart"/>
            <w:tcBorders>
              <w:top w:val="single" w:color="auto" w:sz="4" w:space="0"/>
              <w:left w:val="single" w:color="auto" w:sz="4" w:space="0"/>
            </w:tcBorders>
            <w:shd w:val="clear" w:color="auto" w:fill="FFFFFF"/>
            <w:vAlign w:val="center"/>
          </w:tcPr>
          <w:p w14:paraId="102491D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7</w:t>
            </w:r>
          </w:p>
        </w:tc>
        <w:tc>
          <w:tcPr>
            <w:tcW w:w="2208" w:type="dxa"/>
            <w:tcBorders>
              <w:top w:val="single" w:color="auto" w:sz="4" w:space="0"/>
              <w:left w:val="single" w:color="auto" w:sz="4" w:space="0"/>
              <w:bottom w:val="single" w:color="auto" w:sz="4" w:space="0"/>
            </w:tcBorders>
            <w:shd w:val="clear" w:color="auto" w:fill="FFFFFF"/>
            <w:vAlign w:val="center"/>
          </w:tcPr>
          <w:p w14:paraId="03986DCA">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项目地点</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54D4E39A">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采购人指定地点</w:t>
            </w:r>
          </w:p>
        </w:tc>
      </w:tr>
      <w:tr w14:paraId="0811FE30">
        <w:tblPrEx>
          <w:tblCellMar>
            <w:top w:w="0" w:type="dxa"/>
            <w:left w:w="10" w:type="dxa"/>
            <w:bottom w:w="0" w:type="dxa"/>
            <w:right w:w="10" w:type="dxa"/>
          </w:tblCellMar>
        </w:tblPrEx>
        <w:trPr>
          <w:trHeight w:val="694" w:hRule="exact"/>
          <w:jc w:val="center"/>
        </w:trPr>
        <w:tc>
          <w:tcPr>
            <w:tcW w:w="1018" w:type="dxa"/>
            <w:vMerge w:val="continue"/>
            <w:tcBorders>
              <w:left w:val="single" w:color="auto" w:sz="4" w:space="0"/>
            </w:tcBorders>
            <w:shd w:val="clear" w:color="auto" w:fill="FFFFFF"/>
            <w:vAlign w:val="center"/>
          </w:tcPr>
          <w:p w14:paraId="29EE7574">
            <w:pPr>
              <w:jc w:val="center"/>
              <w:rPr>
                <w:rFonts w:hint="eastAsia" w:ascii="宋体" w:hAnsi="宋体" w:cs="宋体"/>
                <w:color w:val="000000" w:themeColor="text1"/>
                <w:sz w:val="24"/>
                <w:szCs w:val="24"/>
                <w:highlight w:val="none"/>
                <w:lang w:eastAsia="en-US"/>
                <w14:textFill>
                  <w14:solidFill>
                    <w14:schemeClr w14:val="tx1"/>
                  </w14:solidFill>
                </w14:textFill>
              </w:rPr>
            </w:pPr>
          </w:p>
        </w:tc>
        <w:tc>
          <w:tcPr>
            <w:tcW w:w="2208" w:type="dxa"/>
            <w:tcBorders>
              <w:top w:val="single" w:color="auto" w:sz="4" w:space="0"/>
              <w:left w:val="single" w:color="auto" w:sz="4" w:space="0"/>
            </w:tcBorders>
            <w:shd w:val="clear" w:color="auto" w:fill="FFFFFF"/>
            <w:vAlign w:val="center"/>
          </w:tcPr>
          <w:p w14:paraId="39F60C92">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合同履行期限</w:t>
            </w:r>
          </w:p>
        </w:tc>
        <w:tc>
          <w:tcPr>
            <w:tcW w:w="5360" w:type="dxa"/>
            <w:tcBorders>
              <w:top w:val="single" w:color="auto" w:sz="4" w:space="0"/>
              <w:left w:val="single" w:color="auto" w:sz="4" w:space="0"/>
              <w:right w:val="single" w:color="auto" w:sz="4" w:space="0"/>
            </w:tcBorders>
            <w:shd w:val="clear" w:color="auto" w:fill="FFFFFF"/>
            <w:vAlign w:val="center"/>
          </w:tcPr>
          <w:p w14:paraId="4D9DDF81">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自签订合同之日起至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auto"/>
                <w:spacing w:val="0"/>
                <w:kern w:val="2"/>
                <w:sz w:val="24"/>
                <w:szCs w:val="32"/>
                <w:highlight w:val="none"/>
                <w:lang w:val="en-US" w:eastAsia="zh-CN" w:bidi="ar-SA"/>
              </w:rPr>
              <w:t>按采购人要求随时供货。</w:t>
            </w:r>
          </w:p>
        </w:tc>
      </w:tr>
      <w:tr w14:paraId="71AC8ED0">
        <w:tblPrEx>
          <w:tblCellMar>
            <w:top w:w="0" w:type="dxa"/>
            <w:left w:w="10" w:type="dxa"/>
            <w:bottom w:w="0" w:type="dxa"/>
            <w:right w:w="10" w:type="dxa"/>
          </w:tblCellMar>
        </w:tblPrEx>
        <w:trPr>
          <w:trHeight w:val="589" w:hRule="exact"/>
          <w:jc w:val="center"/>
        </w:trPr>
        <w:tc>
          <w:tcPr>
            <w:tcW w:w="1018" w:type="dxa"/>
            <w:tcBorders>
              <w:top w:val="single" w:color="auto" w:sz="4" w:space="0"/>
              <w:left w:val="single" w:color="auto" w:sz="4" w:space="0"/>
              <w:bottom w:val="single" w:color="auto" w:sz="4" w:space="0"/>
            </w:tcBorders>
            <w:shd w:val="clear" w:color="auto" w:fill="FFFFFF"/>
            <w:vAlign w:val="center"/>
          </w:tcPr>
          <w:p w14:paraId="13A8153F">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8</w:t>
            </w:r>
          </w:p>
        </w:tc>
        <w:tc>
          <w:tcPr>
            <w:tcW w:w="2208" w:type="dxa"/>
            <w:tcBorders>
              <w:top w:val="single" w:color="auto" w:sz="4" w:space="0"/>
              <w:left w:val="single" w:color="auto" w:sz="4" w:space="0"/>
            </w:tcBorders>
            <w:shd w:val="clear" w:color="auto" w:fill="FFFFFF"/>
            <w:vAlign w:val="center"/>
          </w:tcPr>
          <w:p w14:paraId="5FEB2E5B">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采购预算</w:t>
            </w:r>
          </w:p>
        </w:tc>
        <w:tc>
          <w:tcPr>
            <w:tcW w:w="5360" w:type="dxa"/>
            <w:tcBorders>
              <w:top w:val="single" w:color="auto" w:sz="4" w:space="0"/>
              <w:left w:val="single" w:color="auto" w:sz="4" w:space="0"/>
              <w:right w:val="single" w:color="auto" w:sz="4" w:space="0"/>
            </w:tcBorders>
            <w:shd w:val="clear" w:color="auto" w:fill="FFFFFF"/>
            <w:vAlign w:val="center"/>
          </w:tcPr>
          <w:p w14:paraId="74B52A19">
            <w:pPr>
              <w:keepNext w:val="0"/>
              <w:keepLines w:val="0"/>
              <w:pageBreakBefore w:val="0"/>
              <w:widowControl w:val="0"/>
              <w:tabs>
                <w:tab w:val="left" w:pos="-3675"/>
              </w:tabs>
              <w:kinsoku/>
              <w:wordWrap/>
              <w:overflowPunct/>
              <w:topLinePunct w:val="0"/>
              <w:autoSpaceDE w:val="0"/>
              <w:autoSpaceDN w:val="0"/>
              <w:bidi w:val="0"/>
              <w:adjustRightInd w:val="0"/>
              <w:snapToGrid/>
              <w:spacing w:line="400" w:lineRule="exact"/>
              <w:ind w:right="97" w:rightChars="46"/>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人民币</w:t>
            </w:r>
            <w:r>
              <w:rPr>
                <w:rFonts w:hint="eastAsia" w:ascii="宋体" w:hAnsi="宋体" w:cs="宋体"/>
                <w:color w:val="000000" w:themeColor="text1"/>
                <w:sz w:val="24"/>
                <w:szCs w:val="24"/>
                <w:highlight w:val="none"/>
                <w:lang w:val="en-US" w:eastAsia="zh-CN"/>
                <w14:textFill>
                  <w14:solidFill>
                    <w14:schemeClr w14:val="tx1"/>
                  </w14:solidFill>
                </w14:textFill>
              </w:rPr>
              <w:t>1,560,000.00元</w:t>
            </w:r>
          </w:p>
        </w:tc>
      </w:tr>
      <w:tr w14:paraId="43259631">
        <w:tblPrEx>
          <w:tblCellMar>
            <w:top w:w="0" w:type="dxa"/>
            <w:left w:w="10" w:type="dxa"/>
            <w:bottom w:w="0" w:type="dxa"/>
            <w:right w:w="10" w:type="dxa"/>
          </w:tblCellMar>
        </w:tblPrEx>
        <w:trPr>
          <w:trHeight w:val="540" w:hRule="exact"/>
          <w:jc w:val="center"/>
        </w:trPr>
        <w:tc>
          <w:tcPr>
            <w:tcW w:w="1018" w:type="dxa"/>
            <w:tcBorders>
              <w:top w:val="single" w:color="auto" w:sz="4" w:space="0"/>
              <w:left w:val="single" w:color="auto" w:sz="4" w:space="0"/>
            </w:tcBorders>
            <w:shd w:val="clear" w:color="auto" w:fill="FFFFFF"/>
            <w:vAlign w:val="center"/>
          </w:tcPr>
          <w:p w14:paraId="4A7079F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9</w:t>
            </w:r>
          </w:p>
        </w:tc>
        <w:tc>
          <w:tcPr>
            <w:tcW w:w="2208" w:type="dxa"/>
            <w:tcBorders>
              <w:top w:val="single" w:color="auto" w:sz="4" w:space="0"/>
              <w:left w:val="single" w:color="auto" w:sz="4" w:space="0"/>
            </w:tcBorders>
            <w:shd w:val="clear" w:color="auto" w:fill="FFFFFF"/>
            <w:vAlign w:val="center"/>
          </w:tcPr>
          <w:p w14:paraId="57EED954">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标段划分</w:t>
            </w:r>
          </w:p>
        </w:tc>
        <w:tc>
          <w:tcPr>
            <w:tcW w:w="5360" w:type="dxa"/>
            <w:tcBorders>
              <w:top w:val="single" w:color="auto" w:sz="4" w:space="0"/>
              <w:left w:val="single" w:color="auto" w:sz="4" w:space="0"/>
              <w:right w:val="single" w:color="auto" w:sz="4" w:space="0"/>
            </w:tcBorders>
            <w:shd w:val="clear" w:color="auto" w:fill="FFFFFF"/>
            <w:vAlign w:val="center"/>
          </w:tcPr>
          <w:p w14:paraId="011C66DC">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3FECDFB9">
        <w:tblPrEx>
          <w:tblCellMar>
            <w:top w:w="0" w:type="dxa"/>
            <w:left w:w="10" w:type="dxa"/>
            <w:bottom w:w="0" w:type="dxa"/>
            <w:right w:w="10" w:type="dxa"/>
          </w:tblCellMar>
        </w:tblPrEx>
        <w:trPr>
          <w:trHeight w:val="523" w:hRule="exact"/>
          <w:jc w:val="center"/>
        </w:trPr>
        <w:tc>
          <w:tcPr>
            <w:tcW w:w="1018" w:type="dxa"/>
            <w:tcBorders>
              <w:top w:val="single" w:color="auto" w:sz="4" w:space="0"/>
              <w:left w:val="single" w:color="auto" w:sz="4" w:space="0"/>
            </w:tcBorders>
            <w:shd w:val="clear" w:color="auto" w:fill="FFFFFF"/>
            <w:vAlign w:val="center"/>
          </w:tcPr>
          <w:p w14:paraId="49B0B1C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w:t>
            </w:r>
          </w:p>
        </w:tc>
        <w:tc>
          <w:tcPr>
            <w:tcW w:w="2208" w:type="dxa"/>
            <w:tcBorders>
              <w:top w:val="single" w:color="auto" w:sz="4" w:space="0"/>
              <w:left w:val="single" w:color="auto" w:sz="4" w:space="0"/>
            </w:tcBorders>
            <w:shd w:val="clear" w:color="auto" w:fill="FFFFFF"/>
            <w:vAlign w:val="center"/>
          </w:tcPr>
          <w:p w14:paraId="308B3D2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p>
        </w:tc>
        <w:tc>
          <w:tcPr>
            <w:tcW w:w="5360" w:type="dxa"/>
            <w:tcBorders>
              <w:top w:val="single" w:color="auto" w:sz="4" w:space="0"/>
              <w:left w:val="single" w:color="auto" w:sz="4" w:space="0"/>
              <w:right w:val="single" w:color="auto" w:sz="4" w:space="0"/>
            </w:tcBorders>
            <w:shd w:val="clear" w:color="auto" w:fill="FFFFFF"/>
            <w:vAlign w:val="center"/>
          </w:tcPr>
          <w:p w14:paraId="225CA0E7">
            <w:pP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其他财政性资金</w:t>
            </w:r>
          </w:p>
        </w:tc>
      </w:tr>
      <w:tr w14:paraId="651FA59E">
        <w:tblPrEx>
          <w:tblCellMar>
            <w:top w:w="0" w:type="dxa"/>
            <w:left w:w="10" w:type="dxa"/>
            <w:bottom w:w="0" w:type="dxa"/>
            <w:right w:w="10" w:type="dxa"/>
          </w:tblCellMar>
        </w:tblPrEx>
        <w:trPr>
          <w:trHeight w:val="523" w:hRule="exact"/>
          <w:jc w:val="center"/>
        </w:trPr>
        <w:tc>
          <w:tcPr>
            <w:tcW w:w="1018" w:type="dxa"/>
            <w:tcBorders>
              <w:top w:val="single" w:color="auto" w:sz="4" w:space="0"/>
              <w:left w:val="single" w:color="auto" w:sz="4" w:space="0"/>
            </w:tcBorders>
            <w:shd w:val="clear" w:color="auto" w:fill="FFFFFF"/>
            <w:vAlign w:val="center"/>
          </w:tcPr>
          <w:p w14:paraId="63B192B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w:t>
            </w:r>
          </w:p>
        </w:tc>
        <w:tc>
          <w:tcPr>
            <w:tcW w:w="2208" w:type="dxa"/>
            <w:tcBorders>
              <w:top w:val="single" w:color="auto" w:sz="4" w:space="0"/>
              <w:left w:val="single" w:color="auto" w:sz="4" w:space="0"/>
            </w:tcBorders>
            <w:shd w:val="clear" w:color="auto" w:fill="FFFFFF"/>
            <w:vAlign w:val="center"/>
          </w:tcPr>
          <w:p w14:paraId="188B27B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岀资比例</w:t>
            </w:r>
          </w:p>
        </w:tc>
        <w:tc>
          <w:tcPr>
            <w:tcW w:w="5360" w:type="dxa"/>
            <w:tcBorders>
              <w:top w:val="single" w:color="auto" w:sz="4" w:space="0"/>
              <w:left w:val="single" w:color="auto" w:sz="4" w:space="0"/>
              <w:right w:val="single" w:color="auto" w:sz="4" w:space="0"/>
            </w:tcBorders>
            <w:shd w:val="clear" w:color="auto" w:fill="FFFFFF"/>
            <w:vAlign w:val="center"/>
          </w:tcPr>
          <w:p w14:paraId="39EB41E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w:t>
            </w:r>
          </w:p>
        </w:tc>
      </w:tr>
      <w:tr w14:paraId="07F8E595">
        <w:tblPrEx>
          <w:tblCellMar>
            <w:top w:w="0" w:type="dxa"/>
            <w:left w:w="10" w:type="dxa"/>
            <w:bottom w:w="0" w:type="dxa"/>
            <w:right w:w="10" w:type="dxa"/>
          </w:tblCellMar>
        </w:tblPrEx>
        <w:trPr>
          <w:trHeight w:val="601" w:hRule="exact"/>
          <w:jc w:val="center"/>
        </w:trPr>
        <w:tc>
          <w:tcPr>
            <w:tcW w:w="1018" w:type="dxa"/>
            <w:tcBorders>
              <w:top w:val="single" w:color="auto" w:sz="4" w:space="0"/>
              <w:left w:val="single" w:color="auto" w:sz="4" w:space="0"/>
            </w:tcBorders>
            <w:shd w:val="clear" w:color="auto" w:fill="FFFFFF"/>
            <w:vAlign w:val="center"/>
          </w:tcPr>
          <w:p w14:paraId="7C4B326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w:t>
            </w:r>
          </w:p>
        </w:tc>
        <w:tc>
          <w:tcPr>
            <w:tcW w:w="2208" w:type="dxa"/>
            <w:tcBorders>
              <w:top w:val="single" w:color="auto" w:sz="4" w:space="0"/>
              <w:left w:val="single" w:color="auto" w:sz="4" w:space="0"/>
            </w:tcBorders>
            <w:shd w:val="clear" w:color="auto" w:fill="FFFFFF"/>
            <w:vAlign w:val="center"/>
          </w:tcPr>
          <w:p w14:paraId="4B99EA65">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资金落实情况</w:t>
            </w:r>
          </w:p>
        </w:tc>
        <w:tc>
          <w:tcPr>
            <w:tcW w:w="5360" w:type="dxa"/>
            <w:tcBorders>
              <w:top w:val="single" w:color="auto" w:sz="4" w:space="0"/>
              <w:left w:val="single" w:color="auto" w:sz="4" w:space="0"/>
              <w:right w:val="single" w:color="auto" w:sz="4" w:space="0"/>
            </w:tcBorders>
            <w:shd w:val="clear" w:color="auto" w:fill="FFFFFF"/>
            <w:vAlign w:val="center"/>
          </w:tcPr>
          <w:p w14:paraId="3BF43A41">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已落实</w:t>
            </w:r>
          </w:p>
        </w:tc>
      </w:tr>
      <w:tr w14:paraId="3C182359">
        <w:tblPrEx>
          <w:tblCellMar>
            <w:top w:w="0" w:type="dxa"/>
            <w:left w:w="10" w:type="dxa"/>
            <w:bottom w:w="0" w:type="dxa"/>
            <w:right w:w="10" w:type="dxa"/>
          </w:tblCellMar>
        </w:tblPrEx>
        <w:trPr>
          <w:trHeight w:val="535" w:hRule="exact"/>
          <w:jc w:val="center"/>
        </w:trPr>
        <w:tc>
          <w:tcPr>
            <w:tcW w:w="1018" w:type="dxa"/>
            <w:tcBorders>
              <w:top w:val="single" w:color="auto" w:sz="4" w:space="0"/>
              <w:left w:val="single" w:color="auto" w:sz="4" w:space="0"/>
            </w:tcBorders>
            <w:shd w:val="clear" w:color="auto" w:fill="FFFFFF"/>
            <w:vAlign w:val="center"/>
          </w:tcPr>
          <w:p w14:paraId="20D2FFB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w:t>
            </w:r>
          </w:p>
        </w:tc>
        <w:tc>
          <w:tcPr>
            <w:tcW w:w="2208" w:type="dxa"/>
            <w:tcBorders>
              <w:top w:val="single" w:color="auto" w:sz="4" w:space="0"/>
              <w:left w:val="single" w:color="auto" w:sz="4" w:space="0"/>
            </w:tcBorders>
            <w:shd w:val="clear" w:color="auto" w:fill="FFFFFF"/>
            <w:vAlign w:val="center"/>
          </w:tcPr>
          <w:p w14:paraId="2303A939">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内容</w:t>
            </w:r>
          </w:p>
        </w:tc>
        <w:tc>
          <w:tcPr>
            <w:tcW w:w="5360" w:type="dxa"/>
            <w:tcBorders>
              <w:top w:val="single" w:color="auto" w:sz="4" w:space="0"/>
              <w:left w:val="single" w:color="auto" w:sz="4" w:space="0"/>
              <w:right w:val="single" w:color="auto" w:sz="4" w:space="0"/>
            </w:tcBorders>
            <w:shd w:val="clear" w:color="auto" w:fill="FFFFFF"/>
            <w:vAlign w:val="center"/>
          </w:tcPr>
          <w:p w14:paraId="3152BABD">
            <w:pPr>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食堂食材采购，详见项目采购需求。</w:t>
            </w:r>
          </w:p>
        </w:tc>
      </w:tr>
      <w:tr w14:paraId="05D07942">
        <w:tblPrEx>
          <w:tblCellMar>
            <w:top w:w="0" w:type="dxa"/>
            <w:left w:w="10" w:type="dxa"/>
            <w:bottom w:w="0" w:type="dxa"/>
            <w:right w:w="10" w:type="dxa"/>
          </w:tblCellMar>
        </w:tblPrEx>
        <w:trPr>
          <w:trHeight w:val="559" w:hRule="exact"/>
          <w:jc w:val="center"/>
        </w:trPr>
        <w:tc>
          <w:tcPr>
            <w:tcW w:w="1018" w:type="dxa"/>
            <w:tcBorders>
              <w:top w:val="single" w:color="auto" w:sz="4" w:space="0"/>
              <w:left w:val="single" w:color="auto" w:sz="4" w:space="0"/>
              <w:bottom w:val="single" w:color="auto" w:sz="4" w:space="0"/>
            </w:tcBorders>
            <w:shd w:val="clear" w:color="auto" w:fill="FFFFFF"/>
            <w:vAlign w:val="center"/>
          </w:tcPr>
          <w:p w14:paraId="53124500">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2208" w:type="dxa"/>
            <w:tcBorders>
              <w:top w:val="single" w:color="auto" w:sz="4" w:space="0"/>
              <w:left w:val="single" w:color="auto" w:sz="4" w:space="0"/>
              <w:bottom w:val="single" w:color="auto" w:sz="4" w:space="0"/>
            </w:tcBorders>
            <w:shd w:val="clear" w:color="auto" w:fill="FFFFFF"/>
            <w:vAlign w:val="center"/>
          </w:tcPr>
          <w:p w14:paraId="76CF3A67">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质量要求</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4D22109">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符合现行国家及行业合格标准</w:t>
            </w:r>
          </w:p>
        </w:tc>
      </w:tr>
      <w:tr w14:paraId="48A91B2E">
        <w:tblPrEx>
          <w:tblCellMar>
            <w:top w:w="0" w:type="dxa"/>
            <w:left w:w="10" w:type="dxa"/>
            <w:bottom w:w="0" w:type="dxa"/>
            <w:right w:w="10" w:type="dxa"/>
          </w:tblCellMar>
        </w:tblPrEx>
        <w:trPr>
          <w:trHeight w:val="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0003817A">
            <w:pPr>
              <w:jc w:val="center"/>
              <w:rPr>
                <w:rFonts w:hint="eastAsia" w:ascii="宋体" w:hAnsi="宋体" w:cs="宋体"/>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1.4.</w:t>
            </w:r>
            <w:r>
              <w:rPr>
                <w:rFonts w:hint="eastAsia"/>
                <w:b w:val="0"/>
                <w:bCs w:val="0"/>
                <w:color w:val="000000" w:themeColor="text1"/>
                <w:sz w:val="24"/>
                <w:szCs w:val="24"/>
                <w:highlight w:val="none"/>
                <w:lang w:val="zh-CN" w:eastAsia="zh-CN" w:bidi="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1EC9AF77">
            <w:pPr>
              <w:jc w:val="center"/>
              <w:rPr>
                <w:rFonts w:hint="default" w:ascii="宋体" w:hAnsi="宋体" w:cs="宋体"/>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供应商资质条件</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财务</w:t>
            </w:r>
            <w:r>
              <w:rPr>
                <w:rFonts w:hint="eastAsia"/>
                <w:b w:val="0"/>
                <w:bCs w:val="0"/>
                <w:color w:val="000000" w:themeColor="text1"/>
                <w:sz w:val="24"/>
                <w:szCs w:val="24"/>
                <w:highlight w:val="none"/>
                <w14:textFill>
                  <w14:solidFill>
                    <w14:schemeClr w14:val="tx1"/>
                  </w14:solidFill>
                </w14:textFill>
              </w:rPr>
              <w:t>和信誉</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426C06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资质条件：</w:t>
            </w:r>
          </w:p>
          <w:p w14:paraId="626B0922">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1</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须符合《中华人民共和国政府采购法》第二十二条的规定，在中华人民共和国境内注册，能够独立承担民事责任、具有良好的商业信誉和健全的财务会计制度；具有履行合同所必</w:t>
            </w:r>
            <w:r>
              <w:rPr>
                <w:rFonts w:hint="eastAsia"/>
                <w:b w:val="0"/>
                <w:bCs w:val="0"/>
                <w:color w:val="000000" w:themeColor="text1"/>
                <w:sz w:val="24"/>
                <w:szCs w:val="24"/>
                <w:highlight w:val="none"/>
                <w:lang w:eastAsia="zh-CN"/>
                <w14:textFill>
                  <w14:solidFill>
                    <w14:schemeClr w14:val="tx1"/>
                  </w14:solidFill>
                </w14:textFill>
              </w:rPr>
              <w:t>需</w:t>
            </w:r>
            <w:r>
              <w:rPr>
                <w:rFonts w:hint="eastAsia"/>
                <w:b w:val="0"/>
                <w:bCs w:val="0"/>
                <w:color w:val="000000" w:themeColor="text1"/>
                <w:sz w:val="24"/>
                <w:szCs w:val="24"/>
                <w:highlight w:val="none"/>
                <w14:textFill>
                  <w14:solidFill>
                    <w14:schemeClr w14:val="tx1"/>
                  </w14:solidFill>
                </w14:textFill>
              </w:rPr>
              <w:t>的设备和专业技术能力；</w:t>
            </w:r>
            <w:r>
              <w:rPr>
                <w:rFonts w:hint="eastAsia"/>
                <w:b w:val="0"/>
                <w:bCs w:val="0"/>
                <w:color w:val="000000" w:themeColor="text1"/>
                <w:sz w:val="24"/>
                <w:szCs w:val="24"/>
                <w:highlight w:val="none"/>
                <w:lang w:eastAsia="zh-CN"/>
                <w14:textFill>
                  <w14:solidFill>
                    <w14:schemeClr w14:val="tx1"/>
                  </w14:solidFill>
                </w14:textFill>
              </w:rPr>
              <w:t>有</w:t>
            </w:r>
            <w:r>
              <w:rPr>
                <w:rFonts w:hint="eastAsia"/>
                <w:b w:val="0"/>
                <w:bCs w:val="0"/>
                <w:color w:val="000000" w:themeColor="text1"/>
                <w:sz w:val="24"/>
                <w:szCs w:val="24"/>
                <w:highlight w:val="none"/>
                <w14:textFill>
                  <w14:solidFill>
                    <w14:schemeClr w14:val="tx1"/>
                  </w14:solidFill>
                </w14:textFill>
              </w:rPr>
              <w:t>依法缴纳税收和良好的社会保障资金；</w:t>
            </w:r>
            <w:r>
              <w:rPr>
                <w:rFonts w:hint="eastAsia"/>
                <w:b w:val="0"/>
                <w:bCs w:val="0"/>
                <w:color w:val="000000" w:themeColor="text1"/>
                <w:sz w:val="24"/>
                <w:szCs w:val="24"/>
                <w:highlight w:val="none"/>
                <w:lang w:val="en-US" w:eastAsia="zh-CN"/>
                <w14:textFill>
                  <w14:solidFill>
                    <w14:schemeClr w14:val="tx1"/>
                  </w14:solidFill>
                </w14:textFill>
              </w:rPr>
              <w:t>参加政府采购活动前三年内，</w:t>
            </w:r>
            <w:r>
              <w:rPr>
                <w:rFonts w:hint="eastAsia"/>
                <w:b w:val="0"/>
                <w:bCs w:val="0"/>
                <w:color w:val="000000" w:themeColor="text1"/>
                <w:sz w:val="24"/>
                <w:szCs w:val="24"/>
                <w:highlight w:val="none"/>
                <w14:textFill>
                  <w14:solidFill>
                    <w14:schemeClr w14:val="tx1"/>
                  </w14:solidFill>
                </w14:textFill>
              </w:rPr>
              <w:t>在经营活动中没有重大违法记录；法律、行政法规规定的其他条件</w:t>
            </w:r>
            <w:r>
              <w:rPr>
                <w:rFonts w:hint="eastAsia"/>
                <w:b w:val="0"/>
                <w:bCs w:val="0"/>
                <w:color w:val="000000" w:themeColor="text1"/>
                <w:sz w:val="24"/>
                <w:szCs w:val="24"/>
                <w:highlight w:val="none"/>
                <w:lang w:eastAsia="zh-CN"/>
                <w14:textFill>
                  <w14:solidFill>
                    <w14:schemeClr w14:val="tx1"/>
                  </w14:solidFill>
                </w14:textFill>
              </w:rPr>
              <w:t>；</w:t>
            </w:r>
          </w:p>
          <w:p w14:paraId="257A3EAB">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b w:val="0"/>
                <w:bCs w:val="0"/>
                <w:color w:val="000000" w:themeColor="text1"/>
                <w:sz w:val="24"/>
                <w:szCs w:val="24"/>
                <w:highlight w:val="none"/>
                <w:lang w:val="en-US" w:eastAsia="zh-CN"/>
                <w14:textFill>
                  <w14:solidFill>
                    <w14:schemeClr w14:val="tx1"/>
                  </w14:solidFill>
                </w14:textFill>
              </w:rPr>
              <w:t>供应商必须是具有独立承担民事责任能力的在中华人民共和国境内注册的法人或其他组织，投标时具有有效的营业执照，</w:t>
            </w:r>
            <w:r>
              <w:rPr>
                <w:rFonts w:hint="eastAsia" w:ascii="宋体" w:hAnsi="宋体" w:cs="宋体"/>
                <w:b/>
                <w:bCs/>
                <w:color w:val="000000" w:themeColor="text1"/>
                <w:sz w:val="24"/>
                <w:szCs w:val="24"/>
                <w:highlight w:val="none"/>
                <w:lang w:eastAsia="zh-CN"/>
                <w14:textFill>
                  <w14:solidFill>
                    <w14:schemeClr w14:val="tx1"/>
                  </w14:solidFill>
                </w14:textFill>
              </w:rPr>
              <w:t>须具备相关行政主管部门核发的有效期内的《食品生产许可证》或《食品经营许可证》，</w:t>
            </w:r>
            <w:r>
              <w:rPr>
                <w:rFonts w:hint="eastAsia" w:cs="宋体"/>
                <w:b w:val="0"/>
                <w:bCs w:val="0"/>
                <w:color w:val="000000" w:themeColor="text1"/>
                <w:sz w:val="24"/>
                <w:szCs w:val="24"/>
                <w:highlight w:val="none"/>
                <w:lang w:eastAsia="zh-CN"/>
                <w14:textFill>
                  <w14:solidFill>
                    <w14:schemeClr w14:val="tx1"/>
                  </w14:solidFill>
                </w14:textFill>
              </w:rPr>
              <w:t>在人员、设备、运输、资金等方面有相应的供货能力</w:t>
            </w:r>
            <w:r>
              <w:rPr>
                <w:rFonts w:hint="eastAsia"/>
                <w:b w:val="0"/>
                <w:bCs w:val="0"/>
                <w:color w:val="000000" w:themeColor="text1"/>
                <w:sz w:val="24"/>
                <w:szCs w:val="24"/>
                <w:highlight w:val="none"/>
                <w:lang w:eastAsia="zh-CN"/>
                <w14:textFill>
                  <w14:solidFill>
                    <w14:schemeClr w14:val="tx1"/>
                  </w14:solidFill>
                </w14:textFill>
              </w:rPr>
              <w:t>。</w:t>
            </w:r>
          </w:p>
          <w:p w14:paraId="252EB93E">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财务要求：</w:t>
            </w:r>
          </w:p>
          <w:p w14:paraId="5846D7E9">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b w:val="0"/>
                <w:bCs w:val="0"/>
                <w:color w:val="000000" w:themeColor="text1"/>
                <w:sz w:val="24"/>
                <w:szCs w:val="24"/>
                <w:highlight w:val="none"/>
                <w:lang w:val="en-US" w:eastAsia="zh-CN"/>
                <w14:textFill>
                  <w14:solidFill>
                    <w14:schemeClr w14:val="tx1"/>
                  </w14:solidFill>
                </w14:textFill>
              </w:rPr>
              <w:t>。</w:t>
            </w:r>
          </w:p>
          <w:p w14:paraId="678D0DBE">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信誉要求：</w:t>
            </w:r>
          </w:p>
          <w:p w14:paraId="55D12D40">
            <w:pPr>
              <w:pStyle w:val="80"/>
              <w:keepNext w:val="0"/>
              <w:keepLines w:val="0"/>
              <w:pageBreakBefore w:val="0"/>
              <w:widowControl w:val="0"/>
              <w:tabs>
                <w:tab w:val="left" w:pos="422"/>
              </w:tabs>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（1）拒绝列入政府取消投标资格记录期间的企业或个人投标（提供由法定代表人或其委托代理人签字并加盖单位公章的承诺书）</w:t>
            </w:r>
            <w:r>
              <w:rPr>
                <w:rFonts w:hint="eastAsia"/>
                <w:b w:val="0"/>
                <w:bCs w:val="0"/>
                <w:color w:val="000000" w:themeColor="text1"/>
                <w:sz w:val="24"/>
                <w:szCs w:val="24"/>
                <w:highlight w:val="none"/>
                <w:lang w:eastAsia="zh-CN"/>
                <w14:textFill>
                  <w14:solidFill>
                    <w14:schemeClr w14:val="tx1"/>
                  </w14:solidFill>
                </w14:textFill>
              </w:rPr>
              <w:t>；</w:t>
            </w:r>
          </w:p>
          <w:p w14:paraId="03A993A0">
            <w:pPr>
              <w:pStyle w:val="80"/>
              <w:keepNext w:val="0"/>
              <w:keepLines w:val="0"/>
              <w:pageBreakBefore w:val="0"/>
              <w:widowControl w:val="0"/>
              <w:tabs>
                <w:tab w:val="left" w:pos="528"/>
              </w:tabs>
              <w:kinsoku/>
              <w:wordWrap/>
              <w:overflowPunct/>
              <w:topLinePunct w:val="0"/>
              <w:autoSpaceDE/>
              <w:autoSpaceDN/>
              <w:bidi w:val="0"/>
              <w:adjustRightInd/>
              <w:snapToGrid/>
              <w:spacing w:after="0" w:line="360" w:lineRule="exact"/>
              <w:ind w:right="0" w:rightChars="0"/>
              <w:jc w:val="both"/>
              <w:textAlignment w:val="auto"/>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2</w:t>
            </w:r>
            <w:r>
              <w:rPr>
                <w:rFonts w:hint="eastAsia"/>
                <w:b w:val="0"/>
                <w:bCs w:val="0"/>
                <w:color w:val="000000" w:themeColor="text1"/>
                <w:sz w:val="24"/>
                <w:szCs w:val="24"/>
                <w:highlight w:val="none"/>
                <w14:textFill>
                  <w14:solidFill>
                    <w14:schemeClr w14:val="tx1"/>
                  </w14:solidFill>
                </w14:textFill>
              </w:rPr>
              <w:t>）供应商须对供应商、法定代表人、拟委任的</w:t>
            </w:r>
            <w:r>
              <w:rPr>
                <w:rFonts w:hint="eastAsia"/>
                <w:b w:val="0"/>
                <w:bCs w:val="0"/>
                <w:color w:val="000000" w:themeColor="text1"/>
                <w:sz w:val="24"/>
                <w:szCs w:val="24"/>
                <w:highlight w:val="none"/>
                <w:lang w:eastAsia="zh-CN"/>
                <w14:textFill>
                  <w14:solidFill>
                    <w14:schemeClr w14:val="tx1"/>
                  </w14:solidFill>
                </w14:textFill>
              </w:rPr>
              <w:t>项目负责人</w:t>
            </w:r>
            <w:r>
              <w:rPr>
                <w:rFonts w:hint="eastAsia"/>
                <w:b w:val="0"/>
                <w:bCs w:val="0"/>
                <w:color w:val="000000" w:themeColor="text1"/>
                <w:sz w:val="24"/>
                <w:szCs w:val="24"/>
                <w:highlight w:val="none"/>
                <w14:textFill>
                  <w14:solidFill>
                    <w14:schemeClr w14:val="tx1"/>
                  </w14:solidFill>
                </w14:textFill>
              </w:rPr>
              <w:t>进行行贿犯罪档案查询</w:t>
            </w:r>
            <w:r>
              <w:rPr>
                <w:rFonts w:hint="eastAsia"/>
                <w:b w:val="0"/>
                <w:bCs w:val="0"/>
                <w:color w:val="000000" w:themeColor="text1"/>
                <w:sz w:val="24"/>
                <w:szCs w:val="24"/>
                <w:highlight w:val="none"/>
                <w:lang w:eastAsia="zh-CN"/>
                <w14:textFill>
                  <w14:solidFill>
                    <w14:schemeClr w14:val="tx1"/>
                  </w14:solidFill>
                </w14:textFill>
              </w:rPr>
              <w:t>，登录中国裁判文书网自行查询，查询时间范围</w:t>
            </w: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r>
              <w:rPr>
                <w:rFonts w:hint="eastAsia"/>
                <w:b w:val="0"/>
                <w:bCs w:val="0"/>
                <w:color w:val="000000" w:themeColor="text1"/>
                <w:sz w:val="24"/>
                <w:szCs w:val="24"/>
                <w:highlight w:val="none"/>
                <w14:textFill>
                  <w14:solidFill>
                    <w14:schemeClr w14:val="tx1"/>
                  </w14:solidFill>
                </w14:textFill>
              </w:rPr>
              <w:t>（须提供网络截图加盖公章）</w:t>
            </w:r>
            <w:r>
              <w:rPr>
                <w:rFonts w:hint="eastAsia"/>
                <w:b w:val="0"/>
                <w:bCs w:val="0"/>
                <w:color w:val="000000" w:themeColor="text1"/>
                <w:sz w:val="24"/>
                <w:szCs w:val="24"/>
                <w:highlight w:val="none"/>
                <w:lang w:eastAsia="zh-CN"/>
                <w14:textFill>
                  <w14:solidFill>
                    <w14:schemeClr w14:val="tx1"/>
                  </w14:solidFill>
                </w14:textFill>
              </w:rPr>
              <w:t>；</w:t>
            </w:r>
          </w:p>
          <w:p w14:paraId="3244E702">
            <w:pPr>
              <w:pStyle w:val="80"/>
              <w:keepNext w:val="0"/>
              <w:keepLines w:val="0"/>
              <w:pageBreakBefore w:val="0"/>
              <w:widowControl w:val="0"/>
              <w:tabs>
                <w:tab w:val="left" w:pos="427"/>
              </w:tabs>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eastAsia="zh-CN"/>
                <w14:textFill>
                  <w14:solidFill>
                    <w14:schemeClr w14:val="tx1"/>
                  </w14:solidFill>
                </w14:textFill>
              </w:rPr>
              <w:t>未被市场监督管理机关在国家企业信用信息公示系统（http：//www.gsxt.gov.cn/）</w:t>
            </w:r>
            <w:r>
              <w:rPr>
                <w:rFonts w:hint="eastAsia"/>
                <w:b w:val="0"/>
                <w:bCs w:val="0"/>
                <w:color w:val="000000" w:themeColor="text1"/>
                <w:sz w:val="24"/>
                <w:szCs w:val="24"/>
                <w:highlight w:val="none"/>
                <w14:textFill>
                  <w14:solidFill>
                    <w14:schemeClr w14:val="tx1"/>
                  </w14:solidFill>
                </w14:textFill>
              </w:rPr>
              <w:t>中列入严重违法失信企业名单（须提供网络截图加盖公章）</w:t>
            </w:r>
            <w:r>
              <w:rPr>
                <w:rFonts w:hint="eastAsia"/>
                <w:b w:val="0"/>
                <w:bCs w:val="0"/>
                <w:color w:val="000000" w:themeColor="text1"/>
                <w:sz w:val="24"/>
                <w:szCs w:val="24"/>
                <w:highlight w:val="none"/>
                <w:lang w:eastAsia="zh-CN"/>
                <w14:textFill>
                  <w14:solidFill>
                    <w14:schemeClr w14:val="tx1"/>
                  </w14:solidFill>
                </w14:textFill>
              </w:rPr>
              <w:t>；</w:t>
            </w:r>
          </w:p>
          <w:p w14:paraId="34B22E16">
            <w:pPr>
              <w:pStyle w:val="80"/>
              <w:keepNext w:val="0"/>
              <w:keepLines w:val="0"/>
              <w:pageBreakBefore w:val="0"/>
              <w:widowControl w:val="0"/>
              <w:tabs>
                <w:tab w:val="left" w:pos="422"/>
              </w:tabs>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4</w:t>
            </w:r>
            <w:r>
              <w:rPr>
                <w:rFonts w:hint="eastAsia"/>
                <w:b w:val="0"/>
                <w:bCs w:val="0"/>
                <w:color w:val="000000" w:themeColor="text1"/>
                <w:sz w:val="24"/>
                <w:szCs w:val="24"/>
                <w:highlight w:val="none"/>
                <w14:textFill>
                  <w14:solidFill>
                    <w14:schemeClr w14:val="tx1"/>
                  </w14:solidFill>
                </w14:textFill>
              </w:rPr>
              <w:t>）供应商未被列入</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信用</w:t>
            </w:r>
            <w:r>
              <w:rPr>
                <w:rFonts w:hint="eastAsia"/>
                <w:b w:val="0"/>
                <w:bCs w:val="0"/>
                <w:color w:val="000000" w:themeColor="text1"/>
                <w:sz w:val="24"/>
                <w:szCs w:val="24"/>
                <w:highlight w:val="none"/>
                <w:lang w:val="zh-CN" w:eastAsia="zh-CN" w:bidi="zh-CN"/>
                <w14:textFill>
                  <w14:solidFill>
                    <w14:schemeClr w14:val="tx1"/>
                  </w14:solidFill>
                </w14:textFill>
              </w:rPr>
              <w:t>中国”</w:t>
            </w:r>
            <w:r>
              <w:rPr>
                <w:rFonts w:hint="eastAsia"/>
                <w:b w:val="0"/>
                <w:bCs w:val="0"/>
                <w:color w:val="000000" w:themeColor="text1"/>
                <w:sz w:val="24"/>
                <w:szCs w:val="24"/>
                <w:highlight w:val="none"/>
                <w14:textFill>
                  <w14:solidFill>
                    <w14:schemeClr w14:val="tx1"/>
                  </w14:solidFill>
                </w14:textFill>
              </w:rPr>
              <w:t>网站</w:t>
            </w:r>
          </w:p>
          <w:p w14:paraId="4114EEFD">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bidi="en-US"/>
                <w14:textFill>
                  <w14:solidFill>
                    <w14:schemeClr w14:val="tx1"/>
                  </w14:solidFill>
                </w14:textFill>
              </w:rPr>
              <w:t>（www.creditchina.gov.cn）</w:t>
            </w:r>
            <w:r>
              <w:rPr>
                <w:rFonts w:hint="eastAsia"/>
                <w:b w:val="0"/>
                <w:bCs w:val="0"/>
                <w:color w:val="000000" w:themeColor="text1"/>
                <w:sz w:val="24"/>
                <w:szCs w:val="24"/>
                <w:highlight w:val="none"/>
                <w14:textFill>
                  <w14:solidFill>
                    <w14:schemeClr w14:val="tx1"/>
                  </w14:solidFill>
                </w14:textFill>
              </w:rPr>
              <w:t>、中国政府采购网</w:t>
            </w:r>
          </w:p>
          <w:p w14:paraId="73FD8E69">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eastAsia"/>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bidi="en-US"/>
                <w14:textFill>
                  <w14:solidFill>
                    <w14:schemeClr w14:val="tx1"/>
                  </w14:solidFill>
                </w14:textFill>
              </w:rPr>
              <w:t>（www.ccgp.gov.cn）</w:t>
            </w:r>
            <w:r>
              <w:rPr>
                <w:rFonts w:hint="eastAsia"/>
                <w:b w:val="0"/>
                <w:bCs w:val="0"/>
                <w:color w:val="000000" w:themeColor="text1"/>
                <w:sz w:val="24"/>
                <w:szCs w:val="24"/>
                <w:highlight w:val="none"/>
                <w14:textFill>
                  <w14:solidFill>
                    <w14:schemeClr w14:val="tx1"/>
                  </w14:solidFill>
                </w14:textFill>
              </w:rPr>
              <w:t>等渠道信用记录失信被执行人、</w:t>
            </w:r>
            <w:r>
              <w:rPr>
                <w:rFonts w:hint="eastAsia"/>
                <w:b w:val="0"/>
                <w:bCs w:val="0"/>
                <w:color w:val="000000" w:themeColor="text1"/>
                <w:sz w:val="24"/>
                <w:szCs w:val="24"/>
                <w:highlight w:val="none"/>
                <w:lang w:eastAsia="zh-CN"/>
                <w14:textFill>
                  <w14:solidFill>
                    <w14:schemeClr w14:val="tx1"/>
                  </w14:solidFill>
                </w14:textFill>
              </w:rPr>
              <w:t>重大税收违法失信主体</w:t>
            </w:r>
            <w:r>
              <w:rPr>
                <w:rFonts w:hint="eastAsia"/>
                <w:b w:val="0"/>
                <w:bCs w:val="0"/>
                <w:color w:val="000000" w:themeColor="text1"/>
                <w:sz w:val="24"/>
                <w:szCs w:val="24"/>
                <w:highlight w:val="none"/>
                <w14:textFill>
                  <w14:solidFill>
                    <w14:schemeClr w14:val="tx1"/>
                  </w14:solidFill>
                </w14:textFill>
              </w:rPr>
              <w:t>、政府采购严重违法失信行为记录名单（须提供网络截图加盖公章）。</w:t>
            </w:r>
          </w:p>
          <w:p w14:paraId="3D4152CF">
            <w:pPr>
              <w:pStyle w:val="80"/>
              <w:keepNext w:val="0"/>
              <w:keepLines w:val="0"/>
              <w:pageBreakBefore w:val="0"/>
              <w:widowControl w:val="0"/>
              <w:kinsoku/>
              <w:wordWrap/>
              <w:overflowPunct/>
              <w:topLinePunct w:val="0"/>
              <w:bidi w:val="0"/>
              <w:snapToGrid/>
              <w:spacing w:after="0" w:line="360" w:lineRule="exact"/>
              <w:ind w:right="0" w:rightChars="0"/>
              <w:jc w:val="both"/>
              <w:textAlignment w:val="auto"/>
              <w:rPr>
                <w:rFonts w:hint="eastAsia"/>
                <w:color w:val="000000" w:themeColor="text1"/>
                <w:sz w:val="24"/>
                <w:szCs w:val="24"/>
                <w:highlight w:val="none"/>
                <w14:textFill>
                  <w14:solidFill>
                    <w14:schemeClr w14:val="tx1"/>
                  </w14:solidFill>
                </w14:textFill>
              </w:rPr>
            </w:pPr>
            <w:r>
              <w:rPr>
                <w:rFonts w:hint="eastAsia" w:ascii="宋体" w:hAnsi="宋体" w:cs="Arial"/>
                <w:color w:val="333333"/>
                <w:sz w:val="24"/>
                <w:szCs w:val="24"/>
                <w:highlight w:val="none"/>
                <w:shd w:val="clear" w:color="auto" w:fill="FFFFFF"/>
                <w:lang w:val="en-US"/>
              </w:rPr>
              <w:t>具有履行合同所必需的设备和专业技术能力</w:t>
            </w:r>
            <w:r>
              <w:rPr>
                <w:rFonts w:hint="eastAsia"/>
                <w:color w:val="000000" w:themeColor="text1"/>
                <w:sz w:val="24"/>
                <w:szCs w:val="24"/>
                <w:highlight w:val="none"/>
                <w14:textFill>
                  <w14:solidFill>
                    <w14:schemeClr w14:val="tx1"/>
                  </w14:solidFill>
                </w14:textFill>
              </w:rPr>
              <w:t>：</w:t>
            </w:r>
          </w:p>
          <w:p w14:paraId="6B7B7A5F">
            <w:pPr>
              <w:pStyle w:val="80"/>
              <w:keepNext w:val="0"/>
              <w:keepLines w:val="0"/>
              <w:pageBreakBefore w:val="0"/>
              <w:widowControl w:val="0"/>
              <w:kinsoku/>
              <w:wordWrap/>
              <w:overflowPunct/>
              <w:topLinePunct w:val="0"/>
              <w:bidi w:val="0"/>
              <w:snapToGrid/>
              <w:spacing w:after="0" w:line="360" w:lineRule="exact"/>
              <w:ind w:right="0" w:rightChars="0"/>
              <w:jc w:val="both"/>
              <w:textAlignment w:val="auto"/>
              <w:rPr>
                <w:rFonts w:hint="eastAsia"/>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14:textFill>
                  <w14:solidFill>
                    <w14:schemeClr w14:val="tx1"/>
                  </w14:solidFill>
                </w14:textFill>
              </w:rPr>
              <w:t>供应商须具有保证项目顺利实施完成的人员和专业技术能力条件及具备电脑、打印机、货架、符合条件的运输车辆、并定期递交委托第三方进行产品检验报告（如供应商为代理商的由制造商出具的产品检验报告），需相应的各类食品储存、专用留样冰箱等设备，并要求从业人员须具有有效期内的健康证</w:t>
            </w:r>
            <w:r>
              <w:rPr>
                <w:rFonts w:hint="eastAsia" w:cs="宋体"/>
                <w:b w:val="0"/>
                <w:bCs w:val="0"/>
                <w:color w:val="000000" w:themeColor="text1"/>
                <w:sz w:val="24"/>
                <w:szCs w:val="24"/>
                <w:highlight w:val="none"/>
                <w:lang w:val="en-US" w:eastAsia="zh-CN"/>
                <w14:textFill>
                  <w14:solidFill>
                    <w14:schemeClr w14:val="tx1"/>
                  </w14:solidFill>
                </w14:textFill>
              </w:rPr>
              <w:t>，如有项目负责人须提供投标截止日期前六个月内的社保缴纳证明</w:t>
            </w:r>
            <w:r>
              <w:rPr>
                <w:rFonts w:hint="eastAsia"/>
                <w:b w:val="0"/>
                <w:bCs w:val="0"/>
                <w:color w:val="000000" w:themeColor="text1"/>
                <w:sz w:val="24"/>
                <w:szCs w:val="24"/>
                <w:highlight w:val="none"/>
                <w:lang w:eastAsia="zh-CN"/>
                <w14:textFill>
                  <w14:solidFill>
                    <w14:schemeClr w14:val="tx1"/>
                  </w14:solidFill>
                </w14:textFill>
              </w:rPr>
              <w:t>。</w:t>
            </w:r>
          </w:p>
          <w:p w14:paraId="0855EE5B">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exact"/>
              <w:ind w:right="0" w:rightChars="0"/>
              <w:jc w:val="both"/>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其他要求：</w:t>
            </w:r>
          </w:p>
          <w:p w14:paraId="504618A9">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exact"/>
              <w:ind w:right="0" w:rightChars="0"/>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（1）本项目中标人不允许转包、拆包；</w:t>
            </w:r>
          </w:p>
          <w:p w14:paraId="45AA0D5F">
            <w:pPr>
              <w:pStyle w:val="80"/>
              <w:keepNext w:val="0"/>
              <w:keepLines w:val="0"/>
              <w:pageBreakBefore w:val="0"/>
              <w:widowControl w:val="0"/>
              <w:kinsoku/>
              <w:wordWrap/>
              <w:overflowPunct/>
              <w:topLinePunct w:val="0"/>
              <w:bidi w:val="0"/>
              <w:snapToGrid/>
              <w:spacing w:after="0" w:line="360" w:lineRule="exact"/>
              <w:ind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（2）企业名称不同但法定代表人为同一个自然人的两个或者两个以上的</w:t>
            </w:r>
            <w:r>
              <w:rPr>
                <w:rFonts w:hint="eastAsia" w:cs="宋体"/>
                <w:b w:val="0"/>
                <w:bCs w:val="0"/>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不得参加同一采购项目的投标；单位负责人为同一人或者存在控股、管理关系的不同单位，不得参加同一标段投标或者未划分标段的同一招标项目投标。如果出现上述情况，相关</w:t>
            </w:r>
            <w:r>
              <w:rPr>
                <w:rFonts w:hint="eastAsia" w:cs="宋体"/>
                <w:b w:val="0"/>
                <w:bCs w:val="0"/>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的投标均将被拒绝；</w:t>
            </w:r>
          </w:p>
          <w:p w14:paraId="769B3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w:t>
            </w:r>
            <w:r>
              <w:rPr>
                <w:rFonts w:hint="eastAsia" w:ascii="宋体" w:hAnsi="宋体"/>
                <w:b w:val="0"/>
                <w:bCs w:val="0"/>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p>
          <w:p w14:paraId="79A3C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lang w:val="en-US" w:eastAsia="zh-CN"/>
              </w:rPr>
              <w:t>须遵守</w:t>
            </w:r>
            <w:r>
              <w:rPr>
                <w:rFonts w:hint="eastAsia" w:ascii="宋体" w:hAnsi="宋体" w:cs="宋体"/>
                <w:b w:val="0"/>
                <w:bCs w:val="0"/>
                <w:sz w:val="24"/>
                <w:szCs w:val="24"/>
                <w:highlight w:val="none"/>
                <w:lang w:eastAsia="zh-CN"/>
              </w:rPr>
              <w:t>《中华人民共和国食品安全法》《中华人民共和国动物防疫法》《中华人民共和国食品卫生法》</w:t>
            </w:r>
            <w:r>
              <w:rPr>
                <w:rFonts w:hint="eastAsia" w:ascii="宋体" w:hAnsi="宋体" w:eastAsia="宋体" w:cs="宋体"/>
                <w:b w:val="0"/>
                <w:bCs w:val="0"/>
                <w:sz w:val="24"/>
                <w:szCs w:val="24"/>
                <w:highlight w:val="none"/>
                <w:lang w:eastAsia="zh-CN"/>
              </w:rPr>
              <w:t>（合同履行过程中</w:t>
            </w:r>
            <w:r>
              <w:rPr>
                <w:rFonts w:hint="eastAsia" w:ascii="宋体" w:hAnsi="宋体" w:eastAsia="宋体" w:cs="宋体"/>
                <w:b w:val="0"/>
                <w:bCs w:val="0"/>
                <w:sz w:val="24"/>
                <w:szCs w:val="24"/>
                <w:highlight w:val="none"/>
              </w:rPr>
              <w:t>国家、省市如有新规定，执行国家、省市规定</w:t>
            </w:r>
            <w:r>
              <w:rPr>
                <w:rFonts w:hint="eastAsia" w:ascii="宋体" w:hAnsi="宋体" w:eastAsia="宋体" w:cs="宋体"/>
                <w:b w:val="0"/>
                <w:bCs w:val="0"/>
                <w:sz w:val="24"/>
                <w:szCs w:val="24"/>
                <w:highlight w:val="none"/>
                <w:lang w:eastAsia="zh-CN"/>
              </w:rPr>
              <w:t>）；</w:t>
            </w:r>
          </w:p>
          <w:p w14:paraId="18A89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themeColor="text1"/>
                <w:spacing w:val="-7"/>
                <w:sz w:val="24"/>
                <w:szCs w:val="24"/>
                <w:highlight w:val="none"/>
                <w:lang w:eastAsia="zh-CN"/>
                <w14:textFill>
                  <w14:solidFill>
                    <w14:schemeClr w14:val="tx1"/>
                  </w14:solidFill>
                </w14:textFill>
              </w:rPr>
              <w:t>供应商须具有保证项目顺利实施完成的人员和专业技术能力条件及具备电脑、打印机、货架、符合条件的运输车辆、并定期递交委托第三方进行产品检验报告（如供应商为代理商的由制造商出具的产品检验报告），需相应的各类食品储存、专用留样冰箱等设备；</w:t>
            </w:r>
          </w:p>
          <w:p w14:paraId="3C593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zh-CN" w:eastAsia="zh-CN"/>
              </w:rPr>
              <w:t>）必须具有固定的</w:t>
            </w:r>
            <w:r>
              <w:rPr>
                <w:rFonts w:hint="eastAsia" w:ascii="宋体" w:hAnsi="宋体" w:cs="宋体"/>
                <w:sz w:val="24"/>
                <w:szCs w:val="24"/>
                <w:highlight w:val="none"/>
                <w:lang w:val="zh-CN" w:eastAsia="zh-CN"/>
              </w:rPr>
              <w:t>经营场所，有办公室</w:t>
            </w:r>
            <w:r>
              <w:rPr>
                <w:rFonts w:hint="eastAsia" w:ascii="宋体" w:hAnsi="宋体" w:eastAsia="宋体" w:cs="宋体"/>
                <w:sz w:val="24"/>
                <w:szCs w:val="24"/>
                <w:highlight w:val="none"/>
                <w:lang w:val="zh-CN" w:eastAsia="zh-CN"/>
              </w:rPr>
              <w:t>、储存仓库等，经营场所、仓库距离坑池、暴露垃圾场(站)、旱厕等染源25米以上，不得设置在粉尘、有害气体、放射性物质和其他扩散性污染源的影响范围之内，食品安全状况和现场评价符合行业主管部门要求</w:t>
            </w:r>
            <w:r>
              <w:rPr>
                <w:rFonts w:hint="eastAsia" w:ascii="宋体" w:hAnsi="宋体" w:cs="宋体"/>
                <w:sz w:val="24"/>
                <w:szCs w:val="24"/>
                <w:highlight w:val="none"/>
                <w:lang w:val="zh-CN" w:eastAsia="zh-CN"/>
              </w:rPr>
              <w:t>。</w:t>
            </w:r>
          </w:p>
        </w:tc>
      </w:tr>
      <w:tr w14:paraId="0202848A">
        <w:tblPrEx>
          <w:tblCellMar>
            <w:top w:w="0" w:type="dxa"/>
            <w:left w:w="10" w:type="dxa"/>
            <w:bottom w:w="0" w:type="dxa"/>
            <w:right w:w="10" w:type="dxa"/>
          </w:tblCellMar>
        </w:tblPrEx>
        <w:trPr>
          <w:trHeight w:val="83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B248F83">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1.4.</w:t>
            </w:r>
            <w:r>
              <w:rPr>
                <w:b w:val="0"/>
                <w:bCs w:val="0"/>
                <w:color w:val="000000" w:themeColor="text1"/>
                <w:sz w:val="24"/>
                <w:szCs w:val="24"/>
                <w:highlight w:val="none"/>
                <w:lang w:val="zh-CN" w:eastAsia="zh-CN" w:bidi="zh-CN"/>
                <w14:textFill>
                  <w14:solidFill>
                    <w14:schemeClr w14:val="tx1"/>
                  </w14:solidFill>
                </w14:textFill>
              </w:rPr>
              <w:t>2</w:t>
            </w:r>
          </w:p>
        </w:tc>
        <w:tc>
          <w:tcPr>
            <w:tcW w:w="2208" w:type="dxa"/>
            <w:tcBorders>
              <w:top w:val="single" w:color="auto" w:sz="4" w:space="0"/>
              <w:left w:val="single" w:color="auto" w:sz="4" w:space="0"/>
              <w:bottom w:val="single" w:color="auto" w:sz="4" w:space="0"/>
            </w:tcBorders>
            <w:shd w:val="clear" w:color="auto" w:fill="FFFFFF"/>
            <w:vAlign w:val="center"/>
          </w:tcPr>
          <w:p w14:paraId="7EB59EB5">
            <w:pPr>
              <w:pStyle w:val="80"/>
              <w:spacing w:after="0" w:line="240" w:lineRule="auto"/>
              <w:jc w:val="center"/>
              <w:rPr>
                <w:rFonts w:hint="eastAsia"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是否接受联合体磋商</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6B06845C">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不接受</w:t>
            </w:r>
          </w:p>
          <w:p w14:paraId="154D4B24">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val="0"/>
                <w:color w:val="000000" w:themeColor="text1"/>
                <w:kern w:val="2"/>
                <w:sz w:val="24"/>
                <w:szCs w:val="24"/>
                <w:highlight w:val="none"/>
                <w:lang w:val="zh-CN"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接受，应满足下列要求：</w:t>
            </w:r>
          </w:p>
        </w:tc>
      </w:tr>
      <w:tr w14:paraId="23743CFB">
        <w:tblPrEx>
          <w:tblCellMar>
            <w:top w:w="0" w:type="dxa"/>
            <w:left w:w="10" w:type="dxa"/>
            <w:bottom w:w="0" w:type="dxa"/>
            <w:right w:w="10" w:type="dxa"/>
          </w:tblCellMar>
        </w:tblPrEx>
        <w:trPr>
          <w:trHeight w:val="1154"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68452A80">
            <w:pPr>
              <w:pStyle w:val="80"/>
              <w:spacing w:after="0" w:line="240" w:lineRule="auto"/>
              <w:jc w:val="center"/>
              <w:rPr>
                <w:rFonts w:hint="eastAsia"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w:t>
            </w:r>
            <w:r>
              <w:rPr>
                <w:rFonts w:hint="eastAsia"/>
                <w:b w:val="0"/>
                <w:bCs w:val="0"/>
                <w:color w:val="000000" w:themeColor="text1"/>
                <w:sz w:val="24"/>
                <w:szCs w:val="24"/>
                <w:highlight w:val="none"/>
                <w:lang w:val="en-US" w:eastAsia="zh-CN" w:bidi="en-US"/>
                <w14:textFill>
                  <w14:solidFill>
                    <w14:schemeClr w14:val="tx1"/>
                  </w14:solidFill>
                </w14:textFill>
              </w:rPr>
              <w:t>.</w:t>
            </w:r>
            <w:r>
              <w:rPr>
                <w:b w:val="0"/>
                <w:bCs w:val="0"/>
                <w:color w:val="000000" w:themeColor="text1"/>
                <w:sz w:val="24"/>
                <w:szCs w:val="24"/>
                <w:highlight w:val="none"/>
                <w:lang w:val="en-US" w:eastAsia="en-US" w:bidi="en-US"/>
                <w14:textFill>
                  <w14:solidFill>
                    <w14:schemeClr w14:val="tx1"/>
                  </w14:solidFill>
                </w14:textFill>
              </w:rPr>
              <w:t>9.</w:t>
            </w:r>
            <w:r>
              <w:rPr>
                <w:b w:val="0"/>
                <w:bCs w:val="0"/>
                <w:color w:val="000000" w:themeColor="text1"/>
                <w:sz w:val="24"/>
                <w:szCs w:val="24"/>
                <w:highlight w:val="none"/>
                <w:lang w:val="zh-CN" w:eastAsia="zh-CN" w:bidi="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59DDDA75">
            <w:pPr>
              <w:pStyle w:val="80"/>
              <w:spacing w:after="0" w:line="240" w:lineRule="auto"/>
              <w:jc w:val="center"/>
              <w:rPr>
                <w:rFonts w:hint="eastAsia"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踏勘现场</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75F304A">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不组织</w:t>
            </w:r>
          </w:p>
          <w:p w14:paraId="79F647A8">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组织，踏勘时间：</w:t>
            </w:r>
          </w:p>
          <w:p w14:paraId="73C10868">
            <w:pPr>
              <w:pStyle w:val="80"/>
              <w:keepNext w:val="0"/>
              <w:keepLines w:val="0"/>
              <w:pageBreakBefore w:val="0"/>
              <w:widowControl w:val="0"/>
              <w:kinsoku/>
              <w:wordWrap/>
              <w:overflowPunct/>
              <w:topLinePunct w:val="0"/>
              <w:autoSpaceDE/>
              <w:autoSpaceDN/>
              <w:bidi w:val="0"/>
              <w:adjustRightInd/>
              <w:snapToGrid/>
              <w:spacing w:after="0" w:line="360" w:lineRule="exact"/>
              <w:ind w:firstLine="960" w:firstLineChars="400"/>
              <w:jc w:val="both"/>
              <w:textAlignment w:val="auto"/>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踏勘集中地点：</w:t>
            </w:r>
          </w:p>
        </w:tc>
      </w:tr>
      <w:tr w14:paraId="1CA09BF2">
        <w:tblPrEx>
          <w:tblCellMar>
            <w:top w:w="0" w:type="dxa"/>
            <w:left w:w="10" w:type="dxa"/>
            <w:bottom w:w="0" w:type="dxa"/>
            <w:right w:w="10" w:type="dxa"/>
          </w:tblCellMar>
        </w:tblPrEx>
        <w:trPr>
          <w:trHeight w:val="904"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76C5B47E">
            <w:pPr>
              <w:pStyle w:val="80"/>
              <w:spacing w:after="0" w:line="240" w:lineRule="auto"/>
              <w:jc w:val="center"/>
              <w:rPr>
                <w:rFonts w:hint="eastAsia"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1.10</w:t>
            </w:r>
            <w:r>
              <w:rPr>
                <w:rFonts w:hint="eastAsia"/>
                <w:b w:val="0"/>
                <w:bCs w:val="0"/>
                <w:color w:val="000000" w:themeColor="text1"/>
                <w:sz w:val="24"/>
                <w:szCs w:val="24"/>
                <w:highlight w:val="none"/>
                <w:lang w:val="en-US" w:eastAsia="zh-CN" w:bidi="en-US"/>
                <w14:textFill>
                  <w14:solidFill>
                    <w14:schemeClr w14:val="tx1"/>
                  </w14:solidFill>
                </w14:textFill>
              </w:rPr>
              <w:t>.</w:t>
            </w:r>
            <w:r>
              <w:rPr>
                <w:b w:val="0"/>
                <w:bCs w:val="0"/>
                <w:color w:val="000000" w:themeColor="text1"/>
                <w:sz w:val="24"/>
                <w:szCs w:val="24"/>
                <w:highlight w:val="none"/>
                <w:lang w:val="en-US" w:eastAsia="en-US" w:bidi="en-US"/>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09D6E2DF">
            <w:pPr>
              <w:pStyle w:val="80"/>
              <w:spacing w:after="0" w:line="240" w:lineRule="auto"/>
              <w:jc w:val="center"/>
              <w:rPr>
                <w:rFonts w:hint="eastAsia"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磋商答疑会</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56DA30EF">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召开</w:t>
            </w:r>
          </w:p>
          <w:p w14:paraId="52E1026E">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不召开</w:t>
            </w:r>
          </w:p>
        </w:tc>
      </w:tr>
      <w:tr w14:paraId="42177C2E">
        <w:tblPrEx>
          <w:tblCellMar>
            <w:top w:w="0" w:type="dxa"/>
            <w:left w:w="10" w:type="dxa"/>
            <w:bottom w:w="0" w:type="dxa"/>
            <w:right w:w="10" w:type="dxa"/>
          </w:tblCellMar>
        </w:tblPrEx>
        <w:trPr>
          <w:trHeight w:val="153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5275ED20">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1.11</w:t>
            </w:r>
          </w:p>
        </w:tc>
        <w:tc>
          <w:tcPr>
            <w:tcW w:w="2208" w:type="dxa"/>
            <w:tcBorders>
              <w:top w:val="single" w:color="auto" w:sz="4" w:space="0"/>
              <w:left w:val="single" w:color="auto" w:sz="4" w:space="0"/>
              <w:bottom w:val="single" w:color="auto" w:sz="4" w:space="0"/>
            </w:tcBorders>
            <w:shd w:val="clear" w:color="auto" w:fill="FFFFFF"/>
            <w:vAlign w:val="center"/>
          </w:tcPr>
          <w:p w14:paraId="7EC9ABD7">
            <w:pPr>
              <w:pStyle w:val="80"/>
              <w:spacing w:after="0" w:line="240" w:lineRule="auto"/>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分包</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3B6CA772">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110E5BFB">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允许，分包内容要求：</w:t>
            </w:r>
          </w:p>
          <w:p w14:paraId="6DE1964E">
            <w:pPr>
              <w:pStyle w:val="80"/>
              <w:keepNext w:val="0"/>
              <w:keepLines w:val="0"/>
              <w:pageBreakBefore w:val="0"/>
              <w:widowControl w:val="0"/>
              <w:kinsoku/>
              <w:wordWrap/>
              <w:overflowPunct/>
              <w:topLinePunct w:val="0"/>
              <w:autoSpaceDE/>
              <w:autoSpaceDN/>
              <w:bidi w:val="0"/>
              <w:adjustRightInd/>
              <w:snapToGrid/>
              <w:spacing w:after="0" w:line="360" w:lineRule="exact"/>
              <w:ind w:firstLine="940"/>
              <w:jc w:val="both"/>
              <w:textAlignment w:val="auto"/>
              <w:rPr>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分包金额要求：</w:t>
            </w:r>
          </w:p>
          <w:p w14:paraId="1F316FB6">
            <w:pPr>
              <w:pStyle w:val="80"/>
              <w:keepNext w:val="0"/>
              <w:keepLines w:val="0"/>
              <w:pageBreakBefore w:val="0"/>
              <w:widowControl w:val="0"/>
              <w:kinsoku/>
              <w:wordWrap/>
              <w:overflowPunct/>
              <w:topLinePunct w:val="0"/>
              <w:autoSpaceDE/>
              <w:autoSpaceDN/>
              <w:bidi w:val="0"/>
              <w:adjustRightInd/>
              <w:snapToGrid/>
              <w:spacing w:after="0" w:line="360" w:lineRule="exact"/>
              <w:ind w:firstLine="940" w:firstLineChars="0"/>
              <w:jc w:val="both"/>
              <w:textAlignment w:val="auto"/>
              <w:rPr>
                <w:rFonts w:hint="eastAsia" w:ascii="宋体" w:hAnsi="宋体" w:eastAsia="宋体" w:cs="宋体"/>
                <w:b/>
                <w:bCs/>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接受分包的第三人资质要求：</w:t>
            </w:r>
          </w:p>
        </w:tc>
      </w:tr>
      <w:tr w14:paraId="276E773D">
        <w:tblPrEx>
          <w:tblCellMar>
            <w:top w:w="0" w:type="dxa"/>
            <w:left w:w="10" w:type="dxa"/>
            <w:bottom w:w="0" w:type="dxa"/>
            <w:right w:w="10" w:type="dxa"/>
          </w:tblCellMar>
        </w:tblPrEx>
        <w:trPr>
          <w:trHeight w:val="83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0F3C3DF">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1.12</w:t>
            </w:r>
          </w:p>
        </w:tc>
        <w:tc>
          <w:tcPr>
            <w:tcW w:w="2208" w:type="dxa"/>
            <w:tcBorders>
              <w:top w:val="single" w:color="auto" w:sz="4" w:space="0"/>
              <w:left w:val="single" w:color="auto" w:sz="4" w:space="0"/>
              <w:bottom w:val="single" w:color="auto" w:sz="4" w:space="0"/>
            </w:tcBorders>
            <w:shd w:val="clear" w:color="auto" w:fill="FFFFFF"/>
            <w:vAlign w:val="center"/>
          </w:tcPr>
          <w:p w14:paraId="4C182CFF">
            <w:pPr>
              <w:pStyle w:val="80"/>
              <w:spacing w:after="0" w:line="240" w:lineRule="auto"/>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偏离</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F295A12">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20761B4E">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zh-TW"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w:t>
            </w:r>
          </w:p>
        </w:tc>
      </w:tr>
      <w:tr w14:paraId="240B57B3">
        <w:tblPrEx>
          <w:tblCellMar>
            <w:top w:w="0" w:type="dxa"/>
            <w:left w:w="10" w:type="dxa"/>
            <w:bottom w:w="0" w:type="dxa"/>
            <w:right w:w="10" w:type="dxa"/>
          </w:tblCellMar>
        </w:tblPrEx>
        <w:trPr>
          <w:trHeight w:val="71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369D962F">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2.1</w:t>
            </w:r>
          </w:p>
        </w:tc>
        <w:tc>
          <w:tcPr>
            <w:tcW w:w="2208" w:type="dxa"/>
            <w:tcBorders>
              <w:top w:val="single" w:color="auto" w:sz="4" w:space="0"/>
              <w:left w:val="single" w:color="auto" w:sz="4" w:space="0"/>
              <w:bottom w:val="single" w:color="auto" w:sz="4" w:space="0"/>
            </w:tcBorders>
            <w:shd w:val="clear" w:color="auto" w:fill="FFFFFF"/>
            <w:vAlign w:val="center"/>
          </w:tcPr>
          <w:p w14:paraId="75C078B8">
            <w:pPr>
              <w:pStyle w:val="80"/>
              <w:spacing w:after="0" w:line="274" w:lineRule="exact"/>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构成竞争性磋商文件的其他材料</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8C15018">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w:t>
            </w:r>
          </w:p>
        </w:tc>
      </w:tr>
      <w:tr w14:paraId="50B39995">
        <w:tblPrEx>
          <w:tblCellMar>
            <w:top w:w="0" w:type="dxa"/>
            <w:left w:w="10" w:type="dxa"/>
            <w:bottom w:w="0" w:type="dxa"/>
            <w:right w:w="10" w:type="dxa"/>
          </w:tblCellMar>
        </w:tblPrEx>
        <w:trPr>
          <w:trHeight w:val="123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7E04DC87">
            <w:pPr>
              <w:pStyle w:val="80"/>
              <w:spacing w:after="0" w:line="240" w:lineRule="auto"/>
              <w:jc w:val="center"/>
              <w:rPr>
                <w:rFonts w:hint="default"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zh-CN" w:bidi="zh-CN"/>
                <w14:textFill>
                  <w14:solidFill>
                    <w14:schemeClr w14:val="tx1"/>
                  </w14:solidFill>
                </w14:textFill>
              </w:rPr>
              <w:t>2.2.1</w:t>
            </w:r>
          </w:p>
        </w:tc>
        <w:tc>
          <w:tcPr>
            <w:tcW w:w="2208" w:type="dxa"/>
            <w:tcBorders>
              <w:top w:val="single" w:color="auto" w:sz="4" w:space="0"/>
              <w:left w:val="single" w:color="auto" w:sz="4" w:space="0"/>
              <w:bottom w:val="single" w:color="auto" w:sz="4" w:space="0"/>
            </w:tcBorders>
            <w:shd w:val="clear" w:color="auto" w:fill="FFFFFF"/>
            <w:vAlign w:val="center"/>
          </w:tcPr>
          <w:p w14:paraId="29C2486F">
            <w:pPr>
              <w:pStyle w:val="80"/>
              <w:spacing w:after="0" w:line="274"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rFonts w:hint="eastAsia"/>
                <w:b w:val="0"/>
                <w:bCs w:val="0"/>
                <w:sz w:val="24"/>
                <w:szCs w:val="24"/>
                <w:highlight w:val="none"/>
                <w:lang w:eastAsia="zh-CN"/>
              </w:rPr>
              <w:t>供应商</w:t>
            </w:r>
            <w:r>
              <w:rPr>
                <w:rFonts w:hint="eastAsia"/>
                <w:b w:val="0"/>
                <w:bCs w:val="0"/>
                <w:sz w:val="24"/>
                <w:szCs w:val="24"/>
                <w:highlight w:val="none"/>
              </w:rPr>
              <w:t>要求澄清竞争性磋商文件的截止时间</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4BC3BF60">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递交首次响应文件截止时间5日前；</w:t>
            </w:r>
          </w:p>
          <w:p w14:paraId="48863BC8">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形式：网上提交，在“政采云”平台（网址http：//www.zcygov.cn) 上发布。</w:t>
            </w:r>
          </w:p>
        </w:tc>
      </w:tr>
      <w:tr w14:paraId="5892F48A">
        <w:tblPrEx>
          <w:tblCellMar>
            <w:top w:w="0" w:type="dxa"/>
            <w:left w:w="10" w:type="dxa"/>
            <w:bottom w:w="0" w:type="dxa"/>
            <w:right w:w="10" w:type="dxa"/>
          </w:tblCellMar>
        </w:tblPrEx>
        <w:trPr>
          <w:trHeight w:val="802"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4ADFD94">
            <w:pPr>
              <w:pStyle w:val="80"/>
              <w:spacing w:after="0" w:line="240" w:lineRule="auto"/>
              <w:jc w:val="center"/>
              <w:rPr>
                <w:rFonts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2.2.</w:t>
            </w:r>
            <w:r>
              <w:rPr>
                <w:b w:val="0"/>
                <w:bCs w:val="0"/>
                <w:color w:val="000000" w:themeColor="text1"/>
                <w:sz w:val="24"/>
                <w:szCs w:val="24"/>
                <w:highlight w:val="none"/>
                <w:lang w:val="zh-CN" w:eastAsia="zh-CN" w:bidi="zh-CN"/>
                <w14:textFill>
                  <w14:solidFill>
                    <w14:schemeClr w14:val="tx1"/>
                  </w14:solidFill>
                </w14:textFill>
              </w:rPr>
              <w:t>2</w:t>
            </w:r>
          </w:p>
        </w:tc>
        <w:tc>
          <w:tcPr>
            <w:tcW w:w="2208" w:type="dxa"/>
            <w:tcBorders>
              <w:top w:val="single" w:color="auto" w:sz="4" w:space="0"/>
              <w:left w:val="single" w:color="auto" w:sz="4" w:space="0"/>
              <w:bottom w:val="single" w:color="auto" w:sz="4" w:space="0"/>
            </w:tcBorders>
            <w:shd w:val="clear" w:color="auto" w:fill="FFFFFF"/>
            <w:vAlign w:val="center"/>
          </w:tcPr>
          <w:p w14:paraId="4D2533F9">
            <w:pPr>
              <w:pStyle w:val="80"/>
              <w:spacing w:after="0" w:line="274"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供应商递交澄清竞争性磋商文件的形式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57D5837A">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pacing w:val="0"/>
                <w:w w:val="100"/>
                <w:position w:val="0"/>
                <w:sz w:val="24"/>
                <w:szCs w:val="24"/>
                <w:highlight w:val="none"/>
                <w:lang w:eastAsia="zh-CN"/>
                <w14:textFill>
                  <w14:solidFill>
                    <w14:schemeClr w14:val="tx1"/>
                  </w14:solidFill>
                </w14:textFill>
              </w:rPr>
              <w:t>电子文档。</w:t>
            </w:r>
          </w:p>
        </w:tc>
      </w:tr>
      <w:tr w14:paraId="7C3FA622">
        <w:tblPrEx>
          <w:tblCellMar>
            <w:top w:w="0" w:type="dxa"/>
            <w:left w:w="10" w:type="dxa"/>
            <w:bottom w:w="0" w:type="dxa"/>
            <w:right w:w="10" w:type="dxa"/>
          </w:tblCellMar>
        </w:tblPrEx>
        <w:trPr>
          <w:trHeight w:val="69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8934AA9">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2.3.</w:t>
            </w:r>
            <w:r>
              <w:rPr>
                <w:b w:val="0"/>
                <w:bCs w:val="0"/>
                <w:color w:val="000000" w:themeColor="text1"/>
                <w:sz w:val="24"/>
                <w:szCs w:val="24"/>
                <w:highlight w:val="none"/>
                <w:lang w:val="zh-CN" w:eastAsia="zh-CN" w:bidi="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17389DB8">
            <w:pPr>
              <w:pStyle w:val="80"/>
              <w:spacing w:after="0" w:line="269"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竞争性磋商文件</w:t>
            </w:r>
            <w:r>
              <w:rPr>
                <w:rFonts w:hint="eastAsia"/>
                <w:b w:val="0"/>
                <w:bCs w:val="0"/>
                <w:color w:val="000000" w:themeColor="text1"/>
                <w:sz w:val="24"/>
                <w:szCs w:val="24"/>
                <w:highlight w:val="none"/>
                <w:lang w:val="en-US" w:eastAsia="zh-CN"/>
                <w14:textFill>
                  <w14:solidFill>
                    <w14:schemeClr w14:val="tx1"/>
                  </w14:solidFill>
                </w14:textFill>
              </w:rPr>
              <w:t>澄清与</w:t>
            </w:r>
            <w:r>
              <w:rPr>
                <w:b w:val="0"/>
                <w:bCs w:val="0"/>
                <w:color w:val="000000" w:themeColor="text1"/>
                <w:sz w:val="24"/>
                <w:szCs w:val="24"/>
                <w:highlight w:val="none"/>
                <w14:textFill>
                  <w14:solidFill>
                    <w14:schemeClr w14:val="tx1"/>
                  </w14:solidFill>
                </w14:textFill>
              </w:rPr>
              <w:t>修改的截止时间</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67BC324B">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递交首次响应文件截止时间5</w:t>
            </w:r>
            <w:r>
              <w:rPr>
                <w:rFonts w:hint="eastAsia"/>
                <w:b w:val="0"/>
                <w:bCs w:val="0"/>
                <w:color w:val="000000" w:themeColor="text1"/>
                <w:sz w:val="24"/>
                <w:szCs w:val="24"/>
                <w:highlight w:val="none"/>
                <w:lang w:val="en-US" w:eastAsia="zh-CN"/>
                <w14:textFill>
                  <w14:solidFill>
                    <w14:schemeClr w14:val="tx1"/>
                  </w14:solidFill>
                </w14:textFill>
              </w:rPr>
              <w:t>日</w:t>
            </w:r>
            <w:r>
              <w:rPr>
                <w:b w:val="0"/>
                <w:bCs w:val="0"/>
                <w:color w:val="000000" w:themeColor="text1"/>
                <w:sz w:val="24"/>
                <w:szCs w:val="24"/>
                <w:highlight w:val="none"/>
                <w14:textFill>
                  <w14:solidFill>
                    <w14:schemeClr w14:val="tx1"/>
                  </w14:solidFill>
                </w14:textFill>
              </w:rPr>
              <w:t>前</w:t>
            </w:r>
            <w:r>
              <w:rPr>
                <w:rFonts w:hint="eastAsia"/>
                <w:b w:val="0"/>
                <w:bCs w:val="0"/>
                <w:color w:val="000000" w:themeColor="text1"/>
                <w:sz w:val="24"/>
                <w:szCs w:val="24"/>
                <w:highlight w:val="none"/>
                <w:lang w:eastAsia="zh-CN"/>
                <w14:textFill>
                  <w14:solidFill>
                    <w14:schemeClr w14:val="tx1"/>
                  </w14:solidFill>
                </w14:textFill>
              </w:rPr>
              <w:t>。</w:t>
            </w:r>
          </w:p>
        </w:tc>
      </w:tr>
      <w:tr w14:paraId="7DAB8659">
        <w:tblPrEx>
          <w:tblCellMar>
            <w:top w:w="0" w:type="dxa"/>
            <w:left w:w="10" w:type="dxa"/>
            <w:bottom w:w="0" w:type="dxa"/>
            <w:right w:w="10" w:type="dxa"/>
          </w:tblCellMar>
        </w:tblPrEx>
        <w:trPr>
          <w:trHeight w:val="913"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07CF0E04">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2.3.2</w:t>
            </w:r>
          </w:p>
        </w:tc>
        <w:tc>
          <w:tcPr>
            <w:tcW w:w="2208" w:type="dxa"/>
            <w:tcBorders>
              <w:top w:val="single" w:color="auto" w:sz="4" w:space="0"/>
              <w:left w:val="single" w:color="auto" w:sz="4" w:space="0"/>
              <w:bottom w:val="single" w:color="auto" w:sz="4" w:space="0"/>
            </w:tcBorders>
            <w:shd w:val="clear" w:color="auto" w:fill="FFFFFF"/>
            <w:vAlign w:val="center"/>
          </w:tcPr>
          <w:p w14:paraId="5269F49F">
            <w:pPr>
              <w:pStyle w:val="80"/>
              <w:spacing w:after="0" w:line="283"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供应商确认收到竞争性磋商文件</w:t>
            </w:r>
            <w:r>
              <w:rPr>
                <w:rFonts w:hint="eastAsia"/>
                <w:b w:val="0"/>
                <w:bCs w:val="0"/>
                <w:color w:val="000000" w:themeColor="text1"/>
                <w:sz w:val="24"/>
                <w:szCs w:val="24"/>
                <w:highlight w:val="none"/>
                <w:lang w:val="en-US" w:eastAsia="zh-CN"/>
                <w14:textFill>
                  <w14:solidFill>
                    <w14:schemeClr w14:val="tx1"/>
                  </w14:solidFill>
                </w14:textFill>
              </w:rPr>
              <w:t>澄清与</w:t>
            </w:r>
            <w:r>
              <w:rPr>
                <w:b w:val="0"/>
                <w:bCs w:val="0"/>
                <w:color w:val="000000" w:themeColor="text1"/>
                <w:sz w:val="24"/>
                <w:szCs w:val="24"/>
                <w:highlight w:val="none"/>
                <w14:textFill>
                  <w14:solidFill>
                    <w14:schemeClr w14:val="tx1"/>
                  </w14:solidFill>
                </w14:textFill>
              </w:rPr>
              <w:t>修改的时间</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B2E4CE7">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收到相关文件1日内</w:t>
            </w:r>
            <w:r>
              <w:rPr>
                <w:rFonts w:hint="eastAsia"/>
                <w:b w:val="0"/>
                <w:bCs w:val="0"/>
                <w:color w:val="000000" w:themeColor="text1"/>
                <w:sz w:val="24"/>
                <w:szCs w:val="24"/>
                <w:highlight w:val="none"/>
                <w:lang w:eastAsia="zh-CN"/>
                <w14:textFill>
                  <w14:solidFill>
                    <w14:schemeClr w14:val="tx1"/>
                  </w14:solidFill>
                </w14:textFill>
              </w:rPr>
              <w:t>。</w:t>
            </w:r>
          </w:p>
        </w:tc>
      </w:tr>
      <w:tr w14:paraId="12CA87E2">
        <w:tblPrEx>
          <w:tblCellMar>
            <w:top w:w="0" w:type="dxa"/>
            <w:left w:w="10" w:type="dxa"/>
            <w:bottom w:w="0" w:type="dxa"/>
            <w:right w:w="10" w:type="dxa"/>
          </w:tblCellMar>
        </w:tblPrEx>
        <w:trPr>
          <w:trHeight w:val="146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254A106">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zh-CN"/>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3.1.1</w:t>
            </w:r>
          </w:p>
        </w:tc>
        <w:tc>
          <w:tcPr>
            <w:tcW w:w="2208" w:type="dxa"/>
            <w:tcBorders>
              <w:top w:val="single" w:color="auto" w:sz="4" w:space="0"/>
              <w:left w:val="single" w:color="auto" w:sz="4" w:space="0"/>
              <w:bottom w:val="single" w:color="auto" w:sz="4" w:space="0"/>
            </w:tcBorders>
            <w:shd w:val="clear" w:color="auto" w:fill="FFFFFF"/>
            <w:vAlign w:val="center"/>
          </w:tcPr>
          <w:p w14:paraId="571FFAAC">
            <w:pPr>
              <w:pStyle w:val="80"/>
              <w:spacing w:after="0" w:line="283"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构成响应文件的其他材料</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DA8D357">
            <w:pPr>
              <w:pStyle w:val="80"/>
              <w:keepNext w:val="0"/>
              <w:keepLines w:val="0"/>
              <w:pageBreakBefore w:val="0"/>
              <w:widowControl w:val="0"/>
              <w:tabs>
                <w:tab w:val="left" w:pos="408"/>
              </w:tabs>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rFonts w:hint="eastAsia" w:ascii="宋体" w:hAnsi="宋体" w:eastAsia="宋体" w:cs="宋体"/>
                <w:b/>
                <w:bCs/>
                <w:color w:val="auto"/>
                <w:sz w:val="24"/>
                <w:szCs w:val="24"/>
                <w:highlight w:val="none"/>
                <w:lang w:val="en-US" w:eastAsia="zh-CN"/>
              </w:rPr>
              <w:t>本项目所有证件资料以上传至“政采云”平台加盖公章的电子证件为准，评标时由评审委员会现场核验，如所提供的资料为虚假材料，投标文件将被否决。</w:t>
            </w:r>
          </w:p>
        </w:tc>
      </w:tr>
      <w:tr w14:paraId="68660420">
        <w:tblPrEx>
          <w:tblCellMar>
            <w:top w:w="0" w:type="dxa"/>
            <w:left w:w="10" w:type="dxa"/>
            <w:bottom w:w="0" w:type="dxa"/>
            <w:right w:w="10" w:type="dxa"/>
          </w:tblCellMar>
        </w:tblPrEx>
        <w:trPr>
          <w:trHeight w:val="184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65607813">
            <w:pPr>
              <w:pStyle w:val="80"/>
              <w:keepNext w:val="0"/>
              <w:keepLines w:val="0"/>
              <w:widowControl w:val="0"/>
              <w:suppressLineNumbers w:val="0"/>
              <w:shd w:val="clear" w:color="auto" w:fill="auto"/>
              <w:bidi w:val="0"/>
              <w:spacing w:before="0" w:beforeAutospacing="0" w:after="0" w:afterAutospacing="0" w:line="240" w:lineRule="auto"/>
              <w:ind w:right="0" w:rightChars="0"/>
              <w:jc w:val="center"/>
              <w:rPr>
                <w:rFonts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default" w:ascii="宋体" w:hAnsi="宋体" w:eastAsia="宋体" w:cs="宋体"/>
                <w:b w:val="0"/>
                <w:bCs w:val="0"/>
                <w:color w:val="000000" w:themeColor="text1"/>
                <w:spacing w:val="0"/>
                <w:w w:val="100"/>
                <w:position w:val="0"/>
                <w:sz w:val="24"/>
                <w:szCs w:val="24"/>
                <w:highlight w:val="none"/>
                <w:lang w:val="en-US" w:eastAsia="zh-CN" w:bidi="zh-CN"/>
                <w14:textFill>
                  <w14:solidFill>
                    <w14:schemeClr w14:val="tx1"/>
                  </w14:solidFill>
                </w14:textFill>
              </w:rPr>
              <w:t>3.2.3</w:t>
            </w:r>
          </w:p>
        </w:tc>
        <w:tc>
          <w:tcPr>
            <w:tcW w:w="2208" w:type="dxa"/>
            <w:tcBorders>
              <w:top w:val="single" w:color="auto" w:sz="4" w:space="0"/>
              <w:left w:val="single" w:color="auto" w:sz="4" w:space="0"/>
              <w:bottom w:val="single" w:color="auto" w:sz="4" w:space="0"/>
            </w:tcBorders>
            <w:shd w:val="clear" w:color="auto" w:fill="FFFFFF"/>
            <w:vAlign w:val="center"/>
          </w:tcPr>
          <w:p w14:paraId="5CCB61BE">
            <w:pPr>
              <w:keepNext w:val="0"/>
              <w:keepLines w:val="0"/>
              <w:suppressLineNumbers w:val="0"/>
              <w:bidi w:val="0"/>
              <w:spacing w:before="0" w:beforeAutospacing="0" w:after="0" w:afterAutospacing="0"/>
              <w:ind w:left="0" w:leftChars="0" w:right="0" w:rightChars="0"/>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rPr>
              <w:t>报价方式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6459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实行两轮报价法，供应商的首轮报价不得超过最高限价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第二轮磋商报价不得高于其首轮报价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第二轮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报价为最终报价</w:t>
            </w:r>
            <w:r>
              <w:rPr>
                <w:rFonts w:hint="eastAsia" w:ascii="宋体" w:hAnsi="宋体" w:cs="宋体"/>
                <w:sz w:val="24"/>
                <w:szCs w:val="24"/>
                <w:highlight w:val="none"/>
                <w:lang w:eastAsia="zh-CN"/>
              </w:rPr>
              <w:t>；</w:t>
            </w:r>
            <w:r>
              <w:rPr>
                <w:rFonts w:hint="eastAsia" w:ascii="宋体" w:hAnsi="宋体" w:cs="宋体"/>
                <w:b/>
                <w:bCs/>
                <w:color w:val="000000" w:themeColor="text1"/>
                <w:sz w:val="24"/>
                <w:szCs w:val="24"/>
                <w:highlight w:val="none"/>
                <w:lang w:val="en-US" w:eastAsia="zh-CN"/>
                <w14:textFill>
                  <w14:solidFill>
                    <w14:schemeClr w14:val="tx1"/>
                  </w14:solidFill>
                </w14:textFill>
              </w:rPr>
              <w:t>方式：</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通过“政采云”平台（http：//www.zcygov.cn）</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系统</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上传</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第二轮报价</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电子</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版文件。</w:t>
            </w:r>
          </w:p>
        </w:tc>
      </w:tr>
      <w:tr w14:paraId="4BED5C00">
        <w:tblPrEx>
          <w:tblCellMar>
            <w:top w:w="0" w:type="dxa"/>
            <w:left w:w="10" w:type="dxa"/>
            <w:bottom w:w="0" w:type="dxa"/>
            <w:right w:w="10" w:type="dxa"/>
          </w:tblCellMar>
        </w:tblPrEx>
        <w:trPr>
          <w:trHeight w:val="56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4350B58E">
            <w:pPr>
              <w:pStyle w:val="80"/>
              <w:spacing w:after="0" w:line="240" w:lineRule="auto"/>
              <w:jc w:val="center"/>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3.3.</w:t>
            </w:r>
            <w:r>
              <w:rPr>
                <w:b w:val="0"/>
                <w:bCs w:val="0"/>
                <w:color w:val="000000" w:themeColor="text1"/>
                <w:sz w:val="24"/>
                <w:szCs w:val="24"/>
                <w:highlight w:val="none"/>
                <w:lang w:val="zh-CN" w:eastAsia="zh-CN" w:bidi="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73F3AE7F">
            <w:pPr>
              <w:pStyle w:val="80"/>
              <w:spacing w:after="0" w:line="240" w:lineRule="auto"/>
              <w:jc w:val="center"/>
              <w:rPr>
                <w:rFonts w:ascii="Calibri" w:hAnsi="Calibri"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磋商有效期</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B8B1CAD">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kern w:val="2"/>
                <w:sz w:val="24"/>
                <w:szCs w:val="24"/>
                <w:highlight w:val="none"/>
                <w:lang w:val="en-US" w:eastAsia="zh-CN" w:bidi="zh-TW"/>
              </w:rPr>
            </w:pPr>
            <w:r>
              <w:rPr>
                <w:b w:val="0"/>
                <w:bCs w:val="0"/>
                <w:color w:val="000000" w:themeColor="text1"/>
                <w:sz w:val="24"/>
                <w:szCs w:val="24"/>
                <w:highlight w:val="none"/>
                <w14:textFill>
                  <w14:solidFill>
                    <w14:schemeClr w14:val="tx1"/>
                  </w14:solidFill>
                </w14:textFill>
              </w:rPr>
              <w:t>自</w:t>
            </w:r>
            <w:r>
              <w:rPr>
                <w:rFonts w:hint="eastAsia"/>
                <w:b w:val="0"/>
                <w:bCs w:val="0"/>
                <w:color w:val="000000" w:themeColor="text1"/>
                <w:sz w:val="24"/>
                <w:szCs w:val="24"/>
                <w:highlight w:val="none"/>
                <w:lang w:eastAsia="zh-CN"/>
                <w14:textFill>
                  <w14:solidFill>
                    <w14:schemeClr w14:val="tx1"/>
                  </w14:solidFill>
                </w14:textFill>
              </w:rPr>
              <w:t>投标</w:t>
            </w:r>
            <w:r>
              <w:rPr>
                <w:b w:val="0"/>
                <w:bCs w:val="0"/>
                <w:color w:val="000000" w:themeColor="text1"/>
                <w:sz w:val="24"/>
                <w:szCs w:val="24"/>
                <w:highlight w:val="none"/>
                <w14:textFill>
                  <w14:solidFill>
                    <w14:schemeClr w14:val="tx1"/>
                  </w14:solidFill>
                </w14:textFill>
              </w:rPr>
              <w:t>截止之日算起</w:t>
            </w:r>
            <w:r>
              <w:rPr>
                <w:rFonts w:hint="eastAsia"/>
                <w:b w:val="0"/>
                <w:bCs w:val="0"/>
                <w:color w:val="000000" w:themeColor="text1"/>
                <w:sz w:val="24"/>
                <w:szCs w:val="24"/>
                <w:highlight w:val="none"/>
                <w:lang w:val="en-US" w:eastAsia="zh-CN"/>
                <w14:textFill>
                  <w14:solidFill>
                    <w14:schemeClr w14:val="tx1"/>
                  </w14:solidFill>
                </w14:textFill>
              </w:rPr>
              <w:t>6</w:t>
            </w:r>
            <w:r>
              <w:rPr>
                <w:b w:val="0"/>
                <w:bCs w:val="0"/>
                <w:color w:val="000000" w:themeColor="text1"/>
                <w:sz w:val="24"/>
                <w:szCs w:val="24"/>
                <w:highlight w:val="none"/>
                <w14:textFill>
                  <w14:solidFill>
                    <w14:schemeClr w14:val="tx1"/>
                  </w14:solidFill>
                </w14:textFill>
              </w:rPr>
              <w:t>0</w:t>
            </w:r>
            <w:r>
              <w:rPr>
                <w:rFonts w:hint="eastAsia"/>
                <w:b w:val="0"/>
                <w:bCs w:val="0"/>
                <w:color w:val="000000" w:themeColor="text1"/>
                <w:sz w:val="24"/>
                <w:szCs w:val="24"/>
                <w:highlight w:val="none"/>
                <w:lang w:eastAsia="zh-CN"/>
                <w14:textFill>
                  <w14:solidFill>
                    <w14:schemeClr w14:val="tx1"/>
                  </w14:solidFill>
                </w14:textFill>
              </w:rPr>
              <w:t>日历</w:t>
            </w:r>
            <w:r>
              <w:rPr>
                <w:b w:val="0"/>
                <w:bCs w:val="0"/>
                <w:color w:val="000000" w:themeColor="text1"/>
                <w:sz w:val="24"/>
                <w:szCs w:val="24"/>
                <w:highlight w:val="none"/>
                <w14:textFill>
                  <w14:solidFill>
                    <w14:schemeClr w14:val="tx1"/>
                  </w14:solidFill>
                </w14:textFill>
              </w:rPr>
              <w:t>天</w:t>
            </w:r>
            <w:r>
              <w:rPr>
                <w:rFonts w:hint="eastAsia"/>
                <w:b w:val="0"/>
                <w:bCs w:val="0"/>
                <w:color w:val="000000" w:themeColor="text1"/>
                <w:sz w:val="24"/>
                <w:szCs w:val="24"/>
                <w:highlight w:val="none"/>
                <w:lang w:eastAsia="zh-CN"/>
                <w14:textFill>
                  <w14:solidFill>
                    <w14:schemeClr w14:val="tx1"/>
                  </w14:solidFill>
                </w14:textFill>
              </w:rPr>
              <w:t>。</w:t>
            </w:r>
          </w:p>
        </w:tc>
      </w:tr>
      <w:tr w14:paraId="1B94B7BA">
        <w:tblPrEx>
          <w:tblCellMar>
            <w:top w:w="0" w:type="dxa"/>
            <w:left w:w="10" w:type="dxa"/>
            <w:bottom w:w="0" w:type="dxa"/>
            <w:right w:w="10" w:type="dxa"/>
          </w:tblCellMar>
        </w:tblPrEx>
        <w:trPr>
          <w:trHeight w:val="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6FB6D9F2">
            <w:pPr>
              <w:jc w:val="center"/>
              <w:rPr>
                <w:rFonts w:ascii="Times New Roman" w:hAnsi="Times New Roman" w:eastAsia="宋体" w:cs="Calibri"/>
                <w:b w:val="0"/>
                <w:bCs w:val="0"/>
                <w:color w:val="000000" w:themeColor="text1"/>
                <w:kern w:val="2"/>
                <w:sz w:val="24"/>
                <w:szCs w:val="24"/>
                <w:highlight w:val="none"/>
                <w:lang w:val="zh-CN" w:eastAsia="zh-CN" w:bidi="en-US"/>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3.4.</w:t>
            </w:r>
            <w:r>
              <w:rPr>
                <w:rFonts w:hint="eastAsia" w:ascii="宋体" w:hAnsi="宋体" w:cs="宋体"/>
                <w:color w:val="000000" w:themeColor="text1"/>
                <w:sz w:val="24"/>
                <w:szCs w:val="24"/>
                <w:highlight w:val="none"/>
                <w:lang w:val="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09DC1AFC">
            <w:pPr>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ascii="Calibri" w:hAnsi="Calibri"/>
                <w:color w:val="000000" w:themeColor="text1"/>
                <w:sz w:val="24"/>
                <w:szCs w:val="24"/>
                <w:highlight w:val="none"/>
                <w14:textFill>
                  <w14:solidFill>
                    <w14:schemeClr w14:val="tx1"/>
                  </w14:solidFill>
                </w14:textFill>
              </w:rPr>
              <w:t>磋商保证金交纳形式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75AB7C2B">
            <w:pPr>
              <w:keepNext w:val="0"/>
              <w:keepLines w:val="0"/>
              <w:pageBreakBefore w:val="0"/>
              <w:widowControl w:val="0"/>
              <w:kinsoku/>
              <w:wordWrap/>
              <w:overflowPunct/>
              <w:topLinePunct w:val="0"/>
              <w:autoSpaceDE/>
              <w:autoSpaceDN/>
              <w:bidi w:val="0"/>
              <w:adjustRightInd/>
              <w:snapToGrid/>
              <w:spacing w:after="160" w:afterLines="50" w:line="360" w:lineRule="exact"/>
              <w:jc w:val="both"/>
              <w:textAlignment w:val="auto"/>
              <w:rPr>
                <w:sz w:val="4"/>
                <w:szCs w:val="4"/>
                <w:highlight w:val="none"/>
              </w:rPr>
            </w:pPr>
            <w:r>
              <w:rPr>
                <w:rFonts w:hint="eastAsia" w:ascii="宋体" w:hAnsi="宋体" w:cs="宋体"/>
                <w:color w:val="000000" w:themeColor="text1"/>
                <w:sz w:val="24"/>
                <w:szCs w:val="24"/>
                <w:highlight w:val="none"/>
                <w14:textFill>
                  <w14:solidFill>
                    <w14:schemeClr w14:val="tx1"/>
                  </w14:solidFill>
                </w14:textFill>
              </w:rPr>
              <w:t>磋商保证金的形式：转账，银行出具的</w:t>
            </w:r>
            <w:r>
              <w:rPr>
                <w:rFonts w:hint="eastAsia" w:ascii="宋体" w:hAnsi="宋体" w:cs="宋体"/>
                <w:b/>
                <w:bCs/>
                <w:color w:val="000000" w:themeColor="text1"/>
                <w:sz w:val="24"/>
                <w:szCs w:val="24"/>
                <w:highlight w:val="none"/>
                <w14:textFill>
                  <w14:solidFill>
                    <w14:schemeClr w14:val="tx1"/>
                  </w14:solidFill>
                </w14:textFill>
              </w:rPr>
              <w:t>现金支票、保兑支票、银行汇票或</w:t>
            </w:r>
            <w:r>
              <w:rPr>
                <w:rFonts w:hint="eastAsia" w:ascii="宋体" w:hAnsi="宋体" w:cs="宋体"/>
                <w:b/>
                <w:bCs/>
                <w:color w:val="000000" w:themeColor="text1"/>
                <w:sz w:val="24"/>
                <w:szCs w:val="24"/>
                <w:highlight w:val="none"/>
                <w:lang w:eastAsia="zh-CN"/>
                <w14:textFill>
                  <w14:solidFill>
                    <w14:schemeClr w14:val="tx1"/>
                  </w14:solidFill>
                </w14:textFill>
              </w:rPr>
              <w:t>保函（银行保函或担保公司保函）</w:t>
            </w:r>
            <w:r>
              <w:rPr>
                <w:rFonts w:hint="eastAsia" w:ascii="宋体" w:hAnsi="宋体" w:cs="宋体"/>
                <w:color w:val="000000" w:themeColor="text1"/>
                <w:sz w:val="24"/>
                <w:szCs w:val="24"/>
                <w:highlight w:val="none"/>
                <w14:textFill>
                  <w14:solidFill>
                    <w14:schemeClr w14:val="tx1"/>
                  </w14:solidFill>
                </w14:textFill>
              </w:rPr>
              <w:t>。</w:t>
            </w:r>
          </w:p>
          <w:p w14:paraId="196B08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磋商保证金的金额</w:t>
            </w:r>
            <w:r>
              <w:rPr>
                <w:rFonts w:hint="eastAsia" w:ascii="宋体" w:hAnsi="宋体" w:cs="宋体"/>
                <w:color w:val="000000" w:themeColor="text1"/>
                <w:sz w:val="24"/>
                <w:szCs w:val="24"/>
                <w:highlight w:val="none"/>
                <w14:textFill>
                  <w14:solidFill>
                    <w14:schemeClr w14:val="tx1"/>
                  </w14:solidFill>
                </w14:textFill>
              </w:rPr>
              <w:t>：人民币</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31000</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p w14:paraId="2362F9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磋商保证金的递交时间</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磋商保证金须在投标截止时间前完成缴纳</w:t>
            </w:r>
            <w:r>
              <w:rPr>
                <w:rFonts w:hint="eastAsia" w:ascii="宋体" w:hAnsi="宋体" w:cs="宋体"/>
                <w:color w:val="000000" w:themeColor="text1"/>
                <w:sz w:val="24"/>
                <w:szCs w:val="24"/>
                <w:highlight w:val="none"/>
                <w14:textFill>
                  <w14:solidFill>
                    <w14:schemeClr w14:val="tx1"/>
                  </w14:solidFill>
                </w14:textFill>
              </w:rPr>
              <w:t>，从企业基本账户划拨到</w:t>
            </w:r>
            <w:r>
              <w:rPr>
                <w:rFonts w:hint="eastAsia" w:ascii="宋体" w:hAnsi="宋体" w:cs="宋体"/>
                <w:b/>
                <w:bCs/>
                <w:color w:val="000000" w:themeColor="text1"/>
                <w:sz w:val="24"/>
                <w:szCs w:val="24"/>
                <w:highlight w:val="none"/>
                <w14:textFill>
                  <w14:solidFill>
                    <w14:schemeClr w14:val="tx1"/>
                  </w14:solidFill>
                </w14:textFill>
              </w:rPr>
              <w:t>吉林省长润工程咨询有限公司</w:t>
            </w:r>
            <w:r>
              <w:rPr>
                <w:rFonts w:hint="eastAsia" w:ascii="宋体" w:hAnsi="宋体" w:cs="宋体"/>
                <w:color w:val="000000" w:themeColor="text1"/>
                <w:sz w:val="24"/>
                <w:szCs w:val="24"/>
                <w:highlight w:val="none"/>
                <w14:textFill>
                  <w14:solidFill>
                    <w14:schemeClr w14:val="tx1"/>
                  </w14:solidFill>
                </w14:textFill>
              </w:rPr>
              <w:t>的基本账户，或提供保兑支票、</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银行汇票</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提供银行</w:t>
            </w:r>
            <w:r>
              <w:rPr>
                <w:rFonts w:hint="eastAsia" w:ascii="宋体" w:hAnsi="宋体" w:cs="宋体"/>
                <w:color w:val="000000" w:themeColor="text1"/>
                <w:sz w:val="24"/>
                <w:szCs w:val="24"/>
                <w:highlight w:val="none"/>
                <w:lang w:eastAsia="zh-CN"/>
                <w14:textFill>
                  <w14:solidFill>
                    <w14:schemeClr w14:val="tx1"/>
                  </w14:solidFill>
                </w14:textFill>
              </w:rPr>
              <w:t>保函或担保公司</w:t>
            </w:r>
            <w:r>
              <w:rPr>
                <w:rFonts w:hint="eastAsia" w:ascii="宋体" w:hAnsi="宋体" w:cs="宋体"/>
                <w:color w:val="000000" w:themeColor="text1"/>
                <w:sz w:val="24"/>
                <w:szCs w:val="24"/>
                <w:highlight w:val="none"/>
                <w14:textFill>
                  <w14:solidFill>
                    <w14:schemeClr w14:val="tx1"/>
                  </w14:solidFill>
                </w14:textFill>
              </w:rPr>
              <w:t>保函。</w:t>
            </w:r>
          </w:p>
          <w:p w14:paraId="63FF8B59">
            <w:pPr>
              <w:keepNext w:val="0"/>
              <w:keepLines w:val="0"/>
              <w:pageBreakBefore w:val="0"/>
              <w:widowControl w:val="0"/>
              <w:kinsoku/>
              <w:wordWrap/>
              <w:overflowPunct/>
              <w:topLinePunct w:val="0"/>
              <w:autoSpaceDE/>
              <w:autoSpaceDN/>
              <w:bidi w:val="0"/>
              <w:adjustRightInd/>
              <w:snapToGrid/>
              <w:spacing w:line="360" w:lineRule="exact"/>
              <w:jc w:val="both"/>
              <w:textAlignment w:val="auto"/>
              <w:rPr>
                <w:highlight w:val="none"/>
              </w:rPr>
            </w:pPr>
            <w:r>
              <w:rPr>
                <w:rFonts w:hint="eastAsia" w:ascii="宋体" w:hAnsi="宋体" w:cs="宋体"/>
                <w:b/>
                <w:bCs/>
                <w:color w:val="000000" w:themeColor="text1"/>
                <w:sz w:val="24"/>
                <w:szCs w:val="24"/>
                <w:highlight w:val="none"/>
                <w14:textFill>
                  <w14:solidFill>
                    <w14:schemeClr w14:val="tx1"/>
                  </w14:solidFill>
                </w14:textFill>
              </w:rPr>
              <w:t>磋商</w:t>
            </w:r>
            <w:r>
              <w:rPr>
                <w:rFonts w:hint="eastAsia" w:ascii="宋体" w:hAnsi="宋体" w:cs="宋体"/>
                <w:b/>
                <w:bCs/>
                <w:sz w:val="24"/>
                <w:szCs w:val="24"/>
                <w:highlight w:val="none"/>
              </w:rPr>
              <w:t>保证金退还时退至</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企业基本账户</w:t>
            </w:r>
            <w:r>
              <w:rPr>
                <w:rFonts w:hint="eastAsia" w:ascii="宋体" w:hAnsi="宋体" w:cs="宋体"/>
                <w:sz w:val="24"/>
                <w:szCs w:val="24"/>
                <w:highlight w:val="none"/>
              </w:rPr>
              <w:t>。</w:t>
            </w:r>
          </w:p>
          <w:p w14:paraId="59FD89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吉林省长润工程咨询有限公司基本账户如下</w:t>
            </w:r>
            <w:r>
              <w:rPr>
                <w:rFonts w:hint="eastAsia" w:ascii="宋体" w:hAnsi="宋体" w:cs="宋体"/>
                <w:sz w:val="24"/>
                <w:szCs w:val="24"/>
                <w:highlight w:val="none"/>
              </w:rPr>
              <w:t>：</w:t>
            </w:r>
          </w:p>
          <w:p w14:paraId="10EA24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开户名称</w:t>
            </w:r>
            <w:r>
              <w:rPr>
                <w:rFonts w:hint="eastAsia" w:ascii="宋体" w:hAnsi="宋体" w:cs="宋体"/>
                <w:sz w:val="24"/>
                <w:szCs w:val="24"/>
                <w:highlight w:val="none"/>
              </w:rPr>
              <w:t>：吉林省长润工程咨询有限公司</w:t>
            </w:r>
          </w:p>
          <w:p w14:paraId="13621E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开户银行</w:t>
            </w:r>
            <w:r>
              <w:rPr>
                <w:rFonts w:hint="eastAsia" w:ascii="宋体" w:hAnsi="宋体" w:cs="宋体"/>
                <w:sz w:val="24"/>
                <w:szCs w:val="24"/>
                <w:highlight w:val="none"/>
              </w:rPr>
              <w:t>：延边农村商业银行股份有限公司河南支行</w:t>
            </w:r>
          </w:p>
          <w:p w14:paraId="1E5A2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账    号</w:t>
            </w:r>
            <w:r>
              <w:rPr>
                <w:rFonts w:hint="eastAsia" w:ascii="宋体" w:hAnsi="宋体" w:cs="宋体"/>
                <w:sz w:val="24"/>
                <w:szCs w:val="24"/>
                <w:highlight w:val="none"/>
              </w:rPr>
              <w:t>：0790 1030 1101 5258 888888</w:t>
            </w:r>
          </w:p>
          <w:p w14:paraId="7EA2DE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联 系 人</w:t>
            </w:r>
            <w:r>
              <w:rPr>
                <w:rFonts w:hint="eastAsia" w:ascii="宋体" w:hAnsi="宋体" w:cs="宋体"/>
                <w:sz w:val="24"/>
                <w:szCs w:val="24"/>
                <w:highlight w:val="none"/>
              </w:rPr>
              <w:t>：侯幸运</w:t>
            </w:r>
          </w:p>
          <w:p w14:paraId="08F584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联系电话</w:t>
            </w:r>
            <w:r>
              <w:rPr>
                <w:rFonts w:hint="eastAsia" w:ascii="宋体" w:hAnsi="宋体" w:cs="宋体"/>
                <w:sz w:val="24"/>
                <w:szCs w:val="24"/>
                <w:highlight w:val="none"/>
              </w:rPr>
              <w:t>：18943301128</w:t>
            </w:r>
          </w:p>
          <w:p w14:paraId="4D5133B5">
            <w:pPr>
              <w:pStyle w:val="80"/>
              <w:keepNext w:val="0"/>
              <w:keepLines w:val="0"/>
              <w:pageBreakBefore w:val="0"/>
              <w:widowControl w:val="0"/>
              <w:tabs>
                <w:tab w:val="left" w:pos="540"/>
              </w:tabs>
              <w:kinsoku/>
              <w:wordWrap/>
              <w:overflowPunct/>
              <w:topLinePunct w:val="0"/>
              <w:autoSpaceDE/>
              <w:autoSpaceDN/>
              <w:bidi w:val="0"/>
              <w:adjustRightInd/>
              <w:snapToGrid/>
              <w:spacing w:after="160" w:line="360" w:lineRule="exact"/>
              <w:jc w:val="both"/>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sz w:val="24"/>
                <w:szCs w:val="24"/>
                <w:highlight w:val="none"/>
                <w:lang w:val="en-US" w:eastAsia="zh-CN"/>
              </w:rPr>
              <w:t>注：填写转款凭证时必须注明投标项目名称、编号</w:t>
            </w:r>
            <w:r>
              <w:rPr>
                <w:rFonts w:hint="eastAsia"/>
                <w:color w:val="000000" w:themeColor="text1"/>
                <w:sz w:val="24"/>
                <w:szCs w:val="24"/>
                <w:highlight w:val="none"/>
                <w:lang w:val="en-US" w:eastAsia="zh-CN"/>
                <w14:textFill>
                  <w14:solidFill>
                    <w14:schemeClr w14:val="tx1"/>
                  </w14:solidFill>
                </w14:textFill>
              </w:rPr>
              <w:t>。</w:t>
            </w:r>
          </w:p>
        </w:tc>
      </w:tr>
      <w:tr w14:paraId="3F17BE1C">
        <w:tblPrEx>
          <w:tblCellMar>
            <w:top w:w="0" w:type="dxa"/>
            <w:left w:w="10" w:type="dxa"/>
            <w:bottom w:w="0" w:type="dxa"/>
            <w:right w:w="10" w:type="dxa"/>
          </w:tblCellMar>
        </w:tblPrEx>
        <w:trPr>
          <w:trHeight w:val="122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70CC55F0">
            <w:pPr>
              <w:pStyle w:val="80"/>
              <w:spacing w:after="0" w:line="240" w:lineRule="auto"/>
              <w:jc w:val="center"/>
              <w:rPr>
                <w:rFonts w:hint="eastAsia" w:ascii="宋体" w:hAnsi="宋体" w:eastAsia="宋体" w:cs="宋体"/>
                <w:b/>
                <w:bCs/>
                <w:color w:val="000000" w:themeColor="text1"/>
                <w:kern w:val="2"/>
                <w:sz w:val="24"/>
                <w:szCs w:val="24"/>
                <w:highlight w:val="none"/>
                <w:lang w:val="zh-TW" w:eastAsia="en-US" w:bidi="zh-TW"/>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3.5.</w:t>
            </w:r>
            <w:r>
              <w:rPr>
                <w:rFonts w:hint="eastAsia"/>
                <w:b w:val="0"/>
                <w:bCs w:val="0"/>
                <w:color w:val="000000" w:themeColor="text1"/>
                <w:sz w:val="24"/>
                <w:szCs w:val="24"/>
                <w:highlight w:val="none"/>
                <w:lang w:val="zh-CN" w:eastAsia="zh-CN" w:bidi="zh-CN"/>
                <w14:textFill>
                  <w14:solidFill>
                    <w14:schemeClr w14:val="tx1"/>
                  </w14:solidFill>
                </w14:textFill>
              </w:rPr>
              <w:t>2</w:t>
            </w:r>
          </w:p>
        </w:tc>
        <w:tc>
          <w:tcPr>
            <w:tcW w:w="2208" w:type="dxa"/>
            <w:tcBorders>
              <w:top w:val="single" w:color="auto" w:sz="4" w:space="0"/>
              <w:left w:val="single" w:color="auto" w:sz="4" w:space="0"/>
              <w:bottom w:val="single" w:color="auto" w:sz="4" w:space="0"/>
            </w:tcBorders>
            <w:shd w:val="clear" w:color="auto" w:fill="FFFFFF"/>
            <w:vAlign w:val="center"/>
          </w:tcPr>
          <w:p w14:paraId="52C798FB">
            <w:pPr>
              <w:pStyle w:val="80"/>
              <w:spacing w:after="0" w:line="274" w:lineRule="exact"/>
              <w:jc w:val="center"/>
              <w:rPr>
                <w:rFonts w:ascii="Calibri" w:hAnsi="Calibri"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近年财务状况的年份要求</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45A205BE">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kern w:val="2"/>
                <w:sz w:val="24"/>
                <w:szCs w:val="24"/>
                <w:highlight w:val="none"/>
                <w:lang w:val="en-US" w:eastAsia="zh-CN" w:bidi="zh-TW"/>
              </w:rPr>
            </w:pPr>
            <w:r>
              <w:rPr>
                <w:rFonts w:hint="eastAsia"/>
                <w:b w:val="0"/>
                <w:bCs w:val="0"/>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b w:val="0"/>
                <w:bCs w:val="0"/>
                <w:color w:val="000000" w:themeColor="text1"/>
                <w:sz w:val="24"/>
                <w:szCs w:val="24"/>
                <w:highlight w:val="none"/>
                <w:lang w:val="en-US" w:eastAsia="zh-CN"/>
                <w14:textFill>
                  <w14:solidFill>
                    <w14:schemeClr w14:val="tx1"/>
                  </w14:solidFill>
                </w14:textFill>
              </w:rPr>
              <w:t>。</w:t>
            </w:r>
          </w:p>
        </w:tc>
      </w:tr>
      <w:tr w14:paraId="5EF0F7C5">
        <w:tblPrEx>
          <w:tblCellMar>
            <w:top w:w="0" w:type="dxa"/>
            <w:left w:w="10" w:type="dxa"/>
            <w:bottom w:w="0" w:type="dxa"/>
            <w:right w:w="10" w:type="dxa"/>
          </w:tblCellMar>
        </w:tblPrEx>
        <w:trPr>
          <w:trHeight w:val="672"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78B940A4">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3.5.</w:t>
            </w:r>
            <w:r>
              <w:rPr>
                <w:rFonts w:hint="eastAsia"/>
                <w:b w:val="0"/>
                <w:bCs w:val="0"/>
                <w:color w:val="000000" w:themeColor="text1"/>
                <w:sz w:val="24"/>
                <w:szCs w:val="24"/>
                <w:highlight w:val="none"/>
                <w:lang w:val="zh-CN" w:eastAsia="zh-CN" w:bidi="zh-CN"/>
                <w14:textFill>
                  <w14:solidFill>
                    <w14:schemeClr w14:val="tx1"/>
                  </w14:solidFill>
                </w14:textFill>
              </w:rPr>
              <w:t>3</w:t>
            </w:r>
          </w:p>
        </w:tc>
        <w:tc>
          <w:tcPr>
            <w:tcW w:w="2208" w:type="dxa"/>
            <w:tcBorders>
              <w:top w:val="single" w:color="auto" w:sz="4" w:space="0"/>
              <w:left w:val="single" w:color="auto" w:sz="4" w:space="0"/>
              <w:bottom w:val="single" w:color="auto" w:sz="4" w:space="0"/>
            </w:tcBorders>
            <w:shd w:val="clear" w:color="auto" w:fill="FFFFFF"/>
            <w:vAlign w:val="center"/>
          </w:tcPr>
          <w:p w14:paraId="1EFBC413">
            <w:pPr>
              <w:pStyle w:val="80"/>
              <w:spacing w:after="0" w:line="269"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近年完成的类似项目的年份要求</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590E368">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p>
        </w:tc>
      </w:tr>
      <w:tr w14:paraId="28019F79">
        <w:tblPrEx>
          <w:tblCellMar>
            <w:top w:w="0" w:type="dxa"/>
            <w:left w:w="10" w:type="dxa"/>
            <w:bottom w:w="0" w:type="dxa"/>
            <w:right w:w="10" w:type="dxa"/>
          </w:tblCellMar>
        </w:tblPrEx>
        <w:trPr>
          <w:trHeight w:val="774"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6844BCCE">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rFonts w:hint="eastAsia"/>
                <w:b w:val="0"/>
                <w:bCs w:val="0"/>
                <w:color w:val="000000" w:themeColor="text1"/>
                <w:sz w:val="24"/>
                <w:szCs w:val="24"/>
                <w:highlight w:val="none"/>
                <w:lang w:val="zh-CN" w:eastAsia="zh-CN" w:bidi="zh-CN"/>
                <w14:textFill>
                  <w14:solidFill>
                    <w14:schemeClr w14:val="tx1"/>
                  </w14:solidFill>
                </w14:textFill>
              </w:rPr>
              <w:t>3.5.</w:t>
            </w:r>
            <w:r>
              <w:rPr>
                <w:rFonts w:hint="eastAsia"/>
                <w:b w:val="0"/>
                <w:bCs w:val="0"/>
                <w:color w:val="000000" w:themeColor="text1"/>
                <w:sz w:val="24"/>
                <w:szCs w:val="24"/>
                <w:highlight w:val="none"/>
                <w:lang w:val="en-US" w:eastAsia="zh-CN" w:bidi="zh-CN"/>
                <w14:textFill>
                  <w14:solidFill>
                    <w14:schemeClr w14:val="tx1"/>
                  </w14:solidFill>
                </w14:textFill>
              </w:rPr>
              <w:t>4</w:t>
            </w:r>
          </w:p>
        </w:tc>
        <w:tc>
          <w:tcPr>
            <w:tcW w:w="2208" w:type="dxa"/>
            <w:tcBorders>
              <w:top w:val="single" w:color="auto" w:sz="4" w:space="0"/>
              <w:left w:val="single" w:color="auto" w:sz="4" w:space="0"/>
              <w:bottom w:val="single" w:color="auto" w:sz="4" w:space="0"/>
            </w:tcBorders>
            <w:shd w:val="clear" w:color="auto" w:fill="FFFFFF"/>
            <w:vAlign w:val="center"/>
          </w:tcPr>
          <w:p w14:paraId="3FB0F8CB">
            <w:pPr>
              <w:pStyle w:val="80"/>
              <w:spacing w:after="0" w:line="278"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近年发生的诉讼及仲裁情况的年份要求</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4F32267E">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2023年5月至本项目公告发布之日</w:t>
            </w:r>
          </w:p>
        </w:tc>
      </w:tr>
      <w:tr w14:paraId="5DDB6C07">
        <w:tblPrEx>
          <w:tblCellMar>
            <w:top w:w="0" w:type="dxa"/>
            <w:left w:w="10" w:type="dxa"/>
            <w:bottom w:w="0" w:type="dxa"/>
            <w:right w:w="10" w:type="dxa"/>
          </w:tblCellMar>
        </w:tblPrEx>
        <w:trPr>
          <w:trHeight w:val="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D8B4FDA">
            <w:pPr>
              <w:pStyle w:val="80"/>
              <w:spacing w:after="0" w:line="240" w:lineRule="auto"/>
              <w:jc w:val="center"/>
              <w:rPr>
                <w:rFonts w:hint="eastAsia"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w:t>
            </w:r>
            <w:r>
              <w:rPr>
                <w:rFonts w:hint="eastAsia"/>
                <w:b w:val="0"/>
                <w:bCs w:val="0"/>
                <w:color w:val="000000" w:themeColor="text1"/>
                <w:sz w:val="24"/>
                <w:szCs w:val="24"/>
                <w:highlight w:val="none"/>
                <w:lang w:val="zh-CN" w:eastAsia="zh-CN" w:bidi="zh-CN"/>
                <w14:textFill>
                  <w14:solidFill>
                    <w14:schemeClr w14:val="tx1"/>
                  </w14:solidFill>
                </w14:textFill>
              </w:rPr>
              <w:t>6</w:t>
            </w:r>
          </w:p>
        </w:tc>
        <w:tc>
          <w:tcPr>
            <w:tcW w:w="2208" w:type="dxa"/>
            <w:tcBorders>
              <w:top w:val="single" w:color="auto" w:sz="4" w:space="0"/>
              <w:left w:val="single" w:color="auto" w:sz="4" w:space="0"/>
              <w:bottom w:val="single" w:color="auto" w:sz="4" w:space="0"/>
            </w:tcBorders>
            <w:shd w:val="clear" w:color="auto" w:fill="FFFFFF"/>
            <w:vAlign w:val="center"/>
          </w:tcPr>
          <w:p w14:paraId="2D990EC7">
            <w:pPr>
              <w:pStyle w:val="80"/>
              <w:spacing w:after="0" w:line="278"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是否允许递交备选磋商方案</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75A9C0B">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78E995D4">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w:t>
            </w:r>
          </w:p>
        </w:tc>
      </w:tr>
      <w:tr w14:paraId="5C69C666">
        <w:tblPrEx>
          <w:tblCellMar>
            <w:top w:w="0" w:type="dxa"/>
            <w:left w:w="10" w:type="dxa"/>
            <w:bottom w:w="0" w:type="dxa"/>
            <w:right w:w="10" w:type="dxa"/>
          </w:tblCellMar>
        </w:tblPrEx>
        <w:trPr>
          <w:trHeight w:val="2282"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330843D3">
            <w:pPr>
              <w:pStyle w:val="80"/>
              <w:spacing w:after="0" w:line="240" w:lineRule="auto"/>
              <w:jc w:val="center"/>
              <w:rPr>
                <w:rFonts w:hint="eastAsia"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3.7.</w:t>
            </w:r>
            <w:r>
              <w:rPr>
                <w:rFonts w:hint="eastAsia"/>
                <w:b w:val="0"/>
                <w:bCs w:val="0"/>
                <w:color w:val="000000" w:themeColor="text1"/>
                <w:sz w:val="24"/>
                <w:szCs w:val="24"/>
                <w:highlight w:val="none"/>
                <w:lang w:val="zh-CN" w:eastAsia="zh-CN" w:bidi="zh-CN"/>
                <w14:textFill>
                  <w14:solidFill>
                    <w14:schemeClr w14:val="tx1"/>
                  </w14:solidFill>
                </w14:textFill>
              </w:rPr>
              <w:t>3</w:t>
            </w:r>
          </w:p>
        </w:tc>
        <w:tc>
          <w:tcPr>
            <w:tcW w:w="2208" w:type="dxa"/>
            <w:tcBorders>
              <w:top w:val="single" w:color="auto" w:sz="4" w:space="0"/>
              <w:left w:val="single" w:color="auto" w:sz="4" w:space="0"/>
              <w:bottom w:val="single" w:color="auto" w:sz="4" w:space="0"/>
            </w:tcBorders>
            <w:shd w:val="clear" w:color="auto" w:fill="FFFFFF"/>
            <w:vAlign w:val="center"/>
          </w:tcPr>
          <w:p w14:paraId="2168143C">
            <w:pPr>
              <w:pStyle w:val="80"/>
              <w:spacing w:after="0" w:line="240" w:lineRule="auto"/>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签字或盖章要求</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1EF1575">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响应文件封面、磋商函和其他需要签字或盖章的地方均应加盖</w:t>
            </w:r>
            <w:r>
              <w:rPr>
                <w:rFonts w:hint="eastAsia"/>
                <w:b w:val="0"/>
                <w:bCs w:val="0"/>
                <w:color w:val="000000" w:themeColor="text1"/>
                <w:sz w:val="24"/>
                <w:szCs w:val="24"/>
                <w:highlight w:val="none"/>
                <w:lang w:val="en-US" w:eastAsia="zh-CN"/>
                <w14:textFill>
                  <w14:solidFill>
                    <w14:schemeClr w14:val="tx1"/>
                  </w14:solidFill>
                </w14:textFill>
              </w:rPr>
              <w:t>供应商</w:t>
            </w:r>
            <w:r>
              <w:rPr>
                <w:rFonts w:hint="eastAsia"/>
                <w:b w:val="0"/>
                <w:bCs w:val="0"/>
                <w:color w:val="000000" w:themeColor="text1"/>
                <w:sz w:val="24"/>
                <w:szCs w:val="24"/>
                <w:highlight w:val="none"/>
                <w:lang w:eastAsia="zh-CN"/>
                <w14:textFill>
                  <w14:solidFill>
                    <w14:schemeClr w14:val="tx1"/>
                  </w14:solidFill>
                </w14:textFill>
              </w:rPr>
              <w:t>公章并</w:t>
            </w:r>
            <w:r>
              <w:rPr>
                <w:rFonts w:hint="eastAsia"/>
                <w:b w:val="0"/>
                <w:bCs w:val="0"/>
                <w:color w:val="000000" w:themeColor="text1"/>
                <w:sz w:val="24"/>
                <w:szCs w:val="24"/>
                <w:highlight w:val="none"/>
                <w:lang w:val="en-US" w:eastAsia="zh-CN"/>
                <w14:textFill>
                  <w14:solidFill>
                    <w14:schemeClr w14:val="tx1"/>
                  </w14:solidFill>
                </w14:textFill>
              </w:rPr>
              <w:t>经</w:t>
            </w:r>
            <w:r>
              <w:rPr>
                <w:rFonts w:hint="eastAsia"/>
                <w:b w:val="0"/>
                <w:bCs w:val="0"/>
                <w:color w:val="000000" w:themeColor="text1"/>
                <w:sz w:val="24"/>
                <w:szCs w:val="24"/>
                <w:highlight w:val="none"/>
                <w:lang w:eastAsia="zh-CN"/>
                <w14:textFill>
                  <w14:solidFill>
                    <w14:schemeClr w14:val="tx1"/>
                  </w14:solidFill>
                </w14:textFill>
              </w:rPr>
              <w:t>法定代表人或其委托代理人签字或盖章。由委托代理人签字或盖章的在响应文件中须同时递交响应文件授权委托书。响应文件授权委托书格式、签字、盖章（电子签章）及内容均应符合要求，否则响应文件授权委托书无效。</w:t>
            </w:r>
          </w:p>
        </w:tc>
      </w:tr>
      <w:tr w14:paraId="51ED9899">
        <w:tblPrEx>
          <w:tblCellMar>
            <w:top w:w="0" w:type="dxa"/>
            <w:left w:w="10" w:type="dxa"/>
            <w:bottom w:w="0" w:type="dxa"/>
            <w:right w:w="10" w:type="dxa"/>
          </w:tblCellMar>
        </w:tblPrEx>
        <w:trPr>
          <w:trHeight w:val="75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3761358C">
            <w:pPr>
              <w:jc w:val="center"/>
              <w:rPr>
                <w:rFonts w:hint="eastAsia" w:ascii="Times New Roman" w:hAnsi="Times New Roman" w:eastAsia="宋体" w:cs="Calibri"/>
                <w:b w:val="0"/>
                <w:bCs w:val="0"/>
                <w:color w:val="000000" w:themeColor="text1"/>
                <w:kern w:val="2"/>
                <w:sz w:val="24"/>
                <w:szCs w:val="24"/>
                <w:highlight w:val="none"/>
                <w:lang w:val="zh-CN" w:eastAsia="zh-CN" w:bidi="en-US"/>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en-US"/>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06E39341">
            <w:pPr>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首次响应文件递交截止时间</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5E934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2026年05月27日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下午13时30分。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tc>
      </w:tr>
      <w:tr w14:paraId="767FB268">
        <w:tblPrEx>
          <w:tblCellMar>
            <w:top w:w="0" w:type="dxa"/>
            <w:left w:w="10" w:type="dxa"/>
            <w:bottom w:w="0" w:type="dxa"/>
            <w:right w:w="10" w:type="dxa"/>
          </w:tblCellMar>
        </w:tblPrEx>
        <w:trPr>
          <w:trHeight w:val="152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498B9DDC">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.2</w:t>
            </w:r>
          </w:p>
        </w:tc>
        <w:tc>
          <w:tcPr>
            <w:tcW w:w="2208" w:type="dxa"/>
            <w:tcBorders>
              <w:top w:val="single" w:color="auto" w:sz="4" w:space="0"/>
              <w:left w:val="single" w:color="auto" w:sz="4" w:space="0"/>
              <w:bottom w:val="single" w:color="auto" w:sz="4" w:space="0"/>
            </w:tcBorders>
            <w:shd w:val="clear" w:color="auto" w:fill="FFFFFF"/>
            <w:vAlign w:val="center"/>
          </w:tcPr>
          <w:p w14:paraId="5A7EC599">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首次响应文件递交地点</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2771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供应商应在投标文件递交截止时间前通过“政采云”平台（http：//www.zcygov.cn）上传电子投标文件；逾期上传的电子投标文件，电子招标投标交易平台将予以拒收。</w:t>
            </w:r>
          </w:p>
        </w:tc>
      </w:tr>
      <w:tr w14:paraId="025B634B">
        <w:tblPrEx>
          <w:tblCellMar>
            <w:top w:w="0" w:type="dxa"/>
            <w:left w:w="10" w:type="dxa"/>
            <w:bottom w:w="0" w:type="dxa"/>
            <w:right w:w="10" w:type="dxa"/>
          </w:tblCellMar>
        </w:tblPrEx>
        <w:trPr>
          <w:trHeight w:val="744"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0979B6FA">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.3</w:t>
            </w:r>
          </w:p>
        </w:tc>
        <w:tc>
          <w:tcPr>
            <w:tcW w:w="2208" w:type="dxa"/>
            <w:tcBorders>
              <w:top w:val="single" w:color="auto" w:sz="4" w:space="0"/>
              <w:left w:val="single" w:color="auto" w:sz="4" w:space="0"/>
              <w:bottom w:val="single" w:color="auto" w:sz="4" w:space="0"/>
            </w:tcBorders>
            <w:shd w:val="clear" w:color="auto" w:fill="FFFFFF"/>
            <w:vAlign w:val="center"/>
          </w:tcPr>
          <w:p w14:paraId="29A56D5E">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是否退还响应文件</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8418D01">
            <w:pPr>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否</w:t>
            </w:r>
          </w:p>
          <w:p w14:paraId="34D32091">
            <w:pPr>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 是</w:t>
            </w:r>
          </w:p>
        </w:tc>
      </w:tr>
      <w:tr w14:paraId="7421FB27">
        <w:tblPrEx>
          <w:tblCellMar>
            <w:top w:w="0" w:type="dxa"/>
            <w:left w:w="10" w:type="dxa"/>
            <w:bottom w:w="0" w:type="dxa"/>
            <w:right w:w="10" w:type="dxa"/>
          </w:tblCellMar>
        </w:tblPrEx>
        <w:trPr>
          <w:trHeight w:val="117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31E8E956">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5.1</w:t>
            </w:r>
          </w:p>
        </w:tc>
        <w:tc>
          <w:tcPr>
            <w:tcW w:w="2208" w:type="dxa"/>
            <w:tcBorders>
              <w:top w:val="single" w:color="auto" w:sz="4" w:space="0"/>
              <w:left w:val="single" w:color="auto" w:sz="4" w:space="0"/>
              <w:bottom w:val="single" w:color="auto" w:sz="4" w:space="0"/>
            </w:tcBorders>
            <w:shd w:val="clear" w:color="auto" w:fill="FFFFFF"/>
            <w:vAlign w:val="center"/>
          </w:tcPr>
          <w:p w14:paraId="0B9B1FF2">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磋商时间和地点</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CCB7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磋商时间：同首次响应文件递交截止时间</w:t>
            </w:r>
          </w:p>
          <w:p w14:paraId="6BCFBF50">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磋商地点：</w:t>
            </w:r>
            <w:r>
              <w:rPr>
                <w:rFonts w:hint="eastAsia" w:ascii="宋体" w:hAnsi="宋体" w:eastAsia="宋体" w:cs="宋体"/>
                <w:color w:val="auto"/>
                <w:sz w:val="24"/>
                <w:szCs w:val="24"/>
                <w:highlight w:val="none"/>
                <w:lang w:val="en-US" w:eastAsia="zh-CN"/>
              </w:rPr>
              <w:t>延吉市</w:t>
            </w:r>
            <w:r>
              <w:rPr>
                <w:rFonts w:hint="eastAsia" w:ascii="宋体" w:hAnsi="宋体" w:eastAsia="宋体" w:cs="宋体"/>
                <w:color w:val="auto"/>
                <w:sz w:val="24"/>
                <w:szCs w:val="24"/>
                <w:highlight w:val="none"/>
                <w:lang w:val="zh-CN" w:eastAsia="zh-CN"/>
              </w:rPr>
              <w:t>公共资源交易中心（延吉市政务大厅6楼</w:t>
            </w:r>
            <w:r>
              <w:rPr>
                <w:rFonts w:hint="eastAsia" w:ascii="宋体" w:hAnsi="宋体" w:cs="宋体"/>
                <w:color w:val="auto"/>
                <w:sz w:val="24"/>
                <w:szCs w:val="24"/>
                <w:highlight w:val="none"/>
                <w:lang w:val="zh-CN" w:eastAsia="zh-CN"/>
              </w:rPr>
              <w:t>评标室</w:t>
            </w:r>
            <w:r>
              <w:rPr>
                <w:rFonts w:hint="eastAsia" w:ascii="宋体" w:hAnsi="宋体" w:eastAsia="宋体" w:cs="宋体"/>
                <w:color w:val="auto"/>
                <w:sz w:val="24"/>
                <w:szCs w:val="24"/>
                <w:highlight w:val="none"/>
                <w:lang w:val="zh-CN" w:eastAsia="zh-CN"/>
              </w:rPr>
              <w:t>）。</w:t>
            </w:r>
          </w:p>
        </w:tc>
      </w:tr>
      <w:tr w14:paraId="42286F25">
        <w:tblPrEx>
          <w:tblCellMar>
            <w:top w:w="0" w:type="dxa"/>
            <w:left w:w="10" w:type="dxa"/>
            <w:bottom w:w="0" w:type="dxa"/>
            <w:right w:w="10" w:type="dxa"/>
          </w:tblCellMar>
        </w:tblPrEx>
        <w:trPr>
          <w:trHeight w:val="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CBE904D">
            <w:pPr>
              <w:jc w:val="cente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5.2</w:t>
            </w:r>
          </w:p>
        </w:tc>
        <w:tc>
          <w:tcPr>
            <w:tcW w:w="2208" w:type="dxa"/>
            <w:tcBorders>
              <w:top w:val="single" w:color="auto" w:sz="4" w:space="0"/>
              <w:left w:val="single" w:color="auto" w:sz="4" w:space="0"/>
              <w:bottom w:val="single" w:color="auto" w:sz="4" w:space="0"/>
            </w:tcBorders>
            <w:shd w:val="clear" w:color="auto" w:fill="FFFFFF"/>
            <w:vAlign w:val="center"/>
          </w:tcPr>
          <w:p w14:paraId="090F87CB">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磋商程序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3E13B7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exact"/>
              <w:ind w:left="42" w:leftChars="20" w:right="0" w:rightChars="0" w:firstLine="1" w:firstLineChars="0"/>
              <w:textAlignment w:val="baseline"/>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eastAsia="zh-CN"/>
              </w:rPr>
              <w:t>供应商</w:t>
            </w:r>
            <w:r>
              <w:rPr>
                <w:rFonts w:hint="eastAsia" w:ascii="宋体" w:hAnsi="宋体" w:eastAsia="宋体" w:cs="宋体"/>
                <w:color w:val="auto"/>
                <w:kern w:val="2"/>
                <w:sz w:val="24"/>
                <w:szCs w:val="32"/>
                <w:highlight w:val="none"/>
              </w:rPr>
              <w:t>开标当日无需到现场，不需要递交纸质版</w:t>
            </w:r>
            <w:r>
              <w:rPr>
                <w:rFonts w:hint="eastAsia" w:ascii="宋体" w:hAnsi="宋体" w:eastAsia="宋体" w:cs="宋体"/>
                <w:color w:val="auto"/>
                <w:kern w:val="2"/>
                <w:sz w:val="24"/>
                <w:szCs w:val="32"/>
                <w:highlight w:val="none"/>
                <w:lang w:eastAsia="zh-CN"/>
              </w:rPr>
              <w:t>响应</w:t>
            </w:r>
            <w:r>
              <w:rPr>
                <w:rFonts w:hint="eastAsia" w:ascii="宋体" w:hAnsi="宋体" w:eastAsia="宋体" w:cs="宋体"/>
                <w:color w:val="auto"/>
                <w:kern w:val="2"/>
                <w:sz w:val="24"/>
                <w:szCs w:val="32"/>
                <w:highlight w:val="none"/>
              </w:rPr>
              <w:t>文件及</w:t>
            </w:r>
            <w:r>
              <w:rPr>
                <w:rFonts w:hint="eastAsia" w:ascii="宋体" w:hAnsi="宋体" w:eastAsia="宋体" w:cs="宋体"/>
                <w:color w:val="auto"/>
                <w:kern w:val="2"/>
                <w:sz w:val="24"/>
                <w:szCs w:val="32"/>
                <w:highlight w:val="none"/>
                <w:lang w:eastAsia="zh-CN"/>
              </w:rPr>
              <w:t>采购</w:t>
            </w:r>
            <w:r>
              <w:rPr>
                <w:rFonts w:hint="eastAsia" w:ascii="宋体" w:hAnsi="宋体" w:eastAsia="宋体" w:cs="宋体"/>
                <w:color w:val="auto"/>
                <w:kern w:val="2"/>
                <w:sz w:val="24"/>
                <w:szCs w:val="32"/>
                <w:highlight w:val="none"/>
              </w:rPr>
              <w:t>文件规定的原件，实行远程解密。</w:t>
            </w:r>
            <w:r>
              <w:rPr>
                <w:rFonts w:hint="eastAsia" w:ascii="宋体" w:hAnsi="宋体" w:eastAsia="宋体" w:cs="宋体"/>
                <w:color w:val="auto"/>
                <w:kern w:val="2"/>
                <w:sz w:val="24"/>
                <w:szCs w:val="32"/>
                <w:highlight w:val="none"/>
                <w:lang w:eastAsia="zh-CN"/>
              </w:rPr>
              <w:t>供应商</w:t>
            </w:r>
            <w:r>
              <w:rPr>
                <w:rFonts w:hint="eastAsia" w:ascii="宋体" w:hAnsi="宋体" w:eastAsia="宋体" w:cs="宋体"/>
                <w:color w:val="auto"/>
                <w:kern w:val="2"/>
                <w:sz w:val="24"/>
                <w:szCs w:val="32"/>
                <w:highlight w:val="none"/>
              </w:rPr>
              <w:t>应在</w:t>
            </w:r>
            <w:r>
              <w:rPr>
                <w:rFonts w:hint="eastAsia" w:ascii="宋体" w:hAnsi="宋体" w:eastAsia="宋体" w:cs="宋体"/>
                <w:color w:val="auto"/>
                <w:kern w:val="2"/>
                <w:sz w:val="24"/>
                <w:szCs w:val="32"/>
                <w:highlight w:val="none"/>
                <w:lang w:eastAsia="zh-CN"/>
              </w:rPr>
              <w:t>响应</w:t>
            </w:r>
            <w:r>
              <w:rPr>
                <w:rFonts w:hint="eastAsia" w:ascii="宋体" w:hAnsi="宋体" w:eastAsia="宋体" w:cs="宋体"/>
                <w:color w:val="auto"/>
                <w:kern w:val="2"/>
                <w:sz w:val="24"/>
                <w:szCs w:val="32"/>
                <w:highlight w:val="none"/>
              </w:rPr>
              <w:t>文件递交截止时间前通过</w:t>
            </w:r>
            <w:r>
              <w:rPr>
                <w:rFonts w:hint="eastAsia" w:ascii="宋体" w:hAnsi="宋体" w:eastAsia="宋体" w:cs="宋体"/>
                <w:b/>
                <w:bCs/>
                <w:color w:val="auto"/>
                <w:sz w:val="24"/>
                <w:szCs w:val="24"/>
                <w:highlight w:val="none"/>
                <w:lang w:val="en-US" w:eastAsia="zh-CN"/>
              </w:rPr>
              <w:t>“政采云”平台（http：//www.zcygov.cn）</w:t>
            </w:r>
            <w:r>
              <w:rPr>
                <w:rFonts w:hint="eastAsia" w:ascii="宋体" w:hAnsi="宋体" w:eastAsia="宋体" w:cs="宋体"/>
                <w:b/>
                <w:bCs/>
                <w:color w:val="auto"/>
                <w:kern w:val="2"/>
                <w:sz w:val="24"/>
                <w:szCs w:val="32"/>
                <w:highlight w:val="none"/>
              </w:rPr>
              <w:t>上传电子</w:t>
            </w:r>
            <w:r>
              <w:rPr>
                <w:rFonts w:hint="eastAsia" w:ascii="宋体" w:hAnsi="宋体" w:eastAsia="宋体" w:cs="宋体"/>
                <w:b/>
                <w:bCs/>
                <w:color w:val="auto"/>
                <w:kern w:val="2"/>
                <w:sz w:val="24"/>
                <w:szCs w:val="32"/>
                <w:highlight w:val="none"/>
                <w:lang w:eastAsia="zh-CN"/>
              </w:rPr>
              <w:t>响应</w:t>
            </w:r>
            <w:r>
              <w:rPr>
                <w:rFonts w:hint="eastAsia" w:ascii="宋体" w:hAnsi="宋体" w:eastAsia="宋体" w:cs="宋体"/>
                <w:b/>
                <w:bCs/>
                <w:color w:val="auto"/>
                <w:kern w:val="2"/>
                <w:sz w:val="24"/>
                <w:szCs w:val="32"/>
                <w:highlight w:val="none"/>
              </w:rPr>
              <w:t>文件。</w:t>
            </w:r>
          </w:p>
          <w:p w14:paraId="2EE30811">
            <w:pPr>
              <w:pStyle w:val="2"/>
              <w:keepNext w:val="0"/>
              <w:keepLines w:val="0"/>
              <w:pageBreakBefore w:val="0"/>
              <w:numPr>
                <w:ilvl w:val="0"/>
                <w:numId w:val="0"/>
              </w:numPr>
              <w:suppressLineNumbers w:val="0"/>
              <w:wordWrap/>
              <w:overflowPunct/>
              <w:topLinePunct w:val="0"/>
              <w:bidi w:val="0"/>
              <w:spacing w:before="0" w:beforeAutospacing="0" w:after="0" w:afterAutospacing="0" w:line="360" w:lineRule="exact"/>
              <w:ind w:left="0" w:right="0"/>
              <w:rPr>
                <w:rFonts w:hint="eastAsia" w:ascii="宋体" w:hAnsi="宋体" w:eastAsia="宋体" w:cs="宋体"/>
                <w:b w:val="0"/>
                <w:bCs w:val="0"/>
                <w:color w:val="auto"/>
                <w:kern w:val="2"/>
                <w:sz w:val="24"/>
                <w:szCs w:val="32"/>
                <w:highlight w:val="none"/>
              </w:rPr>
            </w:pPr>
            <w:r>
              <w:rPr>
                <w:rFonts w:hint="eastAsia" w:ascii="宋体" w:hAnsi="宋体" w:eastAsia="宋体" w:cs="宋体"/>
                <w:b w:val="0"/>
                <w:bCs w:val="0"/>
                <w:spacing w:val="4"/>
                <w:kern w:val="2"/>
                <w:sz w:val="24"/>
                <w:szCs w:val="20"/>
                <w:highlight w:val="none"/>
                <w:lang w:val="en-US" w:eastAsia="zh-CN" w:bidi="ar-SA"/>
              </w:rPr>
              <w:t>2.</w:t>
            </w:r>
            <w:r>
              <w:rPr>
                <w:rFonts w:hint="eastAsia" w:ascii="宋体" w:hAnsi="宋体" w:eastAsia="宋体" w:cs="宋体"/>
                <w:b w:val="0"/>
                <w:bCs w:val="0"/>
                <w:color w:val="auto"/>
                <w:kern w:val="2"/>
                <w:sz w:val="24"/>
                <w:szCs w:val="32"/>
                <w:highlight w:val="none"/>
              </w:rPr>
              <w:t>本项目采取网上招标、网上投标。各投标单位使用CA锁制作的投标文件</w:t>
            </w:r>
            <w:r>
              <w:rPr>
                <w:rFonts w:hint="eastAsia" w:ascii="宋体" w:eastAsia="宋体" w:cs="宋体"/>
                <w:b w:val="0"/>
                <w:bCs w:val="0"/>
                <w:color w:val="auto"/>
                <w:kern w:val="2"/>
                <w:sz w:val="24"/>
                <w:szCs w:val="32"/>
                <w:highlight w:val="none"/>
                <w:lang w:eastAsia="zh-CN"/>
              </w:rPr>
              <w:t>（</w:t>
            </w:r>
            <w:r>
              <w:rPr>
                <w:rFonts w:hint="eastAsia" w:ascii="宋体" w:hAnsi="宋体" w:eastAsia="宋体" w:cs="宋体"/>
                <w:b w:val="0"/>
                <w:bCs w:val="0"/>
                <w:color w:val="auto"/>
                <w:kern w:val="2"/>
                <w:sz w:val="24"/>
                <w:szCs w:val="32"/>
                <w:highlight w:val="none"/>
              </w:rPr>
              <w:t>资格审查材料等</w:t>
            </w:r>
            <w:r>
              <w:rPr>
                <w:rFonts w:hint="eastAsia" w:ascii="宋体" w:eastAsia="宋体" w:cs="宋体"/>
                <w:b w:val="0"/>
                <w:bCs w:val="0"/>
                <w:color w:val="auto"/>
                <w:kern w:val="2"/>
                <w:sz w:val="24"/>
                <w:szCs w:val="32"/>
                <w:highlight w:val="none"/>
                <w:lang w:eastAsia="zh-CN"/>
              </w:rPr>
              <w:t>）</w:t>
            </w:r>
            <w:r>
              <w:rPr>
                <w:rFonts w:hint="eastAsia" w:ascii="宋体" w:hAnsi="宋体" w:eastAsia="宋体" w:cs="宋体"/>
                <w:b w:val="0"/>
                <w:bCs w:val="0"/>
                <w:color w:val="auto"/>
                <w:kern w:val="2"/>
                <w:sz w:val="24"/>
                <w:szCs w:val="32"/>
                <w:highlight w:val="none"/>
              </w:rPr>
              <w:t>符合网上</w:t>
            </w:r>
            <w:r>
              <w:rPr>
                <w:rFonts w:hint="eastAsia" w:ascii="宋体" w:hAnsi="宋体" w:eastAsia="宋体" w:cs="宋体"/>
                <w:b w:val="0"/>
                <w:bCs w:val="0"/>
                <w:color w:val="auto"/>
                <w:kern w:val="2"/>
                <w:sz w:val="24"/>
                <w:szCs w:val="32"/>
                <w:highlight w:val="none"/>
                <w:lang w:eastAsia="zh-CN"/>
              </w:rPr>
              <w:t>评标</w:t>
            </w:r>
            <w:r>
              <w:rPr>
                <w:rFonts w:hint="eastAsia" w:ascii="宋体" w:hAnsi="宋体" w:eastAsia="宋体" w:cs="宋体"/>
                <w:b w:val="0"/>
                <w:bCs w:val="0"/>
                <w:color w:val="auto"/>
                <w:kern w:val="2"/>
                <w:sz w:val="24"/>
                <w:szCs w:val="32"/>
                <w:highlight w:val="none"/>
              </w:rPr>
              <w:t>要求才可进入评标阶段，全流程电子招标项目交易平台系统支持投标文件远程解密。逾期上传的电子投标文件，电子招标投标交易平台将予以拒收。</w:t>
            </w:r>
          </w:p>
          <w:p w14:paraId="71840734">
            <w:pPr>
              <w:keepNext w:val="0"/>
              <w:keepLines w:val="0"/>
              <w:pageBreakBefore w:val="0"/>
              <w:wordWrap/>
              <w:overflowPunct/>
              <w:topLinePunct w:val="0"/>
              <w:bidi w:val="0"/>
              <w:spacing w:line="360" w:lineRule="exact"/>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3</w:t>
            </w:r>
            <w:r>
              <w:rPr>
                <w:rFonts w:hint="eastAsia" w:ascii="宋体" w:hAnsi="宋体" w:eastAsia="宋体" w:cs="宋体"/>
                <w:color w:val="auto"/>
                <w:kern w:val="2"/>
                <w:sz w:val="24"/>
                <w:szCs w:val="32"/>
                <w:highlight w:val="none"/>
                <w:lang w:val="en-US" w:eastAsia="zh-CN"/>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“政采云”平台（http：//www.zcygov.cn）支持投标文件远程解密，解密方式：投标文件递交截止时间前完成解密工作，</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持制作该电子投标文件的同一数字证书</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CA企业锁</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登录，进入“开标远程解密”菜单选择对应的项目的投标文件进行远程解密。</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由于数字证书遗失、损坏、更换、续期等自身原因未能成功解密的，视为逾期未提交投标文件，其投标无效。</w:t>
            </w:r>
          </w:p>
          <w:p w14:paraId="5F03F246">
            <w:pPr>
              <w:keepNext w:val="0"/>
              <w:keepLines w:val="0"/>
              <w:pageBreakBefore w:val="0"/>
              <w:wordWrap/>
              <w:overflowPunct/>
              <w:topLinePunct w:val="0"/>
              <w:bidi w:val="0"/>
              <w:spacing w:line="36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递交响应文件</w:t>
            </w:r>
            <w:r>
              <w:rPr>
                <w:rFonts w:hint="eastAsia" w:ascii="宋体" w:hAnsi="宋体" w:eastAsia="宋体" w:cs="宋体"/>
                <w:color w:val="000000" w:themeColor="text1"/>
                <w:sz w:val="24"/>
                <w:szCs w:val="24"/>
                <w:highlight w:val="none"/>
                <w:lang w:eastAsia="zh-CN"/>
                <w14:textFill>
                  <w14:solidFill>
                    <w14:schemeClr w14:val="tx1"/>
                  </w14:solidFill>
                </w14:textFill>
              </w:rPr>
              <w:t>进行解密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通过资格审查后</w:t>
            </w:r>
            <w:r>
              <w:rPr>
                <w:rFonts w:hint="eastAsia" w:ascii="宋体" w:hAnsi="宋体" w:eastAsia="宋体" w:cs="宋体"/>
                <w:color w:val="000000" w:themeColor="text1"/>
                <w:sz w:val="24"/>
                <w:szCs w:val="24"/>
                <w:highlight w:val="none"/>
                <w14:textFill>
                  <w14:solidFill>
                    <w14:schemeClr w14:val="tx1"/>
                  </w14:solidFill>
                </w14:textFill>
              </w:rPr>
              <w:t>准备</w:t>
            </w: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bCs/>
                <w:color w:val="000000" w:themeColor="text1"/>
                <w:sz w:val="24"/>
                <w:szCs w:val="24"/>
                <w:highlight w:val="none"/>
                <w14:textFill>
                  <w14:solidFill>
                    <w14:schemeClr w14:val="tx1"/>
                  </w14:solidFill>
                </w14:textFill>
              </w:rPr>
              <w:t>第二轮磋商报价</w:t>
            </w:r>
            <w:r>
              <w:rPr>
                <w:rFonts w:hint="eastAsia" w:ascii="宋体" w:hAnsi="宋体" w:eastAsia="宋体" w:cs="宋体"/>
                <w:color w:val="000000" w:themeColor="text1"/>
                <w:sz w:val="24"/>
                <w:szCs w:val="24"/>
                <w:highlight w:val="none"/>
                <w:lang w:eastAsia="zh-CN"/>
                <w14:textFill>
                  <w14:solidFill>
                    <w14:schemeClr w14:val="tx1"/>
                  </w14:solidFill>
                </w14:textFill>
              </w:rPr>
              <w:t>进行解密。</w:t>
            </w:r>
          </w:p>
        </w:tc>
      </w:tr>
      <w:tr w14:paraId="38FF98BC">
        <w:tblPrEx>
          <w:tblCellMar>
            <w:top w:w="0" w:type="dxa"/>
            <w:left w:w="10" w:type="dxa"/>
            <w:bottom w:w="0" w:type="dxa"/>
            <w:right w:w="10" w:type="dxa"/>
          </w:tblCellMar>
        </w:tblPrEx>
        <w:trPr>
          <w:trHeight w:val="1097"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2FDE195">
            <w:pPr>
              <w:jc w:val="cente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6.1.1</w:t>
            </w:r>
          </w:p>
        </w:tc>
        <w:tc>
          <w:tcPr>
            <w:tcW w:w="2208" w:type="dxa"/>
            <w:tcBorders>
              <w:top w:val="single" w:color="auto" w:sz="4" w:space="0"/>
              <w:left w:val="single" w:color="auto" w:sz="4" w:space="0"/>
              <w:bottom w:val="single" w:color="auto" w:sz="4" w:space="0"/>
            </w:tcBorders>
            <w:shd w:val="clear" w:color="auto" w:fill="FFFFFF"/>
            <w:vAlign w:val="center"/>
          </w:tcPr>
          <w:p w14:paraId="37E6333A">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磋商小组的组建</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C6E1472">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磋商小组成员构成：3人，采购人代表</w:t>
            </w:r>
            <w:r>
              <w:rPr>
                <w:rFonts w:hint="eastAsia" w:ascii="宋体" w:hAnsi="宋体" w:cs="宋体"/>
                <w:color w:val="000000" w:themeColor="text1"/>
                <w:sz w:val="24"/>
                <w:szCs w:val="24"/>
                <w:highlight w:val="none"/>
                <w:lang w:val="en-US" w:eastAsia="zh-CN"/>
                <w14:textFill>
                  <w14:solidFill>
                    <w14:schemeClr w14:val="tx1"/>
                  </w14:solidFill>
                </w14:textFill>
              </w:rPr>
              <w:t>0人或</w:t>
            </w:r>
            <w:r>
              <w:rPr>
                <w:rFonts w:hint="eastAsia" w:ascii="宋体" w:hAnsi="宋体" w:cs="宋体"/>
                <w:color w:val="000000" w:themeColor="text1"/>
                <w:sz w:val="24"/>
                <w:szCs w:val="24"/>
                <w:highlight w:val="none"/>
                <w14:textFill>
                  <w14:solidFill>
                    <w14:schemeClr w14:val="tx1"/>
                  </w14:solidFill>
                </w14:textFill>
              </w:rPr>
              <w:t>1人，外聘专家2人</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lang w:val="en-US" w:eastAsia="zh-CN"/>
                <w14:textFill>
                  <w14:solidFill>
                    <w14:schemeClr w14:val="tx1"/>
                  </w14:solidFill>
                </w14:textFill>
              </w:rPr>
              <w:t>3人</w:t>
            </w:r>
            <w:r>
              <w:rPr>
                <w:rFonts w:hint="eastAsia" w:ascii="宋体" w:hAnsi="宋体" w:cs="宋体"/>
                <w:color w:val="000000" w:themeColor="text1"/>
                <w:sz w:val="24"/>
                <w:szCs w:val="24"/>
                <w:highlight w:val="none"/>
                <w14:textFill>
                  <w14:solidFill>
                    <w14:schemeClr w14:val="tx1"/>
                  </w14:solidFill>
                </w14:textFill>
              </w:rPr>
              <w:t>；</w:t>
            </w:r>
          </w:p>
          <w:p w14:paraId="1765BB2D">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磋商专家确定方式</w:t>
            </w:r>
            <w:r>
              <w:rPr>
                <w:rFonts w:hint="eastAsia" w:ascii="宋体" w:hAnsi="宋体" w:cs="宋体"/>
                <w:color w:val="000000" w:themeColor="text1"/>
                <w:sz w:val="24"/>
                <w:szCs w:val="24"/>
                <w:highlight w:val="none"/>
                <w:lang w:eastAsia="zh-CN"/>
                <w14:textFill>
                  <w14:solidFill>
                    <w14:schemeClr w14:val="tx1"/>
                  </w14:solidFill>
                </w14:textFill>
              </w:rPr>
              <w:t>（盲抽）</w:t>
            </w:r>
            <w:r>
              <w:rPr>
                <w:rFonts w:hint="eastAsia" w:ascii="宋体" w:hAnsi="宋体" w:cs="宋体"/>
                <w:color w:val="000000" w:themeColor="text1"/>
                <w:sz w:val="24"/>
                <w:szCs w:val="24"/>
                <w:highlight w:val="none"/>
                <w14:textFill>
                  <w14:solidFill>
                    <w14:schemeClr w14:val="tx1"/>
                  </w14:solidFill>
                </w14:textFill>
              </w:rPr>
              <w:t>：外聘专家依法从评审专家库中随机抽聘。</w:t>
            </w:r>
          </w:p>
        </w:tc>
      </w:tr>
      <w:tr w14:paraId="2CCCDD85">
        <w:tblPrEx>
          <w:tblCellMar>
            <w:top w:w="0" w:type="dxa"/>
            <w:left w:w="10" w:type="dxa"/>
            <w:bottom w:w="0" w:type="dxa"/>
            <w:right w:w="10" w:type="dxa"/>
          </w:tblCellMar>
        </w:tblPrEx>
        <w:trPr>
          <w:trHeight w:val="922"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040B7E20">
            <w:pPr>
              <w:spacing w:line="340" w:lineRule="exact"/>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1</w:t>
            </w:r>
          </w:p>
        </w:tc>
        <w:tc>
          <w:tcPr>
            <w:tcW w:w="2208" w:type="dxa"/>
            <w:tcBorders>
              <w:top w:val="single" w:color="auto" w:sz="4" w:space="0"/>
              <w:left w:val="single" w:color="auto" w:sz="4" w:space="0"/>
              <w:bottom w:val="single" w:color="auto" w:sz="4" w:space="0"/>
            </w:tcBorders>
            <w:shd w:val="clear" w:color="auto" w:fill="FFFFFF"/>
            <w:vAlign w:val="center"/>
          </w:tcPr>
          <w:p w14:paraId="2BA512CE">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是否授权磋商小组确定成交供应商</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7160E43">
            <w:pPr>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是</w:t>
            </w:r>
          </w:p>
          <w:p w14:paraId="63B95370">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 否,推荐的成交候选供应商数：</w:t>
            </w:r>
          </w:p>
        </w:tc>
      </w:tr>
      <w:tr w14:paraId="51874864">
        <w:tblPrEx>
          <w:tblCellMar>
            <w:top w:w="0" w:type="dxa"/>
            <w:left w:w="10" w:type="dxa"/>
            <w:bottom w:w="0" w:type="dxa"/>
            <w:right w:w="10" w:type="dxa"/>
          </w:tblCellMar>
        </w:tblPrEx>
        <w:trPr>
          <w:trHeight w:val="882"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1DD28092">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7.3.1</w:t>
            </w:r>
          </w:p>
        </w:tc>
        <w:tc>
          <w:tcPr>
            <w:tcW w:w="2208" w:type="dxa"/>
            <w:tcBorders>
              <w:top w:val="single" w:color="auto" w:sz="4" w:space="0"/>
              <w:left w:val="single" w:color="auto" w:sz="4" w:space="0"/>
              <w:bottom w:val="single" w:color="auto" w:sz="4" w:space="0"/>
            </w:tcBorders>
            <w:shd w:val="clear" w:color="auto" w:fill="FFFFFF"/>
            <w:vAlign w:val="center"/>
          </w:tcPr>
          <w:p w14:paraId="64DBD5D4">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C23A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履约担保的形式：/</w:t>
            </w:r>
          </w:p>
          <w:p w14:paraId="1800E0F0">
            <w:pPr>
              <w:spacing w:line="340" w:lineRule="exact"/>
              <w:rPr>
                <w:rFonts w:hint="eastAsia" w:ascii="宋体" w:hAnsi="宋体"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履约担保的金额：/</w:t>
            </w:r>
          </w:p>
        </w:tc>
      </w:tr>
      <w:tr w14:paraId="61CF9B73">
        <w:tblPrEx>
          <w:tblCellMar>
            <w:top w:w="0" w:type="dxa"/>
            <w:left w:w="10" w:type="dxa"/>
            <w:bottom w:w="0" w:type="dxa"/>
            <w:right w:w="10" w:type="dxa"/>
          </w:tblCellMar>
        </w:tblPrEx>
        <w:trPr>
          <w:trHeight w:val="51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07EAAB5F">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75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AA2FB0">
            <w:pPr>
              <w:spacing w:line="340" w:lineRule="exact"/>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cs="宋体"/>
                <w:color w:val="000000" w:themeColor="text1"/>
                <w:sz w:val="24"/>
                <w:szCs w:val="24"/>
                <w:highlight w:val="none"/>
                <w14:textFill>
                  <w14:solidFill>
                    <w14:schemeClr w14:val="tx1"/>
                  </w14:solidFill>
                </w14:textFill>
              </w:rPr>
              <w:t>需要补充的其他内容</w:t>
            </w:r>
          </w:p>
        </w:tc>
      </w:tr>
      <w:tr w14:paraId="37F58B03">
        <w:tblPrEx>
          <w:tblCellMar>
            <w:top w:w="0" w:type="dxa"/>
            <w:left w:w="10" w:type="dxa"/>
            <w:bottom w:w="0" w:type="dxa"/>
            <w:right w:w="10" w:type="dxa"/>
          </w:tblCellMar>
        </w:tblPrEx>
        <w:trPr>
          <w:trHeight w:val="83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33E70C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10.1</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283E3DC6">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最高投标限价</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6A0F2E6">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折扣率100%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磋商报价不得超过</w:t>
            </w:r>
            <w:r>
              <w:rPr>
                <w:rFonts w:hint="eastAsia" w:ascii="宋体" w:hAnsi="宋体" w:cs="宋体"/>
                <w:color w:val="000000" w:themeColor="text1"/>
                <w:sz w:val="24"/>
                <w:szCs w:val="24"/>
                <w:highlight w:val="none"/>
                <w:lang w:eastAsia="zh-CN"/>
                <w14:textFill>
                  <w14:solidFill>
                    <w14:schemeClr w14:val="tx1"/>
                  </w14:solidFill>
                </w14:textFill>
              </w:rPr>
              <w:t>最高投标限价</w:t>
            </w:r>
            <w:r>
              <w:rPr>
                <w:rFonts w:hint="eastAsia" w:ascii="宋体" w:hAnsi="宋体" w:cs="宋体"/>
                <w:color w:val="000000" w:themeColor="text1"/>
                <w:sz w:val="24"/>
                <w:szCs w:val="24"/>
                <w:highlight w:val="none"/>
                <w14:textFill>
                  <w14:solidFill>
                    <w14:schemeClr w14:val="tx1"/>
                  </w14:solidFill>
                </w14:textFill>
              </w:rPr>
              <w:t>（含首轮报价及</w:t>
            </w:r>
            <w:r>
              <w:rPr>
                <w:rFonts w:hint="eastAsia" w:ascii="宋体" w:hAnsi="宋体" w:cs="宋体"/>
                <w:color w:val="000000" w:themeColor="text1"/>
                <w:sz w:val="24"/>
                <w:szCs w:val="24"/>
                <w:highlight w:val="none"/>
                <w:lang w:eastAsia="zh-CN"/>
                <w14:textFill>
                  <w14:solidFill>
                    <w14:schemeClr w14:val="tx1"/>
                  </w14:solidFill>
                </w14:textFill>
              </w:rPr>
              <w:t>第</w:t>
            </w:r>
            <w:r>
              <w:rPr>
                <w:rFonts w:hint="eastAsia" w:ascii="宋体" w:hAnsi="宋体" w:cs="宋体"/>
                <w:color w:val="000000" w:themeColor="text1"/>
                <w:sz w:val="24"/>
                <w:szCs w:val="24"/>
                <w:highlight w:val="none"/>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轮</w:t>
            </w:r>
            <w:r>
              <w:rPr>
                <w:rFonts w:hint="eastAsia" w:ascii="宋体" w:hAnsi="宋体" w:cs="宋体"/>
                <w:color w:val="000000" w:themeColor="text1"/>
                <w:sz w:val="24"/>
                <w:szCs w:val="24"/>
                <w:highlight w:val="none"/>
                <w14:textFill>
                  <w14:solidFill>
                    <w14:schemeClr w14:val="tx1"/>
                  </w14:solidFill>
                </w14:textFill>
              </w:rPr>
              <w:t>报价）</w:t>
            </w:r>
          </w:p>
        </w:tc>
      </w:tr>
      <w:tr w14:paraId="0BF34E52">
        <w:tblPrEx>
          <w:tblCellMar>
            <w:top w:w="0" w:type="dxa"/>
            <w:left w:w="10" w:type="dxa"/>
            <w:bottom w:w="0" w:type="dxa"/>
            <w:right w:w="10" w:type="dxa"/>
          </w:tblCellMar>
        </w:tblPrEx>
        <w:trPr>
          <w:trHeight w:val="55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4C89EBF9">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10.2</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1E259C0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报价轮次</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373B89F">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本次磋商共2轮报价（含首轮报价）</w:t>
            </w:r>
          </w:p>
        </w:tc>
      </w:tr>
      <w:tr w14:paraId="03510367">
        <w:tblPrEx>
          <w:tblCellMar>
            <w:top w:w="0" w:type="dxa"/>
            <w:left w:w="10" w:type="dxa"/>
            <w:bottom w:w="0" w:type="dxa"/>
            <w:right w:w="10" w:type="dxa"/>
          </w:tblCellMar>
        </w:tblPrEx>
        <w:trPr>
          <w:trHeight w:val="110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5C9F56F5">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4455CCA4">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第二轮报价</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17A7FBE2">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第二轮磋商报价</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通过“政采云”平台（http：//www.zcygov.cn）</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系统</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上传</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第二轮报价</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电子</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版文件；</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以</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“政采云”平台</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格式为准。</w:t>
            </w:r>
          </w:p>
        </w:tc>
      </w:tr>
      <w:tr w14:paraId="544C7856">
        <w:tblPrEx>
          <w:tblCellMar>
            <w:top w:w="0" w:type="dxa"/>
            <w:left w:w="10" w:type="dxa"/>
            <w:bottom w:w="0" w:type="dxa"/>
            <w:right w:w="10" w:type="dxa"/>
          </w:tblCellMar>
        </w:tblPrEx>
        <w:trPr>
          <w:trHeight w:val="147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7AB1B88C">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10.4</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6FF4C597">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代理服务费</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6A1933D">
            <w:pPr>
              <w:spacing w:line="340" w:lineRule="exact"/>
              <w:jc w:val="both"/>
              <w:rPr>
                <w:rFonts w:hint="eastAsia" w:ascii="宋体" w:hAnsi="宋体" w:eastAsia="宋体" w:cs="Calibri"/>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由成交供应商支付，成交供应商应在成交通知书发出时将本项目</w:t>
            </w:r>
            <w:r>
              <w:rPr>
                <w:rFonts w:hint="eastAsia" w:ascii="宋体" w:hAnsi="宋体" w:cs="宋体"/>
                <w:color w:val="000000" w:themeColor="text1"/>
                <w:sz w:val="24"/>
                <w:szCs w:val="24"/>
                <w:highlight w:val="none"/>
                <w:lang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代理服务费一次性支付给采购代理机构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依据有关法律法规规定收取</w:t>
            </w:r>
            <w:r>
              <w:rPr>
                <w:rFonts w:hint="eastAsia" w:ascii="宋体" w:hAnsi="宋体" w:cs="宋体"/>
                <w:b/>
                <w:bCs/>
                <w:color w:val="000000" w:themeColor="text1"/>
                <w:sz w:val="24"/>
                <w:szCs w:val="24"/>
                <w:highlight w:val="none"/>
                <w:lang w:eastAsia="zh-CN"/>
                <w14:textFill>
                  <w14:solidFill>
                    <w14:schemeClr w14:val="tx1"/>
                  </w14:solidFill>
                </w14:textFill>
              </w:rPr>
              <w:t>招标代理服务费</w:t>
            </w:r>
            <w:r>
              <w:rPr>
                <w:rFonts w:hint="eastAsia" w:ascii="宋体" w:hAnsi="宋体" w:cs="宋体"/>
                <w:b/>
                <w:bCs/>
                <w:color w:val="000000" w:themeColor="text1"/>
                <w:sz w:val="24"/>
                <w:szCs w:val="24"/>
                <w:highlight w:val="none"/>
                <w14:textFill>
                  <w14:solidFill>
                    <w14:schemeClr w14:val="tx1"/>
                  </w14:solidFill>
                </w14:textFill>
              </w:rPr>
              <w:t>。</w:t>
            </w:r>
          </w:p>
        </w:tc>
      </w:tr>
      <w:tr w14:paraId="58159BF9">
        <w:tblPrEx>
          <w:tblCellMar>
            <w:top w:w="0" w:type="dxa"/>
            <w:left w:w="10" w:type="dxa"/>
            <w:bottom w:w="0" w:type="dxa"/>
            <w:right w:w="10" w:type="dxa"/>
          </w:tblCellMar>
        </w:tblPrEx>
        <w:trPr>
          <w:trHeight w:val="1506"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4BF5CBF5">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10.5</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7FD70A57">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供应商联系方式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5BF3C0D4">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自购买竞争性磋商文件之日起，供应商应保证其提供的联系方式（电话、传真、电子邮箱）一直有效，以确保往来函件能及时通知供应商，并能及时反馈信息，否则采购人不承担由此引发的一切后果。</w:t>
            </w:r>
          </w:p>
        </w:tc>
      </w:tr>
      <w:tr w14:paraId="5849EA07">
        <w:tblPrEx>
          <w:tblCellMar>
            <w:top w:w="0" w:type="dxa"/>
            <w:left w:w="10" w:type="dxa"/>
            <w:bottom w:w="0" w:type="dxa"/>
            <w:right w:w="10" w:type="dxa"/>
          </w:tblCellMar>
        </w:tblPrEx>
        <w:trPr>
          <w:trHeight w:val="524"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92A678D">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50C77C54">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特殊情况处置程序</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0E7C22C5">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详见供应商须知正文10.</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款</w:t>
            </w:r>
          </w:p>
        </w:tc>
      </w:tr>
      <w:tr w14:paraId="201E7375">
        <w:tblPrEx>
          <w:tblCellMar>
            <w:top w:w="0" w:type="dxa"/>
            <w:left w:w="10" w:type="dxa"/>
            <w:bottom w:w="0" w:type="dxa"/>
            <w:right w:w="10" w:type="dxa"/>
          </w:tblCellMar>
        </w:tblPrEx>
        <w:trPr>
          <w:trHeight w:val="548"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2A5055B1">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7DB3F0AC">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违法违规情形</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4BCAA568">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详见供应商须知正文10.</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款</w:t>
            </w:r>
          </w:p>
        </w:tc>
      </w:tr>
      <w:tr w14:paraId="4C12C849">
        <w:tblPrEx>
          <w:tblCellMar>
            <w:top w:w="0" w:type="dxa"/>
            <w:left w:w="10" w:type="dxa"/>
            <w:bottom w:w="0" w:type="dxa"/>
            <w:right w:w="10" w:type="dxa"/>
          </w:tblCellMar>
        </w:tblPrEx>
        <w:trPr>
          <w:trHeight w:val="0" w:hRule="atLeast"/>
          <w:jc w:val="center"/>
        </w:trPr>
        <w:tc>
          <w:tcPr>
            <w:tcW w:w="1018" w:type="dxa"/>
            <w:tcBorders>
              <w:top w:val="single" w:color="auto" w:sz="4" w:space="0"/>
              <w:left w:val="single" w:color="auto" w:sz="4" w:space="0"/>
              <w:bottom w:val="single" w:color="auto" w:sz="4" w:space="0"/>
            </w:tcBorders>
            <w:shd w:val="clear" w:color="auto" w:fill="FFFFFF"/>
            <w:vAlign w:val="center"/>
          </w:tcPr>
          <w:p w14:paraId="5346C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10.9</w:t>
            </w:r>
          </w:p>
        </w:tc>
        <w:tc>
          <w:tcPr>
            <w:tcW w:w="2208" w:type="dxa"/>
            <w:tcBorders>
              <w:top w:val="single" w:color="auto" w:sz="4" w:space="0"/>
              <w:left w:val="single" w:color="auto" w:sz="4" w:space="0"/>
              <w:bottom w:val="single" w:color="auto" w:sz="4" w:space="0"/>
              <w:right w:val="single" w:color="auto" w:sz="4" w:space="0"/>
            </w:tcBorders>
            <w:shd w:val="clear" w:color="auto" w:fill="FFFFFF"/>
            <w:vAlign w:val="center"/>
          </w:tcPr>
          <w:p w14:paraId="1B132F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是否采用电子招标投标</w:t>
            </w:r>
          </w:p>
        </w:tc>
        <w:tc>
          <w:tcPr>
            <w:tcW w:w="5360" w:type="dxa"/>
            <w:tcBorders>
              <w:top w:val="single" w:color="auto" w:sz="4" w:space="0"/>
              <w:left w:val="single" w:color="auto" w:sz="4" w:space="0"/>
              <w:bottom w:val="single" w:color="auto" w:sz="4" w:space="0"/>
              <w:right w:val="single" w:color="auto" w:sz="4" w:space="0"/>
            </w:tcBorders>
            <w:shd w:val="clear" w:color="auto" w:fill="FFFFFF"/>
            <w:vAlign w:val="center"/>
          </w:tcPr>
          <w:p w14:paraId="2A03D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否</w:t>
            </w:r>
          </w:p>
          <w:p w14:paraId="6248F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是，具体要求：</w:t>
            </w:r>
            <w:r>
              <w:rPr>
                <w:rFonts w:hint="eastAsia" w:ascii="宋体" w:hAnsi="宋体" w:eastAsia="宋体" w:cs="宋体"/>
                <w:color w:val="auto"/>
                <w:sz w:val="24"/>
                <w:szCs w:val="24"/>
                <w:highlight w:val="none"/>
              </w:rPr>
              <w:t>本项目为全流程电子化项目，通过“政采云”平台（http：//www.zcygov.cn）实行在线电子投标，</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文件应加密并在提交截止时间前通过政府采购云平台在线提交</w:t>
            </w:r>
            <w:r>
              <w:rPr>
                <w:rFonts w:hint="eastAsia" w:ascii="宋体" w:hAnsi="宋体" w:eastAsia="宋体" w:cs="宋体"/>
                <w:color w:val="auto"/>
                <w:sz w:val="24"/>
                <w:szCs w:val="24"/>
                <w:highlight w:val="none"/>
                <w:lang w:val="en-US" w:eastAsia="zh-CN"/>
              </w:rPr>
              <w:t>。</w:t>
            </w:r>
          </w:p>
        </w:tc>
      </w:tr>
      <w:tr w14:paraId="487C9F38">
        <w:tblPrEx>
          <w:tblCellMar>
            <w:top w:w="0" w:type="dxa"/>
            <w:left w:w="10" w:type="dxa"/>
            <w:bottom w:w="0" w:type="dxa"/>
            <w:right w:w="10" w:type="dxa"/>
          </w:tblCellMar>
        </w:tblPrEx>
        <w:trPr>
          <w:trHeight w:val="648" w:hRule="atLeast"/>
          <w:jc w:val="center"/>
        </w:trPr>
        <w:tc>
          <w:tcPr>
            <w:tcW w:w="85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619B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b/>
                <w:bCs/>
                <w:color w:val="000000" w:themeColor="text1"/>
                <w:highlight w:val="none"/>
                <w14:textFill>
                  <w14:solidFill>
                    <w14:schemeClr w14:val="tx1"/>
                  </w14:solidFill>
                </w14:textFill>
              </w:rPr>
              <w:t>注：竞争性磋商公告与竞争性磋商文件不符之处以本竞争性磋商文件为准。</w:t>
            </w:r>
          </w:p>
        </w:tc>
      </w:tr>
    </w:tbl>
    <w:p w14:paraId="00ABE9C0">
      <w:pPr>
        <w:spacing w:line="1" w:lineRule="exact"/>
        <w:rPr>
          <w:color w:val="000000" w:themeColor="text1"/>
          <w:sz w:val="2"/>
          <w:szCs w:val="2"/>
          <w:highlight w:val="none"/>
          <w14:textFill>
            <w14:solidFill>
              <w14:schemeClr w14:val="tx1"/>
            </w14:solidFill>
          </w14:textFill>
        </w:rPr>
      </w:pPr>
      <w:r>
        <w:rPr>
          <w:color w:val="000000" w:themeColor="text1"/>
          <w:highlight w:val="none"/>
          <w14:textFill>
            <w14:solidFill>
              <w14:schemeClr w14:val="tx1"/>
            </w14:solidFill>
          </w14:textFill>
        </w:rPr>
        <w:br w:type="page"/>
      </w:r>
    </w:p>
    <w:p w14:paraId="0812FDB6">
      <w:pPr>
        <w:spacing w:line="1" w:lineRule="exact"/>
        <w:rPr>
          <w:color w:val="000000" w:themeColor="text1"/>
          <w:sz w:val="2"/>
          <w:szCs w:val="2"/>
          <w:highlight w:val="none"/>
          <w14:textFill>
            <w14:solidFill>
              <w14:schemeClr w14:val="tx1"/>
            </w14:solidFill>
          </w14:textFill>
        </w:rPr>
      </w:pPr>
    </w:p>
    <w:p w14:paraId="36E0B598">
      <w:pPr>
        <w:spacing w:line="1" w:lineRule="exact"/>
        <w:rPr>
          <w:color w:val="000000" w:themeColor="text1"/>
          <w:sz w:val="2"/>
          <w:szCs w:val="2"/>
          <w:highlight w:val="none"/>
          <w14:textFill>
            <w14:solidFill>
              <w14:schemeClr w14:val="tx1"/>
            </w14:solidFill>
          </w14:textFill>
        </w:rPr>
      </w:pPr>
    </w:p>
    <w:p w14:paraId="0BA6C267">
      <w:pPr>
        <w:spacing w:line="1" w:lineRule="exact"/>
        <w:rPr>
          <w:color w:val="000000" w:themeColor="text1"/>
          <w:highlight w:val="none"/>
          <w14:textFill>
            <w14:solidFill>
              <w14:schemeClr w14:val="tx1"/>
            </w14:solidFill>
          </w14:textFill>
        </w:rPr>
      </w:pPr>
    </w:p>
    <w:p w14:paraId="7E545B68">
      <w:pPr>
        <w:pStyle w:val="79"/>
        <w:keepNext/>
        <w:keepLines/>
        <w:pageBreakBefore w:val="0"/>
        <w:widowControl w:val="0"/>
        <w:kinsoku/>
        <w:wordWrap/>
        <w:overflowPunct/>
        <w:topLinePunct w:val="0"/>
        <w:autoSpaceDE/>
        <w:autoSpaceDN/>
        <w:bidi w:val="0"/>
        <w:adjustRightInd/>
        <w:snapToGrid/>
        <w:spacing w:after="0" w:line="520" w:lineRule="exact"/>
        <w:textAlignment w:val="auto"/>
        <w:outlineLvl w:val="1"/>
        <w:rPr>
          <w:color w:val="000000" w:themeColor="text1"/>
          <w:sz w:val="32"/>
          <w:szCs w:val="32"/>
          <w:highlight w:val="none"/>
          <w14:textFill>
            <w14:solidFill>
              <w14:schemeClr w14:val="tx1"/>
            </w14:solidFill>
          </w14:textFill>
        </w:rPr>
      </w:pPr>
      <w:bookmarkStart w:id="22" w:name="bookmark65"/>
      <w:bookmarkStart w:id="23" w:name="bookmark64"/>
      <w:bookmarkStart w:id="24" w:name="bookmark63"/>
      <w:r>
        <w:rPr>
          <w:rFonts w:hint="eastAsia"/>
          <w:color w:val="000000" w:themeColor="text1"/>
          <w:sz w:val="32"/>
          <w:szCs w:val="32"/>
          <w:highlight w:val="none"/>
          <w:lang w:eastAsia="zh-CN"/>
          <w14:textFill>
            <w14:solidFill>
              <w14:schemeClr w14:val="tx1"/>
            </w14:solidFill>
          </w14:textFill>
        </w:rPr>
        <w:t>二、</w:t>
      </w:r>
      <w:r>
        <w:rPr>
          <w:rFonts w:hint="eastAsia"/>
          <w:color w:val="000000" w:themeColor="text1"/>
          <w:sz w:val="32"/>
          <w:szCs w:val="32"/>
          <w:highlight w:val="none"/>
          <w14:textFill>
            <w14:solidFill>
              <w14:schemeClr w14:val="tx1"/>
            </w14:solidFill>
          </w14:textFill>
        </w:rPr>
        <w:t>供应商须知正文部分</w:t>
      </w:r>
      <w:bookmarkEnd w:id="22"/>
      <w:bookmarkEnd w:id="23"/>
      <w:bookmarkEnd w:id="24"/>
    </w:p>
    <w:p w14:paraId="0943FDC4">
      <w:pPr>
        <w:pStyle w:val="78"/>
        <w:pageBreakBefore w:val="0"/>
        <w:widowControl w:val="0"/>
        <w:kinsoku/>
        <w:wordWrap/>
        <w:overflowPunct/>
        <w:topLinePunct w:val="0"/>
        <w:autoSpaceDE/>
        <w:autoSpaceDN/>
        <w:bidi w:val="0"/>
        <w:adjustRightInd/>
        <w:snapToGrid/>
        <w:spacing w:line="520" w:lineRule="exact"/>
        <w:jc w:val="center"/>
        <w:textAlignment w:val="auto"/>
        <w:rPr>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总则</w:t>
      </w:r>
    </w:p>
    <w:p w14:paraId="67BF0BA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供应商应仔细阅读本磋商文件的所有内容(包括答疑、补充、澄清以及修改等)，按照磋商文 件要求以及格式编制响应文件，并保证其真实性，否则一切后果自负。</w:t>
      </w:r>
    </w:p>
    <w:p w14:paraId="71498D1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项目概况</w:t>
      </w:r>
    </w:p>
    <w:p w14:paraId="639D13D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根据《中华人民共和国政府采购法》、《中华人民共和国政府采购法实施条例》、</w:t>
      </w:r>
      <w:r>
        <w:rPr>
          <w:rFonts w:hint="eastAsia" w:ascii="宋体" w:hAnsi="宋体" w:cs="宋体"/>
          <w:color w:val="000000" w:themeColor="text1"/>
          <w:sz w:val="24"/>
          <w:szCs w:val="24"/>
          <w:highlight w:val="none"/>
          <w14:textFill>
            <w14:solidFill>
              <w14:schemeClr w14:val="tx1"/>
            </w14:solidFill>
          </w14:textFill>
        </w:rPr>
        <w:t>《政府采购货物和服务招标投标管理办法》</w:t>
      </w:r>
      <w:r>
        <w:rPr>
          <w:rFonts w:hint="eastAsia" w:ascii="宋体" w:hAnsi="宋体" w:eastAsia="宋体" w:cs="宋体"/>
          <w:color w:val="000000" w:themeColor="text1"/>
          <w:sz w:val="24"/>
          <w:szCs w:val="24"/>
          <w:highlight w:val="none"/>
          <w14:textFill>
            <w14:solidFill>
              <w14:schemeClr w14:val="tx1"/>
            </w14:solidFill>
          </w14:textFill>
        </w:rPr>
        <w:t>、《财政部关于印发政府采购竞争性磋商采购方式管理暂行办法的通知》等有关法律、法规和规章的规定，本采购项目已具备采购条件，现以竞争性磋商方式对本项目进行采购。</w:t>
      </w:r>
    </w:p>
    <w:p w14:paraId="2AD731C5">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本采购项目采购人：见供应商须知前附表。</w:t>
      </w:r>
    </w:p>
    <w:p w14:paraId="3F76FE0D">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本采购项目采购代理机构：见供应商须知前附表。</w:t>
      </w:r>
    </w:p>
    <w:p w14:paraId="7918029E">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1.1.3</w:t>
      </w:r>
      <w:r>
        <w:rPr>
          <w:rFonts w:hint="eastAsia" w:ascii="宋体" w:hAnsi="宋体" w:eastAsia="宋体" w:cs="宋体"/>
          <w:color w:val="000000" w:themeColor="text1"/>
          <w:sz w:val="24"/>
          <w:szCs w:val="24"/>
          <w:highlight w:val="none"/>
          <w14:textFill>
            <w14:solidFill>
              <w14:schemeClr w14:val="tx1"/>
            </w14:solidFill>
          </w14:textFill>
        </w:rPr>
        <w:t>供应商：系指响应采购要求且符合磋商文件规定的资格条件和参加磋商报价竞争的法人、其他组织或者自然人。</w:t>
      </w:r>
    </w:p>
    <w:p w14:paraId="62528452">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1.1.4</w:t>
      </w:r>
      <w:r>
        <w:rPr>
          <w:rFonts w:hint="eastAsia" w:ascii="宋体" w:hAnsi="宋体" w:eastAsia="宋体" w:cs="宋体"/>
          <w:color w:val="000000" w:themeColor="text1"/>
          <w:sz w:val="24"/>
          <w:szCs w:val="24"/>
          <w:highlight w:val="none"/>
          <w14:textFill>
            <w14:solidFill>
              <w14:schemeClr w14:val="tx1"/>
            </w14:solidFill>
          </w14:textFill>
        </w:rPr>
        <w:t>磋商小组：系指根据法律法规规定，由采购人代表和有关专家组成以确定成交供应商的临时组织。</w:t>
      </w:r>
    </w:p>
    <w:p w14:paraId="66E049F3">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1.1.5</w:t>
      </w:r>
      <w:r>
        <w:rPr>
          <w:rFonts w:hint="eastAsia" w:ascii="宋体" w:hAnsi="宋体" w:eastAsia="宋体" w:cs="宋体"/>
          <w:color w:val="000000" w:themeColor="text1"/>
          <w:sz w:val="24"/>
          <w:szCs w:val="24"/>
          <w:highlight w:val="none"/>
          <w14:textFill>
            <w14:solidFill>
              <w14:schemeClr w14:val="tx1"/>
            </w14:solidFill>
          </w14:textFill>
        </w:rPr>
        <w:t>成交供应商：系指经磋商确定的满足磋商文件实质性响应要求且经评审综合得分最高的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取得与采购人签订合同资格的供应商。</w:t>
      </w:r>
    </w:p>
    <w:p w14:paraId="70A710BB">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1.1.6</w:t>
      </w:r>
      <w:r>
        <w:rPr>
          <w:rFonts w:hint="eastAsia" w:ascii="宋体" w:hAnsi="宋体" w:eastAsia="宋体" w:cs="宋体"/>
          <w:color w:val="000000" w:themeColor="text1"/>
          <w:sz w:val="24"/>
          <w:szCs w:val="24"/>
          <w:highlight w:val="none"/>
          <w14:textFill>
            <w14:solidFill>
              <w14:schemeClr w14:val="tx1"/>
            </w14:solidFill>
          </w14:textFill>
        </w:rPr>
        <w:t>本采购项目名称：见供应商须知前附表。</w:t>
      </w:r>
    </w:p>
    <w:p w14:paraId="686439CA">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1.1.7</w:t>
      </w:r>
      <w:r>
        <w:rPr>
          <w:rFonts w:hint="eastAsia" w:ascii="宋体" w:hAnsi="宋体" w:eastAsia="宋体" w:cs="宋体"/>
          <w:color w:val="000000" w:themeColor="text1"/>
          <w:sz w:val="24"/>
          <w:szCs w:val="24"/>
          <w:highlight w:val="none"/>
          <w14:textFill>
            <w14:solidFill>
              <w14:schemeClr w14:val="tx1"/>
            </w14:solidFill>
          </w14:textFill>
        </w:rPr>
        <w:t>本采购项目</w:t>
      </w:r>
      <w:r>
        <w:rPr>
          <w:rFonts w:hint="eastAsia" w:ascii="宋体" w:hAnsi="宋体" w:eastAsia="宋体" w:cs="宋体"/>
          <w:color w:val="000000" w:themeColor="text1"/>
          <w:sz w:val="24"/>
          <w:szCs w:val="24"/>
          <w:highlight w:val="none"/>
          <w:lang w:eastAsia="zh-CN"/>
          <w14:textFill>
            <w14:solidFill>
              <w14:schemeClr w14:val="tx1"/>
            </w14:solidFill>
          </w14:textFill>
        </w:rPr>
        <w:t>地点及合同履行期限</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53F49FF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1.1.8</w:t>
      </w:r>
      <w:r>
        <w:rPr>
          <w:rFonts w:hint="eastAsia" w:ascii="宋体" w:hAnsi="宋体" w:eastAsia="宋体" w:cs="宋体"/>
          <w:color w:val="000000" w:themeColor="text1"/>
          <w:sz w:val="24"/>
          <w:szCs w:val="24"/>
          <w:highlight w:val="none"/>
          <w14:textFill>
            <w14:solidFill>
              <w14:schemeClr w14:val="tx1"/>
            </w14:solidFill>
          </w14:textFill>
        </w:rPr>
        <w:t>本采购项目预算：见供应商须知前附表。</w:t>
      </w:r>
    </w:p>
    <w:p w14:paraId="221C232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1.1.9</w:t>
      </w:r>
      <w:r>
        <w:rPr>
          <w:rFonts w:hint="eastAsia" w:ascii="宋体" w:hAnsi="宋体" w:eastAsia="宋体" w:cs="宋体"/>
          <w:color w:val="000000" w:themeColor="text1"/>
          <w:sz w:val="24"/>
          <w:szCs w:val="24"/>
          <w:highlight w:val="none"/>
          <w14:textFill>
            <w14:solidFill>
              <w14:schemeClr w14:val="tx1"/>
            </w14:solidFill>
          </w14:textFill>
        </w:rPr>
        <w:t>本采购项目标段划分：见供应商须知前附表</w:t>
      </w:r>
    </w:p>
    <w:p w14:paraId="7EDA4E6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2资金来源</w:t>
      </w:r>
      <w:r>
        <w:rPr>
          <w:rFonts w:hint="eastAsia" w:ascii="宋体" w:hAnsi="宋体" w:eastAsia="宋体" w:cs="宋体"/>
          <w:b/>
          <w:bCs/>
          <w:color w:val="000000" w:themeColor="text1"/>
          <w:sz w:val="24"/>
          <w:szCs w:val="24"/>
          <w:highlight w:val="none"/>
          <w:lang w:eastAsia="zh-CN"/>
          <w14:textFill>
            <w14:solidFill>
              <w14:schemeClr w14:val="tx1"/>
            </w14:solidFill>
          </w14:textFill>
        </w:rPr>
        <w:t>、出资比例和</w:t>
      </w:r>
      <w:r>
        <w:rPr>
          <w:rFonts w:hint="eastAsia" w:ascii="宋体" w:hAnsi="宋体" w:eastAsia="宋体" w:cs="宋体"/>
          <w:b/>
          <w:bCs/>
          <w:color w:val="000000" w:themeColor="text1"/>
          <w:sz w:val="24"/>
          <w:szCs w:val="24"/>
          <w:highlight w:val="none"/>
          <w14:textFill>
            <w14:solidFill>
              <w14:schemeClr w14:val="tx1"/>
            </w14:solidFill>
          </w14:textFill>
        </w:rPr>
        <w:t>落实情况</w:t>
      </w:r>
    </w:p>
    <w:p w14:paraId="00B293C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1.2.1</w:t>
      </w:r>
      <w:r>
        <w:rPr>
          <w:rFonts w:hint="eastAsia" w:ascii="宋体" w:hAnsi="宋体" w:eastAsia="宋体" w:cs="宋体"/>
          <w:color w:val="000000" w:themeColor="text1"/>
          <w:sz w:val="24"/>
          <w:szCs w:val="24"/>
          <w:highlight w:val="none"/>
          <w14:textFill>
            <w14:solidFill>
              <w14:schemeClr w14:val="tx1"/>
            </w14:solidFill>
          </w14:textFill>
        </w:rPr>
        <w:t>本采购项目的资金来源：见供应商须知前附表。</w:t>
      </w:r>
    </w:p>
    <w:p w14:paraId="7F451F92">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本采购项目的岀资比例：见供应商须知前附表。</w:t>
      </w:r>
    </w:p>
    <w:p w14:paraId="7191AF0C">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1.2.3</w:t>
      </w:r>
      <w:r>
        <w:rPr>
          <w:rFonts w:hint="eastAsia" w:ascii="宋体" w:hAnsi="宋体" w:eastAsia="宋体" w:cs="宋体"/>
          <w:color w:val="000000" w:themeColor="text1"/>
          <w:sz w:val="24"/>
          <w:szCs w:val="24"/>
          <w:highlight w:val="none"/>
          <w14:textFill>
            <w14:solidFill>
              <w14:schemeClr w14:val="tx1"/>
            </w14:solidFill>
          </w14:textFill>
        </w:rPr>
        <w:t>本采购项目的资金落实情况：见供应商须知前附表。</w:t>
      </w:r>
    </w:p>
    <w:p w14:paraId="2EC5FC2B">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3釆购</w:t>
      </w:r>
      <w:r>
        <w:rPr>
          <w:rFonts w:hint="eastAsia" w:ascii="宋体" w:hAnsi="宋体" w:eastAsia="宋体" w:cs="宋体"/>
          <w:b/>
          <w:bCs/>
          <w:color w:val="000000" w:themeColor="text1"/>
          <w:sz w:val="24"/>
          <w:szCs w:val="24"/>
          <w:highlight w:val="none"/>
          <w:lang w:eastAsia="zh-CN"/>
          <w14:textFill>
            <w14:solidFill>
              <w14:schemeClr w14:val="tx1"/>
            </w14:solidFill>
          </w14:textFill>
        </w:rPr>
        <w:t>内容</w:t>
      </w:r>
      <w:r>
        <w:rPr>
          <w:rFonts w:hint="eastAsia" w:ascii="宋体" w:hAnsi="宋体" w:eastAsia="宋体" w:cs="宋体"/>
          <w:b/>
          <w:bCs/>
          <w:color w:val="000000" w:themeColor="text1"/>
          <w:sz w:val="24"/>
          <w:szCs w:val="24"/>
          <w:highlight w:val="none"/>
          <w14:textFill>
            <w14:solidFill>
              <w14:schemeClr w14:val="tx1"/>
            </w14:solidFill>
          </w14:textFill>
        </w:rPr>
        <w:t>和</w:t>
      </w:r>
      <w:r>
        <w:rPr>
          <w:rFonts w:hint="eastAsia" w:cs="宋体"/>
          <w:b/>
          <w:bCs/>
          <w:color w:val="000000" w:themeColor="text1"/>
          <w:sz w:val="24"/>
          <w:szCs w:val="24"/>
          <w:highlight w:val="none"/>
          <w:lang w:eastAsia="zh-CN"/>
          <w14:textFill>
            <w14:solidFill>
              <w14:schemeClr w14:val="tx1"/>
            </w14:solidFill>
          </w14:textFill>
        </w:rPr>
        <w:t>质量要求</w:t>
      </w:r>
    </w:p>
    <w:p w14:paraId="684057AF">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1.3.1</w:t>
      </w:r>
      <w:r>
        <w:rPr>
          <w:rFonts w:hint="eastAsia" w:ascii="宋体" w:hAnsi="宋体" w:eastAsia="宋体" w:cs="宋体"/>
          <w:color w:val="000000" w:themeColor="text1"/>
          <w:sz w:val="24"/>
          <w:szCs w:val="24"/>
          <w:highlight w:val="none"/>
          <w14:textFill>
            <w14:solidFill>
              <w14:schemeClr w14:val="tx1"/>
            </w14:solidFill>
          </w14:textFill>
        </w:rPr>
        <w:t>本次采购</w:t>
      </w:r>
      <w:r>
        <w:rPr>
          <w:rFonts w:hint="eastAsia" w:ascii="宋体" w:hAnsi="宋体" w:eastAsia="宋体" w:cs="宋体"/>
          <w:color w:val="000000" w:themeColor="text1"/>
          <w:sz w:val="24"/>
          <w:szCs w:val="24"/>
          <w:highlight w:val="none"/>
          <w:lang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4AECA741">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1.3.2</w:t>
      </w:r>
      <w:r>
        <w:rPr>
          <w:rFonts w:hint="eastAsia" w:ascii="宋体" w:hAnsi="宋体" w:eastAsia="宋体" w:cs="宋体"/>
          <w:color w:val="000000" w:themeColor="text1"/>
          <w:sz w:val="24"/>
          <w:szCs w:val="24"/>
          <w:highlight w:val="none"/>
          <w14:textFill>
            <w14:solidFill>
              <w14:schemeClr w14:val="tx1"/>
            </w14:solidFill>
          </w14:textFill>
        </w:rPr>
        <w:t>本采购项目的</w:t>
      </w:r>
      <w:r>
        <w:rPr>
          <w:rFonts w:hint="eastAsia" w:cs="宋体"/>
          <w:color w:val="000000" w:themeColor="text1"/>
          <w:sz w:val="24"/>
          <w:szCs w:val="24"/>
          <w:highlight w:val="none"/>
          <w:lang w:eastAsia="zh-CN"/>
          <w14:textFill>
            <w14:solidFill>
              <w14:schemeClr w14:val="tx1"/>
            </w14:solidFill>
          </w14:textFill>
        </w:rPr>
        <w:t>质量要求</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67B23BF9">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b/>
          <w:bCs/>
          <w:color w:val="000000" w:themeColor="text1"/>
          <w:sz w:val="24"/>
          <w:szCs w:val="24"/>
          <w:highlight w:val="none"/>
          <w14:textFill>
            <w14:solidFill>
              <w14:schemeClr w14:val="tx1"/>
            </w14:solidFill>
          </w14:textFill>
        </w:rPr>
        <w:t>供应商资格要求</w:t>
      </w:r>
    </w:p>
    <w:p w14:paraId="366C2F72">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供应商应具备承担本</w:t>
      </w:r>
      <w:r>
        <w:rPr>
          <w:rFonts w:hint="eastAsia" w:ascii="宋体" w:hAnsi="宋体" w:eastAsia="宋体" w:cs="宋体"/>
          <w:color w:val="000000" w:themeColor="text1"/>
          <w:sz w:val="24"/>
          <w:szCs w:val="24"/>
          <w:highlight w:val="none"/>
          <w:lang w:eastAsia="zh-CN"/>
          <w14:textFill>
            <w14:solidFill>
              <w14:schemeClr w14:val="tx1"/>
            </w14:solidFill>
          </w14:textFill>
        </w:rPr>
        <w:t>磋商项目</w:t>
      </w:r>
      <w:r>
        <w:rPr>
          <w:rFonts w:hint="eastAsia" w:ascii="宋体" w:hAnsi="宋体" w:eastAsia="宋体" w:cs="宋体"/>
          <w:color w:val="000000" w:themeColor="text1"/>
          <w:sz w:val="24"/>
          <w:szCs w:val="24"/>
          <w:highlight w:val="none"/>
          <w14:textFill>
            <w14:solidFill>
              <w14:schemeClr w14:val="tx1"/>
            </w14:solidFill>
          </w14:textFill>
        </w:rPr>
        <w:t>的资质条件、能力和信誉。</w:t>
      </w:r>
    </w:p>
    <w:p w14:paraId="3905120F">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 w:name="bookmark66"/>
      <w:bookmarkEnd w:id="25"/>
      <w:r>
        <w:rPr>
          <w:rFonts w:hint="eastAsia" w:ascii="宋体" w:hAnsi="宋体" w:eastAsia="宋体" w:cs="宋体"/>
          <w:color w:val="000000" w:themeColor="text1"/>
          <w:sz w:val="24"/>
          <w:szCs w:val="24"/>
          <w:highlight w:val="none"/>
          <w14:textFill>
            <w14:solidFill>
              <w14:schemeClr w14:val="tx1"/>
            </w14:solidFill>
          </w14:textFill>
        </w:rPr>
        <w:t>（1）资质条件：见供应商须知前附表；</w:t>
      </w:r>
    </w:p>
    <w:p w14:paraId="62C7287D">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6" w:name="bookmark67"/>
      <w:bookmarkEnd w:id="26"/>
      <w:r>
        <w:rPr>
          <w:rFonts w:hint="eastAsia" w:ascii="宋体" w:hAnsi="宋体" w:eastAsia="宋体" w:cs="宋体"/>
          <w:color w:val="000000" w:themeColor="text1"/>
          <w:sz w:val="24"/>
          <w:szCs w:val="24"/>
          <w:highlight w:val="none"/>
          <w14:textFill>
            <w14:solidFill>
              <w14:schemeClr w14:val="tx1"/>
            </w14:solidFill>
          </w14:textFill>
        </w:rPr>
        <w:t>（2）财务要求：见供应商须知前附表；</w:t>
      </w:r>
    </w:p>
    <w:p w14:paraId="7FF0E86B">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7" w:name="bookmark68"/>
      <w:bookmarkEnd w:id="27"/>
      <w:r>
        <w:rPr>
          <w:rFonts w:hint="eastAsia" w:ascii="宋体" w:hAnsi="宋体" w:eastAsia="宋体" w:cs="宋体"/>
          <w:color w:val="000000" w:themeColor="text1"/>
          <w:sz w:val="24"/>
          <w:szCs w:val="24"/>
          <w:highlight w:val="none"/>
          <w14:textFill>
            <w14:solidFill>
              <w14:schemeClr w14:val="tx1"/>
            </w14:solidFill>
          </w14:textFill>
        </w:rPr>
        <w:t>（3）业绩要求：见供应商须知前附表；</w:t>
      </w:r>
    </w:p>
    <w:p w14:paraId="3FE8250C">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8" w:name="bookmark69"/>
      <w:bookmarkEnd w:id="28"/>
      <w:r>
        <w:rPr>
          <w:rFonts w:hint="eastAsia" w:ascii="宋体" w:hAnsi="宋体" w:eastAsia="宋体" w:cs="宋体"/>
          <w:color w:val="000000" w:themeColor="text1"/>
          <w:sz w:val="24"/>
          <w:szCs w:val="24"/>
          <w:highlight w:val="none"/>
          <w14:textFill>
            <w14:solidFill>
              <w14:schemeClr w14:val="tx1"/>
            </w14:solidFill>
          </w14:textFill>
        </w:rPr>
        <w:t>（4）信誉要求：见供应商须知前附表；</w:t>
      </w:r>
    </w:p>
    <w:p w14:paraId="5AD6B5A6">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9" w:name="bookmark70"/>
      <w:bookmarkEnd w:id="29"/>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资格：见供应商须知前附表；</w:t>
      </w:r>
    </w:p>
    <w:p w14:paraId="1B363EC5">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0" w:name="bookmark71"/>
      <w:bookmarkEnd w:id="30"/>
      <w:r>
        <w:rPr>
          <w:rFonts w:hint="eastAsia" w:ascii="宋体" w:hAnsi="宋体" w:eastAsia="宋体" w:cs="宋体"/>
          <w:color w:val="000000" w:themeColor="text1"/>
          <w:sz w:val="24"/>
          <w:szCs w:val="24"/>
          <w:highlight w:val="none"/>
          <w14:textFill>
            <w14:solidFill>
              <w14:schemeClr w14:val="tx1"/>
            </w14:solidFill>
          </w14:textFill>
        </w:rPr>
        <w:t>（6）其他要求：见供应商须知前附表。</w:t>
      </w:r>
    </w:p>
    <w:p w14:paraId="1E3C29FC">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2供应商须知前附表规定接受联合体投标的，联合体除应符合本章第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1项和供应商须知前附表的要求外，还应遵守以下规定：</w:t>
      </w:r>
    </w:p>
    <w:p w14:paraId="3039332F">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 w:name="bookmark72"/>
      <w:bookmarkEnd w:id="3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联合体各方应按竞争性磋商文件提供的格式签订联合体协议书，明确联合体牵头人和各方权利义务，并承诺就中标项目向采购人承担连带责任；</w:t>
      </w:r>
    </w:p>
    <w:p w14:paraId="215D693C">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2" w:name="bookmark73"/>
      <w:bookmarkEnd w:id="3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由同一专业的单位组成的联合体，按照资质等级较低的单位确定资质等级；</w:t>
      </w:r>
    </w:p>
    <w:p w14:paraId="691FC871">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 w:name="bookmark74"/>
      <w:bookmarkEnd w:id="3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联合体各方不得再以自己名义单独或参加其他联合体在同一标段中磋商；</w:t>
      </w:r>
    </w:p>
    <w:p w14:paraId="144AFEFE">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4" w:name="bookmark75"/>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联合体各方应分别按照本竞争性磋商文件的要求，填写竞争性磋商响应文件中的相应表格, 并由联合体牵头人负责对联合体各成员的资料进行统一汇总后一并提交给采购人；联合体牵头人所提交的竞争性磋商响应文件应认为已代表了联合体各成员的真实情况；</w:t>
      </w:r>
    </w:p>
    <w:p w14:paraId="7F3BC129">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5" w:name="bookmark76"/>
      <w:bookmarkEnd w:id="3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尽管委任了联合体牵头人，但联合体各成员在投标、签订合同与履行合同过程中，仍负有连带的和各自的法律责任。</w:t>
      </w:r>
    </w:p>
    <w:p w14:paraId="2828F861">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1.4.3</w:t>
      </w:r>
      <w:r>
        <w:rPr>
          <w:rFonts w:hint="eastAsia" w:ascii="宋体" w:hAnsi="宋体" w:eastAsia="宋体" w:cs="宋体"/>
          <w:color w:val="000000" w:themeColor="text1"/>
          <w:sz w:val="24"/>
          <w:szCs w:val="24"/>
          <w:highlight w:val="none"/>
          <w14:textFill>
            <w14:solidFill>
              <w14:schemeClr w14:val="tx1"/>
            </w14:solidFill>
          </w14:textFill>
        </w:rPr>
        <w:t>供应商(包括联合体各成员)不得与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相关单位存在下列关联关系：</w:t>
      </w:r>
    </w:p>
    <w:p w14:paraId="385269A5">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6" w:name="bookmark77"/>
      <w:bookmarkEnd w:id="3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为采购人不具有独立法人资格的附属机构(单位)；</w:t>
      </w:r>
    </w:p>
    <w:p w14:paraId="7FADE86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7" w:name="bookmark78"/>
      <w:bookmarkEnd w:id="3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与采购人存在利害关系且可能影响磋商公正性；</w:t>
      </w:r>
    </w:p>
    <w:p w14:paraId="0B91F7F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8" w:name="bookmark79"/>
      <w:bookmarkEnd w:id="3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的其他供应商同为一个单位负责人；</w:t>
      </w:r>
    </w:p>
    <w:p w14:paraId="6B6A1550">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 w:name="bookmark80"/>
      <w:bookmarkEnd w:id="3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的其他供应商存在控股、管理关系；</w:t>
      </w:r>
    </w:p>
    <w:p w14:paraId="0FF40AA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0" w:name="bookmark81"/>
      <w:bookmarkEnd w:id="4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前期准备提供设计或咨询服务的法人或其任何附属机构(单位)；</w:t>
      </w:r>
    </w:p>
    <w:p w14:paraId="2CF96756">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 w:name="bookmark82"/>
      <w:bookmarkEnd w:id="41"/>
      <w:r>
        <w:rPr>
          <w:rFonts w:hint="eastAsia" w:ascii="宋体" w:hAnsi="宋体" w:eastAsia="宋体" w:cs="宋体"/>
          <w:color w:val="000000" w:themeColor="text1"/>
          <w:sz w:val="24"/>
          <w:szCs w:val="24"/>
          <w:highlight w:val="none"/>
          <w:lang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w:t>
      </w:r>
    </w:p>
    <w:p w14:paraId="5971FB4B">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2" w:name="bookmark83"/>
      <w:bookmarkEnd w:id="42"/>
      <w:r>
        <w:rPr>
          <w:rFonts w:hint="eastAsia" w:ascii="宋体" w:hAnsi="宋体" w:eastAsia="宋体" w:cs="宋体"/>
          <w:color w:val="000000" w:themeColor="text1"/>
          <w:sz w:val="24"/>
          <w:szCs w:val="24"/>
          <w:highlight w:val="none"/>
          <w:lang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的代建人；</w:t>
      </w:r>
    </w:p>
    <w:p w14:paraId="6A540126">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3" w:name="bookmark84"/>
      <w:bookmarkEnd w:id="43"/>
      <w:r>
        <w:rPr>
          <w:rFonts w:hint="eastAsia" w:ascii="宋体" w:hAnsi="宋体" w:eastAsia="宋体" w:cs="宋体"/>
          <w:color w:val="000000" w:themeColor="text1"/>
          <w:sz w:val="24"/>
          <w:szCs w:val="24"/>
          <w:highlight w:val="none"/>
          <w:lang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的磋商代理机构；</w:t>
      </w:r>
    </w:p>
    <w:p w14:paraId="2AB24EDF">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4" w:name="bookmark85"/>
      <w:bookmarkEnd w:id="44"/>
      <w:r>
        <w:rPr>
          <w:rFonts w:hint="eastAsia" w:ascii="宋体" w:hAnsi="宋体" w:eastAsia="宋体" w:cs="宋体"/>
          <w:color w:val="000000" w:themeColor="text1"/>
          <w:sz w:val="24"/>
          <w:szCs w:val="24"/>
          <w:highlight w:val="none"/>
          <w:lang w:eastAsia="zh-CN"/>
          <w14:textFill>
            <w14:solidFill>
              <w14:schemeClr w14:val="tx1"/>
            </w14:solidFill>
          </w14:textFill>
        </w:rPr>
        <w:t>④</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的监理人或代建人或磋商代理机构同为一个法定代表人；</w:t>
      </w:r>
    </w:p>
    <w:p w14:paraId="2DE9E5E1">
      <w:pPr>
        <w:pStyle w:val="78"/>
        <w:keepNext w:val="0"/>
        <w:keepLines w:val="0"/>
        <w:pageBreakBefore w:val="0"/>
        <w:widowControl w:val="0"/>
        <w:tabs>
          <w:tab w:val="left" w:pos="1029"/>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5" w:name="bookmark86"/>
      <w:bookmarkEnd w:id="45"/>
      <w:r>
        <w:rPr>
          <w:rFonts w:hint="eastAsia" w:ascii="宋体" w:hAnsi="宋体" w:eastAsia="宋体" w:cs="宋体"/>
          <w:color w:val="000000" w:themeColor="text1"/>
          <w:sz w:val="24"/>
          <w:szCs w:val="24"/>
          <w:highlight w:val="none"/>
          <w:lang w:eastAsia="zh-CN"/>
          <w14:textFill>
            <w14:solidFill>
              <w14:schemeClr w14:val="tx1"/>
            </w14:solidFill>
          </w14:textFill>
        </w:rPr>
        <w:t>⑤</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的监理人或代建人或磋商代理机构存在控股或参股关系；</w:t>
      </w:r>
    </w:p>
    <w:p w14:paraId="4E762E7B">
      <w:pPr>
        <w:pStyle w:val="78"/>
        <w:keepNext w:val="0"/>
        <w:keepLines w:val="0"/>
        <w:pageBreakBefore w:val="0"/>
        <w:widowControl w:val="0"/>
        <w:tabs>
          <w:tab w:val="left" w:pos="1029"/>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6" w:name="bookmark87"/>
      <w:bookmarkEnd w:id="46"/>
      <w:r>
        <w:rPr>
          <w:rFonts w:hint="eastAsia" w:ascii="宋体" w:hAnsi="宋体" w:eastAsia="宋体" w:cs="宋体"/>
          <w:color w:val="000000" w:themeColor="text1"/>
          <w:sz w:val="24"/>
          <w:szCs w:val="24"/>
          <w:highlight w:val="none"/>
          <w:lang w:eastAsia="zh-CN"/>
          <w14:textFill>
            <w14:solidFill>
              <w14:schemeClr w14:val="tx1"/>
            </w14:solidFill>
          </w14:textFill>
        </w:rPr>
        <w:t>⑥</w:t>
      </w:r>
      <w:r>
        <w:rPr>
          <w:rFonts w:hint="eastAsia" w:ascii="宋体" w:hAnsi="宋体" w:eastAsia="宋体" w:cs="宋体"/>
          <w:color w:val="000000" w:themeColor="text1"/>
          <w:sz w:val="24"/>
          <w:szCs w:val="24"/>
          <w:highlight w:val="none"/>
          <w14:textFill>
            <w14:solidFill>
              <w14:schemeClr w14:val="tx1"/>
            </w14:solidFill>
          </w14:textFill>
        </w:rPr>
        <w:t>法律法规或供应商须知前附表规定的其他情形。</w:t>
      </w:r>
    </w:p>
    <w:p w14:paraId="700A9BA0">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1.4.4</w:t>
      </w:r>
      <w:r>
        <w:rPr>
          <w:rFonts w:hint="eastAsia" w:ascii="宋体" w:hAnsi="宋体" w:eastAsia="宋体" w:cs="宋体"/>
          <w:color w:val="000000" w:themeColor="text1"/>
          <w:sz w:val="24"/>
          <w:szCs w:val="24"/>
          <w:highlight w:val="none"/>
          <w14:textFill>
            <w14:solidFill>
              <w14:schemeClr w14:val="tx1"/>
            </w14:solidFill>
          </w14:textFill>
        </w:rPr>
        <w:t>供应商(包括联合体各成员)不得存在下列不良状况或不良信用记录：</w:t>
      </w:r>
    </w:p>
    <w:p w14:paraId="7D20DF7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7" w:name="bookmark88"/>
      <w:bookmarkEnd w:id="4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被省级及以上主管部门取消磋商项目所在地的投标资格且处于有效期内；</w:t>
      </w:r>
    </w:p>
    <w:p w14:paraId="422034E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8" w:name="bookmark89"/>
      <w:bookmarkEnd w:id="4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被责令停业，暂扣或吊销执照，或吊销资质证书；</w:t>
      </w:r>
    </w:p>
    <w:p w14:paraId="5EC5C3F3">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9" w:name="bookmark90"/>
      <w:bookmarkEnd w:id="4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进入清算程序，或被宣告破产，或其他丧失履约能力的情形；</w:t>
      </w:r>
    </w:p>
    <w:p w14:paraId="46A98DE7">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bookmarkStart w:id="50" w:name="bookmark91"/>
      <w:bookmarkEnd w:id="5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被市场监督管理机关在国家企业信用信息公示系统</w:t>
      </w:r>
      <w:r>
        <w:rPr>
          <w:rFonts w:hint="eastAsia" w:ascii="宋体" w:hAnsi="宋体" w:eastAsia="宋体" w:cs="宋体"/>
          <w:sz w:val="24"/>
          <w:szCs w:val="24"/>
          <w:highlight w:val="none"/>
        </w:rPr>
        <w:t>（http</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//www.gsxt.gov.cn/）中列入严重违法失信企业名单；</w:t>
      </w:r>
    </w:p>
    <w:p w14:paraId="69365328">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）被列入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信用</w:t>
      </w:r>
      <w:r>
        <w:rPr>
          <w:rFonts w:hint="eastAsia" w:ascii="宋体" w:hAnsi="宋体" w:eastAsia="宋体" w:cs="宋体"/>
          <w:sz w:val="24"/>
          <w:szCs w:val="24"/>
          <w:highlight w:val="none"/>
          <w:lang w:val="zh-CN"/>
        </w:rPr>
        <w:t>中国”</w:t>
      </w:r>
      <w:r>
        <w:rPr>
          <w:rFonts w:hint="eastAsia" w:ascii="宋体" w:hAnsi="宋体" w:eastAsia="宋体" w:cs="宋体"/>
          <w:sz w:val="24"/>
          <w:szCs w:val="24"/>
          <w:highlight w:val="none"/>
        </w:rPr>
        <w:t>网站（www.creditchina.gov.cn）、中国政府采购网（www.ccgp.gov.cn）等渠道信用记录失信被执行人、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w:t>
      </w:r>
    </w:p>
    <w:p w14:paraId="77F596B5">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）在近三年内</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其法定代表人、拟委任的</w:t>
      </w:r>
      <w:r>
        <w:rPr>
          <w:rFonts w:hint="eastAsia" w:ascii="宋体" w:hAnsi="宋体" w:cs="宋体"/>
          <w:sz w:val="24"/>
          <w:szCs w:val="24"/>
          <w:highlight w:val="none"/>
          <w:lang w:eastAsia="zh-CN"/>
        </w:rPr>
        <w:t>项目负责人</w:t>
      </w:r>
      <w:r>
        <w:rPr>
          <w:rFonts w:hint="eastAsia" w:ascii="宋体" w:hAnsi="宋体" w:eastAsia="宋体" w:cs="宋体"/>
          <w:sz w:val="24"/>
          <w:szCs w:val="24"/>
          <w:highlight w:val="none"/>
        </w:rPr>
        <w:t>有行贿犯罪行为的；</w:t>
      </w:r>
    </w:p>
    <w:p w14:paraId="5C027AAB">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）法律法规或</w:t>
      </w:r>
      <w:r>
        <w:rPr>
          <w:rFonts w:hint="eastAsia" w:cs="宋体"/>
          <w:sz w:val="24"/>
          <w:szCs w:val="24"/>
          <w:highlight w:val="none"/>
          <w:lang w:eastAsia="zh-CN"/>
        </w:rPr>
        <w:t>供应商</w:t>
      </w:r>
      <w:r>
        <w:rPr>
          <w:rFonts w:hint="eastAsia" w:ascii="宋体" w:hAnsi="宋体" w:eastAsia="宋体" w:cs="宋体"/>
          <w:sz w:val="24"/>
          <w:szCs w:val="24"/>
          <w:highlight w:val="none"/>
        </w:rPr>
        <w:t>须知前附表规定的其他情形。</w:t>
      </w:r>
    </w:p>
    <w:p w14:paraId="01B8F36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5费用承担</w:t>
      </w:r>
    </w:p>
    <w:p w14:paraId="30452BD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供应商准备和参加投标活动发生的费用自理。</w:t>
      </w:r>
    </w:p>
    <w:p w14:paraId="7E9E5C1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1.6</w:t>
      </w:r>
      <w:r>
        <w:rPr>
          <w:rFonts w:hint="eastAsia" w:ascii="宋体" w:hAnsi="宋体" w:eastAsia="宋体" w:cs="宋体"/>
          <w:b/>
          <w:bCs/>
          <w:color w:val="000000" w:themeColor="text1"/>
          <w:sz w:val="24"/>
          <w:szCs w:val="24"/>
          <w:highlight w:val="none"/>
          <w14:textFill>
            <w14:solidFill>
              <w14:schemeClr w14:val="tx1"/>
            </w14:solidFill>
          </w14:textFill>
        </w:rPr>
        <w:t>保密</w:t>
      </w:r>
    </w:p>
    <w:p w14:paraId="36E8BC0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参与磋商活动的各方应对竞争性磋商文件和响应文件中的商业和技术等秘密保密，违者应对由此造成的后果承担法律责任。</w:t>
      </w:r>
    </w:p>
    <w:p w14:paraId="122C704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语言文字</w:t>
      </w:r>
    </w:p>
    <w:p w14:paraId="5C049ED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除专用术语外，与磋商有关的语言均使用中文。必要时专用术语应附有中文注释。</w:t>
      </w:r>
    </w:p>
    <w:p w14:paraId="16D535C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8计量单位</w:t>
      </w:r>
    </w:p>
    <w:p w14:paraId="2705C32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所有计量均采用中华人民共和国法定计量单位。</w:t>
      </w:r>
    </w:p>
    <w:p w14:paraId="2370D77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9踏勘现场</w:t>
      </w:r>
    </w:p>
    <w:p w14:paraId="2B08B07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1.9.1</w:t>
      </w:r>
      <w:r>
        <w:rPr>
          <w:rFonts w:hint="eastAsia" w:ascii="宋体" w:hAnsi="宋体" w:eastAsia="宋体" w:cs="宋体"/>
          <w:color w:val="000000" w:themeColor="text1"/>
          <w:sz w:val="24"/>
          <w:szCs w:val="24"/>
          <w:highlight w:val="none"/>
          <w14:textFill>
            <w14:solidFill>
              <w14:schemeClr w14:val="tx1"/>
            </w14:solidFill>
          </w14:textFill>
        </w:rPr>
        <w:t>供应商须知前附表规定组织踏勘现场的，采购人按供应商须知前附表规定的时间、地点组织供应商踏勘项目现场。</w:t>
      </w:r>
    </w:p>
    <w:p w14:paraId="0031723B">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1.9.2</w:t>
      </w:r>
      <w:r>
        <w:rPr>
          <w:rFonts w:hint="eastAsia" w:ascii="宋体" w:hAnsi="宋体" w:eastAsia="宋体" w:cs="宋体"/>
          <w:color w:val="000000" w:themeColor="text1"/>
          <w:sz w:val="24"/>
          <w:szCs w:val="24"/>
          <w:highlight w:val="none"/>
          <w14:textFill>
            <w14:solidFill>
              <w14:schemeClr w14:val="tx1"/>
            </w14:solidFill>
          </w14:textFill>
        </w:rPr>
        <w:t>供应商踏勘现场发生的费用自理。</w:t>
      </w:r>
    </w:p>
    <w:p w14:paraId="44477A34">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1.9.3</w:t>
      </w:r>
      <w:r>
        <w:rPr>
          <w:rFonts w:hint="eastAsia" w:ascii="宋体" w:hAnsi="宋体" w:eastAsia="宋体" w:cs="宋体"/>
          <w:color w:val="000000" w:themeColor="text1"/>
          <w:sz w:val="24"/>
          <w:szCs w:val="24"/>
          <w:highlight w:val="none"/>
          <w14:textFill>
            <w14:solidFill>
              <w14:schemeClr w14:val="tx1"/>
            </w14:solidFill>
          </w14:textFill>
        </w:rPr>
        <w:t>除采购人的原因外，供应商自行负责在踏勘现场中所发生的人员伤亡和财产损失。</w:t>
      </w:r>
    </w:p>
    <w:p w14:paraId="3E22B620">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1.9.4</w:t>
      </w:r>
      <w:r>
        <w:rPr>
          <w:rFonts w:hint="eastAsia" w:ascii="宋体" w:hAnsi="宋体" w:eastAsia="宋体" w:cs="宋体"/>
          <w:color w:val="000000" w:themeColor="text1"/>
          <w:sz w:val="24"/>
          <w:szCs w:val="24"/>
          <w:highlight w:val="none"/>
          <w14:textFill>
            <w14:solidFill>
              <w14:schemeClr w14:val="tx1"/>
            </w14:solidFill>
          </w14:textFill>
        </w:rPr>
        <w:t>采购人在踏勘现场中介绍的工程场地和相关的周边环境情况，仅供供应商在编制响应文件时参考，采购人不对供应商据此作岀的判断和决策负责。</w:t>
      </w:r>
    </w:p>
    <w:p w14:paraId="25E17215">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10磋商答疑会</w:t>
      </w:r>
    </w:p>
    <w:p w14:paraId="552D0377">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1.10.1</w:t>
      </w:r>
      <w:r>
        <w:rPr>
          <w:rFonts w:hint="eastAsia" w:ascii="宋体" w:hAnsi="宋体" w:eastAsia="宋体" w:cs="宋体"/>
          <w:color w:val="000000" w:themeColor="text1"/>
          <w:sz w:val="24"/>
          <w:szCs w:val="24"/>
          <w:highlight w:val="none"/>
          <w14:textFill>
            <w14:solidFill>
              <w14:schemeClr w14:val="tx1"/>
            </w14:solidFill>
          </w14:textFill>
        </w:rPr>
        <w:t>供应商须知前附表规定召开磋商答疑会的，采购人按供应商须知前附表规定的时间和地点召开磋商答疑会，澄清供应商提岀的问题。</w:t>
      </w:r>
    </w:p>
    <w:p w14:paraId="0828B36C">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1.10.2</w:t>
      </w:r>
      <w:r>
        <w:rPr>
          <w:rFonts w:hint="eastAsia" w:ascii="宋体" w:hAnsi="宋体" w:eastAsia="宋体" w:cs="宋体"/>
          <w:color w:val="000000" w:themeColor="text1"/>
          <w:sz w:val="24"/>
          <w:szCs w:val="24"/>
          <w:highlight w:val="none"/>
          <w14:textFill>
            <w14:solidFill>
              <w14:schemeClr w14:val="tx1"/>
            </w14:solidFill>
          </w14:textFill>
        </w:rPr>
        <w:t>供应商应在供应商须知前附表规定的时间前，以书面形式将提岀的问题送达采购人，以便采购人澄清。</w:t>
      </w:r>
    </w:p>
    <w:p w14:paraId="1828DE9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1.10.3</w:t>
      </w:r>
      <w:r>
        <w:rPr>
          <w:rFonts w:hint="eastAsia" w:ascii="宋体" w:hAnsi="宋体" w:eastAsia="宋体" w:cs="宋体"/>
          <w:color w:val="000000" w:themeColor="text1"/>
          <w:sz w:val="24"/>
          <w:szCs w:val="24"/>
          <w:highlight w:val="none"/>
          <w14:textFill>
            <w14:solidFill>
              <w14:schemeClr w14:val="tx1"/>
            </w14:solidFill>
          </w14:textFill>
        </w:rPr>
        <w:t>磋商答疑会后，采购人在供应商须知前附表规定的时间内，对供应商所提问题的澄清，将以书面形式通知所有潜在供应商。该澄清内容为竞争性磋商文件的组成部分。</w:t>
      </w:r>
    </w:p>
    <w:p w14:paraId="302DAC7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11分包</w:t>
      </w:r>
    </w:p>
    <w:p w14:paraId="0A8C2E9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供应商拟在成交后将成交项目的部分非主体、非关键性工作进行分包的，应符合供应商须知前附表规定的分包内容、分包金额和接受分包的第三人资质要求等限制性条件。</w:t>
      </w:r>
    </w:p>
    <w:p w14:paraId="45FE0B8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供应商成交后直至验收止，成交供应商不得以任何形式和理由转包或者分包，如岀现上述情形,采购人向财政部门提岀申请并经批准后，可取消其成交资格，并与其解除合同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由此引起的经济损 失全部由成交供应商承担。</w:t>
      </w:r>
      <w:bookmarkStart w:id="51" w:name="bookmark94"/>
      <w:bookmarkEnd w:id="51"/>
    </w:p>
    <w:p w14:paraId="139C1FE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偏离</w:t>
      </w:r>
    </w:p>
    <w:p w14:paraId="6E30F0B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供应商须知前附表允许响应文件偏离竞争性磋商文件某些要求的，偏离应当符合竞争性磋商文件规定的偏离范围和幅度。</w:t>
      </w:r>
    </w:p>
    <w:p w14:paraId="0DD844D2">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2" w:name="bookmark95"/>
      <w:bookmarkEnd w:id="5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竞争性磋商文件</w:t>
      </w:r>
    </w:p>
    <w:p w14:paraId="79520A7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2.1</w:t>
      </w:r>
      <w:r>
        <w:rPr>
          <w:rFonts w:hint="eastAsia" w:ascii="宋体" w:hAnsi="宋体" w:eastAsia="宋体" w:cs="宋体"/>
          <w:b/>
          <w:bCs/>
          <w:color w:val="000000" w:themeColor="text1"/>
          <w:sz w:val="24"/>
          <w:szCs w:val="24"/>
          <w:highlight w:val="none"/>
          <w14:textFill>
            <w14:solidFill>
              <w14:schemeClr w14:val="tx1"/>
            </w14:solidFill>
          </w14:textFill>
        </w:rPr>
        <w:t>竞争性磋商文件的组成</w:t>
      </w:r>
    </w:p>
    <w:p w14:paraId="462C978F">
      <w:pPr>
        <w:pStyle w:val="78"/>
        <w:keepNext w:val="0"/>
        <w:keepLines w:val="0"/>
        <w:pageBreakBefore w:val="0"/>
        <w:widowControl w:val="0"/>
        <w:kinsoku/>
        <w:wordWrap/>
        <w:overflowPunct/>
        <w:topLinePunct w:val="0"/>
        <w:bidi w:val="0"/>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本竞争性磋商文件包括：</w:t>
      </w:r>
    </w:p>
    <w:p w14:paraId="517C968C">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3" w:name="bookmark96"/>
      <w:bookmarkEnd w:id="5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竞争性磋商公告；</w:t>
      </w:r>
    </w:p>
    <w:p w14:paraId="6C64846C">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4" w:name="bookmark97"/>
      <w:bookmarkEnd w:id="5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供应商须知；</w:t>
      </w:r>
    </w:p>
    <w:p w14:paraId="2198D1CB">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5" w:name="bookmark98"/>
      <w:bookmarkEnd w:id="5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竞争性磋商评标</w:t>
      </w:r>
      <w:r>
        <w:rPr>
          <w:rFonts w:hint="eastAsia" w:ascii="宋体" w:hAnsi="宋体" w:eastAsia="宋体" w:cs="宋体"/>
          <w:color w:val="000000" w:themeColor="text1"/>
          <w:sz w:val="24"/>
          <w:szCs w:val="24"/>
          <w:highlight w:val="none"/>
          <w14:textFill>
            <w14:solidFill>
              <w14:schemeClr w14:val="tx1"/>
            </w14:solidFill>
          </w14:textFill>
        </w:rPr>
        <w:t>办法</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综合评分法</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BBB368E">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6" w:name="bookmark99"/>
      <w:bookmarkEnd w:id="5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书</w:t>
      </w:r>
      <w:r>
        <w:rPr>
          <w:rFonts w:hint="eastAsia" w:ascii="宋体" w:hAnsi="宋体" w:eastAsia="宋体" w:cs="宋体"/>
          <w:color w:val="000000" w:themeColor="text1"/>
          <w:sz w:val="24"/>
          <w:szCs w:val="24"/>
          <w:highlight w:val="none"/>
          <w14:textFill>
            <w14:solidFill>
              <w14:schemeClr w14:val="tx1"/>
            </w14:solidFill>
          </w14:textFill>
        </w:rPr>
        <w:t>格式及条款；</w:t>
      </w:r>
    </w:p>
    <w:p w14:paraId="5A0D700E">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7" w:name="bookmark100"/>
      <w:bookmarkEnd w:id="57"/>
      <w:bookmarkStart w:id="58" w:name="bookmark101"/>
      <w:bookmarkEnd w:id="5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w:t>
      </w:r>
    </w:p>
    <w:p w14:paraId="01DC3E8E">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9" w:name="bookmark102"/>
      <w:bookmarkEnd w:id="5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响应文件格式；</w:t>
      </w:r>
    </w:p>
    <w:p w14:paraId="4DB07BA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0" w:name="bookmark103"/>
      <w:bookmarkEnd w:id="60"/>
      <w:r>
        <w:rPr>
          <w:rFonts w:hint="eastAsia" w:ascii="宋体" w:hAnsi="宋体" w:eastAsia="宋体" w:cs="宋体"/>
          <w:color w:val="000000" w:themeColor="text1"/>
          <w:sz w:val="24"/>
          <w:szCs w:val="24"/>
          <w:highlight w:val="none"/>
          <w14:textFill>
            <w14:solidFill>
              <w14:schemeClr w14:val="tx1"/>
            </w14:solidFill>
          </w14:textFill>
        </w:rPr>
        <w:t>根据本章第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w:t>
      </w:r>
      <w:r>
        <w:rPr>
          <w:rFonts w:hint="eastAsia" w:ascii="宋体" w:hAnsi="宋体" w:eastAsia="宋体" w:cs="宋体"/>
          <w:color w:val="000000" w:themeColor="text1"/>
          <w:sz w:val="24"/>
          <w:szCs w:val="24"/>
          <w:highlight w:val="none"/>
          <w14:textFill>
            <w14:solidFill>
              <w14:schemeClr w14:val="tx1"/>
            </w14:solidFill>
          </w14:textFill>
        </w:rPr>
        <w:t>款、第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款和第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款对竞争性磋商文件所作的澄清、修改，构成竞争性磋商文件的组成部分。</w:t>
      </w:r>
    </w:p>
    <w:p w14:paraId="4BCB34C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b/>
          <w:bCs/>
          <w:color w:val="000000" w:themeColor="text1"/>
          <w:sz w:val="24"/>
          <w:szCs w:val="24"/>
          <w:highlight w:val="none"/>
          <w14:textFill>
            <w14:solidFill>
              <w14:schemeClr w14:val="tx1"/>
            </w14:solidFill>
          </w14:textFill>
        </w:rPr>
        <w:t>竞争性磋商文件的澄清</w:t>
      </w:r>
    </w:p>
    <w:p w14:paraId="31D524B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应仔细阅读和检查招标文件的全部内容。如发现缺页或附件不全，应及时向</w:t>
      </w:r>
      <w:r>
        <w:rPr>
          <w:rFonts w:hint="eastAsia" w:ascii="宋体" w:hAnsi="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提出，以便补齐</w:t>
      </w:r>
      <w:r>
        <w:rPr>
          <w:rFonts w:hint="eastAsia" w:ascii="宋体" w:hAnsi="宋体" w:cs="宋体"/>
          <w:color w:val="000000" w:themeColor="text1"/>
          <w:sz w:val="24"/>
          <w:szCs w:val="24"/>
          <w:highlight w:val="none"/>
          <w:lang w:eastAsia="zh-CN"/>
          <w14:textFill>
            <w14:solidFill>
              <w14:schemeClr w14:val="tx1"/>
            </w14:solidFill>
          </w14:textFill>
        </w:rPr>
        <w:t>（通过政采云平台上传）</w:t>
      </w:r>
      <w:r>
        <w:rPr>
          <w:rFonts w:hint="eastAsia" w:ascii="宋体" w:hAnsi="宋体" w:eastAsia="宋体" w:cs="宋体"/>
          <w:color w:val="000000" w:themeColor="text1"/>
          <w:sz w:val="24"/>
          <w:szCs w:val="24"/>
          <w:highlight w:val="none"/>
          <w14:textFill>
            <w14:solidFill>
              <w14:schemeClr w14:val="tx1"/>
            </w14:solidFill>
          </w14:textFill>
        </w:rPr>
        <w:t>。</w:t>
      </w:r>
    </w:p>
    <w:p w14:paraId="07A1C6D8">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2竞争性磋商文件的澄清将在供应商须知前附表规定的时间前以</w:t>
      </w:r>
      <w:r>
        <w:rPr>
          <w:rFonts w:hint="eastAsia" w:ascii="宋体" w:hAnsi="宋体" w:eastAsia="宋体" w:cs="宋体"/>
          <w:color w:val="000000" w:themeColor="text1"/>
          <w:sz w:val="24"/>
          <w:szCs w:val="24"/>
          <w:highlight w:val="none"/>
          <w:lang w:eastAsia="zh-CN"/>
          <w14:textFill>
            <w14:solidFill>
              <w14:schemeClr w14:val="tx1"/>
            </w14:solidFill>
          </w14:textFill>
        </w:rPr>
        <w:t>电子文档通过政采云系统</w:t>
      </w:r>
      <w:r>
        <w:rPr>
          <w:rFonts w:hint="eastAsia" w:ascii="宋体" w:hAnsi="宋体" w:eastAsia="宋体" w:cs="宋体"/>
          <w:color w:val="000000" w:themeColor="text1"/>
          <w:sz w:val="24"/>
          <w:szCs w:val="24"/>
          <w:highlight w:val="none"/>
          <w14:textFill>
            <w14:solidFill>
              <w14:schemeClr w14:val="tx1"/>
            </w14:solidFill>
          </w14:textFill>
        </w:rPr>
        <w:t>通知所有潜在供应商。</w:t>
      </w:r>
    </w:p>
    <w:p w14:paraId="56889CB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b/>
          <w:bCs/>
          <w:color w:val="000000" w:themeColor="text1"/>
          <w:sz w:val="24"/>
          <w:szCs w:val="24"/>
          <w:highlight w:val="none"/>
          <w14:textFill>
            <w14:solidFill>
              <w14:schemeClr w14:val="tx1"/>
            </w14:solidFill>
          </w14:textFill>
        </w:rPr>
        <w:t>竞争性磋商文件的修改</w:t>
      </w:r>
    </w:p>
    <w:p w14:paraId="642C1C5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1供应商须知前附表规定的时间前，采购人可以修改竞争性磋商文件，并将修改的内容</w:t>
      </w:r>
      <w:r>
        <w:rPr>
          <w:rFonts w:hint="eastAsia" w:ascii="宋体" w:hAnsi="宋体" w:eastAsia="宋体" w:cs="宋体"/>
          <w:color w:val="000000" w:themeColor="text1"/>
          <w:sz w:val="24"/>
          <w:szCs w:val="24"/>
          <w:highlight w:val="none"/>
          <w:lang w:eastAsia="zh-CN"/>
          <w14:textFill>
            <w14:solidFill>
              <w14:schemeClr w14:val="tx1"/>
            </w14:solidFill>
          </w14:textFill>
        </w:rPr>
        <w:t>上传至政采云系统</w:t>
      </w:r>
      <w:r>
        <w:rPr>
          <w:rFonts w:hint="eastAsia" w:ascii="宋体" w:hAnsi="宋体" w:eastAsia="宋体" w:cs="宋体"/>
          <w:color w:val="000000" w:themeColor="text1"/>
          <w:sz w:val="24"/>
          <w:szCs w:val="24"/>
          <w:highlight w:val="none"/>
          <w14:textFill>
            <w14:solidFill>
              <w14:schemeClr w14:val="tx1"/>
            </w14:solidFill>
          </w14:textFill>
        </w:rPr>
        <w:t>。</w:t>
      </w:r>
    </w:p>
    <w:p w14:paraId="1F8207C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2.3.2</w:t>
      </w:r>
      <w:r>
        <w:rPr>
          <w:rFonts w:hint="eastAsia" w:ascii="宋体" w:hAnsi="宋体" w:eastAsia="宋体" w:cs="宋体"/>
          <w:color w:val="000000" w:themeColor="text1"/>
          <w:sz w:val="24"/>
          <w:szCs w:val="24"/>
          <w:highlight w:val="none"/>
          <w14:textFill>
            <w14:solidFill>
              <w14:schemeClr w14:val="tx1"/>
            </w14:solidFill>
          </w14:textFill>
        </w:rPr>
        <w:t>供应商收到修改内容后，</w:t>
      </w:r>
      <w:r>
        <w:rPr>
          <w:rFonts w:hint="eastAsia" w:ascii="宋体" w:hAnsi="宋体" w:eastAsia="宋体" w:cs="宋体"/>
          <w:color w:val="000000" w:themeColor="text1"/>
          <w:sz w:val="24"/>
          <w:szCs w:val="24"/>
          <w:highlight w:val="none"/>
          <w:lang w:eastAsia="zh-CN"/>
          <w14:textFill>
            <w14:solidFill>
              <w14:schemeClr w14:val="tx1"/>
            </w14:solidFill>
          </w14:textFill>
        </w:rPr>
        <w:t>供应商应在政采云系统自行下载</w:t>
      </w:r>
      <w:r>
        <w:rPr>
          <w:rFonts w:hint="eastAsia" w:ascii="宋体" w:hAnsi="宋体" w:eastAsia="宋体" w:cs="宋体"/>
          <w:color w:val="000000" w:themeColor="text1"/>
          <w:sz w:val="24"/>
          <w:szCs w:val="24"/>
          <w:highlight w:val="none"/>
          <w14:textFill>
            <w14:solidFill>
              <w14:schemeClr w14:val="tx1"/>
            </w14:solidFill>
          </w14:textFill>
        </w:rPr>
        <w:t>。</w:t>
      </w:r>
    </w:p>
    <w:p w14:paraId="176C643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2.4</w:t>
      </w:r>
      <w:r>
        <w:rPr>
          <w:rFonts w:hint="eastAsia" w:ascii="宋体" w:hAnsi="宋体" w:eastAsia="宋体" w:cs="宋体"/>
          <w:b/>
          <w:bCs/>
          <w:color w:val="000000" w:themeColor="text1"/>
          <w:sz w:val="24"/>
          <w:szCs w:val="24"/>
          <w:highlight w:val="none"/>
          <w14:textFill>
            <w14:solidFill>
              <w14:schemeClr w14:val="tx1"/>
            </w14:solidFill>
          </w14:textFill>
        </w:rPr>
        <w:t>延长首次响应文件递交截止时间和二次报价时间</w:t>
      </w:r>
    </w:p>
    <w:p w14:paraId="6ECACF7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2.4.1</w:t>
      </w:r>
      <w:r>
        <w:rPr>
          <w:rFonts w:hint="eastAsia" w:ascii="宋体" w:hAnsi="宋体" w:eastAsia="宋体" w:cs="宋体"/>
          <w:color w:val="000000" w:themeColor="text1"/>
          <w:sz w:val="24"/>
          <w:szCs w:val="24"/>
          <w:highlight w:val="none"/>
          <w14:textFill>
            <w14:solidFill>
              <w14:schemeClr w14:val="tx1"/>
            </w14:solidFill>
          </w14:textFill>
        </w:rPr>
        <w:t>采购人可以视采购具体情况，延长首次响应文件递交截止时间和二次报价时间，但至少应当在竞争性磋商文件要求递交首次响应文件截止之日5日前，在发布竞争性磋商公告的网站发布变更或者更正公告，不足5日的，应当顺延递交首次响应文件截止之日。</w:t>
      </w:r>
    </w:p>
    <w:p w14:paraId="510DB8A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2.4.2</w:t>
      </w:r>
      <w:r>
        <w:rPr>
          <w:rFonts w:hint="eastAsia" w:ascii="宋体" w:hAnsi="宋体" w:eastAsia="宋体" w:cs="宋体"/>
          <w:color w:val="000000" w:themeColor="text1"/>
          <w:sz w:val="24"/>
          <w:szCs w:val="24"/>
          <w:highlight w:val="none"/>
          <w14:textFill>
            <w14:solidFill>
              <w14:schemeClr w14:val="tx1"/>
            </w14:solidFill>
          </w14:textFill>
        </w:rPr>
        <w:t>竞争性磋商文件的答疑、澄清或者修改内容较多时，采购人应重新组织竞争性磋商或者延长递交首次响应文件截止时间，采购人延长递交首次响应文件截止时间，至少应当在竞争性磋商文件要求递交首次响应文件的截止之日5日前，在发布竞争性磋商公告的网站发布变更或者更正公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不足5日的，应当顺延递交首次响应文件截止之日，以给予供应商充足的时间编制响应文件。</w:t>
      </w:r>
    </w:p>
    <w:p w14:paraId="576933D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响应文件编制</w:t>
      </w:r>
    </w:p>
    <w:p w14:paraId="17A4A5C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1响应文件的组成</w:t>
      </w:r>
    </w:p>
    <w:p w14:paraId="6D21194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3.1.1</w:t>
      </w:r>
      <w:r>
        <w:rPr>
          <w:rFonts w:hint="eastAsia" w:ascii="宋体" w:hAnsi="宋体" w:eastAsia="宋体" w:cs="宋体"/>
          <w:color w:val="000000" w:themeColor="text1"/>
          <w:sz w:val="24"/>
          <w:szCs w:val="24"/>
          <w:highlight w:val="none"/>
          <w14:textFill>
            <w14:solidFill>
              <w14:schemeClr w14:val="tx1"/>
            </w14:solidFill>
          </w14:textFill>
        </w:rPr>
        <w:t>包括下列内容：</w:t>
      </w:r>
    </w:p>
    <w:p w14:paraId="2C1C8604">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1" w:name="bookmark105"/>
      <w:bookmarkEnd w:id="61"/>
      <w:r>
        <w:rPr>
          <w:rFonts w:hint="eastAsia" w:ascii="宋体" w:hAnsi="宋体" w:eastAsia="宋体" w:cs="宋体"/>
          <w:color w:val="000000" w:themeColor="text1"/>
          <w:sz w:val="24"/>
          <w:szCs w:val="24"/>
          <w:highlight w:val="none"/>
          <w14:textFill>
            <w14:solidFill>
              <w14:schemeClr w14:val="tx1"/>
            </w14:solidFill>
          </w14:textFill>
        </w:rPr>
        <w:t>（1）磋商函</w:t>
      </w:r>
    </w:p>
    <w:p w14:paraId="4421A8EC">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（2）法定代表人身份证明及授权委托书</w:t>
      </w:r>
    </w:p>
    <w:p w14:paraId="66197D2A">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（3）磋商保证金</w:t>
      </w:r>
    </w:p>
    <w:p w14:paraId="7903EDE7">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（4）磋商报价</w:t>
      </w:r>
      <w:r>
        <w:rPr>
          <w:rFonts w:hint="eastAsia" w:ascii="宋体" w:hAnsi="宋体" w:eastAsia="宋体" w:cs="宋体"/>
          <w:color w:val="000000" w:themeColor="text1"/>
          <w:sz w:val="24"/>
          <w:szCs w:val="24"/>
          <w:highlight w:val="none"/>
          <w:lang w:eastAsia="zh-CN"/>
          <w14:textFill>
            <w14:solidFill>
              <w14:schemeClr w14:val="tx1"/>
            </w14:solidFill>
          </w14:textFill>
        </w:rPr>
        <w:t>表</w:t>
      </w:r>
    </w:p>
    <w:p w14:paraId="5E9AA913">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商务和技术标准偏离表</w:t>
      </w:r>
    </w:p>
    <w:p w14:paraId="60022D93">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资格审查资料</w:t>
      </w:r>
    </w:p>
    <w:p w14:paraId="31AC730E">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（7）技术</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方案</w:t>
      </w:r>
    </w:p>
    <w:p w14:paraId="2868D5E0">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其他资料</w:t>
      </w:r>
    </w:p>
    <w:p w14:paraId="3679B699">
      <w:pPr>
        <w:pStyle w:val="78"/>
        <w:keepNext w:val="0"/>
        <w:keepLines w:val="0"/>
        <w:pageBreakBefore w:val="0"/>
        <w:widowControl w:val="0"/>
        <w:kinsoku/>
        <w:wordWrap/>
        <w:overflowPunct/>
        <w:topLinePunct w:val="0"/>
        <w:bidi w:val="0"/>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2磋商报价</w:t>
      </w:r>
    </w:p>
    <w:p w14:paraId="4730BFA4">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3.2.1供应商应按第六章响应文件要求格式填写相应表格。</w:t>
      </w:r>
    </w:p>
    <w:p w14:paraId="1EE33EEF">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3.2.2供应商按现行规定计取规费，其中养老保险费、失业保险费、医疗保险费、增加生育保险费、工伤保险费、住房公积金按有关规定计取。</w:t>
      </w:r>
    </w:p>
    <w:p w14:paraId="0FD1DE4E">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3.2.3供应商应充分了解本项目的总体情况以及影响磋商报价的其他要素。</w:t>
      </w:r>
    </w:p>
    <w:p w14:paraId="1903EF49">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3.2.4本项目的报价方式见供应商须知前附表。供应商在投标截止时间前修改磋商函中的投标总报价，应同时修改竞争性磋商响应文件“磋商报价表”中的相应报价。此修改须符合本章第4.3款的有关要求。</w:t>
      </w:r>
    </w:p>
    <w:p w14:paraId="54B59F37">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3磋商有效期</w:t>
      </w:r>
    </w:p>
    <w:p w14:paraId="0D158B6D">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3.3.1</w:t>
      </w:r>
      <w:r>
        <w:rPr>
          <w:rFonts w:hint="eastAsia" w:ascii="宋体" w:hAnsi="宋体" w:eastAsia="宋体" w:cs="宋体"/>
          <w:color w:val="000000" w:themeColor="text1"/>
          <w:sz w:val="24"/>
          <w:szCs w:val="24"/>
          <w:highlight w:val="none"/>
          <w14:textFill>
            <w14:solidFill>
              <w14:schemeClr w14:val="tx1"/>
            </w14:solidFill>
          </w14:textFill>
        </w:rPr>
        <w:t>在供应商须知前附表规定的磋商有效期内，供应商不得要求撤销或修改其响应文件。</w:t>
      </w:r>
    </w:p>
    <w:p w14:paraId="77ED0F1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3.3.2</w:t>
      </w:r>
      <w:r>
        <w:rPr>
          <w:rFonts w:hint="eastAsia" w:ascii="宋体" w:hAnsi="宋体" w:eastAsia="宋体" w:cs="宋体"/>
          <w:color w:val="000000" w:themeColor="text1"/>
          <w:sz w:val="24"/>
          <w:szCs w:val="24"/>
          <w:highlight w:val="none"/>
          <w14:textFill>
            <w14:solidFill>
              <w14:schemeClr w14:val="tx1"/>
            </w14:solidFill>
          </w14:textFill>
        </w:rPr>
        <w:t>岀现特殊情况需要延长磋商有效期的，采购人将以书面形式发岀通知。通知供应商延长磋商有效期。供应商同意延长的，应相应延长其磋商保证金的有效期，但不得要求或被允许修改或撤销其响应文件；供应商拒绝延长的，其投标失效，但供应商有权收回其磋商保证金。</w:t>
      </w:r>
    </w:p>
    <w:p w14:paraId="2E54D982">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b/>
          <w:bCs/>
          <w:color w:val="000000" w:themeColor="text1"/>
          <w:sz w:val="24"/>
          <w:szCs w:val="24"/>
          <w:highlight w:val="none"/>
          <w14:textFill>
            <w14:solidFill>
              <w14:schemeClr w14:val="tx1"/>
            </w14:solidFill>
          </w14:textFill>
        </w:rPr>
        <w:t>磋商保证金</w:t>
      </w:r>
    </w:p>
    <w:p w14:paraId="6845017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供应商在递交首次响应文件截止时间前，应按供应商须知前附表规定的金额、担保形式和第七章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“响</w:t>
      </w:r>
      <w:r>
        <w:rPr>
          <w:rFonts w:hint="eastAsia" w:ascii="宋体" w:hAnsi="宋体" w:eastAsia="宋体" w:cs="宋体"/>
          <w:color w:val="000000" w:themeColor="text1"/>
          <w:sz w:val="24"/>
          <w:szCs w:val="24"/>
          <w:highlight w:val="none"/>
          <w14:textFill>
            <w14:solidFill>
              <w14:schemeClr w14:val="tx1"/>
            </w14:solidFill>
          </w14:textFill>
        </w:rPr>
        <w:t>应文件格式”规定的磋商保证金格式递交磋商保证金，并作为其响应文件的组成部分。联合体磋商的，其磋商保证金由牵头人递交，并应符合供应商须知前附表的规定。</w:t>
      </w:r>
    </w:p>
    <w:p w14:paraId="6650F2C7">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3.4.2</w:t>
      </w:r>
      <w:r>
        <w:rPr>
          <w:rFonts w:hint="eastAsia" w:ascii="宋体" w:hAnsi="宋体" w:eastAsia="宋体" w:cs="宋体"/>
          <w:color w:val="000000" w:themeColor="text1"/>
          <w:sz w:val="24"/>
          <w:szCs w:val="24"/>
          <w:highlight w:val="none"/>
          <w14:textFill>
            <w14:solidFill>
              <w14:schemeClr w14:val="tx1"/>
            </w14:solidFill>
          </w14:textFill>
        </w:rPr>
        <w:t>供应商不按本章第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3.4.1</w:t>
      </w:r>
      <w:r>
        <w:rPr>
          <w:rFonts w:hint="eastAsia" w:ascii="宋体" w:hAnsi="宋体" w:eastAsia="宋体" w:cs="宋体"/>
          <w:color w:val="000000" w:themeColor="text1"/>
          <w:sz w:val="24"/>
          <w:szCs w:val="24"/>
          <w:highlight w:val="none"/>
          <w14:textFill>
            <w14:solidFill>
              <w14:schemeClr w14:val="tx1"/>
            </w14:solidFill>
          </w14:textFill>
        </w:rPr>
        <w:t>项要求递交磋商保证金的，其响应文件作废标处理。</w:t>
      </w:r>
    </w:p>
    <w:p w14:paraId="02C91DA6">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t>3成交供应商的磋商保证金，在成交供应商按本须知第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w:t>
      </w:r>
      <w:r>
        <w:rPr>
          <w:rFonts w:hint="eastAsia" w:ascii="宋体" w:hAnsi="宋体" w:eastAsia="宋体" w:cs="宋体"/>
          <w:color w:val="000000" w:themeColor="text1"/>
          <w:sz w:val="24"/>
          <w:szCs w:val="24"/>
          <w:highlight w:val="none"/>
          <w14:textFill>
            <w14:solidFill>
              <w14:schemeClr w14:val="tx1"/>
            </w14:solidFill>
          </w14:textFill>
        </w:rPr>
        <w:t>条规定签订合同后5日内予以退还（不计利息）。</w:t>
      </w:r>
    </w:p>
    <w:p w14:paraId="026F80FA">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3.4.4</w:t>
      </w:r>
      <w:r>
        <w:rPr>
          <w:rFonts w:hint="eastAsia" w:ascii="宋体" w:hAnsi="宋体" w:eastAsia="宋体" w:cs="宋体"/>
          <w:color w:val="000000" w:themeColor="text1"/>
          <w:sz w:val="24"/>
          <w:szCs w:val="24"/>
          <w:highlight w:val="none"/>
          <w14:textFill>
            <w14:solidFill>
              <w14:schemeClr w14:val="tx1"/>
            </w14:solidFill>
          </w14:textFill>
        </w:rPr>
        <w:t>有下列情形之一的，磋商保证金将不予退还：</w:t>
      </w:r>
    </w:p>
    <w:p w14:paraId="28C289FD">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供应商在规定的磋商有效期内撤销或修改其响应文件；</w:t>
      </w:r>
    </w:p>
    <w:p w14:paraId="7B734154">
      <w:pPr>
        <w:pStyle w:val="78"/>
        <w:keepNext w:val="0"/>
        <w:keepLines w:val="0"/>
        <w:pageBreakBefore w:val="0"/>
        <w:widowControl w:val="0"/>
        <w:tabs>
          <w:tab w:val="left" w:pos="894"/>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成交供应商在收到成交通知书后，无正当理由拒签合同协议书。</w:t>
      </w:r>
    </w:p>
    <w:p w14:paraId="051BEA0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5资格审査资料</w:t>
      </w:r>
    </w:p>
    <w:p w14:paraId="30F8EB58">
      <w:pPr>
        <w:pStyle w:val="78"/>
        <w:keepNext w:val="0"/>
        <w:keepLines w:val="0"/>
        <w:pageBreakBefore w:val="0"/>
        <w:widowControl w:val="0"/>
        <w:tabs>
          <w:tab w:val="left" w:pos="1141"/>
        </w:tabs>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2" w:name="bookmark116"/>
      <w:bookmarkEnd w:id="62"/>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3.5.1</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基本情况表</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cs="宋体"/>
          <w:color w:val="000000" w:themeColor="text1"/>
          <w:sz w:val="24"/>
          <w:szCs w:val="24"/>
          <w:highlight w:val="none"/>
          <w:lang w:val="zh-CN" w:eastAsia="zh-CN" w:bidi="zh-CN"/>
          <w14:textFill>
            <w14:solidFill>
              <w14:schemeClr w14:val="tx1"/>
            </w14:solidFill>
          </w14:textFill>
        </w:rPr>
        <w:t>后</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附供应商营业执照等材料的复印件。</w:t>
      </w:r>
    </w:p>
    <w:p w14:paraId="3B71FC92">
      <w:pPr>
        <w:pStyle w:val="78"/>
        <w:keepNext w:val="0"/>
        <w:keepLines w:val="0"/>
        <w:pageBreakBefore w:val="0"/>
        <w:widowControl w:val="0"/>
        <w:tabs>
          <w:tab w:val="left" w:pos="1141"/>
        </w:tabs>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3" w:name="bookmark117"/>
      <w:bookmarkEnd w:id="63"/>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3.5.2</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w:t>
      </w:r>
      <w:r>
        <w:rPr>
          <w:rFonts w:hint="eastAsia" w:ascii="宋体" w:hAnsi="宋体" w:eastAsia="宋体" w:cs="宋体"/>
          <w:color w:val="000000" w:themeColor="text1"/>
          <w:sz w:val="24"/>
          <w:szCs w:val="24"/>
          <w:highlight w:val="none"/>
          <w14:textFill>
            <w14:solidFill>
              <w14:schemeClr w14:val="tx1"/>
            </w14:solidFill>
          </w14:textFill>
        </w:rPr>
        <w:t>年财务状况表</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cs="宋体"/>
          <w:color w:val="000000" w:themeColor="text1"/>
          <w:sz w:val="24"/>
          <w:szCs w:val="24"/>
          <w:highlight w:val="none"/>
          <w:lang w:val="zh-CN" w:eastAsia="zh-CN" w:bidi="zh-CN"/>
          <w14:textFill>
            <w14:solidFill>
              <w14:schemeClr w14:val="tx1"/>
            </w14:solidFill>
          </w14:textFill>
        </w:rPr>
        <w:t>后</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应</w:t>
      </w:r>
      <w:r>
        <w:rPr>
          <w:rFonts w:hint="eastAsia" w:cs="宋体"/>
          <w:color w:val="000000" w:themeColor="text1"/>
          <w:sz w:val="24"/>
          <w:szCs w:val="24"/>
          <w:highlight w:val="none"/>
          <w:lang w:val="zh-CN" w:eastAsia="zh-CN" w:bidi="zh-CN"/>
          <w14:textFill>
            <w14:solidFill>
              <w14:schemeClr w14:val="tx1"/>
            </w14:solidFill>
          </w14:textFill>
        </w:rPr>
        <w:t>附</w:t>
      </w:r>
      <w:r>
        <w:rPr>
          <w:rFonts w:hint="eastAsia" w:ascii="宋体" w:hAnsi="宋体" w:eastAsia="宋体" w:cs="宋体"/>
          <w:color w:val="000000" w:themeColor="text1"/>
          <w:sz w:val="24"/>
          <w:szCs w:val="24"/>
          <w:highlight w:val="none"/>
          <w:lang w:val="zh-CN"/>
          <w14:textFill>
            <w14:solidFill>
              <w14:schemeClr w14:val="tx1"/>
            </w14:solidFill>
          </w14:textFill>
        </w:rPr>
        <w:t>财务审计报告</w:t>
      </w:r>
      <w:r>
        <w:rPr>
          <w:rFonts w:hint="eastAsia" w:ascii="宋体" w:hAnsi="宋体" w:eastAsia="宋体" w:cs="宋体"/>
          <w:color w:val="000000" w:themeColor="text1"/>
          <w:sz w:val="24"/>
          <w:szCs w:val="24"/>
          <w:highlight w:val="none"/>
          <w14:textFill>
            <w14:solidFill>
              <w14:schemeClr w14:val="tx1"/>
            </w14:solidFill>
          </w14:textFill>
        </w:rPr>
        <w:t>或财务报表</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包括资产负债表、现金流量表、利润表</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，具体年份要求见供应商须知前附表。</w:t>
      </w:r>
    </w:p>
    <w:p w14:paraId="3D049A40">
      <w:pPr>
        <w:pStyle w:val="78"/>
        <w:keepNext w:val="0"/>
        <w:keepLines w:val="0"/>
        <w:pageBreakBefore w:val="0"/>
        <w:widowControl w:val="0"/>
        <w:tabs>
          <w:tab w:val="left" w:pos="1141"/>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4" w:name="bookmark118"/>
      <w:bookmarkEnd w:id="64"/>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3.5.3</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“近年</w:t>
      </w:r>
      <w:r>
        <w:rPr>
          <w:rFonts w:hint="eastAsia" w:ascii="宋体" w:hAnsi="宋体" w:eastAsia="宋体" w:cs="宋体"/>
          <w:color w:val="000000" w:themeColor="text1"/>
          <w:sz w:val="24"/>
          <w:szCs w:val="24"/>
          <w:highlight w:val="none"/>
          <w14:textFill>
            <w14:solidFill>
              <w14:schemeClr w14:val="tx1"/>
            </w14:solidFill>
          </w14:textFill>
        </w:rPr>
        <w:t>完成的类似项目情况表</w:t>
      </w:r>
      <w:r>
        <w:rPr>
          <w:rFonts w:hint="eastAsia" w:ascii="宋体" w:hAnsi="宋体" w:eastAsia="宋体" w:cs="宋体"/>
          <w:color w:val="000000" w:themeColor="text1"/>
          <w:sz w:val="24"/>
          <w:szCs w:val="24"/>
          <w:highlight w:val="none"/>
          <w:lang w:eastAsia="zh-CN"/>
          <w14:textFill>
            <w14:solidFill>
              <w14:schemeClr w14:val="tx1"/>
            </w14:solidFill>
          </w14:textFill>
        </w:rPr>
        <w:t>的年份要求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应附中标通知书</w:t>
      </w:r>
      <w:r>
        <w:rPr>
          <w:rFonts w:hint="eastAsia" w:ascii="宋体" w:hAnsi="宋体" w:eastAsia="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合同协议书。</w:t>
      </w:r>
    </w:p>
    <w:p w14:paraId="047389D1">
      <w:pPr>
        <w:pStyle w:val="78"/>
        <w:keepNext w:val="0"/>
        <w:keepLines w:val="0"/>
        <w:pageBreakBefore w:val="0"/>
        <w:widowControl w:val="0"/>
        <w:tabs>
          <w:tab w:val="left" w:pos="1141"/>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5" w:name="bookmark120"/>
      <w:bookmarkEnd w:id="65"/>
      <w:bookmarkStart w:id="66" w:name="bookmark119"/>
      <w:bookmarkEnd w:id="66"/>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3.5.4</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“近年</w:t>
      </w:r>
      <w:r>
        <w:rPr>
          <w:rFonts w:hint="eastAsia" w:ascii="宋体" w:hAnsi="宋体" w:eastAsia="宋体" w:cs="宋体"/>
          <w:color w:val="000000" w:themeColor="text1"/>
          <w:sz w:val="24"/>
          <w:szCs w:val="24"/>
          <w:highlight w:val="none"/>
          <w14:textFill>
            <w14:solidFill>
              <w14:schemeClr w14:val="tx1"/>
            </w14:solidFill>
          </w14:textFill>
        </w:rPr>
        <w:t>发生的诉讼及仲裁情况</w:t>
      </w:r>
      <w:r>
        <w:rPr>
          <w:rFonts w:hint="eastAsia" w:ascii="宋体" w:hAnsi="宋体" w:eastAsia="宋体" w:cs="宋体"/>
          <w:color w:val="000000" w:themeColor="text1"/>
          <w:sz w:val="24"/>
          <w:szCs w:val="24"/>
          <w:highlight w:val="none"/>
          <w:lang w:eastAsia="zh-CN"/>
          <w14:textFill>
            <w14:solidFill>
              <w14:schemeClr w14:val="tx1"/>
            </w14:solidFill>
          </w14:textFill>
        </w:rPr>
        <w:t>的年份要求</w:t>
      </w:r>
      <w:r>
        <w:rPr>
          <w:rFonts w:hint="eastAsia" w:ascii="宋体" w:hAnsi="宋体" w:eastAsia="宋体" w:cs="宋体"/>
          <w:color w:val="000000" w:themeColor="text1"/>
          <w:sz w:val="24"/>
          <w:szCs w:val="24"/>
          <w:highlight w:val="none"/>
          <w14:textFill>
            <w14:solidFill>
              <w14:schemeClr w14:val="tx1"/>
            </w14:solidFill>
          </w14:textFill>
        </w:rPr>
        <w:t>”应说明相关情况，并附法院或仲裁机构作岀的判决、裁决等有关法律文书复印件，具体年份要求见供应商须知前附表。</w:t>
      </w:r>
    </w:p>
    <w:p w14:paraId="7BF3750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3.5.5</w:t>
      </w:r>
      <w:r>
        <w:rPr>
          <w:rFonts w:hint="eastAsia" w:ascii="宋体" w:hAnsi="宋体" w:eastAsia="宋体" w:cs="宋体"/>
          <w:color w:val="000000" w:themeColor="text1"/>
          <w:sz w:val="24"/>
          <w:szCs w:val="24"/>
          <w:highlight w:val="none"/>
          <w14:textFill>
            <w14:solidFill>
              <w14:schemeClr w14:val="tx1"/>
            </w14:solidFill>
          </w14:textFill>
        </w:rPr>
        <w:t>供应商须知前附表规定接受联合体投标的，本章第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3.5.1</w:t>
      </w:r>
      <w:r>
        <w:rPr>
          <w:rFonts w:hint="eastAsia" w:ascii="宋体" w:hAnsi="宋体" w:eastAsia="宋体" w:cs="宋体"/>
          <w:color w:val="000000" w:themeColor="text1"/>
          <w:sz w:val="24"/>
          <w:szCs w:val="24"/>
          <w:highlight w:val="none"/>
          <w14:textFill>
            <w14:solidFill>
              <w14:schemeClr w14:val="tx1"/>
            </w14:solidFill>
          </w14:textFill>
        </w:rPr>
        <w:t>项至第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3. 5.4</w:t>
      </w:r>
      <w:r>
        <w:rPr>
          <w:rFonts w:hint="eastAsia" w:ascii="宋体" w:hAnsi="宋体" w:eastAsia="宋体" w:cs="宋体"/>
          <w:color w:val="000000" w:themeColor="text1"/>
          <w:sz w:val="24"/>
          <w:szCs w:val="24"/>
          <w:highlight w:val="none"/>
          <w14:textFill>
            <w14:solidFill>
              <w14:schemeClr w14:val="tx1"/>
            </w14:solidFill>
          </w14:textFill>
        </w:rPr>
        <w:t>项规定的表格和资料应包括联合体各方相关情况。</w:t>
      </w:r>
    </w:p>
    <w:p w14:paraId="4AC2278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6备选磋商方案</w:t>
      </w:r>
    </w:p>
    <w:p w14:paraId="66B53C8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供应商须知前附表另有规定外，供应商不得递交备选磋商方案。允许供应商递交备选磋商方案的，只有成交供应商所递交的备选磋商方案方可予以考虑。磋商小组认为成交供应商的各选磋商方案优于其按照竞争性磋商文件要求编制的磋商方案的，采购人可以接受该备选磋商方案。</w:t>
      </w:r>
    </w:p>
    <w:p w14:paraId="2A7B76C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7响应文件的编制</w:t>
      </w:r>
    </w:p>
    <w:p w14:paraId="5E715DB4">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7" w:name="bookmark121"/>
      <w:bookmarkEnd w:id="67"/>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响应文件应按第</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“竞争</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性磋商响应文件格式</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”进行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编写，如有必要，可以增加附页,作为响应文件的组成部分。其中，磋商函附录在满足竞争性磋商文件实质性要求的基础上，可以提岀比竞争性磋商文件要求更有利于采购人的承诺。</w:t>
      </w:r>
    </w:p>
    <w:p w14:paraId="26EA8761">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响应文件应当对竞争性磋商文件有关</w:t>
      </w:r>
      <w:r>
        <w:rPr>
          <w:rFonts w:hint="eastAsia" w:cs="宋体"/>
          <w:color w:val="000000" w:themeColor="text1"/>
          <w:spacing w:val="0"/>
          <w:w w:val="100"/>
          <w:position w:val="0"/>
          <w:sz w:val="24"/>
          <w:szCs w:val="24"/>
          <w:highlight w:val="none"/>
          <w:lang w:eastAsia="zh-CN"/>
          <w14:textFill>
            <w14:solidFill>
              <w14:schemeClr w14:val="tx1"/>
            </w14:solidFill>
          </w14:textFill>
        </w:rPr>
        <w:t>合同履行期限</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、磋商有效期、质量要求、技术标准和要求、采购范围等实质性内容作岀响应。</w:t>
      </w:r>
    </w:p>
    <w:p w14:paraId="03763CB6">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w:t>
      </w:r>
      <w:r>
        <w:rPr>
          <w:rFonts w:hint="eastAsia" w:cs="宋体"/>
          <w:color w:val="000000" w:themeColor="text1"/>
          <w:spacing w:val="0"/>
          <w:w w:val="100"/>
          <w:position w:val="0"/>
          <w:sz w:val="24"/>
          <w:szCs w:val="24"/>
          <w:highlight w:val="none"/>
          <w:lang w:eastAsia="zh-CN"/>
          <w14:textFill>
            <w14:solidFill>
              <w14:schemeClr w14:val="tx1"/>
            </w14:solidFill>
          </w14:textFill>
        </w:rPr>
        <w:t>签字或盖章要求，</w:t>
      </w:r>
      <w:r>
        <w:rPr>
          <w:rFonts w:hint="eastAsia" w:ascii="宋体" w:hAnsi="宋体" w:cs="宋体"/>
          <w:color w:val="000000" w:themeColor="text1"/>
          <w:sz w:val="24"/>
          <w:szCs w:val="24"/>
          <w:highlight w:val="none"/>
          <w:lang w:val="en-US" w:eastAsia="zh-CN"/>
          <w14:textFill>
            <w14:solidFill>
              <w14:schemeClr w14:val="tx1"/>
            </w14:solidFill>
          </w14:textFill>
        </w:rPr>
        <w:t>详见供应商须知前附表</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w:t>
      </w:r>
    </w:p>
    <w:p w14:paraId="36A9D59C">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首次响应文件递交</w:t>
      </w:r>
    </w:p>
    <w:p w14:paraId="58D33DCC">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b/>
          <w:bCs/>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响应文件的递交</w:t>
      </w:r>
    </w:p>
    <w:p w14:paraId="5C10DEA8">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供应商递交首次响应文件截止时间：见供应商须知前附表。</w:t>
      </w:r>
    </w:p>
    <w:p w14:paraId="5415FE6D">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供应商递交首次响应文件的地点：见供应商须知前附表。</w:t>
      </w:r>
    </w:p>
    <w:p w14:paraId="079496FA">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除供应商须知前附表另有规定外，供应商所递交的响应文件不予退还。</w:t>
      </w:r>
    </w:p>
    <w:p w14:paraId="10A39CB5">
      <w:pPr>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逾期</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提交的</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政采云系统</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不予受理。</w:t>
      </w:r>
    </w:p>
    <w:p w14:paraId="6AA85868">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8" w:name="bookmark122"/>
      <w:bookmarkEnd w:id="68"/>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b/>
          <w:bCs/>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响应文件的修改与撤回</w:t>
      </w:r>
    </w:p>
    <w:p w14:paraId="5C873FA6">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4.1.</w:t>
      </w:r>
      <w:r>
        <w:rPr>
          <w:rFonts w:hint="eastAsia" w:ascii="宋体" w:hAnsi="宋体" w:eastAsia="宋体" w:cs="宋体"/>
          <w:color w:val="000000" w:themeColor="text1"/>
          <w:sz w:val="24"/>
          <w:szCs w:val="24"/>
          <w:highlight w:val="none"/>
          <w14:textFill>
            <w14:solidFill>
              <w14:schemeClr w14:val="tx1"/>
            </w14:solidFill>
          </w14:textFill>
        </w:rPr>
        <w:t>1项规定的递交首次响应文件截止时间前，供应商可以修改或撤回已递交的首次响应文件，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具体以政采云系统操作为准</w:t>
      </w:r>
      <w:r>
        <w:rPr>
          <w:rFonts w:hint="eastAsia" w:ascii="宋体" w:hAnsi="宋体" w:eastAsia="宋体" w:cs="宋体"/>
          <w:color w:val="000000" w:themeColor="text1"/>
          <w:sz w:val="24"/>
          <w:szCs w:val="24"/>
          <w:highlight w:val="none"/>
          <w14:textFill>
            <w14:solidFill>
              <w14:schemeClr w14:val="tx1"/>
            </w14:solidFill>
          </w14:textFill>
        </w:rPr>
        <w:t>。</w:t>
      </w:r>
    </w:p>
    <w:p w14:paraId="6D76BE9F">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磋商</w:t>
      </w:r>
    </w:p>
    <w:p w14:paraId="4BAAAEF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1磋商时间和地点</w:t>
      </w:r>
    </w:p>
    <w:p w14:paraId="4CD06BBF">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4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详见供应商须知前附表，电子标供应商法人或授权代理人无需到达开标现场，</w:t>
      </w:r>
      <w:r>
        <w:rPr>
          <w:rFonts w:hint="eastAsia" w:cs="宋体"/>
          <w:color w:val="000000" w:themeColor="text1"/>
          <w:spacing w:val="0"/>
          <w:w w:val="100"/>
          <w:sz w:val="24"/>
          <w:szCs w:val="24"/>
          <w:highlight w:val="none"/>
          <w:lang w:eastAsia="zh-CN"/>
          <w14:textFill>
            <w14:solidFill>
              <w14:schemeClr w14:val="tx1"/>
            </w14:solidFill>
          </w14:textFill>
        </w:rPr>
        <w:t>通过“政采云”系统</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线上开标</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15D93C2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2磋商程序</w:t>
      </w:r>
    </w:p>
    <w:p w14:paraId="43CD6292">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69" w:name="bookmark127"/>
      <w:bookmarkEnd w:id="69"/>
      <w:r>
        <w:rPr>
          <w:rFonts w:hint="eastAsia" w:ascii="宋体" w:hAnsi="宋体" w:eastAsia="宋体" w:cs="宋体"/>
          <w:b w:val="0"/>
          <w:bCs w:val="0"/>
          <w:color w:val="000000" w:themeColor="text1"/>
          <w:spacing w:val="0"/>
          <w:w w:val="100"/>
          <w:sz w:val="24"/>
          <w:szCs w:val="24"/>
          <w:highlight w:val="none"/>
          <w:lang w:eastAsia="zh-CN"/>
          <w14:textFill>
            <w14:solidFill>
              <w14:schemeClr w14:val="tx1"/>
            </w14:solidFill>
          </w14:textFill>
        </w:rPr>
        <w:t>详见供应商须知前附表（电子标以政采云平台系统的程序为准）</w:t>
      </w:r>
      <w:r>
        <w:rPr>
          <w:rFonts w:hint="eastAsia" w:cs="宋体"/>
          <w:b w:val="0"/>
          <w:bCs w:val="0"/>
          <w:color w:val="000000" w:themeColor="text1"/>
          <w:spacing w:val="0"/>
          <w:w w:val="100"/>
          <w:sz w:val="24"/>
          <w:szCs w:val="24"/>
          <w:highlight w:val="none"/>
          <w:lang w:eastAsia="zh-CN"/>
          <w14:textFill>
            <w14:solidFill>
              <w14:schemeClr w14:val="tx1"/>
            </w14:solidFill>
          </w14:textFill>
        </w:rPr>
        <w:t>。</w:t>
      </w:r>
    </w:p>
    <w:p w14:paraId="2FC58F1A">
      <w:pPr>
        <w:pStyle w:val="78"/>
        <w:keepNext w:val="0"/>
        <w:keepLines w:val="0"/>
        <w:pageBreakBefore w:val="0"/>
        <w:widowControl w:val="0"/>
        <w:tabs>
          <w:tab w:val="left" w:pos="329"/>
        </w:tabs>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3磋商其他事项</w:t>
      </w:r>
    </w:p>
    <w:p w14:paraId="622AFD0E">
      <w:pPr>
        <w:pStyle w:val="78"/>
        <w:keepNext w:val="0"/>
        <w:keepLines w:val="0"/>
        <w:pageBreakBefore w:val="0"/>
        <w:widowControl w:val="0"/>
        <w:tabs>
          <w:tab w:val="left" w:pos="1006"/>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0" w:name="bookmark128"/>
      <w:bookmarkEnd w:id="7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通过初步评审的供应商少于三家的，采购人或者采购代理机构依法重新组织采购，且不承担任何费用和责任。</w:t>
      </w:r>
    </w:p>
    <w:p w14:paraId="0C5083C5">
      <w:pPr>
        <w:pStyle w:val="78"/>
        <w:keepNext w:val="0"/>
        <w:keepLines w:val="0"/>
        <w:pageBreakBefore w:val="0"/>
        <w:widowControl w:val="0"/>
        <w:numPr>
          <w:ilvl w:val="0"/>
          <w:numId w:val="0"/>
        </w:numPr>
        <w:shd w:val="clear" w:color="auto" w:fill="auto"/>
        <w:tabs>
          <w:tab w:val="left" w:pos="913"/>
        </w:tabs>
        <w:kinsoku/>
        <w:wordWrap/>
        <w:overflowPunct/>
        <w:topLinePunct w:val="0"/>
        <w:autoSpaceDE/>
        <w:autoSpaceDN/>
        <w:bidi w:val="0"/>
        <w:adjustRightInd/>
        <w:snapToGrid/>
        <w:spacing w:before="0" w:line="460" w:lineRule="exact"/>
        <w:ind w:left="0" w:leftChars="0" w:right="0" w:rightChars="0" w:firstLine="480" w:firstLineChars="200"/>
        <w:jc w:val="both"/>
        <w:textAlignment w:val="auto"/>
        <w:rPr>
          <w:rFonts w:hint="eastAsia" w:ascii="宋体" w:hAnsi="宋体" w:eastAsia="宋体" w:cs="宋体"/>
          <w:color w:val="000000" w:themeColor="text1"/>
          <w:spacing w:val="0"/>
          <w:w w:val="100"/>
          <w:kern w:val="2"/>
          <w:sz w:val="24"/>
          <w:szCs w:val="24"/>
          <w:highlight w:val="none"/>
          <w:lang w:val="zh-TW" w:eastAsia="zh-CN" w:bidi="zh-TW"/>
          <w14:textFill>
            <w14:solidFill>
              <w14:schemeClr w14:val="tx1"/>
            </w14:solidFill>
          </w14:textFill>
        </w:rPr>
      </w:pPr>
      <w:bookmarkStart w:id="71" w:name="bookmark132"/>
      <w:bookmarkEnd w:id="71"/>
      <w:bookmarkStart w:id="72" w:name="bookmark129"/>
      <w:bookmarkEnd w:id="72"/>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第二轮报价(最终报价)</w:t>
      </w:r>
      <w:r>
        <w:rPr>
          <w:rFonts w:hint="eastAsia" w:ascii="宋体" w:hAnsi="宋体" w:eastAsia="宋体" w:cs="宋体"/>
          <w:color w:val="000000" w:themeColor="text1"/>
          <w:spacing w:val="0"/>
          <w:w w:val="100"/>
          <w:kern w:val="2"/>
          <w:sz w:val="24"/>
          <w:szCs w:val="24"/>
          <w:highlight w:val="none"/>
          <w:lang w:val="zh-TW" w:eastAsia="zh-CN" w:bidi="zh-TW"/>
          <w14:textFill>
            <w14:solidFill>
              <w14:schemeClr w14:val="tx1"/>
            </w14:solidFill>
          </w14:textFill>
        </w:rPr>
        <w:t>以政采云系统生成的格式为准，参与磋商的供应商应提前准备第二轮磋商报价，不附在首次响应文件内，在通过资格审查的供应商，评审过程中开启第二轮磋商报价，供应商须填写后远程提交，作为响应文件的组成部分</w:t>
      </w:r>
    </w:p>
    <w:p w14:paraId="20B5910B">
      <w:pPr>
        <w:pStyle w:val="78"/>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line="460" w:lineRule="exact"/>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3" w:name="bookmark131"/>
      <w:bookmarkEnd w:id="73"/>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供应商对第二轮报价有异议的，应当在磋商现场</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线上提出</w:t>
      </w:r>
      <w:r>
        <w:rPr>
          <w:rFonts w:hint="eastAsia" w:ascii="宋体" w:hAnsi="宋体" w:eastAsia="宋体" w:cs="宋体"/>
          <w:color w:val="000000" w:themeColor="text1"/>
          <w:spacing w:val="0"/>
          <w:w w:val="100"/>
          <w:sz w:val="24"/>
          <w:szCs w:val="24"/>
          <w:highlight w:val="none"/>
          <w14:textFill>
            <w14:solidFill>
              <w14:schemeClr w14:val="tx1"/>
            </w14:solidFill>
          </w14:textFill>
        </w:rPr>
        <w:t>，采购人或者采购代理机构应当场给予答复，并制作记录，供应商法定代表人或其授权代表、采购人代表、采购代理机构相关人员签字确认。</w:t>
      </w:r>
    </w:p>
    <w:p w14:paraId="636D80C5">
      <w:pPr>
        <w:pStyle w:val="78"/>
        <w:keepNext w:val="0"/>
        <w:keepLines w:val="0"/>
        <w:pageBreakBefore w:val="0"/>
        <w:widowControl w:val="0"/>
        <w:tabs>
          <w:tab w:val="left" w:pos="35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评审</w:t>
      </w:r>
    </w:p>
    <w:p w14:paraId="058322E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1磋商小组</w:t>
      </w:r>
    </w:p>
    <w:p w14:paraId="1F50E22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6.1.1</w:t>
      </w:r>
      <w:r>
        <w:rPr>
          <w:rFonts w:hint="eastAsia" w:ascii="宋体" w:hAnsi="宋体" w:eastAsia="宋体" w:cs="宋体"/>
          <w:color w:val="000000" w:themeColor="text1"/>
          <w:sz w:val="24"/>
          <w:szCs w:val="24"/>
          <w:highlight w:val="none"/>
          <w14:textFill>
            <w14:solidFill>
              <w14:schemeClr w14:val="tx1"/>
            </w14:solidFill>
          </w14:textFill>
        </w:rPr>
        <w:t>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供应商须知前附表。</w:t>
      </w:r>
    </w:p>
    <w:p w14:paraId="18C77A54">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参加评审专家抽取的有关人员对被抽取的专家的姓名、单位和联系方式等内容负有保密的义务。</w:t>
      </w:r>
    </w:p>
    <w:p w14:paraId="1F0EB8A0">
      <w:pPr>
        <w:pStyle w:val="78"/>
        <w:keepNext w:val="0"/>
        <w:keepLines w:val="0"/>
        <w:pageBreakBefore w:val="0"/>
        <w:widowControl w:val="0"/>
        <w:kinsoku/>
        <w:wordWrap/>
        <w:overflowPunct/>
        <w:topLinePunct w:val="0"/>
        <w:bidi w:val="0"/>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磋商小组成员的名单在成交结果确定前必须严格保密。</w:t>
      </w:r>
    </w:p>
    <w:p w14:paraId="6900C7D5">
      <w:pPr>
        <w:pStyle w:val="78"/>
        <w:keepNext w:val="0"/>
        <w:keepLines w:val="0"/>
        <w:pageBreakBefore w:val="0"/>
        <w:widowControl w:val="0"/>
        <w:tabs>
          <w:tab w:val="left" w:pos="73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4" w:name="bookmark133"/>
      <w:bookmarkEnd w:id="74"/>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6.1.2</w:t>
      </w:r>
      <w:r>
        <w:rPr>
          <w:rFonts w:hint="eastAsia" w:ascii="宋体" w:hAnsi="宋体" w:eastAsia="宋体" w:cs="宋体"/>
          <w:color w:val="000000" w:themeColor="text1"/>
          <w:sz w:val="24"/>
          <w:szCs w:val="24"/>
          <w:highlight w:val="none"/>
          <w14:textFill>
            <w14:solidFill>
              <w14:schemeClr w14:val="tx1"/>
            </w14:solidFill>
          </w14:textFill>
        </w:rPr>
        <w:t>磋商小组成员不得参加与自己有利害关系的评审活动，与自己有利害关系的应当回避，已经进入的必须更换。</w:t>
      </w:r>
    </w:p>
    <w:p w14:paraId="1B8BE2B1">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6.1.3</w:t>
      </w:r>
      <w:r>
        <w:rPr>
          <w:rFonts w:hint="eastAsia" w:ascii="宋体" w:hAnsi="宋体" w:eastAsia="宋体" w:cs="宋体"/>
          <w:color w:val="000000" w:themeColor="text1"/>
          <w:sz w:val="24"/>
          <w:szCs w:val="24"/>
          <w:highlight w:val="none"/>
          <w14:textFill>
            <w14:solidFill>
              <w14:schemeClr w14:val="tx1"/>
            </w14:solidFill>
          </w14:textFill>
        </w:rPr>
        <w:t>磋商小组负责对各响应文件进行评审、比较、评定，并按本磋商文件的规定确定成交供应商。</w:t>
      </w:r>
    </w:p>
    <w:p w14:paraId="0ACD84D7">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6.1.4</w:t>
      </w:r>
      <w:r>
        <w:rPr>
          <w:rFonts w:hint="eastAsia" w:ascii="宋体" w:hAnsi="宋体" w:eastAsia="宋体" w:cs="宋体"/>
          <w:color w:val="000000" w:themeColor="text1"/>
          <w:sz w:val="24"/>
          <w:szCs w:val="24"/>
          <w:highlight w:val="none"/>
          <w14:textFill>
            <w14:solidFill>
              <w14:schemeClr w14:val="tx1"/>
            </w14:solidFill>
          </w14:textFill>
        </w:rPr>
        <w:t>磋商小组具有依据磋商文件进行独立评审的权力，且不受外界任何因素的干扰。磋商小组成员必须独立、负责地提岀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岀书面说明并记录在案。</w:t>
      </w:r>
    </w:p>
    <w:p w14:paraId="6B044B13">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6.1.5</w:t>
      </w:r>
      <w:r>
        <w:rPr>
          <w:rFonts w:hint="eastAsia" w:ascii="宋体" w:hAnsi="宋体" w:eastAsia="宋体" w:cs="宋体"/>
          <w:color w:val="000000" w:themeColor="text1"/>
          <w:sz w:val="24"/>
          <w:szCs w:val="24"/>
          <w:highlight w:val="none"/>
          <w14:textFill>
            <w14:solidFill>
              <w14:schemeClr w14:val="tx1"/>
            </w14:solidFill>
          </w14:textFill>
        </w:rPr>
        <w:t>磋商小组的职责：</w:t>
      </w:r>
    </w:p>
    <w:p w14:paraId="2855C0D3">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5" w:name="bookmark134"/>
      <w:bookmarkEnd w:id="7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审查响应文件是否符合磋商文件要求，进行资格性审查和符合性审查，并作岀评价；</w:t>
      </w:r>
    </w:p>
    <w:p w14:paraId="083878E2">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6" w:name="bookmark135"/>
      <w:bookmarkEnd w:id="7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要求供应商解释或澄清其响应文件；</w:t>
      </w:r>
    </w:p>
    <w:p w14:paraId="4E0B8F34">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7" w:name="bookmark136"/>
      <w:bookmarkEnd w:id="7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编写评审报告，受采购人委托按照事先确定的办法直接确定成交供应商；</w:t>
      </w:r>
    </w:p>
    <w:p w14:paraId="75D0992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8" w:name="bookmark137"/>
      <w:bookmarkEnd w:id="7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告知采购人、采购代理机构在评审过程中发现的供应商的违法违规行为。</w:t>
      </w:r>
    </w:p>
    <w:p w14:paraId="2EB818BE">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6.1.6</w:t>
      </w:r>
      <w:r>
        <w:rPr>
          <w:rFonts w:hint="eastAsia" w:ascii="宋体" w:hAnsi="宋体" w:eastAsia="宋体" w:cs="宋体"/>
          <w:color w:val="000000" w:themeColor="text1"/>
          <w:sz w:val="24"/>
          <w:szCs w:val="24"/>
          <w:highlight w:val="none"/>
          <w14:textFill>
            <w14:solidFill>
              <w14:schemeClr w14:val="tx1"/>
            </w14:solidFill>
          </w14:textFill>
        </w:rPr>
        <w:t>磋商小组的义务：</w:t>
      </w:r>
    </w:p>
    <w:p w14:paraId="74396D57">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9" w:name="bookmark138"/>
      <w:bookmarkEnd w:id="7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遵纪守法，客观、公正、廉洁地履行职责；</w:t>
      </w:r>
    </w:p>
    <w:p w14:paraId="611D02BC">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0" w:name="bookmark139"/>
      <w:bookmarkEnd w:id="8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提岀真实、可靠的评审意见；</w:t>
      </w:r>
    </w:p>
    <w:p w14:paraId="4DD01F3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1" w:name="bookmark140"/>
      <w:bookmarkEnd w:id="8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严格遵守评审纪律，不得向外界泄露评审情况；</w:t>
      </w:r>
    </w:p>
    <w:p w14:paraId="3C4DA48F">
      <w:pPr>
        <w:pStyle w:val="78"/>
        <w:keepNext w:val="0"/>
        <w:keepLines w:val="0"/>
        <w:pageBreakBefore w:val="0"/>
        <w:widowControl w:val="0"/>
        <w:tabs>
          <w:tab w:val="left" w:pos="1011"/>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2" w:name="bookmark141"/>
      <w:bookmarkEnd w:id="8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发现供应商在磋商活动中有不正当竞争或者恶意串通等违规行为，应及时向政府采购监督管理部门报告并加以制止；</w:t>
      </w:r>
    </w:p>
    <w:p w14:paraId="63E66DF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3" w:name="bookmark142"/>
      <w:bookmarkEnd w:id="8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按照磋商文件的规定进行独立评审，对个人的评审意见承担法律责任；</w:t>
      </w:r>
    </w:p>
    <w:p w14:paraId="2466ED0D">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4" w:name="bookmark143"/>
      <w:bookmarkEnd w:id="8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编写并审定评审报告；</w:t>
      </w:r>
    </w:p>
    <w:p w14:paraId="73DF426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5" w:name="bookmark144"/>
      <w:bookmarkEnd w:id="8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配合采购人或者采购代理机构答复供应商提岀的质疑；</w:t>
      </w:r>
    </w:p>
    <w:p w14:paraId="358D2DE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6" w:name="bookmark145"/>
      <w:bookmarkEnd w:id="8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对评审过程和结果，以及采购人、供应商的商业秘密保密；</w:t>
      </w:r>
    </w:p>
    <w:p w14:paraId="3A2B9D25">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7" w:name="bookmark146"/>
      <w:bookmarkEnd w:id="8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配合财政部门的投诉处理和监督检查工作。</w:t>
      </w:r>
    </w:p>
    <w:p w14:paraId="54B23400">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w:t>
      </w:r>
      <w:r>
        <w:rPr>
          <w:rFonts w:hint="eastAsia" w:ascii="宋体" w:hAnsi="宋体" w:eastAsia="宋体" w:cs="宋体"/>
          <w:color w:val="000000" w:themeColor="text1"/>
          <w:sz w:val="24"/>
          <w:szCs w:val="24"/>
          <w:highlight w:val="none"/>
          <w14:textFill>
            <w14:solidFill>
              <w14:schemeClr w14:val="tx1"/>
            </w14:solidFill>
          </w14:textFill>
        </w:rPr>
        <w:t>7磋商小组成员有下列情形之一的，应当回避：</w:t>
      </w:r>
    </w:p>
    <w:p w14:paraId="1D7E1FD3">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8" w:name="bookmark147"/>
      <w:bookmarkEnd w:id="8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采购人或供应商的主要负责人的近亲属；</w:t>
      </w:r>
    </w:p>
    <w:p w14:paraId="7F599B46">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9" w:name="bookmark148"/>
      <w:bookmarkEnd w:id="8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项目主管部门或者行政监督部门的人员；</w:t>
      </w:r>
    </w:p>
    <w:p w14:paraId="561DC435">
      <w:pPr>
        <w:pStyle w:val="78"/>
        <w:keepNext w:val="0"/>
        <w:keepLines w:val="0"/>
        <w:pageBreakBefore w:val="0"/>
        <w:widowControl w:val="0"/>
        <w:tabs>
          <w:tab w:val="left" w:pos="894"/>
        </w:tabs>
        <w:kinsoku/>
        <w:wordWrap/>
        <w:overflowPunct/>
        <w:topLinePunct w:val="0"/>
        <w:bidi w:val="0"/>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0" w:name="bookmark149"/>
      <w:bookmarkEnd w:id="90"/>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14:textFill>
            <w14:solidFill>
              <w14:schemeClr w14:val="tx1"/>
            </w14:solidFill>
          </w14:textFill>
        </w:rPr>
        <w:t>与供应商有经济利益关系，可能影响对投标公正评审的；</w:t>
      </w:r>
    </w:p>
    <w:p w14:paraId="5D2F75D1">
      <w:pPr>
        <w:pStyle w:val="78"/>
        <w:keepNext w:val="0"/>
        <w:keepLines w:val="0"/>
        <w:pageBreakBefore w:val="0"/>
        <w:widowControl w:val="0"/>
        <w:tabs>
          <w:tab w:val="left" w:pos="894"/>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1" w:name="bookmark150"/>
      <w:bookmarkEnd w:id="9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曾因在采购、评审以及其他与采购有关活动中从事违法行为而受过行政处罚或刑事处罚的。</w:t>
      </w:r>
    </w:p>
    <w:p w14:paraId="0FCFEF0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2评审原则</w:t>
      </w:r>
    </w:p>
    <w:p w14:paraId="4FE0060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评审活动遵循公平、公正、科学和择优的原则。</w:t>
      </w:r>
    </w:p>
    <w:p w14:paraId="79769C7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6.3</w:t>
      </w:r>
      <w:r>
        <w:rPr>
          <w:rFonts w:hint="eastAsia" w:ascii="宋体" w:hAnsi="宋体" w:eastAsia="宋体" w:cs="宋体"/>
          <w:b/>
          <w:bCs/>
          <w:color w:val="000000" w:themeColor="text1"/>
          <w:sz w:val="24"/>
          <w:szCs w:val="24"/>
          <w:highlight w:val="none"/>
          <w14:textFill>
            <w14:solidFill>
              <w14:schemeClr w14:val="tx1"/>
            </w14:solidFill>
          </w14:textFill>
        </w:rPr>
        <w:t>评审</w:t>
      </w:r>
    </w:p>
    <w:p w14:paraId="764264E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磋商小组按照第三章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”规定</w:t>
      </w:r>
      <w:r>
        <w:rPr>
          <w:rFonts w:hint="eastAsia" w:ascii="宋体" w:hAnsi="宋体" w:eastAsia="宋体" w:cs="宋体"/>
          <w:color w:val="000000" w:themeColor="text1"/>
          <w:sz w:val="24"/>
          <w:szCs w:val="24"/>
          <w:highlight w:val="none"/>
          <w14:textFill>
            <w14:solidFill>
              <w14:schemeClr w14:val="tx1"/>
            </w14:solidFill>
          </w14:textFill>
        </w:rPr>
        <w:t>的方法、评审因素、标准和程序对响应文件进行评审。第三章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”没</w:t>
      </w:r>
      <w:r>
        <w:rPr>
          <w:rFonts w:hint="eastAsia" w:ascii="宋体" w:hAnsi="宋体" w:eastAsia="宋体" w:cs="宋体"/>
          <w:color w:val="000000" w:themeColor="text1"/>
          <w:sz w:val="24"/>
          <w:szCs w:val="24"/>
          <w:highlight w:val="none"/>
          <w14:textFill>
            <w14:solidFill>
              <w14:schemeClr w14:val="tx1"/>
            </w14:solidFill>
          </w14:textFill>
        </w:rPr>
        <w:t>有规定的方法、评审因素和标准，不作为评审依据。</w:t>
      </w:r>
    </w:p>
    <w:p w14:paraId="398A0CE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评审完成后，磋商小组向采购人提岀评审报告，评审报告由磋商小组全体成员签字确认。</w:t>
      </w:r>
    </w:p>
    <w:p w14:paraId="6C124DC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合同授予</w:t>
      </w:r>
    </w:p>
    <w:p w14:paraId="27C1E8D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1确定成交供应商方式</w:t>
      </w:r>
    </w:p>
    <w:p w14:paraId="21CB3AB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除供应商须知前附表规定磋商小组直接确定成交供应商外，采购人依据磋商小组推荐的成交候选供应商确定成交供应商，磋商小组推荐成交候选供应商的人数见供应商须知前附表。</w:t>
      </w:r>
    </w:p>
    <w:p w14:paraId="45F8CD2A">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2成交通知</w:t>
      </w:r>
    </w:p>
    <w:p w14:paraId="7B78B63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款规定的磋商有效期内，采购人以书面形式向成交供应商发岀成交通知书</w:t>
      </w:r>
      <w:r>
        <w:rPr>
          <w:rFonts w:hint="eastAsia" w:cs="宋体"/>
          <w:color w:val="000000" w:themeColor="text1"/>
          <w:sz w:val="24"/>
          <w:szCs w:val="24"/>
          <w:highlight w:val="none"/>
          <w:lang w:eastAsia="zh-CN"/>
          <w14:textFill>
            <w14:solidFill>
              <w14:schemeClr w14:val="tx1"/>
            </w14:solidFill>
          </w14:textFill>
        </w:rPr>
        <w:t>（电子标通过“政采云”平台线上发出）</w:t>
      </w:r>
      <w:r>
        <w:rPr>
          <w:rFonts w:hint="eastAsia" w:ascii="宋体" w:hAnsi="宋体" w:eastAsia="宋体" w:cs="宋体"/>
          <w:color w:val="000000" w:themeColor="text1"/>
          <w:sz w:val="24"/>
          <w:szCs w:val="24"/>
          <w:highlight w:val="none"/>
          <w14:textFill>
            <w14:solidFill>
              <w14:schemeClr w14:val="tx1"/>
            </w14:solidFill>
          </w14:textFill>
        </w:rPr>
        <w:t>，同时将成交结果通知未成交的供应商。</w:t>
      </w:r>
    </w:p>
    <w:p w14:paraId="68409CCA">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7.3</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履约担保</w:t>
      </w:r>
    </w:p>
    <w:p w14:paraId="7EB961AD">
      <w:pPr>
        <w:pStyle w:val="78"/>
        <w:keepNext w:val="0"/>
        <w:keepLines w:val="0"/>
        <w:pageBreakBefore w:val="0"/>
        <w:widowControl w:val="0"/>
        <w:numPr>
          <w:ilvl w:val="0"/>
          <w:numId w:val="0"/>
        </w:numPr>
        <w:shd w:val="clear" w:color="auto" w:fill="auto"/>
        <w:tabs>
          <w:tab w:val="left" w:pos="829"/>
        </w:tabs>
        <w:kinsoku/>
        <w:wordWrap/>
        <w:overflowPunct/>
        <w:topLinePunct w:val="0"/>
        <w:autoSpaceDE/>
        <w:autoSpaceDN/>
        <w:bidi w:val="0"/>
        <w:adjustRightInd/>
        <w:snapToGrid/>
        <w:spacing w:before="0" w:line="460" w:lineRule="exact"/>
        <w:ind w:left="0" w:leftChars="0" w:right="0" w:rightChars="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2" w:name="bookmark151"/>
      <w:bookmarkEnd w:id="92"/>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1在签订合同前，成交供应商应按供应商须知前附表规定的金额、担保形式和竞争性磋商文件第四章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“合</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同条款及格式</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规定的履约担保格式向采购人递交履约担保。联合体成交的，其履约担保由牵头人递交，并应符合供应商须知前附表规定的金额、担保形式和竞争性磋商文件第四章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“合同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条款及格式”规定的履约担保格式要求。</w:t>
      </w:r>
    </w:p>
    <w:p w14:paraId="70DCB370">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7.3.2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成交供应商不能按本章第</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7.3.1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项要求递交履约担保的，视为放弃成交，其磋商保证金不予退还，给采购人造成的损失超过磋商保证金数额的，成交供应商还应当对超过部分予以赔偿。</w:t>
      </w:r>
    </w:p>
    <w:p w14:paraId="07F45D92">
      <w:pPr>
        <w:pStyle w:val="78"/>
        <w:keepNext w:val="0"/>
        <w:keepLines w:val="0"/>
        <w:pageBreakBefore w:val="0"/>
        <w:widowControl w:val="0"/>
        <w:tabs>
          <w:tab w:val="left" w:pos="339"/>
        </w:tabs>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4签订合同</w:t>
      </w:r>
    </w:p>
    <w:p w14:paraId="653C2875">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7.4.1</w:t>
      </w:r>
      <w:r>
        <w:rPr>
          <w:rFonts w:hint="eastAsia" w:ascii="宋体" w:hAnsi="宋体" w:eastAsia="宋体" w:cs="宋体"/>
          <w:color w:val="000000" w:themeColor="text1"/>
          <w:sz w:val="24"/>
          <w:szCs w:val="24"/>
          <w:highlight w:val="none"/>
          <w14:textFill>
            <w14:solidFill>
              <w14:schemeClr w14:val="tx1"/>
            </w14:solidFill>
          </w14:textFill>
        </w:rPr>
        <w:t>采购人和成交供应商应当自成交通知书发岀之日起30天内，根据竞争性磋商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23DCB15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7.4.2</w:t>
      </w:r>
      <w:r>
        <w:rPr>
          <w:rFonts w:hint="eastAsia" w:ascii="宋体" w:hAnsi="宋体" w:eastAsia="宋体" w:cs="宋体"/>
          <w:color w:val="000000" w:themeColor="text1"/>
          <w:sz w:val="24"/>
          <w:szCs w:val="24"/>
          <w:highlight w:val="none"/>
          <w14:textFill>
            <w14:solidFill>
              <w14:schemeClr w14:val="tx1"/>
            </w14:solidFill>
          </w14:textFill>
        </w:rPr>
        <w:t>发岀成交通知书后，采购人无正当理由拒签合同的，采购人向成交供应商退还磋商保证金；给成交供应商造成损失的，还应当赔偿损失。</w:t>
      </w:r>
    </w:p>
    <w:p w14:paraId="65193913">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3" w:name="bookmark153"/>
      <w:bookmarkEnd w:id="93"/>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报价无效及废标</w:t>
      </w:r>
    </w:p>
    <w:p w14:paraId="61EBB41C">
      <w:pPr>
        <w:pStyle w:val="78"/>
        <w:keepNext w:val="0"/>
        <w:keepLines w:val="0"/>
        <w:pageBreakBefore w:val="0"/>
        <w:widowControl w:val="0"/>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8.1</w:t>
      </w:r>
      <w:r>
        <w:rPr>
          <w:rFonts w:hint="eastAsia" w:ascii="宋体" w:hAnsi="宋体" w:eastAsia="宋体" w:cs="宋体"/>
          <w:color w:val="000000" w:themeColor="text1"/>
          <w:sz w:val="24"/>
          <w:szCs w:val="24"/>
          <w:highlight w:val="none"/>
          <w14:textFill>
            <w14:solidFill>
              <w14:schemeClr w14:val="tx1"/>
            </w14:solidFill>
          </w14:textFill>
        </w:rPr>
        <w:t>岀现下列情形之一的，报价无效：</w:t>
      </w:r>
    </w:p>
    <w:p w14:paraId="49958047">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4" w:name="bookmark154"/>
      <w:bookmarkEnd w:id="9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不具备《中华人民共和国政府采购法》第二十二条规定条件；</w:t>
      </w:r>
    </w:p>
    <w:p w14:paraId="6A60B702">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95" w:name="bookmark155"/>
      <w:bookmarkEnd w:id="9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14:textFill>
            <w14:solidFill>
              <w14:schemeClr w14:val="tx1"/>
            </w14:solidFill>
          </w14:textFill>
        </w:rPr>
        <w:t>、政府采购严重违法失信行为记录名单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D382F0F">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6" w:name="bookmark156"/>
      <w:bookmarkEnd w:id="9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响应文件未按磋商文件规定要求格式制作、签署、盖章；</w:t>
      </w:r>
    </w:p>
    <w:p w14:paraId="21D3AFFC">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7" w:name="bookmark157"/>
      <w:bookmarkEnd w:id="9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不按磋商小组要求澄清、说明或补正的。</w:t>
      </w:r>
    </w:p>
    <w:p w14:paraId="29470F70">
      <w:pPr>
        <w:pStyle w:val="78"/>
        <w:keepNext w:val="0"/>
        <w:keepLines w:val="0"/>
        <w:pageBreakBefore w:val="0"/>
        <w:widowControl w:val="0"/>
        <w:tabs>
          <w:tab w:val="left" w:pos="1016"/>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8" w:name="bookmark158"/>
      <w:bookmarkEnd w:id="9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未按照磋商文件中报价文件要求的内容填写报价、拒绝报价、报价不确定、有选择性报价和附有条件的报价、报价等于或高于</w:t>
      </w:r>
      <w:r>
        <w:rPr>
          <w:rFonts w:hint="eastAsia"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w:t>
      </w:r>
    </w:p>
    <w:p w14:paraId="073F02E9">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9" w:name="bookmark159"/>
      <w:bookmarkEnd w:id="9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法定代表人或其授权代表未按时</w:t>
      </w: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14:textFill>
            <w14:solidFill>
              <w14:schemeClr w14:val="tx1"/>
            </w14:solidFill>
          </w14:textFill>
        </w:rPr>
        <w:t>二次报价</w:t>
      </w:r>
      <w:r>
        <w:rPr>
          <w:rFonts w:hint="eastAsia" w:ascii="宋体" w:hAnsi="宋体" w:eastAsia="宋体" w:cs="宋体"/>
          <w:color w:val="000000" w:themeColor="text1"/>
          <w:sz w:val="24"/>
          <w:szCs w:val="24"/>
          <w:highlight w:val="none"/>
          <w:lang w:eastAsia="zh-CN"/>
          <w14:textFill>
            <w14:solidFill>
              <w14:schemeClr w14:val="tx1"/>
            </w14:solidFill>
          </w14:textFill>
        </w:rPr>
        <w:t>表</w:t>
      </w:r>
      <w:r>
        <w:rPr>
          <w:rFonts w:hint="eastAsia" w:ascii="宋体" w:hAnsi="宋体" w:eastAsia="宋体" w:cs="宋体"/>
          <w:color w:val="000000" w:themeColor="text1"/>
          <w:sz w:val="24"/>
          <w:szCs w:val="24"/>
          <w:highlight w:val="none"/>
          <w14:textFill>
            <w14:solidFill>
              <w14:schemeClr w14:val="tx1"/>
            </w14:solidFill>
          </w14:textFill>
        </w:rPr>
        <w:t>；</w:t>
      </w:r>
    </w:p>
    <w:p w14:paraId="26EBD20A">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0" w:name="bookmark160"/>
      <w:bookmarkEnd w:id="10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未按规定缴纳磋商保证金；</w:t>
      </w:r>
    </w:p>
    <w:p w14:paraId="28DB2443">
      <w:pPr>
        <w:pStyle w:val="78"/>
        <w:keepNext w:val="0"/>
        <w:keepLines w:val="0"/>
        <w:pageBreakBefore w:val="0"/>
        <w:widowControl w:val="0"/>
        <w:tabs>
          <w:tab w:val="left" w:pos="929"/>
        </w:tabs>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相关资格资质证明未按磋商文件约定提交或提交的</w:t>
      </w:r>
      <w:r>
        <w:rPr>
          <w:rFonts w:hint="eastAsia" w:ascii="宋体" w:hAnsi="宋体" w:eastAsia="宋体" w:cs="宋体"/>
          <w:color w:val="000000" w:themeColor="text1"/>
          <w:sz w:val="24"/>
          <w:szCs w:val="24"/>
          <w:highlight w:val="none"/>
          <w:lang w:eastAsia="zh-CN"/>
          <w14:textFill>
            <w14:solidFill>
              <w14:schemeClr w14:val="tx1"/>
            </w14:solidFill>
          </w14:textFill>
        </w:rPr>
        <w:t>资料</w:t>
      </w:r>
      <w:r>
        <w:rPr>
          <w:rFonts w:hint="eastAsia" w:ascii="宋体" w:hAnsi="宋体" w:eastAsia="宋体" w:cs="宋体"/>
          <w:color w:val="000000" w:themeColor="text1"/>
          <w:sz w:val="24"/>
          <w:szCs w:val="24"/>
          <w:highlight w:val="none"/>
          <w14:textFill>
            <w14:solidFill>
              <w14:schemeClr w14:val="tx1"/>
            </w14:solidFill>
          </w14:textFill>
        </w:rPr>
        <w:t>不一致；</w:t>
      </w:r>
    </w:p>
    <w:p w14:paraId="145C3BC3">
      <w:pPr>
        <w:pStyle w:val="78"/>
        <w:keepNext w:val="0"/>
        <w:keepLines w:val="0"/>
        <w:pageBreakBefore w:val="0"/>
        <w:widowControl w:val="0"/>
        <w:tabs>
          <w:tab w:val="left" w:pos="1011"/>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在资格性审查、符合性审查、响应性审查中，磋商小组认定供应商的响应文件不符合评审办法中规定的任何一项评审标准。</w:t>
      </w:r>
    </w:p>
    <w:p w14:paraId="7EDD609C">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磋商有效期不满足磋商文件要求；</w:t>
      </w:r>
    </w:p>
    <w:p w14:paraId="26C525C4">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无供应商法定代表人或其授权代表签字或盖章；</w:t>
      </w:r>
    </w:p>
    <w:p w14:paraId="4E305CC0">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联合体未提交联合体协议书（本项目不适用）；</w:t>
      </w:r>
    </w:p>
    <w:p w14:paraId="4B1F9EAF">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响应文件未完全满足磋商文件中实质性要求；</w:t>
      </w:r>
    </w:p>
    <w:p w14:paraId="17EE9B40">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低于成本价且无法提供相关证明材料；</w:t>
      </w:r>
    </w:p>
    <w:p w14:paraId="79D749EA">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磋商小组认定技术方案不符合磋商文件要求；</w:t>
      </w:r>
    </w:p>
    <w:p w14:paraId="3DEC9D90">
      <w:pPr>
        <w:pStyle w:val="78"/>
        <w:keepNext w:val="0"/>
        <w:keepLines w:val="0"/>
        <w:pageBreakBefore w:val="0"/>
        <w:widowControl w:val="0"/>
        <w:tabs>
          <w:tab w:val="left" w:pos="1122"/>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评审期间，没有按磋商小组要求提交经法定代表人或授权代表签字的澄清、说明、补正或改变了响应文件实质性内容；</w:t>
      </w:r>
    </w:p>
    <w:p w14:paraId="49FB4B64">
      <w:pPr>
        <w:pStyle w:val="78"/>
        <w:keepNext w:val="0"/>
        <w:keepLines w:val="0"/>
        <w:pageBreakBefore w:val="0"/>
        <w:widowControl w:val="0"/>
        <w:tabs>
          <w:tab w:val="left" w:pos="1034"/>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供应商未提交最终报价；</w:t>
      </w:r>
    </w:p>
    <w:p w14:paraId="5BD26943">
      <w:pPr>
        <w:pStyle w:val="78"/>
        <w:keepNext w:val="0"/>
        <w:keepLines w:val="0"/>
        <w:pageBreakBefore w:val="0"/>
        <w:widowControl w:val="0"/>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供应商存在弄虚作假的行为；</w:t>
      </w:r>
    </w:p>
    <w:p w14:paraId="400534D5">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属于采购人与供应商、供应商与供应商相互串通投标情形；</w:t>
      </w:r>
    </w:p>
    <w:p w14:paraId="46EC302E">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对采购人、采购代理机构、磋商小组及其他工作人员施加影响，有碍公平、公正；</w:t>
      </w:r>
    </w:p>
    <w:p w14:paraId="0CDF51A0">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磋商文件规定的其他报价无效情形；</w:t>
      </w:r>
    </w:p>
    <w:p w14:paraId="6C9B1E56">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法律、法规、规章规定属于报价无效的其他情形。</w:t>
      </w:r>
    </w:p>
    <w:p w14:paraId="4D6412CC">
      <w:pPr>
        <w:pStyle w:val="78"/>
        <w:keepNext w:val="0"/>
        <w:keepLines w:val="0"/>
        <w:pageBreakBefore w:val="0"/>
        <w:widowControl w:val="0"/>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8.2</w:t>
      </w:r>
      <w:r>
        <w:rPr>
          <w:rFonts w:hint="eastAsia" w:ascii="宋体" w:hAnsi="宋体" w:eastAsia="宋体" w:cs="宋体"/>
          <w:color w:val="000000" w:themeColor="text1"/>
          <w:sz w:val="24"/>
          <w:szCs w:val="24"/>
          <w:highlight w:val="none"/>
          <w14:textFill>
            <w14:solidFill>
              <w14:schemeClr w14:val="tx1"/>
            </w14:solidFill>
          </w14:textFill>
        </w:rPr>
        <w:t>有下列情形之一的，应予废标：</w:t>
      </w:r>
    </w:p>
    <w:p w14:paraId="474BFAB0">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1" w:name="bookmark177"/>
      <w:r>
        <w:rPr>
          <w:rFonts w:hint="eastAsia" w:ascii="宋体" w:hAnsi="宋体" w:eastAsia="宋体" w:cs="宋体"/>
          <w:color w:val="000000" w:themeColor="text1"/>
          <w:sz w:val="24"/>
          <w:szCs w:val="24"/>
          <w:highlight w:val="none"/>
          <w14:textFill>
            <w14:solidFill>
              <w14:schemeClr w14:val="tx1"/>
            </w14:solidFill>
          </w14:textFill>
        </w:rPr>
        <w:t>（</w:t>
      </w:r>
      <w:bookmarkEnd w:id="101"/>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到递交首次响应文件截止时间止，供应商少于3个的；</w:t>
      </w:r>
    </w:p>
    <w:p w14:paraId="215D0E49">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2" w:name="bookmark178"/>
      <w:r>
        <w:rPr>
          <w:rFonts w:hint="eastAsia" w:ascii="宋体" w:hAnsi="宋体" w:eastAsia="宋体" w:cs="宋体"/>
          <w:color w:val="000000" w:themeColor="text1"/>
          <w:sz w:val="24"/>
          <w:szCs w:val="24"/>
          <w:highlight w:val="none"/>
          <w14:textFill>
            <w14:solidFill>
              <w14:schemeClr w14:val="tx1"/>
            </w14:solidFill>
          </w14:textFill>
        </w:rPr>
        <w:t>（</w:t>
      </w:r>
      <w:bookmarkEnd w:id="102"/>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符合条件的供应商或者对磋商文件作实质响应的供应商不足三家的；</w:t>
      </w:r>
    </w:p>
    <w:p w14:paraId="0D238EE0">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3" w:name="bookmark179"/>
      <w:r>
        <w:rPr>
          <w:rFonts w:hint="eastAsia" w:ascii="宋体" w:hAnsi="宋体" w:eastAsia="宋体" w:cs="宋体"/>
          <w:color w:val="000000" w:themeColor="text1"/>
          <w:sz w:val="24"/>
          <w:szCs w:val="24"/>
          <w:highlight w:val="none"/>
          <w14:textFill>
            <w14:solidFill>
              <w14:schemeClr w14:val="tx1"/>
            </w14:solidFill>
          </w14:textFill>
        </w:rPr>
        <w:t>（</w:t>
      </w:r>
      <w:bookmarkEnd w:id="103"/>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经磋商小组评审后否决所有响应文件的；</w:t>
      </w:r>
    </w:p>
    <w:p w14:paraId="53C17A92">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4" w:name="bookmark180"/>
      <w:r>
        <w:rPr>
          <w:rFonts w:hint="eastAsia" w:ascii="宋体" w:hAnsi="宋体" w:eastAsia="宋体" w:cs="宋体"/>
          <w:color w:val="000000" w:themeColor="text1"/>
          <w:sz w:val="24"/>
          <w:szCs w:val="24"/>
          <w:highlight w:val="none"/>
          <w14:textFill>
            <w14:solidFill>
              <w14:schemeClr w14:val="tx1"/>
            </w14:solidFill>
          </w14:textFill>
        </w:rPr>
        <w:t>（</w:t>
      </w:r>
      <w:bookmarkEnd w:id="104"/>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岀现影响采购公正的违法、违规行为；</w:t>
      </w:r>
    </w:p>
    <w:p w14:paraId="755251A8">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5" w:name="bookmark181"/>
      <w:r>
        <w:rPr>
          <w:rFonts w:hint="eastAsia" w:ascii="宋体" w:hAnsi="宋体" w:eastAsia="宋体" w:cs="宋体"/>
          <w:color w:val="000000" w:themeColor="text1"/>
          <w:sz w:val="24"/>
          <w:szCs w:val="24"/>
          <w:highlight w:val="none"/>
          <w14:textFill>
            <w14:solidFill>
              <w14:schemeClr w14:val="tx1"/>
            </w14:solidFill>
          </w14:textFill>
        </w:rPr>
        <w:t>（</w:t>
      </w:r>
      <w:bookmarkEnd w:id="105"/>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因重大变故，采购任务取消；</w:t>
      </w:r>
    </w:p>
    <w:p w14:paraId="313E6443">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6" w:name="bookmark182"/>
      <w:r>
        <w:rPr>
          <w:rFonts w:hint="eastAsia" w:ascii="宋体" w:hAnsi="宋体" w:eastAsia="宋体" w:cs="宋体"/>
          <w:color w:val="000000" w:themeColor="text1"/>
          <w:sz w:val="24"/>
          <w:szCs w:val="24"/>
          <w:highlight w:val="none"/>
          <w14:textFill>
            <w14:solidFill>
              <w14:schemeClr w14:val="tx1"/>
            </w14:solidFill>
          </w14:textFill>
        </w:rPr>
        <w:t>（</w:t>
      </w:r>
      <w:bookmarkEnd w:id="106"/>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法律、法规以及磋商文件规定其他情形。</w:t>
      </w:r>
    </w:p>
    <w:p w14:paraId="10846ED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废标必须经磋商小组集体作岀决定，经磋商小组全体成员签字确认后生效。废标后，采购人或者采购代理机构应当将废标理由告知所有供应商。</w:t>
      </w:r>
    </w:p>
    <w:p w14:paraId="573FD79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纪律和监督</w:t>
      </w:r>
    </w:p>
    <w:p w14:paraId="0003D8B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1对釆购人的纪律要求</w:t>
      </w:r>
    </w:p>
    <w:p w14:paraId="2FAC7E3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采购人不得泄漏采购活动中应当保密的情况和资料，不得与供应商串通损害国家利益、社会公共利益或者他人合法权益。</w:t>
      </w:r>
    </w:p>
    <w:p w14:paraId="5CDB192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2对供应商的纪律要求</w:t>
      </w:r>
    </w:p>
    <w:p w14:paraId="62A19F8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供应商不得相互串通投标或者与采购人串通投标，不得向采购人或者磋商小组成员行贿谋取成交，不得以他人名义投标或者以其他方式弄虚作假骗取成交；供应商不得以任何方式干扰、影响评审工作。</w:t>
      </w:r>
    </w:p>
    <w:p w14:paraId="412D66C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9.3</w:t>
      </w:r>
      <w:r>
        <w:rPr>
          <w:rFonts w:hint="eastAsia" w:ascii="宋体" w:hAnsi="宋体" w:eastAsia="宋体" w:cs="宋体"/>
          <w:b/>
          <w:bCs/>
          <w:color w:val="000000" w:themeColor="text1"/>
          <w:sz w:val="24"/>
          <w:szCs w:val="24"/>
          <w:highlight w:val="none"/>
          <w14:textFill>
            <w14:solidFill>
              <w14:schemeClr w14:val="tx1"/>
            </w14:solidFill>
          </w14:textFill>
        </w:rPr>
        <w:t>对磋商小组成员的纪律要求</w:t>
      </w:r>
    </w:p>
    <w:p w14:paraId="401C6FF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成员不得收受他人的财物或者其他好处，不得向他人透漏对响应文件的评审和比较、成交候选供应商的推荐情况以及评审有关的其他情况。在评审活动中，磋商小组成员应当客观、公正地履行职责，遵守职业道德，不得擅离职守，影响评审程序正常进行，不得使用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”没有</w:t>
      </w:r>
      <w:r>
        <w:rPr>
          <w:rFonts w:hint="eastAsia" w:ascii="宋体" w:hAnsi="宋体" w:eastAsia="宋体" w:cs="宋体"/>
          <w:color w:val="000000" w:themeColor="text1"/>
          <w:sz w:val="24"/>
          <w:szCs w:val="24"/>
          <w:highlight w:val="none"/>
          <w14:textFill>
            <w14:solidFill>
              <w14:schemeClr w14:val="tx1"/>
            </w14:solidFill>
          </w14:textFill>
        </w:rPr>
        <w:t>规定的评审因素和标准进行评审。</w:t>
      </w:r>
    </w:p>
    <w:p w14:paraId="11D35B06">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9.4</w:t>
      </w:r>
      <w:r>
        <w:rPr>
          <w:rFonts w:hint="eastAsia" w:ascii="宋体" w:hAnsi="宋体" w:eastAsia="宋体" w:cs="宋体"/>
          <w:b/>
          <w:bCs/>
          <w:color w:val="000000" w:themeColor="text1"/>
          <w:sz w:val="24"/>
          <w:szCs w:val="24"/>
          <w:highlight w:val="none"/>
          <w14:textFill>
            <w14:solidFill>
              <w14:schemeClr w14:val="tx1"/>
            </w14:solidFill>
          </w14:textFill>
        </w:rPr>
        <w:t>对与评审活动有关的工作人员的纪律要求</w:t>
      </w:r>
    </w:p>
    <w:p w14:paraId="1990970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评审活动有关的工作人员不得收受他人的财物或者其他好处，不得向他人透漏对响应文件的评审和比较、成交候选供应商的推荐情况以及评审有关的其他情况。在评审活动中，与评审活动有关的工作人员不得擅离职守，影响评审程序正常进行。</w:t>
      </w:r>
    </w:p>
    <w:p w14:paraId="60BAFDF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质疑与投诉</w:t>
      </w:r>
    </w:p>
    <w:p w14:paraId="48DEC73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4" w:firstLineChars="309"/>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1质疑</w:t>
      </w:r>
    </w:p>
    <w:p w14:paraId="37240BE1">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中华人民共和国政府采购法》、《政府采购供应商质疑和投诉办法》有关规定，参加本次政府采购活动的供应商认为采购文件、采购过程、中标或者成交结果使自己的权益受到损害的，可以在知道或者应知其权益受到损害之日起7个工作日内，以书面形式向采购人、采购代理机构提岀质疑。</w:t>
      </w:r>
    </w:p>
    <w:p w14:paraId="4F6C18EE">
      <w:pPr>
        <w:pStyle w:val="78"/>
        <w:keepNext w:val="0"/>
        <w:keepLines w:val="0"/>
        <w:pageBreakBefore w:val="0"/>
        <w:widowControl w:val="0"/>
        <w:kinsoku/>
        <w:wordWrap/>
        <w:overflowPunct/>
        <w:topLinePunct w:val="0"/>
        <w:bidi w:val="0"/>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供应商须在法定质疑期内一次性提岀针对同一采购程序环节的质疑。</w:t>
      </w:r>
    </w:p>
    <w:p w14:paraId="4908071C">
      <w:pPr>
        <w:pStyle w:val="78"/>
        <w:keepNext w:val="0"/>
        <w:keepLines w:val="0"/>
        <w:pageBreakBefore w:val="0"/>
        <w:widowControl w:val="0"/>
        <w:kinsoku/>
        <w:wordWrap/>
        <w:overflowPunct/>
        <w:topLinePunct w:val="0"/>
        <w:bidi w:val="0"/>
        <w:snapToGrid/>
        <w:spacing w:line="460" w:lineRule="exact"/>
        <w:ind w:left="0" w:leftChars="0" w:firstLine="981" w:firstLineChars="4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9.5.1.1</w:t>
      </w:r>
      <w:r>
        <w:rPr>
          <w:rFonts w:hint="eastAsia" w:ascii="宋体" w:hAnsi="宋体" w:eastAsia="宋体" w:cs="宋体"/>
          <w:color w:val="000000" w:themeColor="text1"/>
          <w:sz w:val="24"/>
          <w:szCs w:val="24"/>
          <w:highlight w:val="none"/>
          <w14:textFill>
            <w14:solidFill>
              <w14:schemeClr w14:val="tx1"/>
            </w14:solidFill>
          </w14:textFill>
        </w:rPr>
        <w:t>供应商提岀质疑应当提交质疑函和必要的证明材料。质疑函应当包括下列内容：</w:t>
      </w:r>
    </w:p>
    <w:p w14:paraId="2476FD3C">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①供应商的姓名或者名称、地址、邮编、联系人及联系电话；</w:t>
      </w:r>
    </w:p>
    <w:p w14:paraId="53BD9BB6">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②质疑项目的名称、编号；</w:t>
      </w:r>
    </w:p>
    <w:p w14:paraId="701842D0">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③具体、明确的质疑事项和与质疑事项相关的请求；</w:t>
      </w:r>
    </w:p>
    <w:p w14:paraId="11320DC9">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④事实依据；</w:t>
      </w:r>
    </w:p>
    <w:p w14:paraId="6A05B785">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⑤必要的法律依据；</w:t>
      </w:r>
    </w:p>
    <w:p w14:paraId="54063640">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⑥提岀质疑的日期。</w:t>
      </w:r>
    </w:p>
    <w:p w14:paraId="25ED0260">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9.5.1.2</w:t>
      </w:r>
      <w:r>
        <w:rPr>
          <w:rFonts w:hint="eastAsia"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供应商为自然人的，应当由本人签字；供应商为法人或者其他组织的，应当由法定代表人、主要负责人，或者其授权代表签字或者盖章，并加盖公章。否则采购人或者采购代理机构不予受理。</w:t>
      </w:r>
    </w:p>
    <w:p w14:paraId="0E036643">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9.5.1.3</w:t>
      </w:r>
      <w:r>
        <w:rPr>
          <w:rFonts w:hint="eastAsia" w:ascii="宋体" w:hAnsi="宋体" w:eastAsia="宋体" w:cs="宋体"/>
          <w:color w:val="000000" w:themeColor="text1"/>
          <w:sz w:val="24"/>
          <w:szCs w:val="24"/>
          <w:highlight w:val="none"/>
          <w14:textFill>
            <w14:solidFill>
              <w14:schemeClr w14:val="tx1"/>
            </w14:solidFill>
          </w14:textFill>
        </w:rPr>
        <w:t>除书面形式外，其他任何方式的质疑，采购人或者采购代理机构均不予接受和回复。</w:t>
      </w:r>
    </w:p>
    <w:p w14:paraId="21CCFC5D">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9.5.1.4</w:t>
      </w:r>
      <w:r>
        <w:rPr>
          <w:rFonts w:hint="eastAsia" w:ascii="宋体" w:hAnsi="宋体" w:eastAsia="宋体" w:cs="宋体"/>
          <w:color w:val="000000" w:themeColor="text1"/>
          <w:sz w:val="24"/>
          <w:szCs w:val="24"/>
          <w:highlight w:val="none"/>
          <w14:textFill>
            <w14:solidFill>
              <w14:schemeClr w14:val="tx1"/>
            </w14:solidFill>
          </w14:textFill>
        </w:rPr>
        <w:t>采购人或者采购代理机构在收到质疑书后七个工作日内作岀书面答复，并以书面形式通知质疑人和其他有关当事人，但答复不得涉及商业秘密。</w:t>
      </w:r>
    </w:p>
    <w:p w14:paraId="24F04E6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9.5.1.5</w:t>
      </w:r>
      <w:r>
        <w:rPr>
          <w:rFonts w:hint="eastAsia" w:ascii="宋体" w:hAnsi="宋体" w:eastAsia="宋体" w:cs="宋体"/>
          <w:color w:val="000000" w:themeColor="text1"/>
          <w:sz w:val="24"/>
          <w:szCs w:val="24"/>
          <w:highlight w:val="none"/>
          <w14:textFill>
            <w14:solidFill>
              <w14:schemeClr w14:val="tx1"/>
            </w14:solidFill>
          </w14:textFill>
        </w:rPr>
        <w:t>质疑人对采购人、采购代理机构的答复不满意或者采购人、采购代理机构未在规定的时间内作岀答复的，可以在答复期满后十五个工作日内向同级财政部门投诉。</w:t>
      </w:r>
    </w:p>
    <w:p w14:paraId="1895D02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4"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2投诉</w:t>
      </w:r>
    </w:p>
    <w:p w14:paraId="2F4A813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中华人民共和国政府采购法》、《政府采购供应商质疑和投诉办法》以及相关的法律法规规定，质疑人对采购人、采购代理机构的答复不满意或者采购人、采购代理机构未在规定的时间内作岀答复的，可以在答复期满后十五个工作日内向同级财政部门投诉。</w:t>
      </w:r>
    </w:p>
    <w:p w14:paraId="5830051D">
      <w:pPr>
        <w:pStyle w:val="78"/>
        <w:keepNext w:val="0"/>
        <w:keepLines w:val="0"/>
        <w:pageBreakBefore w:val="0"/>
        <w:widowControl w:val="0"/>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9.5.2.1</w:t>
      </w:r>
      <w:r>
        <w:rPr>
          <w:rFonts w:hint="eastAsia" w:ascii="宋体" w:hAnsi="宋体" w:eastAsia="宋体" w:cs="宋体"/>
          <w:color w:val="000000" w:themeColor="text1"/>
          <w:sz w:val="24"/>
          <w:szCs w:val="24"/>
          <w:highlight w:val="none"/>
          <w14:textFill>
            <w14:solidFill>
              <w14:schemeClr w14:val="tx1"/>
            </w14:solidFill>
          </w14:textFill>
        </w:rPr>
        <w:t>投诉人提起投诉应符合下列条件：</w:t>
      </w:r>
    </w:p>
    <w:p w14:paraId="60DF6DC4">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①提起投诉前已依法进行质疑；</w:t>
      </w:r>
    </w:p>
    <w:p w14:paraId="16A7961D">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②投诉书内容符合《政府采购供应商质疑和投诉办法》的规定；</w:t>
      </w:r>
    </w:p>
    <w:p w14:paraId="19CD7690">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③在投诉有效期限内提起投诉；</w:t>
      </w:r>
    </w:p>
    <w:p w14:paraId="2C7006D7">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④同一投诉事项未经财政部门投诉处理；</w:t>
      </w:r>
    </w:p>
    <w:p w14:paraId="46402FBC">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⑤财政部规定的其他条件。</w:t>
      </w:r>
    </w:p>
    <w:p w14:paraId="44CF0B8D">
      <w:pPr>
        <w:pStyle w:val="78"/>
        <w:keepNext w:val="0"/>
        <w:keepLines w:val="0"/>
        <w:pageBreakBefore w:val="0"/>
        <w:widowControl w:val="0"/>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9.5.2.</w:t>
      </w:r>
      <w:r>
        <w:rPr>
          <w:rFonts w:hint="eastAsia" w:ascii="宋体" w:hAnsi="宋体" w:eastAsia="宋体" w:cs="宋体"/>
          <w:color w:val="000000" w:themeColor="text1"/>
          <w:sz w:val="24"/>
          <w:szCs w:val="24"/>
          <w:highlight w:val="none"/>
          <w14:textFill>
            <w14:solidFill>
              <w14:schemeClr w14:val="tx1"/>
            </w14:solidFill>
          </w14:textFill>
        </w:rPr>
        <w:t>2供应商投诉的事项不得超岀己质疑事项的范围，但基于质疑答复内容提岀的投诉事项除外。</w:t>
      </w:r>
    </w:p>
    <w:p w14:paraId="2D08658C">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9.5.2.3投诉人投诉时，应当提交投诉书和必要的证明材料，并按照被投诉采购人、采购代理机构（以下简称被投诉人）和与投诉事项有关的供应商数量提供投诉书的副本。投诉书应当包括下列内容：</w:t>
      </w:r>
    </w:p>
    <w:p w14:paraId="786433D6">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①投诉人和被投诉人的姓名或者名称、通讯地址、邮编、联系人及联系电话；</w:t>
      </w:r>
    </w:p>
    <w:p w14:paraId="4F8FB738">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②质疑和质疑答复情况说明及相关证明材料；</w:t>
      </w:r>
    </w:p>
    <w:p w14:paraId="4143BECF">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③具体、明确的投诉事项和与投诉事项相关的投诉请求；</w:t>
      </w:r>
    </w:p>
    <w:p w14:paraId="12C38E90">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④事实依据；</w:t>
      </w:r>
    </w:p>
    <w:p w14:paraId="4CB63D34">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⑤法律依据；</w:t>
      </w:r>
    </w:p>
    <w:p w14:paraId="1A350031">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⑥提起投诉的日期。</w:t>
      </w:r>
    </w:p>
    <w:p w14:paraId="74F398A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9.5.2.4投诉人为自然人的，应当由本人签字；投诉人为法人或者其他组织的，应当由法定代表人、主要负责人，或者其授权代表签字或者盖章，并加盖公章。</w:t>
      </w:r>
    </w:p>
    <w:p w14:paraId="617E210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9.5.2.5投诉人不符合上述规定提起的投诉，财政部门不予受理。</w:t>
      </w:r>
    </w:p>
    <w:p w14:paraId="6B59B15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需要补充的其他内容</w:t>
      </w:r>
    </w:p>
    <w:p w14:paraId="6168746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10.1</w:t>
      </w:r>
      <w:r>
        <w:rPr>
          <w:rFonts w:hint="eastAsia"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：详见供应商须知前附表。</w:t>
      </w:r>
    </w:p>
    <w:p w14:paraId="49799B60">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10.2</w:t>
      </w:r>
      <w:r>
        <w:rPr>
          <w:rFonts w:hint="eastAsia" w:ascii="宋体" w:hAnsi="宋体" w:eastAsia="宋体" w:cs="宋体"/>
          <w:color w:val="000000" w:themeColor="text1"/>
          <w:sz w:val="24"/>
          <w:szCs w:val="24"/>
          <w:highlight w:val="none"/>
          <w14:textFill>
            <w14:solidFill>
              <w14:schemeClr w14:val="tx1"/>
            </w14:solidFill>
          </w14:textFill>
        </w:rPr>
        <w:t>报价轮次：详见供应商须知前附表。</w:t>
      </w:r>
    </w:p>
    <w:p w14:paraId="4F2E0F1F">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10.3</w:t>
      </w:r>
      <w:r>
        <w:rPr>
          <w:rFonts w:hint="eastAsia" w:ascii="宋体" w:hAnsi="宋体" w:eastAsia="宋体" w:cs="宋体"/>
          <w:color w:val="000000" w:themeColor="text1"/>
          <w:sz w:val="24"/>
          <w:szCs w:val="24"/>
          <w:highlight w:val="none"/>
          <w:lang w:eastAsia="zh-CN"/>
          <w14:textFill>
            <w14:solidFill>
              <w14:schemeClr w14:val="tx1"/>
            </w14:solidFill>
          </w14:textFill>
        </w:rPr>
        <w:t>第二轮报价</w:t>
      </w:r>
      <w:r>
        <w:rPr>
          <w:rFonts w:hint="eastAsia" w:ascii="宋体" w:hAnsi="宋体" w:eastAsia="宋体" w:cs="宋体"/>
          <w:color w:val="000000" w:themeColor="text1"/>
          <w:sz w:val="24"/>
          <w:szCs w:val="24"/>
          <w:highlight w:val="none"/>
          <w14:textFill>
            <w14:solidFill>
              <w14:schemeClr w14:val="tx1"/>
            </w14:solidFill>
          </w14:textFill>
        </w:rPr>
        <w:t>：详见供应商须知前附表。</w:t>
      </w:r>
    </w:p>
    <w:p w14:paraId="5EE147DA">
      <w:pPr>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en-US"/>
          <w14:textFill>
            <w14:solidFill>
              <w14:schemeClr w14:val="tx1"/>
            </w14:solidFill>
          </w14:textFill>
        </w:rPr>
        <w:t>10.4</w:t>
      </w:r>
      <w:r>
        <w:rPr>
          <w:rFonts w:hint="eastAsia" w:ascii="宋体" w:hAnsi="宋体" w:cs="宋体"/>
          <w:color w:val="000000" w:themeColor="text1"/>
          <w:sz w:val="24"/>
          <w:szCs w:val="24"/>
          <w:highlight w:val="none"/>
          <w:lang w:eastAsia="zh-CN"/>
          <w14:textFill>
            <w14:solidFill>
              <w14:schemeClr w14:val="tx1"/>
            </w14:solidFill>
          </w14:textFill>
        </w:rPr>
        <w:t>招标代理服务费</w:t>
      </w:r>
      <w:r>
        <w:rPr>
          <w:rFonts w:hint="eastAsia" w:ascii="宋体" w:hAnsi="宋体" w:eastAsia="宋体" w:cs="宋体"/>
          <w:color w:val="000000" w:themeColor="text1"/>
          <w:sz w:val="24"/>
          <w:szCs w:val="24"/>
          <w:highlight w:val="none"/>
          <w14:textFill>
            <w14:solidFill>
              <w14:schemeClr w14:val="tx1"/>
            </w14:solidFill>
          </w14:textFill>
        </w:rPr>
        <w:t>由成交供应商支付。依据</w:t>
      </w:r>
      <w:r>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t>有关法律法规</w:t>
      </w:r>
      <w:r>
        <w:rPr>
          <w:rFonts w:hint="eastAsia" w:ascii="宋体" w:hAnsi="宋体" w:eastAsia="宋体" w:cs="宋体"/>
          <w:color w:val="000000" w:themeColor="text1"/>
          <w:sz w:val="24"/>
          <w:szCs w:val="24"/>
          <w:highlight w:val="none"/>
          <w14:textFill>
            <w14:solidFill>
              <w14:schemeClr w14:val="tx1"/>
            </w14:solidFill>
          </w14:textFill>
        </w:rPr>
        <w:t>规定收取</w:t>
      </w:r>
      <w:r>
        <w:rPr>
          <w:rFonts w:hint="eastAsia" w:ascii="宋体" w:hAnsi="宋体" w:cs="宋体"/>
          <w:color w:val="000000" w:themeColor="text1"/>
          <w:sz w:val="24"/>
          <w:szCs w:val="24"/>
          <w:highlight w:val="none"/>
          <w:lang w:eastAsia="zh-CN"/>
          <w14:textFill>
            <w14:solidFill>
              <w14:schemeClr w14:val="tx1"/>
            </w14:solidFill>
          </w14:textFill>
        </w:rPr>
        <w:t>招标代理服务费</w:t>
      </w:r>
      <w:r>
        <w:rPr>
          <w:rFonts w:hint="eastAsia" w:ascii="宋体" w:hAnsi="宋体" w:eastAsia="宋体" w:cs="宋体"/>
          <w:color w:val="000000" w:themeColor="text1"/>
          <w:sz w:val="24"/>
          <w:szCs w:val="24"/>
          <w:highlight w:val="none"/>
          <w14:textFill>
            <w14:solidFill>
              <w14:schemeClr w14:val="tx1"/>
            </w14:solidFill>
          </w14:textFill>
        </w:rPr>
        <w:t>，成交供应商应在成交通知书发出时将本项目</w:t>
      </w:r>
      <w:r>
        <w:rPr>
          <w:rFonts w:hint="eastAsia" w:ascii="宋体" w:hAnsi="宋体" w:cs="宋体"/>
          <w:color w:val="000000" w:themeColor="text1"/>
          <w:sz w:val="24"/>
          <w:szCs w:val="24"/>
          <w:highlight w:val="none"/>
          <w:lang w:eastAsia="zh-CN"/>
          <w14:textFill>
            <w14:solidFill>
              <w14:schemeClr w14:val="tx1"/>
            </w14:solidFill>
          </w14:textFill>
        </w:rPr>
        <w:t>招标代理服务费</w:t>
      </w:r>
      <w:r>
        <w:rPr>
          <w:rFonts w:hint="eastAsia" w:ascii="宋体" w:hAnsi="宋体" w:eastAsia="宋体" w:cs="宋体"/>
          <w:color w:val="000000" w:themeColor="text1"/>
          <w:sz w:val="24"/>
          <w:szCs w:val="24"/>
          <w:highlight w:val="none"/>
          <w14:textFill>
            <w14:solidFill>
              <w14:schemeClr w14:val="tx1"/>
            </w14:solidFill>
          </w14:textFill>
        </w:rPr>
        <w:t>一次性支付给采购代理机构。</w:t>
      </w:r>
    </w:p>
    <w:p w14:paraId="54642DEE">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10.5</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供应商联系方式：详见供应商须知前附表。</w:t>
      </w:r>
    </w:p>
    <w:p w14:paraId="6F58FEC4">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w:t>
      </w:r>
      <w:r>
        <w:rPr>
          <w:rFonts w:hint="eastAsia" w:ascii="宋体" w:hAnsi="宋体" w:eastAsia="宋体" w:cs="宋体"/>
          <w:color w:val="000000" w:themeColor="text1"/>
          <w:sz w:val="24"/>
          <w:szCs w:val="24"/>
          <w:highlight w:val="none"/>
          <w14:textFill>
            <w14:solidFill>
              <w14:schemeClr w14:val="tx1"/>
            </w14:solidFill>
          </w14:textFill>
        </w:rPr>
        <w:t>特殊情况处置程序</w:t>
      </w:r>
    </w:p>
    <w:p w14:paraId="6293D35F">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10.6.1</w:t>
      </w:r>
      <w:r>
        <w:rPr>
          <w:rFonts w:hint="eastAsia" w:ascii="宋体" w:hAnsi="宋体" w:eastAsia="宋体" w:cs="宋体"/>
          <w:color w:val="000000" w:themeColor="text1"/>
          <w:sz w:val="24"/>
          <w:szCs w:val="24"/>
          <w:highlight w:val="none"/>
          <w14:textFill>
            <w14:solidFill>
              <w14:schemeClr w14:val="tx1"/>
            </w14:solidFill>
          </w14:textFill>
        </w:rPr>
        <w:t>评审活动终止</w:t>
      </w:r>
    </w:p>
    <w:p w14:paraId="5C613145">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小组应当执行连续评审的原则，按照磋商文件规定的程序、内容、方法、标准完成全部评审工作。岀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前期参加评审的磋商小组成员应回避。</w:t>
      </w:r>
    </w:p>
    <w:p w14:paraId="25D94C72">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7" w:name="bookmark201"/>
      <w:bookmarkEnd w:id="10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发生下列情况之一的，磋商小组应终止评审：</w:t>
      </w:r>
    </w:p>
    <w:p w14:paraId="2A98DFB3">
      <w:pPr>
        <w:pStyle w:val="78"/>
        <w:keepNext w:val="0"/>
        <w:keepLines w:val="0"/>
        <w:pageBreakBefore w:val="0"/>
        <w:widowControl w:val="0"/>
        <w:tabs>
          <w:tab w:val="left" w:pos="832"/>
        </w:tabs>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8" w:name="bookmark202"/>
      <w:bookmarkEnd w:id="108"/>
      <w:r>
        <w:rPr>
          <w:rFonts w:hint="eastAsia" w:ascii="宋体" w:hAnsi="宋体" w:eastAsia="宋体" w:cs="宋体"/>
          <w:color w:val="000000" w:themeColor="text1"/>
          <w:sz w:val="24"/>
          <w:szCs w:val="24"/>
          <w:highlight w:val="none"/>
          <w14:textFill>
            <w14:solidFill>
              <w14:schemeClr w14:val="tx1"/>
            </w14:solidFill>
          </w14:textFill>
        </w:rPr>
        <w:t>①发生了不可抗力事件；</w:t>
      </w:r>
    </w:p>
    <w:p w14:paraId="0BA7747B">
      <w:pPr>
        <w:pStyle w:val="78"/>
        <w:keepNext w:val="0"/>
        <w:keepLines w:val="0"/>
        <w:pageBreakBefore w:val="0"/>
        <w:widowControl w:val="0"/>
        <w:tabs>
          <w:tab w:val="left" w:pos="837"/>
        </w:tabs>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9" w:name="bookmark203"/>
      <w:bookmarkEnd w:id="109"/>
      <w:r>
        <w:rPr>
          <w:rFonts w:hint="eastAsia" w:ascii="宋体" w:hAnsi="宋体" w:eastAsia="宋体" w:cs="宋体"/>
          <w:color w:val="000000" w:themeColor="text1"/>
          <w:sz w:val="24"/>
          <w:szCs w:val="24"/>
          <w:highlight w:val="none"/>
          <w14:textFill>
            <w14:solidFill>
              <w14:schemeClr w14:val="tx1"/>
            </w14:solidFill>
          </w14:textFill>
        </w:rPr>
        <w:t>②发生磋商小组名单泄密、评审信息泄露；</w:t>
      </w:r>
    </w:p>
    <w:p w14:paraId="540BA12A">
      <w:pPr>
        <w:pStyle w:val="78"/>
        <w:keepNext w:val="0"/>
        <w:keepLines w:val="0"/>
        <w:pageBreakBefore w:val="0"/>
        <w:widowControl w:val="0"/>
        <w:tabs>
          <w:tab w:val="left" w:pos="859"/>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0" w:name="bookmark204"/>
      <w:bookmarkEnd w:id="110"/>
      <w:r>
        <w:rPr>
          <w:rFonts w:hint="eastAsia" w:ascii="宋体" w:hAnsi="宋体" w:eastAsia="宋体" w:cs="宋体"/>
          <w:color w:val="000000" w:themeColor="text1"/>
          <w:sz w:val="24"/>
          <w:szCs w:val="24"/>
          <w:highlight w:val="none"/>
          <w14:textFill>
            <w14:solidFill>
              <w14:schemeClr w14:val="tx1"/>
            </w14:solidFill>
          </w14:textFill>
        </w:rPr>
        <w:t>③岀现非法干预评审工作；</w:t>
      </w:r>
    </w:p>
    <w:p w14:paraId="10435C85">
      <w:pPr>
        <w:pStyle w:val="78"/>
        <w:keepNext w:val="0"/>
        <w:keepLines w:val="0"/>
        <w:pageBreakBefore w:val="0"/>
        <w:widowControl w:val="0"/>
        <w:tabs>
          <w:tab w:val="left" w:pos="810"/>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1" w:name="bookmark205"/>
      <w:bookmarkEnd w:id="111"/>
      <w:r>
        <w:rPr>
          <w:rFonts w:hint="eastAsia" w:ascii="宋体" w:hAnsi="宋体" w:eastAsia="宋体" w:cs="宋体"/>
          <w:color w:val="000000" w:themeColor="text1"/>
          <w:sz w:val="24"/>
          <w:szCs w:val="24"/>
          <w:highlight w:val="none"/>
          <w14:textFill>
            <w14:solidFill>
              <w14:schemeClr w14:val="tx1"/>
            </w14:solidFill>
          </w14:textFill>
        </w:rPr>
        <w:t>④发现磋商小组或者成员未按照磋商文件规定评审或者存在违反法律法规规定行为，且拒绝改正。</w:t>
      </w:r>
    </w:p>
    <w:p w14:paraId="5A4A5B8A">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岀现上述情形的，政府采购监督管理部门有权予以废标或者建议采购人和采购代理机构封存磋商文件和所有响应文件，择期重新组建磋商小组进行评审。</w:t>
      </w:r>
    </w:p>
    <w:p w14:paraId="0C3368FD">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10.6.2</w:t>
      </w:r>
      <w:r>
        <w:rPr>
          <w:rFonts w:hint="eastAsia" w:ascii="宋体" w:hAnsi="宋体" w:eastAsia="宋体" w:cs="宋体"/>
          <w:color w:val="000000" w:themeColor="text1"/>
          <w:sz w:val="24"/>
          <w:szCs w:val="24"/>
          <w:highlight w:val="none"/>
          <w14:textFill>
            <w14:solidFill>
              <w14:schemeClr w14:val="tx1"/>
            </w14:solidFill>
          </w14:textFill>
        </w:rPr>
        <w:t>磋商小组中途更换成员</w:t>
      </w:r>
    </w:p>
    <w:p w14:paraId="56916AA5">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2" w:name="bookmark206"/>
      <w:bookmarkEnd w:id="11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除非发生下列情况之一，磋商小组成员不得中途更换：</w:t>
      </w:r>
    </w:p>
    <w:p w14:paraId="3E9F6423">
      <w:pPr>
        <w:pStyle w:val="78"/>
        <w:keepNext w:val="0"/>
        <w:keepLines w:val="0"/>
        <w:pageBreakBefore w:val="0"/>
        <w:widowControl w:val="0"/>
        <w:tabs>
          <w:tab w:val="left" w:pos="859"/>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3" w:name="bookmark207"/>
      <w:bookmarkEnd w:id="113"/>
      <w:r>
        <w:rPr>
          <w:rFonts w:hint="eastAsia" w:ascii="宋体" w:hAnsi="宋体" w:eastAsia="宋体" w:cs="宋体"/>
          <w:color w:val="000000" w:themeColor="text1"/>
          <w:sz w:val="24"/>
          <w:szCs w:val="24"/>
          <w:highlight w:val="none"/>
          <w14:textFill>
            <w14:solidFill>
              <w14:schemeClr w14:val="tx1"/>
            </w14:solidFill>
          </w14:textFill>
        </w:rPr>
        <w:t>①因不可抗拒的客观原因，不能到场或者需在评审过程中退岀评审活动；</w:t>
      </w:r>
    </w:p>
    <w:p w14:paraId="4215E12F">
      <w:pPr>
        <w:pStyle w:val="78"/>
        <w:keepNext w:val="0"/>
        <w:keepLines w:val="0"/>
        <w:pageBreakBefore w:val="0"/>
        <w:widowControl w:val="0"/>
        <w:tabs>
          <w:tab w:val="left" w:pos="837"/>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4" w:name="bookmark208"/>
      <w:bookmarkEnd w:id="114"/>
      <w:r>
        <w:rPr>
          <w:rFonts w:hint="eastAsia" w:ascii="宋体" w:hAnsi="宋体" w:eastAsia="宋体" w:cs="宋体"/>
          <w:color w:val="000000" w:themeColor="text1"/>
          <w:sz w:val="24"/>
          <w:szCs w:val="24"/>
          <w:highlight w:val="none"/>
          <w14:textFill>
            <w14:solidFill>
              <w14:schemeClr w14:val="tx1"/>
            </w14:solidFill>
          </w14:textFill>
        </w:rPr>
        <w:t>②根据法律法规规定，某个或者某几个磋商小组成员需要回避；</w:t>
      </w:r>
    </w:p>
    <w:p w14:paraId="2ECE4AD5">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5" w:name="bookmark209"/>
      <w:bookmarkEnd w:id="11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退岀磋商小组的成员，其已完成的评审行为无效。由采购人向政府采购监督管理部门提岀更换磋商小组成员意见并获准后，根据本磋商文件规定的磋商小组成员产生方式另行确定替代者进行评审。</w:t>
      </w:r>
    </w:p>
    <w:p w14:paraId="5C1548F0">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10.6.3</w:t>
      </w:r>
      <w:r>
        <w:rPr>
          <w:rFonts w:hint="eastAsia" w:ascii="宋体" w:hAnsi="宋体" w:eastAsia="宋体" w:cs="宋体"/>
          <w:color w:val="000000" w:themeColor="text1"/>
          <w:sz w:val="24"/>
          <w:szCs w:val="24"/>
          <w:highlight w:val="none"/>
          <w14:textFill>
            <w14:solidFill>
              <w14:schemeClr w14:val="tx1"/>
            </w14:solidFill>
          </w14:textFill>
        </w:rPr>
        <w:t>记名投票</w:t>
      </w:r>
    </w:p>
    <w:p w14:paraId="0A81E389">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在评审过程中，磋商小组发生分歧或者评审结论有异议需表决的，按照少数服从多数的原则，由磋商小组全体成员以记名投票方式表决。</w:t>
      </w:r>
    </w:p>
    <w:p w14:paraId="7A230853">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违法违规情形</w:t>
      </w:r>
    </w:p>
    <w:p w14:paraId="7AAA62F0">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有下列情形之一的，属于供应商相互串通报价：</w:t>
      </w:r>
    </w:p>
    <w:p w14:paraId="1ED86136">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6" w:name="bookmark214"/>
      <w:bookmarkEnd w:id="116"/>
      <w:bookmarkStart w:id="117" w:name="bookmark210"/>
      <w:bookmarkEnd w:id="117"/>
      <w:bookmarkStart w:id="118" w:name="bookmark212"/>
      <w:bookmarkEnd w:id="118"/>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供应商之间约定部分供应商放弃报价或者成交；</w:t>
      </w:r>
    </w:p>
    <w:p w14:paraId="10D6F021">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9" w:name="bookmark213"/>
      <w:bookmarkEnd w:id="119"/>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属于同一集团、协会、商会等组织成员的供应商按照该组织要求协同报价；</w:t>
      </w:r>
    </w:p>
    <w:p w14:paraId="0CC4732C">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不同供应商的响应文件由同一单位或者个人编制；</w:t>
      </w:r>
    </w:p>
    <w:p w14:paraId="391953E1">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0" w:name="bookmark216"/>
      <w:bookmarkEnd w:id="120"/>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不同供应商委托同一单位或者个人办理报价事宜；</w:t>
      </w:r>
    </w:p>
    <w:p w14:paraId="508AF0E5">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1" w:name="bookmark217"/>
      <w:bookmarkEnd w:id="121"/>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不同供应商的响应文件载明的项目管理成员为同一人；</w:t>
      </w:r>
    </w:p>
    <w:p w14:paraId="4E3A9DA6">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2" w:name="bookmark218"/>
      <w:bookmarkEnd w:id="122"/>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不同供应商的响应文件异常一致或者报价呈规律性差异；</w:t>
      </w:r>
    </w:p>
    <w:p w14:paraId="5C3B9F22">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3" w:name="bookmark220"/>
      <w:bookmarkEnd w:id="123"/>
      <w:bookmarkStart w:id="124" w:name="bookmark219"/>
      <w:bookmarkEnd w:id="124"/>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不同供应商的磋商保证金从同一单位或者个人的账户转岀。</w:t>
      </w:r>
    </w:p>
    <w:p w14:paraId="4EA0A405">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34" w:firstLineChars="306"/>
        <w:jc w:val="both"/>
        <w:textAlignment w:val="auto"/>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供应商之间为谋取成交或者排斥特定供应商而采取的其他联合行动。</w:t>
      </w:r>
    </w:p>
    <w:p w14:paraId="11C0E62B">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96" w:firstLineChars="207"/>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有下列情形之一的，属于采购人与供应商串通报价：</w:t>
      </w:r>
    </w:p>
    <w:p w14:paraId="3D17F507">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采购人在二次报价前开启响应文件并将有关信息泄露给其他供应商；</w:t>
      </w:r>
    </w:p>
    <w:p w14:paraId="6200A4A0">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采购人直接或者间接向供应商泄露磋商小组成员等信息；</w:t>
      </w:r>
    </w:p>
    <w:p w14:paraId="50EFCFF9">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采购人明示或者暗示供应商压低或者抬高报价；</w:t>
      </w:r>
    </w:p>
    <w:p w14:paraId="23FFE00D">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采购人授意供应商撤换、修改响应文件；</w:t>
      </w:r>
    </w:p>
    <w:p w14:paraId="12681355">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采购人明示或者暗示供应商为特定供应商成交提供方便；</w:t>
      </w:r>
    </w:p>
    <w:p w14:paraId="3819AE69">
      <w:pPr>
        <w:pStyle w:val="78"/>
        <w:keepNext w:val="0"/>
        <w:keepLines w:val="0"/>
        <w:pageBreakBefore w:val="0"/>
        <w:widowControl w:val="0"/>
        <w:kinsoku/>
        <w:wordWrap/>
        <w:overflowPunct/>
        <w:topLinePunct w:val="0"/>
        <w:bidi w:val="0"/>
        <w:snapToGrid/>
        <w:spacing w:line="460" w:lineRule="exact"/>
        <w:ind w:left="0" w:leftChars="0" w:firstLine="734" w:firstLineChars="306"/>
        <w:textAlignment w:val="auto"/>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采购人与供应商为谋求特定供应商成交而采取的其他串通行为。</w:t>
      </w:r>
    </w:p>
    <w:p w14:paraId="55FBCC40">
      <w:pPr>
        <w:pStyle w:val="78"/>
        <w:keepNext w:val="0"/>
        <w:keepLines w:val="0"/>
        <w:pageBreakBefore w:val="0"/>
        <w:widowControl w:val="0"/>
        <w:kinsoku/>
        <w:wordWrap/>
        <w:overflowPunct/>
        <w:topLinePunct w:val="0"/>
        <w:bidi w:val="0"/>
        <w:snapToGrid/>
        <w:spacing w:line="460" w:lineRule="exact"/>
        <w:ind w:left="0" w:leftChars="0" w:firstLine="496" w:firstLineChars="207"/>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10.7.3</w:t>
      </w:r>
      <w:r>
        <w:rPr>
          <w:rFonts w:hint="eastAsia" w:ascii="宋体" w:hAnsi="宋体" w:eastAsia="宋体" w:cs="宋体"/>
          <w:color w:val="000000" w:themeColor="text1"/>
          <w:sz w:val="24"/>
          <w:szCs w:val="24"/>
          <w:highlight w:val="none"/>
          <w14:textFill>
            <w14:solidFill>
              <w14:schemeClr w14:val="tx1"/>
            </w14:solidFill>
          </w14:textFill>
        </w:rPr>
        <w:t>供应商有下列情形之一的，属于供应商弄虚作假的行为：</w:t>
      </w:r>
    </w:p>
    <w:p w14:paraId="62F993F9">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使用伪造、变造的许可证件；</w:t>
      </w:r>
    </w:p>
    <w:p w14:paraId="2DBE30CC">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提供虚假的财务状况或者业绩；</w:t>
      </w:r>
    </w:p>
    <w:p w14:paraId="2A2E8939">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w:t>
      </w:r>
      <w:r>
        <w:rPr>
          <w:rFonts w:hint="eastAsia"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或者主要技术人员简历、劳动关系证明；</w:t>
      </w:r>
    </w:p>
    <w:p w14:paraId="305859D9">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提供虚假的信用状况；</w:t>
      </w:r>
    </w:p>
    <w:p w14:paraId="0B7E0131">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其他弄虚作假的行为。</w:t>
      </w:r>
    </w:p>
    <w:p w14:paraId="15BD0CC0">
      <w:pPr>
        <w:pStyle w:val="78"/>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10.7.4</w:t>
      </w:r>
      <w:r>
        <w:rPr>
          <w:rFonts w:hint="eastAsia" w:ascii="宋体" w:hAnsi="宋体" w:eastAsia="宋体" w:cs="宋体"/>
          <w:color w:val="000000" w:themeColor="text1"/>
          <w:sz w:val="24"/>
          <w:szCs w:val="24"/>
          <w:highlight w:val="none"/>
          <w14:textFill>
            <w14:solidFill>
              <w14:schemeClr w14:val="tx1"/>
            </w14:solidFill>
          </w14:textFill>
        </w:rPr>
        <w:t>违规处理</w:t>
      </w:r>
    </w:p>
    <w:p w14:paraId="6EC66679">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供应商有下列情形之一的，列入不良行为记录名单，在一至三年内禁止参加政府采购活动：</w:t>
      </w:r>
    </w:p>
    <w:p w14:paraId="5AF50DA6">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5" w:name="bookmark232"/>
      <w:r>
        <w:rPr>
          <w:rFonts w:hint="eastAsia" w:ascii="宋体" w:hAnsi="宋体" w:eastAsia="宋体" w:cs="宋体"/>
          <w:color w:val="000000" w:themeColor="text1"/>
          <w:sz w:val="24"/>
          <w:szCs w:val="24"/>
          <w:highlight w:val="none"/>
          <w14:textFill>
            <w14:solidFill>
              <w14:schemeClr w14:val="tx1"/>
            </w14:solidFill>
          </w14:textFill>
        </w:rPr>
        <w:t>（</w:t>
      </w:r>
      <w:bookmarkEnd w:id="125"/>
      <w:r>
        <w:rPr>
          <w:rFonts w:hint="eastAsia" w:ascii="宋体" w:hAnsi="宋体" w:eastAsia="宋体" w:cs="宋体"/>
          <w:color w:val="000000" w:themeColor="text1"/>
          <w:sz w:val="24"/>
          <w:szCs w:val="24"/>
          <w:highlight w:val="none"/>
          <w14:textFill>
            <w14:solidFill>
              <w14:schemeClr w14:val="tx1"/>
            </w14:solidFill>
          </w14:textFill>
        </w:rPr>
        <w:t>1）提供虚假材料谋取成交；</w:t>
      </w:r>
    </w:p>
    <w:p w14:paraId="39191D69">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6" w:name="bookmark233"/>
      <w:r>
        <w:rPr>
          <w:rFonts w:hint="eastAsia" w:ascii="宋体" w:hAnsi="宋体" w:eastAsia="宋体" w:cs="宋体"/>
          <w:color w:val="000000" w:themeColor="text1"/>
          <w:sz w:val="24"/>
          <w:szCs w:val="24"/>
          <w:highlight w:val="none"/>
          <w14:textFill>
            <w14:solidFill>
              <w14:schemeClr w14:val="tx1"/>
            </w14:solidFill>
          </w14:textFill>
        </w:rPr>
        <w:t>（</w:t>
      </w:r>
      <w:bookmarkEnd w:id="126"/>
      <w:r>
        <w:rPr>
          <w:rFonts w:hint="eastAsia" w:ascii="宋体" w:hAnsi="宋体" w:eastAsia="宋体" w:cs="宋体"/>
          <w:color w:val="000000" w:themeColor="text1"/>
          <w:sz w:val="24"/>
          <w:szCs w:val="24"/>
          <w:highlight w:val="none"/>
          <w14:textFill>
            <w14:solidFill>
              <w14:schemeClr w14:val="tx1"/>
            </w14:solidFill>
          </w14:textFill>
        </w:rPr>
        <w:t>2）采取不正当手段诋毁、排挤其他供应商；</w:t>
      </w:r>
    </w:p>
    <w:p w14:paraId="2DE0657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与采购人、其他供应商或者采购代理机构恶意串通；</w:t>
      </w:r>
    </w:p>
    <w:p w14:paraId="24603CA8">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向采购人、采购代理机构行贿或者提供其他不正当利益；</w:t>
      </w:r>
    </w:p>
    <w:p w14:paraId="68F40076">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在采购过程中与采购人进行协商磋商；</w:t>
      </w:r>
    </w:p>
    <w:p w14:paraId="406CE59C">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拒绝有关部门监督检查或者提供虚假情况；</w:t>
      </w:r>
    </w:p>
    <w:p w14:paraId="7E1812A7">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一年内累计三次以上投诉均查无实据，并带有明显故意行为；</w:t>
      </w:r>
    </w:p>
    <w:p w14:paraId="4EE25472">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捏造事实或者提供虚假投诉材料；</w:t>
      </w:r>
    </w:p>
    <w:p w14:paraId="675C3164">
      <w:pPr>
        <w:pStyle w:val="78"/>
        <w:keepNext w:val="0"/>
        <w:keepLines w:val="0"/>
        <w:pageBreakBefore w:val="0"/>
        <w:widowControl w:val="0"/>
        <w:tabs>
          <w:tab w:val="left" w:pos="1016"/>
        </w:tabs>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不按照规定程序以及正常途径质疑、投诉，采用匿名信、匿名电话、短信等手段，威胁、恫吓、辱骂、恶意中伤其他相关当事人；</w:t>
      </w:r>
    </w:p>
    <w:p w14:paraId="249DD47E">
      <w:pPr>
        <w:pStyle w:val="78"/>
        <w:keepNext w:val="0"/>
        <w:keepLines w:val="0"/>
        <w:pageBreakBefore w:val="0"/>
        <w:widowControl w:val="0"/>
        <w:tabs>
          <w:tab w:val="left" w:pos="1029"/>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法律、法规和磋商文件中规定的其他情形。</w:t>
      </w:r>
    </w:p>
    <w:p w14:paraId="7453EC61">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w:t>
      </w:r>
      <w:r>
        <w:rPr>
          <w:rFonts w:hint="eastAsia" w:ascii="宋体" w:hAnsi="宋体" w:eastAsia="宋体" w:cs="宋体"/>
          <w:color w:val="000000" w:themeColor="text1"/>
          <w:sz w:val="24"/>
          <w:szCs w:val="24"/>
          <w:highlight w:val="none"/>
          <w14:textFill>
            <w14:solidFill>
              <w14:schemeClr w14:val="tx1"/>
            </w14:solidFill>
          </w14:textFill>
        </w:rPr>
        <w:t>关于成交供应商瑕疵滞后发现的处理规则</w:t>
      </w:r>
    </w:p>
    <w:p w14:paraId="3FCCD4D3">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10.8.1</w:t>
      </w:r>
      <w:r>
        <w:rPr>
          <w:rFonts w:hint="eastAsia" w:ascii="宋体" w:hAnsi="宋体" w:eastAsia="宋体" w:cs="宋体"/>
          <w:color w:val="000000" w:themeColor="text1"/>
          <w:sz w:val="24"/>
          <w:szCs w:val="24"/>
          <w:highlight w:val="none"/>
          <w14:textFill>
            <w14:solidFill>
              <w14:schemeClr w14:val="tx1"/>
            </w14:solidFill>
          </w14:textFill>
        </w:rPr>
        <w:t>无论基于何种原因，本应作无效或废标处理的情形即便未被及时发现而使该供应商进入初审、详细评审或者其他后续程序，包括已经签约的情形，一旦在任何时间被发现存在上述情形磋商小组均有权随时视情形决定是否取消该供应商的此前评议结果，或者随时视情形决定该报价无效，并有权决定采取相应的补救、纠正措施；若通过补救、纠正措施能够满足磋商文件或者采购人要求，磋商小组可以维持既定结果并要求成交供应商岀具补救、纠正措施等承诺，由此产生的一切费用由成交供应商承担；若通过补救、纠正措施仍不能够满足磋商文件或者采购人要求，磋商小组应岀具取消该供应商的此前评议结果的复审结论，并予以废标，由此产生的一切损失均由成交供应商承担。</w:t>
      </w:r>
    </w:p>
    <w:p w14:paraId="019B3EBE">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认定成交供应商报价无效、废标或成交供应商的此前评议结果被取消的，应予以废标,由采购人依法重新组织采购，成交供应商按照相关规定处理。岀现上述情形的一切损失均由被取消成交资格的供应商承担。</w:t>
      </w:r>
    </w:p>
    <w:p w14:paraId="4D6A5BE6">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10.8.2</w:t>
      </w:r>
      <w:r>
        <w:rPr>
          <w:rFonts w:hint="eastAsia" w:ascii="宋体" w:hAnsi="宋体" w:eastAsia="宋体" w:cs="宋体"/>
          <w:color w:val="000000" w:themeColor="text1"/>
          <w:sz w:val="24"/>
          <w:szCs w:val="24"/>
          <w:highlight w:val="none"/>
          <w14:textFill>
            <w14:solidFill>
              <w14:schemeClr w14:val="tx1"/>
            </w14:solidFill>
          </w14:textFill>
        </w:rPr>
        <w:t>若已经超过质疑期限而未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采取类似的处理措施将使本次采购成本大幅上升、延误期限以至可能给采购人造成较大损失的），维持成交结果的，采购人必须岀具维持成交结果以及是否要求提供特别担保金的书面意见，磋商小组可以维持既定结果并要求成交供应商岀具提供特别担保金承诺，以承担可能产生的赔偿责任；若成交供应商拒绝提供特别担保金、实际提供的担保金额不足或者采购人不同意维持成交结果的，磋商小组应当决定取消成交供应商的此前评议结果或者采取类似的处理措施，由此产生的一切损失均由成交供应商承担。</w:t>
      </w:r>
    </w:p>
    <w:p w14:paraId="70A61216">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10.9</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是否采用电子招标投标：</w:t>
      </w:r>
      <w:r>
        <w:rPr>
          <w:rFonts w:hint="eastAsia" w:ascii="宋体" w:hAnsi="宋体" w:eastAsia="宋体" w:cs="宋体"/>
          <w:b w:val="0"/>
          <w:bCs/>
          <w:color w:val="000000" w:themeColor="text1"/>
          <w:spacing w:val="0"/>
          <w:w w:val="100"/>
          <w:position w:val="0"/>
          <w:sz w:val="24"/>
          <w:szCs w:val="24"/>
          <w:highlight w:val="none"/>
          <w14:textFill>
            <w14:solidFill>
              <w14:schemeClr w14:val="tx1"/>
            </w14:solidFill>
          </w14:textFill>
        </w:rPr>
        <w:t>见供应商须知前附表。</w:t>
      </w:r>
    </w:p>
    <w:p w14:paraId="06EFFB58">
      <w:pPr>
        <w:spacing w:line="360" w:lineRule="auto"/>
        <w:rPr>
          <w:rFonts w:ascii="宋体" w:hAnsi="宋体"/>
          <w:b/>
          <w:color w:val="000000" w:themeColor="text1"/>
          <w:highlight w:val="none"/>
          <w14:textFill>
            <w14:solidFill>
              <w14:schemeClr w14:val="tx1"/>
            </w14:solidFill>
          </w14:textFill>
        </w:rPr>
      </w:pPr>
    </w:p>
    <w:p w14:paraId="7DBDD69A">
      <w:pPr>
        <w:spacing w:line="360" w:lineRule="auto"/>
        <w:rPr>
          <w:rFonts w:ascii="宋体" w:hAnsi="宋体"/>
          <w:b/>
          <w:color w:val="000000" w:themeColor="text1"/>
          <w:highlight w:val="none"/>
          <w14:textFill>
            <w14:solidFill>
              <w14:schemeClr w14:val="tx1"/>
            </w14:solidFill>
          </w14:textFill>
        </w:rPr>
      </w:pPr>
    </w:p>
    <w:p w14:paraId="23BCD6BB">
      <w:pPr>
        <w:spacing w:line="360" w:lineRule="auto"/>
        <w:rPr>
          <w:rFonts w:ascii="宋体" w:hAnsi="宋体"/>
          <w:b/>
          <w:color w:val="000000" w:themeColor="text1"/>
          <w:highlight w:val="none"/>
          <w14:textFill>
            <w14:solidFill>
              <w14:schemeClr w14:val="tx1"/>
            </w14:solidFill>
          </w14:textFill>
        </w:rPr>
      </w:pPr>
    </w:p>
    <w:p w14:paraId="65A9F9BC">
      <w:pPr>
        <w:spacing w:line="360" w:lineRule="auto"/>
        <w:rPr>
          <w:rFonts w:ascii="宋体" w:hAnsi="宋体"/>
          <w:b/>
          <w:color w:val="000000" w:themeColor="text1"/>
          <w:highlight w:val="none"/>
          <w14:textFill>
            <w14:solidFill>
              <w14:schemeClr w14:val="tx1"/>
            </w14:solidFill>
          </w14:textFill>
        </w:rPr>
      </w:pPr>
    </w:p>
    <w:p w14:paraId="56E02BF2">
      <w:pPr>
        <w:spacing w:line="360" w:lineRule="auto"/>
        <w:rPr>
          <w:rFonts w:ascii="宋体" w:hAnsi="宋体"/>
          <w:b/>
          <w:color w:val="000000" w:themeColor="text1"/>
          <w:highlight w:val="none"/>
          <w14:textFill>
            <w14:solidFill>
              <w14:schemeClr w14:val="tx1"/>
            </w14:solidFill>
          </w14:textFill>
        </w:rPr>
      </w:pPr>
    </w:p>
    <w:p w14:paraId="561D04FA">
      <w:pPr>
        <w:spacing w:line="360" w:lineRule="auto"/>
        <w:rPr>
          <w:rFonts w:ascii="宋体" w:hAnsi="宋体"/>
          <w:b/>
          <w:color w:val="000000" w:themeColor="text1"/>
          <w:highlight w:val="none"/>
          <w14:textFill>
            <w14:solidFill>
              <w14:schemeClr w14:val="tx1"/>
            </w14:solidFill>
          </w14:textFill>
        </w:rPr>
      </w:pPr>
    </w:p>
    <w:p w14:paraId="01B5F5D7">
      <w:pPr>
        <w:spacing w:line="360" w:lineRule="auto"/>
        <w:rPr>
          <w:rFonts w:ascii="宋体" w:hAnsi="宋体"/>
          <w:b/>
          <w:color w:val="000000" w:themeColor="text1"/>
          <w:highlight w:val="none"/>
          <w14:textFill>
            <w14:solidFill>
              <w14:schemeClr w14:val="tx1"/>
            </w14:solidFill>
          </w14:textFill>
        </w:rPr>
      </w:pPr>
    </w:p>
    <w:p w14:paraId="5E89AB8F">
      <w:pPr>
        <w:spacing w:line="360" w:lineRule="auto"/>
        <w:rPr>
          <w:rFonts w:ascii="宋体" w:hAnsi="宋体"/>
          <w:b/>
          <w:color w:val="000000" w:themeColor="text1"/>
          <w:highlight w:val="none"/>
          <w14:textFill>
            <w14:solidFill>
              <w14:schemeClr w14:val="tx1"/>
            </w14:solidFill>
          </w14:textFill>
        </w:rPr>
      </w:pPr>
    </w:p>
    <w:p w14:paraId="3C18963B">
      <w:pPr>
        <w:spacing w:line="360" w:lineRule="auto"/>
        <w:rPr>
          <w:rFonts w:ascii="宋体" w:hAnsi="宋体"/>
          <w:b/>
          <w:color w:val="000000" w:themeColor="text1"/>
          <w:highlight w:val="none"/>
          <w14:textFill>
            <w14:solidFill>
              <w14:schemeClr w14:val="tx1"/>
            </w14:solidFill>
          </w14:textFill>
        </w:rPr>
      </w:pPr>
    </w:p>
    <w:p w14:paraId="441B02A8">
      <w:pP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附表一：问题澄清通知</w:t>
      </w:r>
    </w:p>
    <w:p w14:paraId="285B9C12">
      <w:pPr>
        <w:autoSpaceDE w:val="0"/>
        <w:autoSpaceDN w:val="0"/>
        <w:adjustRightInd w:val="0"/>
        <w:spacing w:line="360" w:lineRule="auto"/>
        <w:jc w:val="center"/>
        <w:rPr>
          <w:rFonts w:ascii="宋体" w:hAnsi="宋体" w:cs="宋体"/>
          <w:b/>
          <w:bCs/>
          <w:color w:val="000000" w:themeColor="text1"/>
          <w:sz w:val="32"/>
          <w:szCs w:val="32"/>
          <w:highlight w:val="none"/>
          <w:lang w:val="zh-CN"/>
          <w14:textFill>
            <w14:solidFill>
              <w14:schemeClr w14:val="tx1"/>
            </w14:solidFill>
          </w14:textFill>
        </w:rPr>
      </w:pPr>
    </w:p>
    <w:p w14:paraId="0D05FCB0">
      <w:pPr>
        <w:autoSpaceDE w:val="0"/>
        <w:autoSpaceDN w:val="0"/>
        <w:adjustRightInd w:val="0"/>
        <w:spacing w:line="360" w:lineRule="auto"/>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问题澄清通知</w:t>
      </w:r>
    </w:p>
    <w:p w14:paraId="37E6DD45">
      <w:pPr>
        <w:autoSpaceDE w:val="0"/>
        <w:autoSpaceDN w:val="0"/>
        <w:adjustRightInd w:val="0"/>
        <w:spacing w:line="360" w:lineRule="auto"/>
        <w:jc w:val="center"/>
        <w:rPr>
          <w:rFonts w:ascii="宋体" w:hAnsi="宋体" w:cs="宋体"/>
          <w:color w:val="000000" w:themeColor="text1"/>
          <w:sz w:val="24"/>
          <w:szCs w:val="24"/>
          <w:highlight w:val="none"/>
          <w:lang w:val="zh-CN"/>
          <w14:textFill>
            <w14:solidFill>
              <w14:schemeClr w14:val="tx1"/>
            </w14:solidFill>
          </w14:textFill>
        </w:rPr>
      </w:pPr>
    </w:p>
    <w:p w14:paraId="7CE87511">
      <w:pPr>
        <w:autoSpaceDE w:val="0"/>
        <w:autoSpaceDN w:val="0"/>
        <w:adjustRightInd w:val="0"/>
        <w:spacing w:line="360" w:lineRule="auto"/>
        <w:jc w:val="cente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编号：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5706CBFC">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761CFA5A">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（供应商名称）：</w:t>
      </w:r>
    </w:p>
    <w:p w14:paraId="26DC309C">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       </w:t>
      </w:r>
      <w:r>
        <w:rPr>
          <w:rFonts w:hint="eastAsia" w:ascii="宋体" w:hAnsi="宋体" w:cs="宋体"/>
          <w:color w:val="000000" w:themeColor="text1"/>
          <w:sz w:val="24"/>
          <w:szCs w:val="24"/>
          <w:highlight w:val="none"/>
          <w:lang w:val="zh-CN"/>
          <w14:textFill>
            <w14:solidFill>
              <w14:schemeClr w14:val="tx1"/>
            </w14:solidFill>
          </w14:textFill>
        </w:rPr>
        <w:t>的磋商小组，对你方的响应文件进行了仔细的审查，现需你方对下列问题以书面形式予以澄清：</w:t>
      </w:r>
    </w:p>
    <w:p w14:paraId="2A1C67E9">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2A664127">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1．</w:t>
      </w:r>
    </w:p>
    <w:p w14:paraId="0CAD7F1C">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w:t>
      </w:r>
    </w:p>
    <w:p w14:paraId="61742FB8">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p>
    <w:p w14:paraId="54F506E4">
      <w:pPr>
        <w:spacing w:line="360" w:lineRule="auto"/>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请将上述问题的澄清于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时前递交至</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（详细地址）或传真至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（传真号码）。采用传真方式的，应在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时前将原件递交至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（详细地址）。</w:t>
      </w:r>
    </w:p>
    <w:p w14:paraId="6E49C9F9">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0AAB6D88">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19A11694">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59D2801F">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2FDDD4FD">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评审工作组负责人：</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w:t>
      </w:r>
    </w:p>
    <w:p w14:paraId="51E262AC">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62FB3798">
      <w:pPr>
        <w:autoSpaceDE w:val="0"/>
        <w:autoSpaceDN w:val="0"/>
        <w:adjustRightInd w:val="0"/>
        <w:spacing w:line="360" w:lineRule="auto"/>
        <w:jc w:val="right"/>
        <w:rPr>
          <w:rFonts w:ascii="宋体" w:hAnsi="宋体" w:cs="宋体"/>
          <w:color w:val="000000" w:themeColor="text1"/>
          <w:sz w:val="24"/>
          <w:szCs w:val="24"/>
          <w:highlight w:val="none"/>
          <w:u w:val="single"/>
          <w14:textFill>
            <w14:solidFill>
              <w14:schemeClr w14:val="tx1"/>
            </w14:solidFill>
          </w14:textFill>
        </w:rPr>
      </w:pPr>
    </w:p>
    <w:p w14:paraId="782FD52B">
      <w:pPr>
        <w:autoSpaceDE w:val="0"/>
        <w:autoSpaceDN w:val="0"/>
        <w:adjustRightInd w:val="0"/>
        <w:spacing w:line="360" w:lineRule="auto"/>
        <w:jc w:val="right"/>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p>
    <w:p w14:paraId="5D262917">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69282512">
      <w:pPr>
        <w:autoSpaceDE w:val="0"/>
        <w:autoSpaceDN w:val="0"/>
        <w:adjustRightInd w:val="0"/>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附表二</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问题的澄清</w:t>
      </w:r>
    </w:p>
    <w:p w14:paraId="0003A869">
      <w:pPr>
        <w:autoSpaceDE w:val="0"/>
        <w:autoSpaceDN w:val="0"/>
        <w:adjustRightInd w:val="0"/>
        <w:spacing w:line="360" w:lineRule="auto"/>
        <w:jc w:val="left"/>
        <w:rPr>
          <w:rFonts w:ascii="宋体" w:hAnsi="宋体" w:cs="宋体"/>
          <w:b/>
          <w:bCs/>
          <w:color w:val="000000" w:themeColor="text1"/>
          <w:sz w:val="24"/>
          <w:szCs w:val="24"/>
          <w:highlight w:val="none"/>
          <w:lang w:val="zh-CN"/>
          <w14:textFill>
            <w14:solidFill>
              <w14:schemeClr w14:val="tx1"/>
            </w14:solidFill>
          </w14:textFill>
        </w:rPr>
      </w:pPr>
    </w:p>
    <w:p w14:paraId="507F662C">
      <w:pPr>
        <w:autoSpaceDE w:val="0"/>
        <w:autoSpaceDN w:val="0"/>
        <w:adjustRightInd w:val="0"/>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问题的澄清</w:t>
      </w:r>
    </w:p>
    <w:p w14:paraId="2E7F8599">
      <w:pPr>
        <w:autoSpaceDE w:val="0"/>
        <w:autoSpaceDN w:val="0"/>
        <w:adjustRightInd w:val="0"/>
        <w:spacing w:line="360" w:lineRule="auto"/>
        <w:jc w:val="center"/>
        <w:rPr>
          <w:rFonts w:ascii="宋体" w:hAnsi="宋体" w:cs="宋体"/>
          <w:b/>
          <w:color w:val="000000" w:themeColor="text1"/>
          <w:sz w:val="24"/>
          <w:szCs w:val="24"/>
          <w:highlight w:val="none"/>
          <w:lang w:val="zh-CN"/>
          <w14:textFill>
            <w14:solidFill>
              <w14:schemeClr w14:val="tx1"/>
            </w14:solidFill>
          </w14:textFill>
        </w:rPr>
      </w:pPr>
    </w:p>
    <w:p w14:paraId="6A4BBBBF">
      <w:pPr>
        <w:autoSpaceDE w:val="0"/>
        <w:autoSpaceDN w:val="0"/>
        <w:adjustRightInd w:val="0"/>
        <w:spacing w:line="360" w:lineRule="auto"/>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编号：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2026DF43">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61B7D740">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            </w:t>
      </w:r>
      <w:r>
        <w:rPr>
          <w:rFonts w:hint="eastAsia" w:ascii="宋体" w:hAnsi="宋体" w:cs="宋体"/>
          <w:color w:val="000000" w:themeColor="text1"/>
          <w:sz w:val="24"/>
          <w:szCs w:val="24"/>
          <w:highlight w:val="none"/>
          <w:lang w:val="zh-CN"/>
          <w14:textFill>
            <w14:solidFill>
              <w14:schemeClr w14:val="tx1"/>
            </w14:solidFill>
          </w14:textFill>
        </w:rPr>
        <w:t>磋商小组：</w:t>
      </w:r>
    </w:p>
    <w:p w14:paraId="708E7E8C">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11898F25">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问题澄清通知</w:t>
      </w:r>
      <w:r>
        <w:rPr>
          <w:rFonts w:hint="eastAsia" w:ascii="宋体" w:hAnsi="宋体" w:cs="宋体"/>
          <w:color w:val="000000" w:themeColor="text1"/>
          <w:sz w:val="24"/>
          <w:szCs w:val="24"/>
          <w:highlight w:val="none"/>
          <w:u w:val="single"/>
          <w:lang w:val="zh-CN"/>
          <w14:textFill>
            <w14:solidFill>
              <w14:schemeClr w14:val="tx1"/>
            </w14:solidFill>
          </w14:textFill>
        </w:rPr>
        <w:t>(编号：              )</w:t>
      </w:r>
      <w:r>
        <w:rPr>
          <w:rFonts w:hint="eastAsia" w:ascii="宋体" w:hAnsi="宋体" w:cs="宋体"/>
          <w:color w:val="000000" w:themeColor="text1"/>
          <w:sz w:val="24"/>
          <w:szCs w:val="24"/>
          <w:highlight w:val="none"/>
          <w:lang w:val="zh-CN"/>
          <w14:textFill>
            <w14:solidFill>
              <w14:schemeClr w14:val="tx1"/>
            </w14:solidFill>
          </w14:textFill>
        </w:rPr>
        <w:t>已收悉，现澄清如下：</w:t>
      </w:r>
    </w:p>
    <w:p w14:paraId="693E4B99">
      <w:pPr>
        <w:autoSpaceDE w:val="0"/>
        <w:autoSpaceDN w:val="0"/>
        <w:adjustRightInd w:val="0"/>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1．</w:t>
      </w:r>
    </w:p>
    <w:p w14:paraId="6809121B">
      <w:pPr>
        <w:autoSpaceDE w:val="0"/>
        <w:autoSpaceDN w:val="0"/>
        <w:adjustRightInd w:val="0"/>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w:t>
      </w:r>
    </w:p>
    <w:p w14:paraId="668DE83F">
      <w:pPr>
        <w:autoSpaceDE w:val="0"/>
        <w:autoSpaceDN w:val="0"/>
        <w:adjustRightInd w:val="0"/>
        <w:spacing w:line="360" w:lineRule="auto"/>
        <w:ind w:firstLine="420"/>
        <w:jc w:val="left"/>
        <w:rPr>
          <w:rFonts w:ascii="宋体" w:hAnsi="宋体" w:cs="宋体"/>
          <w:color w:val="000000" w:themeColor="text1"/>
          <w:sz w:val="24"/>
          <w:szCs w:val="24"/>
          <w:highlight w:val="none"/>
          <w:u w:val="singl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p>
    <w:p w14:paraId="41FFB6E9">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6E493A7E">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028DE984">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735DAA85">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65F9A363">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04F811F1">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(盖单位章)</w:t>
      </w:r>
    </w:p>
    <w:p w14:paraId="70A6ED60">
      <w:pPr>
        <w:autoSpaceDE w:val="0"/>
        <w:autoSpaceDN w:val="0"/>
        <w:adjustRightInd w:val="0"/>
        <w:spacing w:line="360" w:lineRule="auto"/>
        <w:ind w:firstLine="4560" w:firstLineChars="1900"/>
        <w:jc w:val="left"/>
        <w:rPr>
          <w:rFonts w:ascii="宋体" w:hAnsi="宋体" w:cs="宋体"/>
          <w:color w:val="000000" w:themeColor="text1"/>
          <w:sz w:val="24"/>
          <w:szCs w:val="24"/>
          <w:highlight w:val="none"/>
          <w:lang w:val="zh-CN"/>
          <w14:textFill>
            <w14:solidFill>
              <w14:schemeClr w14:val="tx1"/>
            </w14:solidFill>
          </w14:textFill>
        </w:rPr>
      </w:pPr>
    </w:p>
    <w:p w14:paraId="691248BE">
      <w:pPr>
        <w:autoSpaceDE w:val="0"/>
        <w:autoSpaceDN w:val="0"/>
        <w:adjustRightInd w:val="0"/>
        <w:spacing w:line="360" w:lineRule="auto"/>
        <w:jc w:val="right"/>
        <w:rPr>
          <w:rFonts w:ascii="宋体" w:hAnsi="宋体" w:cs="宋体"/>
          <w:color w:val="000000" w:themeColor="text1"/>
          <w:sz w:val="24"/>
          <w:szCs w:val="24"/>
          <w:highlight w:val="none"/>
          <w:u w:val="singl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法定代表人或其委托代理人：</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w:t>
      </w:r>
    </w:p>
    <w:p w14:paraId="1875AA45">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6AF35165">
      <w:pPr>
        <w:autoSpaceDE w:val="0"/>
        <w:autoSpaceDN w:val="0"/>
        <w:adjustRightInd w:val="0"/>
        <w:spacing w:line="360" w:lineRule="auto"/>
        <w:ind w:firstLine="6240" w:firstLineChars="2600"/>
        <w:rPr>
          <w:rFonts w:ascii="宋体" w:hAnsi="宋体" w:cs="宋体"/>
          <w:color w:val="000000" w:themeColor="text1"/>
          <w:sz w:val="24"/>
          <w:szCs w:val="24"/>
          <w:highlight w:val="none"/>
          <w:u w:val="single"/>
          <w14:textFill>
            <w14:solidFill>
              <w14:schemeClr w14:val="tx1"/>
            </w14:solidFill>
          </w14:textFill>
        </w:rPr>
      </w:pPr>
    </w:p>
    <w:p w14:paraId="50E34494">
      <w:pPr>
        <w:autoSpaceDE w:val="0"/>
        <w:autoSpaceDN w:val="0"/>
        <w:adjustRightInd w:val="0"/>
        <w:spacing w:line="360" w:lineRule="auto"/>
        <w:jc w:val="right"/>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p>
    <w:p w14:paraId="01CBE16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附表三</w:t>
      </w:r>
      <w:r>
        <w:rPr>
          <w:rFonts w:hint="eastAsia" w:ascii="宋体" w:hAnsi="宋体" w:cs="宋体"/>
          <w:b/>
          <w:color w:val="000000" w:themeColor="text1"/>
          <w:sz w:val="24"/>
          <w:szCs w:val="24"/>
          <w:highlight w:val="none"/>
          <w:lang w:eastAsia="zh-CN"/>
          <w14:textFill>
            <w14:solidFill>
              <w14:schemeClr w14:val="tx1"/>
            </w14:solidFill>
          </w14:textFill>
        </w:rPr>
        <w:t>：中标</w:t>
      </w:r>
      <w:r>
        <w:rPr>
          <w:rFonts w:hint="eastAsia" w:ascii="宋体" w:hAnsi="宋体" w:cs="宋体"/>
          <w:b/>
          <w:color w:val="000000" w:themeColor="text1"/>
          <w:sz w:val="24"/>
          <w:szCs w:val="24"/>
          <w:highlight w:val="none"/>
          <w14:textFill>
            <w14:solidFill>
              <w14:schemeClr w14:val="tx1"/>
            </w14:solidFill>
          </w14:textFill>
        </w:rPr>
        <w:t>通知书</w:t>
      </w:r>
    </w:p>
    <w:p w14:paraId="5D99CC6E">
      <w:pPr>
        <w:autoSpaceDE w:val="0"/>
        <w:autoSpaceDN w:val="0"/>
        <w:adjustRightInd w:val="0"/>
        <w:spacing w:line="360" w:lineRule="auto"/>
        <w:jc w:val="center"/>
        <w:rPr>
          <w:rFonts w:ascii="宋体" w:hAnsi="宋体" w:cs="宋体"/>
          <w:b/>
          <w:bCs/>
          <w:color w:val="000000" w:themeColor="text1"/>
          <w:sz w:val="28"/>
          <w:szCs w:val="28"/>
          <w:highlight w:val="none"/>
          <w:lang w:val="zh-CN"/>
          <w14:textFill>
            <w14:solidFill>
              <w14:schemeClr w14:val="tx1"/>
            </w14:solidFill>
          </w14:textFill>
        </w:rPr>
      </w:pPr>
    </w:p>
    <w:p w14:paraId="7286A7C8">
      <w:pPr>
        <w:autoSpaceDE w:val="0"/>
        <w:autoSpaceDN w:val="0"/>
        <w:adjustRightInd w:val="0"/>
        <w:spacing w:line="360" w:lineRule="auto"/>
        <w:jc w:val="center"/>
        <w:rPr>
          <w:rFonts w:hint="eastAsia"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中标（成交）通知书</w:t>
      </w:r>
    </w:p>
    <w:p w14:paraId="26AC8998">
      <w:pPr>
        <w:pStyle w:val="2"/>
        <w:jc w:val="center"/>
        <w:rPr>
          <w:rFonts w:hint="eastAsia" w:ascii="宋体" w:hAnsi="宋体" w:eastAsia="宋体" w:cs="宋体"/>
          <w:b/>
          <w:bCs/>
          <w:sz w:val="28"/>
          <w:szCs w:val="28"/>
          <w:highlight w:val="none"/>
          <w:lang w:val="zh-CN"/>
        </w:rPr>
      </w:pPr>
      <w:r>
        <w:rPr>
          <w:rFonts w:hint="eastAsia" w:ascii="宋体" w:hAnsi="宋体" w:eastAsia="宋体" w:cs="宋体"/>
          <w:b/>
          <w:bCs/>
          <w:color w:val="000000" w:themeColor="text1"/>
          <w:sz w:val="28"/>
          <w:szCs w:val="28"/>
          <w:highlight w:val="none"/>
          <w:lang w:val="zh-CN"/>
          <w14:textFill>
            <w14:solidFill>
              <w14:schemeClr w14:val="tx1"/>
            </w14:solidFill>
          </w14:textFill>
        </w:rPr>
        <w:t>（以政采云系统生成的格式为准）</w:t>
      </w:r>
    </w:p>
    <w:p w14:paraId="6CD97857">
      <w:pPr>
        <w:widowControl/>
        <w:spacing w:line="360" w:lineRule="auto"/>
        <w:ind w:firstLine="420"/>
        <w:jc w:val="left"/>
        <w:rPr>
          <w:rFonts w:ascii="宋体" w:hAnsi="宋体" w:cs="宋体"/>
          <w:color w:val="000000" w:themeColor="text1"/>
          <w:sz w:val="24"/>
          <w:szCs w:val="24"/>
          <w:highlight w:val="none"/>
          <w:u w:val="single"/>
          <w14:textFill>
            <w14:solidFill>
              <w14:schemeClr w14:val="tx1"/>
            </w14:solidFill>
          </w14:textFill>
        </w:rPr>
      </w:pPr>
    </w:p>
    <w:p w14:paraId="438B1FD7">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（成交人名称）：</w:t>
      </w:r>
    </w:p>
    <w:p w14:paraId="0385AD17">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你方于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日所递交的</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（项目名称）竞争性磋商响应文件已被我方接受，被确定为成交人。</w:t>
      </w:r>
    </w:p>
    <w:p w14:paraId="7A9C0A0B">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成交价：</w:t>
      </w:r>
      <w:r>
        <w:rPr>
          <w:rFonts w:hint="eastAsia" w:ascii="宋体" w:hAnsi="宋体" w:cs="宋体"/>
          <w:b/>
          <w:bCs/>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b/>
          <w:bCs/>
          <w:color w:val="000000" w:themeColor="text1"/>
          <w:spacing w:val="2"/>
          <w:sz w:val="24"/>
          <w:szCs w:val="24"/>
          <w:highlight w:val="none"/>
          <w14:textFill>
            <w14:solidFill>
              <w14:schemeClr w14:val="tx1"/>
            </w14:solidFill>
          </w14:textFill>
        </w:rPr>
        <w:t>。</w:t>
      </w:r>
    </w:p>
    <w:p w14:paraId="4635F566">
      <w:pPr>
        <w:widowControl/>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合同期限：签订合同后60日内完成</w:t>
      </w:r>
      <w:r>
        <w:rPr>
          <w:rFonts w:hint="eastAsia" w:ascii="宋体" w:hAnsi="宋体" w:cs="宋体"/>
          <w:color w:val="000000" w:themeColor="text1"/>
          <w:sz w:val="24"/>
          <w:szCs w:val="24"/>
          <w:highlight w:val="none"/>
          <w:lang w:val="zh-CN"/>
          <w14:textFill>
            <w14:solidFill>
              <w14:schemeClr w14:val="tx1"/>
            </w14:solidFill>
          </w14:textFill>
        </w:rPr>
        <w:t>。</w:t>
      </w:r>
    </w:p>
    <w:p w14:paraId="6AC7D773">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请你方在接到本通知书后的</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日内到</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（指定地点）与我方签订合同。</w:t>
      </w:r>
    </w:p>
    <w:p w14:paraId="13C29B86">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特此通知。</w:t>
      </w:r>
    </w:p>
    <w:p w14:paraId="1C50E697">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p>
    <w:p w14:paraId="1AC7E9B7">
      <w:pPr>
        <w:widowControl/>
        <w:spacing w:line="360" w:lineRule="auto"/>
        <w:ind w:right="-9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（盖单位章）  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（盖单位章）</w:t>
      </w:r>
    </w:p>
    <w:p w14:paraId="1B226BDA">
      <w:pPr>
        <w:widowControl/>
        <w:spacing w:line="360" w:lineRule="auto"/>
        <w:ind w:right="420"/>
        <w:rPr>
          <w:rFonts w:ascii="宋体" w:hAnsi="宋体" w:cs="宋体"/>
          <w:color w:val="000000" w:themeColor="text1"/>
          <w:sz w:val="24"/>
          <w:szCs w:val="24"/>
          <w:highlight w:val="none"/>
          <w14:textFill>
            <w14:solidFill>
              <w14:schemeClr w14:val="tx1"/>
            </w14:solidFill>
          </w14:textFill>
        </w:rPr>
      </w:pPr>
    </w:p>
    <w:p w14:paraId="134CF39C">
      <w:pPr>
        <w:widowControl/>
        <w:spacing w:line="360" w:lineRule="auto"/>
        <w:ind w:right="-30"/>
        <w:rPr>
          <w:rFonts w:ascii="宋体" w:hAnsi="宋体" w:cs="宋体"/>
          <w:color w:val="000000" w:themeColor="text1"/>
          <w:sz w:val="24"/>
          <w:szCs w:val="24"/>
          <w:highlight w:val="none"/>
          <w14:textFill>
            <w14:solidFill>
              <w14:schemeClr w14:val="tx1"/>
            </w14:solidFill>
          </w14:textFill>
        </w:rPr>
      </w:pPr>
    </w:p>
    <w:p w14:paraId="00ECF0AE">
      <w:pPr>
        <w:widowControl/>
        <w:spacing w:line="360" w:lineRule="auto"/>
        <w:ind w:right="-30"/>
        <w:rPr>
          <w:rFonts w:ascii="宋体" w:hAnsi="宋体" w:cs="宋体"/>
          <w:color w:val="000000" w:themeColor="text1"/>
          <w:sz w:val="24"/>
          <w:szCs w:val="24"/>
          <w:highlight w:val="none"/>
          <w14:textFill>
            <w14:solidFill>
              <w14:schemeClr w14:val="tx1"/>
            </w14:solidFill>
          </w14:textFill>
        </w:rPr>
      </w:pPr>
    </w:p>
    <w:p w14:paraId="79FF469A">
      <w:pPr>
        <w:widowControl/>
        <w:spacing w:line="360" w:lineRule="auto"/>
        <w:ind w:right="-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（签字或盖章）法定代表人：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（签字或盖章）</w:t>
      </w:r>
    </w:p>
    <w:p w14:paraId="7689C809">
      <w:pPr>
        <w:widowControl/>
        <w:spacing w:line="360" w:lineRule="auto"/>
        <w:ind w:right="420" w:firstLine="2428" w:firstLineChars="1012"/>
        <w:rPr>
          <w:rFonts w:ascii="宋体" w:hAnsi="宋体" w:cs="宋体"/>
          <w:color w:val="000000" w:themeColor="text1"/>
          <w:sz w:val="24"/>
          <w:szCs w:val="24"/>
          <w:highlight w:val="none"/>
          <w14:textFill>
            <w14:solidFill>
              <w14:schemeClr w14:val="tx1"/>
            </w14:solidFill>
          </w14:textFill>
        </w:rPr>
      </w:pPr>
    </w:p>
    <w:p w14:paraId="16AAF2BE">
      <w:pPr>
        <w:widowControl/>
        <w:spacing w:line="360" w:lineRule="auto"/>
        <w:ind w:right="420" w:firstLine="4212" w:firstLineChars="1755"/>
        <w:rPr>
          <w:rFonts w:ascii="宋体" w:hAnsi="宋体" w:cs="宋体"/>
          <w:color w:val="000000" w:themeColor="text1"/>
          <w:sz w:val="24"/>
          <w:szCs w:val="24"/>
          <w:highlight w:val="none"/>
          <w:u w:val="single"/>
          <w14:textFill>
            <w14:solidFill>
              <w14:schemeClr w14:val="tx1"/>
            </w14:solidFill>
          </w14:textFill>
        </w:rPr>
      </w:pPr>
    </w:p>
    <w:p w14:paraId="4BCD3AE6">
      <w:pPr>
        <w:widowControl/>
        <w:spacing w:line="360" w:lineRule="auto"/>
        <w:ind w:right="420" w:firstLine="4212" w:firstLineChars="1755"/>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6635CB00">
      <w:pPr>
        <w:autoSpaceDE w:val="0"/>
        <w:autoSpaceDN w:val="0"/>
        <w:adjustRightInd w:val="0"/>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p>
    <w:p w14:paraId="435D816C">
      <w:pPr>
        <w:spacing w:line="360" w:lineRule="auto"/>
        <w:rPr>
          <w:rFonts w:ascii="宋体" w:hAnsi="宋体" w:cs="宋体"/>
          <w:color w:val="000000" w:themeColor="text1"/>
          <w:sz w:val="24"/>
          <w:szCs w:val="24"/>
          <w:highlight w:val="none"/>
          <w14:textFill>
            <w14:solidFill>
              <w14:schemeClr w14:val="tx1"/>
            </w14:solidFill>
          </w14:textFill>
        </w:rPr>
      </w:pPr>
    </w:p>
    <w:p w14:paraId="11E831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[注]此《成交通知书》一式叁份，采购人、采购代理机构、成交供应商各执一份备案。</w:t>
      </w:r>
    </w:p>
    <w:p w14:paraId="630D6A67">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p>
    <w:p w14:paraId="4FD5DDDA">
      <w:pPr>
        <w:autoSpaceDE w:val="0"/>
        <w:autoSpaceDN w:val="0"/>
        <w:adjustRightInd w:val="0"/>
        <w:spacing w:line="360" w:lineRule="auto"/>
        <w:jc w:val="left"/>
        <w:rPr>
          <w:rFonts w:ascii="宋体" w:hAnsi="宋体" w:cs="宋体"/>
          <w:b/>
          <w:bCs/>
          <w:color w:val="000000" w:themeColor="text1"/>
          <w:sz w:val="24"/>
          <w:szCs w:val="24"/>
          <w:highlight w:val="none"/>
          <w:lang w:val="zh-CN"/>
          <w14:textFill>
            <w14:solidFill>
              <w14:schemeClr w14:val="tx1"/>
            </w14:solidFill>
          </w14:textFill>
        </w:rPr>
      </w:pPr>
    </w:p>
    <w:p w14:paraId="1FDEEA93">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附表四</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确认通知</w:t>
      </w:r>
    </w:p>
    <w:p w14:paraId="0D8BBBA6">
      <w:pPr>
        <w:spacing w:line="360" w:lineRule="auto"/>
        <w:rPr>
          <w:rFonts w:ascii="宋体" w:hAnsi="宋体" w:cs="宋体"/>
          <w:b/>
          <w:color w:val="000000" w:themeColor="text1"/>
          <w:sz w:val="24"/>
          <w:szCs w:val="24"/>
          <w:highlight w:val="none"/>
          <w14:textFill>
            <w14:solidFill>
              <w14:schemeClr w14:val="tx1"/>
            </w14:solidFill>
          </w14:textFill>
        </w:rPr>
      </w:pPr>
    </w:p>
    <w:p w14:paraId="0AB20FAD">
      <w:pPr>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确认通知</w:t>
      </w:r>
    </w:p>
    <w:p w14:paraId="6EE4325D">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1393515A">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(采购人名称)：</w:t>
      </w:r>
    </w:p>
    <w:p w14:paraId="7AF38188">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p>
    <w:p w14:paraId="5B481263">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我方已接到你方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日发出的</w:t>
      </w: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关于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的通知，我方已于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日收到。</w:t>
      </w:r>
    </w:p>
    <w:p w14:paraId="68950F9D">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p>
    <w:p w14:paraId="2D46F877">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特此确认。</w:t>
      </w:r>
    </w:p>
    <w:p w14:paraId="08D20258">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7CC4FD27">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(盖单位章)</w:t>
      </w:r>
    </w:p>
    <w:p w14:paraId="62D942A0">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376DD60B">
      <w:pPr>
        <w:spacing w:line="360" w:lineRule="auto"/>
        <w:jc w:val="right"/>
        <w:rPr>
          <w:rFonts w:ascii="宋体" w:hAnsi="宋体" w:cs="宋体"/>
          <w:color w:val="000000" w:themeColor="text1"/>
          <w:sz w:val="24"/>
          <w:szCs w:val="24"/>
          <w:highlight w:val="none"/>
          <w:u w:val="single"/>
          <w14:textFill>
            <w14:solidFill>
              <w14:schemeClr w14:val="tx1"/>
            </w14:solidFill>
          </w14:textFill>
        </w:rPr>
      </w:pPr>
    </w:p>
    <w:p w14:paraId="7BFA3638">
      <w:pPr>
        <w:spacing w:line="360" w:lineRule="auto"/>
        <w:jc w:val="center"/>
        <w:rPr>
          <w:rFonts w:ascii="宋体" w:hAnsi="宋体" w:cs="宋体"/>
          <w:color w:val="000000" w:themeColor="text1"/>
          <w:sz w:val="24"/>
          <w:szCs w:val="24"/>
          <w:highlight w:val="none"/>
          <w14:textFill>
            <w14:solidFill>
              <w14:schemeClr w14:val="tx1"/>
            </w14:solidFill>
          </w14:textFill>
        </w:rPr>
        <w:sectPr>
          <w:footerReference r:id="rId8" w:type="default"/>
          <w:pgSz w:w="11905" w:h="16838"/>
          <w:pgMar w:top="1440" w:right="1633" w:bottom="1440" w:left="1633" w:header="1140" w:footer="720" w:gutter="0"/>
          <w:cols w:space="0" w:num="1"/>
          <w:docGrid w:type="lines" w:linePitch="317" w:charSpace="0"/>
        </w:sect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日</w:t>
      </w:r>
    </w:p>
    <w:p w14:paraId="6BA2E3FA">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b/>
          <w:bCs/>
          <w:color w:val="000000" w:themeColor="text1"/>
          <w:sz w:val="44"/>
          <w:szCs w:val="44"/>
          <w:highlight w:val="none"/>
          <w14:textFill>
            <w14:solidFill>
              <w14:schemeClr w14:val="tx1"/>
            </w14:solidFill>
          </w14:textFill>
        </w:rPr>
      </w:pPr>
      <w:bookmarkStart w:id="127" w:name="_Toc20951"/>
      <w:bookmarkStart w:id="128" w:name="_Toc71"/>
      <w:r>
        <w:rPr>
          <w:rFonts w:hint="eastAsia"/>
          <w:b/>
          <w:bCs/>
          <w:color w:val="000000" w:themeColor="text1"/>
          <w:highlight w:val="none"/>
          <w14:textFill>
            <w14:solidFill>
              <w14:schemeClr w14:val="tx1"/>
            </w14:solidFill>
          </w14:textFill>
        </w:rPr>
        <w:t>第三章 评标办法</w:t>
      </w:r>
      <w:bookmarkEnd w:id="127"/>
      <w:bookmarkEnd w:id="128"/>
    </w:p>
    <w:p w14:paraId="3456FF7D">
      <w:pPr>
        <w:pageBreakBefore w:val="0"/>
        <w:widowControl w:val="0"/>
        <w:kinsoku/>
        <w:wordWrap/>
        <w:overflowPunct/>
        <w:topLinePunct w:val="0"/>
        <w:autoSpaceDE/>
        <w:autoSpaceDN/>
        <w:bidi w:val="0"/>
        <w:adjustRightInd/>
        <w:snapToGrid/>
        <w:spacing w:line="480" w:lineRule="exact"/>
        <w:jc w:val="center"/>
        <w:textAlignment w:val="auto"/>
        <w:outlineLvl w:val="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一、</w:t>
      </w:r>
      <w:r>
        <w:rPr>
          <w:rFonts w:hint="eastAsia" w:ascii="宋体" w:hAnsi="宋体" w:cs="宋体"/>
          <w:b/>
          <w:bCs/>
          <w:color w:val="000000" w:themeColor="text1"/>
          <w:sz w:val="32"/>
          <w:szCs w:val="32"/>
          <w:highlight w:val="none"/>
          <w14:textFill>
            <w14:solidFill>
              <w14:schemeClr w14:val="tx1"/>
            </w14:solidFill>
          </w14:textFill>
        </w:rPr>
        <w:t>评标办法前附表</w:t>
      </w:r>
    </w:p>
    <w:p w14:paraId="255DD186">
      <w:pPr>
        <w:pageBreakBefore w:val="0"/>
        <w:widowControl w:val="0"/>
        <w:kinsoku/>
        <w:wordWrap/>
        <w:overflowPunct/>
        <w:topLinePunct w:val="0"/>
        <w:autoSpaceDE/>
        <w:autoSpaceDN/>
        <w:bidi w:val="0"/>
        <w:adjustRightInd/>
        <w:snapToGrid/>
        <w:spacing w:line="480" w:lineRule="exact"/>
        <w:jc w:val="center"/>
        <w:textAlignment w:val="auto"/>
        <w:rPr>
          <w:rFonts w:ascii="宋体"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所有评审中要求的材料复印件</w:t>
      </w:r>
      <w:r>
        <w:rPr>
          <w:rFonts w:hint="eastAsia" w:ascii="宋体" w:hAnsi="宋体"/>
          <w:b/>
          <w:bCs/>
          <w:color w:val="000000" w:themeColor="text1"/>
          <w:sz w:val="24"/>
          <w:szCs w:val="24"/>
          <w:highlight w:val="none"/>
          <w:lang w:eastAsia="zh-CN"/>
          <w14:textFill>
            <w14:solidFill>
              <w14:schemeClr w14:val="tx1"/>
            </w14:solidFill>
          </w14:textFill>
        </w:rPr>
        <w:t>附在</w:t>
      </w:r>
      <w:r>
        <w:rPr>
          <w:rFonts w:hint="eastAsia" w:ascii="宋体" w:hAnsi="宋体"/>
          <w:b/>
          <w:bCs/>
          <w:color w:val="000000" w:themeColor="text1"/>
          <w:sz w:val="24"/>
          <w:szCs w:val="24"/>
          <w:highlight w:val="none"/>
          <w14:textFill>
            <w14:solidFill>
              <w14:schemeClr w14:val="tx1"/>
            </w14:solidFill>
          </w14:textFill>
        </w:rPr>
        <w:t>响应文件中</w:t>
      </w:r>
      <w:r>
        <w:rPr>
          <w:rFonts w:hint="eastAsia" w:ascii="宋体" w:hAnsi="宋体" w:cs="宋体"/>
          <w:b/>
          <w:bCs/>
          <w:color w:val="000000" w:themeColor="text1"/>
          <w:sz w:val="24"/>
          <w:szCs w:val="24"/>
          <w:highlight w:val="none"/>
          <w14:textFill>
            <w14:solidFill>
              <w14:schemeClr w14:val="tx1"/>
            </w14:solidFill>
          </w14:textFill>
        </w:rPr>
        <w:t>）</w:t>
      </w:r>
    </w:p>
    <w:tbl>
      <w:tblPr>
        <w:tblStyle w:val="34"/>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550"/>
        <w:gridCol w:w="1912"/>
        <w:gridCol w:w="5383"/>
      </w:tblGrid>
      <w:tr w14:paraId="4829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91" w:type="dxa"/>
            <w:gridSpan w:val="2"/>
            <w:vAlign w:val="center"/>
          </w:tcPr>
          <w:p w14:paraId="076809F3">
            <w:pPr>
              <w:widowControl/>
              <w:adjustRightInd w:val="0"/>
              <w:snapToGrid w:val="0"/>
              <w:spacing w:line="34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条款号</w:t>
            </w:r>
          </w:p>
        </w:tc>
        <w:tc>
          <w:tcPr>
            <w:tcW w:w="1912" w:type="dxa"/>
            <w:vAlign w:val="center"/>
          </w:tcPr>
          <w:p w14:paraId="51CCF4BF">
            <w:pPr>
              <w:widowControl/>
              <w:adjustRightInd w:val="0"/>
              <w:snapToGrid w:val="0"/>
              <w:spacing w:line="34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评审因素</w:t>
            </w:r>
          </w:p>
        </w:tc>
        <w:tc>
          <w:tcPr>
            <w:tcW w:w="5383" w:type="dxa"/>
            <w:vAlign w:val="center"/>
          </w:tcPr>
          <w:p w14:paraId="247392C3">
            <w:pPr>
              <w:widowControl/>
              <w:adjustRightInd w:val="0"/>
              <w:snapToGrid w:val="0"/>
              <w:spacing w:line="34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评审标准</w:t>
            </w:r>
          </w:p>
        </w:tc>
      </w:tr>
      <w:tr w14:paraId="50DF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1" w:type="dxa"/>
            <w:vMerge w:val="restart"/>
            <w:vAlign w:val="center"/>
          </w:tcPr>
          <w:p w14:paraId="3DA109A5">
            <w:pPr>
              <w:widowControl/>
              <w:adjustRightInd w:val="0"/>
              <w:snapToGrid w:val="0"/>
              <w:spacing w:line="34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.1.1</w:t>
            </w:r>
          </w:p>
        </w:tc>
        <w:tc>
          <w:tcPr>
            <w:tcW w:w="550" w:type="dxa"/>
            <w:vMerge w:val="restart"/>
            <w:vAlign w:val="center"/>
          </w:tcPr>
          <w:p w14:paraId="05BD74AF">
            <w:pPr>
              <w:spacing w:line="340" w:lineRule="exact"/>
              <w:jc w:val="center"/>
              <w:rPr>
                <w:rFonts w:ascii="Calibri" w:hAnsi="Calibri"/>
                <w:color w:val="000000" w:themeColor="text1"/>
                <w:sz w:val="24"/>
                <w:szCs w:val="24"/>
                <w:highlight w:val="none"/>
                <w14:textFill>
                  <w14:solidFill>
                    <w14:schemeClr w14:val="tx1"/>
                  </w14:solidFill>
                </w14:textFill>
              </w:rPr>
            </w:pPr>
            <w:r>
              <w:rPr>
                <w:rFonts w:cs="Times New Roman"/>
                <w:color w:val="000000" w:themeColor="text1"/>
                <w:sz w:val="24"/>
                <w:szCs w:val="24"/>
                <w:highlight w:val="none"/>
                <w14:textFill>
                  <w14:solidFill>
                    <w14:schemeClr w14:val="tx1"/>
                  </w14:solidFill>
                </w14:textFill>
              </w:rPr>
              <w:t>形式评审标准</w:t>
            </w:r>
          </w:p>
        </w:tc>
        <w:tc>
          <w:tcPr>
            <w:tcW w:w="1912" w:type="dxa"/>
            <w:vAlign w:val="center"/>
          </w:tcPr>
          <w:p w14:paraId="3CD60075">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供应商</w:t>
            </w:r>
            <w:r>
              <w:rPr>
                <w:rFonts w:cs="Times New Roman"/>
                <w:color w:val="000000" w:themeColor="text1"/>
                <w:sz w:val="24"/>
                <w:szCs w:val="24"/>
                <w:highlight w:val="none"/>
                <w14:textFill>
                  <w14:solidFill>
                    <w14:schemeClr w14:val="tx1"/>
                  </w14:solidFill>
                </w14:textFill>
              </w:rPr>
              <w:t>名称</w:t>
            </w:r>
          </w:p>
        </w:tc>
        <w:tc>
          <w:tcPr>
            <w:tcW w:w="5383" w:type="dxa"/>
            <w:vAlign w:val="center"/>
          </w:tcPr>
          <w:p w14:paraId="5812D76A">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宋体" w:hAnsi="Calibri"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b w:val="0"/>
                <w:bCs w:val="0"/>
                <w:color w:val="000000" w:themeColor="text1"/>
                <w:sz w:val="24"/>
                <w:szCs w:val="24"/>
                <w:highlight w:val="none"/>
                <w14:textFill>
                  <w14:solidFill>
                    <w14:schemeClr w14:val="tx1"/>
                  </w14:solidFill>
                </w14:textFill>
              </w:rPr>
              <w:t>营业执照</w:t>
            </w:r>
            <w:r>
              <w:rPr>
                <w:rFonts w:hint="eastAsia" w:ascii="宋体" w:hAnsi="宋体" w:cs="宋体"/>
                <w:b w:val="0"/>
                <w:bCs w:val="0"/>
                <w:color w:val="000000" w:themeColor="text1"/>
                <w:sz w:val="24"/>
                <w:szCs w:val="24"/>
                <w:highlight w:val="none"/>
                <w:lang w:eastAsia="zh-CN"/>
                <w14:textFill>
                  <w14:solidFill>
                    <w14:schemeClr w14:val="tx1"/>
                  </w14:solidFill>
                </w14:textFill>
              </w:rPr>
              <w:t>、《食品生产许可证》或《食品经营许可证》</w:t>
            </w:r>
            <w:r>
              <w:rPr>
                <w:rFonts w:hint="eastAsia" w:ascii="宋体" w:hAnsi="宋体" w:eastAsia="宋体" w:cs="宋体"/>
                <w:color w:val="000000" w:themeColor="text1"/>
                <w:sz w:val="24"/>
                <w:szCs w:val="24"/>
                <w:highlight w:val="none"/>
                <w14:textFill>
                  <w14:solidFill>
                    <w14:schemeClr w14:val="tx1"/>
                  </w14:solidFill>
                </w14:textFill>
              </w:rPr>
              <w:t>一致</w:t>
            </w:r>
            <w:r>
              <w:rPr>
                <w:rFonts w:hint="eastAsia" w:cs="Times New Roman"/>
                <w:color w:val="000000" w:themeColor="text1"/>
                <w:sz w:val="24"/>
                <w:szCs w:val="24"/>
                <w:highlight w:val="none"/>
                <w14:textFill>
                  <w14:solidFill>
                    <w14:schemeClr w14:val="tx1"/>
                  </w14:solidFill>
                </w14:textFill>
              </w:rPr>
              <w:t>。</w:t>
            </w:r>
          </w:p>
        </w:tc>
      </w:tr>
      <w:tr w14:paraId="0B0F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1" w:type="dxa"/>
            <w:vMerge w:val="continue"/>
            <w:vAlign w:val="center"/>
          </w:tcPr>
          <w:p w14:paraId="62F08032">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393F078A">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1912" w:type="dxa"/>
            <w:vAlign w:val="center"/>
          </w:tcPr>
          <w:p w14:paraId="6A288FFB">
            <w:pPr>
              <w:pStyle w:val="12"/>
              <w:spacing w:line="340" w:lineRule="exact"/>
              <w:jc w:val="center"/>
              <w:rPr>
                <w:rFonts w:ascii="宋体" w:hAnsi="宋体"/>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签字或盖章要求</w:t>
            </w:r>
          </w:p>
        </w:tc>
        <w:tc>
          <w:tcPr>
            <w:tcW w:w="5383" w:type="dxa"/>
            <w:vAlign w:val="center"/>
          </w:tcPr>
          <w:p w14:paraId="22389294">
            <w:pPr>
              <w:keepNext w:val="0"/>
              <w:keepLines w:val="0"/>
              <w:pageBreakBefore w:val="0"/>
              <w:kinsoku/>
              <w:wordWrap/>
              <w:overflowPunct/>
              <w:topLinePunct w:val="0"/>
              <w:autoSpaceDE/>
              <w:autoSpaceDN/>
              <w:bidi w:val="0"/>
              <w:spacing w:line="380" w:lineRule="exact"/>
              <w:textAlignment w:val="auto"/>
              <w:rPr>
                <w:rFonts w:ascii="宋体" w:hAnsi="宋体"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响应文件封面、磋商函和其他需要签字或盖章的地方均应加盖</w:t>
            </w:r>
            <w:r>
              <w:rPr>
                <w:rFonts w:hint="eastAsia"/>
                <w:color w:val="000000" w:themeColor="text1"/>
                <w:sz w:val="24"/>
                <w:szCs w:val="24"/>
                <w:highlight w:val="none"/>
                <w:lang w:val="en-US" w:eastAsia="zh-CN"/>
                <w14:textFill>
                  <w14:solidFill>
                    <w14:schemeClr w14:val="tx1"/>
                  </w14:solidFill>
                </w14:textFill>
              </w:rPr>
              <w:t>供应商</w:t>
            </w:r>
            <w:r>
              <w:rPr>
                <w:rFonts w:hint="eastAsia"/>
                <w:color w:val="000000" w:themeColor="text1"/>
                <w:sz w:val="24"/>
                <w:szCs w:val="24"/>
                <w:highlight w:val="none"/>
                <w14:textFill>
                  <w14:solidFill>
                    <w14:schemeClr w14:val="tx1"/>
                  </w14:solidFill>
                </w14:textFill>
              </w:rPr>
              <w:t>公章</w:t>
            </w:r>
            <w:r>
              <w:rPr>
                <w:rFonts w:hint="eastAsia"/>
                <w:color w:val="000000" w:themeColor="text1"/>
                <w:sz w:val="24"/>
                <w:szCs w:val="24"/>
                <w:highlight w:val="none"/>
                <w:lang w:eastAsia="zh-CN"/>
                <w14:textFill>
                  <w14:solidFill>
                    <w14:schemeClr w14:val="tx1"/>
                  </w14:solidFill>
                </w14:textFill>
              </w:rPr>
              <w:t>，并</w:t>
            </w:r>
            <w:r>
              <w:rPr>
                <w:rFonts w:hint="eastAsia"/>
                <w:color w:val="000000" w:themeColor="text1"/>
                <w:sz w:val="24"/>
                <w:szCs w:val="24"/>
                <w:highlight w:val="none"/>
                <w:lang w:val="en-US" w:eastAsia="zh-CN"/>
                <w14:textFill>
                  <w14:solidFill>
                    <w14:schemeClr w14:val="tx1"/>
                  </w14:solidFill>
                </w14:textFill>
              </w:rPr>
              <w:t>经</w:t>
            </w:r>
            <w:r>
              <w:rPr>
                <w:rFonts w:hint="eastAsia" w:ascii="宋体" w:hAnsi="宋体" w:cs="宋体"/>
                <w:color w:val="000000" w:themeColor="text1"/>
                <w:sz w:val="24"/>
                <w:szCs w:val="24"/>
                <w:highlight w:val="none"/>
                <w14:textFill>
                  <w14:solidFill>
                    <w14:schemeClr w14:val="tx1"/>
                  </w14:solidFill>
                </w14:textFill>
              </w:rPr>
              <w:t>法定代表人或其委托代理人签字或盖章。由委托代理人签字或盖章的在响应文件中须同时递交响应文件授权委托书。响应文件授权委托书格式、签字、盖章</w:t>
            </w:r>
            <w:r>
              <w:rPr>
                <w:rFonts w:hint="eastAsia" w:ascii="宋体" w:hAnsi="宋体" w:cs="宋体"/>
                <w:color w:val="000000" w:themeColor="text1"/>
                <w:sz w:val="24"/>
                <w:szCs w:val="24"/>
                <w:highlight w:val="none"/>
                <w:lang w:eastAsia="zh-CN"/>
                <w14:textFill>
                  <w14:solidFill>
                    <w14:schemeClr w14:val="tx1"/>
                  </w14:solidFill>
                </w14:textFill>
              </w:rPr>
              <w:t>（电子签章）</w:t>
            </w:r>
            <w:r>
              <w:rPr>
                <w:rFonts w:hint="eastAsia" w:ascii="宋体" w:hAnsi="宋体" w:cs="宋体"/>
                <w:color w:val="000000" w:themeColor="text1"/>
                <w:sz w:val="24"/>
                <w:szCs w:val="24"/>
                <w:highlight w:val="none"/>
                <w14:textFill>
                  <w14:solidFill>
                    <w14:schemeClr w14:val="tx1"/>
                  </w14:solidFill>
                </w14:textFill>
              </w:rPr>
              <w:t>及内容均应符合要求，否则响应文件授权委托书无效。</w:t>
            </w:r>
          </w:p>
        </w:tc>
      </w:tr>
      <w:tr w14:paraId="0670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41" w:type="dxa"/>
            <w:vMerge w:val="continue"/>
            <w:vAlign w:val="center"/>
          </w:tcPr>
          <w:p w14:paraId="30B71252">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2E992113">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1912" w:type="dxa"/>
            <w:vAlign w:val="center"/>
          </w:tcPr>
          <w:p w14:paraId="35B2ECEA">
            <w:pPr>
              <w:pStyle w:val="12"/>
              <w:spacing w:line="340" w:lineRule="exact"/>
              <w:jc w:val="center"/>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响应</w:t>
            </w:r>
            <w:r>
              <w:rPr>
                <w:rFonts w:cs="Times New Roman"/>
                <w:color w:val="000000" w:themeColor="text1"/>
                <w:sz w:val="24"/>
                <w:szCs w:val="24"/>
                <w:highlight w:val="none"/>
                <w14:textFill>
                  <w14:solidFill>
                    <w14:schemeClr w14:val="tx1"/>
                  </w14:solidFill>
                </w14:textFill>
              </w:rPr>
              <w:t>文件格式</w:t>
            </w:r>
          </w:p>
        </w:tc>
        <w:tc>
          <w:tcPr>
            <w:tcW w:w="5383" w:type="dxa"/>
            <w:vAlign w:val="center"/>
          </w:tcPr>
          <w:p w14:paraId="37A1AF7F">
            <w:pPr>
              <w:keepNext w:val="0"/>
              <w:keepLines w:val="0"/>
              <w:pageBreakBefore w:val="0"/>
              <w:kinsoku/>
              <w:wordWrap/>
              <w:overflowPunct/>
              <w:topLinePunct w:val="0"/>
              <w:autoSpaceDE/>
              <w:autoSpaceDN/>
              <w:bidi w:val="0"/>
              <w:spacing w:line="380" w:lineRule="exact"/>
              <w:textAlignment w:val="auto"/>
              <w:rPr>
                <w:rFonts w:ascii="宋体" w:hAnsi="宋体" w:cs="Arial"/>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符合第六章</w:t>
            </w:r>
            <w:r>
              <w:rPr>
                <w:rFonts w:hint="eastAsia" w:ascii="宋体" w:hAnsi="宋体" w:cs="Times New Roman"/>
                <w:color w:val="000000" w:themeColor="text1"/>
                <w:sz w:val="24"/>
                <w:szCs w:val="24"/>
                <w:highlight w:val="none"/>
                <w14:textFill>
                  <w14:solidFill>
                    <w14:schemeClr w14:val="tx1"/>
                  </w14:solidFill>
                </w14:textFill>
              </w:rPr>
              <w:t>“竞争性磋商</w:t>
            </w:r>
            <w:r>
              <w:rPr>
                <w:rFonts w:hint="eastAsia" w:ascii="宋体" w:hAnsi="宋体" w:cs="Times New Roman"/>
                <w:color w:val="000000" w:themeColor="text1"/>
                <w:sz w:val="24"/>
                <w:szCs w:val="24"/>
                <w:highlight w:val="none"/>
                <w:lang w:eastAsia="zh-CN"/>
                <w14:textFill>
                  <w14:solidFill>
                    <w14:schemeClr w14:val="tx1"/>
                  </w14:solidFill>
                </w14:textFill>
              </w:rPr>
              <w:t>响应</w:t>
            </w:r>
            <w:r>
              <w:rPr>
                <w:rFonts w:hint="eastAsia" w:ascii="宋体" w:hAnsi="宋体" w:cs="Times New Roman"/>
                <w:color w:val="000000" w:themeColor="text1"/>
                <w:sz w:val="24"/>
                <w:szCs w:val="24"/>
                <w:highlight w:val="none"/>
                <w14:textFill>
                  <w14:solidFill>
                    <w14:schemeClr w14:val="tx1"/>
                  </w14:solidFill>
                </w14:textFill>
              </w:rPr>
              <w:t>文件格式”</w:t>
            </w:r>
            <w:r>
              <w:rPr>
                <w:rFonts w:hint="eastAsia" w:ascii="宋体" w:hAnsi="宋体" w:cs="Times New Roman"/>
                <w:color w:val="000000" w:themeColor="text1"/>
                <w:sz w:val="24"/>
                <w:szCs w:val="24"/>
                <w:highlight w:val="none"/>
                <w:lang w:eastAsia="zh-CN"/>
                <w14:textFill>
                  <w14:solidFill>
                    <w14:schemeClr w14:val="tx1"/>
                  </w14:solidFill>
                </w14:textFill>
              </w:rPr>
              <w:t>的要求。</w:t>
            </w:r>
          </w:p>
        </w:tc>
      </w:tr>
      <w:tr w14:paraId="7BC6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41" w:type="dxa"/>
            <w:vMerge w:val="continue"/>
            <w:vAlign w:val="center"/>
          </w:tcPr>
          <w:p w14:paraId="5CCB002F">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7873D8B0">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1912" w:type="dxa"/>
            <w:vAlign w:val="center"/>
          </w:tcPr>
          <w:p w14:paraId="2F9349F3">
            <w:pPr>
              <w:pStyle w:val="12"/>
              <w:spacing w:line="340" w:lineRule="exact"/>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暗标格式</w:t>
            </w:r>
          </w:p>
        </w:tc>
        <w:tc>
          <w:tcPr>
            <w:tcW w:w="5383" w:type="dxa"/>
            <w:vAlign w:val="center"/>
          </w:tcPr>
          <w:p w14:paraId="4B498E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投标文件技术标必须遵守的统一格式和规范。技术标文件（暗标）未按以下“盲评”要求制作的，为无效投标，除下述要求外，不得因暗标格式问题认定为无效投标： </w:t>
            </w:r>
          </w:p>
          <w:p w14:paraId="7DB27F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1.版面要求：A4纸张大小；</w:t>
            </w:r>
          </w:p>
          <w:p w14:paraId="01A432F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颜色要求：所有文字、图表均为黑色； </w:t>
            </w:r>
          </w:p>
          <w:p w14:paraId="60EF66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字体要求：标题及正文部分所用文字均采用“宋体”四号“常规”字；图、表内的字体及字号不作要求；全部使用中文标点符号；所有字体均不得出现加粗、加色、倾斜、下划线等标记；</w:t>
            </w:r>
          </w:p>
          <w:p w14:paraId="7AED19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排版要求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13826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5.其它：除满足上述各项要求外，构成投标文件的“技术暗标”的正文中均不得出现供应商的名称和其它可识别供应商身份的字符、徽标、人员名称以及其他可能被辨别出供应商身份的任何标记。</w:t>
            </w:r>
          </w:p>
        </w:tc>
      </w:tr>
      <w:tr w14:paraId="2BA1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841" w:type="dxa"/>
            <w:vMerge w:val="restart"/>
            <w:vAlign w:val="center"/>
          </w:tcPr>
          <w:p w14:paraId="29F645ED">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2</w:t>
            </w:r>
          </w:p>
        </w:tc>
        <w:tc>
          <w:tcPr>
            <w:tcW w:w="550" w:type="dxa"/>
            <w:vMerge w:val="restart"/>
            <w:vAlign w:val="center"/>
          </w:tcPr>
          <w:p w14:paraId="26FD0331">
            <w:pPr>
              <w:spacing w:line="340" w:lineRule="exact"/>
              <w:rPr>
                <w:rFonts w:ascii="Calibri" w:hAnsi="Calibri"/>
                <w:color w:val="000000" w:themeColor="text1"/>
                <w:sz w:val="24"/>
                <w:szCs w:val="24"/>
                <w:highlight w:val="none"/>
                <w14:textFill>
                  <w14:solidFill>
                    <w14:schemeClr w14:val="tx1"/>
                  </w14:solidFill>
                </w14:textFill>
              </w:rPr>
            </w:pPr>
            <w:r>
              <w:rPr>
                <w:rFonts w:hint="eastAsia" w:ascii="Calibri" w:hAnsi="Calibri"/>
                <w:color w:val="000000" w:themeColor="text1"/>
                <w:sz w:val="24"/>
                <w:szCs w:val="24"/>
                <w:highlight w:val="none"/>
                <w14:textFill>
                  <w14:solidFill>
                    <w14:schemeClr w14:val="tx1"/>
                  </w14:solidFill>
                </w14:textFill>
              </w:rPr>
              <w:t>资格性审查标准</w:t>
            </w:r>
          </w:p>
        </w:tc>
        <w:tc>
          <w:tcPr>
            <w:tcW w:w="1912" w:type="dxa"/>
            <w:vAlign w:val="center"/>
          </w:tcPr>
          <w:p w14:paraId="004FED5B">
            <w:pPr>
              <w:widowControl/>
              <w:adjustRightInd w:val="0"/>
              <w:snapToGrid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营业执照</w:t>
            </w:r>
          </w:p>
        </w:tc>
        <w:tc>
          <w:tcPr>
            <w:tcW w:w="5383" w:type="dxa"/>
            <w:vAlign w:val="center"/>
          </w:tcPr>
          <w:p w14:paraId="6E6C5EF9">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cs="宋体"/>
                <w:b w:val="0"/>
                <w:bCs/>
                <w:color w:val="000000" w:themeColor="text1"/>
                <w:spacing w:val="-7"/>
                <w:sz w:val="24"/>
                <w:szCs w:val="24"/>
                <w:highlight w:val="none"/>
                <w:lang w:eastAsia="zh-CN"/>
                <w14:textFill>
                  <w14:solidFill>
                    <w14:schemeClr w14:val="tx1"/>
                  </w14:solidFill>
                </w14:textFill>
              </w:rPr>
            </w:pPr>
            <w:r>
              <w:rPr>
                <w:rFonts w:hint="eastAsia" w:cs="宋体"/>
                <w:b w:val="0"/>
                <w:bCs/>
                <w:color w:val="000000" w:themeColor="text1"/>
                <w:spacing w:val="-7"/>
                <w:sz w:val="24"/>
                <w:szCs w:val="24"/>
                <w:highlight w:val="none"/>
                <w:lang w:eastAsia="zh-CN"/>
                <w14:textFill>
                  <w14:solidFill>
                    <w14:schemeClr w14:val="tx1"/>
                  </w14:solidFill>
                </w14:textFill>
              </w:rPr>
              <w:t>供应商必须是具有独立承担民事责任能力的在中华人民共和国境内注册的法人或其他组织，投标时具有有效的营业执照，提供营业执照</w:t>
            </w:r>
            <w:r>
              <w:rPr>
                <w:rFonts w:hint="eastAsia"/>
                <w:b w:val="0"/>
                <w:bCs w:val="0"/>
                <w:color w:val="000000" w:themeColor="text1"/>
                <w:sz w:val="24"/>
                <w:szCs w:val="24"/>
                <w:highlight w:val="none"/>
                <w:lang w:eastAsia="zh-CN"/>
                <w14:textFill>
                  <w14:solidFill>
                    <w14:schemeClr w14:val="tx1"/>
                  </w14:solidFill>
                </w14:textFill>
              </w:rPr>
              <w:t>复印件</w:t>
            </w:r>
            <w:r>
              <w:rPr>
                <w:rFonts w:hint="eastAsia" w:cs="宋体"/>
                <w:b w:val="0"/>
                <w:bCs/>
                <w:color w:val="000000" w:themeColor="text1"/>
                <w:spacing w:val="-7"/>
                <w:sz w:val="24"/>
                <w:szCs w:val="24"/>
                <w:highlight w:val="none"/>
                <w:lang w:eastAsia="zh-CN"/>
                <w14:textFill>
                  <w14:solidFill>
                    <w14:schemeClr w14:val="tx1"/>
                  </w14:solidFill>
                </w14:textFill>
              </w:rPr>
              <w:t>加盖公章。</w:t>
            </w:r>
          </w:p>
        </w:tc>
      </w:tr>
      <w:tr w14:paraId="0882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841" w:type="dxa"/>
            <w:vMerge w:val="continue"/>
            <w:vAlign w:val="center"/>
          </w:tcPr>
          <w:p w14:paraId="1FADB958">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599BAC91">
            <w:pPr>
              <w:spacing w:line="340" w:lineRule="exact"/>
              <w:rPr>
                <w:rFonts w:ascii="Calibri" w:hAnsi="Calibri"/>
                <w:color w:val="000000" w:themeColor="text1"/>
                <w:sz w:val="24"/>
                <w:szCs w:val="24"/>
                <w:highlight w:val="none"/>
                <w14:textFill>
                  <w14:solidFill>
                    <w14:schemeClr w14:val="tx1"/>
                  </w14:solidFill>
                </w14:textFill>
              </w:rPr>
            </w:pPr>
          </w:p>
        </w:tc>
        <w:tc>
          <w:tcPr>
            <w:tcW w:w="1912" w:type="dxa"/>
            <w:vAlign w:val="center"/>
          </w:tcPr>
          <w:p w14:paraId="29992502">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资质</w:t>
            </w:r>
            <w:r>
              <w:rPr>
                <w:rFonts w:hint="eastAsia" w:cs="Times New Roman"/>
                <w:color w:val="000000" w:themeColor="text1"/>
                <w:sz w:val="24"/>
                <w:szCs w:val="24"/>
                <w:highlight w:val="none"/>
                <w:lang w:eastAsia="zh-CN"/>
                <w14:textFill>
                  <w14:solidFill>
                    <w14:schemeClr w14:val="tx1"/>
                  </w14:solidFill>
                </w14:textFill>
              </w:rPr>
              <w:t>要求</w:t>
            </w:r>
          </w:p>
        </w:tc>
        <w:tc>
          <w:tcPr>
            <w:tcW w:w="5383" w:type="dxa"/>
            <w:vAlign w:val="center"/>
          </w:tcPr>
          <w:p w14:paraId="3E13AD55">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须具备相关行政主管部门核发的有效期内的食品生产经营许可证《食品生产许可证》或《食品经营许可证》，</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提供相关证书复印件加盖公章。</w:t>
            </w:r>
          </w:p>
        </w:tc>
      </w:tr>
      <w:tr w14:paraId="426E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841" w:type="dxa"/>
            <w:vMerge w:val="continue"/>
            <w:vAlign w:val="center"/>
          </w:tcPr>
          <w:p w14:paraId="5A49BC7C">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174F3918">
            <w:pPr>
              <w:spacing w:line="340" w:lineRule="exact"/>
              <w:rPr>
                <w:rFonts w:ascii="Calibri" w:hAnsi="Calibri"/>
                <w:color w:val="000000" w:themeColor="text1"/>
                <w:sz w:val="24"/>
                <w:szCs w:val="24"/>
                <w:highlight w:val="none"/>
                <w14:textFill>
                  <w14:solidFill>
                    <w14:schemeClr w14:val="tx1"/>
                  </w14:solidFill>
                </w14:textFill>
              </w:rPr>
            </w:pPr>
          </w:p>
        </w:tc>
        <w:tc>
          <w:tcPr>
            <w:tcW w:w="1912" w:type="dxa"/>
            <w:vAlign w:val="center"/>
          </w:tcPr>
          <w:p w14:paraId="70C70F21">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财务要求</w:t>
            </w:r>
          </w:p>
        </w:tc>
        <w:tc>
          <w:tcPr>
            <w:tcW w:w="5383" w:type="dxa"/>
            <w:vAlign w:val="center"/>
          </w:tcPr>
          <w:p w14:paraId="2A8F5AE4">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0F48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841" w:type="dxa"/>
            <w:vMerge w:val="continue"/>
            <w:vAlign w:val="center"/>
          </w:tcPr>
          <w:p w14:paraId="2F534FB3">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1F078416">
            <w:pPr>
              <w:spacing w:line="340" w:lineRule="exact"/>
              <w:rPr>
                <w:rFonts w:ascii="Calibri" w:hAnsi="Calibri"/>
                <w:color w:val="000000" w:themeColor="text1"/>
                <w:sz w:val="24"/>
                <w:szCs w:val="24"/>
                <w:highlight w:val="none"/>
                <w14:textFill>
                  <w14:solidFill>
                    <w14:schemeClr w14:val="tx1"/>
                  </w14:solidFill>
                </w14:textFill>
              </w:rPr>
            </w:pPr>
          </w:p>
        </w:tc>
        <w:tc>
          <w:tcPr>
            <w:tcW w:w="1912" w:type="dxa"/>
            <w:vAlign w:val="center"/>
          </w:tcPr>
          <w:p w14:paraId="05A08EEC">
            <w:pPr>
              <w:widowControl/>
              <w:adjustRightInd w:val="0"/>
              <w:snapToGrid w:val="0"/>
              <w:spacing w:line="340" w:lineRule="exact"/>
              <w:jc w:val="center"/>
              <w:rPr>
                <w:rFonts w:ascii="宋体" w:hAnsi="宋体" w:cs="宋体"/>
                <w:bCs/>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信誉要求</w:t>
            </w:r>
          </w:p>
        </w:tc>
        <w:tc>
          <w:tcPr>
            <w:tcW w:w="5383" w:type="dxa"/>
            <w:vAlign w:val="center"/>
          </w:tcPr>
          <w:p w14:paraId="192991B5">
            <w:pPr>
              <w:pStyle w:val="80"/>
              <w:keepNext w:val="0"/>
              <w:keepLines w:val="0"/>
              <w:pageBreakBefore w:val="0"/>
              <w:widowControl w:val="0"/>
              <w:suppressLineNumbers w:val="0"/>
              <w:tabs>
                <w:tab w:val="left" w:pos="422"/>
              </w:tabs>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（1）拒绝列入政府取消投标资格记录期间的企业或个人投标（提供由法定代表人或其委托代理人签字并加盖单位公章的承诺书）</w:t>
            </w:r>
            <w:r>
              <w:rPr>
                <w:rFonts w:hint="eastAsia"/>
                <w:b w:val="0"/>
                <w:bCs w:val="0"/>
                <w:color w:val="000000" w:themeColor="text1"/>
                <w:sz w:val="24"/>
                <w:szCs w:val="24"/>
                <w:highlight w:val="none"/>
                <w:lang w:eastAsia="zh-CN"/>
                <w14:textFill>
                  <w14:solidFill>
                    <w14:schemeClr w14:val="tx1"/>
                  </w14:solidFill>
                </w14:textFill>
              </w:rPr>
              <w:t>；</w:t>
            </w:r>
          </w:p>
          <w:p w14:paraId="553985F4">
            <w:pPr>
              <w:pStyle w:val="80"/>
              <w:keepNext w:val="0"/>
              <w:keepLines w:val="0"/>
              <w:pageBreakBefore w:val="0"/>
              <w:widowControl w:val="0"/>
              <w:suppressLineNumbers w:val="0"/>
              <w:shd w:val="clear" w:color="auto" w:fill="auto"/>
              <w:tabs>
                <w:tab w:val="left" w:pos="427"/>
              </w:tabs>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cs="宋体"/>
                <w:b w:val="0"/>
                <w:bCs w:val="0"/>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）未被市场监督管理机关在国家企业信用信息公示系统</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（http://www.gsxt.gov.cn/）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中列入严重违法失信企业名单（须提供网络截图加盖公章）</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w:t>
            </w:r>
          </w:p>
          <w:p w14:paraId="09E53357">
            <w:pPr>
              <w:pStyle w:val="8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cs="宋体"/>
                <w:b w:val="0"/>
                <w:bCs w:val="0"/>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）供应商未被列入</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信用</w:t>
            </w:r>
            <w:r>
              <w:rPr>
                <w:rFonts w:hint="eastAsia" w:ascii="宋体" w:hAnsi="宋体" w:eastAsia="宋体" w:cs="宋体"/>
                <w:b w:val="0"/>
                <w:bCs w:val="0"/>
                <w:color w:val="000000" w:themeColor="text1"/>
                <w:spacing w:val="0"/>
                <w:w w:val="100"/>
                <w:position w:val="0"/>
                <w:sz w:val="24"/>
                <w:szCs w:val="24"/>
                <w:highlight w:val="none"/>
                <w:lang w:val="zh-CN" w:eastAsia="zh-CN" w:bidi="zh-CN"/>
                <w14:textFill>
                  <w14:solidFill>
                    <w14:schemeClr w14:val="tx1"/>
                  </w14:solidFill>
                </w14:textFill>
              </w:rPr>
              <w:t>中国”</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网站</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（www.creditchina.gov.cn）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、中国政府采购网</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（www.ccgp.gov.cn）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等渠道信用记录失信被执行人、</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重大税收违法失信主体</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、政府采购严重违法失信行为记录名单（须提供网络截图</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加盖公章</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p>
          <w:p w14:paraId="274DBA6E">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供应商须对供应商、法定代表人、拟委任的</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项目负责人</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进行行贿犯罪档案查询</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eastAsia="zh-CN"/>
                <w14:textFill>
                  <w14:solidFill>
                    <w14:schemeClr w14:val="tx1"/>
                  </w14:solidFill>
                </w14:textFill>
              </w:rPr>
              <w:t>登录中国裁判文书网自行查询，查询时间范围</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2023年5月至本项目公告发布之日</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（须提供网络截图加盖公章）</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p>
        </w:tc>
      </w:tr>
      <w:tr w14:paraId="191E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841" w:type="dxa"/>
            <w:vMerge w:val="continue"/>
            <w:vAlign w:val="center"/>
          </w:tcPr>
          <w:p w14:paraId="5EA2047C">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2173E4BF">
            <w:pPr>
              <w:spacing w:line="340" w:lineRule="exact"/>
              <w:rPr>
                <w:rFonts w:ascii="Calibri" w:hAnsi="Calibri"/>
                <w:color w:val="000000" w:themeColor="text1"/>
                <w:sz w:val="24"/>
                <w:szCs w:val="24"/>
                <w:highlight w:val="none"/>
                <w14:textFill>
                  <w14:solidFill>
                    <w14:schemeClr w14:val="tx1"/>
                  </w14:solidFill>
                </w14:textFill>
              </w:rPr>
            </w:pPr>
          </w:p>
        </w:tc>
        <w:tc>
          <w:tcPr>
            <w:tcW w:w="1912" w:type="dxa"/>
            <w:vAlign w:val="center"/>
          </w:tcPr>
          <w:p w14:paraId="4C3E2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落实政策</w:t>
            </w:r>
          </w:p>
        </w:tc>
        <w:tc>
          <w:tcPr>
            <w:tcW w:w="5383" w:type="dxa"/>
            <w:vAlign w:val="center"/>
          </w:tcPr>
          <w:p w14:paraId="3FEB18C8">
            <w:pPr>
              <w:pStyle w:val="80"/>
              <w:keepNext w:val="0"/>
              <w:keepLines w:val="0"/>
              <w:pageBreakBefore w:val="0"/>
              <w:widowControl w:val="0"/>
              <w:suppressLineNumbers w:val="0"/>
              <w:tabs>
                <w:tab w:val="left" w:pos="422"/>
              </w:tabs>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b/>
                <w:bCs/>
                <w:color w:val="auto"/>
                <w:kern w:val="2"/>
                <w:sz w:val="24"/>
                <w:szCs w:val="24"/>
                <w:highlight w:val="none"/>
                <w:lang w:val="zh-CN" w:eastAsia="zh-CN" w:bidi="zh-TW"/>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供应商应符合中小企业，请根据要求上传《中小企业声明函》，格式以采购文件要求为准。</w:t>
            </w:r>
          </w:p>
        </w:tc>
      </w:tr>
      <w:tr w14:paraId="43F8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41" w:type="dxa"/>
            <w:vMerge w:val="continue"/>
            <w:vAlign w:val="center"/>
          </w:tcPr>
          <w:p w14:paraId="2C54A24A">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0EE0A5B7">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09BCD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宋体" w:hAnsi="宋体" w:cs="Arial"/>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依法缴纳税收和社会保障资金的良好记录</w:t>
            </w:r>
          </w:p>
        </w:tc>
        <w:tc>
          <w:tcPr>
            <w:tcW w:w="5383" w:type="dxa"/>
            <w:vAlign w:val="center"/>
          </w:tcPr>
          <w:p w14:paraId="00AB8B8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80" w:lineRule="exact"/>
              <w:ind w:left="0" w:leftChars="0" w:right="0" w:rightChars="0"/>
              <w:jc w:val="both"/>
              <w:textAlignment w:val="auto"/>
              <w:rPr>
                <w:rFonts w:hint="eastAsia" w:ascii="宋体" w:hAnsi="宋体" w:cs="Arial"/>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p>
        </w:tc>
      </w:tr>
      <w:tr w14:paraId="1C9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1" w:type="dxa"/>
            <w:vMerge w:val="restart"/>
            <w:vAlign w:val="center"/>
          </w:tcPr>
          <w:p w14:paraId="769F74B8">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3</w:t>
            </w:r>
          </w:p>
        </w:tc>
        <w:tc>
          <w:tcPr>
            <w:tcW w:w="550" w:type="dxa"/>
            <w:vMerge w:val="restart"/>
            <w:vAlign w:val="center"/>
          </w:tcPr>
          <w:p w14:paraId="2792C282">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响应性评审标准</w:t>
            </w:r>
          </w:p>
        </w:tc>
        <w:tc>
          <w:tcPr>
            <w:tcW w:w="1912" w:type="dxa"/>
            <w:vAlign w:val="center"/>
          </w:tcPr>
          <w:p w14:paraId="4C4933E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磋商报价</w:t>
            </w:r>
          </w:p>
        </w:tc>
        <w:tc>
          <w:tcPr>
            <w:tcW w:w="5383" w:type="dxa"/>
            <w:vAlign w:val="center"/>
          </w:tcPr>
          <w:p w14:paraId="00D8DA09">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不得超过最高投标限价。</w:t>
            </w:r>
          </w:p>
        </w:tc>
      </w:tr>
      <w:tr w14:paraId="708B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1" w:type="dxa"/>
            <w:vMerge w:val="continue"/>
            <w:vAlign w:val="center"/>
          </w:tcPr>
          <w:p w14:paraId="391265EF">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09BE2063">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1524EDE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磋商</w:t>
            </w:r>
            <w:r>
              <w:rPr>
                <w:rFonts w:cs="Times New Roman"/>
                <w:color w:val="000000" w:themeColor="text1"/>
                <w:sz w:val="24"/>
                <w:szCs w:val="24"/>
                <w:highlight w:val="none"/>
                <w14:textFill>
                  <w14:solidFill>
                    <w14:schemeClr w14:val="tx1"/>
                  </w14:solidFill>
                </w14:textFill>
              </w:rPr>
              <w:t>内容</w:t>
            </w:r>
          </w:p>
        </w:tc>
        <w:tc>
          <w:tcPr>
            <w:tcW w:w="5383" w:type="dxa"/>
            <w:vAlign w:val="center"/>
          </w:tcPr>
          <w:p w14:paraId="19F1FD6F">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磋商</w:t>
            </w:r>
            <w:r>
              <w:rPr>
                <w:rFonts w:hint="eastAsia" w:ascii="宋体" w:hAnsi="宋体" w:cs="Times New Roman"/>
                <w:color w:val="000000" w:themeColor="text1"/>
                <w:sz w:val="24"/>
                <w:szCs w:val="24"/>
                <w:highlight w:val="none"/>
                <w14:textFill>
                  <w14:solidFill>
                    <w14:schemeClr w14:val="tx1"/>
                  </w14:solidFill>
                </w14:textFill>
              </w:rPr>
              <w:t>文件</w:t>
            </w:r>
            <w:r>
              <w:rPr>
                <w:rFonts w:hint="eastAsia" w:ascii="宋体" w:hAnsi="宋体" w:cs="Times New Roman"/>
                <w:color w:val="000000" w:themeColor="text1"/>
                <w:sz w:val="24"/>
                <w:szCs w:val="24"/>
                <w:highlight w:val="none"/>
                <w:lang w:eastAsia="zh-CN"/>
                <w14:textFill>
                  <w14:solidFill>
                    <w14:schemeClr w14:val="tx1"/>
                  </w14:solidFill>
                </w14:textFill>
              </w:rPr>
              <w:t>的要求。</w:t>
            </w:r>
          </w:p>
        </w:tc>
      </w:tr>
      <w:tr w14:paraId="5BF7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1" w:type="dxa"/>
            <w:vMerge w:val="continue"/>
            <w:vAlign w:val="center"/>
          </w:tcPr>
          <w:p w14:paraId="2379EB97">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65F6149F">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19BA9FE7">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合同履行期限</w:t>
            </w:r>
          </w:p>
        </w:tc>
        <w:tc>
          <w:tcPr>
            <w:tcW w:w="5383" w:type="dxa"/>
            <w:vAlign w:val="center"/>
          </w:tcPr>
          <w:p w14:paraId="19A061EB">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“供应商须知前附表”规定。</w:t>
            </w:r>
          </w:p>
        </w:tc>
      </w:tr>
      <w:tr w14:paraId="30F1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41" w:type="dxa"/>
            <w:vMerge w:val="continue"/>
            <w:vAlign w:val="center"/>
          </w:tcPr>
          <w:p w14:paraId="4C5F6916">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7FC6CE53">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1277DA1A">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cs="Times New Roman"/>
                <w:color w:val="000000" w:themeColor="text1"/>
                <w:sz w:val="24"/>
                <w:szCs w:val="24"/>
                <w:highlight w:val="none"/>
                <w:lang w:eastAsia="zh-CN"/>
                <w14:textFill>
                  <w14:solidFill>
                    <w14:schemeClr w14:val="tx1"/>
                  </w14:solidFill>
                </w14:textFill>
              </w:rPr>
              <w:t>质量</w:t>
            </w:r>
            <w:r>
              <w:rPr>
                <w:rFonts w:ascii="宋体" w:cs="Times New Roman"/>
                <w:color w:val="000000" w:themeColor="text1"/>
                <w:sz w:val="24"/>
                <w:szCs w:val="24"/>
                <w:highlight w:val="none"/>
                <w14:textFill>
                  <w14:solidFill>
                    <w14:schemeClr w14:val="tx1"/>
                  </w14:solidFill>
                </w14:textFill>
              </w:rPr>
              <w:t>要求</w:t>
            </w:r>
          </w:p>
        </w:tc>
        <w:tc>
          <w:tcPr>
            <w:tcW w:w="5383" w:type="dxa"/>
            <w:vAlign w:val="center"/>
          </w:tcPr>
          <w:p w14:paraId="7A3F7DA9">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“供应商须知前附表”规定。</w:t>
            </w:r>
          </w:p>
        </w:tc>
      </w:tr>
      <w:tr w14:paraId="089C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41" w:type="dxa"/>
            <w:vMerge w:val="continue"/>
            <w:vAlign w:val="center"/>
          </w:tcPr>
          <w:p w14:paraId="1F16D8E2">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606570AA">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6A07159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磋商有效期</w:t>
            </w:r>
          </w:p>
        </w:tc>
        <w:tc>
          <w:tcPr>
            <w:tcW w:w="5383" w:type="dxa"/>
            <w:vAlign w:val="center"/>
          </w:tcPr>
          <w:p w14:paraId="700431F7">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符合文件的要求</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14:textFill>
                  <w14:solidFill>
                    <w14:schemeClr w14:val="tx1"/>
                  </w14:solidFill>
                </w14:textFill>
              </w:rPr>
              <w:t>60日历天</w:t>
            </w:r>
            <w:r>
              <w:rPr>
                <w:rFonts w:hint="eastAsia" w:ascii="宋体" w:hAnsi="宋体" w:cs="Times New Roman"/>
                <w:color w:val="000000" w:themeColor="text1"/>
                <w:sz w:val="24"/>
                <w:szCs w:val="24"/>
                <w:highlight w:val="none"/>
                <w:lang w:eastAsia="zh-CN"/>
                <w14:textFill>
                  <w14:solidFill>
                    <w14:schemeClr w14:val="tx1"/>
                  </w14:solidFill>
                </w14:textFill>
              </w:rPr>
              <w:t>）。</w:t>
            </w:r>
          </w:p>
        </w:tc>
      </w:tr>
      <w:tr w14:paraId="56B9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41" w:type="dxa"/>
            <w:vMerge w:val="continue"/>
            <w:vAlign w:val="center"/>
          </w:tcPr>
          <w:p w14:paraId="7F78AFF3">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51FA1541">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51FD36A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磋商</w:t>
            </w:r>
            <w:r>
              <w:rPr>
                <w:rFonts w:cs="Times New Roman"/>
                <w:color w:val="000000" w:themeColor="text1"/>
                <w:sz w:val="24"/>
                <w:szCs w:val="24"/>
                <w:highlight w:val="none"/>
                <w14:textFill>
                  <w14:solidFill>
                    <w14:schemeClr w14:val="tx1"/>
                  </w14:solidFill>
                </w14:textFill>
              </w:rPr>
              <w:t>保证金</w:t>
            </w:r>
          </w:p>
        </w:tc>
        <w:tc>
          <w:tcPr>
            <w:tcW w:w="5383" w:type="dxa"/>
            <w:vAlign w:val="center"/>
          </w:tcPr>
          <w:p w14:paraId="3DEAC831">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按照文件要求提交</w:t>
            </w:r>
            <w:r>
              <w:rPr>
                <w:rFonts w:hint="eastAsia" w:ascii="宋体" w:hAnsi="宋体" w:cs="Arial"/>
                <w:color w:val="000000" w:themeColor="text1"/>
                <w:sz w:val="24"/>
                <w:szCs w:val="24"/>
                <w:highlight w:val="none"/>
                <w:lang w:eastAsia="zh-CN"/>
                <w14:textFill>
                  <w14:solidFill>
                    <w14:schemeClr w14:val="tx1"/>
                  </w14:solidFill>
                </w14:textFill>
              </w:rPr>
              <w:t>。</w:t>
            </w:r>
          </w:p>
        </w:tc>
      </w:tr>
      <w:tr w14:paraId="035B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41" w:type="dxa"/>
            <w:vMerge w:val="continue"/>
            <w:vAlign w:val="center"/>
          </w:tcPr>
          <w:p w14:paraId="39208B76">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550" w:type="dxa"/>
            <w:vMerge w:val="continue"/>
            <w:vAlign w:val="center"/>
          </w:tcPr>
          <w:p w14:paraId="03FC6B7D">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1912" w:type="dxa"/>
            <w:vAlign w:val="center"/>
          </w:tcPr>
          <w:p w14:paraId="6846526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项目采购需求</w:t>
            </w:r>
          </w:p>
        </w:tc>
        <w:tc>
          <w:tcPr>
            <w:tcW w:w="5383" w:type="dxa"/>
            <w:vAlign w:val="center"/>
          </w:tcPr>
          <w:p w14:paraId="15DBFCFA">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符合</w:t>
            </w:r>
            <w:r>
              <w:rPr>
                <w:rFonts w:hint="eastAsia" w:ascii="宋体" w:hAnsi="宋体" w:cs="Arial"/>
                <w:color w:val="000000" w:themeColor="text1"/>
                <w:sz w:val="24"/>
                <w:szCs w:val="24"/>
                <w:highlight w:val="none"/>
                <w:lang w:eastAsia="zh-CN"/>
                <w14:textFill>
                  <w14:solidFill>
                    <w14:schemeClr w14:val="tx1"/>
                  </w14:solidFill>
                </w14:textFill>
              </w:rPr>
              <w:t>第五章</w:t>
            </w:r>
            <w:r>
              <w:rPr>
                <w:rFonts w:hint="eastAsia" w:ascii="宋体" w:hAnsi="宋体" w:cs="Arial"/>
                <w:color w:val="000000" w:themeColor="text1"/>
                <w:sz w:val="24"/>
                <w:szCs w:val="24"/>
                <w:highlight w:val="none"/>
                <w14:textFill>
                  <w14:solidFill>
                    <w14:schemeClr w14:val="tx1"/>
                  </w14:solidFill>
                </w14:textFill>
              </w:rPr>
              <w:t>“项目采购需求”</w:t>
            </w:r>
            <w:r>
              <w:rPr>
                <w:rFonts w:hint="eastAsia" w:ascii="宋体" w:hAnsi="宋体" w:cs="Arial"/>
                <w:color w:val="000000" w:themeColor="text1"/>
                <w:sz w:val="24"/>
                <w:szCs w:val="24"/>
                <w:highlight w:val="none"/>
                <w:lang w:eastAsia="zh-CN"/>
                <w14:textFill>
                  <w14:solidFill>
                    <w14:schemeClr w14:val="tx1"/>
                  </w14:solidFill>
                </w14:textFill>
              </w:rPr>
              <w:t>中实质性内容。</w:t>
            </w:r>
          </w:p>
        </w:tc>
      </w:tr>
    </w:tbl>
    <w:p w14:paraId="168428F4">
      <w:pPr>
        <w:pStyle w:val="18"/>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注：本表中符合评审内容结论为“合格”或“不合格。结论不合格的不进入综合评审阶段。</w:t>
      </w:r>
    </w:p>
    <w:p w14:paraId="5432A461">
      <w:pPr>
        <w:pStyle w:val="18"/>
        <w:spacing w:line="360" w:lineRule="auto"/>
        <w:rPr>
          <w:rFonts w:ascii="Times New Roman" w:hAnsi="Times New Roman" w:cs="Times New Roman"/>
          <w:color w:val="000000" w:themeColor="text1"/>
          <w:sz w:val="20"/>
          <w:szCs w:val="20"/>
          <w:highlight w:val="none"/>
          <w14:textFill>
            <w14:solidFill>
              <w14:schemeClr w14:val="tx1"/>
            </w14:solidFill>
          </w14:textFill>
        </w:rPr>
      </w:pPr>
    </w:p>
    <w:p w14:paraId="39F8B416">
      <w:pPr>
        <w:pStyle w:val="26"/>
        <w:spacing w:line="360" w:lineRule="auto"/>
        <w:ind w:firstLine="480" w:firstLineChars="200"/>
        <w:rPr>
          <w:color w:val="000000" w:themeColor="text1"/>
          <w:sz w:val="24"/>
          <w:szCs w:val="24"/>
          <w:highlight w:val="none"/>
          <w14:textFill>
            <w14:solidFill>
              <w14:schemeClr w14:val="tx1"/>
            </w14:solidFill>
          </w14:textFill>
        </w:rPr>
        <w:sectPr>
          <w:footerReference r:id="rId9" w:type="default"/>
          <w:pgSz w:w="11905" w:h="16838"/>
          <w:pgMar w:top="1440" w:right="1633" w:bottom="1440" w:left="1633" w:header="1140" w:footer="720" w:gutter="0"/>
          <w:cols w:space="0" w:num="1"/>
          <w:docGrid w:type="lines" w:linePitch="317" w:charSpace="0"/>
        </w:sectPr>
      </w:pPr>
    </w:p>
    <w:p w14:paraId="3C13F51D">
      <w:pPr>
        <w:pStyle w:val="18"/>
        <w:spacing w:line="360" w:lineRule="auto"/>
        <w:jc w:val="center"/>
        <w:outlineLvl w:val="1"/>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30"/>
          <w:szCs w:val="30"/>
          <w:highlight w:val="none"/>
          <w:lang w:eastAsia="zh-CN"/>
          <w14:textFill>
            <w14:solidFill>
              <w14:schemeClr w14:val="tx1"/>
            </w14:solidFill>
          </w14:textFill>
        </w:rPr>
        <w:t>二、</w:t>
      </w:r>
      <w:r>
        <w:rPr>
          <w:rFonts w:hint="eastAsia" w:ascii="Times New Roman" w:hAnsi="Times New Roman"/>
          <w:b/>
          <w:bCs/>
          <w:color w:val="000000" w:themeColor="text1"/>
          <w:sz w:val="30"/>
          <w:szCs w:val="30"/>
          <w:highlight w:val="none"/>
          <w14:textFill>
            <w14:solidFill>
              <w14:schemeClr w14:val="tx1"/>
            </w14:solidFill>
          </w14:textFill>
        </w:rPr>
        <w:t>综合评分法</w:t>
      </w:r>
    </w:p>
    <w:tbl>
      <w:tblPr>
        <w:tblStyle w:val="34"/>
        <w:tblpPr w:leftFromText="180" w:rightFromText="180" w:vertAnchor="text" w:horzAnchor="page" w:tblpX="1754" w:tblpY="85"/>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8"/>
        <w:gridCol w:w="5052"/>
      </w:tblGrid>
      <w:tr w14:paraId="406D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3588" w:type="dxa"/>
            <w:noWrap/>
            <w:vAlign w:val="center"/>
          </w:tcPr>
          <w:p w14:paraId="638564B2">
            <w:pPr>
              <w:widowControl/>
              <w:adjustRightInd w:val="0"/>
              <w:snapToGrid w:val="0"/>
              <w:spacing w:line="30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评审因素</w:t>
            </w:r>
          </w:p>
        </w:tc>
        <w:tc>
          <w:tcPr>
            <w:tcW w:w="5052" w:type="dxa"/>
            <w:noWrap/>
            <w:vAlign w:val="center"/>
          </w:tcPr>
          <w:p w14:paraId="16F8D060">
            <w:pPr>
              <w:widowControl/>
              <w:adjustRightInd w:val="0"/>
              <w:snapToGrid w:val="0"/>
              <w:spacing w:line="30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评审标准</w:t>
            </w:r>
          </w:p>
        </w:tc>
      </w:tr>
      <w:tr w14:paraId="0738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3588" w:type="dxa"/>
            <w:noWrap/>
            <w:vAlign w:val="center"/>
          </w:tcPr>
          <w:p w14:paraId="63F5C790">
            <w:pPr>
              <w:widowControl/>
              <w:adjustRightInd w:val="0"/>
              <w:snapToGrid w:val="0"/>
              <w:spacing w:line="30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w:t>
            </w:r>
          </w:p>
        </w:tc>
        <w:tc>
          <w:tcPr>
            <w:tcW w:w="5052" w:type="dxa"/>
            <w:noWrap/>
            <w:vAlign w:val="center"/>
          </w:tcPr>
          <w:p w14:paraId="0536FB63">
            <w:pPr>
              <w:widowControl/>
              <w:adjustRightInd w:val="0"/>
              <w:snapToGrid w:val="0"/>
              <w:spacing w:line="300" w:lineRule="exact"/>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综合评分法</w:t>
            </w:r>
          </w:p>
        </w:tc>
      </w:tr>
      <w:tr w14:paraId="388C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588" w:type="dxa"/>
            <w:vMerge w:val="restart"/>
            <w:noWrap/>
            <w:vAlign w:val="center"/>
          </w:tcPr>
          <w:p w14:paraId="52FD8ED7">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综合评分法的分值构成</w:t>
            </w:r>
          </w:p>
          <w:p w14:paraId="4A95CE7A">
            <w:pPr>
              <w:widowControl/>
              <w:adjustRightInd w:val="0"/>
              <w:snapToGrid w:val="0"/>
              <w:spacing w:line="30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总分</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分</w:t>
            </w:r>
          </w:p>
        </w:tc>
        <w:tc>
          <w:tcPr>
            <w:tcW w:w="5052" w:type="dxa"/>
            <w:noWrap/>
            <w:vAlign w:val="center"/>
          </w:tcPr>
          <w:p w14:paraId="5F297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报价部分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D5F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588" w:type="dxa"/>
            <w:vMerge w:val="continue"/>
            <w:noWrap/>
            <w:vAlign w:val="center"/>
          </w:tcPr>
          <w:p w14:paraId="2A373EBB">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p>
        </w:tc>
        <w:tc>
          <w:tcPr>
            <w:tcW w:w="5052" w:type="dxa"/>
            <w:noWrap/>
            <w:vAlign w:val="center"/>
          </w:tcPr>
          <w:p w14:paraId="24CF75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ascii="宋体" w:hAnsi="Calibri"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商务部分：</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BA7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3588" w:type="dxa"/>
            <w:vMerge w:val="continue"/>
            <w:noWrap/>
            <w:vAlign w:val="center"/>
          </w:tcPr>
          <w:p w14:paraId="7478DE4B">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p>
        </w:tc>
        <w:tc>
          <w:tcPr>
            <w:tcW w:w="5052" w:type="dxa"/>
            <w:noWrap/>
            <w:vAlign w:val="center"/>
          </w:tcPr>
          <w:p w14:paraId="3B832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w:t>
            </w:r>
            <w:r>
              <w:rPr>
                <w:rFonts w:hint="eastAsia" w:ascii="宋体" w:hAnsi="宋体" w:cs="宋体"/>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sz w:val="24"/>
                <w:szCs w:val="24"/>
                <w:highlight w:val="none"/>
                <w14:textFill>
                  <w14:solidFill>
                    <w14:schemeClr w14:val="tx1"/>
                  </w14:solidFill>
                </w14:textFill>
              </w:rPr>
              <w:t>分</w:t>
            </w:r>
          </w:p>
        </w:tc>
      </w:tr>
    </w:tbl>
    <w:p w14:paraId="6705FB9E">
      <w:pPr>
        <w:jc w:val="left"/>
        <w:rPr>
          <w:color w:val="000000" w:themeColor="text1"/>
          <w:sz w:val="24"/>
          <w:szCs w:val="24"/>
          <w:highlight w:val="none"/>
          <w14:textFill>
            <w14:solidFill>
              <w14:schemeClr w14:val="tx1"/>
            </w14:solidFill>
          </w14:textFill>
        </w:rPr>
      </w:pPr>
      <w:bookmarkStart w:id="129" w:name="_Toc8017"/>
    </w:p>
    <w:p w14:paraId="54A55E2F">
      <w:pPr>
        <w:jc w:val="left"/>
        <w:rPr>
          <w:rFonts w:ascii="宋体" w:hAnsi="宋体"/>
          <w:b/>
          <w:bCs/>
          <w:color w:val="000000" w:themeColor="text1"/>
          <w:highlight w:val="none"/>
          <w14:textFill>
            <w14:solidFill>
              <w14:schemeClr w14:val="tx1"/>
            </w14:solidFill>
          </w14:textFill>
        </w:rPr>
      </w:pPr>
      <w:bookmarkStart w:id="130" w:name="_Toc7848"/>
      <w:r>
        <w:rPr>
          <w:rFonts w:hint="eastAsia"/>
          <w:b/>
          <w:bCs/>
          <w:color w:val="000000" w:themeColor="text1"/>
          <w:sz w:val="24"/>
          <w:szCs w:val="24"/>
          <w:highlight w:val="none"/>
          <w14:textFill>
            <w14:solidFill>
              <w14:schemeClr w14:val="tx1"/>
            </w14:solidFill>
          </w14:textFill>
        </w:rPr>
        <w:t>评审因素见下表：</w:t>
      </w:r>
      <w:bookmarkEnd w:id="129"/>
      <w:bookmarkEnd w:id="130"/>
    </w:p>
    <w:tbl>
      <w:tblPr>
        <w:tblStyle w:val="34"/>
        <w:tblW w:w="4888" w:type="pct"/>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48"/>
        <w:gridCol w:w="1692"/>
        <w:gridCol w:w="5093"/>
      </w:tblGrid>
      <w:tr w14:paraId="2FC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1" w:type="pct"/>
            <w:gridSpan w:val="2"/>
            <w:noWrap w:val="0"/>
            <w:vAlign w:val="center"/>
          </w:tcPr>
          <w:p w14:paraId="2A1C817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评分指标</w:t>
            </w:r>
          </w:p>
        </w:tc>
        <w:tc>
          <w:tcPr>
            <w:tcW w:w="977" w:type="pct"/>
            <w:noWrap w:val="0"/>
            <w:vAlign w:val="center"/>
          </w:tcPr>
          <w:p w14:paraId="24E036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评分内容</w:t>
            </w:r>
          </w:p>
        </w:tc>
        <w:tc>
          <w:tcPr>
            <w:tcW w:w="2941" w:type="pct"/>
            <w:noWrap w:val="0"/>
            <w:vAlign w:val="center"/>
          </w:tcPr>
          <w:p w14:paraId="45DD8C4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r>
      <w:tr w14:paraId="40E6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60" w:type="pct"/>
            <w:noWrap w:val="0"/>
            <w:vAlign w:val="center"/>
          </w:tcPr>
          <w:p w14:paraId="4319F9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w:t>
            </w:r>
          </w:p>
        </w:tc>
        <w:tc>
          <w:tcPr>
            <w:tcW w:w="720" w:type="pct"/>
            <w:noWrap w:val="0"/>
            <w:vAlign w:val="center"/>
          </w:tcPr>
          <w:p w14:paraId="347B7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报价</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77" w:type="pct"/>
            <w:noWrap w:val="0"/>
            <w:vAlign w:val="center"/>
          </w:tcPr>
          <w:p w14:paraId="591A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报价</w:t>
            </w:r>
          </w:p>
          <w:p w14:paraId="059BD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30分</w:t>
            </w:r>
          </w:p>
        </w:tc>
        <w:tc>
          <w:tcPr>
            <w:tcW w:w="2941" w:type="pct"/>
            <w:noWrap w:val="0"/>
            <w:vAlign w:val="center"/>
          </w:tcPr>
          <w:p w14:paraId="0E3B5191">
            <w:pPr>
              <w:pStyle w:val="33"/>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以满足磋商文件要求且有效投标价格的最低的投标报价为评标基准价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的价格分按以下公式计算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价格分=（评分基准价/评标价）×</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，精确到小数点后两位。</w:t>
            </w:r>
          </w:p>
        </w:tc>
      </w:tr>
      <w:tr w14:paraId="1C0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60" w:type="pct"/>
            <w:vMerge w:val="restart"/>
            <w:noWrap w:val="0"/>
            <w:vAlign w:val="center"/>
          </w:tcPr>
          <w:p w14:paraId="1EC1041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2</w:t>
            </w:r>
          </w:p>
        </w:tc>
        <w:tc>
          <w:tcPr>
            <w:tcW w:w="720" w:type="pct"/>
            <w:vMerge w:val="restart"/>
            <w:noWrap w:val="0"/>
            <w:vAlign w:val="center"/>
          </w:tcPr>
          <w:p w14:paraId="6061B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商务</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77" w:type="pct"/>
            <w:noWrap w:val="0"/>
            <w:vAlign w:val="center"/>
          </w:tcPr>
          <w:p w14:paraId="70750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eastAsia="zh-CN"/>
              </w:rPr>
              <w:t>供应商类似项目</w:t>
            </w: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val="en-US" w:eastAsia="zh-CN"/>
              </w:rPr>
              <w:t>6分</w:t>
            </w:r>
          </w:p>
        </w:tc>
        <w:tc>
          <w:tcPr>
            <w:tcW w:w="2941" w:type="pct"/>
            <w:noWrap w:val="0"/>
            <w:vAlign w:val="center"/>
          </w:tcPr>
          <w:p w14:paraId="0D856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eastAsia="zh-CN"/>
              </w:rPr>
              <w:t>供应商近年（</w:t>
            </w:r>
            <w:r>
              <w:rPr>
                <w:rFonts w:hint="eastAsia" w:ascii="宋体" w:hAnsi="宋体" w:cs="宋体"/>
                <w:color w:val="auto"/>
                <w:sz w:val="24"/>
                <w:szCs w:val="24"/>
                <w:highlight w:val="none"/>
                <w:lang w:val="en-US" w:eastAsia="zh-CN"/>
              </w:rPr>
              <w:t>2023年5月至本项目公告发布之日</w:t>
            </w:r>
            <w:r>
              <w:rPr>
                <w:rFonts w:hint="eastAsia" w:ascii="宋体" w:hAnsi="宋体" w:cs="宋体"/>
                <w:color w:val="auto"/>
                <w:sz w:val="24"/>
                <w:szCs w:val="24"/>
                <w:highlight w:val="none"/>
                <w:lang w:eastAsia="zh-CN"/>
              </w:rPr>
              <w:t>）完成的类似项目，</w:t>
            </w:r>
            <w:r>
              <w:rPr>
                <w:rFonts w:hint="eastAsia" w:ascii="宋体" w:hAnsi="宋体" w:cs="宋体"/>
                <w:b/>
                <w:bCs/>
                <w:color w:val="auto"/>
                <w:sz w:val="24"/>
                <w:szCs w:val="24"/>
                <w:highlight w:val="none"/>
                <w:lang w:eastAsia="zh-CN"/>
              </w:rPr>
              <w:t>每提供一项业绩得</w:t>
            </w:r>
            <w:r>
              <w:rPr>
                <w:rFonts w:hint="eastAsia" w:ascii="宋体" w:hAnsi="宋体" w:cs="宋体"/>
                <w:b/>
                <w:bCs/>
                <w:color w:val="auto"/>
                <w:sz w:val="24"/>
                <w:szCs w:val="24"/>
                <w:highlight w:val="none"/>
                <w:lang w:val="en-US" w:eastAsia="zh-CN"/>
              </w:rPr>
              <w:t>2分，最多得6分，没有则不得分（提供中标通知书或合同协议书等有效证明材料复印件）。</w:t>
            </w:r>
          </w:p>
        </w:tc>
      </w:tr>
      <w:tr w14:paraId="3509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60" w:type="pct"/>
            <w:vMerge w:val="continue"/>
            <w:noWrap w:val="0"/>
            <w:vAlign w:val="center"/>
          </w:tcPr>
          <w:p w14:paraId="6BE8B6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6D0CC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39893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企业实力</w:t>
            </w:r>
          </w:p>
          <w:p w14:paraId="25F97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8分</w:t>
            </w:r>
          </w:p>
        </w:tc>
        <w:tc>
          <w:tcPr>
            <w:tcW w:w="2941" w:type="pct"/>
            <w:noWrap w:val="0"/>
            <w:vAlign w:val="center"/>
          </w:tcPr>
          <w:p w14:paraId="18EA9FA1">
            <w:pPr>
              <w:pStyle w:val="9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w:t>
            </w:r>
            <w:r>
              <w:rPr>
                <w:rFonts w:hint="eastAsia" w:ascii="宋体" w:hAnsi="宋体" w:eastAsia="宋体" w:cs="宋体"/>
                <w:sz w:val="24"/>
                <w:szCs w:val="24"/>
                <w:highlight w:val="none"/>
                <w:lang w:val="en-US" w:eastAsia="zh-CN"/>
              </w:rPr>
              <w:t>所属专业餐饮配送车辆数，</w:t>
            </w:r>
            <w:r>
              <w:rPr>
                <w:rFonts w:hint="eastAsia" w:ascii="宋体" w:hAnsi="宋体" w:eastAsia="宋体" w:cs="宋体"/>
                <w:b/>
                <w:bCs/>
                <w:sz w:val="24"/>
                <w:szCs w:val="24"/>
                <w:highlight w:val="none"/>
                <w:lang w:val="en-US" w:eastAsia="zh-CN"/>
              </w:rPr>
              <w:t>2台（含）以上得3分</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3台（含）以上得5分，</w:t>
            </w:r>
            <w:r>
              <w:rPr>
                <w:rFonts w:hint="eastAsia" w:ascii="宋体" w:hAnsi="宋体" w:eastAsia="宋体" w:cs="宋体"/>
                <w:sz w:val="24"/>
                <w:szCs w:val="24"/>
                <w:highlight w:val="none"/>
                <w:lang w:val="en-US" w:eastAsia="zh-CN"/>
              </w:rPr>
              <w:t>（需提供车辆照片、行驶证复印件加盖公章，车辆所有人可为供应商、供应商法人或股东或提供企业租赁合同，股东需提供股权证明、车辆照片，不提供不得分）。</w:t>
            </w:r>
          </w:p>
          <w:p w14:paraId="71365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sz w:val="24"/>
                <w:szCs w:val="24"/>
                <w:highlight w:val="none"/>
                <w:lang w:val="zh-CN" w:eastAsia="zh-CN"/>
              </w:rPr>
              <w:t>具备经营场所，有办公室、储存仓库基础上</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完备且独立的</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食品预包装或加工车间</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的得1</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分、</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有</w:t>
            </w:r>
            <w:r>
              <w:rPr>
                <w:rFonts w:hint="eastAsia" w:ascii="宋体" w:hAnsi="宋体" w:eastAsia="宋体" w:cs="宋体"/>
                <w:b/>
                <w:bCs/>
                <w:sz w:val="24"/>
                <w:szCs w:val="24"/>
                <w:highlight w:val="none"/>
                <w:lang w:val="zh-CN" w:eastAsia="zh-CN"/>
              </w:rPr>
              <w:t>食品安全检测室</w:t>
            </w:r>
            <w:r>
              <w:rPr>
                <w:rFonts w:hint="eastAsia" w:ascii="宋体" w:hAnsi="宋体" w:cs="宋体"/>
                <w:b/>
                <w:bCs/>
                <w:sz w:val="24"/>
                <w:szCs w:val="24"/>
                <w:highlight w:val="none"/>
                <w:lang w:val="zh-CN" w:eastAsia="zh-CN"/>
              </w:rPr>
              <w:t>的得</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分</w:t>
            </w:r>
            <w:r>
              <w:rPr>
                <w:rFonts w:hint="eastAsia" w:ascii="宋体" w:hAnsi="宋体" w:eastAsia="宋体" w:cs="宋体"/>
                <w:b/>
                <w:bCs/>
                <w:sz w:val="24"/>
                <w:szCs w:val="24"/>
                <w:highlight w:val="none"/>
                <w:lang w:val="zh-CN" w:eastAsia="zh-CN"/>
              </w:rPr>
              <w:t>、</w:t>
            </w:r>
            <w:r>
              <w:rPr>
                <w:rFonts w:hint="eastAsia" w:ascii="宋体" w:hAnsi="宋体" w:cs="宋体"/>
                <w:b/>
                <w:bCs/>
                <w:sz w:val="24"/>
                <w:szCs w:val="24"/>
                <w:highlight w:val="none"/>
                <w:lang w:val="zh-CN" w:eastAsia="zh-CN"/>
              </w:rPr>
              <w:t>有</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分拣车间</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的得</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1分、没有</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得</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0分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（提供自有房产证或租赁合同原件</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的扫描</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件及相关现场彩色照片，证明材料加盖</w:t>
            </w:r>
            <w:r>
              <w:rPr>
                <w:rFonts w:hint="eastAsia" w:ascii="宋体" w:hAnsi="宋体" w:cs="宋体"/>
                <w:b w:val="0"/>
                <w:bCs w:val="0"/>
                <w:sz w:val="24"/>
                <w:szCs w:val="24"/>
                <w:highlight w:val="none"/>
                <w:lang w:val="en-US" w:eastAsia="zh-CN"/>
              </w:rPr>
              <w:t>电子公</w:t>
            </w:r>
            <w:r>
              <w:rPr>
                <w:rFonts w:hint="eastAsia" w:ascii="宋体" w:hAnsi="宋体" w:eastAsia="宋体" w:cs="宋体"/>
                <w:b w:val="0"/>
                <w:bCs w:val="0"/>
                <w:sz w:val="24"/>
                <w:szCs w:val="24"/>
                <w:highlight w:val="none"/>
                <w:lang w:val="en-US" w:eastAsia="zh-CN"/>
              </w:rPr>
              <w:t>章</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p>
        </w:tc>
      </w:tr>
      <w:tr w14:paraId="446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60" w:type="pct"/>
            <w:vMerge w:val="continue"/>
            <w:noWrap w:val="0"/>
            <w:vAlign w:val="center"/>
          </w:tcPr>
          <w:p w14:paraId="390B872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1D003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1692" w:type="dxa"/>
            <w:noWrap w:val="0"/>
            <w:vAlign w:val="center"/>
          </w:tcPr>
          <w:p w14:paraId="051BF1C0">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人员配备</w:t>
            </w:r>
          </w:p>
          <w:p w14:paraId="59901A58">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6分</w:t>
            </w:r>
          </w:p>
        </w:tc>
        <w:tc>
          <w:tcPr>
            <w:tcW w:w="5093" w:type="dxa"/>
            <w:noWrap w:val="0"/>
            <w:vAlign w:val="center"/>
          </w:tcPr>
          <w:p w14:paraId="657D80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color w:val="auto"/>
                <w:sz w:val="24"/>
                <w:szCs w:val="24"/>
                <w:highlight w:val="none"/>
                <w:lang w:eastAsia="zh-CN"/>
              </w:rPr>
              <w:t>根据投标人提供的人员配备进行综合对比，人员力量充足，团队经验丰富，各专业有固定的人员，内部管理严密</w:t>
            </w:r>
            <w:r>
              <w:rPr>
                <w:rFonts w:hint="eastAsia" w:ascii="宋体" w:hAnsi="宋体" w:cs="宋体"/>
                <w:b/>
                <w:bCs/>
                <w:color w:val="auto"/>
                <w:sz w:val="24"/>
                <w:szCs w:val="24"/>
                <w:highlight w:val="none"/>
                <w:lang w:eastAsia="zh-CN"/>
              </w:rPr>
              <w:t>优秀得</w:t>
            </w:r>
            <w:r>
              <w:rPr>
                <w:rFonts w:hint="eastAsia" w:ascii="宋体" w:hAnsi="宋体" w:cs="宋体"/>
                <w:b/>
                <w:bCs/>
                <w:color w:val="auto"/>
                <w:sz w:val="24"/>
                <w:szCs w:val="24"/>
                <w:highlight w:val="none"/>
                <w:lang w:val="en-US" w:eastAsia="zh-CN"/>
              </w:rPr>
              <w:t>6-4.1分，良好得4-2.1分，一般得2-0.1分，没有不得分；</w:t>
            </w:r>
            <w:r>
              <w:rPr>
                <w:rFonts w:hint="eastAsia" w:ascii="宋体" w:hAnsi="宋体" w:cs="宋体"/>
                <w:b/>
                <w:bCs/>
                <w:color w:val="000000" w:themeColor="text1"/>
                <w:sz w:val="24"/>
                <w:szCs w:val="24"/>
                <w:highlight w:val="none"/>
                <w:lang w:eastAsia="zh-CN"/>
                <w14:textFill>
                  <w14:solidFill>
                    <w14:schemeClr w14:val="tx1"/>
                  </w14:solidFill>
                </w14:textFill>
              </w:rPr>
              <w:t>提供人员健康证及投标截止日期前六个月内任意一个月的社保缴纳证明复印件加盖公章。</w:t>
            </w:r>
          </w:p>
        </w:tc>
      </w:tr>
      <w:tr w14:paraId="1182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60" w:type="pct"/>
            <w:vMerge w:val="continue"/>
            <w:noWrap w:val="0"/>
            <w:vAlign w:val="center"/>
          </w:tcPr>
          <w:p w14:paraId="333576A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595A5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0E7BFA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优惠条件</w:t>
            </w:r>
          </w:p>
          <w:p w14:paraId="153A56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5分</w:t>
            </w:r>
          </w:p>
        </w:tc>
        <w:tc>
          <w:tcPr>
            <w:tcW w:w="2941" w:type="pct"/>
            <w:noWrap w:val="0"/>
            <w:vAlign w:val="center"/>
          </w:tcPr>
          <w:p w14:paraId="6895D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 w:val="24"/>
                <w:szCs w:val="24"/>
                <w:highlight w:val="none"/>
                <w:lang w:eastAsia="zh-CN"/>
              </w:rPr>
            </w:pPr>
            <w:r>
              <w:rPr>
                <w:rFonts w:hint="eastAsia" w:ascii="宋体" w:hAnsi="宋体" w:eastAsia="宋体" w:cs="宋体"/>
                <w:bCs/>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提出的优惠条件及其可实现程度</w:t>
            </w:r>
            <w:r>
              <w:rPr>
                <w:rFonts w:hint="eastAsia" w:ascii="宋体" w:hAnsi="宋体" w:eastAsia="宋体" w:cs="宋体"/>
                <w:bCs/>
                <w:color w:val="000000" w:themeColor="text1"/>
                <w:sz w:val="24"/>
                <w:szCs w:val="24"/>
                <w:highlight w:val="none"/>
                <w:lang w:eastAsia="zh-CN"/>
                <w14:textFill>
                  <w14:solidFill>
                    <w14:schemeClr w14:val="tx1"/>
                  </w14:solidFill>
                </w14:textFill>
              </w:rPr>
              <w:t>，并</w:t>
            </w:r>
            <w:r>
              <w:rPr>
                <w:rFonts w:hint="eastAsia" w:ascii="宋体" w:hAnsi="宋体" w:eastAsia="宋体" w:cs="宋体"/>
                <w:bCs/>
                <w:color w:val="000000" w:themeColor="text1"/>
                <w:sz w:val="24"/>
                <w:szCs w:val="24"/>
                <w:highlight w:val="none"/>
                <w14:textFill>
                  <w14:solidFill>
                    <w14:schemeClr w14:val="tx1"/>
                  </w14:solidFill>
                </w14:textFill>
              </w:rPr>
              <w:t>针对本</w:t>
            </w:r>
            <w:r>
              <w:rPr>
                <w:rFonts w:hint="eastAsia" w:ascii="宋体" w:hAnsi="宋体" w:eastAsia="宋体" w:cs="宋体"/>
                <w:bCs/>
                <w:color w:val="000000" w:themeColor="text1"/>
                <w:sz w:val="24"/>
                <w:szCs w:val="24"/>
                <w:highlight w:val="none"/>
                <w:lang w:eastAsia="zh-CN"/>
                <w14:textFill>
                  <w14:solidFill>
                    <w14:schemeClr w14:val="tx1"/>
                  </w14:solidFill>
                </w14:textFill>
              </w:rPr>
              <w:t>项目的</w:t>
            </w:r>
            <w:r>
              <w:rPr>
                <w:rFonts w:hint="eastAsia" w:ascii="宋体" w:hAnsi="宋体" w:eastAsia="宋体" w:cs="宋体"/>
                <w:bCs/>
                <w:color w:val="000000" w:themeColor="text1"/>
                <w:sz w:val="24"/>
                <w:szCs w:val="24"/>
                <w:highlight w:val="none"/>
                <w14:textFill>
                  <w14:solidFill>
                    <w14:schemeClr w14:val="tx1"/>
                  </w14:solidFill>
                </w14:textFill>
              </w:rPr>
              <w:t>其他特殊优惠承诺等情况进行综合</w:t>
            </w:r>
            <w:r>
              <w:rPr>
                <w:rFonts w:hint="eastAsia" w:ascii="宋体" w:hAnsi="宋体" w:eastAsia="宋体" w:cs="宋体"/>
                <w:bCs/>
                <w:color w:val="000000" w:themeColor="text1"/>
                <w:sz w:val="24"/>
                <w:szCs w:val="24"/>
                <w:highlight w:val="none"/>
                <w:lang w:eastAsia="zh-CN"/>
                <w14:textFill>
                  <w14:solidFill>
                    <w14:schemeClr w14:val="tx1"/>
                  </w14:solidFill>
                </w14:textFill>
              </w:rPr>
              <w:t>评审</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每条实质性</w:t>
            </w:r>
            <w:r>
              <w:rPr>
                <w:rFonts w:hint="eastAsia" w:ascii="宋体" w:hAnsi="宋体" w:eastAsia="宋体" w:cs="宋体"/>
                <w:b/>
                <w:bCs/>
                <w:color w:val="000000" w:themeColor="text1"/>
                <w:spacing w:val="-5"/>
                <w:sz w:val="24"/>
                <w:szCs w:val="24"/>
                <w:highlight w:val="none"/>
                <w14:textFill>
                  <w14:solidFill>
                    <w14:schemeClr w14:val="tx1"/>
                  </w14:solidFill>
                </w14:textFill>
              </w:rPr>
              <w:t>优惠条件</w:t>
            </w:r>
            <w:r>
              <w:rPr>
                <w:rFonts w:hint="eastAsia" w:ascii="宋体" w:hAnsi="宋体" w:eastAsia="宋体" w:cs="宋体"/>
                <w:b/>
                <w:bCs/>
                <w:color w:val="000000" w:themeColor="text1"/>
                <w:sz w:val="24"/>
                <w:szCs w:val="24"/>
                <w:highlight w:val="none"/>
                <w:lang w:eastAsia="zh-CN"/>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14:textFill>
                  <w14:solidFill>
                    <w14:schemeClr w14:val="tx1"/>
                  </w14:solidFill>
                </w14:textFill>
              </w:rPr>
              <w:t>分，</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最高</w:t>
            </w:r>
            <w:r>
              <w:rPr>
                <w:rFonts w:hint="eastAsia" w:ascii="宋体" w:hAnsi="宋体" w:eastAsia="宋体" w:cs="宋体"/>
                <w:b/>
                <w:bCs w:val="0"/>
                <w:color w:val="000000" w:themeColor="text1"/>
                <w:sz w:val="24"/>
                <w:szCs w:val="24"/>
                <w:highlight w:val="none"/>
                <w14:textFill>
                  <w14:solidFill>
                    <w14:schemeClr w14:val="tx1"/>
                  </w14:solidFill>
                </w14:textFill>
              </w:rPr>
              <w:t>得</w:t>
            </w:r>
            <w:r>
              <w:rPr>
                <w:rFonts w:hint="eastAsia" w:ascii="宋体" w:hAnsi="宋体" w:cs="宋体"/>
                <w:b/>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val="0"/>
                <w:color w:val="000000" w:themeColor="text1"/>
                <w:sz w:val="24"/>
                <w:szCs w:val="24"/>
                <w:highlight w:val="none"/>
                <w14:textFill>
                  <w14:solidFill>
                    <w14:schemeClr w14:val="tx1"/>
                  </w14:solidFill>
                </w14:textFill>
              </w:rPr>
              <w:t>分，无此项内容不得分。</w:t>
            </w:r>
          </w:p>
        </w:tc>
      </w:tr>
      <w:tr w14:paraId="7EDE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60" w:type="pct"/>
            <w:vMerge w:val="continue"/>
            <w:noWrap w:val="0"/>
            <w:vAlign w:val="center"/>
          </w:tcPr>
          <w:p w14:paraId="68F76D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6231A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58F7C9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服务承诺</w:t>
            </w:r>
          </w:p>
          <w:p w14:paraId="03AFF8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5分</w:t>
            </w:r>
          </w:p>
        </w:tc>
        <w:tc>
          <w:tcPr>
            <w:tcW w:w="2941" w:type="pct"/>
            <w:noWrap w:val="0"/>
            <w:vAlign w:val="center"/>
          </w:tcPr>
          <w:p w14:paraId="0C36A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 w:val="24"/>
                <w:szCs w:val="24"/>
                <w:highlight w:val="none"/>
                <w:lang w:eastAsia="zh-CN"/>
              </w:rPr>
            </w:pPr>
            <w:r>
              <w:rPr>
                <w:rFonts w:hint="eastAsia" w:ascii="宋体" w:hAnsi="宋体" w:eastAsia="宋体" w:cs="宋体"/>
                <w:bCs/>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提出的</w:t>
            </w:r>
            <w:r>
              <w:rPr>
                <w:rFonts w:hint="eastAsia" w:ascii="宋体" w:hAnsi="宋体" w:eastAsia="宋体" w:cs="宋体"/>
                <w:color w:val="000000" w:themeColor="text1"/>
                <w:kern w:val="0"/>
                <w:sz w:val="24"/>
                <w:szCs w:val="24"/>
                <w:highlight w:val="none"/>
                <w14:textFill>
                  <w14:solidFill>
                    <w14:schemeClr w14:val="tx1"/>
                  </w14:solidFill>
                </w14:textFill>
              </w:rPr>
              <w:t>服务承诺</w:t>
            </w:r>
            <w:r>
              <w:rPr>
                <w:rFonts w:hint="eastAsia" w:ascii="宋体" w:hAnsi="宋体" w:eastAsia="宋体" w:cs="宋体"/>
                <w:bCs/>
                <w:color w:val="000000" w:themeColor="text1"/>
                <w:sz w:val="24"/>
                <w:szCs w:val="24"/>
                <w:highlight w:val="none"/>
                <w14:textFill>
                  <w14:solidFill>
                    <w14:schemeClr w14:val="tx1"/>
                  </w14:solidFill>
                </w14:textFill>
              </w:rPr>
              <w:t>及其可实现程度进行综合</w:t>
            </w:r>
            <w:r>
              <w:rPr>
                <w:rFonts w:hint="eastAsia" w:ascii="宋体" w:hAnsi="宋体" w:eastAsia="宋体" w:cs="宋体"/>
                <w:bCs/>
                <w:color w:val="000000" w:themeColor="text1"/>
                <w:sz w:val="24"/>
                <w:szCs w:val="24"/>
                <w:highlight w:val="none"/>
                <w:lang w:eastAsia="zh-CN"/>
                <w14:textFill>
                  <w14:solidFill>
                    <w14:schemeClr w14:val="tx1"/>
                  </w14:solidFill>
                </w14:textFill>
              </w:rPr>
              <w:t>评审</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优得</w:t>
            </w:r>
            <w:r>
              <w:rPr>
                <w:rFonts w:hint="eastAsia" w:ascii="宋体" w:hAnsi="宋体" w:cs="宋体"/>
                <w:b/>
                <w:bCs w:val="0"/>
                <w:color w:val="000000" w:themeColor="text1"/>
                <w:sz w:val="24"/>
                <w:szCs w:val="24"/>
                <w:highlight w:val="none"/>
                <w:lang w:val="en-US" w:eastAsia="zh-CN"/>
                <w14:textFill>
                  <w14:solidFill>
                    <w14:schemeClr w14:val="tx1"/>
                  </w14:solidFill>
                </w14:textFill>
              </w:rPr>
              <w:t>5-3.1</w:t>
            </w:r>
            <w:r>
              <w:rPr>
                <w:rFonts w:hint="eastAsia" w:ascii="宋体" w:hAnsi="宋体" w:eastAsia="宋体" w:cs="宋体"/>
                <w:b/>
                <w:bCs w:val="0"/>
                <w:color w:val="000000" w:themeColor="text1"/>
                <w:sz w:val="24"/>
                <w:szCs w:val="24"/>
                <w:highlight w:val="none"/>
                <w14:textFill>
                  <w14:solidFill>
                    <w14:schemeClr w14:val="tx1"/>
                  </w14:solidFill>
                </w14:textFill>
              </w:rPr>
              <w:t>分，良得</w:t>
            </w:r>
            <w:r>
              <w:rPr>
                <w:rFonts w:hint="eastAsia" w:ascii="宋体" w:hAnsi="宋体" w:cs="宋体"/>
                <w:b/>
                <w:bCs w:val="0"/>
                <w:color w:val="000000" w:themeColor="text1"/>
                <w:sz w:val="24"/>
                <w:szCs w:val="24"/>
                <w:highlight w:val="none"/>
                <w:lang w:val="en-US" w:eastAsia="zh-CN"/>
                <w14:textFill>
                  <w14:solidFill>
                    <w14:schemeClr w14:val="tx1"/>
                  </w14:solidFill>
                </w14:textFill>
              </w:rPr>
              <w:t>3-1.1</w:t>
            </w:r>
            <w:r>
              <w:rPr>
                <w:rFonts w:hint="eastAsia" w:ascii="宋体" w:hAnsi="宋体" w:eastAsia="宋体" w:cs="宋体"/>
                <w:b/>
                <w:bCs w:val="0"/>
                <w:color w:val="000000" w:themeColor="text1"/>
                <w:sz w:val="24"/>
                <w:szCs w:val="24"/>
                <w:highlight w:val="none"/>
                <w14:textFill>
                  <w14:solidFill>
                    <w14:schemeClr w14:val="tx1"/>
                  </w14:solidFill>
                </w14:textFill>
              </w:rPr>
              <w:t>分，一般得</w:t>
            </w:r>
            <w:r>
              <w:rPr>
                <w:rFonts w:hint="eastAsia" w:ascii="宋体" w:hAnsi="宋体" w:cs="宋体"/>
                <w:b/>
                <w:bCs w:val="0"/>
                <w:color w:val="000000" w:themeColor="text1"/>
                <w:sz w:val="24"/>
                <w:szCs w:val="24"/>
                <w:highlight w:val="none"/>
                <w:lang w:val="en-US" w:eastAsia="zh-CN"/>
                <w14:textFill>
                  <w14:solidFill>
                    <w14:schemeClr w14:val="tx1"/>
                  </w14:solidFill>
                </w14:textFill>
              </w:rPr>
              <w:t>1-0.1</w:t>
            </w:r>
            <w:r>
              <w:rPr>
                <w:rFonts w:hint="eastAsia" w:ascii="宋体" w:hAnsi="宋体" w:eastAsia="宋体" w:cs="宋体"/>
                <w:b/>
                <w:bCs w:val="0"/>
                <w:color w:val="000000" w:themeColor="text1"/>
                <w:sz w:val="24"/>
                <w:szCs w:val="24"/>
                <w:highlight w:val="none"/>
                <w14:textFill>
                  <w14:solidFill>
                    <w14:schemeClr w14:val="tx1"/>
                  </w14:solidFill>
                </w14:textFill>
              </w:rPr>
              <w:t>分，无此项内容不得分。</w:t>
            </w:r>
          </w:p>
        </w:tc>
      </w:tr>
      <w:tr w14:paraId="0408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60" w:type="pct"/>
            <w:vMerge w:val="restart"/>
            <w:noWrap w:val="0"/>
            <w:vAlign w:val="center"/>
          </w:tcPr>
          <w:p w14:paraId="62058E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3</w:t>
            </w:r>
          </w:p>
        </w:tc>
        <w:tc>
          <w:tcPr>
            <w:tcW w:w="720" w:type="pct"/>
            <w:vMerge w:val="restart"/>
            <w:noWrap w:val="0"/>
            <w:vAlign w:val="center"/>
          </w:tcPr>
          <w:p w14:paraId="18C65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技术</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p>
          <w:p w14:paraId="28213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（暗标）</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77" w:type="pct"/>
            <w:noWrap w:val="0"/>
            <w:vAlign w:val="center"/>
          </w:tcPr>
          <w:p w14:paraId="6F3FB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color w:val="000000" w:themeColor="text1"/>
                <w:kern w:val="0"/>
                <w:sz w:val="24"/>
                <w:szCs w:val="24"/>
                <w:highlight w:val="none"/>
                <w:lang w:val="en-US"/>
                <w14:textFill>
                  <w14:solidFill>
                    <w14:schemeClr w14:val="tx1"/>
                  </w14:solidFill>
                </w14:textFill>
              </w:rPr>
            </w:pPr>
            <w:r>
              <w:rPr>
                <w:rFonts w:hint="eastAsia" w:ascii="宋体" w:hAnsi="宋体" w:cs="宋体"/>
                <w:b w:val="0"/>
                <w:bCs/>
                <w:color w:val="auto"/>
                <w:sz w:val="24"/>
                <w:szCs w:val="24"/>
                <w:highlight w:val="none"/>
                <w:lang w:val="en-US" w:eastAsia="zh-CN"/>
              </w:rPr>
              <w:t>食材运输方案7分</w:t>
            </w:r>
          </w:p>
        </w:tc>
        <w:tc>
          <w:tcPr>
            <w:tcW w:w="2941" w:type="pct"/>
            <w:noWrap w:val="0"/>
            <w:vAlign w:val="center"/>
          </w:tcPr>
          <w:p w14:paraId="0379C01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食材运输方案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5-3.1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3-1.1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170F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60" w:type="pct"/>
            <w:vMerge w:val="continue"/>
            <w:noWrap w:val="0"/>
            <w:vAlign w:val="center"/>
          </w:tcPr>
          <w:p w14:paraId="0D4B95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4713A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37D7D8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质量控制方案</w:t>
            </w:r>
            <w:r>
              <w:rPr>
                <w:rFonts w:hint="eastAsia" w:ascii="宋体" w:hAnsi="宋体" w:cs="宋体"/>
                <w:b w:val="0"/>
                <w:bCs/>
                <w:sz w:val="24"/>
                <w:szCs w:val="24"/>
                <w:highlight w:val="none"/>
                <w:lang w:val="en-US" w:eastAsia="zh-CN"/>
              </w:rPr>
              <w:t>7</w:t>
            </w:r>
            <w:r>
              <w:rPr>
                <w:rFonts w:hint="eastAsia" w:ascii="宋体" w:hAnsi="宋体" w:cs="宋体"/>
                <w:b w:val="0"/>
                <w:bCs/>
                <w:sz w:val="24"/>
                <w:szCs w:val="24"/>
                <w:highlight w:val="none"/>
              </w:rPr>
              <w:t>分</w:t>
            </w:r>
          </w:p>
        </w:tc>
        <w:tc>
          <w:tcPr>
            <w:tcW w:w="2941" w:type="pct"/>
            <w:noWrap w:val="0"/>
            <w:vAlign w:val="center"/>
          </w:tcPr>
          <w:p w14:paraId="47AD166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eastAsia="宋体" w:cs="宋体"/>
                <w:b w:val="0"/>
                <w:bCs/>
                <w:color w:val="auto"/>
                <w:sz w:val="24"/>
                <w:szCs w:val="24"/>
                <w:highlight w:val="none"/>
              </w:rPr>
              <w:t>质量控制方案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val="en-US" w:eastAsia="zh-CN"/>
              </w:rPr>
              <w:t>，方案</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5-3.1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3-1.1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042A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60" w:type="pct"/>
            <w:vMerge w:val="continue"/>
            <w:noWrap w:val="0"/>
            <w:vAlign w:val="center"/>
          </w:tcPr>
          <w:p w14:paraId="4E67B29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7BD0A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760873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售后服务承诺</w:t>
            </w:r>
            <w:r>
              <w:rPr>
                <w:rFonts w:hint="eastAsia" w:ascii="宋体" w:hAnsi="宋体" w:cs="宋体"/>
                <w:b w:val="0"/>
                <w:bCs/>
                <w:color w:val="000000" w:themeColor="text1"/>
                <w:sz w:val="24"/>
                <w:szCs w:val="24"/>
                <w:highlight w:val="none"/>
                <w:lang w:val="en-US" w:eastAsia="zh-CN"/>
                <w14:textFill>
                  <w14:solidFill>
                    <w14:schemeClr w14:val="tx1"/>
                  </w14:solidFill>
                </w14:textFill>
              </w:rPr>
              <w:t>7分</w:t>
            </w:r>
          </w:p>
        </w:tc>
        <w:tc>
          <w:tcPr>
            <w:tcW w:w="2941" w:type="pct"/>
            <w:noWrap w:val="0"/>
            <w:vAlign w:val="center"/>
          </w:tcPr>
          <w:p w14:paraId="78902E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lang w:eastAsia="zh-CN"/>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售后服务承诺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val="en-US" w:eastAsia="zh-CN"/>
              </w:rPr>
              <w:t>，方案</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5-3.1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3-1.1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2207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60" w:type="pct"/>
            <w:vMerge w:val="continue"/>
            <w:noWrap w:val="0"/>
            <w:vAlign w:val="center"/>
          </w:tcPr>
          <w:p w14:paraId="1502A6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66A8B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225A89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应急</w:t>
            </w:r>
            <w:r>
              <w:rPr>
                <w:rFonts w:hint="eastAsia" w:ascii="宋体" w:hAnsi="宋体" w:cs="宋体"/>
                <w:b w:val="0"/>
                <w:bCs/>
                <w:color w:val="auto"/>
                <w:sz w:val="24"/>
                <w:szCs w:val="24"/>
                <w:highlight w:val="none"/>
                <w:lang w:val="en-US" w:eastAsia="zh-CN"/>
              </w:rPr>
              <w:t>处置预案</w:t>
            </w:r>
            <w:r>
              <w:rPr>
                <w:rFonts w:hint="eastAsia" w:ascii="宋体" w:hAnsi="宋体" w:cs="宋体"/>
                <w:b w:val="0"/>
                <w:bCs/>
                <w:color w:val="000000" w:themeColor="text1"/>
                <w:sz w:val="24"/>
                <w:szCs w:val="24"/>
                <w:highlight w:val="none"/>
                <w:lang w:val="en-US" w:eastAsia="zh-CN"/>
                <w14:textFill>
                  <w14:solidFill>
                    <w14:schemeClr w14:val="tx1"/>
                  </w14:solidFill>
                </w14:textFill>
              </w:rPr>
              <w:t>7分</w:t>
            </w:r>
          </w:p>
        </w:tc>
        <w:tc>
          <w:tcPr>
            <w:tcW w:w="2941" w:type="pct"/>
            <w:noWrap w:val="0"/>
            <w:vAlign w:val="center"/>
          </w:tcPr>
          <w:p w14:paraId="0942D967">
            <w:pPr>
              <w:pStyle w:val="90"/>
              <w:keepNext w:val="0"/>
              <w:keepLines w:val="0"/>
              <w:pageBreakBefore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eastAsia="宋体" w:cs="宋体"/>
                <w:b w:val="0"/>
                <w:bCs/>
                <w:color w:val="auto"/>
                <w:sz w:val="24"/>
                <w:szCs w:val="24"/>
                <w:highlight w:val="none"/>
              </w:rPr>
              <w:t>应急</w:t>
            </w:r>
            <w:r>
              <w:rPr>
                <w:rFonts w:hint="eastAsia" w:ascii="宋体" w:hAnsi="宋体" w:cs="宋体"/>
                <w:b w:val="0"/>
                <w:bCs/>
                <w:color w:val="auto"/>
                <w:sz w:val="24"/>
                <w:szCs w:val="24"/>
                <w:highlight w:val="none"/>
                <w:lang w:val="en-US" w:eastAsia="zh-CN"/>
              </w:rPr>
              <w:t>处置预案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5-3.1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3-1.1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72FE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60" w:type="pct"/>
            <w:vMerge w:val="continue"/>
            <w:noWrap w:val="0"/>
            <w:vAlign w:val="center"/>
          </w:tcPr>
          <w:p w14:paraId="00481C1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2F819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230E43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auto"/>
                <w:sz w:val="24"/>
                <w:szCs w:val="24"/>
                <w:highlight w:val="none"/>
                <w:lang w:val="en-US" w:eastAsia="zh-CN"/>
              </w:rPr>
              <w:t>团队管理方案</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6分</w:t>
            </w:r>
          </w:p>
        </w:tc>
        <w:tc>
          <w:tcPr>
            <w:tcW w:w="2941" w:type="pct"/>
            <w:noWrap w:val="0"/>
            <w:vAlign w:val="center"/>
          </w:tcPr>
          <w:p w14:paraId="0BF0D9F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团队管理方案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eastAsia="zh-CN"/>
              </w:rPr>
              <w:t>，</w:t>
            </w:r>
            <w:r>
              <w:rPr>
                <w:rFonts w:hint="eastAsia" w:ascii="宋体" w:hAnsi="宋体" w:eastAsia="宋体" w:cs="宋体"/>
                <w:b/>
                <w:bCs/>
                <w:color w:val="000000" w:themeColor="text1"/>
                <w:sz w:val="24"/>
                <w:szCs w:val="24"/>
                <w:highlight w:val="none"/>
                <w14:textFill>
                  <w14:solidFill>
                    <w14:schemeClr w14:val="tx1"/>
                  </w14:solidFill>
                </w14:textFill>
              </w:rPr>
              <w:t>优</w:t>
            </w:r>
            <w:r>
              <w:rPr>
                <w:rFonts w:hint="eastAsia" w:ascii="宋体" w:hAnsi="宋体" w:cs="宋体"/>
                <w:b/>
                <w:bCs/>
                <w:kern w:val="1"/>
                <w:sz w:val="24"/>
                <w:szCs w:val="24"/>
                <w:highlight w:val="none"/>
                <w:lang w:eastAsia="zh-CN"/>
              </w:rPr>
              <w:t>秀</w:t>
            </w:r>
            <w:r>
              <w:rPr>
                <w:rFonts w:hint="eastAsia" w:ascii="宋体" w:hAnsi="宋体" w:eastAsia="宋体" w:cs="宋体"/>
                <w:b/>
                <w:bCs/>
                <w:color w:val="000000" w:themeColor="text1"/>
                <w:sz w:val="24"/>
                <w:szCs w:val="24"/>
                <w:highlight w:val="none"/>
                <w:lang w:eastAsia="zh-CN"/>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6-4.6</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eastAsia="zh-CN"/>
                <w14:textFill>
                  <w14:solidFill>
                    <w14:schemeClr w14:val="tx1"/>
                  </w14:solidFill>
                </w14:textFill>
              </w:rPr>
              <w:t>良好得</w:t>
            </w:r>
            <w:r>
              <w:rPr>
                <w:rFonts w:hint="eastAsia" w:ascii="宋体" w:hAnsi="宋体" w:cs="宋体"/>
                <w:b/>
                <w:bCs/>
                <w:color w:val="000000" w:themeColor="text1"/>
                <w:sz w:val="24"/>
                <w:szCs w:val="24"/>
                <w:highlight w:val="none"/>
                <w:lang w:val="en-US" w:eastAsia="zh-CN"/>
                <w14:textFill>
                  <w14:solidFill>
                    <w14:schemeClr w14:val="tx1"/>
                  </w14:solidFill>
                </w14:textFill>
              </w:rPr>
              <w:t>4.5-3.1</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eastAsia="zh-CN"/>
                <w14:textFill>
                  <w14:solidFill>
                    <w14:schemeClr w14:val="tx1"/>
                  </w14:solidFill>
                </w14:textFill>
              </w:rPr>
              <w:t>一般</w:t>
            </w:r>
            <w:r>
              <w:rPr>
                <w:rFonts w:hint="eastAsia" w:ascii="宋体" w:hAnsi="宋体" w:eastAsia="宋体" w:cs="宋体"/>
                <w:b/>
                <w:bCs/>
                <w:color w:val="000000" w:themeColor="text1"/>
                <w:sz w:val="24"/>
                <w:szCs w:val="24"/>
                <w:highlight w:val="none"/>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3-1.6</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eastAsia="宋体" w:cs="宋体"/>
                <w:b/>
                <w:bCs w:val="0"/>
                <w:color w:val="000000" w:themeColor="text1"/>
                <w:sz w:val="24"/>
                <w:szCs w:val="24"/>
                <w:highlight w:val="none"/>
                <w14:textFill>
                  <w14:solidFill>
                    <w14:schemeClr w14:val="tx1"/>
                  </w14:solidFill>
                </w14:textFill>
              </w:rPr>
              <w:t>无此项内容不得分。</w:t>
            </w:r>
          </w:p>
        </w:tc>
      </w:tr>
      <w:tr w14:paraId="3082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60" w:type="pct"/>
            <w:vMerge w:val="continue"/>
            <w:noWrap w:val="0"/>
            <w:vAlign w:val="center"/>
          </w:tcPr>
          <w:p w14:paraId="245818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20" w:type="pct"/>
            <w:vMerge w:val="continue"/>
            <w:noWrap w:val="0"/>
            <w:vAlign w:val="center"/>
          </w:tcPr>
          <w:p w14:paraId="78D6E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77" w:type="pct"/>
            <w:noWrap w:val="0"/>
            <w:vAlign w:val="center"/>
          </w:tcPr>
          <w:p w14:paraId="32BE0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货源保证</w:t>
            </w:r>
          </w:p>
          <w:p w14:paraId="12C6F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6分</w:t>
            </w:r>
          </w:p>
        </w:tc>
        <w:tc>
          <w:tcPr>
            <w:tcW w:w="2941" w:type="pct"/>
            <w:noWrap w:val="0"/>
            <w:vAlign w:val="center"/>
          </w:tcPr>
          <w:p w14:paraId="1AC89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对本项目内容编制货源保证措施，提供原材料来源可靠性材料。其中禽蛋类、肉类、冰冻品等货源保障需提供相关证明材料，如合作协议等能证明双方合作关系的其他证明材料；自有基地可提供相关证明材料</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未提供或提供的材料不能佐证其货源的本项不得分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p>
          <w:p w14:paraId="0D36C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措施方案全面、科学、合理、针对性强，</w:t>
            </w:r>
            <w:r>
              <w:rPr>
                <w:rFonts w:hint="eastAsia" w:ascii="宋体" w:hAnsi="宋体" w:eastAsia="宋体" w:cs="宋体"/>
                <w:b/>
                <w:bCs/>
                <w:color w:val="000000" w:themeColor="text1"/>
                <w:sz w:val="24"/>
                <w:szCs w:val="24"/>
                <w:highlight w:val="none"/>
                <w14:textFill>
                  <w14:solidFill>
                    <w14:schemeClr w14:val="tx1"/>
                  </w14:solidFill>
                </w14:textFill>
              </w:rPr>
              <w:t>优</w:t>
            </w:r>
            <w:r>
              <w:rPr>
                <w:rFonts w:hint="eastAsia" w:ascii="宋体" w:hAnsi="宋体" w:cs="宋体"/>
                <w:b/>
                <w:bCs/>
                <w:kern w:val="1"/>
                <w:sz w:val="24"/>
                <w:szCs w:val="24"/>
                <w:highlight w:val="none"/>
                <w:lang w:eastAsia="zh-CN"/>
              </w:rPr>
              <w:t>秀</w:t>
            </w:r>
            <w:r>
              <w:rPr>
                <w:rFonts w:hint="eastAsia" w:ascii="宋体" w:hAnsi="宋体" w:eastAsia="宋体" w:cs="宋体"/>
                <w:b/>
                <w:bCs/>
                <w:color w:val="000000" w:themeColor="text1"/>
                <w:sz w:val="24"/>
                <w:szCs w:val="24"/>
                <w:highlight w:val="none"/>
                <w:lang w:eastAsia="zh-CN"/>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6-4.6</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eastAsia="zh-CN"/>
                <w14:textFill>
                  <w14:solidFill>
                    <w14:schemeClr w14:val="tx1"/>
                  </w14:solidFill>
                </w14:textFill>
              </w:rPr>
              <w:t>良好得</w:t>
            </w:r>
            <w:r>
              <w:rPr>
                <w:rFonts w:hint="eastAsia" w:ascii="宋体" w:hAnsi="宋体" w:cs="宋体"/>
                <w:b/>
                <w:bCs/>
                <w:color w:val="000000" w:themeColor="text1"/>
                <w:sz w:val="24"/>
                <w:szCs w:val="24"/>
                <w:highlight w:val="none"/>
                <w:lang w:val="en-US" w:eastAsia="zh-CN"/>
                <w14:textFill>
                  <w14:solidFill>
                    <w14:schemeClr w14:val="tx1"/>
                  </w14:solidFill>
                </w14:textFill>
              </w:rPr>
              <w:t>4.5-3.1</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eastAsia="zh-CN"/>
                <w14:textFill>
                  <w14:solidFill>
                    <w14:schemeClr w14:val="tx1"/>
                  </w14:solidFill>
                </w14:textFill>
              </w:rPr>
              <w:t>一般</w:t>
            </w:r>
            <w:r>
              <w:rPr>
                <w:rFonts w:hint="eastAsia" w:ascii="宋体" w:hAnsi="宋体" w:eastAsia="宋体" w:cs="宋体"/>
                <w:b/>
                <w:bCs/>
                <w:color w:val="000000" w:themeColor="text1"/>
                <w:sz w:val="24"/>
                <w:szCs w:val="24"/>
                <w:highlight w:val="none"/>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3-1.6</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eastAsia="宋体" w:cs="宋体"/>
                <w:b/>
                <w:bCs w:val="0"/>
                <w:color w:val="000000" w:themeColor="text1"/>
                <w:sz w:val="24"/>
                <w:szCs w:val="24"/>
                <w:highlight w:val="none"/>
                <w14:textFill>
                  <w14:solidFill>
                    <w14:schemeClr w14:val="tx1"/>
                  </w14:solidFill>
                </w14:textFill>
              </w:rPr>
              <w:t>无此项内容不得分。</w:t>
            </w:r>
          </w:p>
        </w:tc>
      </w:tr>
    </w:tbl>
    <w:p w14:paraId="2FEE5E3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jc w:val="left"/>
        <w:textAlignment w:val="auto"/>
        <w:outlineLvl w:val="9"/>
        <w:rPr>
          <w:rFonts w:hint="eastAsia" w:ascii="宋体" w:hAnsi="宋体"/>
          <w:b/>
          <w:color w:val="000000" w:themeColor="text1"/>
          <w:sz w:val="24"/>
          <w:szCs w:val="24"/>
          <w:highlight w:val="none"/>
          <w:lang w:val="en-US" w:eastAsia="zh-CN"/>
          <w14:textFill>
            <w14:solidFill>
              <w14:schemeClr w14:val="tx1"/>
            </w14:solidFill>
          </w14:textFill>
        </w:rPr>
      </w:pPr>
    </w:p>
    <w:p w14:paraId="48D4B6C8">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jc w:val="left"/>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一、</w:t>
      </w:r>
      <w:r>
        <w:rPr>
          <w:rFonts w:hint="eastAsia" w:ascii="宋体" w:hAnsi="宋体"/>
          <w:b/>
          <w:color w:val="000000" w:themeColor="text1"/>
          <w:sz w:val="24"/>
          <w:szCs w:val="24"/>
          <w:highlight w:val="none"/>
          <w14:textFill>
            <w14:solidFill>
              <w14:schemeClr w14:val="tx1"/>
            </w14:solidFill>
          </w14:textFill>
        </w:rPr>
        <w:t>评审方法</w:t>
      </w:r>
    </w:p>
    <w:p w14:paraId="46069AEF">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评审采用综合评分法。磋商小组对满足竞争性磋商文件实质性要求的竞争性磋商响应文件，按照本章第2.2款规定的评分标准进行打分，并按得分由高到低顺序推荐成交候选供应商，或根据采购人授权直接确定成交供应商，但磋商报价低于其成本的除外。</w:t>
      </w:r>
    </w:p>
    <w:p w14:paraId="56DB3A59">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综合评分相等时，以商务评审得分高的优先；商务评审得分也相等时，采购人可采用递交竞争性磋商响应文件时间较前的供应商优先或其他方法确定第一成交候选供应商。</w:t>
      </w:r>
    </w:p>
    <w:p w14:paraId="7BF6A38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二、</w:t>
      </w:r>
      <w:r>
        <w:rPr>
          <w:rFonts w:hint="eastAsia" w:ascii="宋体" w:hAnsi="宋体"/>
          <w:b/>
          <w:color w:val="000000" w:themeColor="text1"/>
          <w:sz w:val="24"/>
          <w:szCs w:val="24"/>
          <w:highlight w:val="none"/>
          <w14:textFill>
            <w14:solidFill>
              <w14:schemeClr w14:val="tx1"/>
            </w14:solidFill>
          </w14:textFill>
        </w:rPr>
        <w:t>评审标准</w:t>
      </w:r>
    </w:p>
    <w:p w14:paraId="09552A22">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2.1 初步评审标准</w:t>
      </w:r>
    </w:p>
    <w:p w14:paraId="74E27DCE">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2.1.1</w:t>
      </w:r>
      <w:r>
        <w:rPr>
          <w:rFonts w:hint="eastAsia" w:ascii="宋体" w:hAnsi="宋体"/>
          <w:color w:val="000000" w:themeColor="text1"/>
          <w:sz w:val="24"/>
          <w:szCs w:val="24"/>
          <w:highlight w:val="none"/>
          <w14:textFill>
            <w14:solidFill>
              <w14:schemeClr w14:val="tx1"/>
            </w14:solidFill>
          </w14:textFill>
        </w:rPr>
        <w:t>资格</w:t>
      </w:r>
      <w:r>
        <w:rPr>
          <w:rFonts w:hint="eastAsia"/>
          <w:color w:val="000000" w:themeColor="text1"/>
          <w:sz w:val="24"/>
          <w:szCs w:val="24"/>
          <w:highlight w:val="none"/>
          <w14:textFill>
            <w14:solidFill>
              <w14:schemeClr w14:val="tx1"/>
            </w14:solidFill>
          </w14:textFill>
        </w:rPr>
        <w:t>性</w:t>
      </w:r>
      <w:r>
        <w:rPr>
          <w:rFonts w:hint="eastAsia" w:ascii="宋体" w:hAnsi="宋体"/>
          <w:color w:val="000000" w:themeColor="text1"/>
          <w:sz w:val="24"/>
          <w:szCs w:val="24"/>
          <w:highlight w:val="none"/>
          <w14:textFill>
            <w14:solidFill>
              <w14:schemeClr w14:val="tx1"/>
            </w14:solidFill>
          </w14:textFill>
        </w:rPr>
        <w:t>评审：见评标办法前附表。</w:t>
      </w:r>
    </w:p>
    <w:p w14:paraId="61B1DD0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2.1.2符合性评审：见评标办法前附表。</w:t>
      </w:r>
    </w:p>
    <w:p w14:paraId="23CB224F">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性评审：见评标办法前附表。</w:t>
      </w:r>
    </w:p>
    <w:p w14:paraId="2DB1382D">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2.2详细评审标准</w:t>
      </w:r>
    </w:p>
    <w:p w14:paraId="7DBCDE44">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bookmarkStart w:id="131" w:name="_Toc152045603"/>
      <w:bookmarkStart w:id="132" w:name="_Toc179632621"/>
      <w:bookmarkStart w:id="133" w:name="_Toc144974570"/>
      <w:bookmarkStart w:id="134" w:name="_Toc152042380"/>
      <w:r>
        <w:rPr>
          <w:rFonts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分值构成与评分标准</w:t>
      </w:r>
      <w:bookmarkEnd w:id="131"/>
      <w:bookmarkEnd w:id="132"/>
      <w:bookmarkEnd w:id="133"/>
      <w:bookmarkEnd w:id="134"/>
    </w:p>
    <w:p w14:paraId="659F7DFE">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分值构成</w:t>
      </w:r>
    </w:p>
    <w:p w14:paraId="2B5FB69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报价部分</w:t>
      </w:r>
      <w:r>
        <w:rPr>
          <w:rFonts w:ascii="宋体" w:hAnsi="宋体"/>
          <w:color w:val="auto"/>
          <w:sz w:val="24"/>
          <w:szCs w:val="24"/>
          <w:highlight w:val="none"/>
        </w:rPr>
        <w:t>：见评标办法前附表；</w:t>
      </w:r>
    </w:p>
    <w:p w14:paraId="5E261A4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eastAsia="zh-CN"/>
        </w:rPr>
        <w:t>商务部分</w:t>
      </w:r>
      <w:r>
        <w:rPr>
          <w:rFonts w:ascii="宋体" w:hAnsi="宋体"/>
          <w:color w:val="auto"/>
          <w:sz w:val="24"/>
          <w:szCs w:val="24"/>
          <w:highlight w:val="none"/>
        </w:rPr>
        <w:t>：见评标办法前附表；</w:t>
      </w:r>
    </w:p>
    <w:p w14:paraId="0AFCE5C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eastAsia="zh-CN"/>
        </w:rPr>
        <w:t>技术部</w:t>
      </w:r>
      <w:r>
        <w:rPr>
          <w:rFonts w:ascii="宋体" w:hAnsi="宋体"/>
          <w:color w:val="auto"/>
          <w:sz w:val="24"/>
          <w:szCs w:val="24"/>
          <w:highlight w:val="none"/>
        </w:rPr>
        <w:t>分：见评标办法前附表</w:t>
      </w:r>
      <w:r>
        <w:rPr>
          <w:rFonts w:hint="eastAsia" w:ascii="宋体" w:hAnsi="宋体"/>
          <w:color w:val="auto"/>
          <w:sz w:val="24"/>
          <w:szCs w:val="24"/>
          <w:highlight w:val="none"/>
          <w:lang w:eastAsia="zh-CN"/>
        </w:rPr>
        <w:t>；</w:t>
      </w:r>
    </w:p>
    <w:p w14:paraId="1DD4FE3D">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评审基准价计算</w:t>
      </w:r>
    </w:p>
    <w:p w14:paraId="4F8A59F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评审基准价计算方法：见评审办法前附表。</w:t>
      </w:r>
    </w:p>
    <w:p w14:paraId="14BBE876">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评分标准</w:t>
      </w:r>
    </w:p>
    <w:p w14:paraId="496548B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报价部分</w:t>
      </w:r>
      <w:r>
        <w:rPr>
          <w:rFonts w:ascii="宋体" w:hAnsi="宋体"/>
          <w:color w:val="auto"/>
          <w:sz w:val="24"/>
          <w:szCs w:val="24"/>
          <w:highlight w:val="none"/>
        </w:rPr>
        <w:t>：见评标办法前附表；</w:t>
      </w:r>
    </w:p>
    <w:p w14:paraId="3967FE1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eastAsia="zh-CN"/>
        </w:rPr>
        <w:t>商务部分</w:t>
      </w:r>
      <w:r>
        <w:rPr>
          <w:rFonts w:ascii="宋体" w:hAnsi="宋体"/>
          <w:color w:val="auto"/>
          <w:sz w:val="24"/>
          <w:szCs w:val="24"/>
          <w:highlight w:val="none"/>
        </w:rPr>
        <w:t>：见评标办法前附表；</w:t>
      </w:r>
    </w:p>
    <w:p w14:paraId="593A827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eastAsia="zh-CN"/>
        </w:rPr>
        <w:t>技术部</w:t>
      </w:r>
      <w:r>
        <w:rPr>
          <w:rFonts w:ascii="宋体" w:hAnsi="宋体"/>
          <w:color w:val="auto"/>
          <w:sz w:val="24"/>
          <w:szCs w:val="24"/>
          <w:highlight w:val="none"/>
        </w:rPr>
        <w:t>分：见评标办法前附表</w:t>
      </w:r>
      <w:r>
        <w:rPr>
          <w:rFonts w:hint="eastAsia" w:ascii="宋体" w:hAnsi="宋体"/>
          <w:color w:val="auto"/>
          <w:sz w:val="24"/>
          <w:szCs w:val="24"/>
          <w:highlight w:val="none"/>
          <w:lang w:eastAsia="zh-CN"/>
        </w:rPr>
        <w:t>；</w:t>
      </w:r>
    </w:p>
    <w:p w14:paraId="2A58277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三、</w:t>
      </w:r>
      <w:r>
        <w:rPr>
          <w:rFonts w:hint="eastAsia" w:ascii="宋体" w:hAnsi="宋体"/>
          <w:b/>
          <w:color w:val="000000" w:themeColor="text1"/>
          <w:sz w:val="24"/>
          <w:szCs w:val="24"/>
          <w:highlight w:val="none"/>
          <w14:textFill>
            <w14:solidFill>
              <w14:schemeClr w14:val="tx1"/>
            </w14:solidFill>
          </w14:textFill>
        </w:rPr>
        <w:t>评审程序</w:t>
      </w:r>
    </w:p>
    <w:p w14:paraId="6A180DEC">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3.1.1</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可以要求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提交第二章“</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须知”规定的有关证明和证件的原件，以便核验。</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依据本章第 2.1 款规定的标准对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响应文件进行初步评审。有一项不符合评审标准的，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471F47FD">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3.1.2</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有以下情形之一的，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12FE77C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响应文件没有对</w:t>
      </w:r>
      <w:r>
        <w:rPr>
          <w:rFonts w:hint="eastAsia" w:ascii="宋体" w:hAnsi="宋体"/>
          <w:color w:val="000000" w:themeColor="text1"/>
          <w:sz w:val="24"/>
          <w:szCs w:val="24"/>
          <w:highlight w:val="none"/>
          <w14:textFill>
            <w14:solidFill>
              <w14:schemeClr w14:val="tx1"/>
            </w14:solidFill>
          </w14:textFill>
        </w:rPr>
        <w:t>竞争性磋商文件</w:t>
      </w:r>
      <w:r>
        <w:rPr>
          <w:rFonts w:ascii="宋体" w:hAnsi="宋体"/>
          <w:color w:val="000000" w:themeColor="text1"/>
          <w:sz w:val="24"/>
          <w:szCs w:val="24"/>
          <w:highlight w:val="none"/>
          <w14:textFill>
            <w14:solidFill>
              <w14:schemeClr w14:val="tx1"/>
            </w14:solidFill>
          </w14:textFill>
        </w:rPr>
        <w:t>的实质性要求和条件作出响应，或者对竞争性</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文件的偏差超出竞争性</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文件规定的偏差范围或最高项数；</w:t>
      </w:r>
    </w:p>
    <w:p w14:paraId="5E704326">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（2）有串通投标、弄虚作假、行贿等违法行为。</w:t>
      </w:r>
    </w:p>
    <w:p w14:paraId="0D82B0B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3.1.3</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报价有算术错误及其他错误的，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按以下原则要求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报价进行修正，并要求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书面澄清确认。</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拒不澄清确认的，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05BA332F">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响应文件中的大写金额与小写金额不一致的，以大写金额为准；</w:t>
      </w:r>
    </w:p>
    <w:p w14:paraId="2BE2CCD0">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（2）总价金额与单价金额不一致的，以单价金额为准，但单价金额小数点有明显错误的除外。</w:t>
      </w:r>
    </w:p>
    <w:p w14:paraId="5F8C9320">
      <w:pPr>
        <w:keepNext w:val="0"/>
        <w:keepLines w:val="0"/>
        <w:pageBreakBefore w:val="0"/>
        <w:widowControl w:val="0"/>
        <w:kinsoku/>
        <w:wordWrap/>
        <w:overflowPunct/>
        <w:topLinePunct w:val="0"/>
        <w:autoSpaceDE/>
        <w:autoSpaceDN/>
        <w:bidi w:val="0"/>
        <w:spacing w:line="460" w:lineRule="exact"/>
        <w:ind w:left="0" w:leftChars="0" w:firstLine="482" w:firstLineChars="200"/>
        <w:textAlignment w:val="auto"/>
        <w:rPr>
          <w:rFonts w:eastAsia="Times New Roman"/>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3.2 详细评审</w:t>
      </w:r>
    </w:p>
    <w:p w14:paraId="00214C6A">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3.2.1 </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按本章第 2.2 款规定的量化因素和分值进行打分，并计算出综合评估得分。</w:t>
      </w:r>
    </w:p>
    <w:p w14:paraId="060F8E99">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（1）按本章第 2.2.</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（1）目规定的评审因素和分值对</w:t>
      </w:r>
      <w:r>
        <w:rPr>
          <w:rFonts w:hint="eastAsia" w:ascii="宋体" w:hAnsi="宋体"/>
          <w:color w:val="000000" w:themeColor="text1"/>
          <w:sz w:val="24"/>
          <w:szCs w:val="24"/>
          <w:highlight w:val="none"/>
          <w:lang w:eastAsia="zh-CN"/>
          <w14:textFill>
            <w14:solidFill>
              <w14:schemeClr w14:val="tx1"/>
            </w14:solidFill>
          </w14:textFill>
        </w:rPr>
        <w:t>报价部分</w:t>
      </w:r>
      <w:r>
        <w:rPr>
          <w:rFonts w:ascii="宋体" w:hAnsi="宋体"/>
          <w:color w:val="000000" w:themeColor="text1"/>
          <w:sz w:val="24"/>
          <w:szCs w:val="24"/>
          <w:highlight w:val="none"/>
          <w14:textFill>
            <w14:solidFill>
              <w14:schemeClr w14:val="tx1"/>
            </w14:solidFill>
          </w14:textFill>
        </w:rPr>
        <w:t>计算出得分 A；</w:t>
      </w:r>
    </w:p>
    <w:p w14:paraId="3C519275">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（2）按本章第 2.2.</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（2）目规定的评审因素和分值对</w:t>
      </w:r>
      <w:r>
        <w:rPr>
          <w:rFonts w:hint="eastAsia" w:ascii="宋体" w:hAnsi="宋体" w:eastAsia="宋体"/>
          <w:color w:val="000000" w:themeColor="text1"/>
          <w:sz w:val="24"/>
          <w:szCs w:val="24"/>
          <w:highlight w:val="none"/>
          <w14:textFill>
            <w14:solidFill>
              <w14:schemeClr w14:val="tx1"/>
            </w14:solidFill>
          </w14:textFill>
        </w:rPr>
        <w:t>商务部分</w:t>
      </w:r>
      <w:r>
        <w:rPr>
          <w:rFonts w:ascii="宋体" w:hAnsi="宋体" w:eastAsia="宋体"/>
          <w:color w:val="000000" w:themeColor="text1"/>
          <w:sz w:val="24"/>
          <w:szCs w:val="24"/>
          <w:highlight w:val="none"/>
          <w14:textFill>
            <w14:solidFill>
              <w14:schemeClr w14:val="tx1"/>
            </w14:solidFill>
          </w14:textFill>
        </w:rPr>
        <w:t>计算出得分 B；</w:t>
      </w:r>
    </w:p>
    <w:p w14:paraId="25BD0979">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（3）按本章第 2.2.</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（3）目规定的评审因素和分值对</w:t>
      </w:r>
      <w:r>
        <w:rPr>
          <w:rFonts w:hint="eastAsia" w:ascii="宋体" w:hAnsi="宋体" w:eastAsia="宋体"/>
          <w:color w:val="000000" w:themeColor="text1"/>
          <w:sz w:val="24"/>
          <w:szCs w:val="24"/>
          <w:highlight w:val="none"/>
          <w14:textFill>
            <w14:solidFill>
              <w14:schemeClr w14:val="tx1"/>
            </w14:solidFill>
          </w14:textFill>
        </w:rPr>
        <w:t>技术部分</w:t>
      </w:r>
      <w:r>
        <w:rPr>
          <w:rFonts w:ascii="宋体" w:hAnsi="宋体" w:eastAsia="宋体"/>
          <w:color w:val="000000" w:themeColor="text1"/>
          <w:sz w:val="24"/>
          <w:szCs w:val="24"/>
          <w:highlight w:val="none"/>
          <w14:textFill>
            <w14:solidFill>
              <w14:schemeClr w14:val="tx1"/>
            </w14:solidFill>
          </w14:textFill>
        </w:rPr>
        <w:t>计算出得分 C；</w:t>
      </w:r>
    </w:p>
    <w:p w14:paraId="5915E6F7">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3.2.2 评分分值计算保留小数点后两位，小数点后第三位“四舍五入”。</w:t>
      </w:r>
    </w:p>
    <w:p w14:paraId="6EE37343">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3.2.3 </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得分=A+B+C。</w:t>
      </w:r>
    </w:p>
    <w:p w14:paraId="0E19A2C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3.2.4 竞争性磋商小组发现供应商的报价明显低于其他磋商报价，使得其磋商报价可能低于其个别成本的，应当要求该供应商作出书面说明并提供相应的证明材料。供应商不能合理说明或者不能提供相应证明材料的，竞争性磋商小组应当认定该供应商以低于成本报价竞标，并否决其投标。</w:t>
      </w:r>
    </w:p>
    <w:p w14:paraId="15BF0EBA">
      <w:pPr>
        <w:keepNext w:val="0"/>
        <w:keepLines w:val="0"/>
        <w:pageBreakBefore w:val="0"/>
        <w:widowControl w:val="0"/>
        <w:kinsoku/>
        <w:wordWrap/>
        <w:overflowPunct/>
        <w:topLinePunct w:val="0"/>
        <w:autoSpaceDE/>
        <w:autoSpaceDN/>
        <w:bidi w:val="0"/>
        <w:spacing w:line="460" w:lineRule="exact"/>
        <w:ind w:left="0" w:leftChars="0" w:firstLine="482" w:firstLineChars="200"/>
        <w:textAlignment w:val="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3.3 </w:t>
      </w:r>
      <w:r>
        <w:rPr>
          <w:rFonts w:hint="eastAsia" w:ascii="宋体" w:hAnsi="宋体"/>
          <w:b/>
          <w:color w:val="000000" w:themeColor="text1"/>
          <w:sz w:val="24"/>
          <w:szCs w:val="24"/>
          <w:highlight w:val="none"/>
          <w14:textFill>
            <w14:solidFill>
              <w14:schemeClr w14:val="tx1"/>
            </w14:solidFill>
          </w14:textFill>
        </w:rPr>
        <w:t>磋商</w:t>
      </w:r>
      <w:r>
        <w:rPr>
          <w:rFonts w:ascii="宋体" w:hAnsi="宋体"/>
          <w:b/>
          <w:color w:val="000000" w:themeColor="text1"/>
          <w:sz w:val="24"/>
          <w:szCs w:val="24"/>
          <w:highlight w:val="none"/>
          <w14:textFill>
            <w14:solidFill>
              <w14:schemeClr w14:val="tx1"/>
            </w14:solidFill>
          </w14:textFill>
        </w:rPr>
        <w:t>响应文件的澄清</w:t>
      </w:r>
    </w:p>
    <w:p w14:paraId="608D7C0A">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3.3.1 在评标过程中，</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可以书面形式要求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响应文件中含义不明确、对同类问题表述不一致或者有明显文字和计算错误的内容作必要的澄清、说明或补正。澄清、说明或补正应以书面方式进行。</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不接受</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主动提出的澄清、说明或补正。</w:t>
      </w:r>
    </w:p>
    <w:p w14:paraId="08E65B18">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3.3.2 澄清、说明或补正不得超出</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响应文件的范围且不得改变</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响应文件的实质性内容，并构成</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响应文件的组成部分。</w:t>
      </w:r>
    </w:p>
    <w:p w14:paraId="56305A90">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3.3.3 </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提交的澄清、说明或补正有疑问的，可以要求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进一步澄清、说明或补正，直至满足</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的要求。</w:t>
      </w:r>
    </w:p>
    <w:p w14:paraId="07A51D4E">
      <w:pPr>
        <w:keepNext w:val="0"/>
        <w:keepLines w:val="0"/>
        <w:pageBreakBefore w:val="0"/>
        <w:widowControl w:val="0"/>
        <w:kinsoku/>
        <w:wordWrap/>
        <w:overflowPunct/>
        <w:topLinePunct w:val="0"/>
        <w:autoSpaceDE/>
        <w:autoSpaceDN/>
        <w:bidi w:val="0"/>
        <w:spacing w:line="460" w:lineRule="exact"/>
        <w:ind w:left="0" w:leftChars="0" w:firstLine="241" w:firstLineChars="100"/>
        <w:textAlignment w:val="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 评标结果</w:t>
      </w:r>
    </w:p>
    <w:p w14:paraId="5206B901">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 除第二章“</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须知”前附表授权直接确定</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人外，</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按照得分由高到低的顺序推荐成交候选人，并标明排序。</w:t>
      </w:r>
    </w:p>
    <w:p w14:paraId="5004306A">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评审完成后，磋商小组向采购人提出评审报告，评审报告由磋商小组全体成员签字确认。</w:t>
      </w:r>
    </w:p>
    <w:p w14:paraId="71D67341">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3.4.3</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磋商小组按综合得分从高到低进行排序，推荐前三名为成交候选供应商。综合得分排名第一的供应商为第一成交候选供应商，排名第二的供应商为第二成交候选供应商，排名第三的供应商为第三成交候选供应商。综合评分相等时，以商务评审得分高的优先；商务评审得分也相等时，采购人可采用递交竞争性磋商响应文件时间较前的供应商优先或由采购人自行确定。</w:t>
      </w:r>
    </w:p>
    <w:p w14:paraId="76AADB53">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color w:val="000000" w:themeColor="text1"/>
          <w:sz w:val="24"/>
          <w:szCs w:val="24"/>
          <w:highlight w:val="none"/>
          <w14:textFill>
            <w14:solidFill>
              <w14:schemeClr w14:val="tx1"/>
            </w14:solidFill>
          </w14:textFill>
        </w:rPr>
        <w:sectPr>
          <w:footerReference r:id="rId10" w:type="default"/>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3.4.4</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采购人授权磋商小组</w:t>
      </w:r>
      <w:r>
        <w:rPr>
          <w:rFonts w:ascii="宋体" w:hAnsi="宋体"/>
          <w:color w:val="000000" w:themeColor="text1"/>
          <w:sz w:val="24"/>
          <w:szCs w:val="24"/>
          <w:highlight w:val="none"/>
          <w14:textFill>
            <w14:solidFill>
              <w14:schemeClr w14:val="tx1"/>
            </w14:solidFill>
          </w14:textFill>
        </w:rPr>
        <w:t>确定排名第一的成交候选供应商为成交供应商。排名第一的成交候选供应商放弃</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、因不可抗力不能履行合同、不按照竞争性磋商文件要求递交履约保证金，或者被查实存在影响</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结果的违法行为等情形，不符合</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条件的，采购人可以按照磋商小组提出的成交候选供应商名单排序依次确定其他成交候选供应商为成交供应商，也可以重新招标</w:t>
      </w:r>
      <w:r>
        <w:rPr>
          <w:rFonts w:hint="eastAsia" w:ascii="宋体" w:hAnsi="宋体"/>
          <w:color w:val="000000" w:themeColor="text1"/>
          <w:sz w:val="24"/>
          <w:szCs w:val="24"/>
          <w:highlight w:val="none"/>
          <w:lang w:eastAsia="zh-CN"/>
          <w14:textFill>
            <w14:solidFill>
              <w14:schemeClr w14:val="tx1"/>
            </w14:solidFill>
          </w14:textFill>
        </w:rPr>
        <w:t>。</w:t>
      </w:r>
    </w:p>
    <w:p w14:paraId="13EAD235">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bookmarkStart w:id="135" w:name="_Toc530036533"/>
      <w:r>
        <w:rPr>
          <w:rFonts w:hint="eastAsia" w:ascii="宋体" w:hAnsi="宋体" w:eastAsia="宋体" w:cs="宋体"/>
          <w:b/>
          <w:bCs/>
          <w:color w:val="000000" w:themeColor="text1"/>
          <w:highlight w:val="none"/>
          <w14:textFill>
            <w14:solidFill>
              <w14:schemeClr w14:val="tx1"/>
            </w14:solidFill>
          </w14:textFill>
        </w:rPr>
        <w:t>据财政部《关于印发《政府釆购促进中小企业发展管理办法》的通知》（财库〔2020〕 46号） 规定本项目对小型和微型企业产品的价格给予扣除，用扣除后的价格参与评审，但参加本次采购活动的中小企业应当提供本办法规定的《中小企业声明函》。小型、微型企业提供中型企业制造货物的，视同为中型企业。</w:t>
      </w:r>
    </w:p>
    <w:p w14:paraId="4151C0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bookmarkStart w:id="136" w:name="bookmark350"/>
      <w:bookmarkStart w:id="137" w:name="bookmark349"/>
      <w:bookmarkStart w:id="138" w:name="bookmark348"/>
    </w:p>
    <w:p w14:paraId="4C1E7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关于印发《政府采购促进中小企业发展管理办法》的通知</w:t>
      </w:r>
      <w:bookmarkEnd w:id="136"/>
      <w:bookmarkEnd w:id="137"/>
      <w:bookmarkEnd w:id="138"/>
    </w:p>
    <w:p w14:paraId="3F0C71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财库〔2020） 46号</w:t>
      </w:r>
    </w:p>
    <w:p w14:paraId="06BAB1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各中央预算单位办公厅（室），各省、自治区、直辖市、计划单列市财政厅（局）、 工业和信息化主管部门，新疆生产建设兵团财政局、工业和信息化主管部门：</w:t>
      </w:r>
    </w:p>
    <w:p w14:paraId="55D2A7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 业发展管理办法》。现印发给你们，请遵照执行。</w:t>
      </w:r>
    </w:p>
    <w:p w14:paraId="04F270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39" w:name="bookmark353"/>
      <w:bookmarkStart w:id="140" w:name="bookmark351"/>
      <w:bookmarkStart w:id="141" w:name="bookmark352"/>
    </w:p>
    <w:p w14:paraId="5D72AEE0">
      <w:pPr>
        <w:spacing w:line="500" w:lineRule="exact"/>
        <w:rPr>
          <w:rFonts w:ascii="宋体" w:hAnsi="宋体" w:cs="宋体"/>
          <w:color w:val="000000" w:themeColor="text1"/>
          <w:sz w:val="28"/>
          <w:szCs w:val="28"/>
          <w:highlight w:val="none"/>
          <w14:textFill>
            <w14:solidFill>
              <w14:schemeClr w14:val="tx1"/>
            </w14:solidFill>
          </w14:textFill>
        </w:rPr>
      </w:pPr>
    </w:p>
    <w:p w14:paraId="023ACB77">
      <w:pPr>
        <w:pStyle w:val="33"/>
        <w:rPr>
          <w:highlight w:val="none"/>
        </w:rPr>
      </w:pPr>
    </w:p>
    <w:p w14:paraId="1F940D42">
      <w:pPr>
        <w:spacing w:line="500" w:lineRule="exact"/>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财政部</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工业和信息化部</w:t>
      </w:r>
      <w:bookmarkEnd w:id="139"/>
      <w:bookmarkEnd w:id="140"/>
      <w:bookmarkEnd w:id="141"/>
    </w:p>
    <w:p w14:paraId="7574A17D">
      <w:pPr>
        <w:spacing w:line="500" w:lineRule="exact"/>
        <w:ind w:firstLine="480" w:firstLineChars="200"/>
        <w:jc w:val="right"/>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2020年12月18日</w:t>
      </w:r>
    </w:p>
    <w:p w14:paraId="18347490">
      <w:pPr>
        <w:jc w:val="center"/>
        <w:rPr>
          <w:rFonts w:ascii="宋体" w:hAnsi="宋体" w:cs="宋体"/>
          <w:b/>
          <w:bCs/>
          <w:color w:val="000000" w:themeColor="text1"/>
          <w:sz w:val="44"/>
          <w:szCs w:val="44"/>
          <w:highlight w:val="none"/>
          <w14:textFill>
            <w14:solidFill>
              <w14:schemeClr w14:val="tx1"/>
            </w14:solidFill>
          </w14:textFill>
        </w:rPr>
      </w:pPr>
    </w:p>
    <w:p w14:paraId="6AA5278D">
      <w:pPr>
        <w:jc w:val="center"/>
        <w:rPr>
          <w:rFonts w:ascii="宋体" w:hAnsi="宋体" w:cs="宋体"/>
          <w:b/>
          <w:bCs/>
          <w:color w:val="000000" w:themeColor="text1"/>
          <w:sz w:val="44"/>
          <w:szCs w:val="44"/>
          <w:highlight w:val="none"/>
          <w14:textFill>
            <w14:solidFill>
              <w14:schemeClr w14:val="tx1"/>
            </w14:solidFill>
          </w14:textFill>
        </w:rPr>
      </w:pPr>
    </w:p>
    <w:p w14:paraId="01E91B26">
      <w:pPr>
        <w:jc w:val="center"/>
        <w:rPr>
          <w:rFonts w:ascii="宋体" w:hAnsi="宋体" w:cs="宋体"/>
          <w:b/>
          <w:bCs/>
          <w:color w:val="000000" w:themeColor="text1"/>
          <w:sz w:val="44"/>
          <w:szCs w:val="44"/>
          <w:highlight w:val="none"/>
          <w14:textFill>
            <w14:solidFill>
              <w14:schemeClr w14:val="tx1"/>
            </w14:solidFill>
          </w14:textFill>
        </w:rPr>
      </w:pPr>
    </w:p>
    <w:p w14:paraId="6F06BB4D">
      <w:pPr>
        <w:jc w:val="center"/>
        <w:rPr>
          <w:rFonts w:ascii="宋体" w:hAnsi="宋体" w:cs="宋体"/>
          <w:b/>
          <w:bCs/>
          <w:color w:val="000000" w:themeColor="text1"/>
          <w:sz w:val="44"/>
          <w:szCs w:val="44"/>
          <w:highlight w:val="none"/>
          <w14:textFill>
            <w14:solidFill>
              <w14:schemeClr w14:val="tx1"/>
            </w14:solidFill>
          </w14:textFill>
        </w:rPr>
      </w:pPr>
    </w:p>
    <w:p w14:paraId="02FA5E8C">
      <w:pPr>
        <w:jc w:val="center"/>
        <w:rPr>
          <w:rFonts w:ascii="宋体" w:hAnsi="宋体" w:cs="宋体"/>
          <w:b/>
          <w:bCs/>
          <w:color w:val="000000" w:themeColor="text1"/>
          <w:sz w:val="44"/>
          <w:szCs w:val="44"/>
          <w:highlight w:val="none"/>
          <w14:textFill>
            <w14:solidFill>
              <w14:schemeClr w14:val="tx1"/>
            </w14:solidFill>
          </w14:textFill>
        </w:rPr>
      </w:pPr>
    </w:p>
    <w:p w14:paraId="517F8209">
      <w:pPr>
        <w:pStyle w:val="27"/>
        <w:ind w:left="1303" w:hanging="883"/>
        <w:rPr>
          <w:rFonts w:ascii="宋体" w:hAnsi="宋体" w:cs="宋体"/>
          <w:b/>
          <w:bCs/>
          <w:color w:val="000000" w:themeColor="text1"/>
          <w:sz w:val="44"/>
          <w:szCs w:val="44"/>
          <w:highlight w:val="none"/>
          <w14:textFill>
            <w14:solidFill>
              <w14:schemeClr w14:val="tx1"/>
            </w14:solidFill>
          </w14:textFill>
        </w:rPr>
      </w:pPr>
    </w:p>
    <w:p w14:paraId="5FBA9681">
      <w:pPr>
        <w:rPr>
          <w:rFonts w:hint="eastAsia" w:ascii="宋体" w:hAnsi="宋体" w:cs="宋体"/>
          <w:b/>
          <w:bCs/>
          <w:sz w:val="28"/>
          <w:szCs w:val="36"/>
          <w:highlight w:val="none"/>
        </w:rPr>
      </w:pPr>
    </w:p>
    <w:p w14:paraId="7E2452C7">
      <w:pP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br w:type="page"/>
      </w:r>
    </w:p>
    <w:p w14:paraId="158C4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关于进一步加大政府采购支持中小企业力度的通知</w:t>
      </w:r>
    </w:p>
    <w:p w14:paraId="6627B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财库〔2022〕19号</w:t>
      </w:r>
    </w:p>
    <w:p w14:paraId="77E6F9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各中央预算单位，各省、自治区、直辖市、计划单列市财政厅（局），新疆生产建设兵团财政局：</w:t>
      </w:r>
    </w:p>
    <w:p w14:paraId="6BC085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3959F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6A2B3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12EC0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C9527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四、认真做好组织实施。各地区、各部门应当加强组织领导，明确工作责任，细化执行要求，强化监督检查，确保国务院部署落实到位，对通知执行中出现的问题要及时向财政部报告。</w:t>
      </w:r>
    </w:p>
    <w:p w14:paraId="040117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本通知自2022年7月1日起执行。</w:t>
      </w:r>
    </w:p>
    <w:p w14:paraId="099A5F5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highlight w:val="none"/>
        </w:rPr>
      </w:pPr>
      <w:r>
        <w:rPr>
          <w:rFonts w:hint="eastAsia" w:ascii="宋体" w:hAnsi="宋体" w:cs="宋体"/>
          <w:highlight w:val="none"/>
        </w:rPr>
        <w:t> </w:t>
      </w:r>
    </w:p>
    <w:p w14:paraId="7B406D10">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p>
    <w:p w14:paraId="23705BB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p>
    <w:p w14:paraId="31D63BB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财  政  部</w:t>
      </w:r>
    </w:p>
    <w:p w14:paraId="405AF64A">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2022年5月30日</w:t>
      </w:r>
    </w:p>
    <w:p w14:paraId="5131C638">
      <w:pPr>
        <w:rPr>
          <w:rFonts w:hint="eastAsia" w:ascii="宋体" w:hAnsi="宋体" w:cs="宋体"/>
          <w:b/>
          <w:bCs/>
          <w:sz w:val="28"/>
          <w:szCs w:val="36"/>
          <w:highlight w:val="none"/>
        </w:rPr>
      </w:pPr>
      <w:r>
        <w:rPr>
          <w:rFonts w:hint="eastAsia" w:ascii="宋体" w:hAnsi="宋体" w:cs="宋体"/>
          <w:b/>
          <w:bCs/>
          <w:sz w:val="28"/>
          <w:szCs w:val="36"/>
          <w:highlight w:val="none"/>
        </w:rPr>
        <w:br w:type="page"/>
      </w:r>
    </w:p>
    <w:p w14:paraId="04C189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0"/>
          <w:szCs w:val="30"/>
          <w:highlight w:val="none"/>
        </w:rPr>
      </w:pPr>
      <w:r>
        <w:rPr>
          <w:rFonts w:hint="eastAsia" w:asciiTheme="majorEastAsia" w:hAnsiTheme="majorEastAsia" w:eastAsiaTheme="majorEastAsia" w:cstheme="majorEastAsia"/>
          <w:b/>
          <w:bCs/>
          <w:sz w:val="30"/>
          <w:szCs w:val="30"/>
          <w:highlight w:val="none"/>
        </w:rPr>
        <w:t>关于印发《吉林省强化政府采购政策支持中小企业发展落实举措》的通知</w:t>
      </w:r>
    </w:p>
    <w:p w14:paraId="36437D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0"/>
          <w:szCs w:val="30"/>
          <w:highlight w:val="none"/>
        </w:rPr>
      </w:pPr>
      <w:r>
        <w:rPr>
          <w:rFonts w:hint="eastAsia" w:asciiTheme="majorEastAsia" w:hAnsiTheme="majorEastAsia" w:eastAsiaTheme="majorEastAsia" w:cstheme="majorEastAsia"/>
          <w:b/>
          <w:bCs/>
          <w:sz w:val="30"/>
          <w:szCs w:val="30"/>
          <w:highlight w:val="none"/>
        </w:rPr>
        <w:t>吉财采购〔2022〕478号</w:t>
      </w:r>
    </w:p>
    <w:p w14:paraId="74C632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p>
    <w:p w14:paraId="5CF37C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各省级主管预算单位，各市（州）、县（市、区）财政局，长白山管委会、长春新区、中韩（长春）国际合作示范区管委会财政局，各政府采购代理机构：</w:t>
      </w:r>
    </w:p>
    <w:p w14:paraId="27C0D0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现将《吉林省强化政府采购政策支持中小企业发展落实举措》印发给你们，请遵照执行。</w:t>
      </w:r>
    </w:p>
    <w:p w14:paraId="0CCC8B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附件：吉林省强化政府采购政策支持中小企业发展落实举措</w:t>
      </w:r>
    </w:p>
    <w:p w14:paraId="15816A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w:t>
      </w:r>
    </w:p>
    <w:p w14:paraId="2E2581E7">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p>
    <w:p w14:paraId="64750625">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p>
    <w:p w14:paraId="25161BD4">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吉林省财政厅</w:t>
      </w:r>
    </w:p>
    <w:p w14:paraId="6318129D">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2022年6月6日</w:t>
      </w:r>
    </w:p>
    <w:p w14:paraId="1734D4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highlight w:val="none"/>
        </w:rPr>
      </w:pPr>
    </w:p>
    <w:p w14:paraId="4175CB19">
      <w:pP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br w:type="page"/>
      </w:r>
    </w:p>
    <w:p w14:paraId="6E6B3B4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附件：</w:t>
      </w:r>
    </w:p>
    <w:p w14:paraId="2CA4AB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w:t>
      </w:r>
    </w:p>
    <w:p w14:paraId="057812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吉林省强化政府采购政策支持中小企业发展落实举措</w:t>
      </w:r>
    </w:p>
    <w:p w14:paraId="083CEC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w:t>
      </w:r>
    </w:p>
    <w:p w14:paraId="17EAF6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p>
    <w:p w14:paraId="78E7E6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一、强化政策落实支持中小企业发展</w:t>
      </w:r>
    </w:p>
    <w:p w14:paraId="0F92F2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p>
    <w:p w14:paraId="0664FC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二、提高政府采购项目价格评审优惠幅度</w:t>
      </w:r>
    </w:p>
    <w:p w14:paraId="3D872D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p>
    <w:p w14:paraId="17DCFC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三、提高政府采购工程项目预留份额比例</w:t>
      </w:r>
    </w:p>
    <w:p w14:paraId="416DB4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p>
    <w:p w14:paraId="523A5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四、降低经营成本提高履约能力</w:t>
      </w:r>
    </w:p>
    <w:p w14:paraId="5ED858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p>
    <w:p w14:paraId="525A9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五、优化政府采购程序推进全流程电子化</w:t>
      </w:r>
    </w:p>
    <w:p w14:paraId="03EC56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p>
    <w:p w14:paraId="3D3FD2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六、加强项目执行管理提升政府采购透明度</w:t>
      </w:r>
    </w:p>
    <w:p w14:paraId="50632D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p>
    <w:p w14:paraId="338D530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7AA159A6">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432CCD90">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39A3D8DF">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7A9513E8">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76D86B89">
      <w:pPr>
        <w:rPr>
          <w:rFonts w:hint="eastAsia"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br w:type="page"/>
      </w:r>
    </w:p>
    <w:p w14:paraId="49DB0719">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141FC673">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4AAB11EC">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753679C2">
      <w:pPr>
        <w:widowControl/>
        <w:shd w:val="clear" w:color="auto" w:fill="FFFFFF"/>
        <w:spacing w:line="360" w:lineRule="atLeast"/>
        <w:jc w:val="center"/>
        <w:outlineLvl w:val="9"/>
        <w:rPr>
          <w:rFonts w:hint="eastAsia" w:ascii="宋体" w:hAnsi="宋体"/>
          <w:b/>
          <w:bCs/>
          <w:color w:val="000000" w:themeColor="text1"/>
          <w:sz w:val="36"/>
          <w:szCs w:val="36"/>
          <w:highlight w:val="none"/>
          <w14:textFill>
            <w14:solidFill>
              <w14:schemeClr w14:val="tx1"/>
            </w14:solidFill>
          </w14:textFill>
        </w:rPr>
      </w:pPr>
    </w:p>
    <w:p w14:paraId="76628AA5">
      <w:pPr>
        <w:widowControl/>
        <w:shd w:val="clear" w:color="auto" w:fill="FFFFFF"/>
        <w:spacing w:line="360" w:lineRule="atLeast"/>
        <w:jc w:val="center"/>
        <w:outlineLvl w:val="1"/>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第二轮</w:t>
      </w:r>
      <w:r>
        <w:rPr>
          <w:rFonts w:hint="eastAsia" w:ascii="宋体" w:hAnsi="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b/>
          <w:bCs/>
          <w:color w:val="000000" w:themeColor="text1"/>
          <w:sz w:val="36"/>
          <w:szCs w:val="36"/>
          <w:highlight w:val="none"/>
          <w14:textFill>
            <w14:solidFill>
              <w14:schemeClr w14:val="tx1"/>
            </w14:solidFill>
          </w14:textFill>
        </w:rPr>
        <w:t>磋商报价（最终报价）格式</w:t>
      </w:r>
      <w:bookmarkEnd w:id="135"/>
    </w:p>
    <w:p w14:paraId="1646449D">
      <w:pPr>
        <w:widowControl/>
        <w:shd w:val="clear" w:color="auto" w:fill="FFFFFF"/>
        <w:spacing w:line="360" w:lineRule="atLeast"/>
        <w:rPr>
          <w:b/>
          <w:bCs/>
          <w:color w:val="000000" w:themeColor="text1"/>
          <w:highlight w:val="none"/>
          <w14:textFill>
            <w14:solidFill>
              <w14:schemeClr w14:val="tx1"/>
            </w14:solidFill>
          </w14:textFill>
        </w:rPr>
      </w:pPr>
      <w:r>
        <w:rPr>
          <w:rFonts w:ascii="宋体" w:hAnsi="宋体"/>
          <w:color w:val="000000" w:themeColor="text1"/>
          <w:sz w:val="52"/>
          <w:szCs w:val="52"/>
          <w:highlight w:val="none"/>
          <w14:textFill>
            <w14:solidFill>
              <w14:schemeClr w14:val="tx1"/>
            </w14:solidFill>
          </w14:textFill>
        </w:rPr>
        <w:br w:type="page"/>
      </w:r>
    </w:p>
    <w:p w14:paraId="3B611107">
      <w:pPr>
        <w:widowControl/>
        <w:shd w:val="clear" w:color="auto" w:fill="FFFFFF"/>
        <w:spacing w:line="360" w:lineRule="atLeast"/>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第二轮磋商报价（最终报价）</w:t>
      </w:r>
    </w:p>
    <w:p w14:paraId="0424ED6E">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p>
    <w:p w14:paraId="61A3B9BA">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p>
    <w:p w14:paraId="36958B4C">
      <w:pPr>
        <w:widowControl/>
        <w:shd w:val="clear" w:color="auto" w:fill="FFFFFF"/>
        <w:spacing w:line="360" w:lineRule="atLeast"/>
        <w:jc w:val="center"/>
        <w:rPr>
          <w:rFonts w:hint="eastAsia" w:ascii="宋体" w:hAnsi="宋体" w:cs="宋体"/>
          <w:b/>
          <w:bCs/>
          <w:color w:val="000000" w:themeColor="text1"/>
          <w:sz w:val="32"/>
          <w:szCs w:val="32"/>
          <w:highlight w:val="none"/>
          <w:lang w:eastAsia="zh-CN"/>
          <w14:textFill>
            <w14:solidFill>
              <w14:schemeClr w14:val="tx1"/>
            </w14:solidFill>
          </w14:textFill>
        </w:rPr>
      </w:pPr>
    </w:p>
    <w:p w14:paraId="391530AA">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注：以政采云平台系统格式为准</w:t>
      </w:r>
    </w:p>
    <w:p w14:paraId="316A6BBB">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02529D5B">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73D81E1C">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48D8CF94">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312706E4">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3212CA88">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76A87D80">
      <w:pPr>
        <w:spacing w:line="360" w:lineRule="auto"/>
        <w:rPr>
          <w:rFonts w:hint="eastAsia"/>
          <w:b/>
          <w:bCs/>
          <w:color w:val="000000" w:themeColor="text1"/>
          <w:sz w:val="24"/>
          <w:szCs w:val="24"/>
          <w:highlight w:val="none"/>
          <w14:textFill>
            <w14:solidFill>
              <w14:schemeClr w14:val="tx1"/>
            </w14:solidFill>
          </w14:textFill>
        </w:rPr>
      </w:pPr>
    </w:p>
    <w:p w14:paraId="3F856F3A">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第二轮报价说明：</w:t>
      </w:r>
    </w:p>
    <w:p w14:paraId="5D9A4A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1.通过初步评审的磋商单位将被要求提供最终报价表，本磋商报价表（最终报价）不附在响应文件内，磋商申请人应依据磋商情况进行本表格的填报。</w:t>
      </w:r>
    </w:p>
    <w:p w14:paraId="2EC08ED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2.参与磋商的供应商应</w:t>
      </w:r>
      <w:r>
        <w:rPr>
          <w:rFonts w:hint="eastAsia" w:ascii="宋体" w:hAnsi="宋体" w:eastAsia="宋体" w:cs="宋体"/>
          <w:b/>
          <w:color w:val="000000" w:themeColor="text1"/>
          <w:sz w:val="24"/>
          <w:szCs w:val="24"/>
          <w:highlight w:val="none"/>
          <w14:textFill>
            <w14:solidFill>
              <w14:schemeClr w14:val="tx1"/>
            </w14:solidFill>
          </w14:textFill>
        </w:rPr>
        <w:t>提前准备第二轮磋商报价，不附在首次响应文件内，</w:t>
      </w:r>
      <w:r>
        <w:rPr>
          <w:rFonts w:hint="eastAsia" w:ascii="宋体" w:hAnsi="宋体" w:cs="宋体"/>
          <w:b/>
          <w:color w:val="000000" w:themeColor="text1"/>
          <w:sz w:val="24"/>
          <w:szCs w:val="24"/>
          <w:highlight w:val="none"/>
          <w:lang w:eastAsia="zh-CN"/>
          <w14:textFill>
            <w14:solidFill>
              <w14:schemeClr w14:val="tx1"/>
            </w14:solidFill>
          </w14:textFill>
        </w:rPr>
        <w:t>通过资格审查的供应商，在评审过程中开启第二轮磋商报价</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供应商须填写后远程提交，</w:t>
      </w:r>
      <w:r>
        <w:rPr>
          <w:rFonts w:hint="eastAsia" w:ascii="宋体" w:hAnsi="宋体" w:eastAsia="宋体" w:cs="宋体"/>
          <w:b/>
          <w:color w:val="000000" w:themeColor="text1"/>
          <w:sz w:val="24"/>
          <w:szCs w:val="24"/>
          <w:highlight w:val="none"/>
          <w14:textFill>
            <w14:solidFill>
              <w14:schemeClr w14:val="tx1"/>
            </w14:solidFill>
          </w14:textFill>
        </w:rPr>
        <w:t>作为响应文件的组成部分。</w:t>
      </w:r>
    </w:p>
    <w:p w14:paraId="5543E40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3.参加磋商的供应商最终报价不得高于其首轮报</w:t>
      </w:r>
      <w:r>
        <w:rPr>
          <w:rFonts w:hint="eastAsia" w:ascii="宋体" w:hAnsi="宋体"/>
          <w:color w:val="000000" w:themeColor="text1"/>
          <w:sz w:val="24"/>
          <w:szCs w:val="24"/>
          <w:highlight w:val="none"/>
          <w:lang w:eastAsia="zh-CN"/>
          <w14:textFill>
            <w14:solidFill>
              <w14:schemeClr w14:val="tx1"/>
            </w14:solidFill>
          </w14:textFill>
        </w:rPr>
        <w:t>价</w:t>
      </w:r>
      <w:r>
        <w:rPr>
          <w:rFonts w:hint="eastAsia" w:ascii="宋体" w:hAnsi="宋体"/>
          <w:color w:val="000000" w:themeColor="text1"/>
          <w:sz w:val="24"/>
          <w:szCs w:val="24"/>
          <w:highlight w:val="none"/>
          <w14:textFill>
            <w14:solidFill>
              <w14:schemeClr w14:val="tx1"/>
            </w14:solidFill>
          </w14:textFill>
        </w:rPr>
        <w:t>。</w:t>
      </w:r>
    </w:p>
    <w:p w14:paraId="3EED115B">
      <w:pPr>
        <w:spacing w:line="500" w:lineRule="exact"/>
        <w:ind w:firstLine="422" w:firstLineChars="200"/>
        <w:rPr>
          <w:rFonts w:ascii="宋体" w:hAnsi="宋体" w:cs="宋体"/>
          <w:b/>
          <w:bCs/>
          <w:color w:val="000000" w:themeColor="text1"/>
          <w:highlight w:val="none"/>
          <w14:textFill>
            <w14:solidFill>
              <w14:schemeClr w14:val="tx1"/>
            </w14:solidFill>
          </w14:textFill>
        </w:rPr>
      </w:pPr>
    </w:p>
    <w:p w14:paraId="78ABB425">
      <w:pPr>
        <w:pStyle w:val="27"/>
        <w:rPr>
          <w:highlight w:val="none"/>
        </w:rPr>
      </w:pPr>
    </w:p>
    <w:p w14:paraId="089A24E9">
      <w:pPr>
        <w:pStyle w:val="3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color w:val="auto"/>
          <w:sz w:val="24"/>
          <w:szCs w:val="24"/>
          <w:highlight w:val="none"/>
        </w:rPr>
      </w:pPr>
    </w:p>
    <w:p w14:paraId="61FF04C8">
      <w:pPr>
        <w:pStyle w:val="3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ascii="宋体" w:hAnsi="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column"/>
      </w:r>
      <w:bookmarkStart w:id="142" w:name="_Toc5207"/>
      <w:bookmarkStart w:id="143" w:name="_Toc4201"/>
      <w:bookmarkStart w:id="144" w:name="_Toc32455"/>
      <w:r>
        <w:rPr>
          <w:rFonts w:hint="eastAsia" w:ascii="宋体" w:hAnsi="宋体" w:cs="宋体"/>
          <w:b w:val="0"/>
          <w:bCs w:val="0"/>
          <w:color w:val="000000" w:themeColor="text1"/>
          <w:sz w:val="36"/>
          <w:szCs w:val="36"/>
          <w:highlight w:val="none"/>
          <w14:textFill>
            <w14:solidFill>
              <w14:schemeClr w14:val="tx1"/>
            </w14:solidFill>
          </w14:textFill>
        </w:rPr>
        <w:t>第四章 政府采购合同书格式及条款</w:t>
      </w:r>
      <w:bookmarkEnd w:id="142"/>
      <w:bookmarkEnd w:id="143"/>
      <w:bookmarkEnd w:id="144"/>
    </w:p>
    <w:p w14:paraId="02634EFE">
      <w:pPr>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（以双方签订实际合同书、条款为准）</w:t>
      </w:r>
    </w:p>
    <w:p w14:paraId="5C375981">
      <w:pPr>
        <w:autoSpaceDE w:val="0"/>
        <w:autoSpaceDN w:val="0"/>
        <w:adjustRightInd w:val="0"/>
        <w:jc w:val="center"/>
        <w:outlineLvl w:val="1"/>
        <w:rPr>
          <w:rFonts w:ascii="宋体" w:hAnsi="宋体"/>
          <w:b w:val="0"/>
          <w:bCs w:val="0"/>
          <w:color w:val="000000" w:themeColor="text1"/>
          <w:sz w:val="32"/>
          <w:szCs w:val="32"/>
          <w:highlight w:val="none"/>
          <w:lang w:val="zh-CN"/>
          <w14:textFill>
            <w14:solidFill>
              <w14:schemeClr w14:val="tx1"/>
            </w14:solidFill>
          </w14:textFill>
        </w:rPr>
      </w:pPr>
      <w:bookmarkStart w:id="145" w:name="_Toc4569"/>
      <w:bookmarkStart w:id="146" w:name="_Toc2421"/>
      <w:r>
        <w:rPr>
          <w:rFonts w:hint="eastAsia" w:ascii="宋体" w:hAnsi="宋体" w:cs="黑体"/>
          <w:b w:val="0"/>
          <w:bCs w:val="0"/>
          <w:color w:val="000000" w:themeColor="text1"/>
          <w:sz w:val="28"/>
          <w:szCs w:val="28"/>
          <w:highlight w:val="none"/>
          <w14:textFill>
            <w14:solidFill>
              <w14:schemeClr w14:val="tx1"/>
            </w14:solidFill>
          </w14:textFill>
        </w:rPr>
        <w:t xml:space="preserve">第一节 </w:t>
      </w:r>
      <w:r>
        <w:rPr>
          <w:rFonts w:hint="eastAsia" w:ascii="宋体" w:hAnsi="宋体" w:cs="黑体"/>
          <w:b w:val="0"/>
          <w:bCs w:val="0"/>
          <w:color w:val="000000" w:themeColor="text1"/>
          <w:sz w:val="28"/>
          <w:szCs w:val="28"/>
          <w:highlight w:val="none"/>
          <w:lang w:val="zh-CN"/>
          <w14:textFill>
            <w14:solidFill>
              <w14:schemeClr w14:val="tx1"/>
            </w14:solidFill>
          </w14:textFill>
        </w:rPr>
        <w:t>政府采购合同书格式</w:t>
      </w:r>
      <w:bookmarkEnd w:id="145"/>
      <w:bookmarkEnd w:id="146"/>
    </w:p>
    <w:p w14:paraId="39ACEF38">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合同编号：</w:t>
      </w:r>
      <w:r>
        <w:rPr>
          <w:rFonts w:ascii="宋体" w:hAnsi="宋体" w:cs="宋体"/>
          <w:b w:val="0"/>
          <w:bCs w:val="0"/>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p>
    <w:p w14:paraId="4CFEC27C">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签订地点：</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p>
    <w:p w14:paraId="2ECDF125">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lang w:val="zh-CN"/>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签订日期：</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ascii="宋体" w:hAnsi="宋体" w:cs="宋体"/>
          <w:b w:val="0"/>
          <w:bCs w:val="0"/>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年</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月</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日</w:t>
      </w:r>
      <w:r>
        <w:rPr>
          <w:rFonts w:ascii="宋体" w:hAnsi="宋体" w:cs="宋体"/>
          <w:b w:val="0"/>
          <w:bCs w:val="0"/>
          <w:color w:val="000000" w:themeColor="text1"/>
          <w:sz w:val="24"/>
          <w:szCs w:val="24"/>
          <w:highlight w:val="none"/>
          <w:lang w:val="zh-CN"/>
          <w14:textFill>
            <w14:solidFill>
              <w14:schemeClr w14:val="tx1"/>
            </w14:solidFill>
          </w14:textFill>
        </w:rPr>
        <w:t xml:space="preserve"> </w:t>
      </w:r>
    </w:p>
    <w:p w14:paraId="28216FB2">
      <w:pPr>
        <w:autoSpaceDE w:val="0"/>
        <w:autoSpaceDN w:val="0"/>
        <w:adjustRightInd w:val="0"/>
        <w:spacing w:line="360" w:lineRule="auto"/>
        <w:ind w:firstLine="1200" w:firstLineChars="500"/>
        <w:rPr>
          <w:rFonts w:ascii="宋体" w:hAnsi="宋体"/>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采购任务通知书编号：</w:t>
      </w:r>
      <w:r>
        <w:rPr>
          <w:rFonts w:hint="eastAsia" w:ascii="宋体" w:cs="宋体"/>
          <w:b w:val="0"/>
          <w:bCs w:val="0"/>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u w:val="single"/>
          <w14:textFill>
            <w14:solidFill>
              <w14:schemeClr w14:val="tx1"/>
            </w14:solidFill>
          </w14:textFill>
        </w:rPr>
        <w:t xml:space="preserve">                         </w:t>
      </w:r>
    </w:p>
    <w:p w14:paraId="30CEC5F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（需方）需求的</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（项目名称）经</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以编号为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的磋商文件在国内公开招标，评标委员会评定（供方）为中标供应商。供需双方按照《中华人民共和国</w:t>
      </w:r>
      <w:r>
        <w:rPr>
          <w:rFonts w:hint="eastAsia" w:ascii="宋体" w:hAnsi="宋体" w:cs="宋体"/>
          <w:color w:val="000000" w:themeColor="text1"/>
          <w:sz w:val="24"/>
          <w:szCs w:val="24"/>
          <w:highlight w:val="none"/>
          <w14:textFill>
            <w14:solidFill>
              <w14:schemeClr w14:val="tx1"/>
            </w14:solidFill>
          </w14:textFill>
        </w:rPr>
        <w:t>民法典</w:t>
      </w:r>
      <w:r>
        <w:rPr>
          <w:rFonts w:hint="eastAsia" w:ascii="宋体" w:hAnsi="宋体" w:cs="宋体"/>
          <w:color w:val="000000" w:themeColor="text1"/>
          <w:sz w:val="24"/>
          <w:szCs w:val="24"/>
          <w:highlight w:val="none"/>
          <w:lang w:val="zh-CN"/>
          <w14:textFill>
            <w14:solidFill>
              <w14:schemeClr w14:val="tx1"/>
            </w14:solidFill>
          </w14:textFill>
        </w:rPr>
        <w:t>》和有关法律法规，遵循平等、自愿、公平和诚实信用原则，同意按照下面的条款和条件订立本合同，共同信守。</w:t>
      </w:r>
    </w:p>
    <w:p w14:paraId="1698E268">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1.合同标的</w:t>
      </w:r>
      <w:r>
        <w:rPr>
          <w:rFonts w:hint="eastAsia" w:ascii="宋体" w:hAnsi="宋体" w:cs="宋体"/>
          <w:color w:val="000000" w:themeColor="text1"/>
          <w:sz w:val="24"/>
          <w:szCs w:val="24"/>
          <w:highlight w:val="none"/>
          <w:lang w:val="zh-CN"/>
          <w14:textFill>
            <w14:solidFill>
              <w14:schemeClr w14:val="tx1"/>
            </w14:solidFill>
          </w14:textFill>
        </w:rPr>
        <w:t xml:space="preserve">： </w:t>
      </w:r>
    </w:p>
    <w:tbl>
      <w:tblPr>
        <w:tblStyle w:val="34"/>
        <w:tblW w:w="8400" w:type="dxa"/>
        <w:jc w:val="center"/>
        <w:tblLayout w:type="fixed"/>
        <w:tblCellMar>
          <w:top w:w="0" w:type="dxa"/>
          <w:left w:w="10" w:type="dxa"/>
          <w:bottom w:w="0" w:type="dxa"/>
          <w:right w:w="10" w:type="dxa"/>
        </w:tblCellMar>
      </w:tblPr>
      <w:tblGrid>
        <w:gridCol w:w="1960"/>
        <w:gridCol w:w="3236"/>
        <w:gridCol w:w="1936"/>
        <w:gridCol w:w="1268"/>
      </w:tblGrid>
      <w:tr w14:paraId="612BC338">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5BDDEDE3">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货物名称</w:t>
            </w:r>
          </w:p>
        </w:tc>
        <w:tc>
          <w:tcPr>
            <w:tcW w:w="3236" w:type="dxa"/>
            <w:tcBorders>
              <w:top w:val="single" w:color="000000" w:sz="6" w:space="0"/>
              <w:left w:val="single" w:color="000000" w:sz="6" w:space="0"/>
              <w:bottom w:val="single" w:color="000000" w:sz="6" w:space="0"/>
              <w:right w:val="single" w:color="000000" w:sz="6" w:space="0"/>
            </w:tcBorders>
            <w:vAlign w:val="center"/>
          </w:tcPr>
          <w:p w14:paraId="1F46C16A">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货物内容</w:t>
            </w:r>
          </w:p>
        </w:tc>
        <w:tc>
          <w:tcPr>
            <w:tcW w:w="1936" w:type="dxa"/>
            <w:tcBorders>
              <w:top w:val="single" w:color="000000" w:sz="6" w:space="0"/>
              <w:left w:val="single" w:color="000000" w:sz="6" w:space="0"/>
              <w:bottom w:val="single" w:color="000000" w:sz="6" w:space="0"/>
              <w:right w:val="single" w:color="000000" w:sz="6" w:space="0"/>
            </w:tcBorders>
            <w:vAlign w:val="center"/>
          </w:tcPr>
          <w:p w14:paraId="608A670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合同履行期限</w:t>
            </w:r>
          </w:p>
        </w:tc>
        <w:tc>
          <w:tcPr>
            <w:tcW w:w="1268" w:type="dxa"/>
            <w:tcBorders>
              <w:top w:val="single" w:color="000000" w:sz="6" w:space="0"/>
              <w:left w:val="single" w:color="000000" w:sz="6" w:space="0"/>
              <w:bottom w:val="single" w:color="000000" w:sz="6" w:space="0"/>
              <w:right w:val="single" w:color="000000" w:sz="6" w:space="0"/>
            </w:tcBorders>
            <w:vAlign w:val="center"/>
          </w:tcPr>
          <w:p w14:paraId="3CBF921B">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金额</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w:t>
            </w:r>
          </w:p>
        </w:tc>
      </w:tr>
      <w:tr w14:paraId="6DAA0415">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7E9CC3F9">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3236" w:type="dxa"/>
            <w:tcBorders>
              <w:top w:val="single" w:color="000000" w:sz="6" w:space="0"/>
              <w:left w:val="single" w:color="000000" w:sz="6" w:space="0"/>
              <w:bottom w:val="single" w:color="000000" w:sz="6" w:space="0"/>
              <w:right w:val="single" w:color="000000" w:sz="6" w:space="0"/>
            </w:tcBorders>
            <w:vAlign w:val="center"/>
          </w:tcPr>
          <w:p w14:paraId="784BBA00">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1936" w:type="dxa"/>
            <w:tcBorders>
              <w:top w:val="single" w:color="000000" w:sz="6" w:space="0"/>
              <w:left w:val="single" w:color="000000" w:sz="6" w:space="0"/>
              <w:bottom w:val="single" w:color="000000" w:sz="6" w:space="0"/>
              <w:right w:val="single" w:color="000000" w:sz="6" w:space="0"/>
            </w:tcBorders>
            <w:vAlign w:val="center"/>
          </w:tcPr>
          <w:p w14:paraId="4E29B699">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1268" w:type="dxa"/>
            <w:tcBorders>
              <w:top w:val="single" w:color="000000" w:sz="6" w:space="0"/>
              <w:left w:val="single" w:color="000000" w:sz="6" w:space="0"/>
              <w:bottom w:val="single" w:color="000000" w:sz="6" w:space="0"/>
              <w:right w:val="single" w:color="000000" w:sz="6" w:space="0"/>
            </w:tcBorders>
            <w:vAlign w:val="center"/>
          </w:tcPr>
          <w:p w14:paraId="29D5ACBA">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r>
      <w:tr w14:paraId="3B4B37D4">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4DCEDDD9">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3236" w:type="dxa"/>
            <w:tcBorders>
              <w:top w:val="single" w:color="000000" w:sz="6" w:space="0"/>
              <w:left w:val="single" w:color="000000" w:sz="6" w:space="0"/>
              <w:bottom w:val="single" w:color="000000" w:sz="6" w:space="0"/>
              <w:right w:val="single" w:color="000000" w:sz="6" w:space="0"/>
            </w:tcBorders>
            <w:vAlign w:val="center"/>
          </w:tcPr>
          <w:p w14:paraId="220EB3B5">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1936" w:type="dxa"/>
            <w:tcBorders>
              <w:top w:val="single" w:color="000000" w:sz="6" w:space="0"/>
              <w:left w:val="single" w:color="000000" w:sz="6" w:space="0"/>
              <w:bottom w:val="single" w:color="000000" w:sz="6" w:space="0"/>
              <w:right w:val="single" w:color="000000" w:sz="6" w:space="0"/>
            </w:tcBorders>
            <w:vAlign w:val="center"/>
          </w:tcPr>
          <w:p w14:paraId="7F3449FB">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1268" w:type="dxa"/>
            <w:tcBorders>
              <w:top w:val="single" w:color="000000" w:sz="6" w:space="0"/>
              <w:left w:val="single" w:color="000000" w:sz="6" w:space="0"/>
              <w:bottom w:val="single" w:color="000000" w:sz="6" w:space="0"/>
              <w:right w:val="single" w:color="000000" w:sz="6" w:space="0"/>
            </w:tcBorders>
            <w:vAlign w:val="center"/>
          </w:tcPr>
          <w:p w14:paraId="6FB3A1EA">
            <w:pPr>
              <w:spacing w:line="400" w:lineRule="exact"/>
              <w:jc w:val="center"/>
              <w:rPr>
                <w:rFonts w:ascii="宋体" w:hAnsi="宋体" w:cs="宋体"/>
                <w:color w:val="000000" w:themeColor="text1"/>
                <w:sz w:val="24"/>
                <w:szCs w:val="24"/>
                <w:highlight w:val="none"/>
                <w14:textFill>
                  <w14:solidFill>
                    <w14:schemeClr w14:val="tx1"/>
                  </w14:solidFill>
                </w14:textFill>
              </w:rPr>
            </w:pPr>
          </w:p>
        </w:tc>
      </w:tr>
    </w:tbl>
    <w:p w14:paraId="6FAA9D7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2.合同</w:t>
      </w:r>
      <w:r>
        <w:rPr>
          <w:rFonts w:hint="eastAsia" w:ascii="宋体" w:hAnsi="宋体" w:cs="宋体"/>
          <w:b/>
          <w:bCs/>
          <w:color w:val="000000" w:themeColor="text1"/>
          <w:sz w:val="24"/>
          <w:szCs w:val="24"/>
          <w:highlight w:val="none"/>
          <w14:textFill>
            <w14:solidFill>
              <w14:schemeClr w14:val="tx1"/>
            </w14:solidFill>
          </w14:textFill>
        </w:rPr>
        <w:t>价格</w:t>
      </w:r>
      <w:r>
        <w:rPr>
          <w:rFonts w:hint="eastAsia" w:ascii="宋体" w:hAnsi="宋体" w:cs="宋体"/>
          <w:color w:val="000000" w:themeColor="text1"/>
          <w:sz w:val="24"/>
          <w:szCs w:val="24"/>
          <w:highlight w:val="none"/>
          <w:lang w:val="zh-CN"/>
          <w14:textFill>
            <w14:solidFill>
              <w14:schemeClr w14:val="tx1"/>
            </w14:solidFill>
          </w14:textFill>
        </w:rPr>
        <w:t>：人民币（大写）</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元，（小写）¥：</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元。</w:t>
      </w:r>
    </w:p>
    <w:p w14:paraId="4BA1103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3.货物周期、地点、方式</w:t>
      </w:r>
    </w:p>
    <w:p w14:paraId="3367B3A0">
      <w:pPr>
        <w:spacing w:line="40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3.1供货期：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05891E92">
      <w:pPr>
        <w:spacing w:line="400" w:lineRule="exact"/>
        <w:ind w:firstLine="240" w:firstLineChars="1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3.2供货地点：</w:t>
      </w:r>
      <w:r>
        <w:rPr>
          <w:rFonts w:hint="eastAsia" w:ascii="宋体" w:hAnsi="宋体" w:cs="宋体"/>
          <w:color w:val="000000" w:themeColor="text1"/>
          <w:sz w:val="24"/>
          <w:szCs w:val="24"/>
          <w:highlight w:val="none"/>
          <w:u w:val="single"/>
          <w14:textFill>
            <w14:solidFill>
              <w14:schemeClr w14:val="tx1"/>
            </w14:solidFill>
          </w14:textFill>
        </w:rPr>
        <w:t xml:space="preserve"> 采购人指定地点</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24FBCE22">
      <w:pPr>
        <w:spacing w:line="40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4.付款方式：</w:t>
      </w:r>
    </w:p>
    <w:p w14:paraId="05A5E34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按合同约定。如果需方届时不能支付或者不能全额支付，由需方承担违约责任，供方承担全部收款责任，与招标机构无关。</w:t>
      </w:r>
    </w:p>
    <w:p w14:paraId="04C6FDC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5.履约保证金</w:t>
      </w:r>
      <w:r>
        <w:rPr>
          <w:rFonts w:hint="eastAsia" w:ascii="宋体" w:hAnsi="宋体" w:cs="宋体"/>
          <w:color w:val="000000" w:themeColor="text1"/>
          <w:sz w:val="24"/>
          <w:szCs w:val="24"/>
          <w:highlight w:val="none"/>
          <w:lang w:val="zh-CN"/>
          <w14:textFill>
            <w14:solidFill>
              <w14:schemeClr w14:val="tx1"/>
            </w14:solidFill>
          </w14:textFill>
        </w:rPr>
        <w:t>：</w:t>
      </w:r>
    </w:p>
    <w:p w14:paraId="0D3453A9">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5.1 在签署本合同之前，供方应向需方提交合同总价0%的履约保证金（人民币，取整数位到百元）。履约保证金可以采用银行转帐。</w:t>
      </w:r>
    </w:p>
    <w:p w14:paraId="46BB972C">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5.2 履约保证金的有效期到供方提供的服务经需方验收合格并交付给需方之日止，以银行转帐方式返还，不计利息。</w:t>
      </w:r>
    </w:p>
    <w:p w14:paraId="600ACF30">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6.质量保证金</w:t>
      </w:r>
      <w:r>
        <w:rPr>
          <w:rFonts w:hint="eastAsia" w:ascii="宋体" w:hAnsi="宋体" w:cs="宋体"/>
          <w:color w:val="000000" w:themeColor="text1"/>
          <w:sz w:val="24"/>
          <w:szCs w:val="24"/>
          <w:highlight w:val="none"/>
          <w:lang w:val="zh-CN"/>
          <w14:textFill>
            <w14:solidFill>
              <w14:schemeClr w14:val="tx1"/>
            </w14:solidFill>
          </w14:textFill>
        </w:rPr>
        <w:t xml:space="preserve"> </w:t>
      </w:r>
    </w:p>
    <w:p w14:paraId="3EEFD123">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6.1质量保证金为合同总价款的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w:t>
      </w:r>
    </w:p>
    <w:p w14:paraId="7498505F">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6.2供方提交的履约保证金到期后转作质量保证金。</w:t>
      </w:r>
    </w:p>
    <w:p w14:paraId="7D978590">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6.3质量保证金的有效期到合同规定的质量保证期期满之日止，扣除供方承担质量保证责任的费用后，剩余部分在质量保证期期满后</w:t>
      </w:r>
      <w:r>
        <w:rPr>
          <w:rFonts w:hint="eastAsia" w:ascii="宋体" w:hAnsi="宋体" w:cs="宋体"/>
          <w:color w:val="000000" w:themeColor="text1"/>
          <w:sz w:val="24"/>
          <w:szCs w:val="24"/>
          <w:highlight w:val="none"/>
          <w:u w:val="single"/>
          <w:lang w:val="zh-CN"/>
          <w14:textFill>
            <w14:solidFill>
              <w14:schemeClr w14:val="tx1"/>
            </w14:solidFill>
          </w14:textFill>
        </w:rPr>
        <w:t>20个</w:t>
      </w:r>
      <w:r>
        <w:rPr>
          <w:rFonts w:hint="eastAsia" w:ascii="宋体" w:hAnsi="宋体" w:cs="宋体"/>
          <w:color w:val="000000" w:themeColor="text1"/>
          <w:sz w:val="24"/>
          <w:szCs w:val="24"/>
          <w:highlight w:val="none"/>
          <w:lang w:val="zh-CN"/>
          <w14:textFill>
            <w14:solidFill>
              <w14:schemeClr w14:val="tx1"/>
            </w14:solidFill>
          </w14:textFill>
        </w:rPr>
        <w:t>工作日内返还，不计利息。</w:t>
      </w:r>
    </w:p>
    <w:p w14:paraId="6E9086D5">
      <w:pPr>
        <w:spacing w:line="400" w:lineRule="exact"/>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7.合同补充条款：</w:t>
      </w:r>
    </w:p>
    <w:p w14:paraId="395137D5">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8.争议解决方式：</w:t>
      </w:r>
      <w:r>
        <w:rPr>
          <w:rFonts w:hint="eastAsia" w:ascii="宋体" w:hAnsi="宋体" w:cs="宋体"/>
          <w:color w:val="000000" w:themeColor="text1"/>
          <w:sz w:val="24"/>
          <w:szCs w:val="24"/>
          <w:highlight w:val="none"/>
          <w:lang w:val="zh-CN"/>
          <w14:textFill>
            <w14:solidFill>
              <w14:schemeClr w14:val="tx1"/>
            </w14:solidFill>
          </w14:textFill>
        </w:rPr>
        <w:t>供需双方达成仲裁协议，向</w:t>
      </w:r>
      <w:r>
        <w:rPr>
          <w:rFonts w:hint="eastAsia" w:ascii="宋体" w:hAnsi="宋体" w:cs="宋体"/>
          <w:color w:val="000000" w:themeColor="text1"/>
          <w:sz w:val="24"/>
          <w:szCs w:val="24"/>
          <w:highlight w:val="none"/>
          <w14:textFill>
            <w14:solidFill>
              <w14:schemeClr w14:val="tx1"/>
            </w14:solidFill>
          </w14:textFill>
        </w:rPr>
        <w:t>延吉市</w:t>
      </w:r>
      <w:r>
        <w:rPr>
          <w:rFonts w:hint="eastAsia" w:ascii="宋体" w:hAnsi="宋体" w:cs="宋体"/>
          <w:color w:val="000000" w:themeColor="text1"/>
          <w:sz w:val="24"/>
          <w:szCs w:val="24"/>
          <w:highlight w:val="none"/>
          <w:lang w:val="zh-CN"/>
          <w14:textFill>
            <w14:solidFill>
              <w14:schemeClr w14:val="tx1"/>
            </w14:solidFill>
          </w14:textFill>
        </w:rPr>
        <w:t>仲裁委员会申请仲裁（向合同签定地人民法院提起诉讼）。</w:t>
      </w:r>
    </w:p>
    <w:p w14:paraId="5EF7390E">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9合同构成：</w:t>
      </w:r>
      <w:r>
        <w:rPr>
          <w:rFonts w:hint="eastAsia" w:ascii="宋体" w:hAnsi="宋体" w:cs="宋体"/>
          <w:color w:val="000000" w:themeColor="text1"/>
          <w:sz w:val="24"/>
          <w:szCs w:val="24"/>
          <w:highlight w:val="none"/>
          <w:lang w:val="zh-CN"/>
          <w14:textFill>
            <w14:solidFill>
              <w14:schemeClr w14:val="tx1"/>
            </w14:solidFill>
          </w14:textFill>
        </w:rPr>
        <w:t>下列文件构成本合同不可分割的组成部分，与本合同具有同等法律效力：</w:t>
      </w:r>
    </w:p>
    <w:p w14:paraId="47F10FC6">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9.1本合同书；</w:t>
      </w:r>
    </w:p>
    <w:p w14:paraId="7EC6AAAB">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9.2中标通知书；</w:t>
      </w:r>
    </w:p>
    <w:p w14:paraId="7D08E80C">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9.3磋商文件及澄清、修改、补遗文件；</w:t>
      </w:r>
    </w:p>
    <w:p w14:paraId="6C1851F9">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9.4供方的响应文件及书面澄清、说明、补正文件；</w:t>
      </w:r>
    </w:p>
    <w:p w14:paraId="3E9DC639">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9.5验收报告单；</w:t>
      </w:r>
    </w:p>
    <w:p w14:paraId="7B4A1446">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9.6合同的其它附件。</w:t>
      </w:r>
    </w:p>
    <w:p w14:paraId="167CA248">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上述组成合同的文件如有不一致之处，以日期在后的为准。</w:t>
      </w:r>
    </w:p>
    <w:p w14:paraId="7756B03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10.合同份数</w:t>
      </w:r>
      <w:r>
        <w:rPr>
          <w:rFonts w:hint="eastAsia" w:ascii="宋体" w:hAnsi="宋体" w:cs="宋体"/>
          <w:color w:val="000000" w:themeColor="text1"/>
          <w:sz w:val="24"/>
          <w:szCs w:val="24"/>
          <w:highlight w:val="none"/>
          <w:lang w:val="zh-CN"/>
          <w14:textFill>
            <w14:solidFill>
              <w14:schemeClr w14:val="tx1"/>
            </w14:solidFill>
          </w14:textFill>
        </w:rPr>
        <w:t>：本合同一式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三</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份，供需双方各执</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份，另一份作为需方向</w:t>
      </w:r>
      <w:r>
        <w:rPr>
          <w:rFonts w:hint="eastAsia" w:ascii="宋体" w:hAnsi="宋体" w:cs="宋体"/>
          <w:color w:val="000000" w:themeColor="text1"/>
          <w:sz w:val="24"/>
          <w:szCs w:val="24"/>
          <w:highlight w:val="none"/>
          <w:lang w:val="en-US" w:eastAsia="zh-CN"/>
          <w14:textFill>
            <w14:solidFill>
              <w14:schemeClr w14:val="tx1"/>
            </w14:solidFill>
          </w14:textFill>
        </w:rPr>
        <w:t>所在地财政局</w:t>
      </w:r>
      <w:r>
        <w:rPr>
          <w:rFonts w:hint="eastAsia" w:ascii="宋体" w:hAnsi="宋体" w:cs="宋体"/>
          <w:color w:val="000000" w:themeColor="text1"/>
          <w:sz w:val="24"/>
          <w:szCs w:val="24"/>
          <w:highlight w:val="none"/>
          <w:lang w:val="zh-CN"/>
          <w14:textFill>
            <w14:solidFill>
              <w14:schemeClr w14:val="tx1"/>
            </w14:solidFill>
          </w14:textFill>
        </w:rPr>
        <w:t xml:space="preserve">提请付款的凭证。 </w:t>
      </w:r>
    </w:p>
    <w:p w14:paraId="688138BD">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11.合同生效：</w:t>
      </w:r>
      <w:r>
        <w:rPr>
          <w:rFonts w:hint="eastAsia" w:ascii="宋体" w:hAnsi="宋体" w:cs="宋体"/>
          <w:color w:val="000000" w:themeColor="text1"/>
          <w:sz w:val="24"/>
          <w:szCs w:val="24"/>
          <w:highlight w:val="none"/>
          <w:lang w:val="zh-CN"/>
          <w14:textFill>
            <w14:solidFill>
              <w14:schemeClr w14:val="tx1"/>
            </w14:solidFill>
          </w14:textFill>
        </w:rPr>
        <w:t>本合同在供需双方法定代表人或其授权代理人签字、加盖双方公章或者合同专用章，并且需方收到供方提交的履约保证金后生效。</w:t>
      </w:r>
    </w:p>
    <w:p w14:paraId="4FC9D1EA">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12.合同修改：</w:t>
      </w:r>
      <w:r>
        <w:rPr>
          <w:rFonts w:hint="eastAsia" w:ascii="宋体" w:hAnsi="宋体" w:cs="宋体"/>
          <w:color w:val="000000" w:themeColor="text1"/>
          <w:sz w:val="24"/>
          <w:szCs w:val="24"/>
          <w:highlight w:val="none"/>
          <w:lang w:val="zh-CN"/>
          <w14:textFill>
            <w14:solidFill>
              <w14:schemeClr w14:val="tx1"/>
            </w14:solidFill>
          </w14:textFill>
        </w:rPr>
        <w:t xml:space="preserve">除供需双方签署书面修改、补充协议外，本合同条件不得有任何变化或修改。      </w:t>
      </w:r>
    </w:p>
    <w:p w14:paraId="680DA1D5">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需方</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zh-CN"/>
          <w14:textFill>
            <w14:solidFill>
              <w14:schemeClr w14:val="tx1"/>
            </w14:solidFill>
          </w14:textFill>
        </w:rPr>
        <w:t>供方</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28AB776">
      <w:pPr>
        <w:spacing w:line="40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（加盖公章或合同专用章）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（加盖公章或合同专用章）</w:t>
      </w:r>
    </w:p>
    <w:p w14:paraId="57A16B99">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地址：</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F5AC93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法定代表人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法定代表人               </w:t>
      </w:r>
    </w:p>
    <w:p w14:paraId="77B6B7A9">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或授权代理人签字：</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或授权代理人签字：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8F9F822">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签字日期：</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77265A8">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      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326811C">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8C47AAA">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C74BF89">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1B6AD1C">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开户银行：</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开户银行：</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7F77C08">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帐户名称：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帐户名称：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60055A28">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帐号：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帐号：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64006D6">
      <w:pPr>
        <w:spacing w:line="5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br w:type="page"/>
      </w:r>
    </w:p>
    <w:p w14:paraId="16229E9A">
      <w:pPr>
        <w:jc w:val="center"/>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第二节 通用合同条款</w:t>
      </w:r>
    </w:p>
    <w:p w14:paraId="24DBAEB7">
      <w:pPr>
        <w:jc w:val="center"/>
        <w:rPr>
          <w:rFonts w:ascii="宋体" w:hAnsi="宋体" w:cs="宋体"/>
          <w:b/>
          <w:color w:val="000000" w:themeColor="text1"/>
          <w:sz w:val="32"/>
          <w:highlight w:val="none"/>
          <w14:textFill>
            <w14:solidFill>
              <w14:schemeClr w14:val="tx1"/>
            </w14:solidFill>
          </w14:textFill>
        </w:rPr>
      </w:pPr>
      <w:bookmarkStart w:id="147" w:name="_bookmark105"/>
      <w:bookmarkEnd w:id="147"/>
      <w:bookmarkStart w:id="148" w:name="_Toc25811"/>
      <w:bookmarkStart w:id="149" w:name="_Toc466454737"/>
      <w:bookmarkStart w:id="150" w:name="_Toc466466381"/>
      <w:bookmarkStart w:id="151" w:name="_Toc465257486"/>
      <w:bookmarkStart w:id="152" w:name="_Toc5590"/>
      <w:bookmarkStart w:id="153" w:name="_Toc20913"/>
      <w:r>
        <w:rPr>
          <w:rFonts w:hint="eastAsia" w:ascii="宋体" w:hAnsi="宋体" w:cs="宋体"/>
          <w:b/>
          <w:color w:val="000000" w:themeColor="text1"/>
          <w:sz w:val="32"/>
          <w:highlight w:val="none"/>
          <w14:textFill>
            <w14:solidFill>
              <w14:schemeClr w14:val="tx1"/>
            </w14:solidFill>
          </w14:textFill>
        </w:rPr>
        <w:t>（以双方签订实际条款为准）</w:t>
      </w:r>
    </w:p>
    <w:p w14:paraId="3437F31D">
      <w:pPr>
        <w:spacing w:line="600" w:lineRule="auto"/>
        <w:jc w:val="center"/>
        <w:outlineLvl w:val="0"/>
        <w:rPr>
          <w:b/>
          <w:bCs/>
          <w:color w:val="000000" w:themeColor="text1"/>
          <w:sz w:val="44"/>
          <w:szCs w:val="44"/>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r>
        <w:rPr>
          <w:rFonts w:hint="eastAsia"/>
          <w:b/>
          <w:bCs/>
          <w:color w:val="000000" w:themeColor="text1"/>
          <w:sz w:val="36"/>
          <w:szCs w:val="36"/>
          <w:highlight w:val="none"/>
          <w:lang w:val="en-US" w:eastAsia="zh-CN"/>
          <w14:textFill>
            <w14:solidFill>
              <w14:schemeClr w14:val="tx1"/>
            </w14:solidFill>
          </w14:textFill>
        </w:rPr>
        <w:t xml:space="preserve"> </w:t>
      </w:r>
      <w:r>
        <w:rPr>
          <w:b/>
          <w:bCs/>
          <w:color w:val="000000" w:themeColor="text1"/>
          <w:sz w:val="36"/>
          <w:szCs w:val="36"/>
          <w:highlight w:val="none"/>
          <w14:textFill>
            <w14:solidFill>
              <w14:schemeClr w14:val="tx1"/>
            </w14:solidFill>
          </w14:textFill>
        </w:rPr>
        <w:t>第</w:t>
      </w:r>
      <w:r>
        <w:rPr>
          <w:rFonts w:hint="eastAsia"/>
          <w:b/>
          <w:bCs/>
          <w:color w:val="000000" w:themeColor="text1"/>
          <w:sz w:val="36"/>
          <w:szCs w:val="36"/>
          <w:highlight w:val="none"/>
          <w14:textFill>
            <w14:solidFill>
              <w14:schemeClr w14:val="tx1"/>
            </w14:solidFill>
          </w14:textFill>
        </w:rPr>
        <w:t>五</w:t>
      </w:r>
      <w:r>
        <w:rPr>
          <w:b/>
          <w:bCs/>
          <w:color w:val="000000" w:themeColor="text1"/>
          <w:sz w:val="36"/>
          <w:szCs w:val="36"/>
          <w:highlight w:val="none"/>
          <w14:textFill>
            <w14:solidFill>
              <w14:schemeClr w14:val="tx1"/>
            </w14:solidFill>
          </w14:textFill>
        </w:rPr>
        <w:t>章</w:t>
      </w:r>
      <w:r>
        <w:rPr>
          <w:rFonts w:hint="eastAsia"/>
          <w:b/>
          <w:bCs/>
          <w:color w:val="000000" w:themeColor="text1"/>
          <w:sz w:val="36"/>
          <w:szCs w:val="36"/>
          <w:highlight w:val="none"/>
          <w14:textFill>
            <w14:solidFill>
              <w14:schemeClr w14:val="tx1"/>
            </w14:solidFill>
          </w14:textFill>
        </w:rPr>
        <w:t xml:space="preserve"> </w:t>
      </w:r>
      <w:bookmarkEnd w:id="148"/>
      <w:r>
        <w:rPr>
          <w:rFonts w:hint="eastAsia"/>
          <w:b/>
          <w:bCs/>
          <w:color w:val="000000" w:themeColor="text1"/>
          <w:sz w:val="36"/>
          <w:szCs w:val="36"/>
          <w:highlight w:val="none"/>
          <w14:textFill>
            <w14:solidFill>
              <w14:schemeClr w14:val="tx1"/>
            </w14:solidFill>
          </w14:textFill>
        </w:rPr>
        <w:t>项目采购需求</w:t>
      </w:r>
    </w:p>
    <w:p w14:paraId="7F5ABA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w:t>
      </w:r>
      <w:r>
        <w:rPr>
          <w:rFonts w:hint="eastAsia" w:ascii="宋体" w:hAnsi="宋体" w:cs="宋体"/>
          <w:b/>
          <w:bCs/>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延吉市看守所在押人员食堂食材采购项目；</w:t>
      </w:r>
    </w:p>
    <w:p w14:paraId="3E77C7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w:t>
      </w:r>
      <w:r>
        <w:rPr>
          <w:rFonts w:hint="eastAsia" w:ascii="宋体" w:hAnsi="宋体" w:cs="宋体"/>
          <w:b/>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color w:val="000000" w:themeColor="text1"/>
          <w:sz w:val="24"/>
          <w:szCs w:val="24"/>
          <w:highlight w:val="none"/>
          <w14:textFill>
            <w14:solidFill>
              <w14:schemeClr w14:val="tx1"/>
            </w14:solidFill>
          </w14:textFill>
        </w:rPr>
        <w:t>地点：</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采购人指定地点</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3C9D52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合同履行期限：</w:t>
      </w:r>
      <w:r>
        <w:rPr>
          <w:rFonts w:hint="eastAsia" w:ascii="宋体" w:hAnsi="宋体" w:cs="宋体"/>
          <w:color w:val="000000" w:themeColor="text1"/>
          <w:sz w:val="24"/>
          <w:szCs w:val="24"/>
          <w:highlight w:val="none"/>
          <w:lang w:val="zh-CN"/>
          <w14:textFill>
            <w14:solidFill>
              <w14:schemeClr w14:val="tx1"/>
            </w14:solidFill>
          </w14:textFill>
        </w:rPr>
        <w:t>自签订合同之日起至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auto"/>
          <w:spacing w:val="0"/>
          <w:kern w:val="2"/>
          <w:sz w:val="24"/>
          <w:szCs w:val="32"/>
          <w:highlight w:val="none"/>
          <w:lang w:val="en-US" w:eastAsia="zh-CN" w:bidi="ar-SA"/>
        </w:rPr>
        <w:t>按采购人要求随时供货</w:t>
      </w:r>
      <w:r>
        <w:rPr>
          <w:rFonts w:hint="eastAsia" w:ascii="宋体" w:hAnsi="宋体" w:cs="宋体"/>
          <w:color w:val="000000" w:themeColor="text1"/>
          <w:sz w:val="24"/>
          <w:szCs w:val="24"/>
          <w:highlight w:val="none"/>
          <w:lang w:val="zh-CN"/>
          <w14:textFill>
            <w14:solidFill>
              <w14:schemeClr w14:val="tx1"/>
            </w14:solidFill>
          </w14:textFill>
        </w:rPr>
        <w:t>；</w:t>
      </w:r>
    </w:p>
    <w:p w14:paraId="1F49594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eastAsia="zh-CN"/>
          <w14:textFill>
            <w14:solidFill>
              <w14:schemeClr w14:val="tx1"/>
            </w14:solidFill>
          </w14:textFill>
        </w:rPr>
        <w:t>折扣率100%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p w14:paraId="1A7D63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五</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验收方式：</w:t>
      </w:r>
      <w:r>
        <w:rPr>
          <w:rFonts w:hint="eastAsia" w:ascii="宋体" w:hAnsi="宋体" w:cs="宋体"/>
          <w:b w:val="0"/>
          <w:bCs w:val="0"/>
          <w:color w:val="000000"/>
          <w:sz w:val="24"/>
          <w:szCs w:val="24"/>
          <w:highlight w:val="none"/>
          <w:lang w:eastAsia="zh-CN"/>
        </w:rPr>
        <w:t>现场验收；</w:t>
      </w:r>
    </w:p>
    <w:p w14:paraId="225A21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六、验收负责人：</w:t>
      </w:r>
      <w:r>
        <w:rPr>
          <w:rFonts w:hint="eastAsia" w:ascii="宋体" w:hAnsi="宋体" w:cs="宋体"/>
          <w:b w:val="0"/>
          <w:bCs w:val="0"/>
          <w:color w:val="000000"/>
          <w:sz w:val="24"/>
          <w:szCs w:val="24"/>
          <w:highlight w:val="none"/>
          <w:lang w:eastAsia="zh-CN"/>
        </w:rPr>
        <w:t>需方指定人员；</w:t>
      </w:r>
    </w:p>
    <w:p w14:paraId="416BC7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七、项目采购需求</w:t>
      </w:r>
      <w:r>
        <w:rPr>
          <w:rFonts w:hint="eastAsia" w:ascii="宋体" w:hAnsi="宋体" w:eastAsia="宋体" w:cs="宋体"/>
          <w:b/>
          <w:bCs/>
          <w:color w:val="000000"/>
          <w:sz w:val="24"/>
          <w:szCs w:val="24"/>
          <w:highlight w:val="none"/>
        </w:rPr>
        <w:t>：</w:t>
      </w:r>
    </w:p>
    <w:p w14:paraId="7EAEE17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color w:val="000000"/>
          <w:sz w:val="24"/>
          <w:szCs w:val="24"/>
          <w:highlight w:val="none"/>
          <w:lang w:eastAsia="zh-CN"/>
        </w:rPr>
      </w:pPr>
      <w:bookmarkStart w:id="154" w:name="OLE_LINK2"/>
      <w:r>
        <w:rPr>
          <w:rFonts w:hint="eastAsia" w:ascii="宋体" w:hAnsi="宋体" w:cs="宋体"/>
          <w:b/>
          <w:bCs/>
          <w:color w:val="000000"/>
          <w:sz w:val="24"/>
          <w:szCs w:val="24"/>
          <w:highlight w:val="none"/>
          <w:lang w:val="en-US" w:eastAsia="zh-CN"/>
        </w:rPr>
        <w:t xml:space="preserve">1.货物需求 </w:t>
      </w:r>
    </w:p>
    <w:p w14:paraId="6333CD1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食材货物共分为大米、面粉、</w:t>
      </w:r>
      <w:r>
        <w:rPr>
          <w:rFonts w:hint="eastAsia" w:ascii="宋体" w:hAnsi="宋体" w:cs="宋体"/>
          <w:color w:val="000000"/>
          <w:kern w:val="0"/>
          <w:sz w:val="24"/>
          <w:szCs w:val="24"/>
          <w:highlight w:val="none"/>
          <w:lang w:val="en-US" w:eastAsia="zh-CN" w:bidi="ar"/>
        </w:rPr>
        <w:t>食用</w:t>
      </w:r>
      <w:r>
        <w:rPr>
          <w:rFonts w:hint="eastAsia" w:ascii="宋体" w:hAnsi="宋体" w:eastAsia="宋体" w:cs="宋体"/>
          <w:color w:val="000000"/>
          <w:kern w:val="0"/>
          <w:sz w:val="24"/>
          <w:szCs w:val="24"/>
          <w:highlight w:val="none"/>
          <w:lang w:val="en-US" w:eastAsia="zh-CN" w:bidi="ar"/>
        </w:rPr>
        <w:t>油、</w:t>
      </w:r>
      <w:r>
        <w:rPr>
          <w:rFonts w:hint="eastAsia" w:ascii="宋体" w:hAnsi="宋体" w:cs="宋体"/>
          <w:color w:val="000000"/>
          <w:kern w:val="0"/>
          <w:sz w:val="24"/>
          <w:szCs w:val="24"/>
          <w:highlight w:val="none"/>
          <w:lang w:val="en-US" w:eastAsia="zh-CN" w:bidi="ar"/>
        </w:rPr>
        <w:t>调料类</w:t>
      </w:r>
      <w:r>
        <w:rPr>
          <w:rFonts w:hint="eastAsia" w:ascii="宋体" w:hAnsi="宋体" w:eastAsia="宋体" w:cs="宋体"/>
          <w:color w:val="000000"/>
          <w:kern w:val="0"/>
          <w:sz w:val="24"/>
          <w:szCs w:val="24"/>
          <w:highlight w:val="none"/>
          <w:lang w:val="en-US" w:eastAsia="zh-CN" w:bidi="ar"/>
        </w:rPr>
        <w:t xml:space="preserve">、肉类、蛋类、水果、蔬菜类等。供应商不得提供临近保质期或保质期已过半的产品。 </w:t>
      </w:r>
    </w:p>
    <w:p w14:paraId="0754104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（1）大米、面粉、</w:t>
      </w:r>
      <w:r>
        <w:rPr>
          <w:rFonts w:hint="eastAsia" w:ascii="宋体" w:hAnsi="宋体" w:cs="宋体"/>
          <w:color w:val="000000"/>
          <w:kern w:val="0"/>
          <w:sz w:val="24"/>
          <w:szCs w:val="24"/>
          <w:highlight w:val="none"/>
          <w:lang w:val="en-US" w:eastAsia="zh-CN" w:bidi="ar"/>
        </w:rPr>
        <w:t>食用油</w:t>
      </w:r>
    </w:p>
    <w:p w14:paraId="5AAE80A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大米、面粉、油原料不含非食品用化学物质、转基因原材料，不掺假、不过期、不变质、不变味、无杂质、无毒害，符合国家食品行业标准。大米为东北生产且符合一级及以上质量标准，详见表1，卫生指标和检验按GB2715及国家有关规定执行、植物检疫按有关标准和国家有关规定执行、生产过程应符合GB14881的规定、产过程中，除符合GB5749规定的水之外不得添加任何物质； </w:t>
      </w:r>
    </w:p>
    <w:p w14:paraId="46B768B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食用油为一级及以上质量标准的非转基因豆油或玉米油，详见表2-1、2-2，生产时间均不得超过3个月以上，执行GB2716《食用植物油卫生标准》和GB2760《食品添加剂使用卫生标准》；面粉即小麦粉，应符合一级及以上质量标准，详见表3-1、3-2，卫生指标应符合 GB 2715《粮食卫生标准》，小麦粉中不得添加过氧化苯甲酰、溴酸钾；添加营养强化剂应符合GB 14880《食品营养强化剂使用卫生标准》。</w:t>
      </w:r>
    </w:p>
    <w:p w14:paraId="600B08D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调料</w:t>
      </w:r>
      <w:r>
        <w:rPr>
          <w:rFonts w:hint="eastAsia" w:ascii="宋体" w:hAnsi="宋体" w:eastAsia="宋体" w:cs="宋体"/>
          <w:color w:val="000000"/>
          <w:kern w:val="0"/>
          <w:sz w:val="24"/>
          <w:szCs w:val="24"/>
          <w:highlight w:val="none"/>
          <w:lang w:val="en-US" w:eastAsia="zh-CN" w:bidi="ar"/>
        </w:rPr>
        <w:t xml:space="preserve">类 </w:t>
      </w:r>
    </w:p>
    <w:p w14:paraId="0AF3253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调料不得含有对人体有害的物质，如重金属、农药残留等。同时，调料的生产、加工、包装、储存和运输过程必须符合食品安全的相关规定，调料的包装应当完好无损，无泄漏、无污染，并且应当有清晰的标签，标明产品名称、规格、数量、生产日期、保质期、生产厂家等信息。 </w:t>
      </w:r>
    </w:p>
    <w:p w14:paraId="0423788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（3）猪肉 </w:t>
      </w:r>
    </w:p>
    <w:p w14:paraId="486DE7B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猪肉必须是正规屠宰检疫猪肉，必须经市场监督管理部门检验并取得合格证明的产品，每批次产品提供时应提交合格证明或卫生检疫及屠宰证明，检验检疫证明留存备案；必须是放心肉，肉身必须盖有卫生检疫章，去除筋、杂物，肉质鲜嫩色泽鲜亮、无任何异味、无注水、无注胶、按压无水迹，符合食品卫生要求。鲜猪手、内脏等，必须是去除杂毛污物，交货以干净、新鲜大小适中为标准。 </w:t>
      </w:r>
    </w:p>
    <w:p w14:paraId="7C68574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（4）牛羊肉 </w:t>
      </w:r>
    </w:p>
    <w:p w14:paraId="5F2F256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牛羊肉必须是正规屠宰检疫牛羊肉，必须经市场监督管理部门检验并取得合格证明的产品，每批次产品提供时应提交合格证明或卫生检疫及屠宰证明；鲜牛羊肉肌肉要有光泽，暗红色均匀，脂肪乳白色或微黄色；纤维清晰，有坚韧性；外表微干或湿润不沾手，切面湿润；指压后凹陷立即恢复；具有鲜牛羊肉固有的气味，无臭味、无异味。冻牛羊肉肌肉有光泽，红色或稍暗，脂肪洁白或微黄色；肉质紧密坚实；外表微干或有风干膜或湿润不沾手，切面湿润不沾手；解冻后指压恢复较慢；解冻后具有鲜牛羊肉固有的气味，无臭味、无异味；澄清透明或稍有浑浊，脂肪聚于表面，具有特有香味。 </w:t>
      </w:r>
    </w:p>
    <w:p w14:paraId="3D3F1AD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（5）鸡肉 </w:t>
      </w:r>
    </w:p>
    <w:p w14:paraId="530A6FA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食材供应方提供的鸡肉应符合国家相关法律法规和行业标准，具备合格的产品质量。鸡肉应保证新鲜、无病害、无药物残留，符合食品安全要求，鸡肉的生产加工过程必须遵守严格的卫生标准。 </w:t>
      </w:r>
    </w:p>
    <w:p w14:paraId="0FF0141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（6）蛋类 </w:t>
      </w:r>
    </w:p>
    <w:p w14:paraId="6A49D7A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提供的蛋类要新鲜、大小均匀、无破损，蛋壳清洁，质量适中有压手感，蛋黄轮廓清晰，无异味。 </w:t>
      </w:r>
    </w:p>
    <w:p w14:paraId="274F12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（7）蔬菜类 </w:t>
      </w:r>
    </w:p>
    <w:p w14:paraId="68FEC6B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食材供应方提供的蔬菜必须干爽水灵洁净，新鲜品质好，无霉烂变质，外观光亮大小适中，质地触摸清脆坚实有韧性，绿色环保无异味，经过食品检测各项指标不超标。 </w:t>
      </w:r>
    </w:p>
    <w:p w14:paraId="1A0DDDE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 xml:space="preserve">）水果 </w:t>
      </w:r>
    </w:p>
    <w:p w14:paraId="07C6CA2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食材供应方提供的水果应无病虫害、无明显损伤、色泽鲜艳；应当新鲜、无腐烂变质现象，无缺斤少两现象。如果有破损，应当予以更换；应当符合国家食品安全标准，不得含有有害物质或受到污染；水果的规格应当符合合同或订单的要求，包括品种、大小、颜色等方面。</w:t>
      </w:r>
      <w:bookmarkEnd w:id="154"/>
      <w:r>
        <w:rPr>
          <w:rFonts w:hint="eastAsia" w:ascii="宋体" w:hAnsi="宋体" w:eastAsia="宋体" w:cs="宋体"/>
          <w:color w:val="000000"/>
          <w:kern w:val="0"/>
          <w:sz w:val="24"/>
          <w:szCs w:val="24"/>
          <w:highlight w:val="none"/>
          <w:lang w:val="en-US" w:eastAsia="zh-CN" w:bidi="ar"/>
        </w:rPr>
        <w:t xml:space="preserve"> </w:t>
      </w:r>
    </w:p>
    <w:p w14:paraId="5CD29EF8">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2.责任方面 </w:t>
      </w:r>
    </w:p>
    <w:p w14:paraId="39C191E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如因供应商所送货物造成食物中毒等事故,供应商应负全部法律责任。 </w:t>
      </w:r>
    </w:p>
    <w:p w14:paraId="04F88E6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因食品的质量或产地等问题发生争议,采购人或中标人认为有需要,可以共同提出或分别提出质食量鉴定。 </w:t>
      </w:r>
    </w:p>
    <w:p w14:paraId="07B15FC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吉林省质检部门与延边州质检部门的鉴定结论不一致，以吉林省质检部门的鉴定结论为准。食品符合规定标准的，鉴定费由采购人承担,食品不符合规定标准的。鉴定费由中标人承担，并承担相应的责任。 </w:t>
      </w:r>
    </w:p>
    <w:p w14:paraId="2B678EA9">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3.售后服务 </w:t>
      </w:r>
    </w:p>
    <w:p w14:paraId="0D1E86F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售后服务响应要求：质量不合格, 无条件退换更换。 </w:t>
      </w:r>
    </w:p>
    <w:p w14:paraId="070E3C4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注：质量不合格如果蔬类黄叶烂果、鱼肉类肉品过期、有异味等；调料、蛋奶、水过期及变质等实质性质量问题，不得提供质保期己过半的产品。</w:t>
      </w:r>
    </w:p>
    <w:p w14:paraId="5E35C19C">
      <w:pPr>
        <w:pStyle w:val="30"/>
        <w:keepNext w:val="0"/>
        <w:keepLines w:val="0"/>
        <w:pageBreakBefore w:val="0"/>
        <w:widowControl w:val="0"/>
        <w:kinsoku/>
        <w:wordWrap/>
        <w:overflowPunct/>
        <w:topLinePunct w:val="0"/>
        <w:autoSpaceDE/>
        <w:autoSpaceDN/>
        <w:bidi w:val="0"/>
        <w:adjustRightInd/>
        <w:snapToGrid/>
        <w:spacing w:before="0" w:after="0" w:line="460" w:lineRule="exact"/>
        <w:ind w:left="482" w:leftChars="0" w:right="0" w:rightChars="0" w:hanging="482" w:hangingChars="200"/>
        <w:jc w:val="both"/>
        <w:textAlignment w:val="auto"/>
        <w:outlineLvl w:val="9"/>
        <w:rPr>
          <w:rFonts w:hint="eastAsia" w:ascii="宋体" w:hAnsi="宋体" w:cs="宋体"/>
          <w:b/>
          <w:bCs/>
          <w:color w:val="auto"/>
          <w:sz w:val="24"/>
          <w:szCs w:val="24"/>
          <w:highlight w:val="none"/>
          <w:lang w:val="en-US" w:eastAsia="zh-CN"/>
        </w:rPr>
        <w:sectPr>
          <w:pgSz w:w="11906" w:h="16838"/>
          <w:pgMar w:top="1440" w:right="1633" w:bottom="1440" w:left="163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0E745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宋体"/>
          <w:color w:val="000000" w:themeColor="text1"/>
          <w:highlight w:val="none"/>
          <w:lang w:val="en-US" w:eastAsia="zh-CN"/>
          <w14:textFill>
            <w14:solidFill>
              <w14:schemeClr w14:val="tx1"/>
            </w14:solidFill>
          </w14:textFill>
        </w:rPr>
      </w:pPr>
    </w:p>
    <w:p w14:paraId="7669C1E0">
      <w:pPr>
        <w:pStyle w:val="2"/>
        <w:rPr>
          <w:color w:val="000000" w:themeColor="text1"/>
          <w:highlight w:val="none"/>
          <w14:textFill>
            <w14:solidFill>
              <w14:schemeClr w14:val="tx1"/>
            </w14:solidFill>
          </w14:textFill>
        </w:rPr>
      </w:pPr>
    </w:p>
    <w:p w14:paraId="366EF56F">
      <w:pPr>
        <w:pStyle w:val="2"/>
        <w:rPr>
          <w:color w:val="000000" w:themeColor="text1"/>
          <w:highlight w:val="none"/>
          <w14:textFill>
            <w14:solidFill>
              <w14:schemeClr w14:val="tx1"/>
            </w14:solidFill>
          </w14:textFill>
        </w:rPr>
      </w:pPr>
    </w:p>
    <w:p w14:paraId="45C988CA">
      <w:pPr>
        <w:pStyle w:val="2"/>
        <w:rPr>
          <w:color w:val="000000" w:themeColor="text1"/>
          <w:highlight w:val="none"/>
          <w14:textFill>
            <w14:solidFill>
              <w14:schemeClr w14:val="tx1"/>
            </w14:solidFill>
          </w14:textFill>
        </w:rPr>
      </w:pPr>
    </w:p>
    <w:p w14:paraId="1F89856D">
      <w:pPr>
        <w:pStyle w:val="2"/>
        <w:rPr>
          <w:color w:val="000000" w:themeColor="text1"/>
          <w:highlight w:val="none"/>
          <w14:textFill>
            <w14:solidFill>
              <w14:schemeClr w14:val="tx1"/>
            </w14:solidFill>
          </w14:textFill>
        </w:rPr>
      </w:pPr>
    </w:p>
    <w:p w14:paraId="645320A6">
      <w:pPr>
        <w:pStyle w:val="2"/>
        <w:rPr>
          <w:color w:val="000000" w:themeColor="text1"/>
          <w:highlight w:val="none"/>
          <w14:textFill>
            <w14:solidFill>
              <w14:schemeClr w14:val="tx1"/>
            </w14:solidFill>
          </w14:textFill>
        </w:rPr>
      </w:pPr>
    </w:p>
    <w:p w14:paraId="5C191AB9">
      <w:pPr>
        <w:rPr>
          <w:color w:val="000000" w:themeColor="text1"/>
          <w:highlight w:val="none"/>
          <w14:textFill>
            <w14:solidFill>
              <w14:schemeClr w14:val="tx1"/>
            </w14:solidFill>
          </w14:textFill>
        </w:rPr>
      </w:pPr>
    </w:p>
    <w:p w14:paraId="2B34FB67">
      <w:pPr>
        <w:spacing w:line="500" w:lineRule="atLeast"/>
        <w:jc w:val="center"/>
        <w:outlineLvl w:val="0"/>
        <w:rPr>
          <w:rFonts w:ascii="宋体" w:hAnsi="宋体" w:cs="宋体"/>
          <w:b/>
          <w:bCs/>
          <w:color w:val="000000" w:themeColor="text1"/>
          <w:sz w:val="36"/>
          <w:szCs w:val="36"/>
          <w:highlight w:val="none"/>
          <w14:textFill>
            <w14:solidFill>
              <w14:schemeClr w14:val="tx1"/>
            </w14:solidFill>
          </w14:textFill>
        </w:rPr>
      </w:pPr>
      <w:bookmarkStart w:id="155" w:name="_Toc5076"/>
      <w:r>
        <w:rPr>
          <w:rFonts w:hint="eastAsia" w:ascii="宋体" w:hAnsi="宋体" w:cs="宋体"/>
          <w:b/>
          <w:bCs/>
          <w:color w:val="000000" w:themeColor="text1"/>
          <w:sz w:val="36"/>
          <w:szCs w:val="36"/>
          <w:highlight w:val="none"/>
          <w14:textFill>
            <w14:solidFill>
              <w14:schemeClr w14:val="tx1"/>
            </w14:solidFill>
          </w14:textFill>
        </w:rPr>
        <w:t>第六章</w:t>
      </w:r>
      <w:bookmarkEnd w:id="149"/>
      <w:bookmarkEnd w:id="150"/>
      <w:bookmarkEnd w:id="151"/>
      <w:r>
        <w:rPr>
          <w:rFonts w:hint="eastAsia" w:ascii="宋体" w:hAnsi="宋体" w:cs="宋体"/>
          <w:b/>
          <w:bCs/>
          <w:color w:val="000000" w:themeColor="text1"/>
          <w:sz w:val="36"/>
          <w:szCs w:val="36"/>
          <w:highlight w:val="none"/>
          <w14:textFill>
            <w14:solidFill>
              <w14:schemeClr w14:val="tx1"/>
            </w14:solidFill>
          </w14:textFill>
        </w:rPr>
        <w:t xml:space="preserve"> 竞争性磋商响应文件格式</w:t>
      </w:r>
      <w:bookmarkEnd w:id="152"/>
      <w:bookmarkEnd w:id="153"/>
      <w:bookmarkEnd w:id="155"/>
    </w:p>
    <w:p w14:paraId="4E7C056D">
      <w:pPr>
        <w:jc w:val="right"/>
        <w:rPr>
          <w:color w:val="000000" w:themeColor="text1"/>
          <w:sz w:val="20"/>
          <w:szCs w:val="20"/>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br w:type="page"/>
      </w:r>
    </w:p>
    <w:p w14:paraId="1EBE896F">
      <w:pPr>
        <w:jc w:val="right"/>
        <w:rPr>
          <w:color w:val="000000" w:themeColor="text1"/>
          <w:sz w:val="20"/>
          <w:szCs w:val="20"/>
          <w:highlight w:val="none"/>
          <w14:textFill>
            <w14:solidFill>
              <w14:schemeClr w14:val="tx1"/>
            </w14:solidFill>
          </w14:textFill>
        </w:rPr>
      </w:pPr>
    </w:p>
    <w:p w14:paraId="39DF7166">
      <w:pPr>
        <w:ind w:firstLine="640" w:firstLineChars="200"/>
        <w:rPr>
          <w:color w:val="000000" w:themeColor="text1"/>
          <w:sz w:val="32"/>
          <w:szCs w:val="32"/>
          <w:highlight w:val="none"/>
          <w:u w:val="single"/>
          <w14:textFill>
            <w14:solidFill>
              <w14:schemeClr w14:val="tx1"/>
            </w14:solidFill>
          </w14:textFill>
        </w:rPr>
      </w:pPr>
    </w:p>
    <w:p w14:paraId="0C6EDA08">
      <w:pPr>
        <w:ind w:firstLine="640" w:firstLineChars="200"/>
        <w:rPr>
          <w:color w:val="000000" w:themeColor="text1"/>
          <w:sz w:val="36"/>
          <w:szCs w:val="36"/>
          <w:highlight w:val="none"/>
          <w14:textFill>
            <w14:solidFill>
              <w14:schemeClr w14:val="tx1"/>
            </w14:solidFill>
          </w14:textFill>
        </w:rPr>
      </w:pPr>
      <w:r>
        <w:rPr>
          <w:rFonts w:hint="eastAsia"/>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（项目名称）</w:t>
      </w:r>
    </w:p>
    <w:p w14:paraId="156C1A02">
      <w:pPr>
        <w:rPr>
          <w:color w:val="000000" w:themeColor="text1"/>
          <w:sz w:val="20"/>
          <w:szCs w:val="20"/>
          <w:highlight w:val="none"/>
          <w14:textFill>
            <w14:solidFill>
              <w14:schemeClr w14:val="tx1"/>
            </w14:solidFill>
          </w14:textFill>
        </w:rPr>
      </w:pPr>
    </w:p>
    <w:p w14:paraId="335FA29D">
      <w:pPr>
        <w:jc w:val="center"/>
        <w:rPr>
          <w:color w:val="000000" w:themeColor="text1"/>
          <w:sz w:val="56"/>
          <w:szCs w:val="56"/>
          <w:highlight w:val="none"/>
          <w14:textFill>
            <w14:solidFill>
              <w14:schemeClr w14:val="tx1"/>
            </w14:solidFill>
          </w14:textFill>
        </w:rPr>
      </w:pPr>
      <w:bookmarkStart w:id="156" w:name="_Toc6237"/>
      <w:bookmarkStart w:id="157" w:name="_Toc31530_WPSOffice_Level1"/>
      <w:bookmarkStart w:id="158" w:name="OLE_LINK19"/>
      <w:bookmarkStart w:id="159" w:name="_Toc12208"/>
      <w:bookmarkStart w:id="160" w:name="_Toc8932_WPSOffice_Level1"/>
      <w:bookmarkStart w:id="161" w:name="_Toc23155"/>
      <w:bookmarkStart w:id="162" w:name="_Toc21146"/>
    </w:p>
    <w:p w14:paraId="0986CAF7">
      <w:pPr>
        <w:jc w:val="center"/>
        <w:rPr>
          <w:color w:val="000000" w:themeColor="text1"/>
          <w:sz w:val="20"/>
          <w:szCs w:val="20"/>
          <w:highlight w:val="none"/>
          <w14:textFill>
            <w14:solidFill>
              <w14:schemeClr w14:val="tx1"/>
            </w14:solidFill>
          </w14:textFill>
        </w:rPr>
      </w:pPr>
      <w:r>
        <w:rPr>
          <w:rFonts w:hint="eastAsia"/>
          <w:b/>
          <w:bCs/>
          <w:color w:val="000000" w:themeColor="text1"/>
          <w:sz w:val="56"/>
          <w:szCs w:val="56"/>
          <w:highlight w:val="none"/>
          <w14:textFill>
            <w14:solidFill>
              <w14:schemeClr w14:val="tx1"/>
            </w14:solidFill>
          </w14:textFill>
        </w:rPr>
        <w:t>竞争性磋商响应</w:t>
      </w:r>
      <w:r>
        <w:rPr>
          <w:rFonts w:hint="eastAsia"/>
          <w:b/>
          <w:bCs/>
          <w:color w:val="000000" w:themeColor="text1"/>
          <w:sz w:val="56"/>
          <w:szCs w:val="56"/>
          <w:highlight w:val="none"/>
          <w:lang w:val="zh-CN"/>
          <w14:textFill>
            <w14:solidFill>
              <w14:schemeClr w14:val="tx1"/>
            </w14:solidFill>
          </w14:textFill>
        </w:rPr>
        <w:t>文件</w:t>
      </w:r>
      <w:bookmarkEnd w:id="156"/>
      <w:bookmarkEnd w:id="157"/>
      <w:bookmarkEnd w:id="158"/>
      <w:bookmarkEnd w:id="159"/>
      <w:bookmarkEnd w:id="160"/>
      <w:bookmarkEnd w:id="161"/>
      <w:bookmarkEnd w:id="162"/>
    </w:p>
    <w:p w14:paraId="60D48258">
      <w:pPr>
        <w:rPr>
          <w:color w:val="000000" w:themeColor="text1"/>
          <w:sz w:val="20"/>
          <w:szCs w:val="20"/>
          <w:highlight w:val="none"/>
          <w14:textFill>
            <w14:solidFill>
              <w14:schemeClr w14:val="tx1"/>
            </w14:solidFill>
          </w14:textFill>
        </w:rPr>
      </w:pPr>
    </w:p>
    <w:p w14:paraId="55FCE145">
      <w:pPr>
        <w:ind w:firstLine="1760" w:firstLineChars="400"/>
        <w:rPr>
          <w:color w:val="000000" w:themeColor="text1"/>
          <w:sz w:val="44"/>
          <w:szCs w:val="44"/>
          <w:highlight w:val="none"/>
          <w:lang w:val="zh-CN"/>
          <w14:textFill>
            <w14:solidFill>
              <w14:schemeClr w14:val="tx1"/>
            </w14:solidFill>
          </w14:textFill>
        </w:rPr>
      </w:pPr>
      <w:bookmarkStart w:id="163" w:name="_Toc147"/>
      <w:bookmarkStart w:id="164" w:name="_Toc28392"/>
      <w:bookmarkStart w:id="165" w:name="_Toc20780_WPSOffice_Level1"/>
      <w:bookmarkStart w:id="166" w:name="_Toc16239"/>
      <w:bookmarkStart w:id="167" w:name="_Toc26319"/>
      <w:bookmarkStart w:id="168" w:name="_Toc459_WPSOffice_Level1"/>
    </w:p>
    <w:p w14:paraId="1FAA77AC">
      <w:pPr>
        <w:ind w:firstLine="1760" w:firstLineChars="400"/>
        <w:rPr>
          <w:color w:val="000000" w:themeColor="text1"/>
          <w:sz w:val="44"/>
          <w:szCs w:val="44"/>
          <w:highlight w:val="none"/>
          <w:lang w:val="zh-CN"/>
          <w14:textFill>
            <w14:solidFill>
              <w14:schemeClr w14:val="tx1"/>
            </w14:solidFill>
          </w14:textFill>
        </w:rPr>
      </w:pPr>
    </w:p>
    <w:p w14:paraId="56F4FE27">
      <w:pPr>
        <w:ind w:firstLine="1440" w:firstLineChars="400"/>
        <w:rPr>
          <w:color w:val="000000" w:themeColor="text1"/>
          <w:sz w:val="16"/>
          <w:szCs w:val="16"/>
          <w:highlight w:val="none"/>
          <w:u w:val="single"/>
          <w14:textFill>
            <w14:solidFill>
              <w14:schemeClr w14:val="tx1"/>
            </w14:solidFill>
          </w14:textFill>
        </w:rPr>
      </w:pPr>
      <w:r>
        <w:rPr>
          <w:rFonts w:hint="eastAsia"/>
          <w:color w:val="000000" w:themeColor="text1"/>
          <w:sz w:val="36"/>
          <w:szCs w:val="36"/>
          <w:highlight w:val="none"/>
          <w:lang w:val="zh-CN"/>
          <w14:textFill>
            <w14:solidFill>
              <w14:schemeClr w14:val="tx1"/>
            </w14:solidFill>
          </w14:textFill>
        </w:rPr>
        <w:t>项目编号：</w:t>
      </w:r>
      <w:bookmarkEnd w:id="163"/>
      <w:bookmarkEnd w:id="164"/>
      <w:bookmarkEnd w:id="165"/>
      <w:bookmarkEnd w:id="166"/>
      <w:bookmarkEnd w:id="167"/>
      <w:bookmarkEnd w:id="168"/>
      <w:r>
        <w:rPr>
          <w:rFonts w:hint="eastAsia"/>
          <w:color w:val="000000" w:themeColor="text1"/>
          <w:sz w:val="36"/>
          <w:szCs w:val="36"/>
          <w:highlight w:val="none"/>
          <w:u w:val="single"/>
          <w14:textFill>
            <w14:solidFill>
              <w14:schemeClr w14:val="tx1"/>
            </w14:solidFill>
          </w14:textFill>
        </w:rPr>
        <w:t xml:space="preserve">          </w:t>
      </w:r>
    </w:p>
    <w:p w14:paraId="06A542B2">
      <w:pPr>
        <w:rPr>
          <w:color w:val="000000" w:themeColor="text1"/>
          <w:sz w:val="20"/>
          <w:szCs w:val="20"/>
          <w:highlight w:val="none"/>
          <w14:textFill>
            <w14:solidFill>
              <w14:schemeClr w14:val="tx1"/>
            </w14:solidFill>
          </w14:textFill>
        </w:rPr>
      </w:pPr>
    </w:p>
    <w:p w14:paraId="4FD8F840">
      <w:pPr>
        <w:rPr>
          <w:color w:val="000000" w:themeColor="text1"/>
          <w:sz w:val="20"/>
          <w:szCs w:val="20"/>
          <w:highlight w:val="none"/>
          <w14:textFill>
            <w14:solidFill>
              <w14:schemeClr w14:val="tx1"/>
            </w14:solidFill>
          </w14:textFill>
        </w:rPr>
      </w:pPr>
    </w:p>
    <w:p w14:paraId="424C006C">
      <w:pPr>
        <w:rPr>
          <w:color w:val="000000" w:themeColor="text1"/>
          <w:sz w:val="20"/>
          <w:szCs w:val="20"/>
          <w:highlight w:val="none"/>
          <w14:textFill>
            <w14:solidFill>
              <w14:schemeClr w14:val="tx1"/>
            </w14:solidFill>
          </w14:textFill>
        </w:rPr>
      </w:pPr>
    </w:p>
    <w:p w14:paraId="02813241">
      <w:pPr>
        <w:rPr>
          <w:color w:val="000000" w:themeColor="text1"/>
          <w:sz w:val="20"/>
          <w:szCs w:val="20"/>
          <w:highlight w:val="none"/>
          <w14:textFill>
            <w14:solidFill>
              <w14:schemeClr w14:val="tx1"/>
            </w14:solidFill>
          </w14:textFill>
        </w:rPr>
      </w:pPr>
    </w:p>
    <w:p w14:paraId="1D8089AE">
      <w:pPr>
        <w:rPr>
          <w:color w:val="000000" w:themeColor="text1"/>
          <w:sz w:val="20"/>
          <w:szCs w:val="20"/>
          <w:highlight w:val="none"/>
          <w14:textFill>
            <w14:solidFill>
              <w14:schemeClr w14:val="tx1"/>
            </w14:solidFill>
          </w14:textFill>
        </w:rPr>
      </w:pPr>
    </w:p>
    <w:p w14:paraId="23EFC13B">
      <w:pPr>
        <w:rPr>
          <w:color w:val="000000" w:themeColor="text1"/>
          <w:sz w:val="20"/>
          <w:szCs w:val="20"/>
          <w:highlight w:val="none"/>
          <w14:textFill>
            <w14:solidFill>
              <w14:schemeClr w14:val="tx1"/>
            </w14:solidFill>
          </w14:textFill>
        </w:rPr>
      </w:pPr>
    </w:p>
    <w:p w14:paraId="1772540B">
      <w:pPr>
        <w:rPr>
          <w:color w:val="000000" w:themeColor="text1"/>
          <w:sz w:val="20"/>
          <w:szCs w:val="20"/>
          <w:highlight w:val="none"/>
          <w14:textFill>
            <w14:solidFill>
              <w14:schemeClr w14:val="tx1"/>
            </w14:solidFill>
          </w14:textFill>
        </w:rPr>
      </w:pPr>
    </w:p>
    <w:p w14:paraId="6991F13E">
      <w:pPr>
        <w:rPr>
          <w:color w:val="000000" w:themeColor="text1"/>
          <w:sz w:val="20"/>
          <w:szCs w:val="20"/>
          <w:highlight w:val="none"/>
          <w14:textFill>
            <w14:solidFill>
              <w14:schemeClr w14:val="tx1"/>
            </w14:solidFill>
          </w14:textFill>
        </w:rPr>
      </w:pPr>
    </w:p>
    <w:p w14:paraId="487B0D48">
      <w:pPr>
        <w:rPr>
          <w:color w:val="000000" w:themeColor="text1"/>
          <w:sz w:val="20"/>
          <w:szCs w:val="20"/>
          <w:highlight w:val="none"/>
          <w14:textFill>
            <w14:solidFill>
              <w14:schemeClr w14:val="tx1"/>
            </w14:solidFill>
          </w14:textFill>
        </w:rPr>
      </w:pPr>
    </w:p>
    <w:p w14:paraId="3071467A">
      <w:pPr>
        <w:rPr>
          <w:color w:val="000000" w:themeColor="text1"/>
          <w:sz w:val="20"/>
          <w:szCs w:val="20"/>
          <w:highlight w:val="none"/>
          <w14:textFill>
            <w14:solidFill>
              <w14:schemeClr w14:val="tx1"/>
            </w14:solidFill>
          </w14:textFill>
        </w:rPr>
      </w:pPr>
    </w:p>
    <w:p w14:paraId="5F824BFC">
      <w:pPr>
        <w:jc w:val="center"/>
        <w:rPr>
          <w:color w:val="000000" w:themeColor="text1"/>
          <w:sz w:val="28"/>
          <w:szCs w:val="28"/>
          <w:highlight w:val="none"/>
          <w14:textFill>
            <w14:solidFill>
              <w14:schemeClr w14:val="tx1"/>
            </w14:solidFill>
          </w14:textFill>
        </w:rPr>
      </w:pPr>
      <w:bookmarkStart w:id="169" w:name="_Toc11262"/>
      <w:bookmarkStart w:id="170" w:name="_Toc3175"/>
      <w:bookmarkStart w:id="171" w:name="_Toc25332"/>
      <w:r>
        <w:rPr>
          <w:rFonts w:hint="eastAsia"/>
          <w:color w:val="000000" w:themeColor="text1"/>
          <w:sz w:val="28"/>
          <w:szCs w:val="28"/>
          <w:highlight w:val="none"/>
          <w14:textFill>
            <w14:solidFill>
              <w14:schemeClr w14:val="tx1"/>
            </w14:solidFill>
          </w14:textFill>
        </w:rPr>
        <w:t>供应商：</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（盖单位章）</w:t>
      </w:r>
      <w:bookmarkEnd w:id="169"/>
      <w:bookmarkEnd w:id="170"/>
      <w:bookmarkEnd w:id="171"/>
    </w:p>
    <w:p w14:paraId="64011563">
      <w:pPr>
        <w:rPr>
          <w:color w:val="000000" w:themeColor="text1"/>
          <w:sz w:val="28"/>
          <w:szCs w:val="28"/>
          <w:highlight w:val="none"/>
          <w14:textFill>
            <w14:solidFill>
              <w14:schemeClr w14:val="tx1"/>
            </w14:solidFill>
          </w14:textFill>
        </w:rPr>
      </w:pPr>
    </w:p>
    <w:p w14:paraId="25E71028">
      <w:pPr>
        <w:jc w:val="center"/>
        <w:rPr>
          <w:color w:val="000000" w:themeColor="text1"/>
          <w:sz w:val="28"/>
          <w:szCs w:val="28"/>
          <w:highlight w:val="none"/>
          <w14:textFill>
            <w14:solidFill>
              <w14:schemeClr w14:val="tx1"/>
            </w14:solidFill>
          </w14:textFill>
        </w:rPr>
      </w:pPr>
      <w:bookmarkStart w:id="172" w:name="_Toc21675"/>
      <w:bookmarkStart w:id="173" w:name="_Toc32338"/>
      <w:bookmarkStart w:id="174" w:name="_Toc10326"/>
      <w:bookmarkStart w:id="175" w:name="_Toc16905"/>
      <w:r>
        <w:rPr>
          <w:rFonts w:hint="eastAsia"/>
          <w:color w:val="000000" w:themeColor="text1"/>
          <w:sz w:val="28"/>
          <w:szCs w:val="28"/>
          <w:highlight w:val="none"/>
          <w14:textFill>
            <w14:solidFill>
              <w14:schemeClr w14:val="tx1"/>
            </w14:solidFill>
          </w14:textFill>
        </w:rPr>
        <w:t>法定代表人或其委托代理人：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（签 字）</w:t>
      </w:r>
      <w:bookmarkEnd w:id="172"/>
      <w:bookmarkEnd w:id="173"/>
      <w:bookmarkEnd w:id="174"/>
      <w:bookmarkEnd w:id="175"/>
    </w:p>
    <w:p w14:paraId="5E034A21">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p>
    <w:p w14:paraId="01BAFDA0">
      <w:pPr>
        <w:ind w:firstLine="2520" w:firstLineChars="900"/>
        <w:rPr>
          <w:color w:val="000000" w:themeColor="text1"/>
          <w:sz w:val="28"/>
          <w:szCs w:val="28"/>
          <w:highlight w:val="none"/>
          <w14:textFill>
            <w14:solidFill>
              <w14:schemeClr w14:val="tx1"/>
            </w14:solidFill>
          </w14:textFill>
        </w:rPr>
        <w:sectPr>
          <w:footerReference r:id="rId11" w:type="default"/>
          <w:pgSz w:w="11905" w:h="16838"/>
          <w:pgMar w:top="1440" w:right="1633" w:bottom="1440" w:left="1633" w:header="1140" w:footer="720" w:gutter="0"/>
          <w:cols w:space="0" w:num="1"/>
          <w:docGrid w:type="lines" w:linePitch="317" w:charSpace="0"/>
        </w:sectPr>
      </w:pPr>
      <w:bookmarkStart w:id="176" w:name="_Toc14601"/>
      <w:bookmarkStart w:id="177" w:name="_Toc30155"/>
      <w:bookmarkStart w:id="178" w:name="_Toc19569"/>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bookmarkEnd w:id="176"/>
      <w:bookmarkEnd w:id="177"/>
      <w:bookmarkEnd w:id="178"/>
    </w:p>
    <w:p w14:paraId="29795600">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3751278B">
      <w:pPr>
        <w:spacing w:line="360" w:lineRule="auto"/>
        <w:jc w:val="center"/>
        <w:rPr>
          <w:rFonts w:ascii="宋体" w:hAnsi="宋体"/>
          <w:b/>
          <w:color w:val="000000" w:themeColor="text1"/>
          <w:sz w:val="32"/>
          <w:szCs w:val="32"/>
          <w:highlight w:val="none"/>
          <w14:textFill>
            <w14:solidFill>
              <w14:schemeClr w14:val="tx1"/>
            </w14:solidFill>
          </w14:textFill>
        </w:rPr>
      </w:pPr>
    </w:p>
    <w:p w14:paraId="30ABABC4">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一、磋商函</w:t>
      </w:r>
    </w:p>
    <w:p w14:paraId="658D036B">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二、法定代表人身份证明及授权委托书</w:t>
      </w:r>
    </w:p>
    <w:p w14:paraId="76AA46F6">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三、磋商保证金</w:t>
      </w:r>
    </w:p>
    <w:p w14:paraId="70872C6A">
      <w:pPr>
        <w:spacing w:line="50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四、磋商报价</w:t>
      </w:r>
      <w:r>
        <w:rPr>
          <w:rFonts w:hint="eastAsia" w:ascii="宋体" w:hAnsi="宋体"/>
          <w:color w:val="000000" w:themeColor="text1"/>
          <w:sz w:val="24"/>
          <w:szCs w:val="24"/>
          <w:highlight w:val="none"/>
          <w:lang w:eastAsia="zh-CN"/>
          <w14:textFill>
            <w14:solidFill>
              <w14:schemeClr w14:val="tx1"/>
            </w14:solidFill>
          </w14:textFill>
        </w:rPr>
        <w:t>表</w:t>
      </w:r>
    </w:p>
    <w:p w14:paraId="5C2A4AD6">
      <w:pPr>
        <w:spacing w:line="50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w:t>
      </w:r>
      <w:r>
        <w:rPr>
          <w:rFonts w:hint="eastAsia" w:ascii="宋体" w:hAnsi="宋体"/>
          <w:color w:val="000000" w:themeColor="text1"/>
          <w:sz w:val="24"/>
          <w:szCs w:val="24"/>
          <w:highlight w:val="none"/>
          <w:lang w:eastAsia="zh-CN"/>
          <w14:textFill>
            <w14:solidFill>
              <w14:schemeClr w14:val="tx1"/>
            </w14:solidFill>
          </w14:textFill>
        </w:rPr>
        <w:t>商务和技术标准偏离表</w:t>
      </w:r>
    </w:p>
    <w:p w14:paraId="3B886626">
      <w:pPr>
        <w:spacing w:line="50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w:t>
      </w:r>
      <w:r>
        <w:rPr>
          <w:rFonts w:hint="eastAsia" w:ascii="宋体" w:hAnsi="宋体"/>
          <w:color w:val="000000" w:themeColor="text1"/>
          <w:sz w:val="24"/>
          <w:szCs w:val="24"/>
          <w:highlight w:val="none"/>
          <w:lang w:eastAsia="zh-CN"/>
          <w14:textFill>
            <w14:solidFill>
              <w14:schemeClr w14:val="tx1"/>
            </w14:solidFill>
          </w14:textFill>
        </w:rPr>
        <w:t>资格审查资料</w:t>
      </w:r>
    </w:p>
    <w:p w14:paraId="4CB5015E">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七、技术</w:t>
      </w:r>
      <w:r>
        <w:rPr>
          <w:rFonts w:hint="eastAsia" w:ascii="宋体" w:hAnsi="宋体"/>
          <w:color w:val="000000" w:themeColor="text1"/>
          <w:sz w:val="24"/>
          <w:szCs w:val="24"/>
          <w:highlight w:val="none"/>
          <w:lang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方案</w:t>
      </w:r>
    </w:p>
    <w:p w14:paraId="13D06287">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八、其他资料</w:t>
      </w:r>
    </w:p>
    <w:p w14:paraId="1DAA682D">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50A9FED6">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5898A358">
      <w:pPr>
        <w:spacing w:line="500" w:lineRule="exact"/>
        <w:jc w:val="center"/>
        <w:rPr>
          <w:rFonts w:ascii="宋体" w:hAnsi="宋体"/>
          <w:b/>
          <w:color w:val="000000" w:themeColor="text1"/>
          <w:sz w:val="24"/>
          <w:szCs w:val="24"/>
          <w:highlight w:val="none"/>
          <w14:textFill>
            <w14:solidFill>
              <w14:schemeClr w14:val="tx1"/>
            </w14:solidFill>
          </w14:textFill>
        </w:rPr>
      </w:pPr>
    </w:p>
    <w:p w14:paraId="20298252">
      <w:pPr>
        <w:spacing w:line="360" w:lineRule="auto"/>
        <w:jc w:val="left"/>
        <w:rPr>
          <w:rFonts w:ascii="宋体" w:hAnsi="宋体"/>
          <w:b/>
          <w:color w:val="000000" w:themeColor="text1"/>
          <w:highlight w:val="none"/>
          <w14:textFill>
            <w14:solidFill>
              <w14:schemeClr w14:val="tx1"/>
            </w14:solidFill>
          </w14:textFill>
        </w:rPr>
      </w:pPr>
    </w:p>
    <w:p w14:paraId="156B2482">
      <w:pPr>
        <w:pStyle w:val="18"/>
        <w:spacing w:line="360" w:lineRule="auto"/>
        <w:ind w:firstLine="420" w:firstLineChars="200"/>
        <w:rPr>
          <w:rFonts w:hAnsi="宋体" w:cs="Times New Roman"/>
          <w:color w:val="000000" w:themeColor="text1"/>
          <w:highlight w:val="none"/>
          <w14:textFill>
            <w14:solidFill>
              <w14:schemeClr w14:val="tx1"/>
            </w14:solidFill>
          </w14:textFill>
        </w:rPr>
        <w:sectPr>
          <w:pgSz w:w="11905" w:h="16838"/>
          <w:pgMar w:top="1440" w:right="1803" w:bottom="1440" w:left="1803" w:header="1140" w:footer="720" w:gutter="0"/>
          <w:cols w:space="0" w:num="1"/>
          <w:docGrid w:type="lines" w:linePitch="317" w:charSpace="0"/>
        </w:sectPr>
      </w:pPr>
    </w:p>
    <w:p w14:paraId="2C5AC5DD">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179" w:name="_Toc4909"/>
      <w:bookmarkStart w:id="180" w:name="_Toc24738"/>
      <w:bookmarkStart w:id="181" w:name="_Toc4018"/>
      <w:bookmarkStart w:id="182" w:name="_Toc32405"/>
      <w:r>
        <w:rPr>
          <w:rFonts w:hint="eastAsia" w:cs="宋体"/>
          <w:b/>
          <w:bCs/>
          <w:color w:val="000000" w:themeColor="text1"/>
          <w:sz w:val="32"/>
          <w:szCs w:val="32"/>
          <w:highlight w:val="none"/>
          <w14:textFill>
            <w14:solidFill>
              <w14:schemeClr w14:val="tx1"/>
            </w14:solidFill>
          </w14:textFill>
        </w:rPr>
        <w:t>一、磋商函</w:t>
      </w:r>
      <w:bookmarkEnd w:id="179"/>
      <w:bookmarkEnd w:id="180"/>
      <w:bookmarkEnd w:id="181"/>
      <w:bookmarkEnd w:id="182"/>
    </w:p>
    <w:p w14:paraId="57E3AA64">
      <w:pPr>
        <w:pStyle w:val="18"/>
        <w:spacing w:line="360" w:lineRule="auto"/>
        <w:rPr>
          <w:rFonts w:hAnsi="宋体" w:cs="Times New Roman"/>
          <w:color w:val="000000" w:themeColor="text1"/>
          <w:highlight w:val="none"/>
          <w14:textFill>
            <w14:solidFill>
              <w14:schemeClr w14:val="tx1"/>
            </w14:solidFill>
          </w14:textFill>
        </w:rPr>
      </w:pPr>
    </w:p>
    <w:p w14:paraId="0498227D">
      <w:pPr>
        <w:spacing w:line="360" w:lineRule="auto"/>
        <w:rPr>
          <w:rFonts w:ascii="宋体" w:hAnsi="宋体"/>
          <w:color w:val="000000" w:themeColor="text1"/>
          <w:sz w:val="24"/>
          <w:szCs w:val="24"/>
          <w:highlight w:val="none"/>
          <w14:textFill>
            <w14:solidFill>
              <w14:schemeClr w14:val="tx1"/>
            </w14:solidFill>
          </w14:textFill>
        </w:rPr>
      </w:pPr>
      <w:bookmarkStart w:id="183" w:name="_Toc466466385"/>
      <w:bookmarkStart w:id="184" w:name="_Toc466454741"/>
      <w:bookmarkStart w:id="185" w:name="_Toc465257490"/>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 </w:t>
      </w:r>
    </w:p>
    <w:p w14:paraId="440F4CB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1．我方已仔细研究了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（项目名称）竞争性磋商文件的全部内容，愿意以</w:t>
      </w:r>
      <w:r>
        <w:rPr>
          <w:rFonts w:hint="eastAsia"/>
          <w:color w:val="000000" w:themeColor="text1"/>
          <w:sz w:val="24"/>
          <w:szCs w:val="24"/>
          <w:highlight w:val="none"/>
          <w14:textFill>
            <w14:solidFill>
              <w14:schemeClr w14:val="tx1"/>
            </w14:solidFill>
          </w14:textFill>
        </w:rPr>
        <w:t>第二轮的最终报价做为本项目的</w:t>
      </w:r>
      <w:r>
        <w:rPr>
          <w:rFonts w:hint="eastAsia" w:ascii="宋体" w:hAnsi="宋体"/>
          <w:color w:val="000000" w:themeColor="text1"/>
          <w:sz w:val="24"/>
          <w:szCs w:val="24"/>
          <w:highlight w:val="none"/>
          <w14:textFill>
            <w14:solidFill>
              <w14:schemeClr w14:val="tx1"/>
            </w14:solidFill>
          </w14:textFill>
        </w:rPr>
        <w:t>磋商总报价，合同履行期限</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，按合同约定实施和完成服务项目，服务质量达到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标准</w:t>
      </w:r>
      <w:r>
        <w:rPr>
          <w:rFonts w:hint="eastAsia" w:ascii="宋体" w:hAnsi="宋体"/>
          <w:color w:val="000000" w:themeColor="text1"/>
          <w:sz w:val="24"/>
          <w:szCs w:val="24"/>
          <w:highlight w:val="none"/>
          <w14:textFill>
            <w14:solidFill>
              <w14:schemeClr w14:val="tx1"/>
            </w14:solidFill>
          </w14:textFill>
        </w:rPr>
        <w:t>。</w:t>
      </w:r>
    </w:p>
    <w:p w14:paraId="5CBD54E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2．我方承诺磋商有效期为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日历天，在磋商有效期内不修改、</w:t>
      </w:r>
      <w:r>
        <w:rPr>
          <w:rFonts w:hint="eastAsia" w:ascii="宋体" w:hAnsi="宋体"/>
          <w:color w:val="000000" w:themeColor="text1"/>
          <w:sz w:val="24"/>
          <w:szCs w:val="24"/>
          <w:highlight w:val="none"/>
          <w:lang w:eastAsia="zh-CN"/>
          <w14:textFill>
            <w14:solidFill>
              <w14:schemeClr w14:val="tx1"/>
            </w14:solidFill>
          </w14:textFill>
        </w:rPr>
        <w:t>不</w:t>
      </w:r>
      <w:r>
        <w:rPr>
          <w:rFonts w:hint="eastAsia" w:ascii="宋体" w:hAnsi="宋体"/>
          <w:color w:val="000000" w:themeColor="text1"/>
          <w:sz w:val="24"/>
          <w:szCs w:val="24"/>
          <w:highlight w:val="none"/>
          <w14:textFill>
            <w14:solidFill>
              <w14:schemeClr w14:val="tx1"/>
            </w14:solidFill>
          </w14:textFill>
        </w:rPr>
        <w:t>撤销响应文件。</w:t>
      </w:r>
    </w:p>
    <w:p w14:paraId="26A767F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3．随同本磋商响应函递交磋商响应保证金一份，金额为人民币（大写）</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4D4DDB0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4．如我方成交：</w:t>
      </w:r>
    </w:p>
    <w:p w14:paraId="009EA27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(l）我方承诺在收到</w:t>
      </w:r>
      <w:r>
        <w:rPr>
          <w:rFonts w:hint="eastAsia" w:ascii="宋体" w:hAnsi="宋体"/>
          <w:color w:val="000000" w:themeColor="text1"/>
          <w:sz w:val="24"/>
          <w:szCs w:val="24"/>
          <w:highlight w:val="none"/>
          <w:lang w:eastAsia="zh-CN"/>
          <w14:textFill>
            <w14:solidFill>
              <w14:schemeClr w14:val="tx1"/>
            </w14:solidFill>
          </w14:textFill>
        </w:rPr>
        <w:t>中标</w:t>
      </w:r>
      <w:r>
        <w:rPr>
          <w:rFonts w:hint="eastAsia" w:ascii="宋体" w:hAnsi="宋体"/>
          <w:color w:val="000000" w:themeColor="text1"/>
          <w:sz w:val="24"/>
          <w:szCs w:val="24"/>
          <w:highlight w:val="none"/>
          <w14:textFill>
            <w14:solidFill>
              <w14:schemeClr w14:val="tx1"/>
            </w14:solidFill>
          </w14:textFill>
        </w:rPr>
        <w:t>通知书后，在</w:t>
      </w:r>
      <w:r>
        <w:rPr>
          <w:rFonts w:hint="eastAsia" w:ascii="宋体" w:hAnsi="宋体"/>
          <w:color w:val="000000" w:themeColor="text1"/>
          <w:sz w:val="24"/>
          <w:szCs w:val="24"/>
          <w:highlight w:val="none"/>
          <w:lang w:eastAsia="zh-CN"/>
          <w14:textFill>
            <w14:solidFill>
              <w14:schemeClr w14:val="tx1"/>
            </w14:solidFill>
          </w14:textFill>
        </w:rPr>
        <w:t>中标</w:t>
      </w:r>
      <w:r>
        <w:rPr>
          <w:rFonts w:hint="eastAsia" w:ascii="宋体" w:hAnsi="宋体"/>
          <w:color w:val="000000" w:themeColor="text1"/>
          <w:sz w:val="24"/>
          <w:szCs w:val="24"/>
          <w:highlight w:val="none"/>
          <w14:textFill>
            <w14:solidFill>
              <w14:schemeClr w14:val="tx1"/>
            </w14:solidFill>
          </w14:textFill>
        </w:rPr>
        <w:t>通知书规定的期限内与你方签订合同。</w:t>
      </w:r>
    </w:p>
    <w:p w14:paraId="1FBC2EA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(2）随同本磋商响应函递交的磋商响应函附录属于合同文件的组成部分。</w:t>
      </w:r>
    </w:p>
    <w:p w14:paraId="3500F1C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(3）我方承诺按照竞争性磋商文件规定向你方递交履约担保。</w:t>
      </w:r>
    </w:p>
    <w:p w14:paraId="5EEABA9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(4）我方承诺在合同约定的期限内完成全部合同内容。</w:t>
      </w:r>
    </w:p>
    <w:p w14:paraId="1B1A4B3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5．我方在此声明，所递交的响应文件及有关资料内容完整、真实和准确，且不存在第二章“供应商须知”第1.4.3 项规定的任何一种情形。</w:t>
      </w:r>
    </w:p>
    <w:p w14:paraId="556860F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（其他补充说明）。</w:t>
      </w:r>
    </w:p>
    <w:p w14:paraId="4EBCE4C7">
      <w:pPr>
        <w:spacing w:line="360" w:lineRule="auto"/>
        <w:jc w:val="right"/>
        <w:rPr>
          <w:rFonts w:hint="eastAsia" w:ascii="宋体" w:hAnsi="宋体"/>
          <w:color w:val="000000" w:themeColor="text1"/>
          <w:sz w:val="24"/>
          <w:szCs w:val="24"/>
          <w:highlight w:val="none"/>
          <w14:textFill>
            <w14:solidFill>
              <w14:schemeClr w14:val="tx1"/>
            </w14:solidFill>
          </w14:textFill>
        </w:rPr>
      </w:pPr>
    </w:p>
    <w:p w14:paraId="0A49FC1E">
      <w:pPr>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7EFEB883">
      <w:pPr>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0DEE4EB7">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7064DBBC">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网    址：</w:t>
      </w:r>
      <w:r>
        <w:rPr>
          <w:rFonts w:hint="eastAsia" w:ascii="宋体" w:hAnsi="宋体"/>
          <w:color w:val="000000" w:themeColor="text1"/>
          <w:sz w:val="24"/>
          <w:szCs w:val="24"/>
          <w:highlight w:val="none"/>
          <w:u w:val="single"/>
          <w14:textFill>
            <w14:solidFill>
              <w14:schemeClr w14:val="tx1"/>
            </w14:solidFill>
          </w14:textFill>
        </w:rPr>
        <w:t xml:space="preserve">                                        </w:t>
      </w:r>
    </w:p>
    <w:p w14:paraId="3668B500">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14:textFill>
            <w14:solidFill>
              <w14:schemeClr w14:val="tx1"/>
            </w14:solidFill>
          </w14:textFill>
        </w:rPr>
        <w:t xml:space="preserve">                                        </w:t>
      </w:r>
    </w:p>
    <w:p w14:paraId="6070E7A2">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    真：</w:t>
      </w:r>
      <w:r>
        <w:rPr>
          <w:rFonts w:hint="eastAsia" w:ascii="宋体" w:hAnsi="宋体"/>
          <w:color w:val="000000" w:themeColor="text1"/>
          <w:sz w:val="24"/>
          <w:szCs w:val="24"/>
          <w:highlight w:val="none"/>
          <w:u w:val="single"/>
          <w14:textFill>
            <w14:solidFill>
              <w14:schemeClr w14:val="tx1"/>
            </w14:solidFill>
          </w14:textFill>
        </w:rPr>
        <w:t xml:space="preserve">                                        </w:t>
      </w:r>
    </w:p>
    <w:p w14:paraId="42262828">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14:textFill>
            <w14:solidFill>
              <w14:schemeClr w14:val="tx1"/>
            </w14:solidFill>
          </w14:textFill>
        </w:rPr>
        <w:t xml:space="preserve">                                        </w:t>
      </w:r>
    </w:p>
    <w:p w14:paraId="636C6D79">
      <w:pPr>
        <w:spacing w:line="360" w:lineRule="auto"/>
        <w:ind w:firstLine="4569" w:firstLineChars="1904"/>
        <w:jc w:val="right"/>
        <w:rPr>
          <w:rFonts w:ascii="宋体" w:hAnsi="宋体"/>
          <w:color w:val="000000" w:themeColor="text1"/>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bookmarkEnd w:id="183"/>
    <w:bookmarkEnd w:id="184"/>
    <w:bookmarkEnd w:id="185"/>
    <w:p w14:paraId="0363DE26">
      <w:pPr>
        <w:spacing w:line="360" w:lineRule="auto"/>
        <w:ind w:firstLine="643" w:firstLineChars="200"/>
        <w:jc w:val="center"/>
        <w:outlineLvl w:val="1"/>
        <w:rPr>
          <w:rFonts w:ascii="宋体" w:cs="Times New Roman"/>
          <w:b/>
          <w:bCs/>
          <w:color w:val="000000" w:themeColor="text1"/>
          <w:sz w:val="32"/>
          <w:szCs w:val="32"/>
          <w:highlight w:val="none"/>
          <w14:textFill>
            <w14:solidFill>
              <w14:schemeClr w14:val="tx1"/>
            </w14:solidFill>
          </w14:textFill>
        </w:rPr>
      </w:pPr>
      <w:bookmarkStart w:id="186" w:name="_Toc21044"/>
      <w:bookmarkStart w:id="187" w:name="_Toc18357"/>
      <w:bookmarkStart w:id="188" w:name="_Toc16771"/>
      <w:bookmarkStart w:id="189" w:name="_Toc32622"/>
      <w:r>
        <w:rPr>
          <w:rFonts w:hint="eastAsia" w:cs="宋体"/>
          <w:b/>
          <w:bCs/>
          <w:color w:val="000000" w:themeColor="text1"/>
          <w:sz w:val="32"/>
          <w:szCs w:val="32"/>
          <w:highlight w:val="none"/>
          <w14:textFill>
            <w14:solidFill>
              <w14:schemeClr w14:val="tx1"/>
            </w14:solidFill>
          </w14:textFill>
        </w:rPr>
        <w:t>二、法定代表人身份证明及授权委托书</w:t>
      </w:r>
      <w:bookmarkEnd w:id="186"/>
      <w:bookmarkEnd w:id="187"/>
      <w:bookmarkEnd w:id="188"/>
      <w:bookmarkEnd w:id="189"/>
    </w:p>
    <w:p w14:paraId="56911A05">
      <w:pPr>
        <w:spacing w:line="360" w:lineRule="auto"/>
        <w:ind w:left="0" w:leftChars="0" w:firstLine="0" w:firstLineChars="0"/>
        <w:jc w:val="center"/>
        <w:rPr>
          <w:rFonts w:ascii="宋体" w:hAnsi="宋体"/>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（一）法定代表人身份证明</w:t>
      </w:r>
    </w:p>
    <w:p w14:paraId="6E1F2F19">
      <w:pPr>
        <w:spacing w:line="360" w:lineRule="auto"/>
        <w:ind w:firstLine="420" w:firstLineChars="200"/>
        <w:rPr>
          <w:rFonts w:ascii="宋体" w:hAnsi="宋体"/>
          <w:color w:val="000000" w:themeColor="text1"/>
          <w:highlight w:val="none"/>
          <w14:textFill>
            <w14:solidFill>
              <w14:schemeClr w14:val="tx1"/>
            </w14:solidFill>
          </w14:textFill>
        </w:rPr>
      </w:pPr>
    </w:p>
    <w:p w14:paraId="7DB07A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CA3D75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单位性质：</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2418FD8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址：</w:t>
      </w:r>
      <w:r>
        <w:rPr>
          <w:rFonts w:hint="eastAsia" w:ascii="宋体" w:hAnsi="宋体"/>
          <w:color w:val="000000" w:themeColor="text1"/>
          <w:sz w:val="24"/>
          <w:szCs w:val="24"/>
          <w:highlight w:val="none"/>
          <w:u w:val="single"/>
          <w14:textFill>
            <w14:solidFill>
              <w14:schemeClr w14:val="tx1"/>
            </w14:solidFill>
          </w14:textFill>
        </w:rPr>
        <w:t xml:space="preserve">                                  </w:t>
      </w:r>
    </w:p>
    <w:p w14:paraId="236E476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成立时间：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12E3FE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经营期限：</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4EAAE66">
      <w:pPr>
        <w:spacing w:line="360" w:lineRule="auto"/>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名：</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性别：</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职务：</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2535E07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（供应商名称）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的法定代表人（负责人）</w:t>
      </w:r>
    </w:p>
    <w:p w14:paraId="4693902D">
      <w:pPr>
        <w:spacing w:line="360" w:lineRule="auto"/>
        <w:ind w:firstLine="960" w:firstLineChars="400"/>
        <w:rPr>
          <w:rFonts w:ascii="宋体" w:cs="Times New Roman"/>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特此证明。</w:t>
      </w:r>
    </w:p>
    <w:p w14:paraId="5CFE9086">
      <w:pPr>
        <w:spacing w:line="360" w:lineRule="auto"/>
        <w:ind w:firstLine="420" w:firstLineChars="200"/>
        <w:rPr>
          <w:rFonts w:ascii="宋体"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701675</wp:posOffset>
                </wp:positionH>
                <wp:positionV relativeFrom="paragraph">
                  <wp:posOffset>229870</wp:posOffset>
                </wp:positionV>
                <wp:extent cx="4156710" cy="1557655"/>
                <wp:effectExtent l="4445" t="4445" r="10795" b="19050"/>
                <wp:wrapNone/>
                <wp:docPr id="1" name="文本框 8"/>
                <wp:cNvGraphicFramePr/>
                <a:graphic xmlns:a="http://schemas.openxmlformats.org/drawingml/2006/main">
                  <a:graphicData uri="http://schemas.microsoft.com/office/word/2010/wordprocessingShape">
                    <wps:wsp>
                      <wps:cNvSpPr txBox="1"/>
                      <wps:spPr>
                        <a:xfrm>
                          <a:off x="0" y="0"/>
                          <a:ext cx="4156710" cy="155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F89AC1">
                            <w:pPr>
                              <w:jc w:val="center"/>
                              <w:rPr>
                                <w:rFonts w:ascii="黑体" w:eastAsia="黑体" w:cs="Times New Roman"/>
                                <w:sz w:val="32"/>
                                <w:szCs w:val="32"/>
                              </w:rPr>
                            </w:pPr>
                          </w:p>
                          <w:p w14:paraId="670B853E">
                            <w:pPr>
                              <w:jc w:val="center"/>
                              <w:rPr>
                                <w:rFonts w:ascii="黑体" w:eastAsia="黑体" w:cs="Times New Roman"/>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法定代表人（负责人）身份证</w:t>
                            </w:r>
                            <w:r>
                              <w:rPr>
                                <w:rFonts w:hint="eastAsia" w:ascii="宋体" w:hAnsi="宋体" w:eastAsia="宋体" w:cs="宋体"/>
                                <w:b/>
                                <w:bCs/>
                                <w:color w:val="000000" w:themeColor="text1"/>
                                <w:sz w:val="24"/>
                                <w:szCs w:val="24"/>
                                <w:highlight w:val="none"/>
                                <w:lang w:eastAsia="zh-CN"/>
                                <w14:textFill>
                                  <w14:solidFill>
                                    <w14:schemeClr w14:val="tx1"/>
                                  </w14:solidFill>
                                </w14:textFill>
                              </w:rPr>
                              <w:t>正、反</w:t>
                            </w:r>
                            <w:r>
                              <w:rPr>
                                <w:rFonts w:hint="eastAsia" w:ascii="宋体" w:hAnsi="宋体" w:cs="宋体"/>
                                <w:b/>
                                <w:bCs/>
                                <w:color w:val="000000" w:themeColor="text1"/>
                                <w:sz w:val="24"/>
                                <w:szCs w:val="24"/>
                                <w:highlight w:val="none"/>
                                <w:lang w:eastAsia="zh-CN"/>
                                <w14:textFill>
                                  <w14:solidFill>
                                    <w14:schemeClr w14:val="tx1"/>
                                  </w14:solidFill>
                                </w14:textFill>
                              </w:rPr>
                              <w:t>面</w:t>
                            </w:r>
                            <w:r>
                              <w:rPr>
                                <w:rFonts w:hint="eastAsia" w:ascii="宋体" w:hAnsi="宋体" w:eastAsia="宋体" w:cs="宋体"/>
                                <w:b/>
                                <w:bCs/>
                                <w:color w:val="000000" w:themeColor="text1"/>
                                <w:sz w:val="24"/>
                                <w:szCs w:val="24"/>
                                <w:highlight w:val="none"/>
                                <w14:textFill>
                                  <w14:solidFill>
                                    <w14:schemeClr w14:val="tx1"/>
                                  </w14:solidFill>
                                </w14:textFill>
                              </w:rPr>
                              <w:t>复印件</w:t>
                            </w:r>
                          </w:p>
                        </w:txbxContent>
                      </wps:txbx>
                      <wps:bodyPr wrap="square" upright="1"/>
                    </wps:wsp>
                  </a:graphicData>
                </a:graphic>
              </wp:anchor>
            </w:drawing>
          </mc:Choice>
          <mc:Fallback>
            <w:pict>
              <v:shape id="文本框 8" o:spid="_x0000_s1026" o:spt="202" type="#_x0000_t202" style="position:absolute;left:0pt;margin-left:55.25pt;margin-top:18.1pt;height:122.65pt;width:327.3pt;z-index:251659264;mso-width-relative:page;mso-height-relative:page;" fillcolor="#FFFFFF" filled="t" stroked="t" coordsize="21600,21600" o:gfxdata="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hjyF2QAAAAoBAAAPAAAA&#10;AAAAAAEAIAAAACIAAABkcnMvZG93bnJldi54bWxQSwECFAAUAAAACACHTuJALuEzRRQCAABFBAAA&#10;DgAAAAAAAAABACAAAAAoAQAAZHJzL2Uyb0RvYy54bWxQSwUGAAAAAAYABgBZAQAArgUAAAAA&#10;">
                <v:fill on="t" focussize="0,0"/>
                <v:stroke color="#000000" joinstyle="miter"/>
                <v:imagedata o:title=""/>
                <o:lock v:ext="edit" aspectratio="f"/>
                <v:textbox>
                  <w:txbxContent>
                    <w:p w14:paraId="0DF89AC1">
                      <w:pPr>
                        <w:jc w:val="center"/>
                        <w:rPr>
                          <w:rFonts w:ascii="黑体" w:eastAsia="黑体" w:cs="Times New Roman"/>
                          <w:sz w:val="32"/>
                          <w:szCs w:val="32"/>
                        </w:rPr>
                      </w:pPr>
                    </w:p>
                    <w:p w14:paraId="670B853E">
                      <w:pPr>
                        <w:jc w:val="center"/>
                        <w:rPr>
                          <w:rFonts w:ascii="黑体" w:eastAsia="黑体" w:cs="Times New Roman"/>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法定代表人（负责人）身份证</w:t>
                      </w:r>
                      <w:r>
                        <w:rPr>
                          <w:rFonts w:hint="eastAsia" w:ascii="宋体" w:hAnsi="宋体" w:eastAsia="宋体" w:cs="宋体"/>
                          <w:b/>
                          <w:bCs/>
                          <w:color w:val="000000" w:themeColor="text1"/>
                          <w:sz w:val="24"/>
                          <w:szCs w:val="24"/>
                          <w:highlight w:val="none"/>
                          <w:lang w:eastAsia="zh-CN"/>
                          <w14:textFill>
                            <w14:solidFill>
                              <w14:schemeClr w14:val="tx1"/>
                            </w14:solidFill>
                          </w14:textFill>
                        </w:rPr>
                        <w:t>正、反</w:t>
                      </w:r>
                      <w:r>
                        <w:rPr>
                          <w:rFonts w:hint="eastAsia" w:ascii="宋体" w:hAnsi="宋体" w:cs="宋体"/>
                          <w:b/>
                          <w:bCs/>
                          <w:color w:val="000000" w:themeColor="text1"/>
                          <w:sz w:val="24"/>
                          <w:szCs w:val="24"/>
                          <w:highlight w:val="none"/>
                          <w:lang w:eastAsia="zh-CN"/>
                          <w14:textFill>
                            <w14:solidFill>
                              <w14:schemeClr w14:val="tx1"/>
                            </w14:solidFill>
                          </w14:textFill>
                        </w:rPr>
                        <w:t>面</w:t>
                      </w:r>
                      <w:r>
                        <w:rPr>
                          <w:rFonts w:hint="eastAsia" w:ascii="宋体" w:hAnsi="宋体" w:eastAsia="宋体" w:cs="宋体"/>
                          <w:b/>
                          <w:bCs/>
                          <w:color w:val="000000" w:themeColor="text1"/>
                          <w:sz w:val="24"/>
                          <w:szCs w:val="24"/>
                          <w:highlight w:val="none"/>
                          <w14:textFill>
                            <w14:solidFill>
                              <w14:schemeClr w14:val="tx1"/>
                            </w14:solidFill>
                          </w14:textFill>
                        </w:rPr>
                        <w:t>复印件</w:t>
                      </w:r>
                    </w:p>
                  </w:txbxContent>
                </v:textbox>
              </v:shape>
            </w:pict>
          </mc:Fallback>
        </mc:AlternateContent>
      </w:r>
    </w:p>
    <w:p w14:paraId="0F0CCD0E">
      <w:pPr>
        <w:spacing w:line="360" w:lineRule="auto"/>
        <w:ind w:firstLine="420" w:firstLineChars="200"/>
        <w:rPr>
          <w:rFonts w:ascii="宋体" w:cs="Times New Roman"/>
          <w:color w:val="000000" w:themeColor="text1"/>
          <w:highlight w:val="none"/>
          <w14:textFill>
            <w14:solidFill>
              <w14:schemeClr w14:val="tx1"/>
            </w14:solidFill>
          </w14:textFill>
        </w:rPr>
      </w:pPr>
    </w:p>
    <w:p w14:paraId="53A0B676">
      <w:pPr>
        <w:spacing w:line="360" w:lineRule="auto"/>
        <w:ind w:firstLine="420" w:firstLineChars="200"/>
        <w:rPr>
          <w:rFonts w:ascii="宋体" w:cs="Times New Roman"/>
          <w:color w:val="000000" w:themeColor="text1"/>
          <w:highlight w:val="none"/>
          <w14:textFill>
            <w14:solidFill>
              <w14:schemeClr w14:val="tx1"/>
            </w14:solidFill>
          </w14:textFill>
        </w:rPr>
      </w:pPr>
    </w:p>
    <w:p w14:paraId="4078580D">
      <w:pPr>
        <w:spacing w:line="360" w:lineRule="auto"/>
        <w:ind w:firstLine="420" w:firstLineChars="200"/>
        <w:rPr>
          <w:rFonts w:ascii="宋体" w:cs="Times New Roman"/>
          <w:color w:val="000000" w:themeColor="text1"/>
          <w:highlight w:val="none"/>
          <w14:textFill>
            <w14:solidFill>
              <w14:schemeClr w14:val="tx1"/>
            </w14:solidFill>
          </w14:textFill>
        </w:rPr>
      </w:pPr>
    </w:p>
    <w:p w14:paraId="0DC7001F">
      <w:pPr>
        <w:spacing w:line="360" w:lineRule="auto"/>
        <w:ind w:firstLine="420" w:firstLineChars="200"/>
        <w:rPr>
          <w:rFonts w:ascii="宋体" w:cs="Times New Roman"/>
          <w:color w:val="000000" w:themeColor="text1"/>
          <w:highlight w:val="none"/>
          <w14:textFill>
            <w14:solidFill>
              <w14:schemeClr w14:val="tx1"/>
            </w14:solidFill>
          </w14:textFill>
        </w:rPr>
      </w:pPr>
    </w:p>
    <w:p w14:paraId="4AF6E161">
      <w:pPr>
        <w:spacing w:line="360" w:lineRule="auto"/>
        <w:ind w:firstLine="420" w:firstLineChars="200"/>
        <w:rPr>
          <w:rFonts w:ascii="宋体" w:cs="Times New Roman"/>
          <w:color w:val="000000" w:themeColor="text1"/>
          <w:highlight w:val="none"/>
          <w14:textFill>
            <w14:solidFill>
              <w14:schemeClr w14:val="tx1"/>
            </w14:solidFill>
          </w14:textFill>
        </w:rPr>
      </w:pPr>
    </w:p>
    <w:p w14:paraId="72DB83D5">
      <w:pPr>
        <w:spacing w:line="360" w:lineRule="auto"/>
        <w:rPr>
          <w:rFonts w:ascii="宋体" w:cs="Times New Roman"/>
          <w:color w:val="000000" w:themeColor="text1"/>
          <w:highlight w:val="none"/>
          <w14:textFill>
            <w14:solidFill>
              <w14:schemeClr w14:val="tx1"/>
            </w14:solidFill>
          </w14:textFill>
        </w:rPr>
      </w:pPr>
    </w:p>
    <w:p w14:paraId="03357A5A">
      <w:pPr>
        <w:spacing w:line="360" w:lineRule="auto"/>
        <w:ind w:firstLine="420" w:firstLineChars="200"/>
        <w:rPr>
          <w:rFonts w:ascii="宋体" w:cs="Times New Roman"/>
          <w:color w:val="000000" w:themeColor="text1"/>
          <w:highlight w:val="none"/>
          <w14:textFill>
            <w14:solidFill>
              <w14:schemeClr w14:val="tx1"/>
            </w14:solidFill>
          </w14:textFill>
        </w:rPr>
      </w:pPr>
    </w:p>
    <w:p w14:paraId="477C8637">
      <w:pPr>
        <w:spacing w:line="360" w:lineRule="auto"/>
        <w:jc w:val="right"/>
        <w:rPr>
          <w:rFonts w:ascii="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（盖单位章）</w:t>
      </w:r>
    </w:p>
    <w:p w14:paraId="71B1BE18">
      <w:pPr>
        <w:spacing w:line="360" w:lineRule="auto"/>
        <w:rPr>
          <w:rFonts w:ascii="宋体" w:cs="Times New Roman"/>
          <w:color w:val="000000" w:themeColor="text1"/>
          <w:sz w:val="24"/>
          <w:szCs w:val="24"/>
          <w:highlight w:val="none"/>
          <w:u w:val="single"/>
          <w14:textFill>
            <w14:solidFill>
              <w14:schemeClr w14:val="tx1"/>
            </w14:solidFill>
          </w14:textFill>
        </w:rPr>
      </w:pPr>
    </w:p>
    <w:p w14:paraId="4EF73F15">
      <w:pPr>
        <w:pStyle w:val="18"/>
        <w:spacing w:line="360" w:lineRule="auto"/>
        <w:ind w:firstLine="480" w:firstLineChars="200"/>
        <w:jc w:val="right"/>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5458333F">
      <w:pPr>
        <w:pStyle w:val="18"/>
        <w:ind w:firstLine="420" w:firstLineChars="200"/>
        <w:rPr>
          <w:rFonts w:hAnsi="宋体" w:cs="Times New Roman"/>
          <w:color w:val="000000" w:themeColor="text1"/>
          <w:highlight w:val="none"/>
          <w14:textFill>
            <w14:solidFill>
              <w14:schemeClr w14:val="tx1"/>
            </w14:solidFill>
          </w14:textFill>
        </w:rPr>
      </w:pPr>
    </w:p>
    <w:p w14:paraId="24495B7E">
      <w:pPr>
        <w:pStyle w:val="18"/>
        <w:spacing w:line="360" w:lineRule="auto"/>
        <w:jc w:val="center"/>
        <w:rPr>
          <w:rFonts w:hAnsi="宋体" w:cs="Times New Roman"/>
          <w:b/>
          <w:bCs/>
          <w:color w:val="000000" w:themeColor="text1"/>
          <w:sz w:val="32"/>
          <w:szCs w:val="32"/>
          <w:highlight w:val="none"/>
          <w14:textFill>
            <w14:solidFill>
              <w14:schemeClr w14:val="tx1"/>
            </w14:solidFill>
          </w14:textFill>
        </w:rPr>
      </w:pPr>
      <w:bookmarkStart w:id="190" w:name="_Toc466466386"/>
      <w:bookmarkStart w:id="191" w:name="_Toc466454742"/>
      <w:bookmarkStart w:id="192" w:name="_Toc465257491"/>
      <w:r>
        <w:rPr>
          <w:rFonts w:cs="Times New Roman"/>
          <w:color w:val="000000" w:themeColor="text1"/>
          <w:sz w:val="28"/>
          <w:szCs w:val="28"/>
          <w:highlight w:val="none"/>
          <w14:textFill>
            <w14:solidFill>
              <w14:schemeClr w14:val="tx1"/>
            </w14:solidFill>
          </w14:textFill>
        </w:rPr>
        <w:br w:type="page"/>
      </w:r>
      <w:bookmarkEnd w:id="190"/>
      <w:bookmarkEnd w:id="191"/>
      <w:bookmarkEnd w:id="192"/>
      <w:r>
        <w:rPr>
          <w:rFonts w:hint="eastAsia"/>
          <w:b/>
          <w:color w:val="000000" w:themeColor="text1"/>
          <w:sz w:val="28"/>
          <w:szCs w:val="28"/>
          <w:highlight w:val="none"/>
          <w14:textFill>
            <w14:solidFill>
              <w14:schemeClr w14:val="tx1"/>
            </w14:solidFill>
          </w14:textFill>
        </w:rPr>
        <w:t>（二）</w:t>
      </w:r>
      <w:r>
        <w:rPr>
          <w:rFonts w:hint="eastAsia" w:hAnsi="宋体"/>
          <w:b/>
          <w:bCs/>
          <w:color w:val="000000" w:themeColor="text1"/>
          <w:sz w:val="32"/>
          <w:szCs w:val="32"/>
          <w:highlight w:val="none"/>
          <w14:textFill>
            <w14:solidFill>
              <w14:schemeClr w14:val="tx1"/>
            </w14:solidFill>
          </w14:textFill>
        </w:rPr>
        <w:t>授权委托书</w:t>
      </w:r>
    </w:p>
    <w:p w14:paraId="3E86E15A">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FE03F9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szCs w:val="24"/>
          <w:highlight w:val="none"/>
          <w:u w:val="single"/>
          <w14:textFill>
            <w14:solidFill>
              <w14:schemeClr w14:val="tx1"/>
            </w14:solidFill>
          </w14:textFill>
        </w:rPr>
        <w:t xml:space="preserve">    （姓名）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（供应商名称）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的法定代表人，现委托</w:t>
      </w:r>
      <w:r>
        <w:rPr>
          <w:rFonts w:hint="eastAsia" w:ascii="宋体" w:hAnsi="宋体"/>
          <w:color w:val="000000" w:themeColor="text1"/>
          <w:sz w:val="24"/>
          <w:szCs w:val="24"/>
          <w:highlight w:val="none"/>
          <w:u w:val="single"/>
          <w14:textFill>
            <w14:solidFill>
              <w14:schemeClr w14:val="tx1"/>
            </w14:solidFill>
          </w14:textFill>
        </w:rPr>
        <w:t xml:space="preserve">    （姓名）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为我方代理人。代理人根据授权，以我方名义签署、澄清、说明、补正、递交、撤回、修改</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响应文件、签订合同和处理有关事宜，其法律后果由我方承担。</w:t>
      </w:r>
    </w:p>
    <w:p w14:paraId="3B4D7BF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委托期限：</w:t>
      </w:r>
      <w:r>
        <w:rPr>
          <w:rFonts w:hint="eastAsia" w:ascii="宋体" w:hAnsi="宋体"/>
          <w:color w:val="000000" w:themeColor="text1"/>
          <w:sz w:val="24"/>
          <w:szCs w:val="24"/>
          <w:highlight w:val="none"/>
          <w:u w:val="single"/>
          <w14:textFill>
            <w14:solidFill>
              <w14:schemeClr w14:val="tx1"/>
            </w14:solidFill>
          </w14:textFill>
        </w:rPr>
        <w:t xml:space="preserve">                                </w:t>
      </w:r>
    </w:p>
    <w:p w14:paraId="327D03A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代理人无转委托权。</w:t>
      </w:r>
    </w:p>
    <w:p w14:paraId="69169F5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207010</wp:posOffset>
                </wp:positionV>
                <wp:extent cx="4650105" cy="1480185"/>
                <wp:effectExtent l="4445" t="4445" r="12700" b="20320"/>
                <wp:wrapNone/>
                <wp:docPr id="2" name="文本框 15"/>
                <wp:cNvGraphicFramePr/>
                <a:graphic xmlns:a="http://schemas.openxmlformats.org/drawingml/2006/main">
                  <a:graphicData uri="http://schemas.microsoft.com/office/word/2010/wordprocessingShape">
                    <wps:wsp>
                      <wps:cNvSpPr txBox="1"/>
                      <wps:spPr>
                        <a:xfrm>
                          <a:off x="0" y="0"/>
                          <a:ext cx="4650105" cy="1480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46875">
                            <w:pPr>
                              <w:rPr>
                                <w:rFonts w:ascii="黑体" w:eastAsia="黑体"/>
                                <w:sz w:val="32"/>
                                <w:szCs w:val="32"/>
                              </w:rPr>
                            </w:pPr>
                          </w:p>
                          <w:p w14:paraId="148AA647">
                            <w:pPr>
                              <w:jc w:val="center"/>
                              <w:rPr>
                                <w:rFonts w:ascii="黑体" w:eastAsia="黑体"/>
                                <w:sz w:val="24"/>
                              </w:rPr>
                            </w:pPr>
                            <w:r>
                              <w:rPr>
                                <w:rFonts w:hint="eastAsia" w:ascii="黑体" w:eastAsia="黑体" w:cs="黑体"/>
                                <w:color w:val="auto"/>
                                <w:sz w:val="24"/>
                                <w:szCs w:val="24"/>
                                <w:highlight w:val="none"/>
                              </w:rPr>
                              <w:t>法定代表人（负责人）身份证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wps:txbx>
                      <wps:bodyPr wrap="square" upright="1"/>
                    </wps:wsp>
                  </a:graphicData>
                </a:graphic>
              </wp:anchor>
            </w:drawing>
          </mc:Choice>
          <mc:Fallback>
            <w:pict>
              <v:shape id="文本框 15" o:spid="_x0000_s1026" o:spt="202" type="#_x0000_t202" style="position:absolute;left:0pt;margin-left:35.7pt;margin-top:16.3pt;height:116.55pt;width:366.15pt;z-index:251660288;mso-width-relative:page;mso-height-relative:page;" fillcolor="#FFFFFF" filled="t" stroked="t" coordsize="21600,21600" o:gfxdata="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qrBm2QAAAAkBAAAP&#10;AAAAAAAAAAEAIAAAACIAAABkcnMvZG93bnJldi54bWxQSwECFAAUAAAACACHTuJASRd4NxcCAABG&#10;BAAADgAAAAAAAAABACAAAAAoAQAAZHJzL2Uyb0RvYy54bWxQSwUGAAAAAAYABgBZAQAAsQUAAAAA&#10;">
                <v:fill on="t" focussize="0,0"/>
                <v:stroke color="#000000" joinstyle="miter"/>
                <v:imagedata o:title=""/>
                <o:lock v:ext="edit" aspectratio="f"/>
                <v:textbox>
                  <w:txbxContent>
                    <w:p w14:paraId="24946875">
                      <w:pPr>
                        <w:rPr>
                          <w:rFonts w:ascii="黑体" w:eastAsia="黑体"/>
                          <w:sz w:val="32"/>
                          <w:szCs w:val="32"/>
                        </w:rPr>
                      </w:pPr>
                    </w:p>
                    <w:p w14:paraId="148AA647">
                      <w:pPr>
                        <w:jc w:val="center"/>
                        <w:rPr>
                          <w:rFonts w:ascii="黑体" w:eastAsia="黑体"/>
                          <w:sz w:val="24"/>
                        </w:rPr>
                      </w:pPr>
                      <w:r>
                        <w:rPr>
                          <w:rFonts w:hint="eastAsia" w:ascii="黑体" w:eastAsia="黑体" w:cs="黑体"/>
                          <w:color w:val="auto"/>
                          <w:sz w:val="24"/>
                          <w:szCs w:val="24"/>
                          <w:highlight w:val="none"/>
                        </w:rPr>
                        <w:t>法定代表人（负责人）身份证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v:textbox>
              </v:shape>
            </w:pict>
          </mc:Fallback>
        </mc:AlternateContent>
      </w:r>
    </w:p>
    <w:p w14:paraId="075CA590">
      <w:pPr>
        <w:spacing w:line="360" w:lineRule="auto"/>
        <w:rPr>
          <w:rFonts w:ascii="宋体" w:hAnsi="宋体"/>
          <w:color w:val="000000" w:themeColor="text1"/>
          <w:highlight w:val="none"/>
          <w14:textFill>
            <w14:solidFill>
              <w14:schemeClr w14:val="tx1"/>
            </w14:solidFill>
          </w14:textFill>
        </w:rPr>
      </w:pPr>
    </w:p>
    <w:p w14:paraId="318E1C85">
      <w:pPr>
        <w:spacing w:line="360" w:lineRule="auto"/>
        <w:ind w:firstLine="420" w:firstLineChars="200"/>
        <w:rPr>
          <w:rFonts w:ascii="宋体" w:hAnsi="宋体"/>
          <w:color w:val="000000" w:themeColor="text1"/>
          <w:highlight w:val="none"/>
          <w14:textFill>
            <w14:solidFill>
              <w14:schemeClr w14:val="tx1"/>
            </w14:solidFill>
          </w14:textFill>
        </w:rPr>
      </w:pPr>
    </w:p>
    <w:p w14:paraId="395D8314">
      <w:pPr>
        <w:spacing w:line="360" w:lineRule="auto"/>
        <w:ind w:firstLine="420" w:firstLineChars="200"/>
        <w:rPr>
          <w:rFonts w:ascii="宋体" w:hAnsi="宋体"/>
          <w:color w:val="000000" w:themeColor="text1"/>
          <w:highlight w:val="none"/>
          <w14:textFill>
            <w14:solidFill>
              <w14:schemeClr w14:val="tx1"/>
            </w14:solidFill>
          </w14:textFill>
        </w:rPr>
      </w:pPr>
    </w:p>
    <w:p w14:paraId="04C0EF9A">
      <w:pPr>
        <w:spacing w:line="360" w:lineRule="auto"/>
        <w:ind w:firstLine="420" w:firstLineChars="200"/>
        <w:rPr>
          <w:rFonts w:ascii="宋体" w:hAnsi="宋体"/>
          <w:color w:val="000000" w:themeColor="text1"/>
          <w:highlight w:val="none"/>
          <w14:textFill>
            <w14:solidFill>
              <w14:schemeClr w14:val="tx1"/>
            </w14:solidFill>
          </w14:textFill>
        </w:rPr>
      </w:pPr>
    </w:p>
    <w:p w14:paraId="27537000">
      <w:pPr>
        <w:spacing w:line="360" w:lineRule="auto"/>
        <w:rPr>
          <w:rFonts w:ascii="宋体" w:hAnsi="宋体"/>
          <w:color w:val="000000" w:themeColor="text1"/>
          <w:highlight w:val="none"/>
          <w14:textFill>
            <w14:solidFill>
              <w14:schemeClr w14:val="tx1"/>
            </w14:solidFill>
          </w14:textFill>
        </w:rPr>
      </w:pPr>
    </w:p>
    <w:p w14:paraId="71B6EC58">
      <w:pPr>
        <w:spacing w:line="480" w:lineRule="auto"/>
        <w:ind w:right="-13" w:rightChars="-6"/>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1C4C655B">
      <w:pPr>
        <w:spacing w:line="480" w:lineRule="auto"/>
        <w:ind w:right="-13" w:rightChars="-6"/>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528A82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488950</wp:posOffset>
                </wp:positionH>
                <wp:positionV relativeFrom="paragraph">
                  <wp:posOffset>300990</wp:posOffset>
                </wp:positionV>
                <wp:extent cx="4623435" cy="1515745"/>
                <wp:effectExtent l="5080" t="4445" r="19685" b="22860"/>
                <wp:wrapNone/>
                <wp:docPr id="3" name="文本框 16"/>
                <wp:cNvGraphicFramePr/>
                <a:graphic xmlns:a="http://schemas.openxmlformats.org/drawingml/2006/main">
                  <a:graphicData uri="http://schemas.microsoft.com/office/word/2010/wordprocessingShape">
                    <wps:wsp>
                      <wps:cNvSpPr txBox="1"/>
                      <wps:spPr>
                        <a:xfrm>
                          <a:off x="0" y="0"/>
                          <a:ext cx="4623435" cy="1515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D75C39">
                            <w:pPr>
                              <w:rPr>
                                <w:rFonts w:ascii="黑体" w:eastAsia="黑体"/>
                                <w:sz w:val="32"/>
                                <w:szCs w:val="32"/>
                              </w:rPr>
                            </w:pPr>
                          </w:p>
                          <w:p w14:paraId="6B4F6E47">
                            <w:pPr>
                              <w:jc w:val="center"/>
                              <w:rPr>
                                <w:rFonts w:ascii="黑体" w:eastAsia="黑体"/>
                                <w:sz w:val="24"/>
                              </w:rPr>
                            </w:pPr>
                            <w:r>
                              <w:rPr>
                                <w:rFonts w:hint="eastAsia" w:ascii="黑体" w:eastAsia="黑体" w:cs="黑体"/>
                                <w:color w:val="auto"/>
                                <w:sz w:val="24"/>
                                <w:szCs w:val="24"/>
                                <w:highlight w:val="none"/>
                                <w:lang w:eastAsia="zh-CN"/>
                              </w:rPr>
                              <w:t>委托代理人</w:t>
                            </w:r>
                            <w:r>
                              <w:rPr>
                                <w:rFonts w:hint="eastAsia" w:ascii="黑体" w:eastAsia="黑体" w:cs="黑体"/>
                                <w:color w:val="auto"/>
                                <w:sz w:val="24"/>
                                <w:szCs w:val="24"/>
                                <w:highlight w:val="none"/>
                              </w:rPr>
                              <w:t>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wps:txbx>
                      <wps:bodyPr wrap="square" upright="1"/>
                    </wps:wsp>
                  </a:graphicData>
                </a:graphic>
              </wp:anchor>
            </w:drawing>
          </mc:Choice>
          <mc:Fallback>
            <w:pict>
              <v:shape id="文本框 16" o:spid="_x0000_s1026" o:spt="202" type="#_x0000_t202" style="position:absolute;left:0pt;margin-left:38.5pt;margin-top:23.7pt;height:119.35pt;width:364.05pt;z-index:251661312;mso-width-relative:page;mso-height-relative:page;" fillcolor="#FFFFFF" filled="t" stroked="t" coordsize="21600,21600" o:gfxdata="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WvxXZAAAACQEAAA8A&#10;AAAAAAAAAQAgAAAAIgAAAGRycy9kb3ducmV2LnhtbFBLAQIUABQAAAAIAIdO4kD96JhiFgIAAEYE&#10;AAAOAAAAAAAAAAEAIAAAACgBAABkcnMvZTJvRG9jLnhtbFBLBQYAAAAABgAGAFkBAACwBQAAAAA=&#10;">
                <v:fill on="t" focussize="0,0"/>
                <v:stroke color="#000000" joinstyle="miter"/>
                <v:imagedata o:title=""/>
                <o:lock v:ext="edit" aspectratio="f"/>
                <v:textbox>
                  <w:txbxContent>
                    <w:p w14:paraId="63D75C39">
                      <w:pPr>
                        <w:rPr>
                          <w:rFonts w:ascii="黑体" w:eastAsia="黑体"/>
                          <w:sz w:val="32"/>
                          <w:szCs w:val="32"/>
                        </w:rPr>
                      </w:pPr>
                    </w:p>
                    <w:p w14:paraId="6B4F6E47">
                      <w:pPr>
                        <w:jc w:val="center"/>
                        <w:rPr>
                          <w:rFonts w:ascii="黑体" w:eastAsia="黑体"/>
                          <w:sz w:val="24"/>
                        </w:rPr>
                      </w:pPr>
                      <w:r>
                        <w:rPr>
                          <w:rFonts w:hint="eastAsia" w:ascii="黑体" w:eastAsia="黑体" w:cs="黑体"/>
                          <w:color w:val="auto"/>
                          <w:sz w:val="24"/>
                          <w:szCs w:val="24"/>
                          <w:highlight w:val="none"/>
                          <w:lang w:eastAsia="zh-CN"/>
                        </w:rPr>
                        <w:t>委托代理人</w:t>
                      </w:r>
                      <w:r>
                        <w:rPr>
                          <w:rFonts w:hint="eastAsia" w:ascii="黑体" w:eastAsia="黑体" w:cs="黑体"/>
                          <w:color w:val="auto"/>
                          <w:sz w:val="24"/>
                          <w:szCs w:val="24"/>
                          <w:highlight w:val="none"/>
                        </w:rPr>
                        <w:t>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v:textbox>
              </v:shape>
            </w:pict>
          </mc:Fallback>
        </mc:AlternateContent>
      </w:r>
    </w:p>
    <w:p w14:paraId="6A2BFC5F">
      <w:pPr>
        <w:spacing w:line="360" w:lineRule="auto"/>
        <w:ind w:firstLine="420" w:firstLineChars="200"/>
        <w:rPr>
          <w:rFonts w:ascii="宋体" w:hAnsi="宋体"/>
          <w:color w:val="000000" w:themeColor="text1"/>
          <w:highlight w:val="none"/>
          <w14:textFill>
            <w14:solidFill>
              <w14:schemeClr w14:val="tx1"/>
            </w14:solidFill>
          </w14:textFill>
        </w:rPr>
      </w:pPr>
    </w:p>
    <w:p w14:paraId="70D58C04">
      <w:pPr>
        <w:spacing w:line="360" w:lineRule="auto"/>
        <w:ind w:firstLine="420" w:firstLineChars="200"/>
        <w:rPr>
          <w:rFonts w:ascii="宋体" w:hAnsi="宋体"/>
          <w:color w:val="000000" w:themeColor="text1"/>
          <w:highlight w:val="none"/>
          <w14:textFill>
            <w14:solidFill>
              <w14:schemeClr w14:val="tx1"/>
            </w14:solidFill>
          </w14:textFill>
        </w:rPr>
      </w:pPr>
    </w:p>
    <w:p w14:paraId="571087BD">
      <w:pPr>
        <w:spacing w:line="360" w:lineRule="auto"/>
        <w:ind w:firstLine="420" w:firstLineChars="200"/>
        <w:rPr>
          <w:rFonts w:ascii="宋体" w:hAnsi="宋体"/>
          <w:color w:val="000000" w:themeColor="text1"/>
          <w:highlight w:val="none"/>
          <w14:textFill>
            <w14:solidFill>
              <w14:schemeClr w14:val="tx1"/>
            </w14:solidFill>
          </w14:textFill>
        </w:rPr>
      </w:pPr>
    </w:p>
    <w:p w14:paraId="4F8D3AD9">
      <w:pPr>
        <w:spacing w:line="360" w:lineRule="auto"/>
        <w:ind w:firstLine="420" w:firstLineChars="200"/>
        <w:rPr>
          <w:rFonts w:ascii="宋体" w:hAnsi="宋体"/>
          <w:color w:val="000000" w:themeColor="text1"/>
          <w:highlight w:val="none"/>
          <w14:textFill>
            <w14:solidFill>
              <w14:schemeClr w14:val="tx1"/>
            </w14:solidFill>
          </w14:textFill>
        </w:rPr>
      </w:pPr>
    </w:p>
    <w:p w14:paraId="667123B6">
      <w:pPr>
        <w:spacing w:line="360" w:lineRule="auto"/>
        <w:ind w:firstLine="420" w:firstLineChars="200"/>
        <w:rPr>
          <w:rFonts w:ascii="宋体" w:hAnsi="宋体"/>
          <w:color w:val="000000" w:themeColor="text1"/>
          <w:highlight w:val="none"/>
          <w14:textFill>
            <w14:solidFill>
              <w14:schemeClr w14:val="tx1"/>
            </w14:solidFill>
          </w14:textFill>
        </w:rPr>
      </w:pPr>
    </w:p>
    <w:p w14:paraId="76917E6F">
      <w:pPr>
        <w:spacing w:line="360" w:lineRule="auto"/>
        <w:ind w:firstLine="420" w:firstLineChars="200"/>
        <w:rPr>
          <w:rFonts w:ascii="宋体" w:hAnsi="宋体"/>
          <w:color w:val="000000" w:themeColor="text1"/>
          <w:highlight w:val="none"/>
          <w14:textFill>
            <w14:solidFill>
              <w14:schemeClr w14:val="tx1"/>
            </w14:solidFill>
          </w14:textFill>
        </w:rPr>
      </w:pPr>
    </w:p>
    <w:p w14:paraId="148AE06B">
      <w:pPr>
        <w:wordWrap w:val="0"/>
        <w:spacing w:line="480" w:lineRule="auto"/>
        <w:ind w:right="-13" w:rightChars="-6"/>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（签字）性  别：</w:t>
      </w:r>
      <w:r>
        <w:rPr>
          <w:rFonts w:hint="eastAsia" w:ascii="宋体" w:hAnsi="宋体"/>
          <w:color w:val="000000" w:themeColor="text1"/>
          <w:sz w:val="24"/>
          <w:szCs w:val="24"/>
          <w:highlight w:val="none"/>
          <w:u w:val="single"/>
          <w14:textFill>
            <w14:solidFill>
              <w14:schemeClr w14:val="tx1"/>
            </w14:solidFill>
          </w14:textFill>
        </w:rPr>
        <w:t xml:space="preserve">         </w:t>
      </w:r>
    </w:p>
    <w:p w14:paraId="5CBE48CB">
      <w:pPr>
        <w:wordWrap w:val="0"/>
        <w:spacing w:line="480" w:lineRule="auto"/>
        <w:ind w:right="-13" w:rightChars="-6" w:firstLine="3360" w:firstLineChars="1400"/>
        <w:jc w:val="both"/>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职  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0A5C953">
      <w:pPr>
        <w:spacing w:line="480" w:lineRule="auto"/>
        <w:ind w:firstLine="1200" w:firstLineChars="500"/>
        <w:jc w:val="right"/>
        <w:rPr>
          <w:rFonts w:ascii="宋体" w:hAnsi="宋体"/>
          <w:color w:val="000000" w:themeColor="text1"/>
          <w:sz w:val="24"/>
          <w:szCs w:val="24"/>
          <w:highlight w:val="none"/>
          <w:u w:val="singl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707E55C7">
      <w:pPr>
        <w:spacing w:line="360" w:lineRule="auto"/>
        <w:jc w:val="center"/>
        <w:outlineLvl w:val="1"/>
        <w:rPr>
          <w:b/>
          <w:color w:val="000000" w:themeColor="text1"/>
          <w:sz w:val="32"/>
          <w:szCs w:val="32"/>
          <w:highlight w:val="none"/>
          <w14:textFill>
            <w14:solidFill>
              <w14:schemeClr w14:val="tx1"/>
            </w14:solidFill>
          </w14:textFill>
        </w:rPr>
      </w:pPr>
      <w:bookmarkStart w:id="193" w:name="_Toc2769"/>
      <w:bookmarkStart w:id="194" w:name="_Toc4246"/>
      <w:bookmarkStart w:id="195" w:name="_Toc15138"/>
      <w:bookmarkStart w:id="196" w:name="_Toc5936"/>
      <w:r>
        <w:rPr>
          <w:rFonts w:hint="eastAsia"/>
          <w:b/>
          <w:color w:val="000000" w:themeColor="text1"/>
          <w:sz w:val="32"/>
          <w:szCs w:val="32"/>
          <w:highlight w:val="none"/>
          <w14:textFill>
            <w14:solidFill>
              <w14:schemeClr w14:val="tx1"/>
            </w14:solidFill>
          </w14:textFill>
        </w:rPr>
        <w:t>三、磋商保证金</w:t>
      </w:r>
      <w:bookmarkEnd w:id="193"/>
      <w:bookmarkEnd w:id="194"/>
      <w:bookmarkEnd w:id="195"/>
      <w:bookmarkEnd w:id="196"/>
    </w:p>
    <w:p w14:paraId="6A2ACF11">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1E3EEF2B">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若采用现金或支票，供应商应在此提供汇款凭证的复印件、</w:t>
      </w:r>
      <w:r>
        <w:rPr>
          <w:rFonts w:hint="eastAsia" w:ascii="宋体" w:hAnsi="宋体" w:cs="宋体"/>
          <w:color w:val="000000" w:themeColor="text1"/>
          <w:kern w:val="0"/>
          <w:sz w:val="24"/>
          <w:szCs w:val="24"/>
          <w:highlight w:val="none"/>
          <w:lang w:eastAsia="zh-CN"/>
          <w14:textFill>
            <w14:solidFill>
              <w14:schemeClr w14:val="tx1"/>
            </w14:solidFill>
          </w14:textFill>
        </w:rPr>
        <w:t>基本存款账户信息（开户许可证）</w:t>
      </w:r>
      <w:r>
        <w:rPr>
          <w:rFonts w:hint="eastAsia" w:ascii="宋体" w:hAnsi="宋体" w:cs="宋体"/>
          <w:color w:val="000000" w:themeColor="text1"/>
          <w:kern w:val="0"/>
          <w:sz w:val="24"/>
          <w:szCs w:val="24"/>
          <w:highlight w:val="none"/>
          <w14:textFill>
            <w14:solidFill>
              <w14:schemeClr w14:val="tx1"/>
            </w14:solidFill>
          </w14:textFill>
        </w:rPr>
        <w:t>复印件，并填写备注表格。</w:t>
      </w:r>
    </w:p>
    <w:p w14:paraId="3B84D008">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336C33DE">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3EF0D18D">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若采用银行保函，供应商应在此提供银行保函的复印件，并填写备注表格。</w:t>
      </w:r>
    </w:p>
    <w:p w14:paraId="6CAAA66E">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3EB0126D">
      <w:pPr>
        <w:spacing w:line="360" w:lineRule="auto"/>
        <w:rPr>
          <w:rFonts w:ascii="宋体" w:hAnsi="宋体"/>
          <w:color w:val="000000" w:themeColor="text1"/>
          <w:sz w:val="24"/>
          <w:szCs w:val="24"/>
          <w:highlight w:val="none"/>
          <w14:textFill>
            <w14:solidFill>
              <w14:schemeClr w14:val="tx1"/>
            </w14:solidFill>
          </w14:textFill>
        </w:rPr>
      </w:pPr>
    </w:p>
    <w:p w14:paraId="580CDC51">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备注：（必填）</w:t>
      </w:r>
    </w:p>
    <w:p w14:paraId="746078CD">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1、供应商可采用采购人认可的磋商保函格式，但相关内容不得背离竞争性磋商文件约定的实质性内容。</w:t>
      </w:r>
    </w:p>
    <w:p w14:paraId="44EC1F88">
      <w:pPr>
        <w:autoSpaceDE w:val="0"/>
        <w:autoSpaceDN w:val="0"/>
        <w:adjustRightInd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2、根据本单位递交保证金的形式填写下表信息。</w:t>
      </w:r>
    </w:p>
    <w:p w14:paraId="2FB4DFE9">
      <w:pPr>
        <w:autoSpaceDE w:val="0"/>
        <w:autoSpaceDN w:val="0"/>
        <w:adjustRightInd w:val="0"/>
        <w:spacing w:line="360" w:lineRule="auto"/>
        <w:jc w:val="left"/>
        <w:rPr>
          <w:rFonts w:ascii="宋体" w:hAnsi="宋体"/>
          <w:color w:val="000000" w:themeColor="text1"/>
          <w:sz w:val="24"/>
          <w:szCs w:val="24"/>
          <w:highlight w:val="none"/>
          <w14:textFill>
            <w14:solidFill>
              <w14:schemeClr w14:val="tx1"/>
            </w14:solidFill>
          </w14:textFill>
        </w:rPr>
      </w:pPr>
    </w:p>
    <w:tbl>
      <w:tblPr>
        <w:tblStyle w:val="34"/>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5943"/>
      </w:tblGrid>
      <w:tr w14:paraId="5D47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4" w:type="dxa"/>
            <w:vAlign w:val="center"/>
          </w:tcPr>
          <w:p w14:paraId="5E490774">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磋商保证金缴纳形式</w:t>
            </w:r>
          </w:p>
        </w:tc>
        <w:tc>
          <w:tcPr>
            <w:tcW w:w="5943" w:type="dxa"/>
            <w:vAlign w:val="center"/>
          </w:tcPr>
          <w:p w14:paraId="29852476">
            <w:pPr>
              <w:spacing w:line="360" w:lineRule="auto"/>
              <w:ind w:firstLine="120" w:firstLineChars="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银行转账</w:t>
            </w:r>
            <w:r>
              <w:rPr>
                <w:rFonts w:hint="eastAsia" w:ascii="宋体" w:hAnsi="宋体"/>
                <w:color w:val="000000" w:themeColor="text1"/>
                <w:sz w:val="24"/>
                <w:szCs w:val="24"/>
                <w:highlight w:val="none"/>
                <w14:textFill>
                  <w14:solidFill>
                    <w14:schemeClr w14:val="tx1"/>
                  </w14:solidFill>
                </w14:textFill>
              </w:rPr>
              <w:t xml:space="preserve">     □现金支票       □银行汇票</w:t>
            </w:r>
          </w:p>
          <w:p w14:paraId="09682D14">
            <w:pPr>
              <w:spacing w:line="360" w:lineRule="auto"/>
              <w:ind w:firstLine="120" w:firstLineChars="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□银行保函     □担保公司保函   □保险保函</w:t>
            </w:r>
          </w:p>
        </w:tc>
      </w:tr>
      <w:tr w14:paraId="14A8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644" w:type="dxa"/>
            <w:vAlign w:val="center"/>
          </w:tcPr>
          <w:p w14:paraId="3CCE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Calibri" w:hAnsi="Calibri"/>
                <w:color w:val="000000" w:themeColor="text1"/>
                <w:sz w:val="24"/>
                <w:szCs w:val="24"/>
                <w:highlight w:val="none"/>
                <w14:textFill>
                  <w14:solidFill>
                    <w14:schemeClr w14:val="tx1"/>
                  </w14:solidFill>
                </w14:textFill>
              </w:rPr>
              <w:t>基本账户</w:t>
            </w:r>
            <w:r>
              <w:rPr>
                <w:rFonts w:hint="eastAsia" w:ascii="宋体" w:hAnsi="宋体"/>
                <w:color w:val="000000" w:themeColor="text1"/>
                <w:sz w:val="24"/>
                <w:szCs w:val="24"/>
                <w:highlight w:val="none"/>
                <w14:textFill>
                  <w14:solidFill>
                    <w14:schemeClr w14:val="tx1"/>
                  </w14:solidFill>
                </w14:textFill>
              </w:rPr>
              <w:t>开户银行或</w:t>
            </w:r>
            <w:r>
              <w:rPr>
                <w:rFonts w:hint="eastAsia" w:ascii="宋体" w:hAnsi="宋体"/>
                <w:color w:val="000000" w:themeColor="text1"/>
                <w:sz w:val="24"/>
                <w:szCs w:val="24"/>
                <w:highlight w:val="none"/>
                <w:lang w:eastAsia="zh-CN"/>
                <w14:textFill>
                  <w14:solidFill>
                    <w14:schemeClr w14:val="tx1"/>
                  </w14:solidFill>
                </w14:textFill>
              </w:rPr>
              <w:t>担保公司名称</w:t>
            </w:r>
          </w:p>
        </w:tc>
        <w:tc>
          <w:tcPr>
            <w:tcW w:w="5943" w:type="dxa"/>
            <w:vAlign w:val="center"/>
          </w:tcPr>
          <w:p w14:paraId="7613E495">
            <w:pPr>
              <w:spacing w:line="360" w:lineRule="auto"/>
              <w:jc w:val="center"/>
              <w:rPr>
                <w:rFonts w:ascii="宋体" w:hAnsi="宋体"/>
                <w:color w:val="000000" w:themeColor="text1"/>
                <w:sz w:val="24"/>
                <w:szCs w:val="24"/>
                <w:highlight w:val="none"/>
                <w14:textFill>
                  <w14:solidFill>
                    <w14:schemeClr w14:val="tx1"/>
                  </w14:solidFill>
                </w14:textFill>
              </w:rPr>
            </w:pPr>
          </w:p>
        </w:tc>
      </w:tr>
      <w:tr w14:paraId="777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44" w:type="dxa"/>
            <w:vAlign w:val="center"/>
          </w:tcPr>
          <w:p w14:paraId="202E0909">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经营地址</w:t>
            </w:r>
          </w:p>
        </w:tc>
        <w:tc>
          <w:tcPr>
            <w:tcW w:w="5943" w:type="dxa"/>
            <w:vAlign w:val="center"/>
          </w:tcPr>
          <w:p w14:paraId="5AD8DFEA">
            <w:pPr>
              <w:spacing w:line="360" w:lineRule="auto"/>
              <w:jc w:val="center"/>
              <w:rPr>
                <w:rFonts w:ascii="宋体" w:hAnsi="宋体"/>
                <w:color w:val="000000" w:themeColor="text1"/>
                <w:sz w:val="24"/>
                <w:szCs w:val="24"/>
                <w:highlight w:val="none"/>
                <w14:textFill>
                  <w14:solidFill>
                    <w14:schemeClr w14:val="tx1"/>
                  </w14:solidFill>
                </w14:textFill>
              </w:rPr>
            </w:pPr>
          </w:p>
        </w:tc>
      </w:tr>
      <w:tr w14:paraId="0184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44" w:type="dxa"/>
            <w:vAlign w:val="center"/>
          </w:tcPr>
          <w:p w14:paraId="08EAE666">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p>
        </w:tc>
        <w:tc>
          <w:tcPr>
            <w:tcW w:w="5943" w:type="dxa"/>
            <w:vAlign w:val="center"/>
          </w:tcPr>
          <w:p w14:paraId="673C567A">
            <w:pPr>
              <w:spacing w:line="360" w:lineRule="auto"/>
              <w:jc w:val="center"/>
              <w:rPr>
                <w:rFonts w:ascii="宋体" w:hAnsi="宋体"/>
                <w:color w:val="000000" w:themeColor="text1"/>
                <w:sz w:val="24"/>
                <w:szCs w:val="24"/>
                <w:highlight w:val="none"/>
                <w14:textFill>
                  <w14:solidFill>
                    <w14:schemeClr w14:val="tx1"/>
                  </w14:solidFill>
                </w14:textFill>
              </w:rPr>
            </w:pPr>
          </w:p>
        </w:tc>
      </w:tr>
    </w:tbl>
    <w:p w14:paraId="730E190A">
      <w:pPr>
        <w:spacing w:line="360" w:lineRule="auto"/>
        <w:jc w:val="center"/>
        <w:rPr>
          <w:color w:val="000000" w:themeColor="text1"/>
          <w:highlight w:val="none"/>
          <w14:textFill>
            <w14:solidFill>
              <w14:schemeClr w14:val="tx1"/>
            </w14:solidFill>
          </w14:textFill>
        </w:rPr>
      </w:pPr>
    </w:p>
    <w:p w14:paraId="5CAF6F6F">
      <w:pPr>
        <w:numPr>
          <w:ilvl w:val="0"/>
          <w:numId w:val="1"/>
        </w:numPr>
        <w:spacing w:line="480" w:lineRule="auto"/>
        <w:jc w:val="center"/>
        <w:outlineLvl w:val="1"/>
        <w:rPr>
          <w:rFonts w:hint="eastAsia"/>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97" w:name="_Toc14389"/>
      <w:bookmarkStart w:id="198" w:name="_Toc1722"/>
      <w:bookmarkStart w:id="199" w:name="_Toc32698"/>
      <w:bookmarkStart w:id="200" w:name="_Toc12737"/>
      <w:r>
        <w:rPr>
          <w:rFonts w:hint="eastAsia"/>
          <w:b/>
          <w:color w:val="000000" w:themeColor="text1"/>
          <w:sz w:val="32"/>
          <w:szCs w:val="32"/>
          <w:highlight w:val="none"/>
          <w14:textFill>
            <w14:solidFill>
              <w14:schemeClr w14:val="tx1"/>
            </w14:solidFill>
          </w14:textFill>
        </w:rPr>
        <w:t>磋商报价表</w:t>
      </w:r>
      <w:bookmarkEnd w:id="197"/>
      <w:bookmarkEnd w:id="198"/>
      <w:bookmarkEnd w:id="199"/>
      <w:bookmarkEnd w:id="200"/>
    </w:p>
    <w:p w14:paraId="63B4992E">
      <w:pPr>
        <w:numPr>
          <w:ilvl w:val="0"/>
          <w:numId w:val="0"/>
        </w:numPr>
        <w:spacing w:line="480" w:lineRule="auto"/>
        <w:jc w:val="center"/>
        <w:outlineLvl w:val="9"/>
        <w:rPr>
          <w:highlight w:val="none"/>
        </w:rPr>
      </w:pPr>
      <w:r>
        <w:rPr>
          <w:rFonts w:hint="eastAsia"/>
          <w:b/>
          <w:bCs w:val="0"/>
          <w:color w:val="000000" w:themeColor="text1"/>
          <w:sz w:val="28"/>
          <w:szCs w:val="28"/>
          <w:highlight w:val="none"/>
          <w:lang w:eastAsia="zh-CN"/>
          <w14:textFill>
            <w14:solidFill>
              <w14:schemeClr w14:val="tx1"/>
            </w14:solidFill>
          </w14:textFill>
        </w:rPr>
        <w:t>（格式以政采云系统生成的为准）</w:t>
      </w:r>
    </w:p>
    <w:p w14:paraId="75173F3D">
      <w:pPr>
        <w:spacing w:before="317" w:beforeLines="100" w:after="317" w:afterLines="100" w:line="240" w:lineRule="auto"/>
        <w:rPr>
          <w:rFonts w:ascii="宋体" w:hAns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 xml:space="preserve"> </w:t>
      </w:r>
    </w:p>
    <w:p w14:paraId="541A5A0B">
      <w:pPr>
        <w:spacing w:line="24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tbl>
      <w:tblPr>
        <w:tblStyle w:val="34"/>
        <w:tblW w:w="87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3066"/>
        <w:gridCol w:w="2097"/>
        <w:gridCol w:w="1581"/>
      </w:tblGrid>
      <w:tr w14:paraId="78F4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956" w:type="dxa"/>
            <w:vAlign w:val="center"/>
          </w:tcPr>
          <w:p w14:paraId="1D182984">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p>
        </w:tc>
        <w:tc>
          <w:tcPr>
            <w:tcW w:w="3066" w:type="dxa"/>
            <w:vAlign w:val="center"/>
          </w:tcPr>
          <w:p w14:paraId="0687F00E">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磋商报价（</w:t>
            </w:r>
            <w:r>
              <w:rPr>
                <w:rFonts w:hint="eastAsia" w:ascii="宋体" w:hAnsi="宋体"/>
                <w:color w:val="000000" w:themeColor="text1"/>
                <w:sz w:val="24"/>
                <w:szCs w:val="24"/>
                <w:highlight w:val="none"/>
                <w:lang w:val="en-US" w:eastAsia="zh-CN"/>
                <w14:textFill>
                  <w14:solidFill>
                    <w14:schemeClr w14:val="tx1"/>
                  </w14:solidFill>
                </w14:textFill>
              </w:rPr>
              <w:t>折扣率</w:t>
            </w:r>
            <w:r>
              <w:rPr>
                <w:rFonts w:hint="eastAsia" w:ascii="宋体" w:hAnsi="宋体"/>
                <w:color w:val="000000" w:themeColor="text1"/>
                <w:sz w:val="24"/>
                <w:szCs w:val="24"/>
                <w:highlight w:val="none"/>
                <w14:textFill>
                  <w14:solidFill>
                    <w14:schemeClr w14:val="tx1"/>
                  </w14:solidFill>
                </w14:textFill>
              </w:rPr>
              <w:t>）</w:t>
            </w:r>
          </w:p>
        </w:tc>
        <w:tc>
          <w:tcPr>
            <w:tcW w:w="2097" w:type="dxa"/>
            <w:vAlign w:val="center"/>
          </w:tcPr>
          <w:p w14:paraId="11AB6809">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合同履行期限</w:t>
            </w:r>
          </w:p>
        </w:tc>
        <w:tc>
          <w:tcPr>
            <w:tcW w:w="1581" w:type="dxa"/>
            <w:vAlign w:val="center"/>
          </w:tcPr>
          <w:p w14:paraId="67672485">
            <w:pPr>
              <w:spacing w:line="360" w:lineRule="auto"/>
              <w:jc w:val="center"/>
              <w:rPr>
                <w:rFonts w:hint="default"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质量要求</w:t>
            </w:r>
          </w:p>
        </w:tc>
      </w:tr>
      <w:tr w14:paraId="4737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956" w:type="dxa"/>
            <w:vAlign w:val="center"/>
          </w:tcPr>
          <w:p w14:paraId="73406220">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c>
          <w:tcPr>
            <w:tcW w:w="3066" w:type="dxa"/>
            <w:vAlign w:val="center"/>
          </w:tcPr>
          <w:p w14:paraId="570D18F9">
            <w:pPr>
              <w:spacing w:line="360" w:lineRule="auto"/>
              <w:jc w:val="left"/>
              <w:rPr>
                <w:rFonts w:ascii="宋体" w:hAnsi="宋体"/>
                <w:color w:val="000000" w:themeColor="text1"/>
                <w:sz w:val="24"/>
                <w:szCs w:val="24"/>
                <w:highlight w:val="none"/>
                <w14:textFill>
                  <w14:solidFill>
                    <w14:schemeClr w14:val="tx1"/>
                  </w14:solidFill>
                </w14:textFill>
              </w:rPr>
            </w:pPr>
          </w:p>
        </w:tc>
        <w:tc>
          <w:tcPr>
            <w:tcW w:w="2097" w:type="dxa"/>
            <w:vAlign w:val="center"/>
          </w:tcPr>
          <w:p w14:paraId="45CD07A4">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c>
          <w:tcPr>
            <w:tcW w:w="1581" w:type="dxa"/>
            <w:vAlign w:val="center"/>
          </w:tcPr>
          <w:p w14:paraId="08715A97">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r>
      <w:tr w14:paraId="7F1C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956" w:type="dxa"/>
            <w:vAlign w:val="center"/>
          </w:tcPr>
          <w:p w14:paraId="7DD5E021">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c>
          <w:tcPr>
            <w:tcW w:w="6744" w:type="dxa"/>
            <w:gridSpan w:val="3"/>
          </w:tcPr>
          <w:p w14:paraId="53AF66BC">
            <w:pPr>
              <w:spacing w:line="360" w:lineRule="auto"/>
              <w:rPr>
                <w:rFonts w:ascii="宋体" w:hAnsi="宋体"/>
                <w:color w:val="000000" w:themeColor="text1"/>
                <w:sz w:val="24"/>
                <w:szCs w:val="24"/>
                <w:highlight w:val="none"/>
                <w14:textFill>
                  <w14:solidFill>
                    <w14:schemeClr w14:val="tx1"/>
                  </w14:solidFill>
                </w14:textFill>
              </w:rPr>
            </w:pPr>
          </w:p>
        </w:tc>
      </w:tr>
    </w:tbl>
    <w:p w14:paraId="1305CA84">
      <w:pPr>
        <w:spacing w:line="360" w:lineRule="auto"/>
        <w:ind w:left="840" w:hanging="840" w:hangingChars="350"/>
        <w:rPr>
          <w:rFonts w:ascii="宋体" w:hAnsi="宋体"/>
          <w:color w:val="000000" w:themeColor="text1"/>
          <w:sz w:val="24"/>
          <w:szCs w:val="24"/>
          <w:highlight w:val="none"/>
          <w14:textFill>
            <w14:solidFill>
              <w14:schemeClr w14:val="tx1"/>
            </w14:solidFill>
          </w14:textFill>
        </w:rPr>
      </w:pPr>
    </w:p>
    <w:p w14:paraId="44DF7511">
      <w:pPr>
        <w:pageBreakBefore w:val="0"/>
        <w:kinsoku/>
        <w:wordWrap/>
        <w:overflowPunct/>
        <w:topLinePunct w:val="0"/>
        <w:bidi w:val="0"/>
        <w:adjustRightInd w:val="0"/>
        <w:snapToGrid w:val="0"/>
        <w:spacing w:line="500" w:lineRule="exact"/>
        <w:ind w:right="105" w:rightChars="5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注：</w:t>
      </w:r>
      <w:r>
        <w:rPr>
          <w:rFonts w:hint="eastAsia" w:ascii="宋体" w:hAnsi="宋体" w:cs="宋体"/>
          <w:color w:val="000000" w:themeColor="text1"/>
          <w:sz w:val="24"/>
          <w:szCs w:val="24"/>
          <w:highlight w:val="none"/>
          <w:lang w:val="en-US" w:eastAsia="zh-CN"/>
          <w14:textFill>
            <w14:solidFill>
              <w14:schemeClr w14:val="tx1"/>
            </w14:solidFill>
          </w14:textFill>
        </w:rPr>
        <w:t>最高投标限价</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折扣率</w:t>
      </w:r>
      <w:r>
        <w:rPr>
          <w:rFonts w:hint="default" w:ascii="宋体" w:hAnsi="宋体" w:eastAsia="宋体" w:cs="宋体"/>
          <w:color w:val="000000" w:themeColor="text1"/>
          <w:sz w:val="24"/>
          <w:szCs w:val="24"/>
          <w:highlight w:val="none"/>
          <w:lang w:val="en-US" w:eastAsia="zh-CN"/>
          <w14:textFill>
            <w14:solidFill>
              <w14:schemeClr w14:val="tx1"/>
            </w14:solidFill>
          </w14:textFill>
        </w:rPr>
        <w:t>）以最近一周的</w:t>
      </w:r>
      <w:r>
        <w:rPr>
          <w:rFonts w:hint="eastAsia" w:ascii="宋体" w:hAnsi="宋体" w:cs="宋体"/>
          <w:color w:val="000000" w:themeColor="text1"/>
          <w:sz w:val="24"/>
          <w:szCs w:val="24"/>
          <w:highlight w:val="none"/>
          <w:lang w:val="en-US" w:eastAsia="zh-CN"/>
          <w14:textFill>
            <w14:solidFill>
              <w14:schemeClr w14:val="tx1"/>
            </w14:solidFill>
          </w14:textFill>
        </w:rPr>
        <w:t>州发展和改革委员会</w:t>
      </w:r>
      <w:r>
        <w:rPr>
          <w:rFonts w:hint="default" w:ascii="宋体" w:hAnsi="宋体" w:eastAsia="宋体" w:cs="宋体"/>
          <w:color w:val="000000" w:themeColor="text1"/>
          <w:sz w:val="24"/>
          <w:szCs w:val="24"/>
          <w:highlight w:val="none"/>
          <w:lang w:val="en-US" w:eastAsia="zh-CN"/>
          <w14:textFill>
            <w14:solidFill>
              <w14:schemeClr w14:val="tx1"/>
            </w14:solidFill>
          </w14:textFill>
        </w:rPr>
        <w:t>公布的最新价格为基准，</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default" w:ascii="宋体" w:hAnsi="宋体" w:eastAsia="宋体" w:cs="宋体"/>
          <w:color w:val="000000" w:themeColor="text1"/>
          <w:sz w:val="24"/>
          <w:szCs w:val="24"/>
          <w:highlight w:val="none"/>
          <w:lang w:val="en-US" w:eastAsia="zh-CN"/>
          <w14:textFill>
            <w14:solidFill>
              <w14:schemeClr w14:val="tx1"/>
            </w14:solidFill>
          </w14:textFill>
        </w:rPr>
        <w:t>按此基准填报</w:t>
      </w:r>
      <w:r>
        <w:rPr>
          <w:rFonts w:hint="eastAsia" w:ascii="宋体" w:hAnsi="宋体" w:cs="宋体"/>
          <w:color w:val="000000" w:themeColor="text1"/>
          <w:sz w:val="24"/>
          <w:szCs w:val="24"/>
          <w:highlight w:val="none"/>
          <w:lang w:val="en-US" w:eastAsia="zh-CN"/>
          <w14:textFill>
            <w14:solidFill>
              <w14:schemeClr w14:val="tx1"/>
            </w14:solidFill>
          </w14:textFill>
        </w:rPr>
        <w:t>最高投标限价</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折扣率</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，如磋商报价折扣率填写90%，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则表示原价100元的商品，最终价格为90元。</w:t>
      </w:r>
    </w:p>
    <w:p w14:paraId="456F322C">
      <w:pPr>
        <w:spacing w:line="360" w:lineRule="auto"/>
        <w:ind w:left="839" w:leftChars="228" w:hanging="360" w:hangingChars="150"/>
        <w:rPr>
          <w:rFonts w:ascii="宋体" w:hAnsi="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说明：以“政采云”平台系统格式为准</w:t>
      </w:r>
      <w:r>
        <w:rPr>
          <w:rFonts w:hint="eastAsia" w:ascii="宋体" w:hAnsi="宋体" w:eastAsia="宋体" w:cs="宋体"/>
          <w:color w:val="000000" w:themeColor="text1"/>
          <w:sz w:val="24"/>
          <w:szCs w:val="24"/>
          <w:highlight w:val="none"/>
          <w14:textFill>
            <w14:solidFill>
              <w14:schemeClr w14:val="tx1"/>
            </w14:solidFill>
          </w14:textFill>
        </w:rPr>
        <w:t>。</w:t>
      </w:r>
    </w:p>
    <w:p w14:paraId="05FB2C2B">
      <w:pPr>
        <w:spacing w:line="360" w:lineRule="auto"/>
        <w:ind w:firstLine="616" w:firstLineChars="257"/>
        <w:rPr>
          <w:color w:val="000000" w:themeColor="text1"/>
          <w:sz w:val="24"/>
          <w:szCs w:val="24"/>
          <w:highlight w:val="none"/>
          <w14:textFill>
            <w14:solidFill>
              <w14:schemeClr w14:val="tx1"/>
            </w14:solidFill>
          </w14:textFill>
        </w:rPr>
      </w:pPr>
    </w:p>
    <w:p w14:paraId="4784C8B1">
      <w:pPr>
        <w:keepNext w:val="0"/>
        <w:keepLines w:val="0"/>
        <w:pageBreakBefore w:val="0"/>
        <w:widowControl w:val="0"/>
        <w:kinsoku/>
        <w:wordWrap/>
        <w:overflowPunct/>
        <w:topLinePunct w:val="0"/>
        <w:autoSpaceDE/>
        <w:autoSpaceDN/>
        <w:bidi w:val="0"/>
        <w:adjustRightInd/>
        <w:snapToGrid/>
        <w:spacing w:line="480" w:lineRule="auto"/>
        <w:ind w:firstLine="616" w:firstLineChars="257"/>
        <w:textAlignment w:val="auto"/>
        <w:rPr>
          <w:color w:val="000000" w:themeColor="text1"/>
          <w:sz w:val="24"/>
          <w:szCs w:val="24"/>
          <w:highlight w:val="none"/>
          <w14:textFill>
            <w14:solidFill>
              <w14:schemeClr w14:val="tx1"/>
            </w14:solidFill>
          </w14:textFill>
        </w:rPr>
      </w:pPr>
    </w:p>
    <w:p w14:paraId="45C55071">
      <w:pPr>
        <w:keepNext w:val="0"/>
        <w:keepLines w:val="0"/>
        <w:pageBreakBefore w:val="0"/>
        <w:widowControl w:val="0"/>
        <w:kinsoku/>
        <w:wordWrap/>
        <w:overflowPunct/>
        <w:topLinePunct w:val="0"/>
        <w:autoSpaceDE/>
        <w:autoSpaceDN/>
        <w:bidi w:val="0"/>
        <w:adjustRightInd/>
        <w:snapToGrid/>
        <w:spacing w:line="480" w:lineRule="auto"/>
        <w:jc w:val="righ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新宋体" w:hAnsi="新宋体" w:eastAsia="新宋体"/>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（盖单位章）</w:t>
      </w:r>
    </w:p>
    <w:p w14:paraId="467718D9">
      <w:pPr>
        <w:keepNext w:val="0"/>
        <w:keepLines w:val="0"/>
        <w:pageBreakBefore w:val="0"/>
        <w:widowControl w:val="0"/>
        <w:kinsoku/>
        <w:wordWrap/>
        <w:overflowPunct/>
        <w:topLinePunct w:val="0"/>
        <w:autoSpaceDE/>
        <w:autoSpaceDN/>
        <w:bidi w:val="0"/>
        <w:adjustRightInd/>
        <w:snapToGrid/>
        <w:spacing w:line="480" w:lineRule="auto"/>
        <w:jc w:val="righ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（签字或盖章）</w:t>
      </w:r>
    </w:p>
    <w:p w14:paraId="6F8ED186">
      <w:pPr>
        <w:pStyle w:val="18"/>
        <w:keepNext w:val="0"/>
        <w:keepLines w:val="0"/>
        <w:pageBreakBefore w:val="0"/>
        <w:widowControl w:val="0"/>
        <w:kinsoku/>
        <w:wordWrap/>
        <w:overflowPunct/>
        <w:topLinePunct w:val="0"/>
        <w:autoSpaceDE/>
        <w:autoSpaceDN/>
        <w:bidi w:val="0"/>
        <w:adjustRightInd/>
        <w:snapToGrid/>
        <w:spacing w:line="480" w:lineRule="auto"/>
        <w:ind w:firstLine="3360"/>
        <w:jc w:val="righ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06D61F06">
      <w:pPr>
        <w:spacing w:line="360" w:lineRule="auto"/>
        <w:rPr>
          <w:color w:val="000000" w:themeColor="text1"/>
          <w:sz w:val="24"/>
          <w:szCs w:val="24"/>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p>
    <w:p w14:paraId="089FBEB9">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201" w:name="_Toc1818"/>
      <w:bookmarkStart w:id="202" w:name="_Toc14698"/>
      <w:bookmarkStart w:id="203" w:name="_Toc5896"/>
      <w:bookmarkStart w:id="204" w:name="_Toc9884"/>
      <w:r>
        <w:rPr>
          <w:rFonts w:hint="eastAsia" w:cs="宋体"/>
          <w:b/>
          <w:bCs/>
          <w:color w:val="000000" w:themeColor="text1"/>
          <w:sz w:val="32"/>
          <w:szCs w:val="32"/>
          <w:highlight w:val="none"/>
          <w14:textFill>
            <w14:solidFill>
              <w14:schemeClr w14:val="tx1"/>
            </w14:solidFill>
          </w14:textFill>
        </w:rPr>
        <w:t>五、</w:t>
      </w:r>
      <w:bookmarkEnd w:id="201"/>
      <w:bookmarkEnd w:id="202"/>
      <w:bookmarkEnd w:id="203"/>
      <w:bookmarkEnd w:id="204"/>
      <w:r>
        <w:rPr>
          <w:rFonts w:hint="eastAsia" w:ascii="宋体" w:hAnsi="宋体" w:cs="宋体"/>
          <w:b/>
          <w:bCs/>
          <w:color w:val="000000" w:themeColor="text1"/>
          <w:sz w:val="32"/>
          <w:szCs w:val="32"/>
          <w:highlight w:val="none"/>
          <w:lang w:eastAsia="zh-CN"/>
          <w14:textFill>
            <w14:solidFill>
              <w14:schemeClr w14:val="tx1"/>
            </w14:solidFill>
          </w14:textFill>
        </w:rPr>
        <w:t>商务和技术</w:t>
      </w:r>
      <w:r>
        <w:rPr>
          <w:rFonts w:hint="eastAsia" w:ascii="宋体" w:hAnsi="宋体" w:eastAsia="宋体" w:cs="宋体"/>
          <w:b/>
          <w:bCs/>
          <w:color w:val="000000" w:themeColor="text1"/>
          <w:sz w:val="32"/>
          <w:szCs w:val="32"/>
          <w:highlight w:val="none"/>
          <w14:textFill>
            <w14:solidFill>
              <w14:schemeClr w14:val="tx1"/>
            </w14:solidFill>
          </w14:textFill>
        </w:rPr>
        <w:t>标准偏离表</w:t>
      </w:r>
    </w:p>
    <w:p w14:paraId="42291CA0">
      <w:pPr>
        <w:pStyle w:val="18"/>
        <w:spacing w:line="360" w:lineRule="auto"/>
        <w:ind w:firstLine="420" w:firstLineChars="200"/>
        <w:rPr>
          <w:rFonts w:hAnsi="宋体" w:cs="Times New Roman"/>
          <w:color w:val="000000" w:themeColor="text1"/>
          <w:highlight w:val="none"/>
          <w14:textFill>
            <w14:solidFill>
              <w14:schemeClr w14:val="tx1"/>
            </w14:solidFill>
          </w14:textFill>
        </w:rPr>
      </w:pPr>
    </w:p>
    <w:p w14:paraId="2FB64466">
      <w:pPr>
        <w:pStyle w:val="18"/>
        <w:spacing w:line="360" w:lineRule="auto"/>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项目名称：</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p>
    <w:p w14:paraId="40D32BDD">
      <w:pPr>
        <w:spacing w:line="360" w:lineRule="auto"/>
        <w:rPr>
          <w:color w:val="000000" w:themeColor="text1"/>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项目编号：</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w:t>
      </w:r>
    </w:p>
    <w:tbl>
      <w:tblPr>
        <w:tblStyle w:val="34"/>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319"/>
        <w:gridCol w:w="2575"/>
        <w:gridCol w:w="1301"/>
        <w:gridCol w:w="741"/>
      </w:tblGrid>
      <w:tr w14:paraId="1C35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363AAD2">
            <w:pPr>
              <w:pStyle w:val="18"/>
              <w:spacing w:line="360" w:lineRule="auto"/>
              <w:jc w:val="center"/>
              <w:rPr>
                <w:rFonts w:hAnsi="宋体"/>
                <w:color w:val="000000" w:themeColor="text1"/>
                <w:sz w:val="24"/>
                <w:szCs w:val="24"/>
                <w:highlight w:val="none"/>
                <w14:textFill>
                  <w14:solidFill>
                    <w14:schemeClr w14:val="tx1"/>
                  </w14:solidFill>
                </w14:textFill>
              </w:rPr>
            </w:pPr>
            <w:bookmarkStart w:id="205" w:name="_Toc27741031"/>
            <w:bookmarkStart w:id="206" w:name="_Toc27741231"/>
            <w:r>
              <w:rPr>
                <w:rFonts w:hint="eastAsia" w:hAnsi="宋体"/>
                <w:color w:val="000000" w:themeColor="text1"/>
                <w:sz w:val="24"/>
                <w:szCs w:val="24"/>
                <w:highlight w:val="none"/>
                <w14:textFill>
                  <w14:solidFill>
                    <w14:schemeClr w14:val="tx1"/>
                  </w14:solidFill>
                </w14:textFill>
              </w:rPr>
              <w:t>序号</w:t>
            </w:r>
            <w:bookmarkEnd w:id="205"/>
            <w:bookmarkEnd w:id="206"/>
          </w:p>
        </w:tc>
        <w:tc>
          <w:tcPr>
            <w:tcW w:w="3319" w:type="dxa"/>
            <w:tcBorders>
              <w:top w:val="single" w:color="auto" w:sz="4" w:space="0"/>
              <w:left w:val="nil"/>
              <w:bottom w:val="single" w:color="auto" w:sz="4" w:space="0"/>
              <w:right w:val="single" w:color="auto" w:sz="4" w:space="0"/>
            </w:tcBorders>
            <w:vAlign w:val="center"/>
          </w:tcPr>
          <w:p w14:paraId="02FF6389">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07" w:name="_Toc27741033"/>
            <w:bookmarkStart w:id="208" w:name="_Toc27741233"/>
            <w:r>
              <w:rPr>
                <w:rFonts w:hint="eastAsia" w:hAnsi="宋体"/>
                <w:color w:val="000000" w:themeColor="text1"/>
                <w:sz w:val="24"/>
                <w:szCs w:val="24"/>
                <w:highlight w:val="none"/>
                <w14:textFill>
                  <w14:solidFill>
                    <w14:schemeClr w14:val="tx1"/>
                  </w14:solidFill>
                </w14:textFill>
              </w:rPr>
              <w:t>竞争性磋商文件规定的服务内容及标准</w:t>
            </w:r>
            <w:bookmarkEnd w:id="207"/>
            <w:bookmarkEnd w:id="208"/>
          </w:p>
        </w:tc>
        <w:tc>
          <w:tcPr>
            <w:tcW w:w="2575" w:type="dxa"/>
            <w:tcBorders>
              <w:top w:val="single" w:color="auto" w:sz="4" w:space="0"/>
              <w:left w:val="nil"/>
              <w:bottom w:val="single" w:color="auto" w:sz="4" w:space="0"/>
              <w:right w:val="single" w:color="auto" w:sz="4" w:space="0"/>
            </w:tcBorders>
            <w:vAlign w:val="center"/>
          </w:tcPr>
          <w:p w14:paraId="7AFE294C">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09" w:name="_Toc27741234"/>
            <w:bookmarkStart w:id="210" w:name="_Toc27741034"/>
            <w:r>
              <w:rPr>
                <w:rFonts w:hint="eastAsia" w:hAnsi="宋体"/>
                <w:color w:val="000000" w:themeColor="text1"/>
                <w:sz w:val="24"/>
                <w:szCs w:val="24"/>
                <w:highlight w:val="none"/>
                <w14:textFill>
                  <w14:solidFill>
                    <w14:schemeClr w14:val="tx1"/>
                  </w14:solidFill>
                </w14:textFill>
              </w:rPr>
              <w:t>响应文件对应的</w:t>
            </w:r>
            <w:bookmarkEnd w:id="209"/>
            <w:bookmarkEnd w:id="210"/>
          </w:p>
          <w:p w14:paraId="748C8304">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11" w:name="_Toc27741035"/>
            <w:bookmarkStart w:id="212" w:name="_Toc27741235"/>
            <w:r>
              <w:rPr>
                <w:rFonts w:hint="eastAsia" w:hAnsi="宋体"/>
                <w:color w:val="000000" w:themeColor="text1"/>
                <w:sz w:val="24"/>
                <w:szCs w:val="24"/>
                <w:highlight w:val="none"/>
                <w14:textFill>
                  <w14:solidFill>
                    <w14:schemeClr w14:val="tx1"/>
                  </w14:solidFill>
                </w14:textFill>
              </w:rPr>
              <w:t>服务响应条款</w:t>
            </w:r>
            <w:bookmarkEnd w:id="211"/>
            <w:bookmarkEnd w:id="212"/>
          </w:p>
        </w:tc>
        <w:tc>
          <w:tcPr>
            <w:tcW w:w="1301" w:type="dxa"/>
            <w:tcBorders>
              <w:top w:val="single" w:color="auto" w:sz="4" w:space="0"/>
              <w:left w:val="nil"/>
              <w:bottom w:val="single" w:color="auto" w:sz="4" w:space="0"/>
              <w:right w:val="single" w:color="auto" w:sz="4" w:space="0"/>
            </w:tcBorders>
            <w:vAlign w:val="center"/>
          </w:tcPr>
          <w:p w14:paraId="335B82CC">
            <w:pPr>
              <w:pStyle w:val="18"/>
              <w:spacing w:line="360" w:lineRule="auto"/>
              <w:jc w:val="center"/>
              <w:rPr>
                <w:rFonts w:hAnsi="宋体"/>
                <w:color w:val="000000" w:themeColor="text1"/>
                <w:sz w:val="24"/>
                <w:szCs w:val="24"/>
                <w:highlight w:val="none"/>
                <w14:textFill>
                  <w14:solidFill>
                    <w14:schemeClr w14:val="tx1"/>
                  </w14:solidFill>
                </w14:textFill>
              </w:rPr>
            </w:pPr>
            <w:bookmarkStart w:id="213" w:name="_Toc27741036"/>
            <w:bookmarkStart w:id="214" w:name="_Toc27741236"/>
            <w:r>
              <w:rPr>
                <w:rFonts w:hint="eastAsia" w:hAnsi="宋体"/>
                <w:color w:val="000000" w:themeColor="text1"/>
                <w:sz w:val="24"/>
                <w:szCs w:val="24"/>
                <w:highlight w:val="none"/>
                <w14:textFill>
                  <w14:solidFill>
                    <w14:schemeClr w14:val="tx1"/>
                  </w14:solidFill>
                </w14:textFill>
              </w:rPr>
              <w:t>是否偏离</w:t>
            </w:r>
            <w:bookmarkEnd w:id="213"/>
            <w:bookmarkEnd w:id="214"/>
          </w:p>
        </w:tc>
        <w:tc>
          <w:tcPr>
            <w:tcW w:w="741" w:type="dxa"/>
            <w:tcBorders>
              <w:top w:val="single" w:color="auto" w:sz="4" w:space="0"/>
              <w:left w:val="nil"/>
              <w:bottom w:val="single" w:color="auto" w:sz="4" w:space="0"/>
              <w:right w:val="single" w:color="auto" w:sz="4" w:space="0"/>
            </w:tcBorders>
            <w:vAlign w:val="center"/>
          </w:tcPr>
          <w:p w14:paraId="73EC8AC0">
            <w:pPr>
              <w:pStyle w:val="18"/>
              <w:spacing w:line="360" w:lineRule="auto"/>
              <w:jc w:val="center"/>
              <w:rPr>
                <w:rFonts w:hAnsi="宋体"/>
                <w:color w:val="000000" w:themeColor="text1"/>
                <w:sz w:val="24"/>
                <w:szCs w:val="24"/>
                <w:highlight w:val="none"/>
                <w14:textFill>
                  <w14:solidFill>
                    <w14:schemeClr w14:val="tx1"/>
                  </w14:solidFill>
                </w14:textFill>
              </w:rPr>
            </w:pPr>
            <w:bookmarkStart w:id="215" w:name="_Toc27741237"/>
            <w:bookmarkStart w:id="216" w:name="_Toc27741037"/>
            <w:r>
              <w:rPr>
                <w:rFonts w:hint="eastAsia" w:hAnsi="宋体"/>
                <w:color w:val="000000" w:themeColor="text1"/>
                <w:sz w:val="24"/>
                <w:szCs w:val="24"/>
                <w:highlight w:val="none"/>
                <w14:textFill>
                  <w14:solidFill>
                    <w14:schemeClr w14:val="tx1"/>
                  </w14:solidFill>
                </w14:textFill>
              </w:rPr>
              <w:t>备注</w:t>
            </w:r>
            <w:bookmarkEnd w:id="215"/>
            <w:bookmarkEnd w:id="216"/>
          </w:p>
        </w:tc>
      </w:tr>
      <w:tr w14:paraId="19DB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61" w:type="dxa"/>
            <w:tcBorders>
              <w:top w:val="single" w:color="auto" w:sz="4" w:space="0"/>
              <w:left w:val="single" w:color="auto" w:sz="4" w:space="0"/>
              <w:bottom w:val="single" w:color="auto" w:sz="4" w:space="0"/>
              <w:right w:val="single" w:color="auto" w:sz="4" w:space="0"/>
            </w:tcBorders>
          </w:tcPr>
          <w:p w14:paraId="33C1CD52">
            <w:pPr>
              <w:spacing w:line="360" w:lineRule="auto"/>
              <w:jc w:val="left"/>
              <w:rPr>
                <w:rFonts w:ascii="宋体" w:hAnsi="宋体"/>
                <w:color w:val="000000" w:themeColor="text1"/>
                <w:sz w:val="24"/>
                <w:szCs w:val="24"/>
                <w:highlight w:val="none"/>
                <w14:textFill>
                  <w14:solidFill>
                    <w14:schemeClr w14:val="tx1"/>
                  </w14:solidFill>
                </w14:textFill>
              </w:rPr>
            </w:pPr>
          </w:p>
        </w:tc>
        <w:tc>
          <w:tcPr>
            <w:tcW w:w="3319" w:type="dxa"/>
            <w:tcBorders>
              <w:top w:val="single" w:color="auto" w:sz="4" w:space="0"/>
              <w:left w:val="nil"/>
              <w:bottom w:val="single" w:color="auto" w:sz="4" w:space="0"/>
              <w:right w:val="single" w:color="auto" w:sz="4" w:space="0"/>
            </w:tcBorders>
          </w:tcPr>
          <w:p w14:paraId="11A8C9CA">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tcPr>
          <w:p w14:paraId="3978B410">
            <w:pPr>
              <w:spacing w:line="360" w:lineRule="auto"/>
              <w:rPr>
                <w:rFonts w:ascii="宋体" w:hAnsi="宋体"/>
                <w:color w:val="000000" w:themeColor="text1"/>
                <w:sz w:val="24"/>
                <w:szCs w:val="24"/>
                <w:highlight w:val="none"/>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tcPr>
          <w:p w14:paraId="471C48DF">
            <w:pPr>
              <w:spacing w:line="360" w:lineRule="auto"/>
              <w:rPr>
                <w:rFonts w:ascii="宋体" w:hAnsi="宋体"/>
                <w:color w:val="000000" w:themeColor="text1"/>
                <w:sz w:val="24"/>
                <w:szCs w:val="24"/>
                <w:highlight w:val="none"/>
                <w14:textFill>
                  <w14:solidFill>
                    <w14:schemeClr w14:val="tx1"/>
                  </w14:solidFill>
                </w14:textFill>
              </w:rPr>
            </w:pPr>
          </w:p>
        </w:tc>
        <w:tc>
          <w:tcPr>
            <w:tcW w:w="741" w:type="dxa"/>
            <w:tcBorders>
              <w:top w:val="single" w:color="auto" w:sz="4" w:space="0"/>
              <w:left w:val="nil"/>
              <w:bottom w:val="single" w:color="auto" w:sz="4" w:space="0"/>
              <w:right w:val="single" w:color="auto" w:sz="4" w:space="0"/>
            </w:tcBorders>
          </w:tcPr>
          <w:p w14:paraId="38AB7F2C">
            <w:pPr>
              <w:spacing w:line="360" w:lineRule="auto"/>
              <w:rPr>
                <w:rFonts w:ascii="宋体" w:hAnsi="宋体"/>
                <w:color w:val="000000" w:themeColor="text1"/>
                <w:sz w:val="24"/>
                <w:szCs w:val="24"/>
                <w:highlight w:val="none"/>
                <w14:textFill>
                  <w14:solidFill>
                    <w14:schemeClr w14:val="tx1"/>
                  </w14:solidFill>
                </w14:textFill>
              </w:rPr>
            </w:pPr>
          </w:p>
        </w:tc>
      </w:tr>
      <w:tr w14:paraId="6440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61" w:type="dxa"/>
            <w:tcBorders>
              <w:top w:val="single" w:color="auto" w:sz="4" w:space="0"/>
              <w:left w:val="single" w:color="auto" w:sz="4" w:space="0"/>
              <w:bottom w:val="single" w:color="auto" w:sz="4" w:space="0"/>
              <w:right w:val="single" w:color="auto" w:sz="4" w:space="0"/>
            </w:tcBorders>
          </w:tcPr>
          <w:p w14:paraId="648FB559">
            <w:pPr>
              <w:spacing w:line="360" w:lineRule="auto"/>
              <w:jc w:val="left"/>
              <w:rPr>
                <w:rFonts w:ascii="宋体" w:hAnsi="宋体"/>
                <w:color w:val="000000" w:themeColor="text1"/>
                <w:sz w:val="24"/>
                <w:szCs w:val="24"/>
                <w:highlight w:val="none"/>
                <w14:textFill>
                  <w14:solidFill>
                    <w14:schemeClr w14:val="tx1"/>
                  </w14:solidFill>
                </w14:textFill>
              </w:rPr>
            </w:pPr>
          </w:p>
        </w:tc>
        <w:tc>
          <w:tcPr>
            <w:tcW w:w="3319" w:type="dxa"/>
            <w:tcBorders>
              <w:top w:val="single" w:color="auto" w:sz="4" w:space="0"/>
              <w:left w:val="nil"/>
              <w:bottom w:val="single" w:color="auto" w:sz="4" w:space="0"/>
              <w:right w:val="single" w:color="auto" w:sz="4" w:space="0"/>
            </w:tcBorders>
          </w:tcPr>
          <w:p w14:paraId="70228467">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tcPr>
          <w:p w14:paraId="043C35AF">
            <w:pPr>
              <w:spacing w:line="360" w:lineRule="auto"/>
              <w:rPr>
                <w:rFonts w:ascii="宋体" w:hAnsi="宋体"/>
                <w:color w:val="000000" w:themeColor="text1"/>
                <w:sz w:val="24"/>
                <w:szCs w:val="24"/>
                <w:highlight w:val="none"/>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tcPr>
          <w:p w14:paraId="64B14020">
            <w:pPr>
              <w:spacing w:line="360" w:lineRule="auto"/>
              <w:rPr>
                <w:rFonts w:ascii="宋体" w:hAnsi="宋体"/>
                <w:color w:val="000000" w:themeColor="text1"/>
                <w:sz w:val="24"/>
                <w:szCs w:val="24"/>
                <w:highlight w:val="none"/>
                <w14:textFill>
                  <w14:solidFill>
                    <w14:schemeClr w14:val="tx1"/>
                  </w14:solidFill>
                </w14:textFill>
              </w:rPr>
            </w:pPr>
          </w:p>
        </w:tc>
        <w:tc>
          <w:tcPr>
            <w:tcW w:w="741" w:type="dxa"/>
            <w:tcBorders>
              <w:top w:val="single" w:color="auto" w:sz="4" w:space="0"/>
              <w:left w:val="nil"/>
              <w:bottom w:val="single" w:color="auto" w:sz="4" w:space="0"/>
              <w:right w:val="single" w:color="auto" w:sz="4" w:space="0"/>
            </w:tcBorders>
          </w:tcPr>
          <w:p w14:paraId="74D1D623">
            <w:pPr>
              <w:spacing w:line="360" w:lineRule="auto"/>
              <w:rPr>
                <w:rFonts w:ascii="宋体" w:hAnsi="宋体"/>
                <w:color w:val="000000" w:themeColor="text1"/>
                <w:sz w:val="24"/>
                <w:szCs w:val="24"/>
                <w:highlight w:val="none"/>
                <w14:textFill>
                  <w14:solidFill>
                    <w14:schemeClr w14:val="tx1"/>
                  </w14:solidFill>
                </w14:textFill>
              </w:rPr>
            </w:pPr>
          </w:p>
        </w:tc>
      </w:tr>
      <w:tr w14:paraId="3A3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61" w:type="dxa"/>
            <w:tcBorders>
              <w:top w:val="single" w:color="auto" w:sz="4" w:space="0"/>
              <w:left w:val="single" w:color="auto" w:sz="4" w:space="0"/>
              <w:right w:val="single" w:color="auto" w:sz="4" w:space="0"/>
            </w:tcBorders>
          </w:tcPr>
          <w:p w14:paraId="3BC7D946">
            <w:pPr>
              <w:spacing w:line="360" w:lineRule="auto"/>
              <w:jc w:val="left"/>
              <w:rPr>
                <w:rFonts w:ascii="宋体" w:hAnsi="宋体"/>
                <w:color w:val="000000" w:themeColor="text1"/>
                <w:sz w:val="24"/>
                <w:szCs w:val="24"/>
                <w:highlight w:val="none"/>
                <w14:textFill>
                  <w14:solidFill>
                    <w14:schemeClr w14:val="tx1"/>
                  </w14:solidFill>
                </w14:textFill>
              </w:rPr>
            </w:pPr>
          </w:p>
        </w:tc>
        <w:tc>
          <w:tcPr>
            <w:tcW w:w="3319" w:type="dxa"/>
            <w:tcBorders>
              <w:top w:val="single" w:color="auto" w:sz="4" w:space="0"/>
              <w:left w:val="nil"/>
              <w:right w:val="single" w:color="auto" w:sz="4" w:space="0"/>
            </w:tcBorders>
          </w:tcPr>
          <w:p w14:paraId="1CDDB7D9">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right w:val="single" w:color="auto" w:sz="4" w:space="0"/>
            </w:tcBorders>
          </w:tcPr>
          <w:p w14:paraId="1E07679A">
            <w:pPr>
              <w:spacing w:line="360" w:lineRule="auto"/>
              <w:rPr>
                <w:rFonts w:ascii="宋体" w:hAnsi="宋体"/>
                <w:color w:val="000000" w:themeColor="text1"/>
                <w:sz w:val="24"/>
                <w:szCs w:val="24"/>
                <w:highlight w:val="none"/>
                <w14:textFill>
                  <w14:solidFill>
                    <w14:schemeClr w14:val="tx1"/>
                  </w14:solidFill>
                </w14:textFill>
              </w:rPr>
            </w:pPr>
          </w:p>
        </w:tc>
        <w:tc>
          <w:tcPr>
            <w:tcW w:w="1301" w:type="dxa"/>
            <w:tcBorders>
              <w:top w:val="single" w:color="auto" w:sz="4" w:space="0"/>
              <w:left w:val="nil"/>
              <w:right w:val="single" w:color="auto" w:sz="4" w:space="0"/>
            </w:tcBorders>
          </w:tcPr>
          <w:p w14:paraId="236B7D6F">
            <w:pPr>
              <w:spacing w:line="360" w:lineRule="auto"/>
              <w:rPr>
                <w:rFonts w:ascii="宋体" w:hAnsi="宋体"/>
                <w:color w:val="000000" w:themeColor="text1"/>
                <w:sz w:val="24"/>
                <w:szCs w:val="24"/>
                <w:highlight w:val="none"/>
                <w14:textFill>
                  <w14:solidFill>
                    <w14:schemeClr w14:val="tx1"/>
                  </w14:solidFill>
                </w14:textFill>
              </w:rPr>
            </w:pPr>
          </w:p>
        </w:tc>
        <w:tc>
          <w:tcPr>
            <w:tcW w:w="741" w:type="dxa"/>
            <w:tcBorders>
              <w:top w:val="single" w:color="auto" w:sz="4" w:space="0"/>
              <w:left w:val="nil"/>
              <w:bottom w:val="single" w:color="auto" w:sz="4" w:space="0"/>
              <w:right w:val="single" w:color="auto" w:sz="4" w:space="0"/>
            </w:tcBorders>
          </w:tcPr>
          <w:p w14:paraId="65488B39">
            <w:pPr>
              <w:spacing w:line="360" w:lineRule="auto"/>
              <w:rPr>
                <w:rFonts w:ascii="宋体" w:hAnsi="宋体"/>
                <w:color w:val="000000" w:themeColor="text1"/>
                <w:sz w:val="24"/>
                <w:szCs w:val="24"/>
                <w:highlight w:val="none"/>
                <w14:textFill>
                  <w14:solidFill>
                    <w14:schemeClr w14:val="tx1"/>
                  </w14:solidFill>
                </w14:textFill>
              </w:rPr>
            </w:pPr>
          </w:p>
        </w:tc>
      </w:tr>
    </w:tbl>
    <w:p w14:paraId="6B14D9EF">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说明：</w:t>
      </w:r>
    </w:p>
    <w:p w14:paraId="7CC27707">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1.服务条款均应根据响应文件对竞争性磋商文件的偏离情况相对应地填列，如不填写，则视为完全响应竞争性磋商文件的技术及商务要求。</w:t>
      </w:r>
    </w:p>
    <w:p w14:paraId="07DB76F2">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2.表内如果填列不全，可另外附页说明并按规定签字和加盖公章。             </w:t>
      </w:r>
    </w:p>
    <w:p w14:paraId="08CFDE37">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bookmarkStart w:id="217" w:name="_Toc27741038"/>
      <w:bookmarkStart w:id="218" w:name="_Toc27741238"/>
      <w:r>
        <w:rPr>
          <w:rFonts w:hint="eastAsia" w:ascii="宋体" w:hAnsi="宋体"/>
          <w:color w:val="000000" w:themeColor="text1"/>
          <w:sz w:val="24"/>
          <w:szCs w:val="24"/>
          <w:highlight w:val="none"/>
          <w14:textFill>
            <w14:solidFill>
              <w14:schemeClr w14:val="tx1"/>
            </w14:solidFill>
          </w14:textFill>
        </w:rPr>
        <w:t>3.采购人要求供应商认真填写本表。</w:t>
      </w:r>
      <w:bookmarkEnd w:id="217"/>
      <w:bookmarkEnd w:id="218"/>
    </w:p>
    <w:p w14:paraId="291E42C3">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bookmarkStart w:id="219" w:name="_Toc27741039"/>
      <w:bookmarkStart w:id="220" w:name="_Toc27741239"/>
      <w:r>
        <w:rPr>
          <w:rFonts w:hint="eastAsia" w:ascii="宋体" w:hAnsi="宋体"/>
          <w:color w:val="000000" w:themeColor="text1"/>
          <w:sz w:val="24"/>
          <w:szCs w:val="24"/>
          <w:highlight w:val="none"/>
          <w14:textFill>
            <w14:solidFill>
              <w14:schemeClr w14:val="tx1"/>
            </w14:solidFill>
          </w14:textFill>
        </w:rPr>
        <w:t>4.此表可根据需要自行拉长加宽。</w:t>
      </w:r>
      <w:bookmarkEnd w:id="219"/>
      <w:bookmarkEnd w:id="220"/>
    </w:p>
    <w:p w14:paraId="5D7F92C6">
      <w:pPr>
        <w:spacing w:line="360" w:lineRule="auto"/>
        <w:rPr>
          <w:rFonts w:cs="宋体"/>
          <w:b/>
          <w:bCs/>
          <w:color w:val="000000" w:themeColor="text1"/>
          <w:sz w:val="24"/>
          <w:szCs w:val="24"/>
          <w:highlight w:val="none"/>
          <w14:textFill>
            <w14:solidFill>
              <w14:schemeClr w14:val="tx1"/>
            </w14:solidFill>
          </w14:textFill>
        </w:rPr>
      </w:pPr>
    </w:p>
    <w:p w14:paraId="409ACBDD">
      <w:pPr>
        <w:pStyle w:val="18"/>
        <w:spacing w:line="360" w:lineRule="auto"/>
        <w:rPr>
          <w:rFonts w:hAnsi="宋体" w:cs="Times New Roman"/>
          <w:color w:val="000000" w:themeColor="text1"/>
          <w:sz w:val="24"/>
          <w:szCs w:val="24"/>
          <w:highlight w:val="none"/>
          <w14:textFill>
            <w14:solidFill>
              <w14:schemeClr w14:val="tx1"/>
            </w14:solidFill>
          </w14:textFill>
        </w:rPr>
      </w:pPr>
    </w:p>
    <w:p w14:paraId="137ED912">
      <w:pPr>
        <w:pStyle w:val="13"/>
        <w:spacing w:line="480" w:lineRule="auto"/>
        <w:ind w:firstLine="1440" w:firstLineChars="600"/>
        <w:jc w:val="righ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5B6734CD">
      <w:pPr>
        <w:pStyle w:val="13"/>
        <w:spacing w:line="480" w:lineRule="auto"/>
        <w:ind w:firstLine="480" w:firstLineChars="200"/>
        <w:jc w:val="righ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14:paraId="4683503D">
      <w:pPr>
        <w:pStyle w:val="13"/>
        <w:spacing w:line="480" w:lineRule="auto"/>
        <w:ind w:firstLine="480" w:firstLineChars="20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678DDB27">
      <w:pPr>
        <w:pStyle w:val="18"/>
        <w:spacing w:line="360" w:lineRule="auto"/>
        <w:ind w:firstLine="420" w:firstLineChars="200"/>
        <w:rPr>
          <w:rFonts w:hAnsi="宋体" w:cs="Times New Roman"/>
          <w:color w:val="000000" w:themeColor="text1"/>
          <w:highlight w:val="none"/>
          <w14:textFill>
            <w14:solidFill>
              <w14:schemeClr w14:val="tx1"/>
            </w14:solidFill>
          </w14:textFill>
        </w:rPr>
      </w:pPr>
    </w:p>
    <w:p w14:paraId="1A1F80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cs="Times New Roman"/>
          <w:b/>
          <w:bCs/>
          <w:color w:val="000000" w:themeColor="text1"/>
          <w:sz w:val="32"/>
          <w:szCs w:val="32"/>
          <w:highlight w:val="none"/>
          <w14:textFill>
            <w14:solidFill>
              <w14:schemeClr w14:val="tx1"/>
            </w14:solidFill>
          </w14:textFill>
        </w:rPr>
      </w:pPr>
      <w:bookmarkStart w:id="221" w:name="_Toc13214"/>
      <w:bookmarkStart w:id="222" w:name="_Toc8229"/>
      <w:bookmarkStart w:id="223" w:name="_Toc31806"/>
      <w:bookmarkStart w:id="224" w:name="_Toc27699"/>
      <w:r>
        <w:rPr>
          <w:rFonts w:hint="eastAsia" w:cs="宋体"/>
          <w:b/>
          <w:bCs/>
          <w:color w:val="000000" w:themeColor="text1"/>
          <w:sz w:val="32"/>
          <w:szCs w:val="32"/>
          <w:highlight w:val="none"/>
          <w14:textFill>
            <w14:solidFill>
              <w14:schemeClr w14:val="tx1"/>
            </w14:solidFill>
          </w14:textFill>
        </w:rPr>
        <w:t>六、</w:t>
      </w:r>
      <w:bookmarkEnd w:id="221"/>
      <w:bookmarkEnd w:id="222"/>
      <w:bookmarkEnd w:id="223"/>
      <w:bookmarkEnd w:id="224"/>
      <w:r>
        <w:rPr>
          <w:rFonts w:hint="eastAsia" w:cs="宋体"/>
          <w:b/>
          <w:bCs/>
          <w:color w:val="000000" w:themeColor="text1"/>
          <w:sz w:val="32"/>
          <w:szCs w:val="32"/>
          <w:highlight w:val="none"/>
          <w:lang w:eastAsia="zh-CN"/>
          <w14:textFill>
            <w14:solidFill>
              <w14:schemeClr w14:val="tx1"/>
            </w14:solidFill>
          </w14:textFill>
        </w:rPr>
        <w:t>资格审查资料</w:t>
      </w:r>
    </w:p>
    <w:p w14:paraId="3AB28457">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2"/>
        <w:rPr>
          <w:b/>
          <w:bCs/>
          <w:color w:val="000000" w:themeColor="text1"/>
          <w:sz w:val="30"/>
          <w:szCs w:val="30"/>
          <w:highlight w:val="none"/>
          <w14:textFill>
            <w14:solidFill>
              <w14:schemeClr w14:val="tx1"/>
            </w14:solidFill>
          </w14:textFill>
        </w:rPr>
      </w:pPr>
      <w:bookmarkStart w:id="225" w:name="_Toc466454746"/>
      <w:bookmarkStart w:id="226" w:name="_Toc466466390"/>
      <w:bookmarkStart w:id="227" w:name="_Toc465257495"/>
      <w:r>
        <w:rPr>
          <w:rFonts w:hint="eastAsia"/>
          <w:b/>
          <w:bCs/>
          <w:color w:val="000000" w:themeColor="text1"/>
          <w:sz w:val="30"/>
          <w:szCs w:val="30"/>
          <w:highlight w:val="none"/>
          <w14:textFill>
            <w14:solidFill>
              <w14:schemeClr w14:val="tx1"/>
            </w14:solidFill>
          </w14:textFill>
        </w:rPr>
        <w:t>（一）基本情况表</w:t>
      </w:r>
    </w:p>
    <w:p w14:paraId="43710F4D">
      <w:pPr>
        <w:pStyle w:val="18"/>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供应商：</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公章</w:t>
      </w:r>
      <w:r>
        <w:rPr>
          <w:rFonts w:hAnsi="宋体"/>
          <w:color w:val="000000" w:themeColor="text1"/>
          <w:sz w:val="24"/>
          <w:szCs w:val="24"/>
          <w:highlight w:val="none"/>
          <w14:textFill>
            <w14:solidFill>
              <w14:schemeClr w14:val="tx1"/>
            </w14:solidFill>
          </w14:textFill>
        </w:rPr>
        <w:t>)</w:t>
      </w:r>
    </w:p>
    <w:tbl>
      <w:tblPr>
        <w:tblStyle w:val="34"/>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234"/>
        <w:gridCol w:w="1742"/>
        <w:gridCol w:w="1418"/>
        <w:gridCol w:w="1136"/>
        <w:gridCol w:w="1776"/>
      </w:tblGrid>
      <w:tr w14:paraId="0C4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679" w:type="dxa"/>
            <w:gridSpan w:val="2"/>
            <w:vAlign w:val="center"/>
          </w:tcPr>
          <w:p w14:paraId="4520C883">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供应商名称</w:t>
            </w:r>
          </w:p>
        </w:tc>
        <w:tc>
          <w:tcPr>
            <w:tcW w:w="1742" w:type="dxa"/>
            <w:vAlign w:val="center"/>
          </w:tcPr>
          <w:p w14:paraId="5D9B3B80">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554" w:type="dxa"/>
            <w:gridSpan w:val="2"/>
            <w:vAlign w:val="center"/>
          </w:tcPr>
          <w:p w14:paraId="5A32566F">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法定代表人（负责人）</w:t>
            </w:r>
          </w:p>
        </w:tc>
        <w:tc>
          <w:tcPr>
            <w:tcW w:w="1776" w:type="dxa"/>
            <w:vAlign w:val="center"/>
          </w:tcPr>
          <w:p w14:paraId="1AAD992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0462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2F1E58AD">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统</w:t>
            </w:r>
            <w:r>
              <w:rPr>
                <w:rFonts w:hint="eastAsia" w:ascii="宋体" w:hAnsi="宋体" w:eastAsia="宋体" w:cs="宋体"/>
                <w:color w:val="000000" w:themeColor="text1"/>
                <w:sz w:val="24"/>
                <w:szCs w:val="24"/>
                <w:highlight w:val="none"/>
                <w14:textFill>
                  <w14:solidFill>
                    <w14:schemeClr w14:val="tx1"/>
                  </w14:solidFill>
                </w14:textFill>
              </w:rPr>
              <w:t>一社会信用代码</w:t>
            </w:r>
          </w:p>
        </w:tc>
        <w:tc>
          <w:tcPr>
            <w:tcW w:w="1742" w:type="dxa"/>
            <w:vAlign w:val="center"/>
          </w:tcPr>
          <w:p w14:paraId="2C4CEE65">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554" w:type="dxa"/>
            <w:gridSpan w:val="2"/>
            <w:vAlign w:val="center"/>
          </w:tcPr>
          <w:p w14:paraId="2CA8FF06">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邮政编码</w:t>
            </w:r>
          </w:p>
        </w:tc>
        <w:tc>
          <w:tcPr>
            <w:tcW w:w="1776" w:type="dxa"/>
            <w:vAlign w:val="center"/>
          </w:tcPr>
          <w:p w14:paraId="233EC45B">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209F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181E6332">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授权代表</w:t>
            </w:r>
          </w:p>
        </w:tc>
        <w:tc>
          <w:tcPr>
            <w:tcW w:w="1742" w:type="dxa"/>
            <w:vAlign w:val="center"/>
          </w:tcPr>
          <w:p w14:paraId="52273F2B">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554" w:type="dxa"/>
            <w:gridSpan w:val="2"/>
            <w:vAlign w:val="center"/>
          </w:tcPr>
          <w:p w14:paraId="012D0301">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联系电话</w:t>
            </w:r>
          </w:p>
        </w:tc>
        <w:tc>
          <w:tcPr>
            <w:tcW w:w="1776" w:type="dxa"/>
            <w:vAlign w:val="center"/>
          </w:tcPr>
          <w:p w14:paraId="45EB4371">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54DF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2104DD12">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电子邮箱</w:t>
            </w:r>
          </w:p>
        </w:tc>
        <w:tc>
          <w:tcPr>
            <w:tcW w:w="1742" w:type="dxa"/>
            <w:vAlign w:val="center"/>
          </w:tcPr>
          <w:p w14:paraId="7496376E">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554" w:type="dxa"/>
            <w:gridSpan w:val="2"/>
            <w:vAlign w:val="center"/>
          </w:tcPr>
          <w:p w14:paraId="29CF271B">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传真</w:t>
            </w:r>
          </w:p>
        </w:tc>
        <w:tc>
          <w:tcPr>
            <w:tcW w:w="1776" w:type="dxa"/>
            <w:vAlign w:val="center"/>
          </w:tcPr>
          <w:p w14:paraId="6A4020A5">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624D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2BF659CE">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上年营业收入</w:t>
            </w:r>
          </w:p>
        </w:tc>
        <w:tc>
          <w:tcPr>
            <w:tcW w:w="1742" w:type="dxa"/>
            <w:vAlign w:val="center"/>
          </w:tcPr>
          <w:p w14:paraId="532BEE80">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554" w:type="dxa"/>
            <w:gridSpan w:val="2"/>
            <w:vAlign w:val="center"/>
          </w:tcPr>
          <w:p w14:paraId="3AFF4CEA">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员工总人数</w:t>
            </w:r>
          </w:p>
        </w:tc>
        <w:tc>
          <w:tcPr>
            <w:tcW w:w="1776" w:type="dxa"/>
            <w:vAlign w:val="center"/>
          </w:tcPr>
          <w:p w14:paraId="48801F87">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653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679" w:type="dxa"/>
            <w:gridSpan w:val="2"/>
            <w:vAlign w:val="center"/>
          </w:tcPr>
          <w:p w14:paraId="09587559">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基本账户开户行及账号</w:t>
            </w:r>
          </w:p>
        </w:tc>
        <w:tc>
          <w:tcPr>
            <w:tcW w:w="6072" w:type="dxa"/>
            <w:gridSpan w:val="4"/>
            <w:vAlign w:val="center"/>
          </w:tcPr>
          <w:p w14:paraId="075EE3BD">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3174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718D77C9">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税务登记机关</w:t>
            </w:r>
          </w:p>
        </w:tc>
        <w:tc>
          <w:tcPr>
            <w:tcW w:w="6072" w:type="dxa"/>
            <w:gridSpan w:val="4"/>
            <w:vAlign w:val="center"/>
          </w:tcPr>
          <w:p w14:paraId="47CB372F">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5CE8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171B6036">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资质名称</w:t>
            </w:r>
          </w:p>
        </w:tc>
        <w:tc>
          <w:tcPr>
            <w:tcW w:w="1742" w:type="dxa"/>
            <w:vAlign w:val="center"/>
          </w:tcPr>
          <w:p w14:paraId="10AB3E9E">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等级</w:t>
            </w:r>
          </w:p>
        </w:tc>
        <w:tc>
          <w:tcPr>
            <w:tcW w:w="1418" w:type="dxa"/>
            <w:vAlign w:val="center"/>
          </w:tcPr>
          <w:p w14:paraId="135783B4">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发证机关</w:t>
            </w:r>
          </w:p>
        </w:tc>
        <w:tc>
          <w:tcPr>
            <w:tcW w:w="2912" w:type="dxa"/>
            <w:gridSpan w:val="2"/>
            <w:vAlign w:val="center"/>
          </w:tcPr>
          <w:p w14:paraId="52F4A2A9">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r>
      <w:tr w14:paraId="5EB2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7ADA5AA5">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742" w:type="dxa"/>
            <w:vAlign w:val="center"/>
          </w:tcPr>
          <w:p w14:paraId="0909C49B">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418" w:type="dxa"/>
            <w:vAlign w:val="center"/>
          </w:tcPr>
          <w:p w14:paraId="11FAE0F9">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912" w:type="dxa"/>
            <w:gridSpan w:val="2"/>
            <w:vAlign w:val="center"/>
          </w:tcPr>
          <w:p w14:paraId="0ACE01BD">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70EC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79" w:type="dxa"/>
            <w:gridSpan w:val="2"/>
            <w:vAlign w:val="center"/>
          </w:tcPr>
          <w:p w14:paraId="7EE8A170">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742" w:type="dxa"/>
            <w:vAlign w:val="center"/>
          </w:tcPr>
          <w:p w14:paraId="36C0F6C7">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418" w:type="dxa"/>
            <w:vAlign w:val="center"/>
          </w:tcPr>
          <w:p w14:paraId="42A0495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912" w:type="dxa"/>
            <w:gridSpan w:val="2"/>
            <w:vAlign w:val="center"/>
          </w:tcPr>
          <w:p w14:paraId="55CCEDFA">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4C43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45" w:type="dxa"/>
            <w:vAlign w:val="center"/>
          </w:tcPr>
          <w:p w14:paraId="0452308D">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tc>
        <w:tc>
          <w:tcPr>
            <w:tcW w:w="7306" w:type="dxa"/>
            <w:gridSpan w:val="5"/>
            <w:vAlign w:val="center"/>
          </w:tcPr>
          <w:p w14:paraId="2AC5EF30">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bl>
    <w:p w14:paraId="299F4596">
      <w:pPr>
        <w:pStyle w:val="18"/>
        <w:spacing w:line="360" w:lineRule="auto"/>
        <w:rPr>
          <w:rFonts w:hAnsi="宋体" w:cs="Times New Roman"/>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注：后附营业执照</w:t>
      </w:r>
      <w:r>
        <w:rPr>
          <w:rFonts w:hint="eastAsia" w:hAnsi="宋体"/>
          <w:b/>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《食品生产许可证》或《食品经营许可证》</w:t>
      </w:r>
      <w:r>
        <w:rPr>
          <w:rFonts w:hint="eastAsia" w:ascii="宋体" w:hAnsi="宋体" w:eastAsia="宋体" w:cs="宋体"/>
          <w:b/>
          <w:bCs w:val="0"/>
          <w:color w:val="auto"/>
          <w:sz w:val="24"/>
          <w:szCs w:val="24"/>
          <w:highlight w:val="none"/>
        </w:rPr>
        <w:t>等</w:t>
      </w:r>
      <w:r>
        <w:rPr>
          <w:rFonts w:hint="eastAsia" w:hAnsi="宋体" w:cs="宋体"/>
          <w:b/>
          <w:bCs w:val="0"/>
          <w:color w:val="auto"/>
          <w:sz w:val="24"/>
          <w:szCs w:val="24"/>
          <w:highlight w:val="none"/>
          <w:lang w:eastAsia="zh-CN"/>
        </w:rPr>
        <w:t>相关证书</w:t>
      </w:r>
      <w:r>
        <w:rPr>
          <w:rFonts w:hint="eastAsia" w:hAnsi="宋体"/>
          <w:b/>
          <w:color w:val="000000" w:themeColor="text1"/>
          <w:sz w:val="24"/>
          <w:szCs w:val="24"/>
          <w:highlight w:val="none"/>
          <w14:textFill>
            <w14:solidFill>
              <w14:schemeClr w14:val="tx1"/>
            </w14:solidFill>
          </w14:textFill>
        </w:rPr>
        <w:t>复印件。</w:t>
      </w:r>
    </w:p>
    <w:p w14:paraId="6A7F358E">
      <w:pPr>
        <w:spacing w:line="360" w:lineRule="auto"/>
        <w:jc w:val="center"/>
        <w:outlineLvl w:val="2"/>
        <w:rPr>
          <w:rFonts w:ascii="宋体" w:hAnsi="宋体" w:cs="宋体"/>
          <w:color w:val="000000" w:themeColor="text1"/>
          <w:sz w:val="24"/>
          <w:highlight w:val="none"/>
          <w14:textFill>
            <w14:solidFill>
              <w14:schemeClr w14:val="tx1"/>
            </w14:solidFill>
          </w14:textFill>
        </w:rPr>
      </w:pPr>
      <w:r>
        <w:rPr>
          <w:rFonts w:hAnsi="宋体" w:cs="Times New Roman"/>
          <w:color w:val="000000" w:themeColor="text1"/>
          <w:sz w:val="24"/>
          <w:highlight w:val="none"/>
          <w14:textFill>
            <w14:solidFill>
              <w14:schemeClr w14:val="tx1"/>
            </w14:solidFill>
          </w14:textFill>
        </w:rPr>
        <w:br w:type="page"/>
      </w:r>
      <w:bookmarkEnd w:id="225"/>
      <w:bookmarkEnd w:id="226"/>
      <w:bookmarkEnd w:id="227"/>
      <w:r>
        <w:rPr>
          <w:rFonts w:hint="eastAsia"/>
          <w:b/>
          <w:bCs/>
          <w:color w:val="000000" w:themeColor="text1"/>
          <w:sz w:val="32"/>
          <w:szCs w:val="32"/>
          <w:highlight w:val="none"/>
          <w14:textFill>
            <w14:solidFill>
              <w14:schemeClr w14:val="tx1"/>
            </w14:solidFill>
          </w14:textFill>
        </w:rPr>
        <w:t>（二）近年度财务状况表</w:t>
      </w:r>
    </w:p>
    <w:p w14:paraId="6192C966">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1907C877">
      <w:pPr>
        <w:spacing w:line="360" w:lineRule="auto"/>
        <w:ind w:firstLine="480" w:firstLineChars="200"/>
        <w:rPr>
          <w:rFonts w:ascii="宋体" w:cs="Times New Roman"/>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提供近年（2025年度）财务审计报告或财务报表（含资产负债表、现金流量表、利润表），新成立企业提供当年验资报告或银行出具的公司资信证明</w:t>
      </w:r>
      <w:r>
        <w:rPr>
          <w:rFonts w:hint="eastAsia" w:cs="宋体"/>
          <w:color w:val="000000" w:themeColor="text1"/>
          <w:sz w:val="24"/>
          <w:szCs w:val="24"/>
          <w:highlight w:val="none"/>
          <w14:textFill>
            <w14:solidFill>
              <w14:schemeClr w14:val="tx1"/>
            </w14:solidFill>
          </w14:textFill>
        </w:rPr>
        <w:t>。</w:t>
      </w:r>
    </w:p>
    <w:p w14:paraId="7DFDB39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5711CA4B">
      <w:pPr>
        <w:pStyle w:val="2"/>
        <w:rPr>
          <w:rFonts w:hint="eastAsia"/>
          <w:highlight w:val="none"/>
        </w:rPr>
      </w:pPr>
    </w:p>
    <w:p w14:paraId="1FD6B6B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379B661">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2CDBDA5">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3A8C6BB">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7101A6B">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23F96F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20A4DC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1CBAF0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8B06007">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AD09209">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B570CF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07DA3E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591D9F2">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9484443">
      <w:pPr>
        <w:spacing w:line="360" w:lineRule="auto"/>
        <w:rPr>
          <w:color w:val="000000" w:themeColor="text1"/>
          <w:sz w:val="30"/>
          <w:szCs w:val="30"/>
          <w:highlight w:val="none"/>
          <w14:textFill>
            <w14:solidFill>
              <w14:schemeClr w14:val="tx1"/>
            </w14:solidFill>
          </w14:textFill>
        </w:rPr>
      </w:pPr>
      <w:bookmarkStart w:id="228" w:name="_Toc466454748"/>
      <w:bookmarkStart w:id="229" w:name="_Toc466466392"/>
      <w:bookmarkStart w:id="230" w:name="_Toc465257497"/>
      <w:r>
        <w:rPr>
          <w:color w:val="000000" w:themeColor="text1"/>
          <w:sz w:val="30"/>
          <w:szCs w:val="30"/>
          <w:highlight w:val="none"/>
          <w14:textFill>
            <w14:solidFill>
              <w14:schemeClr w14:val="tx1"/>
            </w14:solidFill>
          </w14:textFill>
        </w:rPr>
        <w:t xml:space="preserve">  </w:t>
      </w:r>
      <w:r>
        <w:rPr>
          <w:rFonts w:hint="eastAsia"/>
          <w:color w:val="000000" w:themeColor="text1"/>
          <w:sz w:val="30"/>
          <w:szCs w:val="30"/>
          <w:highlight w:val="none"/>
          <w14:textFill>
            <w14:solidFill>
              <w14:schemeClr w14:val="tx1"/>
            </w14:solidFill>
          </w14:textFill>
        </w:rPr>
        <w:t xml:space="preserve">     </w:t>
      </w:r>
    </w:p>
    <w:p w14:paraId="23F1611B">
      <w:pPr>
        <w:spacing w:line="360" w:lineRule="auto"/>
        <w:jc w:val="center"/>
        <w:outlineLvl w:val="2"/>
        <w:rPr>
          <w:b/>
          <w:bCs/>
          <w:color w:val="000000" w:themeColor="text1"/>
          <w:sz w:val="32"/>
          <w:szCs w:val="32"/>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（三）依法缴纳税收</w:t>
      </w:r>
      <w:bookmarkEnd w:id="228"/>
      <w:bookmarkEnd w:id="229"/>
      <w:bookmarkEnd w:id="230"/>
      <w:r>
        <w:rPr>
          <w:rFonts w:hint="eastAsia"/>
          <w:b/>
          <w:bCs/>
          <w:color w:val="000000" w:themeColor="text1"/>
          <w:sz w:val="32"/>
          <w:szCs w:val="32"/>
          <w:highlight w:val="none"/>
          <w14:textFill>
            <w14:solidFill>
              <w14:schemeClr w14:val="tx1"/>
            </w14:solidFill>
          </w14:textFill>
        </w:rPr>
        <w:t>和社会保障资金的相关证明</w:t>
      </w:r>
    </w:p>
    <w:p w14:paraId="5F522D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E9BCF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r>
        <w:rPr>
          <w:rFonts w:hint="eastAsia" w:ascii="宋体" w:hAnsi="宋体" w:cs="宋体"/>
          <w:color w:val="000000" w:themeColor="text1"/>
          <w:sz w:val="24"/>
          <w:szCs w:val="24"/>
          <w:highlight w:val="none"/>
          <w:lang w:val="zh-CN"/>
          <w14:textFill>
            <w14:solidFill>
              <w14:schemeClr w14:val="tx1"/>
            </w14:solidFill>
          </w14:textFill>
        </w:rPr>
        <w:t>供应商须提供投标截止日期前六个月内任意一个月的依法缴纳税收和社会保障资金相关证明材料</w:t>
      </w:r>
      <w:r>
        <w:rPr>
          <w:rFonts w:hint="eastAsia" w:ascii="宋体" w:hAnsi="宋体" w:cs="宋体"/>
          <w:color w:val="000000" w:themeColor="text1"/>
          <w:sz w:val="24"/>
          <w:szCs w:val="24"/>
          <w:highlight w:val="none"/>
          <w14:textFill>
            <w14:solidFill>
              <w14:schemeClr w14:val="tx1"/>
            </w14:solidFill>
          </w14:textFill>
        </w:rPr>
        <w:t>。</w:t>
      </w:r>
    </w:p>
    <w:p w14:paraId="56C2B2D5">
      <w:pPr>
        <w:pStyle w:val="18"/>
        <w:ind w:firstLine="480" w:firstLineChars="200"/>
        <w:rPr>
          <w:rFonts w:hAnsi="宋体" w:cs="Times New Roman"/>
          <w:color w:val="000000" w:themeColor="text1"/>
          <w:sz w:val="24"/>
          <w:highlight w:val="none"/>
          <w14:textFill>
            <w14:solidFill>
              <w14:schemeClr w14:val="tx1"/>
            </w14:solidFill>
          </w14:textFill>
        </w:rPr>
      </w:pPr>
    </w:p>
    <w:p w14:paraId="3BF9FEE1">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4301F0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B0BD366">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81874A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9E5262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27144F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12A49DF">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8BBB48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4940B91">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6F3A797">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DE6EE8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FCA5B43">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DB5F9F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557232F3">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65E6F56">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33D13C9">
      <w:pPr>
        <w:pStyle w:val="18"/>
        <w:spacing w:line="360" w:lineRule="auto"/>
        <w:jc w:val="center"/>
        <w:outlineLvl w:val="2"/>
        <w:rPr>
          <w:b/>
          <w:bCs/>
          <w:color w:val="000000" w:themeColor="text1"/>
          <w:sz w:val="30"/>
          <w:szCs w:val="30"/>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（四）承诺书</w:t>
      </w:r>
    </w:p>
    <w:p w14:paraId="2689C45E">
      <w:pPr>
        <w:pStyle w:val="26"/>
        <w:spacing w:line="360" w:lineRule="auto"/>
        <w:rPr>
          <w:color w:val="000000" w:themeColor="text1"/>
          <w:highlight w:val="none"/>
          <w14:textFill>
            <w14:solidFill>
              <w14:schemeClr w14:val="tx1"/>
            </w14:solidFill>
          </w14:textFill>
        </w:rPr>
      </w:pPr>
    </w:p>
    <w:p w14:paraId="22E01CCB">
      <w:pPr>
        <w:widowControl/>
        <w:spacing w:line="500" w:lineRule="exact"/>
        <w:jc w:val="center"/>
        <w:outlineLvl w:val="3"/>
        <w:rPr>
          <w:rFonts w:ascii="宋体" w:hAnsi="宋体" w:cs="Times New Roman"/>
          <w:color w:val="000000" w:themeColor="text1"/>
          <w:sz w:val="28"/>
          <w:szCs w:val="28"/>
          <w:highlight w:val="none"/>
          <w14:textFill>
            <w14:solidFill>
              <w14:schemeClr w14:val="tx1"/>
            </w14:solidFill>
          </w14:textFill>
        </w:rPr>
      </w:pPr>
      <w:r>
        <w:rPr>
          <w:rFonts w:hint="eastAsia" w:ascii="宋体" w:hAnsi="宋体" w:cs="Times New Roman"/>
          <w:color w:val="000000" w:themeColor="text1"/>
          <w:sz w:val="28"/>
          <w:szCs w:val="28"/>
          <w:highlight w:val="none"/>
          <w14:textFill>
            <w14:solidFill>
              <w14:schemeClr w14:val="tx1"/>
            </w14:solidFill>
          </w14:textFill>
        </w:rPr>
        <w:t>（1）参加政府采购活动前三年内，在经营活动中没有重大违法记录的承诺书</w:t>
      </w:r>
    </w:p>
    <w:p w14:paraId="2CFBCBF3">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本单位郑重声明：</w:t>
      </w:r>
    </w:p>
    <w:p w14:paraId="13062508">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我单位在</w:t>
      </w:r>
      <w:r>
        <w:rPr>
          <w:rFonts w:hint="eastAsia" w:ascii="宋体" w:hAnsi="宋体" w:cs="Times New Roman"/>
          <w:color w:val="000000" w:themeColor="text1"/>
          <w:sz w:val="24"/>
          <w:szCs w:val="24"/>
          <w:highlight w:val="none"/>
          <w14:textFill>
            <w14:solidFill>
              <w14:schemeClr w14:val="tx1"/>
            </w14:solidFill>
          </w14:textFill>
        </w:rPr>
        <w:t>参加政府采购活动前三年内，</w:t>
      </w:r>
      <w:r>
        <w:rPr>
          <w:rFonts w:hint="eastAsia" w:ascii="宋体" w:hAnsi="宋体"/>
          <w:color w:val="000000" w:themeColor="text1"/>
          <w:sz w:val="24"/>
          <w:szCs w:val="24"/>
          <w:highlight w:val="none"/>
          <w14:textFill>
            <w14:solidFill>
              <w14:schemeClr w14:val="tx1"/>
            </w14:solidFill>
          </w14:textFill>
        </w:rPr>
        <w:t>在经营活动中没有重大违法记录，包括：</w:t>
      </w:r>
    </w:p>
    <w:p w14:paraId="2C4E2804">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我单位或者其法定代表人（负责人）、管理人员未因经营活动中的违法行为受到刑事处罚或者责令停产停业、吊销许可证或者执照、较大数额罚款等行政处罚。</w:t>
      </w:r>
    </w:p>
    <w:p w14:paraId="2712099A">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2AA70222">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49FD238B">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1AD9B727">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7D0C4928">
      <w:pPr>
        <w:spacing w:line="500" w:lineRule="exact"/>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04CF1F3F">
      <w:pPr>
        <w:spacing w:line="500" w:lineRule="exact"/>
        <w:jc w:val="left"/>
        <w:rPr>
          <w:rFonts w:ascii="宋体" w:hAnsi="宋体"/>
          <w:color w:val="000000" w:themeColor="text1"/>
          <w:sz w:val="24"/>
          <w:szCs w:val="24"/>
          <w:highlight w:val="none"/>
          <w14:textFill>
            <w14:solidFill>
              <w14:schemeClr w14:val="tx1"/>
            </w14:solidFill>
          </w14:textFill>
        </w:rPr>
      </w:pPr>
    </w:p>
    <w:p w14:paraId="5385EC1C">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7A88A708">
      <w:pPr>
        <w:spacing w:line="500" w:lineRule="exact"/>
        <w:jc w:val="left"/>
        <w:rPr>
          <w:rFonts w:ascii="宋体" w:hAnsi="宋体"/>
          <w:color w:val="000000" w:themeColor="text1"/>
          <w:sz w:val="24"/>
          <w:szCs w:val="24"/>
          <w:highlight w:val="none"/>
          <w14:textFill>
            <w14:solidFill>
              <w14:schemeClr w14:val="tx1"/>
            </w14:solidFill>
          </w14:textFill>
        </w:rPr>
      </w:pPr>
    </w:p>
    <w:p w14:paraId="0CA68C66">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42899423">
      <w:pPr>
        <w:widowControl/>
        <w:spacing w:line="500" w:lineRule="exact"/>
        <w:jc w:val="center"/>
        <w:outlineLvl w:val="3"/>
        <w:rPr>
          <w:rFonts w:ascii="宋体" w:hAnsi="宋体" w:cs="Times New Roman"/>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14:textFill>
            <w14:solidFill>
              <w14:schemeClr w14:val="tx1"/>
            </w14:solidFill>
          </w14:textFill>
        </w:rPr>
        <w:t>（2）无不良信用记录承诺书</w:t>
      </w:r>
    </w:p>
    <w:p w14:paraId="28AAD9D5">
      <w:pPr>
        <w:spacing w:line="360" w:lineRule="auto"/>
        <w:rPr>
          <w:rFonts w:ascii="宋体" w:hAnsi="宋体"/>
          <w:color w:val="000000" w:themeColor="text1"/>
          <w:sz w:val="24"/>
          <w:szCs w:val="20"/>
          <w:highlight w:val="none"/>
          <w14:textFill>
            <w14:solidFill>
              <w14:schemeClr w14:val="tx1"/>
            </w14:solidFill>
          </w14:textFill>
        </w:rPr>
      </w:pPr>
    </w:p>
    <w:p w14:paraId="633B309E">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6AF7DB92">
      <w:pPr>
        <w:spacing w:line="500" w:lineRule="exact"/>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本单位郑重承诺，我单位无以下不良信用记录情形：</w:t>
      </w:r>
    </w:p>
    <w:p w14:paraId="4989365B">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、被人民法院列入失信被执行人；</w:t>
      </w:r>
    </w:p>
    <w:p w14:paraId="44FF7B1F">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、被税务部门列入</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cs="宋体"/>
          <w:color w:val="000000" w:themeColor="text1"/>
          <w:sz w:val="24"/>
          <w:szCs w:val="24"/>
          <w:highlight w:val="none"/>
          <w14:textFill>
            <w14:solidFill>
              <w14:schemeClr w14:val="tx1"/>
            </w14:solidFill>
          </w14:textFill>
        </w:rPr>
        <w:t>；</w:t>
      </w:r>
    </w:p>
    <w:p w14:paraId="4AF25A02">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、被政府采购监管部门列入政府采购严重违法失信行为记录名单；</w:t>
      </w:r>
    </w:p>
    <w:p w14:paraId="34D330B2">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、不符合政府采购法第二十二条规定的条件。</w:t>
      </w:r>
    </w:p>
    <w:p w14:paraId="2BF91052">
      <w:pPr>
        <w:spacing w:line="500" w:lineRule="exact"/>
        <w:ind w:firstLine="435"/>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我单位已就上述不良信用行为按照磋商文件中</w:t>
      </w:r>
      <w:r>
        <w:rPr>
          <w:rFonts w:hint="eastAsia" w:ascii="宋体" w:hAnsi="宋体" w:cs="宋体"/>
          <w:bCs/>
          <w:color w:val="000000" w:themeColor="text1"/>
          <w:sz w:val="24"/>
          <w:szCs w:val="24"/>
          <w:highlight w:val="none"/>
          <w14:textFill>
            <w14:solidFill>
              <w14:schemeClr w14:val="tx1"/>
            </w14:solidFill>
          </w14:textFill>
        </w:rPr>
        <w:t>供应商须知前附表</w:t>
      </w:r>
      <w:r>
        <w:rPr>
          <w:rFonts w:hint="eastAsia" w:ascii="宋体" w:hAnsi="宋体" w:cs="宋体"/>
          <w:color w:val="000000" w:themeColor="text1"/>
          <w:sz w:val="24"/>
          <w:szCs w:val="24"/>
          <w:highlight w:val="none"/>
          <w14:textFill>
            <w14:solidFill>
              <w14:schemeClr w14:val="tx1"/>
            </w14:solidFill>
          </w14:textFill>
        </w:rPr>
        <w:t>规定进行了查询。我单位承诺：合同签订前，若我单位具有不良信用记录情形，贵方可取消我单位中标资格或者不授予合同，所有责任由我单位自行承担。同时，我单位愿意无条件接受监管部门的调查处理。</w:t>
      </w:r>
      <w:r>
        <w:rPr>
          <w:rFonts w:ascii="宋体" w:hAnsi="宋体" w:cs="宋体"/>
          <w:color w:val="000000" w:themeColor="text1"/>
          <w:sz w:val="24"/>
          <w:szCs w:val="24"/>
          <w:highlight w:val="none"/>
          <w14:textFill>
            <w14:solidFill>
              <w14:schemeClr w14:val="tx1"/>
            </w14:solidFill>
          </w14:textFill>
        </w:rPr>
        <w:t xml:space="preserve"> </w:t>
      </w:r>
    </w:p>
    <w:p w14:paraId="48A4040C">
      <w:pPr>
        <w:tabs>
          <w:tab w:val="left" w:pos="630"/>
        </w:tabs>
        <w:spacing w:line="500" w:lineRule="exact"/>
        <w:ind w:firstLine="630"/>
        <w:rPr>
          <w:rFonts w:ascii="宋体"/>
          <w:color w:val="000000" w:themeColor="text1"/>
          <w:sz w:val="24"/>
          <w:szCs w:val="24"/>
          <w:highlight w:val="none"/>
          <w14:textFill>
            <w14:solidFill>
              <w14:schemeClr w14:val="tx1"/>
            </w14:solidFill>
          </w14:textFill>
        </w:rPr>
      </w:pPr>
    </w:p>
    <w:p w14:paraId="185E1A13">
      <w:pPr>
        <w:spacing w:line="500" w:lineRule="exact"/>
        <w:ind w:firstLine="4228" w:firstLineChars="1762"/>
        <w:rPr>
          <w:rFonts w:ascii="宋体"/>
          <w:color w:val="000000" w:themeColor="text1"/>
          <w:sz w:val="24"/>
          <w:szCs w:val="24"/>
          <w:highlight w:val="none"/>
          <w14:textFill>
            <w14:solidFill>
              <w14:schemeClr w14:val="tx1"/>
            </w14:solidFill>
          </w14:textFill>
        </w:rPr>
      </w:pPr>
    </w:p>
    <w:p w14:paraId="79091D8C">
      <w:pPr>
        <w:spacing w:line="480" w:lineRule="auto"/>
        <w:ind w:firstLine="2880" w:firstLineChars="1200"/>
        <w:rPr>
          <w:rFonts w:hint="eastAsia" w:ascii="宋体" w:hAnsi="宋体"/>
          <w:color w:val="000000" w:themeColor="text1"/>
          <w:sz w:val="24"/>
          <w:szCs w:val="24"/>
          <w:highlight w:val="none"/>
          <w14:textFill>
            <w14:solidFill>
              <w14:schemeClr w14:val="tx1"/>
            </w14:solidFill>
          </w14:textFill>
        </w:rPr>
      </w:pPr>
    </w:p>
    <w:p w14:paraId="264F5852">
      <w:pPr>
        <w:spacing w:line="480" w:lineRule="auto"/>
        <w:ind w:firstLine="2880" w:firstLineChars="1200"/>
        <w:rPr>
          <w:rFonts w:hint="eastAsia" w:ascii="宋体" w:hAnsi="宋体"/>
          <w:color w:val="000000" w:themeColor="text1"/>
          <w:sz w:val="24"/>
          <w:szCs w:val="24"/>
          <w:highlight w:val="none"/>
          <w14:textFill>
            <w14:solidFill>
              <w14:schemeClr w14:val="tx1"/>
            </w14:solidFill>
          </w14:textFill>
        </w:rPr>
      </w:pPr>
    </w:p>
    <w:p w14:paraId="2C297E74">
      <w:pPr>
        <w:spacing w:line="480" w:lineRule="auto"/>
        <w:ind w:firstLine="2880" w:firstLineChars="1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1B61D251">
      <w:pPr>
        <w:spacing w:line="480" w:lineRule="auto"/>
        <w:ind w:firstLine="2880" w:firstLineChars="1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 字）</w:t>
      </w:r>
    </w:p>
    <w:p w14:paraId="59E6491E">
      <w:pPr>
        <w:spacing w:line="500" w:lineRule="exact"/>
        <w:jc w:val="left"/>
        <w:rPr>
          <w:rFonts w:ascii="宋体" w:hAnsi="宋体"/>
          <w:color w:val="000000" w:themeColor="text1"/>
          <w:sz w:val="24"/>
          <w:szCs w:val="24"/>
          <w:highlight w:val="none"/>
          <w14:textFill>
            <w14:solidFill>
              <w14:schemeClr w14:val="tx1"/>
            </w14:solidFill>
          </w14:textFill>
        </w:rPr>
      </w:pPr>
    </w:p>
    <w:p w14:paraId="43BF5E51">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BB5E99A">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700A9211">
      <w:pPr>
        <w:spacing w:line="360" w:lineRule="auto"/>
        <w:jc w:val="left"/>
        <w:rPr>
          <w:rFonts w:ascii="宋体" w:hAnsi="宋体"/>
          <w:color w:val="000000" w:themeColor="text1"/>
          <w:sz w:val="24"/>
          <w:highlight w:val="none"/>
          <w14:textFill>
            <w14:solidFill>
              <w14:schemeClr w14:val="tx1"/>
            </w14:solidFill>
          </w14:textFill>
        </w:rPr>
      </w:pPr>
    </w:p>
    <w:p w14:paraId="2D64B310">
      <w:pPr>
        <w:ind w:firstLine="480" w:firstLineChars="200"/>
        <w:rPr>
          <w:rFonts w:ascii="宋体" w:hAnsi="宋体"/>
          <w:color w:val="000000" w:themeColor="text1"/>
          <w:sz w:val="24"/>
          <w:szCs w:val="20"/>
          <w:highlight w:val="none"/>
          <w14:textFill>
            <w14:solidFill>
              <w14:schemeClr w14:val="tx1"/>
            </w14:solidFill>
          </w14:textFill>
        </w:rPr>
      </w:pPr>
    </w:p>
    <w:p w14:paraId="0E4A0C7E">
      <w:pPr>
        <w:ind w:firstLine="480" w:firstLineChars="200"/>
        <w:rPr>
          <w:rFonts w:ascii="宋体" w:hAnsi="宋体"/>
          <w:color w:val="000000" w:themeColor="text1"/>
          <w:sz w:val="24"/>
          <w:szCs w:val="20"/>
          <w:highlight w:val="none"/>
          <w14:textFill>
            <w14:solidFill>
              <w14:schemeClr w14:val="tx1"/>
            </w14:solidFill>
          </w14:textFill>
        </w:rPr>
      </w:pPr>
    </w:p>
    <w:p w14:paraId="65B22C8C">
      <w:pPr>
        <w:ind w:firstLine="480" w:firstLineChars="200"/>
        <w:rPr>
          <w:rFonts w:ascii="宋体" w:hAnsi="宋体"/>
          <w:color w:val="000000" w:themeColor="text1"/>
          <w:sz w:val="24"/>
          <w:szCs w:val="20"/>
          <w:highlight w:val="none"/>
          <w14:textFill>
            <w14:solidFill>
              <w14:schemeClr w14:val="tx1"/>
            </w14:solidFill>
          </w14:textFill>
        </w:rPr>
      </w:pPr>
    </w:p>
    <w:p w14:paraId="2635AD3D">
      <w:pPr>
        <w:ind w:firstLine="480" w:firstLineChars="200"/>
        <w:rPr>
          <w:rFonts w:ascii="宋体" w:hAnsi="宋体"/>
          <w:color w:val="000000" w:themeColor="text1"/>
          <w:sz w:val="24"/>
          <w:szCs w:val="20"/>
          <w:highlight w:val="none"/>
          <w14:textFill>
            <w14:solidFill>
              <w14:schemeClr w14:val="tx1"/>
            </w14:solidFill>
          </w14:textFill>
        </w:rPr>
      </w:pPr>
    </w:p>
    <w:p w14:paraId="1379FE9C">
      <w:pPr>
        <w:spacing w:line="360" w:lineRule="auto"/>
        <w:jc w:val="left"/>
        <w:rPr>
          <w:rFonts w:ascii="宋体" w:hAnsi="宋体"/>
          <w:color w:val="000000" w:themeColor="text1"/>
          <w:sz w:val="24"/>
          <w:highlight w:val="none"/>
          <w14:textFill>
            <w14:solidFill>
              <w14:schemeClr w14:val="tx1"/>
            </w14:solidFill>
          </w14:textFill>
        </w:rPr>
      </w:pPr>
    </w:p>
    <w:p w14:paraId="5EF12A19">
      <w:pPr>
        <w:rPr>
          <w:rFonts w:ascii="宋体" w:hAnsi="宋体"/>
          <w:color w:val="000000" w:themeColor="text1"/>
          <w:sz w:val="22"/>
          <w:szCs w:val="22"/>
          <w:highlight w:val="none"/>
          <w14:textFill>
            <w14:solidFill>
              <w14:schemeClr w14:val="tx1"/>
            </w14:solidFill>
          </w14:textFill>
        </w:rPr>
      </w:pPr>
    </w:p>
    <w:p w14:paraId="2D323EEC">
      <w:pPr>
        <w:widowControl/>
        <w:spacing w:line="360" w:lineRule="auto"/>
        <w:jc w:val="center"/>
        <w:outlineLvl w:val="3"/>
        <w:rPr>
          <w:rFonts w:ascii="宋体" w:hAnsi="宋体" w:cs="Times New Roman"/>
          <w:color w:val="000000" w:themeColor="text1"/>
          <w:sz w:val="32"/>
          <w:szCs w:val="32"/>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14:textFill>
            <w14:solidFill>
              <w14:schemeClr w14:val="tx1"/>
            </w14:solidFill>
          </w14:textFill>
        </w:rPr>
        <w:t>（3）未列入政府取消投标资格记录期间的承诺书</w:t>
      </w:r>
    </w:p>
    <w:p w14:paraId="6B554821">
      <w:pPr>
        <w:widowControl/>
        <w:spacing w:line="360" w:lineRule="auto"/>
        <w:ind w:firstLine="964" w:firstLineChars="400"/>
        <w:jc w:val="center"/>
        <w:rPr>
          <w:rFonts w:ascii="宋体" w:hAnsi="宋体" w:cs="宋体"/>
          <w:b/>
          <w:bCs/>
          <w:color w:val="000000" w:themeColor="text1"/>
          <w:sz w:val="24"/>
          <w:highlight w:val="none"/>
          <w14:textFill>
            <w14:solidFill>
              <w14:schemeClr w14:val="tx1"/>
            </w14:solidFill>
          </w14:textFill>
        </w:rPr>
      </w:pPr>
    </w:p>
    <w:p w14:paraId="11DE920E">
      <w:pPr>
        <w:spacing w:line="360" w:lineRule="auto"/>
        <w:rPr>
          <w:rFonts w:ascii="宋体" w:hAnsi="宋体"/>
          <w:color w:val="000000" w:themeColor="text1"/>
          <w:sz w:val="24"/>
          <w:highlight w:val="none"/>
          <w14:textFill>
            <w14:solidFill>
              <w14:schemeClr w14:val="tx1"/>
            </w14:solidFill>
          </w14:textFill>
        </w:rPr>
      </w:pPr>
    </w:p>
    <w:p w14:paraId="4ECEB228">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6913A49F">
      <w:pPr>
        <w:spacing w:line="500" w:lineRule="exact"/>
        <w:rPr>
          <w:rFonts w:ascii="宋体" w:hAnsi="宋体"/>
          <w:color w:val="000000" w:themeColor="text1"/>
          <w:sz w:val="24"/>
          <w:szCs w:val="24"/>
          <w:highlight w:val="none"/>
          <w14:textFill>
            <w14:solidFill>
              <w14:schemeClr w14:val="tx1"/>
            </w14:solidFill>
          </w14:textFill>
        </w:rPr>
      </w:pPr>
    </w:p>
    <w:p w14:paraId="324FE99C">
      <w:pPr>
        <w:spacing w:line="500" w:lineRule="exact"/>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我单位未被列入政府取消投标资格的记录。</w:t>
      </w:r>
    </w:p>
    <w:p w14:paraId="44B40C01">
      <w:pPr>
        <w:spacing w:line="500" w:lineRule="exact"/>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0941B126">
      <w:pPr>
        <w:spacing w:line="500" w:lineRule="exact"/>
        <w:ind w:firstLine="420"/>
        <w:rPr>
          <w:rFonts w:ascii="宋体" w:hAnsi="宋体"/>
          <w:color w:val="000000" w:themeColor="text1"/>
          <w:sz w:val="24"/>
          <w:szCs w:val="24"/>
          <w:highlight w:val="none"/>
          <w14:textFill>
            <w14:solidFill>
              <w14:schemeClr w14:val="tx1"/>
            </w14:solidFill>
          </w14:textFill>
        </w:rPr>
      </w:pPr>
    </w:p>
    <w:p w14:paraId="15CA51B7">
      <w:pPr>
        <w:spacing w:line="500" w:lineRule="exact"/>
        <w:ind w:firstLine="420"/>
        <w:rPr>
          <w:rFonts w:ascii="宋体" w:hAnsi="宋体"/>
          <w:color w:val="000000" w:themeColor="text1"/>
          <w:sz w:val="24"/>
          <w:szCs w:val="24"/>
          <w:highlight w:val="none"/>
          <w14:textFill>
            <w14:solidFill>
              <w14:schemeClr w14:val="tx1"/>
            </w14:solidFill>
          </w14:textFill>
        </w:rPr>
      </w:pPr>
    </w:p>
    <w:p w14:paraId="72CD0407">
      <w:pPr>
        <w:spacing w:line="500" w:lineRule="exact"/>
        <w:ind w:firstLine="420"/>
        <w:rPr>
          <w:rFonts w:ascii="宋体" w:hAnsi="宋体"/>
          <w:color w:val="000000" w:themeColor="text1"/>
          <w:sz w:val="24"/>
          <w:szCs w:val="24"/>
          <w:highlight w:val="none"/>
          <w14:textFill>
            <w14:solidFill>
              <w14:schemeClr w14:val="tx1"/>
            </w14:solidFill>
          </w14:textFill>
        </w:rPr>
      </w:pPr>
    </w:p>
    <w:p w14:paraId="795CFDF2">
      <w:pPr>
        <w:spacing w:line="500" w:lineRule="exact"/>
        <w:ind w:firstLine="4228" w:firstLineChars="1762"/>
        <w:rPr>
          <w:rFonts w:ascii="宋体"/>
          <w:color w:val="000000" w:themeColor="text1"/>
          <w:sz w:val="24"/>
          <w:szCs w:val="24"/>
          <w:highlight w:val="none"/>
          <w14:textFill>
            <w14:solidFill>
              <w14:schemeClr w14:val="tx1"/>
            </w14:solidFill>
          </w14:textFill>
        </w:rPr>
      </w:pPr>
    </w:p>
    <w:p w14:paraId="4B0DE921">
      <w:pPr>
        <w:spacing w:line="500" w:lineRule="exact"/>
        <w:ind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2E316444">
      <w:pPr>
        <w:spacing w:line="500" w:lineRule="exact"/>
        <w:jc w:val="left"/>
        <w:rPr>
          <w:rFonts w:ascii="宋体" w:hAnsi="宋体"/>
          <w:color w:val="000000" w:themeColor="text1"/>
          <w:sz w:val="24"/>
          <w:szCs w:val="24"/>
          <w:highlight w:val="none"/>
          <w14:textFill>
            <w14:solidFill>
              <w14:schemeClr w14:val="tx1"/>
            </w14:solidFill>
          </w14:textFill>
        </w:rPr>
      </w:pPr>
    </w:p>
    <w:p w14:paraId="1B92368B">
      <w:pPr>
        <w:spacing w:line="500" w:lineRule="exact"/>
        <w:ind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 字）</w:t>
      </w:r>
    </w:p>
    <w:p w14:paraId="708840F0">
      <w:pPr>
        <w:spacing w:line="500" w:lineRule="exact"/>
        <w:jc w:val="left"/>
        <w:rPr>
          <w:rFonts w:ascii="宋体" w:hAnsi="宋体"/>
          <w:color w:val="000000" w:themeColor="text1"/>
          <w:sz w:val="24"/>
          <w:szCs w:val="24"/>
          <w:highlight w:val="none"/>
          <w14:textFill>
            <w14:solidFill>
              <w14:schemeClr w14:val="tx1"/>
            </w14:solidFill>
          </w14:textFill>
        </w:rPr>
      </w:pPr>
    </w:p>
    <w:p w14:paraId="2C7909D7">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75388927">
      <w:pPr>
        <w:autoSpaceDE w:val="0"/>
        <w:autoSpaceDN w:val="0"/>
        <w:adjustRightInd w:val="0"/>
        <w:spacing w:line="500" w:lineRule="exact"/>
        <w:jc w:val="center"/>
        <w:outlineLvl w:val="3"/>
        <w:rPr>
          <w:rFonts w:ascii="宋体" w:hAnsi="宋体" w:cs="宋体"/>
          <w:color w:val="000000" w:themeColor="text1"/>
          <w:sz w:val="28"/>
          <w:szCs w:val="28"/>
          <w:highlight w:val="none"/>
          <w:lang w:val="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4</w:t>
      </w: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宋体"/>
          <w:color w:val="000000" w:themeColor="text1"/>
          <w:sz w:val="28"/>
          <w:szCs w:val="28"/>
          <w:highlight w:val="none"/>
          <w:lang w:val="zh-CN"/>
          <w14:textFill>
            <w14:solidFill>
              <w14:schemeClr w14:val="tx1"/>
            </w14:solidFill>
          </w14:textFill>
        </w:rPr>
        <w:t>完全响应竞争性磋商文件的承诺书</w:t>
      </w:r>
    </w:p>
    <w:p w14:paraId="4397DF39">
      <w:pPr>
        <w:spacing w:line="360" w:lineRule="auto"/>
        <w:rPr>
          <w:rFonts w:ascii="宋体" w:hAnsi="宋体"/>
          <w:color w:val="000000" w:themeColor="text1"/>
          <w:sz w:val="24"/>
          <w:szCs w:val="24"/>
          <w:highlight w:val="none"/>
          <w14:textFill>
            <w14:solidFill>
              <w14:schemeClr w14:val="tx1"/>
            </w14:solidFill>
          </w14:textFill>
        </w:rPr>
      </w:pPr>
    </w:p>
    <w:p w14:paraId="68FCE167">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3637385B">
      <w:pPr>
        <w:spacing w:line="500" w:lineRule="exact"/>
        <w:rPr>
          <w:rFonts w:ascii="宋体" w:hAnsi="宋体"/>
          <w:color w:val="000000" w:themeColor="text1"/>
          <w:sz w:val="24"/>
          <w:szCs w:val="24"/>
          <w:highlight w:val="none"/>
          <w14:textFill>
            <w14:solidFill>
              <w14:schemeClr w14:val="tx1"/>
            </w14:solidFill>
          </w14:textFill>
        </w:rPr>
      </w:pPr>
    </w:p>
    <w:p w14:paraId="0746F36D">
      <w:pPr>
        <w:spacing w:after="120"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我方在此声明,我方完全响应</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u w:val="single"/>
          <w14:textFill>
            <w14:solidFill>
              <w14:schemeClr w14:val="tx1"/>
            </w14:solidFill>
          </w14:textFill>
        </w:rPr>
        <w:t>竞争性磋商文件的全部商务条款及技术标准和采购要求，无任何负偏离</w:t>
      </w:r>
      <w:r>
        <w:rPr>
          <w:rFonts w:hint="eastAsia" w:ascii="宋体" w:hAnsi="宋体"/>
          <w:color w:val="000000" w:themeColor="text1"/>
          <w:sz w:val="24"/>
          <w:szCs w:val="24"/>
          <w:highlight w:val="none"/>
          <w14:textFill>
            <w14:solidFill>
              <w14:schemeClr w14:val="tx1"/>
            </w14:solidFill>
          </w14:textFill>
        </w:rPr>
        <w:t>。我方保证上述信息的真实和准确，</w:t>
      </w:r>
    </w:p>
    <w:p w14:paraId="208D15BF">
      <w:pPr>
        <w:spacing w:after="120" w:line="500" w:lineRule="exact"/>
        <w:ind w:firstLine="480" w:firstLineChars="200"/>
        <w:rPr>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w:t>
      </w:r>
      <w:r>
        <w:rPr>
          <w:rFonts w:hint="eastAsia" w:ascii="Calibri"/>
          <w:color w:val="000000" w:themeColor="text1"/>
          <w:sz w:val="24"/>
          <w:szCs w:val="24"/>
          <w:highlight w:val="none"/>
          <w14:textFill>
            <w14:solidFill>
              <w14:schemeClr w14:val="tx1"/>
            </w14:solidFill>
          </w14:textFill>
        </w:rPr>
        <w:t>采购后一经发现我方存在虚假信息或有不符合项，采购人有权单方终止合同，并拒付货款，全部退货处理，我方赔偿由此造成的全部损失并承担全部法律责任。</w:t>
      </w:r>
    </w:p>
    <w:p w14:paraId="3641524E">
      <w:pPr>
        <w:spacing w:line="500" w:lineRule="exact"/>
        <w:ind w:firstLine="540" w:firstLineChars="225"/>
        <w:rPr>
          <w:rFonts w:ascii="宋体" w:hAnsi="宋体"/>
          <w:color w:val="000000" w:themeColor="text1"/>
          <w:sz w:val="24"/>
          <w:szCs w:val="24"/>
          <w:highlight w:val="none"/>
          <w14:textFill>
            <w14:solidFill>
              <w14:schemeClr w14:val="tx1"/>
            </w14:solidFill>
          </w14:textFill>
        </w:rPr>
      </w:pPr>
    </w:p>
    <w:p w14:paraId="6733C09B">
      <w:pPr>
        <w:spacing w:line="50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038EB26F">
      <w:pPr>
        <w:spacing w:line="500" w:lineRule="exact"/>
        <w:ind w:firstLine="540" w:firstLineChars="225"/>
        <w:rPr>
          <w:rFonts w:ascii="宋体" w:hAnsi="宋体"/>
          <w:color w:val="000000" w:themeColor="text1"/>
          <w:sz w:val="24"/>
          <w:szCs w:val="24"/>
          <w:highlight w:val="none"/>
          <w14:textFill>
            <w14:solidFill>
              <w14:schemeClr w14:val="tx1"/>
            </w14:solidFill>
          </w14:textFill>
        </w:rPr>
      </w:pPr>
    </w:p>
    <w:p w14:paraId="2DCD8FA5">
      <w:pPr>
        <w:spacing w:line="500" w:lineRule="exact"/>
        <w:ind w:firstLine="616" w:firstLineChars="257"/>
        <w:rPr>
          <w:color w:val="000000" w:themeColor="text1"/>
          <w:sz w:val="24"/>
          <w:szCs w:val="24"/>
          <w:highlight w:val="none"/>
          <w14:textFill>
            <w14:solidFill>
              <w14:schemeClr w14:val="tx1"/>
            </w14:solidFill>
          </w14:textFill>
        </w:rPr>
      </w:pPr>
    </w:p>
    <w:p w14:paraId="37B4EC44">
      <w:pPr>
        <w:spacing w:line="500" w:lineRule="exact"/>
        <w:rPr>
          <w:color w:val="000000" w:themeColor="text1"/>
          <w:sz w:val="24"/>
          <w:szCs w:val="24"/>
          <w:highlight w:val="none"/>
          <w14:textFill>
            <w14:solidFill>
              <w14:schemeClr w14:val="tx1"/>
            </w14:solidFill>
          </w14:textFill>
        </w:rPr>
      </w:pPr>
    </w:p>
    <w:p w14:paraId="64C81E11">
      <w:pPr>
        <w:spacing w:line="500" w:lineRule="exact"/>
        <w:rPr>
          <w:color w:val="000000" w:themeColor="text1"/>
          <w:sz w:val="24"/>
          <w:szCs w:val="24"/>
          <w:highlight w:val="none"/>
          <w14:textFill>
            <w14:solidFill>
              <w14:schemeClr w14:val="tx1"/>
            </w14:solidFill>
          </w14:textFill>
        </w:rPr>
      </w:pPr>
    </w:p>
    <w:p w14:paraId="66BA35B5">
      <w:pPr>
        <w:spacing w:line="480" w:lineRule="auto"/>
        <w:ind w:firstLine="616" w:firstLineChars="257"/>
        <w:rPr>
          <w:color w:val="000000" w:themeColor="text1"/>
          <w:sz w:val="24"/>
          <w:szCs w:val="24"/>
          <w:highlight w:val="none"/>
          <w14:textFill>
            <w14:solidFill>
              <w14:schemeClr w14:val="tx1"/>
            </w14:solidFill>
          </w14:textFill>
        </w:rPr>
      </w:pPr>
    </w:p>
    <w:p w14:paraId="6C541454">
      <w:pPr>
        <w:spacing w:line="480" w:lineRule="auto"/>
        <w:ind w:firstLine="2640" w:firstLineChars="1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新宋体" w:hAnsi="新宋体" w:eastAsia="新宋体"/>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（盖单位章）</w:t>
      </w:r>
    </w:p>
    <w:p w14:paraId="449716E0">
      <w:pPr>
        <w:spacing w:line="480" w:lineRule="auto"/>
        <w:ind w:firstLine="2640" w:firstLineChars="1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（签 字）</w:t>
      </w:r>
    </w:p>
    <w:p w14:paraId="48ACA5E7">
      <w:pPr>
        <w:spacing w:line="500" w:lineRule="exact"/>
        <w:rPr>
          <w:color w:val="000000" w:themeColor="text1"/>
          <w:sz w:val="24"/>
          <w:szCs w:val="24"/>
          <w:highlight w:val="none"/>
          <w14:textFill>
            <w14:solidFill>
              <w14:schemeClr w14:val="tx1"/>
            </w14:solidFill>
          </w14:textFill>
        </w:rPr>
      </w:pPr>
    </w:p>
    <w:p w14:paraId="2F791378">
      <w:pPr>
        <w:widowControl/>
        <w:spacing w:line="500" w:lineRule="exact"/>
        <w:jc w:val="right"/>
        <w:rPr>
          <w:rFonts w:ascii="宋体" w:hAnsi="宋体" w:cs="Times New Roman"/>
          <w:color w:val="000000" w:themeColor="text1"/>
          <w:sz w:val="24"/>
          <w:szCs w:val="24"/>
          <w:highlight w:val="none"/>
          <w:lang w:val="zh-CN"/>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27435B15">
      <w:pPr>
        <w:widowControl/>
        <w:spacing w:line="360" w:lineRule="auto"/>
        <w:jc w:val="center"/>
        <w:outlineLvl w:val="3"/>
        <w:rPr>
          <w:rFonts w:ascii="宋体" w:hAnsi="宋体" w:cs="Times New Roman"/>
          <w:color w:val="000000" w:themeColor="text1"/>
          <w:sz w:val="28"/>
          <w:szCs w:val="28"/>
          <w:highlight w:val="none"/>
          <w14:textFill>
            <w14:solidFill>
              <w14:schemeClr w14:val="tx1"/>
            </w14:solidFill>
          </w14:textFill>
        </w:rPr>
      </w:pP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5</w:t>
      </w:r>
      <w:r>
        <w:rPr>
          <w:rFonts w:hint="eastAsia" w:ascii="宋体" w:hAnsi="宋体" w:cs="Times New Roman"/>
          <w:color w:val="000000" w:themeColor="text1"/>
          <w:sz w:val="28"/>
          <w:szCs w:val="28"/>
          <w:highlight w:val="none"/>
          <w:lang w:val="zh-CN"/>
          <w14:textFill>
            <w14:solidFill>
              <w14:schemeClr w14:val="tx1"/>
            </w14:solidFill>
          </w14:textFill>
        </w:rPr>
        <w:t>）政府采购诚信承诺书</w:t>
      </w:r>
    </w:p>
    <w:p w14:paraId="33ADC5D1">
      <w:pPr>
        <w:spacing w:line="360" w:lineRule="auto"/>
        <w:jc w:val="center"/>
        <w:rPr>
          <w:rFonts w:ascii="宋体" w:hAnsi="宋体" w:cs="宋体"/>
          <w:b/>
          <w:color w:val="000000" w:themeColor="text1"/>
          <w:kern w:val="0"/>
          <w:sz w:val="32"/>
          <w:szCs w:val="18"/>
          <w:highlight w:val="none"/>
          <w14:textFill>
            <w14:solidFill>
              <w14:schemeClr w14:val="tx1"/>
            </w14:solidFill>
          </w14:textFill>
        </w:rPr>
      </w:pPr>
    </w:p>
    <w:p w14:paraId="56A78A06">
      <w:p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 xml:space="preserve">     (采购人）     </w:t>
      </w:r>
      <w:r>
        <w:rPr>
          <w:rFonts w:hint="eastAsia" w:ascii="宋体" w:hAnsi="宋体"/>
          <w:bCs/>
          <w:color w:val="000000" w:themeColor="text1"/>
          <w:sz w:val="24"/>
          <w:szCs w:val="24"/>
          <w:highlight w:val="none"/>
          <w14:textFill>
            <w14:solidFill>
              <w14:schemeClr w14:val="tx1"/>
            </w14:solidFill>
          </w14:textFill>
        </w:rPr>
        <w:t>：</w:t>
      </w:r>
    </w:p>
    <w:p w14:paraId="6BA4C0AD">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我公司</w:t>
      </w:r>
      <w:r>
        <w:rPr>
          <w:rFonts w:hint="eastAsia" w:ascii="宋体" w:hAnsi="宋体"/>
          <w:bCs/>
          <w:color w:val="000000" w:themeColor="text1"/>
          <w:sz w:val="24"/>
          <w:szCs w:val="24"/>
          <w:highlight w:val="none"/>
          <w:u w:val="single"/>
          <w14:textFill>
            <w14:solidFill>
              <w14:schemeClr w14:val="tx1"/>
            </w14:solidFill>
          </w14:textFill>
        </w:rPr>
        <w:t xml:space="preserve">    （供应商名称）</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已详细阅读了</w:t>
      </w:r>
      <w:r>
        <w:rPr>
          <w:rFonts w:hint="eastAsia" w:ascii="宋体" w:hAnsi="宋体"/>
          <w:bCs/>
          <w:color w:val="000000" w:themeColor="text1"/>
          <w:sz w:val="24"/>
          <w:szCs w:val="24"/>
          <w:highlight w:val="none"/>
          <w:u w:val="single"/>
          <w14:textFill>
            <w14:solidFill>
              <w14:schemeClr w14:val="tx1"/>
            </w14:solidFill>
          </w14:textFill>
        </w:rPr>
        <w:t xml:space="preserve">     （项目名称）        </w:t>
      </w:r>
      <w:r>
        <w:rPr>
          <w:rFonts w:hint="eastAsia" w:ascii="宋体" w:hAnsi="宋体"/>
          <w:bCs/>
          <w:color w:val="000000" w:themeColor="text1"/>
          <w:sz w:val="24"/>
          <w:szCs w:val="24"/>
          <w:highlight w:val="none"/>
          <w14:textFill>
            <w14:solidFill>
              <w14:schemeClr w14:val="tx1"/>
            </w14:solidFill>
          </w14:textFill>
        </w:rPr>
        <w:t>项目（项目编号：</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）的竞争性磋商文件，自愿参加本次磋商，现就有关事项郑重承诺如下：</w:t>
      </w:r>
    </w:p>
    <w:p w14:paraId="475387A1">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一、诚信报价，材料真实。我公司保证所提供的全部材料、报价内容均真实、合法、有效，保证不出借或者借用其他企业资质，不以他人名义报价，不弄虚作假；未列入失信被执行人、</w:t>
      </w:r>
      <w:r>
        <w:rPr>
          <w:rFonts w:hint="eastAsia" w:ascii="宋体" w:hAnsi="宋体"/>
          <w:bCs/>
          <w:color w:val="000000" w:themeColor="text1"/>
          <w:sz w:val="24"/>
          <w:szCs w:val="24"/>
          <w:highlight w:val="none"/>
          <w:lang w:eastAsia="zh-CN"/>
          <w14:textFill>
            <w14:solidFill>
              <w14:schemeClr w14:val="tx1"/>
            </w14:solidFill>
          </w14:textFill>
        </w:rPr>
        <w:t>重大税收违法失信主体</w:t>
      </w:r>
      <w:r>
        <w:rPr>
          <w:rFonts w:hint="eastAsia" w:ascii="宋体" w:hAnsi="宋体"/>
          <w:bCs/>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w:t>
      </w:r>
    </w:p>
    <w:p w14:paraId="586EEFB2">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二、遵纪守法，公平竞争。不与其他供应商相互串通、哄抬价格，不排挤其他供应商，不损害采购人的合法权益；不向采购人、采购代理机构、磋商小组成员等及其他参与采购活动的人员行贿或采用其他不正当手段谋取成交；</w:t>
      </w:r>
    </w:p>
    <w:p w14:paraId="122DD24E">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三、不捏造事实或借用他人名义进行虚假、恶意质疑和投诉，不以质疑或投诉为名排挤竞争对手，干扰政府采购秩序；</w:t>
      </w:r>
    </w:p>
    <w:p w14:paraId="6F327D5A">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四、若成交后，将按照规定及时与采购人签订政府采购合同，不与采购人订立有悖于采购结果的合同或协议；严格履行政府采购合同，不降低合同约定的产品质量及相关服务，不擅自变更、中止、终止合同，或者拒绝履行合同义务。</w:t>
      </w:r>
    </w:p>
    <w:p w14:paraId="01FD83E3">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若有违反以上承诺内容的行为，我公司自愿接受取消磋商资格、记入信用档案、没收磋商保证金、媒体通报、1～3年内禁止参与政府采购活动等处罚；如已成交的，自动放弃成交资格，并承担全部法律责任；给采购人造成损失的，依法承担赔偿责任。</w:t>
      </w:r>
    </w:p>
    <w:p w14:paraId="0C592250">
      <w:pPr>
        <w:spacing w:line="360" w:lineRule="auto"/>
        <w:ind w:right="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6AC4AAD2">
      <w:pPr>
        <w:spacing w:line="360" w:lineRule="auto"/>
        <w:ind w:right="480"/>
        <w:jc w:val="left"/>
        <w:rPr>
          <w:rFonts w:hint="eastAsia" w:ascii="宋体" w:hAnsi="宋体"/>
          <w:color w:val="000000" w:themeColor="text1"/>
          <w:sz w:val="24"/>
          <w:szCs w:val="24"/>
          <w:highlight w:val="none"/>
          <w14:textFill>
            <w14:solidFill>
              <w14:schemeClr w14:val="tx1"/>
            </w14:solidFill>
          </w14:textFill>
        </w:rPr>
      </w:pPr>
    </w:p>
    <w:p w14:paraId="65E012DF">
      <w:pPr>
        <w:spacing w:line="480" w:lineRule="auto"/>
        <w:ind w:right="48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3BF33CE9">
      <w:pPr>
        <w:spacing w:line="480" w:lineRule="auto"/>
        <w:ind w:right="-94"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0FAC86E3">
      <w:pPr>
        <w:spacing w:line="480" w:lineRule="auto"/>
        <w:ind w:right="480"/>
        <w:jc w:val="right"/>
        <w:rPr>
          <w:rFonts w:ascii="宋体" w:hAnsi="宋体"/>
          <w:color w:val="000000" w:themeColor="text1"/>
          <w:sz w:val="24"/>
          <w:szCs w:val="24"/>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48F961F0">
      <w:pPr>
        <w:widowControl/>
        <w:spacing w:line="360" w:lineRule="auto"/>
        <w:jc w:val="center"/>
        <w:outlineLvl w:val="3"/>
        <w:rPr>
          <w:rFonts w:ascii="宋体" w:hAnsi="宋体" w:cs="Times New Roman"/>
          <w:color w:val="000000" w:themeColor="text1"/>
          <w:sz w:val="32"/>
          <w:szCs w:val="32"/>
          <w:highlight w:val="none"/>
          <w:lang w:val="zh-CN"/>
          <w14:textFill>
            <w14:solidFill>
              <w14:schemeClr w14:val="tx1"/>
            </w14:solidFill>
          </w14:textFill>
        </w:rPr>
      </w:pP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6</w:t>
      </w:r>
      <w:r>
        <w:rPr>
          <w:rFonts w:hint="eastAsia" w:ascii="宋体" w:hAnsi="宋体" w:cs="Times New Roman"/>
          <w:color w:val="000000" w:themeColor="text1"/>
          <w:sz w:val="28"/>
          <w:szCs w:val="28"/>
          <w:highlight w:val="none"/>
          <w:lang w:val="zh-CN"/>
          <w14:textFill>
            <w14:solidFill>
              <w14:schemeClr w14:val="tx1"/>
            </w14:solidFill>
          </w14:textFill>
        </w:rPr>
        <w:t>）无投资参股关系关联企业同时磋商的承诺书</w:t>
      </w:r>
    </w:p>
    <w:p w14:paraId="26850066">
      <w:pPr>
        <w:widowControl/>
        <w:spacing w:line="360" w:lineRule="auto"/>
        <w:jc w:val="center"/>
        <w:rPr>
          <w:rFonts w:ascii="宋体" w:hAnsi="宋体" w:cs="Times New Roman"/>
          <w:color w:val="000000" w:themeColor="text1"/>
          <w:sz w:val="24"/>
          <w:highlight w:val="none"/>
          <w:lang w:val="zh-CN"/>
          <w14:textFill>
            <w14:solidFill>
              <w14:schemeClr w14:val="tx1"/>
            </w14:solidFill>
          </w14:textFill>
        </w:rPr>
      </w:pPr>
    </w:p>
    <w:p w14:paraId="3D147BEA">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42DBA253">
      <w:pPr>
        <w:spacing w:line="360" w:lineRule="auto"/>
        <w:rPr>
          <w:rFonts w:ascii="宋体" w:hAnsi="宋体"/>
          <w:color w:val="000000" w:themeColor="text1"/>
          <w:sz w:val="24"/>
          <w:szCs w:val="24"/>
          <w:highlight w:val="none"/>
          <w14:textFill>
            <w14:solidFill>
              <w14:schemeClr w14:val="tx1"/>
            </w14:solidFill>
          </w14:textFill>
        </w:rPr>
      </w:pPr>
    </w:p>
    <w:p w14:paraId="12216FA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我单位承诺：无下列情况！</w:t>
      </w:r>
    </w:p>
    <w:p w14:paraId="0C534E5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有投资参股关系的关联企业,或具有直接管理和被管理关系的母子公司，或同一母公司的子公司，或法定代表人为同一人的两个及两个以上法人同时对同一标段投标。与采购人存在利害关系可能影响投标公正性的法人、其他组织或者个人。单位负责人为同一人或者存在控股、管理关系的不同单位，参加同一标段投标或者未划分标段的同一项目投标。</w:t>
      </w:r>
    </w:p>
    <w:p w14:paraId="639EBAF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特此声明！</w:t>
      </w:r>
    </w:p>
    <w:p w14:paraId="6FC03974">
      <w:pPr>
        <w:spacing w:line="360" w:lineRule="auto"/>
        <w:ind w:firstLine="420"/>
        <w:rPr>
          <w:rFonts w:ascii="宋体" w:hAnsi="宋体"/>
          <w:color w:val="000000" w:themeColor="text1"/>
          <w:sz w:val="24"/>
          <w:szCs w:val="24"/>
          <w:highlight w:val="none"/>
          <w14:textFill>
            <w14:solidFill>
              <w14:schemeClr w14:val="tx1"/>
            </w14:solidFill>
          </w14:textFill>
        </w:rPr>
      </w:pPr>
    </w:p>
    <w:p w14:paraId="1E23657F">
      <w:pPr>
        <w:spacing w:line="360" w:lineRule="auto"/>
        <w:ind w:firstLine="420"/>
        <w:rPr>
          <w:rFonts w:ascii="宋体" w:hAnsi="宋体"/>
          <w:color w:val="000000" w:themeColor="text1"/>
          <w:sz w:val="24"/>
          <w:szCs w:val="24"/>
          <w:highlight w:val="none"/>
          <w14:textFill>
            <w14:solidFill>
              <w14:schemeClr w14:val="tx1"/>
            </w14:solidFill>
          </w14:textFill>
        </w:rPr>
      </w:pPr>
    </w:p>
    <w:p w14:paraId="53A1E6FC">
      <w:pPr>
        <w:spacing w:line="360" w:lineRule="auto"/>
        <w:ind w:firstLine="4228" w:firstLineChars="1762"/>
        <w:rPr>
          <w:rFonts w:hint="eastAsia" w:ascii="宋体" w:eastAsia="宋体"/>
          <w:color w:val="000000" w:themeColor="text1"/>
          <w:sz w:val="24"/>
          <w:szCs w:val="24"/>
          <w:highlight w:val="none"/>
          <w:lang w:eastAsia="zh-CN"/>
          <w14:textFill>
            <w14:solidFill>
              <w14:schemeClr w14:val="tx1"/>
            </w14:solidFill>
          </w14:textFill>
        </w:rPr>
      </w:pPr>
    </w:p>
    <w:p w14:paraId="40816597">
      <w:pPr>
        <w:pStyle w:val="22"/>
        <w:rPr>
          <w:rFonts w:hint="eastAsia" w:ascii="宋体" w:eastAsia="宋体"/>
          <w:color w:val="000000" w:themeColor="text1"/>
          <w:sz w:val="24"/>
          <w:szCs w:val="24"/>
          <w:highlight w:val="none"/>
          <w:lang w:eastAsia="zh-CN"/>
          <w14:textFill>
            <w14:solidFill>
              <w14:schemeClr w14:val="tx1"/>
            </w14:solidFill>
          </w14:textFill>
        </w:rPr>
      </w:pPr>
    </w:p>
    <w:p w14:paraId="4ED3B6B3">
      <w:pPr>
        <w:pStyle w:val="22"/>
        <w:rPr>
          <w:rFonts w:hint="eastAsia" w:ascii="宋体" w:eastAsia="宋体"/>
          <w:color w:val="000000" w:themeColor="text1"/>
          <w:sz w:val="24"/>
          <w:szCs w:val="24"/>
          <w:highlight w:val="none"/>
          <w:lang w:eastAsia="zh-CN"/>
          <w14:textFill>
            <w14:solidFill>
              <w14:schemeClr w14:val="tx1"/>
            </w14:solidFill>
          </w14:textFill>
        </w:rPr>
      </w:pPr>
    </w:p>
    <w:p w14:paraId="1D4C0E0E">
      <w:pPr>
        <w:pStyle w:val="22"/>
        <w:rPr>
          <w:rFonts w:hint="eastAsia" w:ascii="宋体" w:eastAsia="宋体"/>
          <w:color w:val="000000" w:themeColor="text1"/>
          <w:sz w:val="24"/>
          <w:szCs w:val="24"/>
          <w:highlight w:val="none"/>
          <w:lang w:eastAsia="zh-CN"/>
          <w14:textFill>
            <w14:solidFill>
              <w14:schemeClr w14:val="tx1"/>
            </w14:solidFill>
          </w14:textFill>
        </w:rPr>
      </w:pPr>
    </w:p>
    <w:p w14:paraId="6B1883BC">
      <w:pPr>
        <w:pStyle w:val="22"/>
        <w:rPr>
          <w:rFonts w:hint="eastAsia" w:ascii="宋体" w:eastAsia="宋体"/>
          <w:color w:val="000000" w:themeColor="text1"/>
          <w:sz w:val="24"/>
          <w:szCs w:val="24"/>
          <w:highlight w:val="none"/>
          <w:lang w:eastAsia="zh-CN"/>
          <w14:textFill>
            <w14:solidFill>
              <w14:schemeClr w14:val="tx1"/>
            </w14:solidFill>
          </w14:textFill>
        </w:rPr>
      </w:pPr>
    </w:p>
    <w:p w14:paraId="1137248C">
      <w:pPr>
        <w:pStyle w:val="22"/>
        <w:rPr>
          <w:rFonts w:hint="eastAsia" w:ascii="宋体" w:eastAsia="宋体"/>
          <w:color w:val="000000" w:themeColor="text1"/>
          <w:sz w:val="24"/>
          <w:szCs w:val="24"/>
          <w:highlight w:val="none"/>
          <w:lang w:eastAsia="zh-CN"/>
          <w14:textFill>
            <w14:solidFill>
              <w14:schemeClr w14:val="tx1"/>
            </w14:solidFill>
          </w14:textFill>
        </w:rPr>
      </w:pPr>
    </w:p>
    <w:p w14:paraId="2636F30D">
      <w:pPr>
        <w:spacing w:line="600" w:lineRule="auto"/>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756961AD">
      <w:pPr>
        <w:spacing w:line="60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30544402">
      <w:pPr>
        <w:spacing w:line="600" w:lineRule="auto"/>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1739D852">
      <w:pPr>
        <w:pStyle w:val="33"/>
        <w:rPr>
          <w:rFonts w:hint="eastAsia" w:ascii="宋体" w:hAnsi="宋体"/>
          <w:color w:val="000000" w:themeColor="text1"/>
          <w:sz w:val="24"/>
          <w:szCs w:val="24"/>
          <w:highlight w:val="none"/>
          <w14:textFill>
            <w14:solidFill>
              <w14:schemeClr w14:val="tx1"/>
            </w14:solidFill>
          </w14:textFill>
        </w:rPr>
      </w:pPr>
    </w:p>
    <w:p w14:paraId="3400A345">
      <w:pPr>
        <w:rPr>
          <w:rFonts w:hint="eastAsia" w:ascii="宋体" w:hAnsi="宋体"/>
          <w:color w:val="000000" w:themeColor="text1"/>
          <w:sz w:val="24"/>
          <w:szCs w:val="24"/>
          <w:highlight w:val="none"/>
          <w14:textFill>
            <w14:solidFill>
              <w14:schemeClr w14:val="tx1"/>
            </w14:solidFill>
          </w14:textFill>
        </w:rPr>
      </w:pPr>
    </w:p>
    <w:p w14:paraId="3E2CADE4">
      <w:pPr>
        <w:pStyle w:val="33"/>
        <w:ind w:left="0" w:leftChars="0" w:firstLine="0" w:firstLineChars="0"/>
        <w:rPr>
          <w:rFonts w:hint="eastAsia" w:ascii="宋体" w:hAnsi="宋体"/>
          <w:color w:val="000000" w:themeColor="text1"/>
          <w:sz w:val="24"/>
          <w:szCs w:val="24"/>
          <w:highlight w:val="none"/>
          <w14:textFill>
            <w14:solidFill>
              <w14:schemeClr w14:val="tx1"/>
            </w14:solidFill>
          </w14:textFill>
        </w:rPr>
      </w:pPr>
    </w:p>
    <w:p w14:paraId="69C13EA6">
      <w:pPr>
        <w:rPr>
          <w:rFonts w:hint="eastAsia" w:ascii="宋体" w:hAnsi="宋体"/>
          <w:color w:val="000000" w:themeColor="text1"/>
          <w:sz w:val="24"/>
          <w:szCs w:val="24"/>
          <w:highlight w:val="none"/>
          <w14:textFill>
            <w14:solidFill>
              <w14:schemeClr w14:val="tx1"/>
            </w14:solidFill>
          </w14:textFill>
        </w:rPr>
      </w:pPr>
    </w:p>
    <w:p w14:paraId="65CED06F">
      <w:pPr>
        <w:pStyle w:val="41"/>
        <w:rPr>
          <w:rFonts w:hint="eastAsia" w:ascii="宋体" w:hAnsi="宋体"/>
          <w:color w:val="000000" w:themeColor="text1"/>
          <w:sz w:val="24"/>
          <w:szCs w:val="24"/>
          <w:highlight w:val="none"/>
          <w14:textFill>
            <w14:solidFill>
              <w14:schemeClr w14:val="tx1"/>
            </w14:solidFill>
          </w14:textFill>
        </w:rPr>
      </w:pPr>
    </w:p>
    <w:p w14:paraId="18B1127E">
      <w:pPr>
        <w:pStyle w:val="41"/>
        <w:rPr>
          <w:rFonts w:hint="eastAsia" w:ascii="宋体" w:hAnsi="宋体"/>
          <w:color w:val="000000" w:themeColor="text1"/>
          <w:sz w:val="24"/>
          <w:szCs w:val="24"/>
          <w:highlight w:val="none"/>
          <w14:textFill>
            <w14:solidFill>
              <w14:schemeClr w14:val="tx1"/>
            </w14:solidFill>
          </w14:textFill>
        </w:rPr>
      </w:pPr>
    </w:p>
    <w:p w14:paraId="676EDE98">
      <w:pPr>
        <w:pStyle w:val="41"/>
        <w:rPr>
          <w:rFonts w:hint="eastAsia" w:ascii="宋体" w:hAnsi="宋体"/>
          <w:color w:val="000000" w:themeColor="text1"/>
          <w:sz w:val="24"/>
          <w:szCs w:val="24"/>
          <w:highlight w:val="none"/>
          <w14:textFill>
            <w14:solidFill>
              <w14:schemeClr w14:val="tx1"/>
            </w14:solidFill>
          </w14:textFill>
        </w:rPr>
      </w:pPr>
    </w:p>
    <w:p w14:paraId="224CC0A7">
      <w:pPr>
        <w:pStyle w:val="41"/>
        <w:rPr>
          <w:rFonts w:hint="eastAsia" w:ascii="宋体" w:hAnsi="宋体"/>
          <w:color w:val="000000" w:themeColor="text1"/>
          <w:sz w:val="24"/>
          <w:szCs w:val="24"/>
          <w:highlight w:val="none"/>
          <w14:textFill>
            <w14:solidFill>
              <w14:schemeClr w14:val="tx1"/>
            </w14:solidFill>
          </w14:textFill>
        </w:rPr>
      </w:pPr>
    </w:p>
    <w:p w14:paraId="373769E1">
      <w:pPr>
        <w:pStyle w:val="41"/>
        <w:rPr>
          <w:rFonts w:hint="eastAsia" w:ascii="宋体" w:hAnsi="宋体"/>
          <w:color w:val="000000" w:themeColor="text1"/>
          <w:sz w:val="24"/>
          <w:szCs w:val="24"/>
          <w:highlight w:val="none"/>
          <w14:textFill>
            <w14:solidFill>
              <w14:schemeClr w14:val="tx1"/>
            </w14:solidFill>
          </w14:textFill>
        </w:rPr>
      </w:pPr>
    </w:p>
    <w:p w14:paraId="30741917">
      <w:pPr>
        <w:rPr>
          <w:rFonts w:hint="eastAsia" w:ascii="宋体" w:eastAsia="宋体"/>
          <w:sz w:val="22"/>
          <w:szCs w:val="22"/>
          <w:highlight w:val="none"/>
        </w:rPr>
      </w:pPr>
      <w:r>
        <w:rPr>
          <w:rFonts w:hint="eastAsia" w:ascii="宋体" w:eastAsia="宋体"/>
          <w:sz w:val="22"/>
          <w:szCs w:val="22"/>
          <w:highlight w:val="none"/>
        </w:rPr>
        <w:br w:type="page"/>
      </w:r>
    </w:p>
    <w:p w14:paraId="11E5CE6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cs="Times New Roman"/>
          <w:color w:val="auto"/>
          <w:sz w:val="32"/>
          <w:szCs w:val="32"/>
          <w:highlight w:val="none"/>
        </w:rPr>
      </w:pPr>
      <w:r>
        <w:rPr>
          <w:rFonts w:hint="eastAsia" w:ascii="宋体" w:hAnsi="宋体" w:cs="Times New Roman"/>
          <w:color w:val="auto"/>
          <w:sz w:val="28"/>
          <w:szCs w:val="28"/>
          <w:highlight w:val="none"/>
        </w:rPr>
        <w:t>（</w:t>
      </w:r>
      <w:r>
        <w:rPr>
          <w:rFonts w:hint="eastAsia" w:ascii="宋体" w:hAnsi="宋体" w:cs="Times New Roman"/>
          <w:color w:val="auto"/>
          <w:sz w:val="28"/>
          <w:szCs w:val="28"/>
          <w:highlight w:val="none"/>
          <w:lang w:val="en-US" w:eastAsia="zh-CN"/>
        </w:rPr>
        <w:t>7</w:t>
      </w:r>
      <w:r>
        <w:rPr>
          <w:rFonts w:hint="eastAsia" w:ascii="宋体" w:hAnsi="宋体" w:cs="Times New Roman"/>
          <w:color w:val="auto"/>
          <w:sz w:val="28"/>
          <w:szCs w:val="28"/>
          <w:highlight w:val="none"/>
        </w:rPr>
        <w:t>）</w:t>
      </w:r>
      <w:r>
        <w:rPr>
          <w:rFonts w:hint="eastAsia" w:ascii="宋体" w:hAnsi="宋体" w:cs="Times New Roman"/>
          <w:color w:val="auto"/>
          <w:sz w:val="28"/>
          <w:szCs w:val="28"/>
          <w:highlight w:val="none"/>
          <w:lang w:val="en-US" w:eastAsia="zh-CN"/>
        </w:rPr>
        <w:t>无假冒伪劣产品及经营违法</w:t>
      </w:r>
      <w:r>
        <w:rPr>
          <w:rFonts w:hint="eastAsia" w:ascii="宋体" w:hAnsi="宋体" w:cs="Times New Roman"/>
          <w:color w:val="auto"/>
          <w:sz w:val="28"/>
          <w:szCs w:val="28"/>
          <w:highlight w:val="none"/>
        </w:rPr>
        <w:t>的承诺书</w:t>
      </w:r>
    </w:p>
    <w:p w14:paraId="764A7A9D">
      <w:pPr>
        <w:keepNext w:val="0"/>
        <w:keepLines w:val="0"/>
        <w:pageBreakBefore w:val="0"/>
        <w:widowControl/>
        <w:kinsoku/>
        <w:wordWrap/>
        <w:overflowPunct/>
        <w:topLinePunct w:val="0"/>
        <w:autoSpaceDE/>
        <w:autoSpaceDN/>
        <w:bidi w:val="0"/>
        <w:adjustRightInd/>
        <w:snapToGrid/>
        <w:spacing w:line="360" w:lineRule="auto"/>
        <w:ind w:firstLine="964" w:firstLineChars="400"/>
        <w:jc w:val="center"/>
        <w:textAlignment w:val="auto"/>
        <w:rPr>
          <w:rFonts w:hint="eastAsia" w:ascii="宋体" w:hAnsi="宋体" w:cs="宋体"/>
          <w:b/>
          <w:bCs/>
          <w:color w:val="auto"/>
          <w:sz w:val="24"/>
          <w:highlight w:val="none"/>
        </w:rPr>
      </w:pPr>
    </w:p>
    <w:p w14:paraId="54E3A2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p>
    <w:p w14:paraId="30D882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征集人</w:t>
      </w:r>
      <w:r>
        <w:rPr>
          <w:rFonts w:hint="eastAsia" w:ascii="宋体" w:hAnsi="宋体"/>
          <w:color w:val="auto"/>
          <w:sz w:val="24"/>
          <w:szCs w:val="24"/>
          <w:highlight w:val="none"/>
        </w:rPr>
        <w:t>）</w:t>
      </w:r>
    </w:p>
    <w:p w14:paraId="6FA8B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rPr>
      </w:pPr>
    </w:p>
    <w:p w14:paraId="568A0B63">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color w:val="auto"/>
          <w:sz w:val="24"/>
          <w:szCs w:val="24"/>
          <w:highlight w:val="none"/>
        </w:rPr>
      </w:pPr>
      <w:r>
        <w:rPr>
          <w:rFonts w:hint="eastAsia" w:ascii="宋体" w:hAnsi="宋体"/>
          <w:color w:val="auto"/>
          <w:sz w:val="24"/>
          <w:szCs w:val="24"/>
          <w:highlight w:val="none"/>
        </w:rPr>
        <w:t>我单位</w:t>
      </w:r>
      <w:r>
        <w:rPr>
          <w:rFonts w:hint="eastAsia" w:ascii="宋体" w:hAnsi="宋体" w:eastAsia="宋体" w:cs="宋体"/>
          <w:b w:val="0"/>
          <w:bCs w:val="0"/>
          <w:color w:val="auto"/>
          <w:spacing w:val="0"/>
          <w:w w:val="100"/>
          <w:position w:val="0"/>
          <w:sz w:val="24"/>
          <w:szCs w:val="24"/>
          <w:highlight w:val="none"/>
          <w:lang w:val="en-US" w:eastAsia="en-US"/>
        </w:rPr>
        <w:t>在经营活动中依法经营，管理规范、诚实守信、未出现经营假冒伪劣产品行为，无食品卫生及食品安全不良记录，无拖欠货款行为，未发生过违法违规行为和严重食品安全事故</w:t>
      </w:r>
      <w:r>
        <w:rPr>
          <w:rFonts w:hint="eastAsia" w:ascii="宋体" w:hAnsi="宋体"/>
          <w:color w:val="auto"/>
          <w:sz w:val="24"/>
          <w:szCs w:val="24"/>
          <w:highlight w:val="none"/>
        </w:rPr>
        <w:t>。</w:t>
      </w:r>
    </w:p>
    <w:p w14:paraId="24E45BC0">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1FF503C1">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211F7069">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597327D7">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4CF62B35">
      <w:pPr>
        <w:keepNext w:val="0"/>
        <w:keepLines w:val="0"/>
        <w:pageBreakBefore w:val="0"/>
        <w:widowControl w:val="0"/>
        <w:kinsoku/>
        <w:wordWrap/>
        <w:overflowPunct/>
        <w:topLinePunct w:val="0"/>
        <w:autoSpaceDE/>
        <w:autoSpaceDN/>
        <w:bidi w:val="0"/>
        <w:adjustRightInd/>
        <w:snapToGrid/>
        <w:spacing w:line="500" w:lineRule="exact"/>
        <w:ind w:firstLine="4228" w:firstLineChars="1762"/>
        <w:textAlignment w:val="auto"/>
        <w:rPr>
          <w:rFonts w:ascii="宋体"/>
          <w:color w:val="auto"/>
          <w:sz w:val="24"/>
          <w:szCs w:val="24"/>
          <w:highlight w:val="none"/>
        </w:rPr>
      </w:pPr>
    </w:p>
    <w:p w14:paraId="23326DC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盖单位公章</w:t>
      </w:r>
      <w:r>
        <w:rPr>
          <w:rFonts w:hint="eastAsia" w:ascii="宋体" w:hAnsi="宋体"/>
          <w:color w:val="auto"/>
          <w:sz w:val="24"/>
          <w:szCs w:val="24"/>
          <w:highlight w:val="none"/>
        </w:rPr>
        <w:t>）</w:t>
      </w:r>
    </w:p>
    <w:p w14:paraId="43D7C50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olor w:val="auto"/>
          <w:sz w:val="24"/>
          <w:szCs w:val="24"/>
          <w:highlight w:val="none"/>
        </w:rPr>
      </w:pPr>
    </w:p>
    <w:p w14:paraId="14C1783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法定代表人</w:t>
      </w:r>
      <w:r>
        <w:rPr>
          <w:rFonts w:hint="eastAsia" w:ascii="宋体" w:hAnsi="宋体"/>
          <w:color w:val="auto"/>
          <w:sz w:val="24"/>
          <w:szCs w:val="24"/>
          <w:highlight w:val="none"/>
        </w:rPr>
        <w:t>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字）</w:t>
      </w:r>
    </w:p>
    <w:p w14:paraId="6EAC956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olor w:val="auto"/>
          <w:sz w:val="24"/>
          <w:szCs w:val="24"/>
          <w:highlight w:val="none"/>
        </w:rPr>
      </w:pPr>
    </w:p>
    <w:p w14:paraId="2AEF81A8">
      <w:pPr>
        <w:pStyle w:val="18"/>
        <w:numPr>
          <w:ilvl w:val="0"/>
          <w:numId w:val="0"/>
        </w:numPr>
        <w:spacing w:line="360" w:lineRule="auto"/>
        <w:jc w:val="right"/>
        <w:outlineLvl w:val="9"/>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14:paraId="2D1902F3">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279792B2">
      <w:pPr>
        <w:keepNext w:val="0"/>
        <w:keepLines w:val="0"/>
        <w:pageBreakBefore w:val="0"/>
        <w:widowControl w:val="0"/>
        <w:kinsoku/>
        <w:wordWrap/>
        <w:overflowPunct/>
        <w:topLinePunct w:val="0"/>
        <w:autoSpaceDE w:val="0"/>
        <w:autoSpaceDN w:val="0"/>
        <w:bidi w:val="0"/>
        <w:adjustRightInd/>
        <w:snapToGrid/>
        <w:spacing w:line="600" w:lineRule="auto"/>
        <w:jc w:val="center"/>
        <w:textAlignment w:val="auto"/>
        <w:outlineLvl w:val="3"/>
        <w:rPr>
          <w:rFonts w:hint="eastAsia" w:ascii="宋体" w:hAnsi="宋体" w:eastAsia="宋体" w:cs="宋体"/>
          <w:sz w:val="28"/>
          <w:szCs w:val="24"/>
          <w:highlight w:val="none"/>
          <w:lang w:eastAsia="zh-CN"/>
        </w:rPr>
      </w:pPr>
      <w:r>
        <w:rPr>
          <w:rFonts w:hint="eastAsia" w:ascii="宋体" w:hAnsi="宋体" w:eastAsia="宋体" w:cs="宋体"/>
          <w:sz w:val="28"/>
          <w:szCs w:val="24"/>
          <w:highlight w:val="none"/>
          <w:lang w:eastAsia="zh-CN"/>
        </w:rPr>
        <w:t>（</w:t>
      </w:r>
      <w:r>
        <w:rPr>
          <w:rFonts w:hint="eastAsia" w:ascii="宋体" w:hAnsi="宋体" w:cs="宋体"/>
          <w:sz w:val="28"/>
          <w:szCs w:val="24"/>
          <w:highlight w:val="none"/>
          <w:lang w:val="en-US" w:eastAsia="zh-CN"/>
        </w:rPr>
        <w:t>8</w:t>
      </w:r>
      <w:r>
        <w:rPr>
          <w:rFonts w:hint="eastAsia" w:ascii="宋体" w:hAnsi="宋体" w:eastAsia="宋体" w:cs="宋体"/>
          <w:sz w:val="28"/>
          <w:szCs w:val="24"/>
          <w:highlight w:val="none"/>
          <w:lang w:eastAsia="zh-CN"/>
        </w:rPr>
        <w:t>）</w:t>
      </w:r>
      <w:r>
        <w:rPr>
          <w:rFonts w:hint="eastAsia" w:ascii="宋体" w:hAnsi="宋体" w:eastAsia="宋体" w:cs="宋体"/>
          <w:sz w:val="28"/>
          <w:szCs w:val="24"/>
          <w:highlight w:val="none"/>
        </w:rPr>
        <w:t>中小企业声明函</w:t>
      </w:r>
    </w:p>
    <w:p w14:paraId="44A2518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采购活动，为符合政策要求的中小企业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具体情况如下：</w:t>
      </w:r>
    </w:p>
    <w:p w14:paraId="01A1E326">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w:t>
      </w:r>
    </w:p>
    <w:p w14:paraId="3ACAB5A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w w:val="95"/>
          <w:position w:val="16"/>
          <w:sz w:val="16"/>
          <w:highlight w:val="none"/>
        </w:rPr>
        <w:t>1</w:t>
      </w:r>
      <w:r>
        <w:rPr>
          <w:w w:val="95"/>
          <w:position w:val="16"/>
          <w:sz w:val="16"/>
          <w:highlight w:val="none"/>
        </w:rPr>
        <w:fldChar w:fldCharType="end"/>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064046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不属于大企业的分支机构，不存在控股股东为大企业的情形，也不存在与大企业的负责人为同一人的情形。</w:t>
      </w:r>
    </w:p>
    <w:p w14:paraId="3FD3EEB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2E3FA85">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p>
    <w:p w14:paraId="70EB946A">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p>
    <w:p w14:paraId="295A85E4">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14:paraId="685AF706">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14:paraId="72FCF97D">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4"/>
          <w:szCs w:val="24"/>
          <w:highlight w:val="none"/>
        </w:rPr>
      </w:pPr>
    </w:p>
    <w:p w14:paraId="031DB13B">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4"/>
          <w:szCs w:val="24"/>
          <w:highlight w:val="none"/>
          <w:vertAlign w:val="superscript"/>
          <w:lang w:val="en-US" w:eastAsia="zh-CN"/>
        </w:rPr>
      </w:pPr>
    </w:p>
    <w:p w14:paraId="5C8A2917">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2"/>
          <w:szCs w:val="22"/>
          <w:highlight w:val="none"/>
          <w:vertAlign w:val="baseline"/>
          <w:lang w:val="en-US" w:eastAsia="zh-CN"/>
        </w:rPr>
      </w:pPr>
      <w:r>
        <w:rPr>
          <w:rFonts w:hint="eastAsia" w:ascii="宋体" w:eastAsia="宋体"/>
          <w:sz w:val="22"/>
          <w:szCs w:val="22"/>
          <w:highlight w:val="none"/>
          <w:vertAlign w:val="baseline"/>
          <w:lang w:val="en-US" w:eastAsia="zh-CN"/>
        </w:rPr>
        <w:t>注：</w:t>
      </w:r>
      <w:r>
        <w:rPr>
          <w:rFonts w:hint="eastAsia"/>
          <w:sz w:val="21"/>
          <w:szCs w:val="21"/>
          <w:highlight w:val="none"/>
        </w:rPr>
        <w:t>属于中小微企业的供应商填写此</w:t>
      </w:r>
      <w:r>
        <w:rPr>
          <w:rFonts w:hint="eastAsia"/>
          <w:sz w:val="21"/>
          <w:szCs w:val="21"/>
          <w:highlight w:val="none"/>
          <w:lang w:eastAsia="zh-CN"/>
        </w:rPr>
        <w:t>内容。</w:t>
      </w:r>
    </w:p>
    <w:p w14:paraId="4A611B6A">
      <w:pPr>
        <w:pStyle w:val="18"/>
        <w:numPr>
          <w:ilvl w:val="0"/>
          <w:numId w:val="0"/>
        </w:numPr>
        <w:spacing w:line="360" w:lineRule="auto"/>
        <w:jc w:val="left"/>
        <w:outlineLvl w:val="9"/>
        <w:rPr>
          <w:rFonts w:hint="eastAsia" w:ascii="宋体" w:eastAsia="宋体"/>
          <w:sz w:val="22"/>
          <w:szCs w:val="22"/>
          <w:highlight w:val="none"/>
        </w:rPr>
      </w:pPr>
      <w:r>
        <w:rPr>
          <w:rFonts w:hint="eastAsia" w:ascii="宋体" w:eastAsia="宋体"/>
          <w:sz w:val="22"/>
          <w:szCs w:val="22"/>
          <w:highlight w:val="none"/>
          <w:vertAlign w:val="superscript"/>
          <w:lang w:val="en-US" w:eastAsia="zh-CN"/>
        </w:rPr>
        <w:t>1</w:t>
      </w:r>
      <w:r>
        <w:rPr>
          <w:rFonts w:hint="eastAsia" w:ascii="宋体" w:eastAsia="宋体"/>
          <w:sz w:val="22"/>
          <w:szCs w:val="22"/>
          <w:highlight w:val="none"/>
        </w:rPr>
        <w:t>从业人员、营业收入、资产总额填报上一年度数据，无上一年度数据的新成立企业可不填报。</w:t>
      </w:r>
    </w:p>
    <w:p w14:paraId="12F64EC6">
      <w:pPr>
        <w:rPr>
          <w:rFonts w:hint="eastAsia" w:ascii="宋体" w:eastAsia="宋体"/>
          <w:sz w:val="22"/>
          <w:szCs w:val="22"/>
          <w:highlight w:val="none"/>
        </w:rPr>
      </w:pPr>
      <w:r>
        <w:rPr>
          <w:rFonts w:hint="eastAsia" w:ascii="宋体" w:eastAsia="宋体"/>
          <w:sz w:val="22"/>
          <w:szCs w:val="22"/>
          <w:highlight w:val="none"/>
        </w:rPr>
        <w:br w:type="page"/>
      </w:r>
    </w:p>
    <w:p w14:paraId="282A4D37">
      <w:pPr>
        <w:pStyle w:val="18"/>
        <w:numPr>
          <w:ilvl w:val="0"/>
          <w:numId w:val="0"/>
        </w:numPr>
        <w:spacing w:line="360" w:lineRule="auto"/>
        <w:jc w:val="center"/>
        <w:outlineLvl w:val="2"/>
        <w:rPr>
          <w:rFonts w:hint="eastAsia"/>
          <w:b/>
          <w:bCs/>
          <w:color w:val="000000" w:themeColor="text1"/>
          <w:sz w:val="32"/>
          <w:szCs w:val="32"/>
          <w:highlight w:val="none"/>
          <w14:textFill>
            <w14:solidFill>
              <w14:schemeClr w14:val="tx1"/>
            </w14:solidFill>
          </w14:textFill>
        </w:rPr>
      </w:pPr>
      <w:r>
        <w:rPr>
          <w:rFonts w:hint="eastAsia" w:ascii="宋体" w:hAnsi="Courier New" w:eastAsia="宋体" w:cs="宋体"/>
          <w:b/>
          <w:bCs/>
          <w:color w:val="000000" w:themeColor="text1"/>
          <w:kern w:val="2"/>
          <w:sz w:val="32"/>
          <w:szCs w:val="32"/>
          <w:highlight w:val="none"/>
          <w:lang w:val="en-US" w:eastAsia="zh-CN" w:bidi="ar-SA"/>
          <w14:textFill>
            <w14:solidFill>
              <w14:schemeClr w14:val="tx1"/>
            </w14:solidFill>
          </w14:textFill>
        </w:rPr>
        <w:t>（五）</w:t>
      </w:r>
      <w:r>
        <w:rPr>
          <w:rFonts w:hint="eastAsia"/>
          <w:b/>
          <w:bCs/>
          <w:color w:val="000000" w:themeColor="text1"/>
          <w:sz w:val="32"/>
          <w:szCs w:val="32"/>
          <w:highlight w:val="none"/>
          <w14:textFill>
            <w14:solidFill>
              <w14:schemeClr w14:val="tx1"/>
            </w14:solidFill>
          </w14:textFill>
        </w:rPr>
        <w:t>网络截图</w:t>
      </w:r>
    </w:p>
    <w:p w14:paraId="237E8E38">
      <w:pPr>
        <w:numPr>
          <w:ilvl w:val="0"/>
          <w:numId w:val="0"/>
        </w:numPr>
        <w:rPr>
          <w:highlight w:val="none"/>
        </w:rPr>
      </w:pPr>
    </w:p>
    <w:p w14:paraId="73EDFDFE">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（1）未被列入“信用中国”网站(www.creditchina.gov.cn)、“中国政府采购网”(www.ccgp.gov.cn)等渠道信用记录失信被执行人、</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cs="宋体"/>
          <w:color w:val="000000" w:themeColor="text1"/>
          <w:sz w:val="24"/>
          <w:szCs w:val="24"/>
          <w:highlight w:val="none"/>
          <w14:textFill>
            <w14:solidFill>
              <w14:schemeClr w14:val="tx1"/>
            </w14:solidFill>
          </w14:textFill>
        </w:rPr>
        <w:t>、政府采购严重违法失信行为记录</w:t>
      </w:r>
      <w:r>
        <w:rPr>
          <w:rFonts w:hint="eastAsia" w:ascii="宋体" w:hAnsi="宋体" w:cs="宋体"/>
          <w:color w:val="000000" w:themeColor="text1"/>
          <w:sz w:val="24"/>
          <w:szCs w:val="24"/>
          <w:highlight w:val="none"/>
          <w:lang w:eastAsia="zh-CN"/>
          <w14:textFill>
            <w14:solidFill>
              <w14:schemeClr w14:val="tx1"/>
            </w14:solidFill>
          </w14:textFill>
        </w:rPr>
        <w:t>。</w:t>
      </w:r>
    </w:p>
    <w:p w14:paraId="7AD1BB0A">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7E58AA18">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s="宋体"/>
          <w:color w:val="000000" w:themeColor="text1"/>
          <w:sz w:val="24"/>
          <w:szCs w:val="24"/>
          <w:highlight w:val="none"/>
          <w14:textFill>
            <w14:solidFill>
              <w14:schemeClr w14:val="tx1"/>
            </w14:solidFill>
          </w14:textFill>
        </w:rPr>
        <w:t>注：提供相关查询记录网络截图</w:t>
      </w:r>
      <w:r>
        <w:rPr>
          <w:rFonts w:hint="eastAsia" w:ascii="宋体" w:hAnsi="宋体" w:cs="宋体"/>
          <w:color w:val="000000" w:themeColor="text1"/>
          <w:sz w:val="24"/>
          <w:szCs w:val="24"/>
          <w:highlight w:val="none"/>
          <w:lang w:eastAsia="zh-CN"/>
          <w14:textFill>
            <w14:solidFill>
              <w14:schemeClr w14:val="tx1"/>
            </w14:solidFill>
          </w14:textFill>
        </w:rPr>
        <w:t>加盖公章</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25EDB736">
      <w:pPr>
        <w:spacing w:line="5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（2）未被</w:t>
      </w:r>
      <w:r>
        <w:rPr>
          <w:rFonts w:hint="eastAsia" w:ascii="宋体" w:hAnsi="宋体" w:cs="宋体"/>
          <w:color w:val="000000" w:themeColor="text1"/>
          <w:sz w:val="24"/>
          <w:szCs w:val="24"/>
          <w:highlight w:val="none"/>
          <w:lang w:eastAsia="zh-CN"/>
          <w14:textFill>
            <w14:solidFill>
              <w14:schemeClr w14:val="tx1"/>
            </w14:solidFill>
          </w14:textFill>
        </w:rPr>
        <w:t>市场监督管理机关在国家企业信用信息公示系统</w:t>
      </w:r>
      <w:r>
        <w:rPr>
          <w:rFonts w:hint="eastAsia" w:ascii="宋体" w:hAnsi="宋体" w:cs="宋体"/>
          <w:color w:val="000000" w:themeColor="text1"/>
          <w:sz w:val="24"/>
          <w:szCs w:val="24"/>
          <w:highlight w:val="none"/>
          <w14:textFill>
            <w14:solidFill>
              <w14:schemeClr w14:val="tx1"/>
            </w14:solidFill>
          </w14:textFill>
        </w:rPr>
        <w:t>（http</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//www.gsxt.gov.cn/）中列入严重违法失信企业名单</w:t>
      </w:r>
      <w:r>
        <w:rPr>
          <w:rFonts w:hint="eastAsia" w:ascii="宋体" w:hAnsi="宋体" w:cs="宋体"/>
          <w:color w:val="000000" w:themeColor="text1"/>
          <w:sz w:val="24"/>
          <w:szCs w:val="24"/>
          <w:highlight w:val="none"/>
          <w:lang w:eastAsia="zh-CN"/>
          <w14:textFill>
            <w14:solidFill>
              <w14:schemeClr w14:val="tx1"/>
            </w14:solidFill>
          </w14:textFill>
        </w:rPr>
        <w:t>。</w:t>
      </w:r>
    </w:p>
    <w:p w14:paraId="364DBE97">
      <w:pPr>
        <w:pStyle w:val="80"/>
        <w:spacing w:after="0" w:line="500" w:lineRule="atLeast"/>
        <w:jc w:val="center"/>
        <w:rPr>
          <w:rFonts w:hint="eastAsia" w:eastAsia="宋体"/>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注：提供相关查询记录网络截图</w:t>
      </w:r>
      <w:r>
        <w:rPr>
          <w:rFonts w:hint="eastAsia"/>
          <w:b w:val="0"/>
          <w:bCs w:val="0"/>
          <w:color w:val="000000" w:themeColor="text1"/>
          <w:sz w:val="24"/>
          <w:szCs w:val="24"/>
          <w:highlight w:val="none"/>
          <w:lang w:eastAsia="zh-CN"/>
          <w14:textFill>
            <w14:solidFill>
              <w14:schemeClr w14:val="tx1"/>
            </w14:solidFill>
          </w14:textFill>
        </w:rPr>
        <w:t>加盖公章。</w:t>
      </w:r>
    </w:p>
    <w:p w14:paraId="1EF50B48">
      <w:pPr>
        <w:pStyle w:val="80"/>
        <w:spacing w:after="0" w:line="500" w:lineRule="atLeast"/>
        <w:rPr>
          <w:b w:val="0"/>
          <w:bCs w:val="0"/>
          <w:color w:val="000000" w:themeColor="text1"/>
          <w:sz w:val="24"/>
          <w:szCs w:val="24"/>
          <w:highlight w:val="none"/>
          <w14:textFill>
            <w14:solidFill>
              <w14:schemeClr w14:val="tx1"/>
            </w14:solidFill>
          </w14:textFill>
        </w:rPr>
      </w:pPr>
    </w:p>
    <w:p w14:paraId="78DEA7F1">
      <w:pPr>
        <w:pStyle w:val="80"/>
        <w:spacing w:after="0" w:line="500" w:lineRule="atLeast"/>
        <w:rPr>
          <w:b w:val="0"/>
          <w:bCs w:val="0"/>
          <w:color w:val="000000" w:themeColor="text1"/>
          <w:sz w:val="24"/>
          <w:szCs w:val="24"/>
          <w:highlight w:val="none"/>
          <w14:textFill>
            <w14:solidFill>
              <w14:schemeClr w14:val="tx1"/>
            </w14:solidFill>
          </w14:textFill>
        </w:rPr>
      </w:pPr>
    </w:p>
    <w:p w14:paraId="396EA8AA">
      <w:pPr>
        <w:pStyle w:val="80"/>
        <w:spacing w:after="0" w:line="500" w:lineRule="atLeast"/>
        <w:rPr>
          <w:b w:val="0"/>
          <w:bCs w:val="0"/>
          <w:color w:val="000000" w:themeColor="text1"/>
          <w:sz w:val="24"/>
          <w:szCs w:val="24"/>
          <w:highlight w:val="none"/>
          <w14:textFill>
            <w14:solidFill>
              <w14:schemeClr w14:val="tx1"/>
            </w14:solidFill>
          </w14:textFill>
        </w:rPr>
      </w:pPr>
    </w:p>
    <w:p w14:paraId="7DD30C2A">
      <w:pPr>
        <w:pStyle w:val="80"/>
        <w:spacing w:after="0" w:line="500" w:lineRule="atLeast"/>
        <w:rPr>
          <w:b w:val="0"/>
          <w:bCs w:val="0"/>
          <w:color w:val="000000" w:themeColor="text1"/>
          <w:sz w:val="24"/>
          <w:szCs w:val="24"/>
          <w:highlight w:val="none"/>
          <w14:textFill>
            <w14:solidFill>
              <w14:schemeClr w14:val="tx1"/>
            </w14:solidFill>
          </w14:textFill>
        </w:rPr>
      </w:pPr>
    </w:p>
    <w:p w14:paraId="0CED2EF7">
      <w:pPr>
        <w:pStyle w:val="80"/>
        <w:spacing w:after="0" w:line="500" w:lineRule="atLeast"/>
        <w:rPr>
          <w:b w:val="0"/>
          <w:bCs w:val="0"/>
          <w:color w:val="000000" w:themeColor="text1"/>
          <w:sz w:val="24"/>
          <w:szCs w:val="24"/>
          <w:highlight w:val="none"/>
          <w14:textFill>
            <w14:solidFill>
              <w14:schemeClr w14:val="tx1"/>
            </w14:solidFill>
          </w14:textFill>
        </w:rPr>
      </w:pPr>
    </w:p>
    <w:p w14:paraId="213708B6">
      <w:pPr>
        <w:pStyle w:val="80"/>
        <w:spacing w:after="0" w:line="500" w:lineRule="atLeast"/>
        <w:rPr>
          <w:b w:val="0"/>
          <w:bCs w:val="0"/>
          <w:color w:val="000000" w:themeColor="text1"/>
          <w:sz w:val="24"/>
          <w:szCs w:val="24"/>
          <w:highlight w:val="none"/>
          <w14:textFill>
            <w14:solidFill>
              <w14:schemeClr w14:val="tx1"/>
            </w14:solidFill>
          </w14:textFill>
        </w:rPr>
      </w:pPr>
    </w:p>
    <w:p w14:paraId="50446F2E">
      <w:pPr>
        <w:pStyle w:val="80"/>
        <w:spacing w:after="0" w:line="500" w:lineRule="atLeast"/>
        <w:rPr>
          <w:b w:val="0"/>
          <w:bCs w:val="0"/>
          <w:color w:val="000000" w:themeColor="text1"/>
          <w:sz w:val="24"/>
          <w:szCs w:val="24"/>
          <w:highlight w:val="none"/>
          <w14:textFill>
            <w14:solidFill>
              <w14:schemeClr w14:val="tx1"/>
            </w14:solidFill>
          </w14:textFill>
        </w:rPr>
      </w:pPr>
    </w:p>
    <w:p w14:paraId="7F6A60A4">
      <w:pPr>
        <w:pStyle w:val="80"/>
        <w:spacing w:after="0" w:line="500" w:lineRule="atLeast"/>
        <w:rPr>
          <w:b w:val="0"/>
          <w:bCs w:val="0"/>
          <w:color w:val="000000" w:themeColor="text1"/>
          <w:sz w:val="24"/>
          <w:szCs w:val="24"/>
          <w:highlight w:val="none"/>
          <w14:textFill>
            <w14:solidFill>
              <w14:schemeClr w14:val="tx1"/>
            </w14:solidFill>
          </w14:textFill>
        </w:rPr>
      </w:pPr>
    </w:p>
    <w:p w14:paraId="2F44D3C8">
      <w:pPr>
        <w:pStyle w:val="80"/>
        <w:spacing w:after="0" w:line="500" w:lineRule="atLeast"/>
        <w:rPr>
          <w:b w:val="0"/>
          <w:bCs w:val="0"/>
          <w:color w:val="000000" w:themeColor="text1"/>
          <w:sz w:val="24"/>
          <w:szCs w:val="24"/>
          <w:highlight w:val="none"/>
          <w14:textFill>
            <w14:solidFill>
              <w14:schemeClr w14:val="tx1"/>
            </w14:solidFill>
          </w14:textFill>
        </w:rPr>
      </w:pPr>
    </w:p>
    <w:p w14:paraId="03E2F405">
      <w:pPr>
        <w:pStyle w:val="80"/>
        <w:spacing w:after="0" w:line="500" w:lineRule="atLeast"/>
        <w:rPr>
          <w:b w:val="0"/>
          <w:bCs w:val="0"/>
          <w:color w:val="000000" w:themeColor="text1"/>
          <w:sz w:val="24"/>
          <w:szCs w:val="24"/>
          <w:highlight w:val="none"/>
          <w14:textFill>
            <w14:solidFill>
              <w14:schemeClr w14:val="tx1"/>
            </w14:solidFill>
          </w14:textFill>
        </w:rPr>
      </w:pPr>
    </w:p>
    <w:p w14:paraId="46F7A4FA">
      <w:pPr>
        <w:pStyle w:val="80"/>
        <w:spacing w:after="0" w:line="500" w:lineRule="atLeast"/>
        <w:rPr>
          <w:b w:val="0"/>
          <w:bCs w:val="0"/>
          <w:color w:val="000000" w:themeColor="text1"/>
          <w:sz w:val="24"/>
          <w:szCs w:val="24"/>
          <w:highlight w:val="none"/>
          <w14:textFill>
            <w14:solidFill>
              <w14:schemeClr w14:val="tx1"/>
            </w14:solidFill>
          </w14:textFill>
        </w:rPr>
      </w:pPr>
    </w:p>
    <w:p w14:paraId="2F54FC7C">
      <w:pPr>
        <w:pStyle w:val="80"/>
        <w:spacing w:after="0" w:line="500" w:lineRule="atLeast"/>
        <w:rPr>
          <w:b w:val="0"/>
          <w:bCs w:val="0"/>
          <w:color w:val="000000" w:themeColor="text1"/>
          <w:sz w:val="24"/>
          <w:szCs w:val="24"/>
          <w:highlight w:val="none"/>
          <w14:textFill>
            <w14:solidFill>
              <w14:schemeClr w14:val="tx1"/>
            </w14:solidFill>
          </w14:textFill>
        </w:rPr>
      </w:pPr>
    </w:p>
    <w:p w14:paraId="570DEFB6">
      <w:pPr>
        <w:pStyle w:val="80"/>
        <w:spacing w:after="0" w:line="500" w:lineRule="atLeast"/>
        <w:rPr>
          <w:b w:val="0"/>
          <w:bCs w:val="0"/>
          <w:color w:val="000000" w:themeColor="text1"/>
          <w:sz w:val="24"/>
          <w:szCs w:val="24"/>
          <w:highlight w:val="none"/>
          <w14:textFill>
            <w14:solidFill>
              <w14:schemeClr w14:val="tx1"/>
            </w14:solidFill>
          </w14:textFill>
        </w:rPr>
      </w:pPr>
    </w:p>
    <w:p w14:paraId="78798559">
      <w:pPr>
        <w:pStyle w:val="80"/>
        <w:spacing w:after="0" w:line="500" w:lineRule="atLeast"/>
        <w:rPr>
          <w:b w:val="0"/>
          <w:bCs w:val="0"/>
          <w:color w:val="000000" w:themeColor="text1"/>
          <w:sz w:val="24"/>
          <w:szCs w:val="24"/>
          <w:highlight w:val="none"/>
          <w14:textFill>
            <w14:solidFill>
              <w14:schemeClr w14:val="tx1"/>
            </w14:solidFill>
          </w14:textFill>
        </w:rPr>
      </w:pPr>
    </w:p>
    <w:p w14:paraId="1C4304A7">
      <w:pPr>
        <w:pStyle w:val="80"/>
        <w:spacing w:after="0" w:line="500" w:lineRule="atLeast"/>
        <w:rPr>
          <w:b w:val="0"/>
          <w:bCs w:val="0"/>
          <w:color w:val="000000" w:themeColor="text1"/>
          <w:sz w:val="24"/>
          <w:szCs w:val="24"/>
          <w:highlight w:val="none"/>
          <w14:textFill>
            <w14:solidFill>
              <w14:schemeClr w14:val="tx1"/>
            </w14:solidFill>
          </w14:textFill>
        </w:rPr>
      </w:pPr>
    </w:p>
    <w:p w14:paraId="0957568E">
      <w:pPr>
        <w:pStyle w:val="80"/>
        <w:spacing w:after="0" w:line="500" w:lineRule="atLeast"/>
        <w:rPr>
          <w:b w:val="0"/>
          <w:bCs w:val="0"/>
          <w:color w:val="000000" w:themeColor="text1"/>
          <w:sz w:val="24"/>
          <w:szCs w:val="24"/>
          <w:highlight w:val="none"/>
          <w14:textFill>
            <w14:solidFill>
              <w14:schemeClr w14:val="tx1"/>
            </w14:solidFill>
          </w14:textFill>
        </w:rPr>
      </w:pPr>
    </w:p>
    <w:p w14:paraId="12D967F9">
      <w:pPr>
        <w:pStyle w:val="80"/>
        <w:spacing w:after="0" w:line="500" w:lineRule="atLeast"/>
        <w:rPr>
          <w:b w:val="0"/>
          <w:bCs w:val="0"/>
          <w:color w:val="000000" w:themeColor="text1"/>
          <w:sz w:val="24"/>
          <w:szCs w:val="24"/>
          <w:highlight w:val="none"/>
          <w14:textFill>
            <w14:solidFill>
              <w14:schemeClr w14:val="tx1"/>
            </w14:solidFill>
          </w14:textFill>
        </w:rPr>
      </w:pPr>
    </w:p>
    <w:p w14:paraId="1476836F">
      <w:pPr>
        <w:pStyle w:val="80"/>
        <w:spacing w:after="0" w:line="500" w:lineRule="atLeast"/>
        <w:rPr>
          <w:b w:val="0"/>
          <w:bCs w:val="0"/>
          <w:color w:val="000000" w:themeColor="text1"/>
          <w:sz w:val="24"/>
          <w:szCs w:val="24"/>
          <w:highlight w:val="none"/>
          <w14:textFill>
            <w14:solidFill>
              <w14:schemeClr w14:val="tx1"/>
            </w14:solidFill>
          </w14:textFill>
        </w:rPr>
      </w:pPr>
    </w:p>
    <w:p w14:paraId="2A0FBA7F">
      <w:pPr>
        <w:pStyle w:val="80"/>
        <w:spacing w:after="0" w:line="500" w:lineRule="atLeast"/>
        <w:rPr>
          <w:b w:val="0"/>
          <w:bCs w:val="0"/>
          <w:color w:val="000000" w:themeColor="text1"/>
          <w:sz w:val="24"/>
          <w:szCs w:val="24"/>
          <w:highlight w:val="none"/>
          <w14:textFill>
            <w14:solidFill>
              <w14:schemeClr w14:val="tx1"/>
            </w14:solidFill>
          </w14:textFill>
        </w:rPr>
      </w:pPr>
    </w:p>
    <w:p w14:paraId="6CAC0463">
      <w:pPr>
        <w:pStyle w:val="80"/>
        <w:spacing w:after="0" w:line="500" w:lineRule="atLeast"/>
        <w:rPr>
          <w:b w:val="0"/>
          <w:bCs w:val="0"/>
          <w:color w:val="000000" w:themeColor="text1"/>
          <w:sz w:val="24"/>
          <w:szCs w:val="24"/>
          <w:highlight w:val="none"/>
          <w14:textFill>
            <w14:solidFill>
              <w14:schemeClr w14:val="tx1"/>
            </w14:solidFill>
          </w14:textFill>
        </w:rPr>
      </w:pPr>
    </w:p>
    <w:p w14:paraId="3A79C70B">
      <w:pPr>
        <w:pStyle w:val="80"/>
        <w:spacing w:after="0" w:line="500" w:lineRule="atLeast"/>
        <w:rPr>
          <w:b w:val="0"/>
          <w:bCs w:val="0"/>
          <w:color w:val="000000" w:themeColor="text1"/>
          <w:sz w:val="24"/>
          <w:szCs w:val="24"/>
          <w:highlight w:val="none"/>
          <w14:textFill>
            <w14:solidFill>
              <w14:schemeClr w14:val="tx1"/>
            </w14:solidFill>
          </w14:textFill>
        </w:rPr>
      </w:pPr>
    </w:p>
    <w:p w14:paraId="18022547">
      <w:pPr>
        <w:pStyle w:val="80"/>
        <w:spacing w:after="0" w:line="500" w:lineRule="atLeast"/>
        <w:rPr>
          <w:b w:val="0"/>
          <w:bCs w:val="0"/>
          <w:color w:val="000000" w:themeColor="text1"/>
          <w:sz w:val="24"/>
          <w:szCs w:val="24"/>
          <w:highlight w:val="none"/>
          <w14:textFill>
            <w14:solidFill>
              <w14:schemeClr w14:val="tx1"/>
            </w14:solidFill>
          </w14:textFill>
        </w:rPr>
      </w:pPr>
    </w:p>
    <w:p w14:paraId="6824CD04">
      <w:pPr>
        <w:pStyle w:val="80"/>
        <w:spacing w:after="0" w:line="500" w:lineRule="atLeast"/>
        <w:rPr>
          <w:b w:val="0"/>
          <w:bCs w:val="0"/>
          <w:color w:val="000000" w:themeColor="text1"/>
          <w:sz w:val="24"/>
          <w:szCs w:val="24"/>
          <w:highlight w:val="none"/>
          <w14:textFill>
            <w14:solidFill>
              <w14:schemeClr w14:val="tx1"/>
            </w14:solidFill>
          </w14:textFill>
        </w:rPr>
      </w:pPr>
    </w:p>
    <w:p w14:paraId="7E227F49">
      <w:pPr>
        <w:pStyle w:val="80"/>
        <w:spacing w:after="0" w:line="500" w:lineRule="atLeast"/>
        <w:rPr>
          <w:b w:val="0"/>
          <w:bCs w:val="0"/>
          <w:color w:val="000000" w:themeColor="text1"/>
          <w:sz w:val="24"/>
          <w:szCs w:val="24"/>
          <w:highlight w:val="none"/>
          <w14:textFill>
            <w14:solidFill>
              <w14:schemeClr w14:val="tx1"/>
            </w14:solidFill>
          </w14:textFill>
        </w:rPr>
      </w:pPr>
    </w:p>
    <w:p w14:paraId="27C07307">
      <w:pPr>
        <w:pStyle w:val="80"/>
        <w:spacing w:after="0" w:line="500" w:lineRule="atLeast"/>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w:t>
      </w:r>
      <w:r>
        <w:rPr>
          <w:b w:val="0"/>
          <w:bCs w:val="0"/>
          <w:color w:val="000000" w:themeColor="text1"/>
          <w:sz w:val="24"/>
          <w:szCs w:val="24"/>
          <w:highlight w:val="none"/>
          <w14:textFill>
            <w14:solidFill>
              <w14:schemeClr w14:val="tx1"/>
            </w14:solidFill>
          </w14:textFill>
        </w:rPr>
        <w:t>供应商须对供应商、法定代表人、拟委任的</w:t>
      </w:r>
      <w:r>
        <w:rPr>
          <w:rFonts w:hint="eastAsia"/>
          <w:b w:val="0"/>
          <w:bCs w:val="0"/>
          <w:color w:val="000000" w:themeColor="text1"/>
          <w:sz w:val="24"/>
          <w:szCs w:val="24"/>
          <w:highlight w:val="none"/>
          <w:lang w:eastAsia="zh-CN"/>
          <w14:textFill>
            <w14:solidFill>
              <w14:schemeClr w14:val="tx1"/>
            </w14:solidFill>
          </w14:textFill>
        </w:rPr>
        <w:t>项目负责人</w:t>
      </w:r>
      <w:r>
        <w:rPr>
          <w:b w:val="0"/>
          <w:bCs w:val="0"/>
          <w:color w:val="000000" w:themeColor="text1"/>
          <w:sz w:val="24"/>
          <w:szCs w:val="24"/>
          <w:highlight w:val="none"/>
          <w14:textFill>
            <w14:solidFill>
              <w14:schemeClr w14:val="tx1"/>
            </w14:solidFill>
          </w14:textFill>
        </w:rPr>
        <w:t>进行行贿犯罪档案查询</w:t>
      </w:r>
      <w:r>
        <w:rPr>
          <w:rFonts w:hint="eastAsia"/>
          <w:b w:val="0"/>
          <w:bCs w:val="0"/>
          <w:color w:val="000000" w:themeColor="text1"/>
          <w:sz w:val="24"/>
          <w:szCs w:val="24"/>
          <w:highlight w:val="none"/>
          <w:lang w:eastAsia="zh-CN"/>
          <w14:textFill>
            <w14:solidFill>
              <w14:schemeClr w14:val="tx1"/>
            </w14:solidFill>
          </w14:textFill>
        </w:rPr>
        <w:t>，登录中国裁判文书网自行查询，查询时间范围：</w:t>
      </w: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r>
        <w:rPr>
          <w:rFonts w:hint="eastAsia"/>
          <w:b w:val="0"/>
          <w:bCs w:val="0"/>
          <w:color w:val="000000" w:themeColor="text1"/>
          <w:sz w:val="24"/>
          <w:szCs w:val="24"/>
          <w:highlight w:val="none"/>
          <w:lang w:eastAsia="zh-CN"/>
          <w14:textFill>
            <w14:solidFill>
              <w14:schemeClr w14:val="tx1"/>
            </w14:solidFill>
          </w14:textFill>
        </w:rPr>
        <w:t>。</w:t>
      </w:r>
    </w:p>
    <w:p w14:paraId="37D369DB">
      <w:pPr>
        <w:pStyle w:val="18"/>
        <w:spacing w:line="360" w:lineRule="auto"/>
        <w:rPr>
          <w:rFonts w:hAnsi="宋体"/>
          <w:color w:val="000000" w:themeColor="text1"/>
          <w:kern w:val="0"/>
          <w:sz w:val="24"/>
          <w:szCs w:val="24"/>
          <w:highlight w:val="none"/>
          <w14:textFill>
            <w14:solidFill>
              <w14:schemeClr w14:val="tx1"/>
            </w14:solidFill>
          </w14:textFill>
        </w:rPr>
      </w:pPr>
    </w:p>
    <w:p w14:paraId="5F20375E">
      <w:pPr>
        <w:pStyle w:val="18"/>
        <w:spacing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注：提供相关查询记录网络截图</w:t>
      </w:r>
      <w:r>
        <w:rPr>
          <w:rFonts w:hint="eastAsia"/>
          <w:color w:val="000000" w:themeColor="text1"/>
          <w:sz w:val="24"/>
          <w:szCs w:val="24"/>
          <w:highlight w:val="none"/>
          <w:lang w:eastAsia="zh-CN"/>
          <w14:textFill>
            <w14:solidFill>
              <w14:schemeClr w14:val="tx1"/>
            </w14:solidFill>
          </w14:textFill>
        </w:rPr>
        <w:t>加盖公章。</w:t>
      </w:r>
    </w:p>
    <w:p w14:paraId="6EAB70F2">
      <w:pPr>
        <w:pStyle w:val="18"/>
        <w:spacing w:line="360" w:lineRule="auto"/>
        <w:rPr>
          <w:color w:val="000000" w:themeColor="text1"/>
          <w:sz w:val="24"/>
          <w:szCs w:val="24"/>
          <w:highlight w:val="none"/>
          <w14:textFill>
            <w14:solidFill>
              <w14:schemeClr w14:val="tx1"/>
            </w14:solidFill>
          </w14:textFill>
        </w:rPr>
      </w:pPr>
    </w:p>
    <w:p w14:paraId="2D8F31C8">
      <w:pPr>
        <w:pStyle w:val="18"/>
        <w:spacing w:line="360" w:lineRule="auto"/>
        <w:rPr>
          <w:color w:val="000000" w:themeColor="text1"/>
          <w:sz w:val="24"/>
          <w:szCs w:val="24"/>
          <w:highlight w:val="none"/>
          <w14:textFill>
            <w14:solidFill>
              <w14:schemeClr w14:val="tx1"/>
            </w14:solidFill>
          </w14:textFill>
        </w:rPr>
      </w:pPr>
    </w:p>
    <w:p w14:paraId="6DF038B6">
      <w:pPr>
        <w:pStyle w:val="18"/>
        <w:spacing w:line="360" w:lineRule="auto"/>
        <w:rPr>
          <w:color w:val="000000" w:themeColor="text1"/>
          <w:sz w:val="24"/>
          <w:szCs w:val="24"/>
          <w:highlight w:val="none"/>
          <w14:textFill>
            <w14:solidFill>
              <w14:schemeClr w14:val="tx1"/>
            </w14:solidFill>
          </w14:textFill>
        </w:rPr>
      </w:pPr>
    </w:p>
    <w:p w14:paraId="763A6869">
      <w:pPr>
        <w:pStyle w:val="18"/>
        <w:spacing w:line="360" w:lineRule="auto"/>
        <w:rPr>
          <w:color w:val="000000" w:themeColor="text1"/>
          <w:sz w:val="24"/>
          <w:szCs w:val="24"/>
          <w:highlight w:val="none"/>
          <w14:textFill>
            <w14:solidFill>
              <w14:schemeClr w14:val="tx1"/>
            </w14:solidFill>
          </w14:textFill>
        </w:rPr>
      </w:pPr>
    </w:p>
    <w:p w14:paraId="71D40804">
      <w:pPr>
        <w:pStyle w:val="18"/>
        <w:spacing w:line="360" w:lineRule="auto"/>
        <w:rPr>
          <w:color w:val="000000" w:themeColor="text1"/>
          <w:sz w:val="24"/>
          <w:szCs w:val="24"/>
          <w:highlight w:val="none"/>
          <w14:textFill>
            <w14:solidFill>
              <w14:schemeClr w14:val="tx1"/>
            </w14:solidFill>
          </w14:textFill>
        </w:rPr>
      </w:pPr>
    </w:p>
    <w:p w14:paraId="089F3FB6">
      <w:pPr>
        <w:pStyle w:val="18"/>
        <w:spacing w:line="360" w:lineRule="auto"/>
        <w:rPr>
          <w:color w:val="000000" w:themeColor="text1"/>
          <w:sz w:val="24"/>
          <w:szCs w:val="24"/>
          <w:highlight w:val="none"/>
          <w14:textFill>
            <w14:solidFill>
              <w14:schemeClr w14:val="tx1"/>
            </w14:solidFill>
          </w14:textFill>
        </w:rPr>
      </w:pPr>
    </w:p>
    <w:p w14:paraId="2B52C443">
      <w:pPr>
        <w:pStyle w:val="18"/>
        <w:spacing w:line="360" w:lineRule="auto"/>
        <w:rPr>
          <w:color w:val="000000" w:themeColor="text1"/>
          <w:sz w:val="24"/>
          <w:szCs w:val="24"/>
          <w:highlight w:val="none"/>
          <w14:textFill>
            <w14:solidFill>
              <w14:schemeClr w14:val="tx1"/>
            </w14:solidFill>
          </w14:textFill>
        </w:rPr>
      </w:pPr>
    </w:p>
    <w:p w14:paraId="6D1C2370">
      <w:pPr>
        <w:pStyle w:val="18"/>
        <w:spacing w:line="360" w:lineRule="auto"/>
        <w:jc w:val="center"/>
        <w:outlineLvl w:val="2"/>
        <w:rPr>
          <w:rFonts w:hAnsi="宋体" w:cs="Times New Roman"/>
          <w:color w:val="000000" w:themeColor="text1"/>
          <w:sz w:val="32"/>
          <w:szCs w:val="32"/>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（六）</w:t>
      </w:r>
      <w:r>
        <w:rPr>
          <w:rFonts w:hint="eastAsia" w:ascii="宋体" w:hAnsi="宋体" w:eastAsia="宋体" w:cs="宋体"/>
          <w:b/>
          <w:bCs/>
          <w:color w:val="auto"/>
          <w:sz w:val="32"/>
          <w:szCs w:val="32"/>
          <w:highlight w:val="none"/>
          <w:lang w:eastAsia="zh-CN"/>
        </w:rPr>
        <w:t>近年完成的类似项目情况表</w:t>
      </w:r>
    </w:p>
    <w:p w14:paraId="3161A935">
      <w:pPr>
        <w:pStyle w:val="18"/>
        <w:spacing w:line="360" w:lineRule="auto"/>
        <w:ind w:firstLine="480" w:firstLineChars="200"/>
        <w:rPr>
          <w:rFonts w:hAnsi="宋体"/>
          <w:color w:val="000000" w:themeColor="text1"/>
          <w:sz w:val="24"/>
          <w:highlight w:val="none"/>
          <w14:textFill>
            <w14:solidFill>
              <w14:schemeClr w14:val="tx1"/>
            </w14:solidFill>
          </w14:textFill>
        </w:rPr>
      </w:pPr>
    </w:p>
    <w:tbl>
      <w:tblPr>
        <w:tblStyle w:val="3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780"/>
        <w:gridCol w:w="2562"/>
        <w:gridCol w:w="2262"/>
      </w:tblGrid>
      <w:tr w14:paraId="3398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6B211EC5">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780" w:type="dxa"/>
            <w:tcBorders>
              <w:top w:val="single" w:color="auto" w:sz="4" w:space="0"/>
              <w:left w:val="nil"/>
              <w:bottom w:val="single" w:color="auto" w:sz="4" w:space="0"/>
              <w:right w:val="single" w:color="auto" w:sz="4" w:space="0"/>
            </w:tcBorders>
            <w:vAlign w:val="center"/>
          </w:tcPr>
          <w:p w14:paraId="42540B94">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合同名称</w:t>
            </w:r>
          </w:p>
        </w:tc>
        <w:tc>
          <w:tcPr>
            <w:tcW w:w="2562" w:type="dxa"/>
            <w:tcBorders>
              <w:top w:val="single" w:color="auto" w:sz="4" w:space="0"/>
              <w:left w:val="nil"/>
              <w:bottom w:val="single" w:color="auto" w:sz="4" w:space="0"/>
              <w:right w:val="single" w:color="auto" w:sz="4" w:space="0"/>
            </w:tcBorders>
            <w:vAlign w:val="center"/>
          </w:tcPr>
          <w:p w14:paraId="5746EC13">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合同额（元）</w:t>
            </w:r>
          </w:p>
        </w:tc>
        <w:tc>
          <w:tcPr>
            <w:tcW w:w="2262" w:type="dxa"/>
            <w:tcBorders>
              <w:top w:val="single" w:color="auto" w:sz="4" w:space="0"/>
              <w:left w:val="nil"/>
              <w:bottom w:val="single" w:color="auto" w:sz="4" w:space="0"/>
              <w:right w:val="single" w:color="auto" w:sz="4" w:space="0"/>
            </w:tcBorders>
            <w:vAlign w:val="center"/>
          </w:tcPr>
          <w:p w14:paraId="44CA5D90">
            <w:pPr>
              <w:spacing w:before="120" w:line="360" w:lineRule="auto"/>
              <w:ind w:right="34"/>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合同起止时间</w:t>
            </w:r>
          </w:p>
        </w:tc>
      </w:tr>
      <w:tr w14:paraId="22DF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C3A5C8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55DC9FD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5AE92D77">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4086E0DF">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038B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B95EED7">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0235D9E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644CB9A7">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6185DF95">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79E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1B977A2">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7DD42C7D">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10A545C0">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747F6963">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6477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61B5D38D">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3AC089F4">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13B18C33">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19DB7CC9">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6EDA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C3A4F46">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3078663A">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38CF7305">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693F7472">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6CE0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58E4729">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5B866E4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3577F586">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31A4D3D6">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34D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F9EC59C">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780" w:type="dxa"/>
            <w:tcBorders>
              <w:top w:val="single" w:color="auto" w:sz="4" w:space="0"/>
              <w:left w:val="nil"/>
              <w:bottom w:val="single" w:color="auto" w:sz="4" w:space="0"/>
              <w:right w:val="single" w:color="auto" w:sz="4" w:space="0"/>
            </w:tcBorders>
            <w:vAlign w:val="center"/>
          </w:tcPr>
          <w:p w14:paraId="0EA54F79">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06DA4B3E">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262" w:type="dxa"/>
            <w:tcBorders>
              <w:top w:val="single" w:color="auto" w:sz="4" w:space="0"/>
              <w:left w:val="nil"/>
              <w:bottom w:val="single" w:color="auto" w:sz="4" w:space="0"/>
              <w:right w:val="single" w:color="auto" w:sz="4" w:space="0"/>
            </w:tcBorders>
            <w:vAlign w:val="center"/>
          </w:tcPr>
          <w:p w14:paraId="02212FBB">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bl>
    <w:p w14:paraId="32CD13A1">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360" w:firstLineChars="15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szCs w:val="20"/>
          <w:highlight w:val="none"/>
          <w14:textFill>
            <w14:solidFill>
              <w14:schemeClr w14:val="tx1"/>
            </w14:solidFill>
          </w14:textFill>
        </w:rPr>
        <w:t>注：供应商以上业绩需提供加盖公章的中标通知书或合同协议书复印件等证明材料。</w:t>
      </w:r>
    </w:p>
    <w:p w14:paraId="48D83CF6">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360" w:firstLineChars="150"/>
        <w:rPr>
          <w:rFonts w:ascii="宋体" w:hAnsi="宋体" w:cs="Arial"/>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供应商必须据实填写，不得虚假响应，否则将取消其投标或中标资格，并按有关规定进行处罚。</w:t>
      </w:r>
    </w:p>
    <w:p w14:paraId="356D4C5B">
      <w:pPr>
        <w:spacing w:line="360" w:lineRule="auto"/>
        <w:ind w:left="360"/>
        <w:jc w:val="center"/>
        <w:rPr>
          <w:rFonts w:ascii="宋体" w:hAnsi="宋体" w:cs="Arial"/>
          <w:color w:val="000000" w:themeColor="text1"/>
          <w:sz w:val="24"/>
          <w:szCs w:val="20"/>
          <w:highlight w:val="none"/>
          <w14:textFill>
            <w14:solidFill>
              <w14:schemeClr w14:val="tx1"/>
            </w14:solidFill>
          </w14:textFill>
        </w:rPr>
      </w:pPr>
    </w:p>
    <w:p w14:paraId="5491993A">
      <w:pPr>
        <w:pStyle w:val="2"/>
        <w:rPr>
          <w:highlight w:val="none"/>
        </w:rPr>
      </w:pPr>
    </w:p>
    <w:p w14:paraId="301B9D94">
      <w:pPr>
        <w:widowControl/>
        <w:spacing w:line="480" w:lineRule="auto"/>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（盖单位章）</w:t>
      </w:r>
    </w:p>
    <w:p w14:paraId="68C9B6D1">
      <w:pPr>
        <w:widowControl/>
        <w:spacing w:line="480" w:lineRule="auto"/>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法定代表人或其委托代理人：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（签</w:t>
      </w:r>
      <w:r>
        <w:rPr>
          <w:rFonts w:hint="eastAsia" w:ascii="宋体" w:hAnsi="宋体"/>
          <w:color w:val="000000" w:themeColor="text1"/>
          <w:kern w:val="0"/>
          <w:sz w:val="24"/>
          <w:highlight w:val="none"/>
          <w:lang w:val="en-US" w:eastAsia="zh-CN"/>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字）</w:t>
      </w:r>
    </w:p>
    <w:p w14:paraId="6432C712">
      <w:pPr>
        <w:widowControl/>
        <w:spacing w:line="480" w:lineRule="auto"/>
        <w:jc w:val="right"/>
        <w:rPr>
          <w:rFonts w:ascii="宋体" w:hAnsi="宋体"/>
          <w:color w:val="000000" w:themeColor="text1"/>
          <w:kern w:val="0"/>
          <w:sz w:val="24"/>
          <w:highlight w:val="none"/>
          <w14:textFill>
            <w14:solidFill>
              <w14:schemeClr w14:val="tx1"/>
            </w14:solidFill>
          </w14:textFill>
        </w:rPr>
        <w:sectPr>
          <w:pgSz w:w="11905" w:h="16838"/>
          <w:pgMar w:top="1440" w:right="1803" w:bottom="1440" w:left="1803" w:header="1140" w:footer="720" w:gutter="0"/>
          <w:cols w:space="0" w:num="1"/>
          <w:docGrid w:type="lines" w:linePitch="317" w:charSpace="0"/>
        </w:sect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4F99D86F">
      <w:pPr>
        <w:pStyle w:val="18"/>
        <w:numPr>
          <w:ilvl w:val="0"/>
          <w:numId w:val="2"/>
        </w:numPr>
        <w:jc w:val="center"/>
        <w:outlineLvl w:val="2"/>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近年发生的诉讼及仲裁情况</w:t>
      </w:r>
    </w:p>
    <w:p w14:paraId="5C18E417">
      <w:pPr>
        <w:jc w:val="center"/>
        <w:rPr>
          <w:rFonts w:hint="eastAsia"/>
          <w:b w:val="0"/>
          <w:bCs w:val="0"/>
          <w:color w:val="000000" w:themeColor="text1"/>
          <w:sz w:val="28"/>
          <w:szCs w:val="28"/>
          <w:highlight w:val="none"/>
          <w:lang w:eastAsia="zh-CN"/>
          <w14:textFill>
            <w14:solidFill>
              <w14:schemeClr w14:val="tx1"/>
            </w14:solidFill>
          </w14:textFill>
        </w:rPr>
      </w:pPr>
    </w:p>
    <w:p w14:paraId="235F65D5">
      <w:pPr>
        <w:jc w:val="center"/>
        <w:rPr>
          <w:rFonts w:hint="eastAsia"/>
          <w:b w:val="0"/>
          <w:bCs w:val="0"/>
          <w:color w:val="000000" w:themeColor="text1"/>
          <w:sz w:val="28"/>
          <w:szCs w:val="28"/>
          <w:highlight w:val="none"/>
          <w:lang w:eastAsia="zh-CN"/>
          <w14:textFill>
            <w14:solidFill>
              <w14:schemeClr w14:val="tx1"/>
            </w14:solidFill>
          </w14:textFill>
        </w:rPr>
      </w:pPr>
    </w:p>
    <w:p w14:paraId="237FE779">
      <w:pPr>
        <w:jc w:val="center"/>
        <w:rPr>
          <w:rFonts w:hint="eastAsia" w:eastAsia="宋体"/>
          <w:b w:val="0"/>
          <w:bCs w:val="0"/>
          <w:sz w:val="20"/>
          <w:szCs w:val="20"/>
          <w:highlight w:val="none"/>
          <w:lang w:eastAsia="zh-CN"/>
        </w:rPr>
      </w:pPr>
      <w:r>
        <w:rPr>
          <w:rFonts w:hint="eastAsia"/>
          <w:b w:val="0"/>
          <w:bCs w:val="0"/>
          <w:color w:val="000000" w:themeColor="text1"/>
          <w:sz w:val="28"/>
          <w:szCs w:val="28"/>
          <w:highlight w:val="none"/>
          <w:lang w:eastAsia="zh-CN"/>
          <w14:textFill>
            <w14:solidFill>
              <w14:schemeClr w14:val="tx1"/>
            </w14:solidFill>
          </w14:textFill>
        </w:rPr>
        <w:t>（格式自拟）</w:t>
      </w:r>
    </w:p>
    <w:p w14:paraId="0D575483">
      <w:pPr>
        <w:widowControl w:val="0"/>
        <w:numPr>
          <w:ilvl w:val="0"/>
          <w:numId w:val="0"/>
        </w:numPr>
        <w:jc w:val="both"/>
        <w:rPr>
          <w:highlight w:val="none"/>
        </w:rPr>
      </w:pPr>
    </w:p>
    <w:p w14:paraId="35A5BB70">
      <w:pPr>
        <w:pStyle w:val="27"/>
        <w:rPr>
          <w:highlight w:val="none"/>
        </w:rPr>
      </w:pPr>
    </w:p>
    <w:p w14:paraId="6DEFCAB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15C257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7C40732">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5A84586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C681D50">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9F1BC31">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4293982">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57A01DDA">
      <w:pPr>
        <w:spacing w:line="500" w:lineRule="exact"/>
        <w:jc w:val="both"/>
        <w:rPr>
          <w:rFonts w:hint="eastAsia" w:ascii="宋体" w:hAnsi="宋体"/>
          <w:color w:val="000000" w:themeColor="text1"/>
          <w:sz w:val="24"/>
          <w:szCs w:val="24"/>
          <w:highlight w:val="none"/>
          <w14:textFill>
            <w14:solidFill>
              <w14:schemeClr w14:val="tx1"/>
            </w14:solidFill>
          </w14:textFill>
        </w:rPr>
      </w:pPr>
    </w:p>
    <w:p w14:paraId="7CDDBDEB">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D35F58D">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74BC723">
      <w:pPr>
        <w:spacing w:line="500" w:lineRule="exact"/>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4098CB4E">
      <w:pPr>
        <w:spacing w:line="500" w:lineRule="exact"/>
        <w:jc w:val="left"/>
        <w:rPr>
          <w:rFonts w:ascii="宋体" w:hAnsi="宋体"/>
          <w:color w:val="000000" w:themeColor="text1"/>
          <w:sz w:val="24"/>
          <w:szCs w:val="24"/>
          <w:highlight w:val="none"/>
          <w14:textFill>
            <w14:solidFill>
              <w14:schemeClr w14:val="tx1"/>
            </w14:solidFill>
          </w14:textFill>
        </w:rPr>
      </w:pPr>
    </w:p>
    <w:p w14:paraId="6886C269">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2DBC8D4C">
      <w:pPr>
        <w:spacing w:line="500" w:lineRule="exact"/>
        <w:jc w:val="left"/>
        <w:rPr>
          <w:rFonts w:ascii="宋体" w:hAnsi="宋体"/>
          <w:color w:val="000000" w:themeColor="text1"/>
          <w:sz w:val="24"/>
          <w:szCs w:val="24"/>
          <w:highlight w:val="none"/>
          <w14:textFill>
            <w14:solidFill>
              <w14:schemeClr w14:val="tx1"/>
            </w14:solidFill>
          </w14:textFill>
        </w:rPr>
      </w:pPr>
    </w:p>
    <w:p w14:paraId="75ED32B7">
      <w:pPr>
        <w:ind w:firstLine="4800" w:firstLineChars="2000"/>
        <w:rPr>
          <w:highlight w:val="none"/>
        </w:rPr>
        <w:sectPr>
          <w:pgSz w:w="11905" w:h="16838"/>
          <w:pgMar w:top="1440" w:right="1803" w:bottom="1440" w:left="180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日  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517AF226">
      <w:pPr>
        <w:pStyle w:val="18"/>
        <w:spacing w:line="360" w:lineRule="auto"/>
        <w:jc w:val="center"/>
        <w:outlineLvl w:val="2"/>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（八）人员情况</w:t>
      </w:r>
    </w:p>
    <w:p w14:paraId="3F7CE01B">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themeColor="text1"/>
          <w:sz w:val="24"/>
          <w:highlight w:val="none"/>
          <w14:textFill>
            <w14:solidFill>
              <w14:schemeClr w14:val="tx1"/>
            </w14:solidFill>
          </w14:textFill>
        </w:rPr>
      </w:pPr>
      <w:bookmarkStart w:id="231" w:name="_Toc31213"/>
      <w:bookmarkStart w:id="232" w:name="_Toc10380"/>
      <w:bookmarkStart w:id="233" w:name="_Toc28953"/>
      <w:r>
        <w:rPr>
          <w:rFonts w:hint="eastAsia" w:ascii="宋体" w:hAnsi="宋体" w:eastAsia="宋体" w:cs="宋体"/>
          <w:color w:val="000000" w:themeColor="text1"/>
          <w:sz w:val="28"/>
          <w:szCs w:val="28"/>
          <w:highlight w:val="none"/>
          <w14:textFill>
            <w14:solidFill>
              <w14:schemeClr w14:val="tx1"/>
            </w14:solidFill>
          </w14:textFill>
        </w:rPr>
        <w:t>项目团队主要成员简历表</w:t>
      </w:r>
      <w:bookmarkEnd w:id="231"/>
      <w:bookmarkEnd w:id="232"/>
      <w:bookmarkEnd w:id="233"/>
    </w:p>
    <w:p w14:paraId="65B65D0C">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w:t>
      </w:r>
      <w:r>
        <w:rPr>
          <w:rFonts w:hint="eastAsia" w:hAnsi="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 xml:space="preserve">编号： </w:t>
      </w:r>
    </w:p>
    <w:tbl>
      <w:tblPr>
        <w:tblStyle w:val="34"/>
        <w:tblW w:w="83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88"/>
        <w:gridCol w:w="732"/>
        <w:gridCol w:w="1086"/>
        <w:gridCol w:w="678"/>
        <w:gridCol w:w="999"/>
        <w:gridCol w:w="1050"/>
        <w:gridCol w:w="197"/>
        <w:gridCol w:w="1591"/>
      </w:tblGrid>
      <w:tr w14:paraId="35E39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51" w:type="dxa"/>
            <w:noWrap w:val="0"/>
            <w:vAlign w:val="center"/>
          </w:tcPr>
          <w:p w14:paraId="1AB1E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720" w:type="dxa"/>
            <w:gridSpan w:val="2"/>
            <w:noWrap w:val="0"/>
            <w:vAlign w:val="center"/>
          </w:tcPr>
          <w:p w14:paraId="6C0E3C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86" w:type="dxa"/>
            <w:noWrap w:val="0"/>
            <w:vAlign w:val="center"/>
          </w:tcPr>
          <w:p w14:paraId="4BF57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1677" w:type="dxa"/>
            <w:gridSpan w:val="2"/>
            <w:noWrap w:val="0"/>
            <w:vAlign w:val="center"/>
          </w:tcPr>
          <w:p w14:paraId="6C970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47" w:type="dxa"/>
            <w:gridSpan w:val="2"/>
            <w:noWrap w:val="0"/>
            <w:vAlign w:val="center"/>
          </w:tcPr>
          <w:p w14:paraId="763C4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1591" w:type="dxa"/>
            <w:noWrap w:val="0"/>
            <w:vAlign w:val="center"/>
          </w:tcPr>
          <w:p w14:paraId="3E0E4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DC7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51" w:type="dxa"/>
            <w:noWrap w:val="0"/>
            <w:vAlign w:val="center"/>
          </w:tcPr>
          <w:p w14:paraId="7B59B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720" w:type="dxa"/>
            <w:gridSpan w:val="2"/>
            <w:noWrap w:val="0"/>
            <w:vAlign w:val="center"/>
          </w:tcPr>
          <w:p w14:paraId="50A16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86" w:type="dxa"/>
            <w:noWrap w:val="0"/>
            <w:vAlign w:val="center"/>
          </w:tcPr>
          <w:p w14:paraId="18DF0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677" w:type="dxa"/>
            <w:gridSpan w:val="2"/>
            <w:noWrap w:val="0"/>
            <w:vAlign w:val="center"/>
          </w:tcPr>
          <w:p w14:paraId="37AAD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47" w:type="dxa"/>
            <w:gridSpan w:val="2"/>
            <w:noWrap w:val="0"/>
            <w:vAlign w:val="center"/>
          </w:tcPr>
          <w:p w14:paraId="053B5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1591" w:type="dxa"/>
            <w:noWrap w:val="0"/>
            <w:vAlign w:val="center"/>
          </w:tcPr>
          <w:p w14:paraId="76F97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7FBA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39" w:type="dxa"/>
            <w:gridSpan w:val="2"/>
            <w:noWrap w:val="0"/>
            <w:vAlign w:val="center"/>
          </w:tcPr>
          <w:p w14:paraId="5DD1F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参加工作时间</w:t>
            </w:r>
          </w:p>
        </w:tc>
        <w:tc>
          <w:tcPr>
            <w:tcW w:w="2496" w:type="dxa"/>
            <w:gridSpan w:val="3"/>
            <w:noWrap w:val="0"/>
            <w:vAlign w:val="center"/>
          </w:tcPr>
          <w:p w14:paraId="5D5EE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246" w:type="dxa"/>
            <w:gridSpan w:val="3"/>
            <w:noWrap w:val="0"/>
            <w:vAlign w:val="center"/>
          </w:tcPr>
          <w:p w14:paraId="1F473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本项目任职</w:t>
            </w:r>
          </w:p>
        </w:tc>
        <w:tc>
          <w:tcPr>
            <w:tcW w:w="1591" w:type="dxa"/>
            <w:noWrap w:val="0"/>
            <w:vAlign w:val="center"/>
          </w:tcPr>
          <w:p w14:paraId="7F079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4713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72" w:type="dxa"/>
            <w:gridSpan w:val="9"/>
            <w:noWrap w:val="0"/>
            <w:vAlign w:val="center"/>
          </w:tcPr>
          <w:p w14:paraId="2D6BF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获奖情况（提供相关证明资料）</w:t>
            </w:r>
          </w:p>
        </w:tc>
      </w:tr>
      <w:tr w14:paraId="40F9D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372" w:type="dxa"/>
            <w:gridSpan w:val="9"/>
            <w:noWrap w:val="0"/>
            <w:vAlign w:val="center"/>
          </w:tcPr>
          <w:p w14:paraId="5355F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承担过的</w:t>
            </w:r>
            <w:r>
              <w:rPr>
                <w:rFonts w:hint="eastAsia" w:ascii="宋体" w:hAnsi="宋体" w:eastAsia="宋体" w:cs="宋体"/>
                <w:color w:val="000000" w:themeColor="text1"/>
                <w:sz w:val="24"/>
                <w:szCs w:val="24"/>
                <w:highlight w:val="none"/>
                <w14:textFill>
                  <w14:solidFill>
                    <w14:schemeClr w14:val="tx1"/>
                  </w14:solidFill>
                </w14:textFill>
              </w:rPr>
              <w:t>类似项目业绩</w:t>
            </w:r>
            <w:r>
              <w:rPr>
                <w:rFonts w:hint="eastAsia" w:ascii="宋体" w:hAnsi="宋体" w:cs="宋体"/>
                <w:color w:val="000000" w:themeColor="text1"/>
                <w:sz w:val="24"/>
                <w:szCs w:val="24"/>
                <w:highlight w:val="none"/>
                <w:lang w:eastAsia="zh-CN"/>
                <w14:textFill>
                  <w14:solidFill>
                    <w14:schemeClr w14:val="tx1"/>
                  </w14:solidFill>
                </w14:textFill>
              </w:rPr>
              <w:t>情况如下</w:t>
            </w:r>
          </w:p>
        </w:tc>
      </w:tr>
      <w:tr w14:paraId="3760C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39" w:type="dxa"/>
            <w:gridSpan w:val="2"/>
            <w:noWrap w:val="0"/>
            <w:vAlign w:val="center"/>
          </w:tcPr>
          <w:p w14:paraId="3D9C9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项目名称</w:t>
            </w:r>
          </w:p>
        </w:tc>
        <w:tc>
          <w:tcPr>
            <w:tcW w:w="2496" w:type="dxa"/>
            <w:gridSpan w:val="3"/>
            <w:noWrap w:val="0"/>
            <w:vAlign w:val="center"/>
          </w:tcPr>
          <w:p w14:paraId="60A5B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cs="宋体"/>
                <w:color w:val="000000" w:themeColor="text1"/>
                <w:sz w:val="24"/>
                <w:szCs w:val="24"/>
                <w:highlight w:val="none"/>
                <w:lang w:eastAsia="zh-CN"/>
                <w14:textFill>
                  <w14:solidFill>
                    <w14:schemeClr w14:val="tx1"/>
                  </w14:solidFill>
                </w14:textFill>
              </w:rPr>
              <w:t>单位</w:t>
            </w:r>
          </w:p>
        </w:tc>
        <w:tc>
          <w:tcPr>
            <w:tcW w:w="2049" w:type="dxa"/>
            <w:gridSpan w:val="2"/>
            <w:noWrap w:val="0"/>
            <w:vAlign w:val="center"/>
          </w:tcPr>
          <w:p w14:paraId="76EDF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服务内容</w:t>
            </w:r>
          </w:p>
        </w:tc>
        <w:tc>
          <w:tcPr>
            <w:tcW w:w="1788" w:type="dxa"/>
            <w:gridSpan w:val="2"/>
            <w:noWrap w:val="0"/>
            <w:vAlign w:val="center"/>
          </w:tcPr>
          <w:p w14:paraId="1421E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项目起止时间</w:t>
            </w:r>
          </w:p>
        </w:tc>
      </w:tr>
      <w:tr w14:paraId="3E210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9" w:type="dxa"/>
            <w:gridSpan w:val="2"/>
            <w:noWrap w:val="0"/>
            <w:vAlign w:val="center"/>
          </w:tcPr>
          <w:p w14:paraId="30396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26C6B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152E4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16F9F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24FD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9" w:type="dxa"/>
            <w:gridSpan w:val="2"/>
            <w:noWrap w:val="0"/>
            <w:vAlign w:val="center"/>
          </w:tcPr>
          <w:p w14:paraId="22ED0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0C3E6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127E4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152FA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F6F9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9" w:type="dxa"/>
            <w:gridSpan w:val="2"/>
            <w:noWrap w:val="0"/>
            <w:vAlign w:val="center"/>
          </w:tcPr>
          <w:p w14:paraId="12337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248EB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60947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43D77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B8F4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9" w:type="dxa"/>
            <w:gridSpan w:val="2"/>
            <w:noWrap w:val="0"/>
            <w:vAlign w:val="center"/>
          </w:tcPr>
          <w:p w14:paraId="4DAD5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16E3D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5CB79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556CE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5F9D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9" w:type="dxa"/>
            <w:gridSpan w:val="2"/>
            <w:noWrap w:val="0"/>
            <w:vAlign w:val="center"/>
          </w:tcPr>
          <w:p w14:paraId="0D31A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4EBFF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5AA29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1EC9E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50B4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39" w:type="dxa"/>
            <w:gridSpan w:val="2"/>
            <w:noWrap w:val="0"/>
            <w:vAlign w:val="center"/>
          </w:tcPr>
          <w:p w14:paraId="4A35E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496" w:type="dxa"/>
            <w:gridSpan w:val="3"/>
            <w:noWrap w:val="0"/>
            <w:vAlign w:val="center"/>
          </w:tcPr>
          <w:p w14:paraId="56005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49" w:type="dxa"/>
            <w:gridSpan w:val="2"/>
            <w:noWrap w:val="0"/>
            <w:vAlign w:val="center"/>
          </w:tcPr>
          <w:p w14:paraId="3F480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788" w:type="dxa"/>
            <w:gridSpan w:val="2"/>
            <w:noWrap w:val="0"/>
            <w:vAlign w:val="center"/>
          </w:tcPr>
          <w:p w14:paraId="34894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A18DDF6">
      <w:pPr>
        <w:spacing w:before="149" w:line="279" w:lineRule="auto"/>
        <w:ind w:left="540" w:right="104" w:hanging="425"/>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注：本表人员附身份证、</w:t>
      </w:r>
      <w:r>
        <w:rPr>
          <w:rFonts w:hint="eastAsia" w:ascii="宋体" w:hAnsi="宋体" w:cs="宋体"/>
          <w:b w:val="0"/>
          <w:bCs w:val="0"/>
          <w:color w:val="000000" w:themeColor="text1"/>
          <w:sz w:val="21"/>
          <w:szCs w:val="21"/>
          <w:highlight w:val="none"/>
          <w:lang w:eastAsia="zh-CN"/>
          <w14:textFill>
            <w14:solidFill>
              <w14:schemeClr w14:val="tx1"/>
            </w14:solidFill>
          </w14:textFill>
        </w:rPr>
        <w:t>劳动合同、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有效期内的健康证、</w:t>
      </w:r>
      <w:r>
        <w:rPr>
          <w:rFonts w:hint="eastAsia" w:ascii="宋体" w:hAnsi="宋体" w:eastAsia="宋体" w:cs="宋体"/>
          <w:b w:val="0"/>
          <w:bCs w:val="0"/>
          <w:color w:val="000000" w:themeColor="text1"/>
          <w:sz w:val="21"/>
          <w:szCs w:val="21"/>
          <w:highlight w:val="none"/>
          <w14:textFill>
            <w14:solidFill>
              <w14:schemeClr w14:val="tx1"/>
            </w14:solidFill>
          </w14:textFill>
        </w:rPr>
        <w:t>学历证书（或学位证书）（如有）、荣誉证书（如有）等</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复印</w:t>
      </w:r>
      <w:r>
        <w:rPr>
          <w:rFonts w:hint="eastAsia" w:ascii="宋体" w:hAnsi="宋体" w:eastAsia="宋体" w:cs="宋体"/>
          <w:b w:val="0"/>
          <w:bCs w:val="0"/>
          <w:color w:val="000000" w:themeColor="text1"/>
          <w:sz w:val="21"/>
          <w:szCs w:val="21"/>
          <w:highlight w:val="none"/>
          <w14:textFill>
            <w14:solidFill>
              <w14:schemeClr w14:val="tx1"/>
            </w14:solidFill>
          </w14:textFill>
        </w:rPr>
        <w:t>件加盖公章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，提供投标截止日期前六个月内任意一个月的社保缴费证明</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1A62443">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6310A85E">
      <w:pPr>
        <w:pStyle w:val="24"/>
        <w:keepNext w:val="0"/>
        <w:keepLines w:val="0"/>
        <w:pageBreakBefore w:val="0"/>
        <w:widowControl w:val="0"/>
        <w:kinsoku/>
        <w:wordWrap/>
        <w:overflowPunct/>
        <w:topLinePunct w:val="0"/>
        <w:autoSpaceDE/>
        <w:autoSpaceDN/>
        <w:bidi w:val="0"/>
        <w:adjustRightInd/>
        <w:snapToGrid/>
        <w:spacing w:line="480" w:lineRule="auto"/>
        <w:ind w:firstLine="158"/>
        <w:jc w:val="righ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 xml:space="preserve">供应商：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Cs w:val="21"/>
          <w:highlight w:val="none"/>
          <w:lang w:eastAsia="zh-CN"/>
          <w14:textFill>
            <w14:solidFill>
              <w14:schemeClr w14:val="tx1"/>
            </w14:solidFill>
          </w14:textFill>
        </w:rPr>
        <w:t>盖单位公章</w:t>
      </w:r>
      <w:r>
        <w:rPr>
          <w:rFonts w:hint="eastAsia" w:ascii="宋体" w:hAnsi="宋体" w:eastAsia="宋体" w:cs="宋体"/>
          <w:b w:val="0"/>
          <w:bCs w:val="0"/>
          <w:color w:val="000000" w:themeColor="text1"/>
          <w:szCs w:val="21"/>
          <w:highlight w:val="none"/>
          <w14:textFill>
            <w14:solidFill>
              <w14:schemeClr w14:val="tx1"/>
            </w14:solidFill>
          </w14:textFill>
        </w:rPr>
        <w:t>）</w:t>
      </w:r>
    </w:p>
    <w:p w14:paraId="40CA8B9D">
      <w:pPr>
        <w:pStyle w:val="24"/>
        <w:keepNext w:val="0"/>
        <w:keepLines w:val="0"/>
        <w:pageBreakBefore w:val="0"/>
        <w:widowControl w:val="0"/>
        <w:kinsoku/>
        <w:wordWrap/>
        <w:overflowPunct/>
        <w:topLinePunct w:val="0"/>
        <w:autoSpaceDE/>
        <w:autoSpaceDN/>
        <w:bidi w:val="0"/>
        <w:adjustRightInd/>
        <w:snapToGrid/>
        <w:spacing w:line="480" w:lineRule="auto"/>
        <w:ind w:firstLine="158"/>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法定代表人</w:t>
      </w:r>
      <w:r>
        <w:rPr>
          <w:rFonts w:hint="eastAsia" w:ascii="宋体" w:hAnsi="宋体" w:eastAsia="宋体" w:cs="宋体"/>
          <w:b w:val="0"/>
          <w:bCs w:val="0"/>
          <w:color w:val="000000" w:themeColor="text1"/>
          <w:szCs w:val="21"/>
          <w:highlight w:val="none"/>
          <w14:textFill>
            <w14:solidFill>
              <w14:schemeClr w14:val="tx1"/>
            </w14:solidFill>
          </w14:textFill>
        </w:rPr>
        <w:t>或其委托代理人：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cs="宋体"/>
          <w:b w:val="0"/>
          <w:bCs w:val="0"/>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字）</w:t>
      </w:r>
    </w:p>
    <w:p w14:paraId="211F72AA">
      <w:pPr>
        <w:pStyle w:val="18"/>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sectPr>
          <w:pgSz w:w="11905" w:h="16838"/>
          <w:pgMar w:top="1440" w:right="1803" w:bottom="1440" w:left="1803" w:header="1140" w:footer="720" w:gutter="0"/>
          <w:pgNumType w:fmt="decimal"/>
          <w:cols w:space="0" w:num="1"/>
          <w:rtlGutter w:val="0"/>
          <w:docGrid w:type="lines" w:linePitch="317" w:charSpace="0"/>
        </w:sect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5CCAC767">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234" w:name="_Toc5308"/>
      <w:bookmarkStart w:id="235" w:name="_Toc6630"/>
      <w:bookmarkStart w:id="236" w:name="_Toc6885"/>
      <w:bookmarkStart w:id="237" w:name="_Toc9886"/>
      <w:r>
        <w:rPr>
          <w:rFonts w:hint="eastAsia" w:cs="宋体"/>
          <w:b/>
          <w:bCs/>
          <w:color w:val="000000" w:themeColor="text1"/>
          <w:sz w:val="32"/>
          <w:szCs w:val="32"/>
          <w:highlight w:val="none"/>
          <w14:textFill>
            <w14:solidFill>
              <w14:schemeClr w14:val="tx1"/>
            </w14:solidFill>
          </w14:textFill>
        </w:rPr>
        <w:t>七、技术</w:t>
      </w:r>
      <w:r>
        <w:rPr>
          <w:rFonts w:hint="eastAsia" w:cs="宋体"/>
          <w:b/>
          <w:bCs/>
          <w:color w:val="000000" w:themeColor="text1"/>
          <w:sz w:val="32"/>
          <w:szCs w:val="32"/>
          <w:highlight w:val="none"/>
          <w:lang w:eastAsia="zh-CN"/>
          <w14:textFill>
            <w14:solidFill>
              <w14:schemeClr w14:val="tx1"/>
            </w14:solidFill>
          </w14:textFill>
        </w:rPr>
        <w:t>服务</w:t>
      </w:r>
      <w:r>
        <w:rPr>
          <w:rFonts w:hint="eastAsia" w:cs="宋体"/>
          <w:b/>
          <w:bCs/>
          <w:color w:val="000000" w:themeColor="text1"/>
          <w:sz w:val="32"/>
          <w:szCs w:val="32"/>
          <w:highlight w:val="none"/>
          <w14:textFill>
            <w14:solidFill>
              <w14:schemeClr w14:val="tx1"/>
            </w14:solidFill>
          </w14:textFill>
        </w:rPr>
        <w:t>方案</w:t>
      </w:r>
      <w:bookmarkEnd w:id="234"/>
      <w:bookmarkEnd w:id="235"/>
      <w:bookmarkEnd w:id="236"/>
      <w:bookmarkEnd w:id="237"/>
    </w:p>
    <w:p w14:paraId="4BDED62C">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p>
    <w:p w14:paraId="37C455DD">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供应商结合本采购项目的特点提出切实可行的技术方案（详见第三章竞争性磋商评标办法</w:t>
      </w:r>
      <w:r>
        <w:rPr>
          <w:rFonts w:hint="eastAsia" w:ascii="宋体" w:hAnsi="宋体" w:cs="宋体"/>
          <w:color w:val="000000" w:themeColor="text1"/>
          <w:sz w:val="24"/>
          <w:szCs w:val="24"/>
          <w:highlight w:val="none"/>
          <w:lang w:eastAsia="zh-CN"/>
          <w14:textFill>
            <w14:solidFill>
              <w14:schemeClr w14:val="tx1"/>
            </w14:solidFill>
          </w14:textFill>
        </w:rPr>
        <w:t>，第五章项目采购需求</w:t>
      </w:r>
      <w:r>
        <w:rPr>
          <w:rFonts w:hint="eastAsia" w:ascii="宋体" w:hAnsi="宋体" w:cs="宋体"/>
          <w:color w:val="000000" w:themeColor="text1"/>
          <w:sz w:val="24"/>
          <w:szCs w:val="24"/>
          <w:highlight w:val="none"/>
          <w14:textFill>
            <w14:solidFill>
              <w14:schemeClr w14:val="tx1"/>
            </w14:solidFill>
          </w14:textFill>
        </w:rPr>
        <w:t>内容）。</w:t>
      </w:r>
    </w:p>
    <w:p w14:paraId="090023C0">
      <w:pPr>
        <w:rPr>
          <w:color w:val="000000" w:themeColor="text1"/>
          <w:highlight w:val="none"/>
          <w14:textFill>
            <w14:solidFill>
              <w14:schemeClr w14:val="tx1"/>
            </w14:solidFill>
          </w14:textFill>
        </w:rPr>
      </w:pPr>
    </w:p>
    <w:p w14:paraId="5523F6D2">
      <w:pPr>
        <w:pStyle w:val="2"/>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暗标编制要求</w:t>
      </w:r>
      <w:r>
        <w:rPr>
          <w:rFonts w:hint="eastAsia" w:ascii="宋体" w:hAnsi="宋体" w:eastAsia="宋体" w:cs="宋体"/>
          <w:b/>
          <w:bCs/>
          <w:color w:val="auto"/>
          <w:sz w:val="24"/>
          <w:szCs w:val="24"/>
          <w:highlight w:val="none"/>
          <w:lang w:eastAsia="zh-CN"/>
        </w:rPr>
        <w:t>：</w:t>
      </w:r>
    </w:p>
    <w:p w14:paraId="10F7E7B4">
      <w:pPr>
        <w:keepNext w:val="0"/>
        <w:keepLines w:val="0"/>
        <w:pageBreakBefore w:val="0"/>
        <w:numPr>
          <w:ilvl w:val="0"/>
          <w:numId w:val="3"/>
        </w:numPr>
        <w:kinsoku/>
        <w:overflowPunct/>
        <w:topLinePunct w:val="0"/>
        <w:autoSpaceDE/>
        <w:autoSpaceDN/>
        <w:bidi w:val="0"/>
        <w:adjustRightInd/>
        <w:snapToGrid/>
        <w:spacing w:line="460" w:lineRule="exact"/>
        <w:ind w:right="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版面要求：</w:t>
      </w:r>
    </w:p>
    <w:p w14:paraId="2D062FC6">
      <w:pPr>
        <w:keepNext w:val="0"/>
        <w:keepLines w:val="0"/>
        <w:pageBreakBefore w:val="0"/>
        <w:numPr>
          <w:ilvl w:val="0"/>
          <w:numId w:val="0"/>
        </w:numPr>
        <w:kinsoku/>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A4纸张大小，方向采用纵向。</w:t>
      </w:r>
    </w:p>
    <w:p w14:paraId="52097343">
      <w:pPr>
        <w:pStyle w:val="2"/>
        <w:keepNext w:val="0"/>
        <w:keepLines w:val="0"/>
        <w:pageBreakBefore w:val="0"/>
        <w:numPr>
          <w:ilvl w:val="0"/>
          <w:numId w:val="3"/>
        </w:numPr>
        <w:kinsoku/>
        <w:overflowPunct/>
        <w:topLinePunct w:val="0"/>
        <w:autoSpaceDE/>
        <w:autoSpaceDN/>
        <w:bidi w:val="0"/>
        <w:adjustRightInd/>
        <w:snapToGrid/>
        <w:spacing w:line="460" w:lineRule="exact"/>
        <w:ind w:left="0" w:leftChars="0" w:right="0"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颜色要求：</w:t>
      </w:r>
    </w:p>
    <w:p w14:paraId="78594BF2">
      <w:pPr>
        <w:pStyle w:val="2"/>
        <w:keepNext w:val="0"/>
        <w:keepLines w:val="0"/>
        <w:pageBreakBefore w:val="0"/>
        <w:numPr>
          <w:ilvl w:val="0"/>
          <w:numId w:val="0"/>
        </w:numPr>
        <w:kinsoku/>
        <w:overflowPunct/>
        <w:topLinePunct w:val="0"/>
        <w:autoSpaceDE/>
        <w:autoSpaceDN/>
        <w:bidi w:val="0"/>
        <w:adjustRightInd/>
        <w:snapToGrid/>
        <w:spacing w:line="460" w:lineRule="exact"/>
        <w:ind w:leftChars="0" w:right="0" w:rightChars="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sz w:val="24"/>
          <w:szCs w:val="24"/>
          <w:highlight w:val="none"/>
          <w:lang w:eastAsia="zh-CN"/>
        </w:rPr>
        <w:t>所有文字、图表均为黑色</w:t>
      </w:r>
      <w:r>
        <w:rPr>
          <w:rFonts w:hint="eastAsia" w:ascii="宋体" w:hAnsi="宋体" w:eastAsia="宋体" w:cs="宋体"/>
          <w:b w:val="0"/>
          <w:bCs w:val="0"/>
          <w:i w:val="0"/>
          <w:spacing w:val="4"/>
          <w:kern w:val="2"/>
          <w:sz w:val="24"/>
          <w:szCs w:val="24"/>
          <w:highlight w:val="none"/>
          <w:lang w:val="en-US" w:eastAsia="zh-CN" w:bidi="ar-SA"/>
        </w:rPr>
        <w:t>。</w:t>
      </w:r>
    </w:p>
    <w:p w14:paraId="76EDC06D">
      <w:pPr>
        <w:pStyle w:val="3"/>
        <w:keepNext w:val="0"/>
        <w:keepLines w:val="0"/>
        <w:pageBreakBefore w:val="0"/>
        <w:numPr>
          <w:ilvl w:val="0"/>
          <w:numId w:val="3"/>
        </w:numPr>
        <w:kinsoku/>
        <w:overflowPunct/>
        <w:topLinePunct w:val="0"/>
        <w:autoSpaceDE/>
        <w:autoSpaceDN/>
        <w:bidi w:val="0"/>
        <w:adjustRightInd/>
        <w:snapToGrid/>
        <w:spacing w:before="0" w:after="0" w:line="460" w:lineRule="exact"/>
        <w:ind w:left="0" w:leftChars="0" w:right="0" w:rightChars="0" w:firstLine="0" w:firstLineChars="0"/>
        <w:jc w:val="both"/>
        <w:textAlignment w:val="auto"/>
        <w:rPr>
          <w:rFonts w:hint="eastAsia" w:ascii="宋体" w:hAnsi="宋体" w:eastAsia="宋体" w:cs="宋体"/>
          <w:b/>
          <w:bCs/>
          <w:i w:val="0"/>
          <w:spacing w:val="4"/>
          <w:kern w:val="2"/>
          <w:sz w:val="24"/>
          <w:szCs w:val="24"/>
          <w:highlight w:val="none"/>
          <w:lang w:val="en-US" w:eastAsia="zh-CN" w:bidi="ar-SA"/>
        </w:rPr>
      </w:pPr>
      <w:r>
        <w:rPr>
          <w:rFonts w:hint="eastAsia" w:ascii="宋体" w:hAnsi="宋体" w:eastAsia="宋体" w:cs="宋体"/>
          <w:b/>
          <w:bCs/>
          <w:i w:val="0"/>
          <w:spacing w:val="4"/>
          <w:kern w:val="2"/>
          <w:sz w:val="24"/>
          <w:szCs w:val="24"/>
          <w:highlight w:val="none"/>
          <w:lang w:val="en-US" w:eastAsia="zh-CN" w:bidi="ar-SA"/>
        </w:rPr>
        <w:t>字体要求：</w:t>
      </w:r>
    </w:p>
    <w:p w14:paraId="1FC5AE77">
      <w:pPr>
        <w:keepNext w:val="0"/>
        <w:keepLines w:val="0"/>
        <w:pageBreakBefore w:val="0"/>
        <w:numPr>
          <w:ilvl w:val="0"/>
          <w:numId w:val="0"/>
        </w:numPr>
        <w:kinsoku/>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标题及正文部分所用文字均采用“宋体”四号“常规”字；图、表内的字体及字号不作要求；全部使用中文标点符号；所有字体均不得出现加粗、加色、倾斜、下划线等标记</w:t>
      </w:r>
      <w:r>
        <w:rPr>
          <w:rFonts w:hint="eastAsia" w:ascii="宋体" w:hAnsi="宋体" w:cs="宋体"/>
          <w:b w:val="0"/>
          <w:bCs w:val="0"/>
          <w:sz w:val="24"/>
          <w:szCs w:val="24"/>
          <w:highlight w:val="none"/>
          <w:lang w:val="en-US" w:eastAsia="zh-CN"/>
        </w:rPr>
        <w:t>。</w:t>
      </w:r>
    </w:p>
    <w:p w14:paraId="388D3902">
      <w:pPr>
        <w:keepNext w:val="0"/>
        <w:keepLines w:val="0"/>
        <w:pageBreakBefore w:val="0"/>
        <w:numPr>
          <w:ilvl w:val="0"/>
          <w:numId w:val="0"/>
        </w:numPr>
        <w:kinsoku/>
        <w:overflowPunct/>
        <w:topLinePunct w:val="0"/>
        <w:autoSpaceDE/>
        <w:autoSpaceDN/>
        <w:bidi w:val="0"/>
        <w:adjustRightInd/>
        <w:snapToGrid/>
        <w:spacing w:line="460" w:lineRule="exact"/>
        <w:ind w:leftChars="0" w:right="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4.排版要求：</w:t>
      </w:r>
    </w:p>
    <w:p w14:paraId="00FCCFB3">
      <w:pPr>
        <w:pStyle w:val="2"/>
        <w:keepNext w:val="0"/>
        <w:keepLines w:val="0"/>
        <w:pageBreakBefore w:val="0"/>
        <w:numPr>
          <w:ilvl w:val="0"/>
          <w:numId w:val="0"/>
        </w:numPr>
        <w:kinsoku/>
        <w:overflowPunct/>
        <w:topLinePunct w:val="0"/>
        <w:autoSpaceDE/>
        <w:autoSpaceDN/>
        <w:bidi w:val="0"/>
        <w:adjustRightInd/>
        <w:snapToGrid/>
        <w:spacing w:line="460" w:lineRule="exact"/>
        <w:ind w:right="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i w:val="0"/>
          <w:spacing w:val="4"/>
          <w:kern w:val="2"/>
          <w:sz w:val="24"/>
          <w:szCs w:val="24"/>
          <w:highlight w:val="none"/>
          <w:lang w:val="en-US" w:eastAsia="zh-CN" w:bidi="ar-SA"/>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66A7637">
      <w:pPr>
        <w:pStyle w:val="2"/>
        <w:keepNext w:val="0"/>
        <w:keepLines w:val="0"/>
        <w:pageBreakBefore w:val="0"/>
        <w:numPr>
          <w:ilvl w:val="0"/>
          <w:numId w:val="0"/>
        </w:numPr>
        <w:kinsoku/>
        <w:overflowPunct/>
        <w:topLinePunct w:val="0"/>
        <w:autoSpaceDE/>
        <w:autoSpaceDN/>
        <w:bidi w:val="0"/>
        <w:adjustRightInd/>
        <w:snapToGrid/>
        <w:spacing w:line="460" w:lineRule="exact"/>
        <w:ind w:right="0"/>
        <w:textAlignment w:val="auto"/>
        <w:rPr>
          <w:rFonts w:hint="eastAsia" w:ascii="宋体" w:hAnsi="宋体" w:eastAsia="宋体" w:cs="宋体"/>
          <w:b/>
          <w:bCs/>
          <w:i w:val="0"/>
          <w:spacing w:val="4"/>
          <w:kern w:val="2"/>
          <w:sz w:val="24"/>
          <w:szCs w:val="24"/>
          <w:highlight w:val="none"/>
          <w:lang w:val="en-US" w:eastAsia="zh-CN" w:bidi="ar-SA"/>
        </w:rPr>
      </w:pPr>
      <w:r>
        <w:rPr>
          <w:rFonts w:hint="eastAsia" w:ascii="宋体" w:hAnsi="宋体" w:eastAsia="宋体" w:cs="宋体"/>
          <w:b/>
          <w:bCs/>
          <w:i w:val="0"/>
          <w:spacing w:val="4"/>
          <w:kern w:val="2"/>
          <w:sz w:val="24"/>
          <w:szCs w:val="24"/>
          <w:highlight w:val="none"/>
          <w:lang w:val="en-US" w:eastAsia="zh-CN" w:bidi="ar-SA"/>
        </w:rPr>
        <w:t>5.其他要求：</w:t>
      </w:r>
    </w:p>
    <w:p w14:paraId="5AA1DFFA">
      <w:pPr>
        <w:pStyle w:val="2"/>
        <w:keepNext w:val="0"/>
        <w:keepLines w:val="0"/>
        <w:pageBreakBefore w:val="0"/>
        <w:numPr>
          <w:ilvl w:val="0"/>
          <w:numId w:val="0"/>
        </w:numPr>
        <w:kinsoku/>
        <w:overflowPunct/>
        <w:topLinePunct w:val="0"/>
        <w:autoSpaceDE/>
        <w:autoSpaceDN/>
        <w:bidi w:val="0"/>
        <w:adjustRightInd/>
        <w:snapToGrid/>
        <w:spacing w:line="460" w:lineRule="exact"/>
        <w:ind w:right="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i w:val="0"/>
          <w:spacing w:val="4"/>
          <w:kern w:val="2"/>
          <w:sz w:val="24"/>
          <w:szCs w:val="24"/>
          <w:highlight w:val="none"/>
          <w:lang w:val="en-US" w:eastAsia="zh-CN" w:bidi="ar-SA"/>
        </w:rPr>
        <w:t>除满足上述各项要求外，构成投标文件的“技术暗标”的正文中均不得出现供应商的名称和其它可识别供应商身份的字符、徽标、人员名称以及其他可能被辨别出供应商身份的任何标记。</w:t>
      </w:r>
    </w:p>
    <w:p w14:paraId="3D34D031">
      <w:pPr>
        <w:rPr>
          <w:rFonts w:hint="eastAsia" w:ascii="宋体" w:hAnsi="宋体" w:eastAsia="宋体" w:cs="宋体"/>
          <w:b/>
          <w:bCs/>
          <w:color w:val="auto"/>
          <w:sz w:val="24"/>
          <w:szCs w:val="24"/>
          <w:highlight w:val="none"/>
          <w:lang w:val="en-US" w:eastAsia="zh-CN"/>
        </w:rPr>
      </w:pPr>
    </w:p>
    <w:p w14:paraId="5A4888DE">
      <w:pPr>
        <w:rPr>
          <w:color w:val="000000" w:themeColor="text1"/>
          <w:highlight w:val="none"/>
          <w14:textFill>
            <w14:solidFill>
              <w14:schemeClr w14:val="tx1"/>
            </w14:solidFill>
          </w14:textFill>
        </w:rPr>
      </w:pPr>
      <w:r>
        <w:rPr>
          <w:rFonts w:hint="eastAsia" w:ascii="宋体" w:hAnsi="宋体" w:eastAsia="宋体" w:cs="宋体"/>
          <w:b/>
          <w:bCs/>
          <w:color w:val="auto"/>
          <w:sz w:val="24"/>
          <w:szCs w:val="24"/>
          <w:highlight w:val="none"/>
          <w:lang w:val="en-US" w:eastAsia="zh-CN"/>
        </w:rPr>
        <w:t>注：技术标文件（暗标）未按</w:t>
      </w:r>
      <w:r>
        <w:rPr>
          <w:rFonts w:hint="eastAsia" w:ascii="宋体" w:hAnsi="宋体" w:cs="宋体"/>
          <w:b/>
          <w:bCs/>
          <w:color w:val="auto"/>
          <w:sz w:val="24"/>
          <w:szCs w:val="24"/>
          <w:highlight w:val="none"/>
          <w:lang w:val="en-US" w:eastAsia="zh-CN"/>
        </w:rPr>
        <w:t>以上</w:t>
      </w:r>
      <w:r>
        <w:rPr>
          <w:rFonts w:hint="eastAsia" w:ascii="宋体" w:hAnsi="宋体" w:eastAsia="宋体" w:cs="宋体"/>
          <w:b/>
          <w:bCs/>
          <w:color w:val="auto"/>
          <w:sz w:val="24"/>
          <w:szCs w:val="24"/>
          <w:highlight w:val="none"/>
          <w:lang w:val="en-US" w:eastAsia="zh-CN"/>
        </w:rPr>
        <w:t>“盲评”要求制作的，为无效投标</w:t>
      </w:r>
      <w:r>
        <w:rPr>
          <w:rFonts w:hint="eastAsia" w:ascii="宋体" w:hAnsi="宋体" w:eastAsia="宋体" w:cs="Times New Roman"/>
          <w:b/>
          <w:bCs/>
          <w:color w:val="auto"/>
          <w:kern w:val="2"/>
          <w:sz w:val="24"/>
          <w:szCs w:val="24"/>
          <w:highlight w:val="none"/>
          <w:lang w:val="en-US" w:eastAsia="zh-CN" w:bidi="ar-SA"/>
        </w:rPr>
        <w:t>。</w:t>
      </w:r>
    </w:p>
    <w:p w14:paraId="4AD9A29C">
      <w:pPr>
        <w:pStyle w:val="27"/>
        <w:rPr>
          <w:color w:val="000000" w:themeColor="text1"/>
          <w:highlight w:val="none"/>
          <w14:textFill>
            <w14:solidFill>
              <w14:schemeClr w14:val="tx1"/>
            </w14:solidFill>
          </w14:textFill>
        </w:rPr>
      </w:pPr>
    </w:p>
    <w:p w14:paraId="448FDCA3">
      <w:pPr>
        <w:rPr>
          <w:color w:val="000000" w:themeColor="text1"/>
          <w:highlight w:val="none"/>
          <w14:textFill>
            <w14:solidFill>
              <w14:schemeClr w14:val="tx1"/>
            </w14:solidFill>
          </w14:textFill>
        </w:rPr>
      </w:pPr>
    </w:p>
    <w:p w14:paraId="0F149557">
      <w:pPr>
        <w:pStyle w:val="27"/>
        <w:rPr>
          <w:color w:val="000000" w:themeColor="text1"/>
          <w:highlight w:val="none"/>
          <w14:textFill>
            <w14:solidFill>
              <w14:schemeClr w14:val="tx1"/>
            </w14:solidFill>
          </w14:textFill>
        </w:rPr>
      </w:pPr>
    </w:p>
    <w:p w14:paraId="521C90EE">
      <w:pPr>
        <w:rPr>
          <w:color w:val="000000" w:themeColor="text1"/>
          <w:highlight w:val="none"/>
          <w14:textFill>
            <w14:solidFill>
              <w14:schemeClr w14:val="tx1"/>
            </w14:solidFill>
          </w14:textFill>
        </w:rPr>
      </w:pPr>
    </w:p>
    <w:p w14:paraId="489CC0E3">
      <w:pPr>
        <w:pStyle w:val="27"/>
        <w:rPr>
          <w:color w:val="000000" w:themeColor="text1"/>
          <w:highlight w:val="none"/>
          <w14:textFill>
            <w14:solidFill>
              <w14:schemeClr w14:val="tx1"/>
            </w14:solidFill>
          </w14:textFill>
        </w:rPr>
      </w:pPr>
    </w:p>
    <w:p w14:paraId="6370BA25">
      <w:pPr>
        <w:rPr>
          <w:color w:val="000000" w:themeColor="text1"/>
          <w:highlight w:val="none"/>
          <w14:textFill>
            <w14:solidFill>
              <w14:schemeClr w14:val="tx1"/>
            </w14:solidFill>
          </w14:textFill>
        </w:rPr>
      </w:pPr>
    </w:p>
    <w:p w14:paraId="69DE98D0">
      <w:pPr>
        <w:pStyle w:val="27"/>
        <w:rPr>
          <w:color w:val="000000" w:themeColor="text1"/>
          <w:highlight w:val="none"/>
          <w14:textFill>
            <w14:solidFill>
              <w14:schemeClr w14:val="tx1"/>
            </w14:solidFill>
          </w14:textFill>
        </w:rPr>
      </w:pPr>
    </w:p>
    <w:p w14:paraId="10ECE2A8">
      <w:pPr>
        <w:rPr>
          <w:color w:val="000000" w:themeColor="text1"/>
          <w:highlight w:val="none"/>
          <w14:textFill>
            <w14:solidFill>
              <w14:schemeClr w14:val="tx1"/>
            </w14:solidFill>
          </w14:textFill>
        </w:rPr>
      </w:pPr>
    </w:p>
    <w:p w14:paraId="130024BA">
      <w:pPr>
        <w:numPr>
          <w:ilvl w:val="0"/>
          <w:numId w:val="4"/>
        </w:numPr>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238" w:name="_Toc17983"/>
      <w:bookmarkStart w:id="239" w:name="_Toc2778"/>
      <w:bookmarkStart w:id="240" w:name="_Toc1239"/>
      <w:bookmarkStart w:id="241" w:name="_Toc13351"/>
      <w:r>
        <w:rPr>
          <w:rFonts w:hint="eastAsia" w:ascii="宋体" w:hAnsi="宋体" w:cs="宋体"/>
          <w:b/>
          <w:bCs/>
          <w:color w:val="000000" w:themeColor="text1"/>
          <w:sz w:val="32"/>
          <w:szCs w:val="32"/>
          <w:highlight w:val="none"/>
          <w14:textFill>
            <w14:solidFill>
              <w14:schemeClr w14:val="tx1"/>
            </w14:solidFill>
          </w14:textFill>
        </w:rPr>
        <w:t>其他资料</w:t>
      </w:r>
      <w:bookmarkEnd w:id="238"/>
      <w:bookmarkEnd w:id="239"/>
      <w:bookmarkEnd w:id="240"/>
      <w:bookmarkEnd w:id="241"/>
    </w:p>
    <w:p w14:paraId="6C251CF5">
      <w:pPr>
        <w:pStyle w:val="2"/>
        <w:numPr>
          <w:ilvl w:val="0"/>
          <w:numId w:val="0"/>
        </w:numPr>
        <w:rPr>
          <w:highlight w:val="none"/>
        </w:rPr>
      </w:pPr>
    </w:p>
    <w:p w14:paraId="0C3A5F1F">
      <w:pPr>
        <w:pStyle w:val="32"/>
        <w:ind w:firstLine="0" w:firstLineChars="0"/>
        <w:jc w:val="both"/>
        <w:rPr>
          <w:rFonts w:hint="eastAsia" w:ascii="宋体" w:hAnsi="宋体" w:eastAsia="宋体" w:cs="宋体"/>
          <w:highlight w:val="none"/>
        </w:rPr>
      </w:pPr>
      <w:r>
        <w:rPr>
          <w:rFonts w:hint="eastAsia" w:ascii="宋体" w:hAnsi="宋体" w:eastAsia="宋体" w:cs="宋体"/>
          <w:b/>
          <w:bCs w:val="0"/>
          <w:color w:val="auto"/>
          <w:sz w:val="24"/>
          <w:szCs w:val="24"/>
          <w:highlight w:val="none"/>
          <w:lang w:val="zh-CN"/>
        </w:rPr>
        <w:t>备注：</w:t>
      </w:r>
      <w:r>
        <w:rPr>
          <w:rFonts w:hint="eastAsia" w:ascii="宋体" w:eastAsia="宋体" w:cs="宋体"/>
          <w:b w:val="0"/>
          <w:bCs/>
          <w:color w:val="auto"/>
          <w:sz w:val="24"/>
          <w:szCs w:val="24"/>
          <w:highlight w:val="none"/>
          <w:lang w:val="zh-CN"/>
        </w:rPr>
        <w:t>磋商</w:t>
      </w:r>
      <w:r>
        <w:rPr>
          <w:rFonts w:hint="eastAsia" w:ascii="宋体" w:hAnsi="宋体" w:eastAsia="宋体" w:cs="宋体"/>
          <w:b w:val="0"/>
          <w:bCs/>
          <w:sz w:val="24"/>
          <w:highlight w:val="none"/>
          <w:lang w:val="zh-CN"/>
        </w:rPr>
        <w:t>文件中要求的其他证明资料或供应商认为针对本项目有必要提供的资料附件</w:t>
      </w:r>
      <w:r>
        <w:rPr>
          <w:rFonts w:hint="eastAsia" w:ascii="宋体" w:eastAsia="宋体" w:cs="宋体"/>
          <w:b w:val="0"/>
          <w:bCs/>
          <w:sz w:val="24"/>
          <w:highlight w:val="none"/>
          <w:lang w:val="zh-CN"/>
        </w:rPr>
        <w:t>（</w:t>
      </w:r>
      <w:r>
        <w:rPr>
          <w:rFonts w:hint="eastAsia" w:ascii="宋体" w:hAnsi="宋体" w:eastAsia="宋体" w:cs="宋体"/>
          <w:b w:val="0"/>
          <w:bCs/>
          <w:sz w:val="24"/>
          <w:highlight w:val="none"/>
          <w:lang w:val="zh-CN"/>
        </w:rPr>
        <w:t>详见第三章竞争性磋商评标办法</w:t>
      </w:r>
      <w:r>
        <w:rPr>
          <w:rFonts w:hint="eastAsia" w:ascii="宋体" w:hAnsi="宋体" w:eastAsia="宋体" w:cs="宋体"/>
          <w:b w:val="0"/>
          <w:bCs/>
          <w:sz w:val="24"/>
          <w:highlight w:val="none"/>
          <w:lang w:val="zh-CN" w:eastAsia="zh-CN"/>
        </w:rPr>
        <w:t>，第五章项目采购需求</w:t>
      </w:r>
      <w:r>
        <w:rPr>
          <w:rFonts w:hint="eastAsia" w:ascii="宋体" w:hAnsi="宋体" w:eastAsia="宋体" w:cs="宋体"/>
          <w:b w:val="0"/>
          <w:bCs/>
          <w:sz w:val="24"/>
          <w:highlight w:val="none"/>
          <w:lang w:val="zh-CN"/>
        </w:rPr>
        <w:t>内容</w:t>
      </w:r>
      <w:r>
        <w:rPr>
          <w:rFonts w:hint="eastAsia" w:ascii="宋体" w:eastAsia="宋体" w:cs="宋体"/>
          <w:b w:val="0"/>
          <w:bCs/>
          <w:sz w:val="24"/>
          <w:highlight w:val="none"/>
          <w:lang w:val="zh-CN"/>
        </w:rPr>
        <w:t>）</w:t>
      </w:r>
      <w:r>
        <w:rPr>
          <w:rFonts w:hint="eastAsia" w:ascii="宋体" w:hAnsi="宋体" w:eastAsia="宋体" w:cs="宋体"/>
          <w:b w:val="0"/>
          <w:bCs/>
          <w:sz w:val="24"/>
          <w:highlight w:val="none"/>
          <w:lang w:val="zh-CN"/>
        </w:rPr>
        <w:t>。</w:t>
      </w:r>
    </w:p>
    <w:p w14:paraId="16AAA3CE">
      <w:pPr>
        <w:rPr>
          <w:color w:val="000000" w:themeColor="text1"/>
          <w:sz w:val="28"/>
          <w:szCs w:val="28"/>
          <w:highlight w:val="none"/>
          <w14:textFill>
            <w14:solidFill>
              <w14:schemeClr w14:val="tx1"/>
            </w14:solidFill>
          </w14:textFill>
        </w:rPr>
      </w:pPr>
    </w:p>
    <w:p w14:paraId="125019E6">
      <w:pPr>
        <w:rPr>
          <w:color w:val="000000" w:themeColor="text1"/>
          <w:highlight w:val="none"/>
          <w14:textFill>
            <w14:solidFill>
              <w14:schemeClr w14:val="tx1"/>
            </w14:solidFill>
          </w14:textFill>
        </w:rPr>
      </w:pPr>
    </w:p>
    <w:p w14:paraId="4262620F">
      <w:pPr>
        <w:pStyle w:val="2"/>
        <w:rPr>
          <w:color w:val="000000" w:themeColor="text1"/>
          <w:highlight w:val="none"/>
          <w14:textFill>
            <w14:solidFill>
              <w14:schemeClr w14:val="tx1"/>
            </w14:solidFill>
          </w14:textFill>
        </w:rPr>
      </w:pPr>
    </w:p>
    <w:p w14:paraId="4070B20F">
      <w:pPr>
        <w:pStyle w:val="2"/>
        <w:rPr>
          <w:color w:val="000000" w:themeColor="text1"/>
          <w:highlight w:val="none"/>
          <w14:textFill>
            <w14:solidFill>
              <w14:schemeClr w14:val="tx1"/>
            </w14:solidFill>
          </w14:textFill>
        </w:rPr>
      </w:pPr>
    </w:p>
    <w:p w14:paraId="379C4679">
      <w:pPr>
        <w:pStyle w:val="2"/>
        <w:rPr>
          <w:color w:val="000000" w:themeColor="text1"/>
          <w:highlight w:val="none"/>
          <w14:textFill>
            <w14:solidFill>
              <w14:schemeClr w14:val="tx1"/>
            </w14:solidFill>
          </w14:textFill>
        </w:rPr>
      </w:pPr>
    </w:p>
    <w:p w14:paraId="3260E91A">
      <w:pPr>
        <w:pStyle w:val="2"/>
        <w:rPr>
          <w:color w:val="000000" w:themeColor="text1"/>
          <w:highlight w:val="none"/>
          <w14:textFill>
            <w14:solidFill>
              <w14:schemeClr w14:val="tx1"/>
            </w14:solidFill>
          </w14:textFill>
        </w:rPr>
      </w:pPr>
    </w:p>
    <w:p w14:paraId="1F84E36F">
      <w:pPr>
        <w:pStyle w:val="2"/>
        <w:rPr>
          <w:color w:val="000000" w:themeColor="text1"/>
          <w:highlight w:val="none"/>
          <w14:textFill>
            <w14:solidFill>
              <w14:schemeClr w14:val="tx1"/>
            </w14:solidFill>
          </w14:textFill>
        </w:rPr>
      </w:pPr>
    </w:p>
    <w:p w14:paraId="2D83AD79">
      <w:pPr>
        <w:pStyle w:val="2"/>
        <w:rPr>
          <w:color w:val="000000" w:themeColor="text1"/>
          <w:highlight w:val="none"/>
          <w14:textFill>
            <w14:solidFill>
              <w14:schemeClr w14:val="tx1"/>
            </w14:solidFill>
          </w14:textFill>
        </w:rPr>
      </w:pPr>
    </w:p>
    <w:p w14:paraId="557D45DF">
      <w:pPr>
        <w:pStyle w:val="2"/>
        <w:rPr>
          <w:color w:val="000000" w:themeColor="text1"/>
          <w:highlight w:val="none"/>
          <w14:textFill>
            <w14:solidFill>
              <w14:schemeClr w14:val="tx1"/>
            </w14:solidFill>
          </w14:textFill>
        </w:rPr>
      </w:pPr>
    </w:p>
    <w:p w14:paraId="5498F7B1">
      <w:pPr>
        <w:pStyle w:val="2"/>
        <w:rPr>
          <w:color w:val="000000" w:themeColor="text1"/>
          <w:highlight w:val="none"/>
          <w14:textFill>
            <w14:solidFill>
              <w14:schemeClr w14:val="tx1"/>
            </w14:solidFill>
          </w14:textFill>
        </w:rPr>
      </w:pPr>
    </w:p>
    <w:p w14:paraId="085244AB">
      <w:pPr>
        <w:pStyle w:val="2"/>
        <w:rPr>
          <w:color w:val="000000" w:themeColor="text1"/>
          <w:highlight w:val="none"/>
          <w14:textFill>
            <w14:solidFill>
              <w14:schemeClr w14:val="tx1"/>
            </w14:solidFill>
          </w14:textFill>
        </w:rPr>
      </w:pPr>
    </w:p>
    <w:p w14:paraId="3E056571">
      <w:pPr>
        <w:pStyle w:val="2"/>
        <w:rPr>
          <w:color w:val="000000" w:themeColor="text1"/>
          <w:highlight w:val="none"/>
          <w14:textFill>
            <w14:solidFill>
              <w14:schemeClr w14:val="tx1"/>
            </w14:solidFill>
          </w14:textFill>
        </w:rPr>
      </w:pPr>
    </w:p>
    <w:p w14:paraId="15A3AC6A">
      <w:pPr>
        <w:pStyle w:val="2"/>
        <w:rPr>
          <w:color w:val="000000" w:themeColor="text1"/>
          <w:highlight w:val="none"/>
          <w14:textFill>
            <w14:solidFill>
              <w14:schemeClr w14:val="tx1"/>
            </w14:solidFill>
          </w14:textFill>
        </w:rPr>
      </w:pPr>
    </w:p>
    <w:p w14:paraId="6FFA2F6F">
      <w:pPr>
        <w:pStyle w:val="2"/>
        <w:rPr>
          <w:color w:val="000000" w:themeColor="text1"/>
          <w:highlight w:val="none"/>
          <w14:textFill>
            <w14:solidFill>
              <w14:schemeClr w14:val="tx1"/>
            </w14:solidFill>
          </w14:textFill>
        </w:rPr>
      </w:pPr>
    </w:p>
    <w:p w14:paraId="2D92381A">
      <w:pPr>
        <w:pStyle w:val="2"/>
        <w:rPr>
          <w:color w:val="000000" w:themeColor="text1"/>
          <w:highlight w:val="none"/>
          <w14:textFill>
            <w14:solidFill>
              <w14:schemeClr w14:val="tx1"/>
            </w14:solidFill>
          </w14:textFill>
        </w:rPr>
      </w:pPr>
    </w:p>
    <w:p w14:paraId="7E566403">
      <w:pPr>
        <w:pStyle w:val="2"/>
        <w:rPr>
          <w:color w:val="000000" w:themeColor="text1"/>
          <w:highlight w:val="none"/>
          <w14:textFill>
            <w14:solidFill>
              <w14:schemeClr w14:val="tx1"/>
            </w14:solidFill>
          </w14:textFill>
        </w:rPr>
      </w:pPr>
    </w:p>
    <w:p w14:paraId="1120DA2F">
      <w:pPr>
        <w:spacing w:line="500" w:lineRule="exact"/>
        <w:ind w:firstLine="420" w:firstLineChars="175"/>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（盖单位章）</w:t>
      </w:r>
    </w:p>
    <w:p w14:paraId="1318ABE6">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5C572656">
      <w:pPr>
        <w:spacing w:line="500" w:lineRule="exact"/>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字）</w:t>
      </w:r>
    </w:p>
    <w:p w14:paraId="345F44A9">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7F6E834A">
      <w:pPr>
        <w:pStyle w:val="2"/>
        <w:ind w:firstLine="4712" w:firstLineChars="19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日  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w:t>
      </w:r>
    </w:p>
    <w:p w14:paraId="06EB78F6">
      <w:pPr>
        <w:pStyle w:val="2"/>
        <w:rPr>
          <w:color w:val="000000" w:themeColor="text1"/>
          <w:highlight w:val="none"/>
          <w14:textFill>
            <w14:solidFill>
              <w14:schemeClr w14:val="tx1"/>
            </w14:solidFill>
          </w14:textFill>
        </w:rPr>
      </w:pPr>
    </w:p>
    <w:sectPr>
      <w:headerReference r:id="rId12" w:type="default"/>
      <w:pgSz w:w="11905" w:h="16838"/>
      <w:pgMar w:top="1440" w:right="1803" w:bottom="1440" w:left="1803" w:header="1140" w:footer="720"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鼎简楷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E46D">
    <w:pPr>
      <w:pStyle w:val="22"/>
      <w:tabs>
        <w:tab w:val="center" w:pos="4649"/>
        <w:tab w:val="clear" w:pos="4153"/>
        <w:tab w:val="clear" w:pos="8306"/>
      </w:tabs>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3339">
    <w:pPr>
      <w:pStyle w:val="22"/>
      <w:jc w:val="center"/>
      <w:rPr>
        <w:rFonts w:ascii="Cambria" w:hAnsi="Cambria" w:cs="Cambr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A56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386A56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181F717F">
    <w:pPr>
      <w:pStyle w:val="22"/>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90F20">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6CFC0">
                          <w:pPr>
                            <w:pStyle w:val="2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6A26CFC0">
                    <w:pPr>
                      <w:pStyle w:val="2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F294">
    <w:pPr>
      <w:pStyle w:val="22"/>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10B3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9110B35">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6792F6B0">
    <w:pPr>
      <w:pStyle w:val="22"/>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29E3">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16DBD">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69016DBD">
                    <w:pPr>
                      <w:pStyle w:val="22"/>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BEB31">
                          <w:pPr>
                            <w:pStyle w:val="22"/>
                          </w:pP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WlNoBAAC1AwAADgAAAGRycy9lMm9Eb2MueG1srVPBjtMwEL0j8Q+W&#10;7zRpk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64pfceaEpYGff3w///x9/vWN&#10;zcvXi9ShzuOKEu88pcb+DfS0N5MfyZmE902w6U+SGMWpv6dLf1UfmUyXlovlsqSQpNh0IPzi4boP&#10;GN8psCwZFQ80wNxXcfyAcUidUlI1B7famDxE4/5xEGbyFIn7wDFZsd/1o6Ad1CfSQy+B6rQQvnLW&#10;0R5U3NHac2beO2pzWpnJCJOxmwzhJF2seORsMN/GvFqJCPqbQyR2mXQqPdQbGdE0s+xx89K6/H3O&#10;WQ+vb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t7lpTaAQAAtQMAAA4AAAAAAAAAAQAg&#10;AAAAHgEAAGRycy9lMm9Eb2MueG1sUEsFBgAAAAAGAAYAWQEAAGoFAAAAAA==&#10;">
              <v:fill on="f" focussize="0,0"/>
              <v:stroke on="f"/>
              <v:imagedata o:title=""/>
              <o:lock v:ext="edit" aspectratio="f"/>
              <v:textbox inset="0mm,0mm,0mm,0mm" style="mso-fit-shape-to-text:t;">
                <w:txbxContent>
                  <w:p w14:paraId="7DCBEB31">
                    <w:pPr>
                      <w:pStyle w:val="22"/>
                    </w:pPr>
                  </w:p>
                </w:txbxContent>
              </v:textbox>
            </v:shape>
          </w:pict>
        </mc:Fallback>
      </mc:AlternateContent>
    </w:r>
  </w:p>
  <w:p w14:paraId="3A00ADAF">
    <w:pPr>
      <w:pStyle w:val="22"/>
      <w:jc w:val="center"/>
    </w:pPr>
  </w:p>
  <w:p w14:paraId="13E557E0">
    <w:pPr>
      <w:pStyle w:val="22"/>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2739">
    <w:pPr>
      <w:pStyle w:val="22"/>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C8A1">
                          <w:pPr>
                            <w:pStyle w:val="2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58B4C8A1">
                    <w:pPr>
                      <w:pStyle w:val="2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A834">
    <w:pPr>
      <w:pStyle w:val="23"/>
      <w:pBdr>
        <w:bottom w:val="none" w:color="auto" w:sz="0" w:space="1"/>
      </w:pBdr>
      <w:jc w:val="both"/>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1170">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F0AE">
    <w:pPr>
      <w:pStyle w:val="23"/>
      <w:pBdr>
        <w:bottom w:val="thinThickSmallGap" w:color="auto" w:sz="12" w:space="1"/>
      </w:pBdr>
      <w:jc w:val="right"/>
      <w:rPr>
        <w:b/>
        <w:bCs/>
      </w:rPr>
    </w:pPr>
    <w:r>
      <w:rPr>
        <w:rFonts w:hint="eastAsia"/>
        <w:b/>
        <w:bCs/>
      </w:rPr>
      <w:t>吉林省长润工程咨询有限公司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E48F">
    <w:pPr>
      <w:pStyle w:val="23"/>
      <w:pBdr>
        <w:bottom w:val="thinThickSmallGap" w:color="auto" w:sz="12" w:space="1"/>
      </w:pBdr>
      <w:jc w:val="right"/>
      <w:rPr>
        <w:rFonts w:ascii="仿宋_GB2312" w:eastAsia="仿宋_GB2312"/>
      </w:rPr>
    </w:pPr>
    <w:r>
      <w:rPr>
        <w:rFonts w:hint="eastAsia"/>
        <w:b/>
        <w:bCs/>
      </w:rPr>
      <w:t>吉林省长润工程咨询有限公司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FE40A"/>
    <w:multiLevelType w:val="singleLevel"/>
    <w:tmpl w:val="E6FFE40A"/>
    <w:lvl w:ilvl="0" w:tentative="0">
      <w:start w:val="4"/>
      <w:numFmt w:val="chineseCounting"/>
      <w:suff w:val="nothing"/>
      <w:lvlText w:val="%1、"/>
      <w:lvlJc w:val="left"/>
      <w:rPr>
        <w:rFonts w:hint="eastAsia"/>
      </w:rPr>
    </w:lvl>
  </w:abstractNum>
  <w:abstractNum w:abstractNumId="1">
    <w:nsid w:val="F4ABA2A7"/>
    <w:multiLevelType w:val="singleLevel"/>
    <w:tmpl w:val="F4ABA2A7"/>
    <w:lvl w:ilvl="0" w:tentative="0">
      <w:start w:val="7"/>
      <w:numFmt w:val="chineseCounting"/>
      <w:suff w:val="nothing"/>
      <w:lvlText w:val="（%1）"/>
      <w:lvlJc w:val="left"/>
      <w:rPr>
        <w:rFonts w:hint="eastAsia"/>
      </w:rPr>
    </w:lvl>
  </w:abstractNum>
  <w:abstractNum w:abstractNumId="2">
    <w:nsid w:val="0A8E76A7"/>
    <w:multiLevelType w:val="singleLevel"/>
    <w:tmpl w:val="0A8E76A7"/>
    <w:lvl w:ilvl="0" w:tentative="0">
      <w:start w:val="1"/>
      <w:numFmt w:val="decimal"/>
      <w:lvlText w:val="%1."/>
      <w:lvlJc w:val="left"/>
      <w:pPr>
        <w:tabs>
          <w:tab w:val="left" w:pos="312"/>
        </w:tabs>
      </w:pPr>
    </w:lvl>
  </w:abstractNum>
  <w:abstractNum w:abstractNumId="3">
    <w:nsid w:val="35F6448F"/>
    <w:multiLevelType w:val="singleLevel"/>
    <w:tmpl w:val="35F6448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6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1NmYxMGQ5YTMzNzVmYTNkZGJmOTliMDZhNDNkMjgifQ=="/>
    <w:docVar w:name="KSO_WPS_MARK_KEY" w:val="27c60721-02e6-4d99-b82f-0690670458f0"/>
  </w:docVars>
  <w:rsids>
    <w:rsidRoot w:val="0060259C"/>
    <w:rsid w:val="00004DF0"/>
    <w:rsid w:val="00007BD3"/>
    <w:rsid w:val="0001610B"/>
    <w:rsid w:val="0002552D"/>
    <w:rsid w:val="00025E56"/>
    <w:rsid w:val="000305ED"/>
    <w:rsid w:val="0003157E"/>
    <w:rsid w:val="000343CF"/>
    <w:rsid w:val="00041996"/>
    <w:rsid w:val="00042CB8"/>
    <w:rsid w:val="0004356D"/>
    <w:rsid w:val="00044BBF"/>
    <w:rsid w:val="00046859"/>
    <w:rsid w:val="00050C77"/>
    <w:rsid w:val="00054BEB"/>
    <w:rsid w:val="000560E8"/>
    <w:rsid w:val="00056FDC"/>
    <w:rsid w:val="000702F5"/>
    <w:rsid w:val="00072F44"/>
    <w:rsid w:val="000807B8"/>
    <w:rsid w:val="00086A42"/>
    <w:rsid w:val="00086C6B"/>
    <w:rsid w:val="00090ABA"/>
    <w:rsid w:val="000A3FA6"/>
    <w:rsid w:val="000A4BC0"/>
    <w:rsid w:val="000B1F38"/>
    <w:rsid w:val="000B534C"/>
    <w:rsid w:val="000B73C0"/>
    <w:rsid w:val="000C5AC8"/>
    <w:rsid w:val="000C7FD3"/>
    <w:rsid w:val="000D0243"/>
    <w:rsid w:val="000D0652"/>
    <w:rsid w:val="000D20E4"/>
    <w:rsid w:val="000D77C2"/>
    <w:rsid w:val="000E288F"/>
    <w:rsid w:val="000E35DC"/>
    <w:rsid w:val="000E3B1B"/>
    <w:rsid w:val="000E63AE"/>
    <w:rsid w:val="000F1662"/>
    <w:rsid w:val="000F1BEF"/>
    <w:rsid w:val="0010081D"/>
    <w:rsid w:val="001034EC"/>
    <w:rsid w:val="00106518"/>
    <w:rsid w:val="0010772B"/>
    <w:rsid w:val="001169B3"/>
    <w:rsid w:val="00116B44"/>
    <w:rsid w:val="00120475"/>
    <w:rsid w:val="001232BD"/>
    <w:rsid w:val="00126146"/>
    <w:rsid w:val="0012703C"/>
    <w:rsid w:val="001355E3"/>
    <w:rsid w:val="001511F9"/>
    <w:rsid w:val="00152366"/>
    <w:rsid w:val="00152521"/>
    <w:rsid w:val="00152A71"/>
    <w:rsid w:val="001610CB"/>
    <w:rsid w:val="0016157B"/>
    <w:rsid w:val="00166CC9"/>
    <w:rsid w:val="00171254"/>
    <w:rsid w:val="00174204"/>
    <w:rsid w:val="00176CDE"/>
    <w:rsid w:val="00182256"/>
    <w:rsid w:val="001844EE"/>
    <w:rsid w:val="00192F06"/>
    <w:rsid w:val="001942C3"/>
    <w:rsid w:val="001A2302"/>
    <w:rsid w:val="001A4FDF"/>
    <w:rsid w:val="001A71A4"/>
    <w:rsid w:val="001B3B48"/>
    <w:rsid w:val="001B5695"/>
    <w:rsid w:val="001C1185"/>
    <w:rsid w:val="001C12AF"/>
    <w:rsid w:val="001D3067"/>
    <w:rsid w:val="001D4ADB"/>
    <w:rsid w:val="001E5BC4"/>
    <w:rsid w:val="001F4348"/>
    <w:rsid w:val="001F4B92"/>
    <w:rsid w:val="001F5F96"/>
    <w:rsid w:val="00203E07"/>
    <w:rsid w:val="002219BE"/>
    <w:rsid w:val="002239CD"/>
    <w:rsid w:val="00224EC9"/>
    <w:rsid w:val="0022564C"/>
    <w:rsid w:val="00226DC2"/>
    <w:rsid w:val="00227CBD"/>
    <w:rsid w:val="00230D70"/>
    <w:rsid w:val="002361D5"/>
    <w:rsid w:val="0023792B"/>
    <w:rsid w:val="002401CF"/>
    <w:rsid w:val="0025318F"/>
    <w:rsid w:val="0025487C"/>
    <w:rsid w:val="00256790"/>
    <w:rsid w:val="00265984"/>
    <w:rsid w:val="0026722F"/>
    <w:rsid w:val="0027477C"/>
    <w:rsid w:val="002838C2"/>
    <w:rsid w:val="0028665A"/>
    <w:rsid w:val="002917AF"/>
    <w:rsid w:val="00293FD0"/>
    <w:rsid w:val="0029443E"/>
    <w:rsid w:val="00294CF3"/>
    <w:rsid w:val="002A50EE"/>
    <w:rsid w:val="002A7D62"/>
    <w:rsid w:val="002B54F8"/>
    <w:rsid w:val="002B5F1A"/>
    <w:rsid w:val="002B700F"/>
    <w:rsid w:val="002C0170"/>
    <w:rsid w:val="002C188E"/>
    <w:rsid w:val="002C20B9"/>
    <w:rsid w:val="002C3430"/>
    <w:rsid w:val="002D0870"/>
    <w:rsid w:val="002D2B90"/>
    <w:rsid w:val="002D3494"/>
    <w:rsid w:val="002D3F13"/>
    <w:rsid w:val="002D4E71"/>
    <w:rsid w:val="002E49B0"/>
    <w:rsid w:val="002E67A6"/>
    <w:rsid w:val="002F1339"/>
    <w:rsid w:val="002F2B91"/>
    <w:rsid w:val="002F554C"/>
    <w:rsid w:val="002F59AB"/>
    <w:rsid w:val="0030510C"/>
    <w:rsid w:val="00316816"/>
    <w:rsid w:val="00317DEE"/>
    <w:rsid w:val="003222FE"/>
    <w:rsid w:val="0032490C"/>
    <w:rsid w:val="00325AAA"/>
    <w:rsid w:val="003326E9"/>
    <w:rsid w:val="00334E85"/>
    <w:rsid w:val="003357EF"/>
    <w:rsid w:val="003462FE"/>
    <w:rsid w:val="00346375"/>
    <w:rsid w:val="00351847"/>
    <w:rsid w:val="00360A64"/>
    <w:rsid w:val="003629AD"/>
    <w:rsid w:val="00364485"/>
    <w:rsid w:val="00365FAE"/>
    <w:rsid w:val="0037157D"/>
    <w:rsid w:val="00373538"/>
    <w:rsid w:val="00392717"/>
    <w:rsid w:val="003942B3"/>
    <w:rsid w:val="00397897"/>
    <w:rsid w:val="003A1C84"/>
    <w:rsid w:val="003A2A5A"/>
    <w:rsid w:val="003A2B49"/>
    <w:rsid w:val="003A394F"/>
    <w:rsid w:val="003B08AB"/>
    <w:rsid w:val="003B2A1A"/>
    <w:rsid w:val="003B2C7F"/>
    <w:rsid w:val="003B668E"/>
    <w:rsid w:val="003C1402"/>
    <w:rsid w:val="003C1617"/>
    <w:rsid w:val="003C3666"/>
    <w:rsid w:val="003D5F90"/>
    <w:rsid w:val="003E77D4"/>
    <w:rsid w:val="003F71D9"/>
    <w:rsid w:val="00401E7C"/>
    <w:rsid w:val="00411072"/>
    <w:rsid w:val="00417A87"/>
    <w:rsid w:val="00421542"/>
    <w:rsid w:val="004248E2"/>
    <w:rsid w:val="004466EB"/>
    <w:rsid w:val="00452085"/>
    <w:rsid w:val="0045334B"/>
    <w:rsid w:val="00455B72"/>
    <w:rsid w:val="00460ED9"/>
    <w:rsid w:val="00462DE6"/>
    <w:rsid w:val="00466344"/>
    <w:rsid w:val="00474B77"/>
    <w:rsid w:val="00481901"/>
    <w:rsid w:val="004829B5"/>
    <w:rsid w:val="00492FC1"/>
    <w:rsid w:val="00493701"/>
    <w:rsid w:val="00494FFB"/>
    <w:rsid w:val="004A1F64"/>
    <w:rsid w:val="004A59BF"/>
    <w:rsid w:val="004B1049"/>
    <w:rsid w:val="004B5B8D"/>
    <w:rsid w:val="004B6D9C"/>
    <w:rsid w:val="004B70E4"/>
    <w:rsid w:val="004C13AA"/>
    <w:rsid w:val="004C3F14"/>
    <w:rsid w:val="004C441D"/>
    <w:rsid w:val="004D6BDE"/>
    <w:rsid w:val="004E0447"/>
    <w:rsid w:val="004E7789"/>
    <w:rsid w:val="004F2703"/>
    <w:rsid w:val="004F3ABD"/>
    <w:rsid w:val="00513F1A"/>
    <w:rsid w:val="0051488A"/>
    <w:rsid w:val="00515B1F"/>
    <w:rsid w:val="005201AB"/>
    <w:rsid w:val="0052144B"/>
    <w:rsid w:val="00527084"/>
    <w:rsid w:val="005356CE"/>
    <w:rsid w:val="00542824"/>
    <w:rsid w:val="0055647C"/>
    <w:rsid w:val="00561D2D"/>
    <w:rsid w:val="00571C62"/>
    <w:rsid w:val="005875F5"/>
    <w:rsid w:val="0059408E"/>
    <w:rsid w:val="005955EC"/>
    <w:rsid w:val="00595BFF"/>
    <w:rsid w:val="005A0126"/>
    <w:rsid w:val="005A33F4"/>
    <w:rsid w:val="005A4C76"/>
    <w:rsid w:val="005A6FD5"/>
    <w:rsid w:val="005B1EAD"/>
    <w:rsid w:val="005B315A"/>
    <w:rsid w:val="005B6077"/>
    <w:rsid w:val="005C7CB7"/>
    <w:rsid w:val="005D5A2B"/>
    <w:rsid w:val="005D7D12"/>
    <w:rsid w:val="005E4FF4"/>
    <w:rsid w:val="005F10EF"/>
    <w:rsid w:val="005F1921"/>
    <w:rsid w:val="005F2D47"/>
    <w:rsid w:val="005F3C35"/>
    <w:rsid w:val="005F3E15"/>
    <w:rsid w:val="005F432C"/>
    <w:rsid w:val="005F661B"/>
    <w:rsid w:val="005F6D9C"/>
    <w:rsid w:val="00602352"/>
    <w:rsid w:val="0060259C"/>
    <w:rsid w:val="0060384C"/>
    <w:rsid w:val="00605D0E"/>
    <w:rsid w:val="0060761C"/>
    <w:rsid w:val="00611F18"/>
    <w:rsid w:val="00614109"/>
    <w:rsid w:val="006238C9"/>
    <w:rsid w:val="00630C3A"/>
    <w:rsid w:val="00640888"/>
    <w:rsid w:val="00641C9C"/>
    <w:rsid w:val="00647F33"/>
    <w:rsid w:val="00651229"/>
    <w:rsid w:val="00662147"/>
    <w:rsid w:val="00671B5A"/>
    <w:rsid w:val="00672AB9"/>
    <w:rsid w:val="006768A2"/>
    <w:rsid w:val="00677284"/>
    <w:rsid w:val="00681149"/>
    <w:rsid w:val="0068333F"/>
    <w:rsid w:val="006834A6"/>
    <w:rsid w:val="00684A1E"/>
    <w:rsid w:val="0068594F"/>
    <w:rsid w:val="006B0AC6"/>
    <w:rsid w:val="006B3007"/>
    <w:rsid w:val="006B3790"/>
    <w:rsid w:val="006C42EF"/>
    <w:rsid w:val="006C7C1C"/>
    <w:rsid w:val="006D42BC"/>
    <w:rsid w:val="006D7D8B"/>
    <w:rsid w:val="006E0BB7"/>
    <w:rsid w:val="006E5AB1"/>
    <w:rsid w:val="006E6FD0"/>
    <w:rsid w:val="006F4044"/>
    <w:rsid w:val="00711645"/>
    <w:rsid w:val="00712CBA"/>
    <w:rsid w:val="00714FB0"/>
    <w:rsid w:val="00715B8C"/>
    <w:rsid w:val="007229EA"/>
    <w:rsid w:val="00725E22"/>
    <w:rsid w:val="00730354"/>
    <w:rsid w:val="007374CB"/>
    <w:rsid w:val="00740245"/>
    <w:rsid w:val="0074107E"/>
    <w:rsid w:val="007436C5"/>
    <w:rsid w:val="00755B19"/>
    <w:rsid w:val="007579A8"/>
    <w:rsid w:val="007600ED"/>
    <w:rsid w:val="007611BD"/>
    <w:rsid w:val="00771B61"/>
    <w:rsid w:val="007733F5"/>
    <w:rsid w:val="00773801"/>
    <w:rsid w:val="00775C3F"/>
    <w:rsid w:val="00783D3E"/>
    <w:rsid w:val="007875E4"/>
    <w:rsid w:val="00791A6B"/>
    <w:rsid w:val="007A0FD6"/>
    <w:rsid w:val="007A153D"/>
    <w:rsid w:val="007A2306"/>
    <w:rsid w:val="007A38A7"/>
    <w:rsid w:val="007A4F84"/>
    <w:rsid w:val="007B0022"/>
    <w:rsid w:val="007B00F6"/>
    <w:rsid w:val="007B42AE"/>
    <w:rsid w:val="007C0D0D"/>
    <w:rsid w:val="007C2FC3"/>
    <w:rsid w:val="007C4FD1"/>
    <w:rsid w:val="007C5E3A"/>
    <w:rsid w:val="007C7401"/>
    <w:rsid w:val="007D1211"/>
    <w:rsid w:val="007D1F6D"/>
    <w:rsid w:val="007D40BE"/>
    <w:rsid w:val="007D4421"/>
    <w:rsid w:val="007D7515"/>
    <w:rsid w:val="007E10A8"/>
    <w:rsid w:val="007E4C8E"/>
    <w:rsid w:val="007F132D"/>
    <w:rsid w:val="007F5466"/>
    <w:rsid w:val="007F6A47"/>
    <w:rsid w:val="00800CE2"/>
    <w:rsid w:val="00803BE2"/>
    <w:rsid w:val="00804D3A"/>
    <w:rsid w:val="00805F9A"/>
    <w:rsid w:val="00812B16"/>
    <w:rsid w:val="00820120"/>
    <w:rsid w:val="00827E80"/>
    <w:rsid w:val="008319B7"/>
    <w:rsid w:val="0083367A"/>
    <w:rsid w:val="00835042"/>
    <w:rsid w:val="008437C7"/>
    <w:rsid w:val="00843EBD"/>
    <w:rsid w:val="00846989"/>
    <w:rsid w:val="00846B37"/>
    <w:rsid w:val="008477BF"/>
    <w:rsid w:val="00850306"/>
    <w:rsid w:val="00857254"/>
    <w:rsid w:val="008611D6"/>
    <w:rsid w:val="00870483"/>
    <w:rsid w:val="00875C14"/>
    <w:rsid w:val="00877212"/>
    <w:rsid w:val="00881A1F"/>
    <w:rsid w:val="008829D1"/>
    <w:rsid w:val="00886874"/>
    <w:rsid w:val="0088699D"/>
    <w:rsid w:val="00894F34"/>
    <w:rsid w:val="00897BDE"/>
    <w:rsid w:val="008A275F"/>
    <w:rsid w:val="008A27DE"/>
    <w:rsid w:val="008A736D"/>
    <w:rsid w:val="008B05F8"/>
    <w:rsid w:val="008B140F"/>
    <w:rsid w:val="008B154E"/>
    <w:rsid w:val="008C1A1C"/>
    <w:rsid w:val="008C4080"/>
    <w:rsid w:val="008D010D"/>
    <w:rsid w:val="008D1033"/>
    <w:rsid w:val="008E25ED"/>
    <w:rsid w:val="008E2B01"/>
    <w:rsid w:val="008E3C46"/>
    <w:rsid w:val="008F1FDF"/>
    <w:rsid w:val="009011FD"/>
    <w:rsid w:val="009037AD"/>
    <w:rsid w:val="0090410F"/>
    <w:rsid w:val="00905A8C"/>
    <w:rsid w:val="0091222B"/>
    <w:rsid w:val="00920782"/>
    <w:rsid w:val="00923BEF"/>
    <w:rsid w:val="00925BBB"/>
    <w:rsid w:val="00925F8F"/>
    <w:rsid w:val="009356A5"/>
    <w:rsid w:val="00935BDB"/>
    <w:rsid w:val="009414B6"/>
    <w:rsid w:val="00947F45"/>
    <w:rsid w:val="00960474"/>
    <w:rsid w:val="009708F1"/>
    <w:rsid w:val="009716CD"/>
    <w:rsid w:val="00973A91"/>
    <w:rsid w:val="00973F52"/>
    <w:rsid w:val="00976A96"/>
    <w:rsid w:val="00983E62"/>
    <w:rsid w:val="009859C7"/>
    <w:rsid w:val="0099120B"/>
    <w:rsid w:val="00997524"/>
    <w:rsid w:val="009A16E6"/>
    <w:rsid w:val="009A7FEF"/>
    <w:rsid w:val="009B76F0"/>
    <w:rsid w:val="009C01F8"/>
    <w:rsid w:val="009C381F"/>
    <w:rsid w:val="009C7466"/>
    <w:rsid w:val="009D00DF"/>
    <w:rsid w:val="009D1DAF"/>
    <w:rsid w:val="009D3454"/>
    <w:rsid w:val="009D5189"/>
    <w:rsid w:val="009F4281"/>
    <w:rsid w:val="009F55CE"/>
    <w:rsid w:val="009F755C"/>
    <w:rsid w:val="009F7C9D"/>
    <w:rsid w:val="00A03DE2"/>
    <w:rsid w:val="00A102E0"/>
    <w:rsid w:val="00A124C2"/>
    <w:rsid w:val="00A13362"/>
    <w:rsid w:val="00A1373B"/>
    <w:rsid w:val="00A17551"/>
    <w:rsid w:val="00A20D4A"/>
    <w:rsid w:val="00A2362D"/>
    <w:rsid w:val="00A30712"/>
    <w:rsid w:val="00A313E3"/>
    <w:rsid w:val="00A33F5E"/>
    <w:rsid w:val="00A3540F"/>
    <w:rsid w:val="00A360CF"/>
    <w:rsid w:val="00A37C4D"/>
    <w:rsid w:val="00A40649"/>
    <w:rsid w:val="00A42231"/>
    <w:rsid w:val="00A54435"/>
    <w:rsid w:val="00A61EE3"/>
    <w:rsid w:val="00A72161"/>
    <w:rsid w:val="00A73A75"/>
    <w:rsid w:val="00A745CF"/>
    <w:rsid w:val="00A755DB"/>
    <w:rsid w:val="00A76D37"/>
    <w:rsid w:val="00A7732C"/>
    <w:rsid w:val="00A80F90"/>
    <w:rsid w:val="00A82286"/>
    <w:rsid w:val="00A836EA"/>
    <w:rsid w:val="00A878B0"/>
    <w:rsid w:val="00A91759"/>
    <w:rsid w:val="00A91C17"/>
    <w:rsid w:val="00A96B1F"/>
    <w:rsid w:val="00AA298B"/>
    <w:rsid w:val="00AA508B"/>
    <w:rsid w:val="00AA7E04"/>
    <w:rsid w:val="00AC1A18"/>
    <w:rsid w:val="00AD164B"/>
    <w:rsid w:val="00AD3A78"/>
    <w:rsid w:val="00AD3ADB"/>
    <w:rsid w:val="00AD496E"/>
    <w:rsid w:val="00AE6660"/>
    <w:rsid w:val="00AE6751"/>
    <w:rsid w:val="00AF0623"/>
    <w:rsid w:val="00AF6152"/>
    <w:rsid w:val="00AF67C2"/>
    <w:rsid w:val="00AF7ACC"/>
    <w:rsid w:val="00B00672"/>
    <w:rsid w:val="00B04BB7"/>
    <w:rsid w:val="00B0620E"/>
    <w:rsid w:val="00B1086D"/>
    <w:rsid w:val="00B13D53"/>
    <w:rsid w:val="00B15F79"/>
    <w:rsid w:val="00B24A2A"/>
    <w:rsid w:val="00B33F96"/>
    <w:rsid w:val="00B3419A"/>
    <w:rsid w:val="00B356E4"/>
    <w:rsid w:val="00B3724F"/>
    <w:rsid w:val="00B3729E"/>
    <w:rsid w:val="00B37D41"/>
    <w:rsid w:val="00B402AF"/>
    <w:rsid w:val="00B41B87"/>
    <w:rsid w:val="00B45E5D"/>
    <w:rsid w:val="00B46B29"/>
    <w:rsid w:val="00B46C9F"/>
    <w:rsid w:val="00B50087"/>
    <w:rsid w:val="00B51E72"/>
    <w:rsid w:val="00B53D27"/>
    <w:rsid w:val="00B55915"/>
    <w:rsid w:val="00B6090F"/>
    <w:rsid w:val="00B64014"/>
    <w:rsid w:val="00B67AB5"/>
    <w:rsid w:val="00B722AE"/>
    <w:rsid w:val="00B735E6"/>
    <w:rsid w:val="00B741FE"/>
    <w:rsid w:val="00B83AA5"/>
    <w:rsid w:val="00B860A6"/>
    <w:rsid w:val="00B919DF"/>
    <w:rsid w:val="00B92C3E"/>
    <w:rsid w:val="00B97628"/>
    <w:rsid w:val="00BA1296"/>
    <w:rsid w:val="00BA29D6"/>
    <w:rsid w:val="00BA3940"/>
    <w:rsid w:val="00BB04DD"/>
    <w:rsid w:val="00BB05EB"/>
    <w:rsid w:val="00BB1B17"/>
    <w:rsid w:val="00BB323B"/>
    <w:rsid w:val="00BB64BA"/>
    <w:rsid w:val="00BC2900"/>
    <w:rsid w:val="00BC2AE7"/>
    <w:rsid w:val="00BC4D34"/>
    <w:rsid w:val="00BD24AB"/>
    <w:rsid w:val="00BD270A"/>
    <w:rsid w:val="00BE195B"/>
    <w:rsid w:val="00BF0BE3"/>
    <w:rsid w:val="00BF18D3"/>
    <w:rsid w:val="00BF1E2C"/>
    <w:rsid w:val="00BF793D"/>
    <w:rsid w:val="00C00551"/>
    <w:rsid w:val="00C01161"/>
    <w:rsid w:val="00C02194"/>
    <w:rsid w:val="00C04BF3"/>
    <w:rsid w:val="00C076DE"/>
    <w:rsid w:val="00C14006"/>
    <w:rsid w:val="00C14408"/>
    <w:rsid w:val="00C25DA1"/>
    <w:rsid w:val="00C26B0E"/>
    <w:rsid w:val="00C31F8D"/>
    <w:rsid w:val="00C42069"/>
    <w:rsid w:val="00C65780"/>
    <w:rsid w:val="00C657D8"/>
    <w:rsid w:val="00C6589B"/>
    <w:rsid w:val="00C66B37"/>
    <w:rsid w:val="00C73AE8"/>
    <w:rsid w:val="00C75813"/>
    <w:rsid w:val="00C761FB"/>
    <w:rsid w:val="00C81E63"/>
    <w:rsid w:val="00C826F3"/>
    <w:rsid w:val="00C878F9"/>
    <w:rsid w:val="00C9009F"/>
    <w:rsid w:val="00C92685"/>
    <w:rsid w:val="00C95F3E"/>
    <w:rsid w:val="00C978AA"/>
    <w:rsid w:val="00CA16BA"/>
    <w:rsid w:val="00CA231A"/>
    <w:rsid w:val="00CA5339"/>
    <w:rsid w:val="00CB2EB8"/>
    <w:rsid w:val="00CB789B"/>
    <w:rsid w:val="00CC42CE"/>
    <w:rsid w:val="00CC6858"/>
    <w:rsid w:val="00CD0739"/>
    <w:rsid w:val="00CD1D59"/>
    <w:rsid w:val="00CD1DB8"/>
    <w:rsid w:val="00CD2238"/>
    <w:rsid w:val="00CD283E"/>
    <w:rsid w:val="00CD4383"/>
    <w:rsid w:val="00CE14F4"/>
    <w:rsid w:val="00CE46FA"/>
    <w:rsid w:val="00CF1EA7"/>
    <w:rsid w:val="00CF37B5"/>
    <w:rsid w:val="00D00E93"/>
    <w:rsid w:val="00D03CE8"/>
    <w:rsid w:val="00D052FF"/>
    <w:rsid w:val="00D1389A"/>
    <w:rsid w:val="00D14C7B"/>
    <w:rsid w:val="00D215C9"/>
    <w:rsid w:val="00D24269"/>
    <w:rsid w:val="00D3718B"/>
    <w:rsid w:val="00D419D9"/>
    <w:rsid w:val="00D426EF"/>
    <w:rsid w:val="00D43098"/>
    <w:rsid w:val="00D45B97"/>
    <w:rsid w:val="00D46670"/>
    <w:rsid w:val="00D50596"/>
    <w:rsid w:val="00D578A4"/>
    <w:rsid w:val="00D60C1F"/>
    <w:rsid w:val="00D61BA7"/>
    <w:rsid w:val="00D65EC2"/>
    <w:rsid w:val="00D6720B"/>
    <w:rsid w:val="00D74C0A"/>
    <w:rsid w:val="00D7550E"/>
    <w:rsid w:val="00D80FFD"/>
    <w:rsid w:val="00D82EDA"/>
    <w:rsid w:val="00D90852"/>
    <w:rsid w:val="00D94EB6"/>
    <w:rsid w:val="00D9572E"/>
    <w:rsid w:val="00D958E6"/>
    <w:rsid w:val="00D95F38"/>
    <w:rsid w:val="00D96B5E"/>
    <w:rsid w:val="00D96DAF"/>
    <w:rsid w:val="00D978B2"/>
    <w:rsid w:val="00DA3917"/>
    <w:rsid w:val="00DA3A1F"/>
    <w:rsid w:val="00DA62BF"/>
    <w:rsid w:val="00DA6369"/>
    <w:rsid w:val="00DA71A4"/>
    <w:rsid w:val="00DB79C9"/>
    <w:rsid w:val="00DC0575"/>
    <w:rsid w:val="00DC1347"/>
    <w:rsid w:val="00DC47F1"/>
    <w:rsid w:val="00DD433C"/>
    <w:rsid w:val="00DD696D"/>
    <w:rsid w:val="00DE1E76"/>
    <w:rsid w:val="00DF22F6"/>
    <w:rsid w:val="00DF27EB"/>
    <w:rsid w:val="00DF72B2"/>
    <w:rsid w:val="00E02708"/>
    <w:rsid w:val="00E02E32"/>
    <w:rsid w:val="00E074FE"/>
    <w:rsid w:val="00E10576"/>
    <w:rsid w:val="00E13248"/>
    <w:rsid w:val="00E15AF4"/>
    <w:rsid w:val="00E218E1"/>
    <w:rsid w:val="00E30632"/>
    <w:rsid w:val="00E31816"/>
    <w:rsid w:val="00E349DF"/>
    <w:rsid w:val="00E41045"/>
    <w:rsid w:val="00E51DF5"/>
    <w:rsid w:val="00E55C4F"/>
    <w:rsid w:val="00E6284C"/>
    <w:rsid w:val="00E62E7F"/>
    <w:rsid w:val="00E7578A"/>
    <w:rsid w:val="00E75B62"/>
    <w:rsid w:val="00E82CBD"/>
    <w:rsid w:val="00E84A10"/>
    <w:rsid w:val="00E872DD"/>
    <w:rsid w:val="00E87E02"/>
    <w:rsid w:val="00E96DC8"/>
    <w:rsid w:val="00E96E2D"/>
    <w:rsid w:val="00EA1B22"/>
    <w:rsid w:val="00EA2EF1"/>
    <w:rsid w:val="00EA4F1F"/>
    <w:rsid w:val="00EA6331"/>
    <w:rsid w:val="00EA6D16"/>
    <w:rsid w:val="00EC55AE"/>
    <w:rsid w:val="00EC7B77"/>
    <w:rsid w:val="00ED19D0"/>
    <w:rsid w:val="00ED30D3"/>
    <w:rsid w:val="00EE251E"/>
    <w:rsid w:val="00F015E7"/>
    <w:rsid w:val="00F04737"/>
    <w:rsid w:val="00F04B63"/>
    <w:rsid w:val="00F064AF"/>
    <w:rsid w:val="00F10C8A"/>
    <w:rsid w:val="00F16A1C"/>
    <w:rsid w:val="00F1713B"/>
    <w:rsid w:val="00F25997"/>
    <w:rsid w:val="00F260AA"/>
    <w:rsid w:val="00F40AC5"/>
    <w:rsid w:val="00F4105A"/>
    <w:rsid w:val="00F41AAE"/>
    <w:rsid w:val="00F47278"/>
    <w:rsid w:val="00F5724E"/>
    <w:rsid w:val="00F62D55"/>
    <w:rsid w:val="00F63AFE"/>
    <w:rsid w:val="00F66224"/>
    <w:rsid w:val="00F66632"/>
    <w:rsid w:val="00F729C2"/>
    <w:rsid w:val="00F72C39"/>
    <w:rsid w:val="00F73322"/>
    <w:rsid w:val="00F7340B"/>
    <w:rsid w:val="00F7577B"/>
    <w:rsid w:val="00F757F9"/>
    <w:rsid w:val="00F7632B"/>
    <w:rsid w:val="00F76BCF"/>
    <w:rsid w:val="00F8317E"/>
    <w:rsid w:val="00F848D6"/>
    <w:rsid w:val="00F86EB8"/>
    <w:rsid w:val="00F90037"/>
    <w:rsid w:val="00F925D2"/>
    <w:rsid w:val="00F94173"/>
    <w:rsid w:val="00F943D9"/>
    <w:rsid w:val="00FA1168"/>
    <w:rsid w:val="00FB00BD"/>
    <w:rsid w:val="00FB021B"/>
    <w:rsid w:val="00FB2473"/>
    <w:rsid w:val="00FB410B"/>
    <w:rsid w:val="00FC3775"/>
    <w:rsid w:val="00FC46CA"/>
    <w:rsid w:val="00FD23DF"/>
    <w:rsid w:val="00FE43AD"/>
    <w:rsid w:val="00FF086B"/>
    <w:rsid w:val="00FF2A47"/>
    <w:rsid w:val="00FF3ACD"/>
    <w:rsid w:val="00FF739D"/>
    <w:rsid w:val="01061077"/>
    <w:rsid w:val="014A2884"/>
    <w:rsid w:val="014E2C6E"/>
    <w:rsid w:val="01895A15"/>
    <w:rsid w:val="018C560C"/>
    <w:rsid w:val="01934ACE"/>
    <w:rsid w:val="01AD0B5B"/>
    <w:rsid w:val="01C05C60"/>
    <w:rsid w:val="01D45461"/>
    <w:rsid w:val="01D750A1"/>
    <w:rsid w:val="01E615A6"/>
    <w:rsid w:val="01FB7019"/>
    <w:rsid w:val="021B6D5F"/>
    <w:rsid w:val="02284ADD"/>
    <w:rsid w:val="027023F8"/>
    <w:rsid w:val="02B12177"/>
    <w:rsid w:val="02B40E52"/>
    <w:rsid w:val="02B5695A"/>
    <w:rsid w:val="02BD5E7B"/>
    <w:rsid w:val="02C47392"/>
    <w:rsid w:val="02CF2436"/>
    <w:rsid w:val="02CF7A3A"/>
    <w:rsid w:val="03073BEE"/>
    <w:rsid w:val="03581E2F"/>
    <w:rsid w:val="03624262"/>
    <w:rsid w:val="03DA4E73"/>
    <w:rsid w:val="03DA6A75"/>
    <w:rsid w:val="03E50403"/>
    <w:rsid w:val="04361ECC"/>
    <w:rsid w:val="04472E1A"/>
    <w:rsid w:val="044E4A63"/>
    <w:rsid w:val="045828E2"/>
    <w:rsid w:val="04590BDE"/>
    <w:rsid w:val="047D1D40"/>
    <w:rsid w:val="048824A6"/>
    <w:rsid w:val="049420BF"/>
    <w:rsid w:val="049C52E1"/>
    <w:rsid w:val="04A10F62"/>
    <w:rsid w:val="04A32831"/>
    <w:rsid w:val="04C26FFF"/>
    <w:rsid w:val="04C65DBE"/>
    <w:rsid w:val="04DC6DDE"/>
    <w:rsid w:val="04F35656"/>
    <w:rsid w:val="050C3373"/>
    <w:rsid w:val="052D35D9"/>
    <w:rsid w:val="055F574E"/>
    <w:rsid w:val="05692E55"/>
    <w:rsid w:val="059C3C9B"/>
    <w:rsid w:val="05A86DB4"/>
    <w:rsid w:val="05B55B51"/>
    <w:rsid w:val="05DF21BD"/>
    <w:rsid w:val="05E4614D"/>
    <w:rsid w:val="06023C82"/>
    <w:rsid w:val="06031FE0"/>
    <w:rsid w:val="06115944"/>
    <w:rsid w:val="06270C0C"/>
    <w:rsid w:val="06670892"/>
    <w:rsid w:val="06A10E73"/>
    <w:rsid w:val="06EF1DC7"/>
    <w:rsid w:val="06FF1CDB"/>
    <w:rsid w:val="072D7374"/>
    <w:rsid w:val="073100D7"/>
    <w:rsid w:val="07424DCD"/>
    <w:rsid w:val="075A7AEE"/>
    <w:rsid w:val="076219C2"/>
    <w:rsid w:val="077878E9"/>
    <w:rsid w:val="07CF51C8"/>
    <w:rsid w:val="07ED0C6C"/>
    <w:rsid w:val="08070131"/>
    <w:rsid w:val="080E1154"/>
    <w:rsid w:val="080E60A3"/>
    <w:rsid w:val="083355A2"/>
    <w:rsid w:val="085D5AE7"/>
    <w:rsid w:val="086E4CD8"/>
    <w:rsid w:val="0871519C"/>
    <w:rsid w:val="08AE0884"/>
    <w:rsid w:val="0912279D"/>
    <w:rsid w:val="096046BD"/>
    <w:rsid w:val="09632F72"/>
    <w:rsid w:val="09B60586"/>
    <w:rsid w:val="09B76CBE"/>
    <w:rsid w:val="09BF126E"/>
    <w:rsid w:val="09C20645"/>
    <w:rsid w:val="09F521F1"/>
    <w:rsid w:val="09FC4BA8"/>
    <w:rsid w:val="0A1421D6"/>
    <w:rsid w:val="0A283ED3"/>
    <w:rsid w:val="0A3479D3"/>
    <w:rsid w:val="0A412F2D"/>
    <w:rsid w:val="0AEC5F5D"/>
    <w:rsid w:val="0B24640E"/>
    <w:rsid w:val="0B2C6897"/>
    <w:rsid w:val="0B4C3754"/>
    <w:rsid w:val="0B945E6E"/>
    <w:rsid w:val="0BC341A2"/>
    <w:rsid w:val="0BE332CE"/>
    <w:rsid w:val="0BFF10C5"/>
    <w:rsid w:val="0CA31AD8"/>
    <w:rsid w:val="0CC04842"/>
    <w:rsid w:val="0CF82AD8"/>
    <w:rsid w:val="0D016291"/>
    <w:rsid w:val="0D232CDB"/>
    <w:rsid w:val="0D2C5D82"/>
    <w:rsid w:val="0D994E6E"/>
    <w:rsid w:val="0DA1246B"/>
    <w:rsid w:val="0DA66D9D"/>
    <w:rsid w:val="0DAB314C"/>
    <w:rsid w:val="0DB61FD4"/>
    <w:rsid w:val="0E654122"/>
    <w:rsid w:val="0E8F4247"/>
    <w:rsid w:val="0E907F81"/>
    <w:rsid w:val="0EA925F1"/>
    <w:rsid w:val="0EB52B1B"/>
    <w:rsid w:val="0EC00D40"/>
    <w:rsid w:val="0F151FFC"/>
    <w:rsid w:val="0F1D7A2A"/>
    <w:rsid w:val="0F3826C7"/>
    <w:rsid w:val="0F4469EE"/>
    <w:rsid w:val="0F474DFC"/>
    <w:rsid w:val="0F580573"/>
    <w:rsid w:val="0F8C0A60"/>
    <w:rsid w:val="0F9E30B5"/>
    <w:rsid w:val="0FA02E35"/>
    <w:rsid w:val="0FAC1800"/>
    <w:rsid w:val="0FB27425"/>
    <w:rsid w:val="0FBB34C6"/>
    <w:rsid w:val="100144D1"/>
    <w:rsid w:val="106242B9"/>
    <w:rsid w:val="106B75D3"/>
    <w:rsid w:val="10993435"/>
    <w:rsid w:val="10A475D3"/>
    <w:rsid w:val="10A95098"/>
    <w:rsid w:val="10AD5132"/>
    <w:rsid w:val="10BF210B"/>
    <w:rsid w:val="10F772D2"/>
    <w:rsid w:val="10FE598E"/>
    <w:rsid w:val="10FE773C"/>
    <w:rsid w:val="117874EE"/>
    <w:rsid w:val="11985BE1"/>
    <w:rsid w:val="11C26154"/>
    <w:rsid w:val="11E7434C"/>
    <w:rsid w:val="123918A0"/>
    <w:rsid w:val="124720BF"/>
    <w:rsid w:val="125701A1"/>
    <w:rsid w:val="12655CC4"/>
    <w:rsid w:val="126560DB"/>
    <w:rsid w:val="129648AA"/>
    <w:rsid w:val="12DB012C"/>
    <w:rsid w:val="12ED6B8F"/>
    <w:rsid w:val="12F65AF5"/>
    <w:rsid w:val="13456ECC"/>
    <w:rsid w:val="13952132"/>
    <w:rsid w:val="13A04ADA"/>
    <w:rsid w:val="13A7425A"/>
    <w:rsid w:val="13AF402D"/>
    <w:rsid w:val="13E9AB9E"/>
    <w:rsid w:val="13F558CD"/>
    <w:rsid w:val="142A3D0F"/>
    <w:rsid w:val="14AF52EE"/>
    <w:rsid w:val="14BC1DE8"/>
    <w:rsid w:val="14E54231"/>
    <w:rsid w:val="14E60BA6"/>
    <w:rsid w:val="152534E9"/>
    <w:rsid w:val="15575491"/>
    <w:rsid w:val="155F2379"/>
    <w:rsid w:val="158821A0"/>
    <w:rsid w:val="15A05265"/>
    <w:rsid w:val="15BD7949"/>
    <w:rsid w:val="15C4365B"/>
    <w:rsid w:val="15C52669"/>
    <w:rsid w:val="15D62A35"/>
    <w:rsid w:val="15E623E7"/>
    <w:rsid w:val="15FA5079"/>
    <w:rsid w:val="162163A6"/>
    <w:rsid w:val="1649585B"/>
    <w:rsid w:val="164E2D17"/>
    <w:rsid w:val="166961E3"/>
    <w:rsid w:val="166A3899"/>
    <w:rsid w:val="167260B3"/>
    <w:rsid w:val="169A1EB1"/>
    <w:rsid w:val="169A5D17"/>
    <w:rsid w:val="16C84CD1"/>
    <w:rsid w:val="16D613F5"/>
    <w:rsid w:val="1742713E"/>
    <w:rsid w:val="174E0E4B"/>
    <w:rsid w:val="17652015"/>
    <w:rsid w:val="17B9616B"/>
    <w:rsid w:val="17CA438B"/>
    <w:rsid w:val="17D329C8"/>
    <w:rsid w:val="18216363"/>
    <w:rsid w:val="18311656"/>
    <w:rsid w:val="185D52E3"/>
    <w:rsid w:val="18712193"/>
    <w:rsid w:val="18757805"/>
    <w:rsid w:val="18785DD4"/>
    <w:rsid w:val="18793906"/>
    <w:rsid w:val="18B83278"/>
    <w:rsid w:val="18EC6A96"/>
    <w:rsid w:val="190F7BF1"/>
    <w:rsid w:val="1926429E"/>
    <w:rsid w:val="194D2932"/>
    <w:rsid w:val="19662322"/>
    <w:rsid w:val="198343CA"/>
    <w:rsid w:val="1990656E"/>
    <w:rsid w:val="19B337B9"/>
    <w:rsid w:val="19D55ACF"/>
    <w:rsid w:val="19E73CA3"/>
    <w:rsid w:val="19FD7601"/>
    <w:rsid w:val="1A1D6E85"/>
    <w:rsid w:val="1AC50AD0"/>
    <w:rsid w:val="1AD27C6F"/>
    <w:rsid w:val="1ADF238C"/>
    <w:rsid w:val="1AE201E3"/>
    <w:rsid w:val="1AE654C9"/>
    <w:rsid w:val="1AE91918"/>
    <w:rsid w:val="1B266106"/>
    <w:rsid w:val="1B30162C"/>
    <w:rsid w:val="1B3A6132"/>
    <w:rsid w:val="1B7E23E4"/>
    <w:rsid w:val="1B9C2FAF"/>
    <w:rsid w:val="1B9D1AF2"/>
    <w:rsid w:val="1BBD7567"/>
    <w:rsid w:val="1BE024EA"/>
    <w:rsid w:val="1BE5703B"/>
    <w:rsid w:val="1BFE2CE6"/>
    <w:rsid w:val="1C622223"/>
    <w:rsid w:val="1C6B0F1A"/>
    <w:rsid w:val="1C8B7E8C"/>
    <w:rsid w:val="1CBD5474"/>
    <w:rsid w:val="1CBF4223"/>
    <w:rsid w:val="1CC665ED"/>
    <w:rsid w:val="1CC81B5A"/>
    <w:rsid w:val="1CD0540C"/>
    <w:rsid w:val="1CD508CA"/>
    <w:rsid w:val="1D3D2FC3"/>
    <w:rsid w:val="1D6E17A5"/>
    <w:rsid w:val="1D750D86"/>
    <w:rsid w:val="1DC40BDC"/>
    <w:rsid w:val="1E6626FA"/>
    <w:rsid w:val="1E7B3C38"/>
    <w:rsid w:val="1E7F5DE2"/>
    <w:rsid w:val="1E9F48FA"/>
    <w:rsid w:val="1EBF341A"/>
    <w:rsid w:val="1ECA481E"/>
    <w:rsid w:val="1F1A3765"/>
    <w:rsid w:val="1F2F286E"/>
    <w:rsid w:val="1F69491A"/>
    <w:rsid w:val="1F6A593A"/>
    <w:rsid w:val="1F7125B6"/>
    <w:rsid w:val="1F7A3AE0"/>
    <w:rsid w:val="1FAC23CF"/>
    <w:rsid w:val="1FFC0600"/>
    <w:rsid w:val="1FFD48FB"/>
    <w:rsid w:val="200077F3"/>
    <w:rsid w:val="20035509"/>
    <w:rsid w:val="2050368E"/>
    <w:rsid w:val="20760A30"/>
    <w:rsid w:val="2099122F"/>
    <w:rsid w:val="20C31F68"/>
    <w:rsid w:val="20DC5F09"/>
    <w:rsid w:val="20E902A1"/>
    <w:rsid w:val="210743EB"/>
    <w:rsid w:val="211B36D5"/>
    <w:rsid w:val="212E1C8C"/>
    <w:rsid w:val="21475D71"/>
    <w:rsid w:val="215C0E89"/>
    <w:rsid w:val="215E7808"/>
    <w:rsid w:val="219F4623"/>
    <w:rsid w:val="21B03793"/>
    <w:rsid w:val="21BE4F5B"/>
    <w:rsid w:val="21EC5502"/>
    <w:rsid w:val="21FC16C7"/>
    <w:rsid w:val="22073251"/>
    <w:rsid w:val="221955A0"/>
    <w:rsid w:val="221C369C"/>
    <w:rsid w:val="22463ED4"/>
    <w:rsid w:val="226D7F6C"/>
    <w:rsid w:val="22CB7977"/>
    <w:rsid w:val="2309151A"/>
    <w:rsid w:val="23350372"/>
    <w:rsid w:val="23472C07"/>
    <w:rsid w:val="23480ECB"/>
    <w:rsid w:val="238F0190"/>
    <w:rsid w:val="23934782"/>
    <w:rsid w:val="23B36ACB"/>
    <w:rsid w:val="23BC770E"/>
    <w:rsid w:val="23DD1433"/>
    <w:rsid w:val="243E0123"/>
    <w:rsid w:val="24645C45"/>
    <w:rsid w:val="246B4C91"/>
    <w:rsid w:val="24B623B0"/>
    <w:rsid w:val="24C34ACD"/>
    <w:rsid w:val="24D34D10"/>
    <w:rsid w:val="250F3673"/>
    <w:rsid w:val="25122A75"/>
    <w:rsid w:val="25137802"/>
    <w:rsid w:val="25227A45"/>
    <w:rsid w:val="25290E08"/>
    <w:rsid w:val="253128EE"/>
    <w:rsid w:val="25495217"/>
    <w:rsid w:val="25712EAE"/>
    <w:rsid w:val="25B0635E"/>
    <w:rsid w:val="25C075C9"/>
    <w:rsid w:val="25EB74E7"/>
    <w:rsid w:val="25EE6506"/>
    <w:rsid w:val="26020800"/>
    <w:rsid w:val="26140AF9"/>
    <w:rsid w:val="26315548"/>
    <w:rsid w:val="263E2D7B"/>
    <w:rsid w:val="26487037"/>
    <w:rsid w:val="2661459D"/>
    <w:rsid w:val="26755033"/>
    <w:rsid w:val="26A13553"/>
    <w:rsid w:val="26A72F93"/>
    <w:rsid w:val="26B53530"/>
    <w:rsid w:val="26CA0394"/>
    <w:rsid w:val="26DA2390"/>
    <w:rsid w:val="27706A3C"/>
    <w:rsid w:val="27D64EFB"/>
    <w:rsid w:val="284D295F"/>
    <w:rsid w:val="286E16CA"/>
    <w:rsid w:val="28B5445C"/>
    <w:rsid w:val="28FC235B"/>
    <w:rsid w:val="29394C06"/>
    <w:rsid w:val="295B126C"/>
    <w:rsid w:val="296B30DF"/>
    <w:rsid w:val="296F0D7F"/>
    <w:rsid w:val="2979531C"/>
    <w:rsid w:val="298D1074"/>
    <w:rsid w:val="29932B96"/>
    <w:rsid w:val="29EF61A1"/>
    <w:rsid w:val="2A0B1FF6"/>
    <w:rsid w:val="2A7F0FFE"/>
    <w:rsid w:val="2A931932"/>
    <w:rsid w:val="2AAB60C9"/>
    <w:rsid w:val="2AAC367C"/>
    <w:rsid w:val="2AB2301D"/>
    <w:rsid w:val="2AD2699C"/>
    <w:rsid w:val="2AEA05EA"/>
    <w:rsid w:val="2B4A3852"/>
    <w:rsid w:val="2BF019EB"/>
    <w:rsid w:val="2C2D0713"/>
    <w:rsid w:val="2C6D3C9C"/>
    <w:rsid w:val="2C9F0988"/>
    <w:rsid w:val="2CD930DF"/>
    <w:rsid w:val="2CDD6FE8"/>
    <w:rsid w:val="2CF24903"/>
    <w:rsid w:val="2CF44F1E"/>
    <w:rsid w:val="2D0D4B37"/>
    <w:rsid w:val="2D621327"/>
    <w:rsid w:val="2D8379CD"/>
    <w:rsid w:val="2E043F02"/>
    <w:rsid w:val="2E114AFB"/>
    <w:rsid w:val="2E1639FB"/>
    <w:rsid w:val="2E383E35"/>
    <w:rsid w:val="2EF86046"/>
    <w:rsid w:val="2F0B154A"/>
    <w:rsid w:val="2F373A73"/>
    <w:rsid w:val="2F4F1F8D"/>
    <w:rsid w:val="2F544FEB"/>
    <w:rsid w:val="2F637967"/>
    <w:rsid w:val="2F656CFC"/>
    <w:rsid w:val="2F6571D5"/>
    <w:rsid w:val="2F7A0872"/>
    <w:rsid w:val="2F7C5846"/>
    <w:rsid w:val="2F9D3839"/>
    <w:rsid w:val="2FE94CEB"/>
    <w:rsid w:val="300C444A"/>
    <w:rsid w:val="305022CF"/>
    <w:rsid w:val="30651C43"/>
    <w:rsid w:val="30BB0A5A"/>
    <w:rsid w:val="311F1648"/>
    <w:rsid w:val="314D5985"/>
    <w:rsid w:val="315D6C81"/>
    <w:rsid w:val="31A96BB6"/>
    <w:rsid w:val="31AF2660"/>
    <w:rsid w:val="31B71515"/>
    <w:rsid w:val="31CC2A31"/>
    <w:rsid w:val="326B7BD4"/>
    <w:rsid w:val="32AA6D21"/>
    <w:rsid w:val="32AB72CC"/>
    <w:rsid w:val="32C20171"/>
    <w:rsid w:val="32F347CF"/>
    <w:rsid w:val="3300311F"/>
    <w:rsid w:val="332F4C8B"/>
    <w:rsid w:val="333824E2"/>
    <w:rsid w:val="33770C77"/>
    <w:rsid w:val="338F47AA"/>
    <w:rsid w:val="339E5333"/>
    <w:rsid w:val="33AB7C6C"/>
    <w:rsid w:val="33BF48EA"/>
    <w:rsid w:val="33D26ADA"/>
    <w:rsid w:val="33F734D7"/>
    <w:rsid w:val="33F97CC3"/>
    <w:rsid w:val="34496BF1"/>
    <w:rsid w:val="345B429A"/>
    <w:rsid w:val="345C6C4A"/>
    <w:rsid w:val="34884436"/>
    <w:rsid w:val="34BB28B0"/>
    <w:rsid w:val="34C92279"/>
    <w:rsid w:val="34EA5593"/>
    <w:rsid w:val="34EB1C02"/>
    <w:rsid w:val="35092088"/>
    <w:rsid w:val="350D0944"/>
    <w:rsid w:val="3522698E"/>
    <w:rsid w:val="353FF1BF"/>
    <w:rsid w:val="354E2190"/>
    <w:rsid w:val="35C022C7"/>
    <w:rsid w:val="35C3605B"/>
    <w:rsid w:val="35CB4BB3"/>
    <w:rsid w:val="35F9331B"/>
    <w:rsid w:val="36017203"/>
    <w:rsid w:val="360E59BF"/>
    <w:rsid w:val="364079C2"/>
    <w:rsid w:val="366652B8"/>
    <w:rsid w:val="36700DBE"/>
    <w:rsid w:val="36826596"/>
    <w:rsid w:val="36925820"/>
    <w:rsid w:val="36DE10CA"/>
    <w:rsid w:val="36F45023"/>
    <w:rsid w:val="370568B4"/>
    <w:rsid w:val="37273E10"/>
    <w:rsid w:val="37592762"/>
    <w:rsid w:val="376637C1"/>
    <w:rsid w:val="379852A0"/>
    <w:rsid w:val="37B22724"/>
    <w:rsid w:val="37F37DEE"/>
    <w:rsid w:val="383E65A9"/>
    <w:rsid w:val="38402A50"/>
    <w:rsid w:val="384671D9"/>
    <w:rsid w:val="385C0C16"/>
    <w:rsid w:val="385D0A2E"/>
    <w:rsid w:val="385F6C9F"/>
    <w:rsid w:val="386477AC"/>
    <w:rsid w:val="38763ED8"/>
    <w:rsid w:val="3886048C"/>
    <w:rsid w:val="38C73D7C"/>
    <w:rsid w:val="3910125E"/>
    <w:rsid w:val="391B08D8"/>
    <w:rsid w:val="396F2735"/>
    <w:rsid w:val="39973757"/>
    <w:rsid w:val="39DE50A0"/>
    <w:rsid w:val="39DE7E2F"/>
    <w:rsid w:val="3A192641"/>
    <w:rsid w:val="3A3179EE"/>
    <w:rsid w:val="3A3E27D3"/>
    <w:rsid w:val="3A650330"/>
    <w:rsid w:val="3A952957"/>
    <w:rsid w:val="3AA6310A"/>
    <w:rsid w:val="3AC53EAD"/>
    <w:rsid w:val="3AE03026"/>
    <w:rsid w:val="3AEC3643"/>
    <w:rsid w:val="3AF83EE0"/>
    <w:rsid w:val="3AFD44AA"/>
    <w:rsid w:val="3B0A0149"/>
    <w:rsid w:val="3B251279"/>
    <w:rsid w:val="3B5341A9"/>
    <w:rsid w:val="3B746E8A"/>
    <w:rsid w:val="3B864FF9"/>
    <w:rsid w:val="3BE063D9"/>
    <w:rsid w:val="3BE15396"/>
    <w:rsid w:val="3C2212C6"/>
    <w:rsid w:val="3C260812"/>
    <w:rsid w:val="3C3A2213"/>
    <w:rsid w:val="3C431320"/>
    <w:rsid w:val="3C595D57"/>
    <w:rsid w:val="3C7872C9"/>
    <w:rsid w:val="3C847B69"/>
    <w:rsid w:val="3C9A23CE"/>
    <w:rsid w:val="3CE74187"/>
    <w:rsid w:val="3D680404"/>
    <w:rsid w:val="3DD96085"/>
    <w:rsid w:val="3DFE6F85"/>
    <w:rsid w:val="3E504D52"/>
    <w:rsid w:val="3E74409F"/>
    <w:rsid w:val="3EBD1A8A"/>
    <w:rsid w:val="3ECA5169"/>
    <w:rsid w:val="3ECB004A"/>
    <w:rsid w:val="3EFF8E09"/>
    <w:rsid w:val="3F0A2BC8"/>
    <w:rsid w:val="3F0D6D86"/>
    <w:rsid w:val="3F4A0ED8"/>
    <w:rsid w:val="3F7F1D14"/>
    <w:rsid w:val="3F9335C1"/>
    <w:rsid w:val="3F9F16C8"/>
    <w:rsid w:val="3FCE064E"/>
    <w:rsid w:val="3FFF8848"/>
    <w:rsid w:val="4011397A"/>
    <w:rsid w:val="40467887"/>
    <w:rsid w:val="407E73CA"/>
    <w:rsid w:val="409872E2"/>
    <w:rsid w:val="40E1035D"/>
    <w:rsid w:val="410705DA"/>
    <w:rsid w:val="410D4CAE"/>
    <w:rsid w:val="410E0514"/>
    <w:rsid w:val="411D5399"/>
    <w:rsid w:val="41296DC8"/>
    <w:rsid w:val="412E1951"/>
    <w:rsid w:val="41354385"/>
    <w:rsid w:val="414C206B"/>
    <w:rsid w:val="41511465"/>
    <w:rsid w:val="41786687"/>
    <w:rsid w:val="41E570E0"/>
    <w:rsid w:val="41E76467"/>
    <w:rsid w:val="42082EBA"/>
    <w:rsid w:val="420F3909"/>
    <w:rsid w:val="42131902"/>
    <w:rsid w:val="421542A3"/>
    <w:rsid w:val="42250CBB"/>
    <w:rsid w:val="427061BD"/>
    <w:rsid w:val="42E24ED3"/>
    <w:rsid w:val="43245CB5"/>
    <w:rsid w:val="432A4261"/>
    <w:rsid w:val="4374370A"/>
    <w:rsid w:val="43A770BC"/>
    <w:rsid w:val="43AF029E"/>
    <w:rsid w:val="43C25923"/>
    <w:rsid w:val="44022E18"/>
    <w:rsid w:val="440F2325"/>
    <w:rsid w:val="443D1CA6"/>
    <w:rsid w:val="4486458F"/>
    <w:rsid w:val="44D46842"/>
    <w:rsid w:val="44EC1885"/>
    <w:rsid w:val="44EE4491"/>
    <w:rsid w:val="45322F35"/>
    <w:rsid w:val="455702EF"/>
    <w:rsid w:val="456C4DB3"/>
    <w:rsid w:val="459C373C"/>
    <w:rsid w:val="45D340FC"/>
    <w:rsid w:val="45E06E35"/>
    <w:rsid w:val="45E267F2"/>
    <w:rsid w:val="45EC653F"/>
    <w:rsid w:val="45F724B3"/>
    <w:rsid w:val="461940F5"/>
    <w:rsid w:val="46476EB4"/>
    <w:rsid w:val="46501B0A"/>
    <w:rsid w:val="46562A5A"/>
    <w:rsid w:val="468115D3"/>
    <w:rsid w:val="471F1BDF"/>
    <w:rsid w:val="473424C0"/>
    <w:rsid w:val="476A2E5A"/>
    <w:rsid w:val="47C62F79"/>
    <w:rsid w:val="48151B95"/>
    <w:rsid w:val="486F3D0E"/>
    <w:rsid w:val="48744123"/>
    <w:rsid w:val="487951E3"/>
    <w:rsid w:val="48EC5E17"/>
    <w:rsid w:val="492F525E"/>
    <w:rsid w:val="49774091"/>
    <w:rsid w:val="497A75A0"/>
    <w:rsid w:val="498166BE"/>
    <w:rsid w:val="49904770"/>
    <w:rsid w:val="49A52204"/>
    <w:rsid w:val="49BE0765"/>
    <w:rsid w:val="49E83317"/>
    <w:rsid w:val="49EF0B04"/>
    <w:rsid w:val="49F357B9"/>
    <w:rsid w:val="49FE0F21"/>
    <w:rsid w:val="4A5B6625"/>
    <w:rsid w:val="4A64722B"/>
    <w:rsid w:val="4A68526F"/>
    <w:rsid w:val="4A921616"/>
    <w:rsid w:val="4AA6424D"/>
    <w:rsid w:val="4ADB0FDC"/>
    <w:rsid w:val="4B0D423D"/>
    <w:rsid w:val="4B3C2B69"/>
    <w:rsid w:val="4B413ED2"/>
    <w:rsid w:val="4B5300A9"/>
    <w:rsid w:val="4B632FF4"/>
    <w:rsid w:val="4B8B018C"/>
    <w:rsid w:val="4B9D6431"/>
    <w:rsid w:val="4BDB0336"/>
    <w:rsid w:val="4BDC6444"/>
    <w:rsid w:val="4BEA5945"/>
    <w:rsid w:val="4BF22AEB"/>
    <w:rsid w:val="4BF86498"/>
    <w:rsid w:val="4C18790A"/>
    <w:rsid w:val="4C204A88"/>
    <w:rsid w:val="4C2A0E0A"/>
    <w:rsid w:val="4C430405"/>
    <w:rsid w:val="4C6D6F43"/>
    <w:rsid w:val="4C845869"/>
    <w:rsid w:val="4C9F2FC8"/>
    <w:rsid w:val="4CB13B3B"/>
    <w:rsid w:val="4CB83E47"/>
    <w:rsid w:val="4CEC57D7"/>
    <w:rsid w:val="4CFF446B"/>
    <w:rsid w:val="4D317E53"/>
    <w:rsid w:val="4D6F4C04"/>
    <w:rsid w:val="4D793C73"/>
    <w:rsid w:val="4DA84FAA"/>
    <w:rsid w:val="4DCA10EF"/>
    <w:rsid w:val="4E052B5A"/>
    <w:rsid w:val="4E116522"/>
    <w:rsid w:val="4E3611F3"/>
    <w:rsid w:val="4E3905F9"/>
    <w:rsid w:val="4EDC047E"/>
    <w:rsid w:val="4EE82D8A"/>
    <w:rsid w:val="4EFC196B"/>
    <w:rsid w:val="4F012616"/>
    <w:rsid w:val="4F654E71"/>
    <w:rsid w:val="4F7510F8"/>
    <w:rsid w:val="4F896B1B"/>
    <w:rsid w:val="4FAE4233"/>
    <w:rsid w:val="4FE7FF7C"/>
    <w:rsid w:val="4FEF6DC3"/>
    <w:rsid w:val="50040EC3"/>
    <w:rsid w:val="500D2A2B"/>
    <w:rsid w:val="50770340"/>
    <w:rsid w:val="50AD54A8"/>
    <w:rsid w:val="50CF78FD"/>
    <w:rsid w:val="514B3649"/>
    <w:rsid w:val="519C38F5"/>
    <w:rsid w:val="51C1573D"/>
    <w:rsid w:val="51D0535C"/>
    <w:rsid w:val="520C4505"/>
    <w:rsid w:val="522B1F9A"/>
    <w:rsid w:val="523B7711"/>
    <w:rsid w:val="530C1269"/>
    <w:rsid w:val="53116202"/>
    <w:rsid w:val="531F0B4B"/>
    <w:rsid w:val="53363495"/>
    <w:rsid w:val="535F3244"/>
    <w:rsid w:val="536570F5"/>
    <w:rsid w:val="53681D5E"/>
    <w:rsid w:val="53682A35"/>
    <w:rsid w:val="536E3FC1"/>
    <w:rsid w:val="53867493"/>
    <w:rsid w:val="543728FF"/>
    <w:rsid w:val="54A0435F"/>
    <w:rsid w:val="54A66CD6"/>
    <w:rsid w:val="54AC2DCA"/>
    <w:rsid w:val="54B95DED"/>
    <w:rsid w:val="54E526AA"/>
    <w:rsid w:val="54E72726"/>
    <w:rsid w:val="54FE4544"/>
    <w:rsid w:val="55195EBF"/>
    <w:rsid w:val="55706A8F"/>
    <w:rsid w:val="55811974"/>
    <w:rsid w:val="55C91693"/>
    <w:rsid w:val="55E2279C"/>
    <w:rsid w:val="560E01AA"/>
    <w:rsid w:val="56487CF9"/>
    <w:rsid w:val="56992171"/>
    <w:rsid w:val="56C453C6"/>
    <w:rsid w:val="56D55D3B"/>
    <w:rsid w:val="56E33925"/>
    <w:rsid w:val="57307C8C"/>
    <w:rsid w:val="57342789"/>
    <w:rsid w:val="5737065C"/>
    <w:rsid w:val="573F6D00"/>
    <w:rsid w:val="574B0C2C"/>
    <w:rsid w:val="57605A3E"/>
    <w:rsid w:val="577C748E"/>
    <w:rsid w:val="57AB5E65"/>
    <w:rsid w:val="57B960E8"/>
    <w:rsid w:val="57C540DC"/>
    <w:rsid w:val="58315AF0"/>
    <w:rsid w:val="585427F8"/>
    <w:rsid w:val="58546DDF"/>
    <w:rsid w:val="5874634B"/>
    <w:rsid w:val="58AD474E"/>
    <w:rsid w:val="58FC43E9"/>
    <w:rsid w:val="594E777C"/>
    <w:rsid w:val="595C8EBD"/>
    <w:rsid w:val="59611BE3"/>
    <w:rsid w:val="597925F3"/>
    <w:rsid w:val="59B83C0E"/>
    <w:rsid w:val="59E777AE"/>
    <w:rsid w:val="5A04713E"/>
    <w:rsid w:val="5A19144A"/>
    <w:rsid w:val="5A3F28C2"/>
    <w:rsid w:val="5A410FBA"/>
    <w:rsid w:val="5A4532B2"/>
    <w:rsid w:val="5A5579DF"/>
    <w:rsid w:val="5A783596"/>
    <w:rsid w:val="5A875679"/>
    <w:rsid w:val="5AC32B34"/>
    <w:rsid w:val="5AC925F3"/>
    <w:rsid w:val="5ADA7FC9"/>
    <w:rsid w:val="5AF00810"/>
    <w:rsid w:val="5B8E7FDD"/>
    <w:rsid w:val="5B9F3E89"/>
    <w:rsid w:val="5BA72378"/>
    <w:rsid w:val="5BAC5F9E"/>
    <w:rsid w:val="5BE64E4C"/>
    <w:rsid w:val="5BEC7E8A"/>
    <w:rsid w:val="5BECF552"/>
    <w:rsid w:val="5C1E58CC"/>
    <w:rsid w:val="5CA86E55"/>
    <w:rsid w:val="5CBB788E"/>
    <w:rsid w:val="5CC44962"/>
    <w:rsid w:val="5CCB7B02"/>
    <w:rsid w:val="5CD13806"/>
    <w:rsid w:val="5CE24DE9"/>
    <w:rsid w:val="5CF011F3"/>
    <w:rsid w:val="5CF35248"/>
    <w:rsid w:val="5D02723D"/>
    <w:rsid w:val="5D2722FC"/>
    <w:rsid w:val="5D333896"/>
    <w:rsid w:val="5D3B4AD7"/>
    <w:rsid w:val="5D8366CA"/>
    <w:rsid w:val="5DAB4F68"/>
    <w:rsid w:val="5DBFEB7B"/>
    <w:rsid w:val="5DE46936"/>
    <w:rsid w:val="5DE77E4E"/>
    <w:rsid w:val="5E0A0A9B"/>
    <w:rsid w:val="5E1F4838"/>
    <w:rsid w:val="5E241F90"/>
    <w:rsid w:val="5E283417"/>
    <w:rsid w:val="5E2D710C"/>
    <w:rsid w:val="5E3D2001"/>
    <w:rsid w:val="5E682F83"/>
    <w:rsid w:val="5E7303EE"/>
    <w:rsid w:val="5E9923C0"/>
    <w:rsid w:val="5ED129BF"/>
    <w:rsid w:val="5EDF7927"/>
    <w:rsid w:val="5F2B6BC7"/>
    <w:rsid w:val="5F390DE0"/>
    <w:rsid w:val="5F4A25A6"/>
    <w:rsid w:val="5F4B7511"/>
    <w:rsid w:val="5F693088"/>
    <w:rsid w:val="5F7B689F"/>
    <w:rsid w:val="5FBD747A"/>
    <w:rsid w:val="5FD71703"/>
    <w:rsid w:val="5FD90725"/>
    <w:rsid w:val="5FE13A7D"/>
    <w:rsid w:val="5FFD07B6"/>
    <w:rsid w:val="5FFF0B9C"/>
    <w:rsid w:val="600C2D0E"/>
    <w:rsid w:val="60196B59"/>
    <w:rsid w:val="601A575F"/>
    <w:rsid w:val="60220CB2"/>
    <w:rsid w:val="6031230F"/>
    <w:rsid w:val="60363DC9"/>
    <w:rsid w:val="60382379"/>
    <w:rsid w:val="6046299D"/>
    <w:rsid w:val="604C7149"/>
    <w:rsid w:val="60574C1D"/>
    <w:rsid w:val="605C2EE6"/>
    <w:rsid w:val="60626838"/>
    <w:rsid w:val="60693F87"/>
    <w:rsid w:val="60813447"/>
    <w:rsid w:val="608B2FC0"/>
    <w:rsid w:val="60A162F7"/>
    <w:rsid w:val="60B11928"/>
    <w:rsid w:val="60D61A50"/>
    <w:rsid w:val="60D64607"/>
    <w:rsid w:val="60E27AAD"/>
    <w:rsid w:val="60EA3CA2"/>
    <w:rsid w:val="60F63AB7"/>
    <w:rsid w:val="615126B4"/>
    <w:rsid w:val="615456FB"/>
    <w:rsid w:val="6161027B"/>
    <w:rsid w:val="617438D7"/>
    <w:rsid w:val="618231CE"/>
    <w:rsid w:val="618B3763"/>
    <w:rsid w:val="61D21511"/>
    <w:rsid w:val="62786B67"/>
    <w:rsid w:val="62B64D4D"/>
    <w:rsid w:val="62DF188A"/>
    <w:rsid w:val="62ED07A1"/>
    <w:rsid w:val="62FB30A8"/>
    <w:rsid w:val="63055A43"/>
    <w:rsid w:val="632E2E95"/>
    <w:rsid w:val="63660ED6"/>
    <w:rsid w:val="63B63956"/>
    <w:rsid w:val="63CE2EBC"/>
    <w:rsid w:val="63E1404C"/>
    <w:rsid w:val="644E64FD"/>
    <w:rsid w:val="64567379"/>
    <w:rsid w:val="647A2392"/>
    <w:rsid w:val="647C1E6F"/>
    <w:rsid w:val="648878D3"/>
    <w:rsid w:val="648B30C4"/>
    <w:rsid w:val="64992B79"/>
    <w:rsid w:val="65495DA9"/>
    <w:rsid w:val="65604DFE"/>
    <w:rsid w:val="65633B9E"/>
    <w:rsid w:val="65AB50CC"/>
    <w:rsid w:val="6673792B"/>
    <w:rsid w:val="66855C4D"/>
    <w:rsid w:val="66863283"/>
    <w:rsid w:val="672A36B5"/>
    <w:rsid w:val="673F5BC4"/>
    <w:rsid w:val="676976DD"/>
    <w:rsid w:val="67AE693B"/>
    <w:rsid w:val="67E91721"/>
    <w:rsid w:val="67FFD664"/>
    <w:rsid w:val="68280FDA"/>
    <w:rsid w:val="68352BED"/>
    <w:rsid w:val="68357583"/>
    <w:rsid w:val="683A1F7D"/>
    <w:rsid w:val="68541290"/>
    <w:rsid w:val="68833C70"/>
    <w:rsid w:val="68835B83"/>
    <w:rsid w:val="68A224C8"/>
    <w:rsid w:val="68A874AC"/>
    <w:rsid w:val="68DF6DD1"/>
    <w:rsid w:val="68E63EB3"/>
    <w:rsid w:val="68F16ADF"/>
    <w:rsid w:val="695D5F23"/>
    <w:rsid w:val="695D757D"/>
    <w:rsid w:val="69896A06"/>
    <w:rsid w:val="69A55B1C"/>
    <w:rsid w:val="69E07AAB"/>
    <w:rsid w:val="69F10D61"/>
    <w:rsid w:val="69FC751A"/>
    <w:rsid w:val="6A024FDB"/>
    <w:rsid w:val="6A0647FB"/>
    <w:rsid w:val="6A0E0134"/>
    <w:rsid w:val="6A17139F"/>
    <w:rsid w:val="6A1D05BE"/>
    <w:rsid w:val="6A75204A"/>
    <w:rsid w:val="6A9D2A43"/>
    <w:rsid w:val="6B160DAB"/>
    <w:rsid w:val="6B9433C6"/>
    <w:rsid w:val="6B966935"/>
    <w:rsid w:val="6BDB6E99"/>
    <w:rsid w:val="6BFD2010"/>
    <w:rsid w:val="6C3D486C"/>
    <w:rsid w:val="6C6075F8"/>
    <w:rsid w:val="6C84412D"/>
    <w:rsid w:val="6CC111D3"/>
    <w:rsid w:val="6CC57430"/>
    <w:rsid w:val="6CC80867"/>
    <w:rsid w:val="6D0135A6"/>
    <w:rsid w:val="6D053927"/>
    <w:rsid w:val="6D160F03"/>
    <w:rsid w:val="6D560FF8"/>
    <w:rsid w:val="6D77823B"/>
    <w:rsid w:val="6D83530F"/>
    <w:rsid w:val="6DCB3237"/>
    <w:rsid w:val="6DCB474D"/>
    <w:rsid w:val="6DD71EC5"/>
    <w:rsid w:val="6DF309DC"/>
    <w:rsid w:val="6E1540EC"/>
    <w:rsid w:val="6E48798E"/>
    <w:rsid w:val="6E5D69C5"/>
    <w:rsid w:val="6EAE211C"/>
    <w:rsid w:val="6EC62EE1"/>
    <w:rsid w:val="6EDF387E"/>
    <w:rsid w:val="6EDF3ABD"/>
    <w:rsid w:val="6EE251B7"/>
    <w:rsid w:val="6F15104E"/>
    <w:rsid w:val="6F3B20FC"/>
    <w:rsid w:val="6F4155E7"/>
    <w:rsid w:val="6F77E493"/>
    <w:rsid w:val="6FBB6CC3"/>
    <w:rsid w:val="6FBF6077"/>
    <w:rsid w:val="6FC0515F"/>
    <w:rsid w:val="6FE74B3C"/>
    <w:rsid w:val="702A0155"/>
    <w:rsid w:val="70464F46"/>
    <w:rsid w:val="70855F29"/>
    <w:rsid w:val="70E7713D"/>
    <w:rsid w:val="70F046D5"/>
    <w:rsid w:val="71277D95"/>
    <w:rsid w:val="7148437B"/>
    <w:rsid w:val="717B1392"/>
    <w:rsid w:val="719F0472"/>
    <w:rsid w:val="71AA7173"/>
    <w:rsid w:val="71D338D8"/>
    <w:rsid w:val="71E553C5"/>
    <w:rsid w:val="7204269D"/>
    <w:rsid w:val="72120AF8"/>
    <w:rsid w:val="72167086"/>
    <w:rsid w:val="723957D4"/>
    <w:rsid w:val="72414CAA"/>
    <w:rsid w:val="725330A4"/>
    <w:rsid w:val="726458E9"/>
    <w:rsid w:val="72DB3113"/>
    <w:rsid w:val="72EC4ABD"/>
    <w:rsid w:val="72F0405B"/>
    <w:rsid w:val="737C7103"/>
    <w:rsid w:val="738A1D8B"/>
    <w:rsid w:val="73BF74EF"/>
    <w:rsid w:val="73D977D9"/>
    <w:rsid w:val="74061933"/>
    <w:rsid w:val="740F48A6"/>
    <w:rsid w:val="740F4D80"/>
    <w:rsid w:val="741713C4"/>
    <w:rsid w:val="742570D5"/>
    <w:rsid w:val="743E6C31"/>
    <w:rsid w:val="743FE269"/>
    <w:rsid w:val="74580370"/>
    <w:rsid w:val="74800CAF"/>
    <w:rsid w:val="74843F48"/>
    <w:rsid w:val="7487654A"/>
    <w:rsid w:val="74885487"/>
    <w:rsid w:val="74952C09"/>
    <w:rsid w:val="74A23B64"/>
    <w:rsid w:val="74B35591"/>
    <w:rsid w:val="74BD0011"/>
    <w:rsid w:val="74C059CD"/>
    <w:rsid w:val="74F508D1"/>
    <w:rsid w:val="758111EB"/>
    <w:rsid w:val="75AC144D"/>
    <w:rsid w:val="75BB1990"/>
    <w:rsid w:val="75E11C8A"/>
    <w:rsid w:val="75F77D32"/>
    <w:rsid w:val="760318BC"/>
    <w:rsid w:val="761422CC"/>
    <w:rsid w:val="7616796A"/>
    <w:rsid w:val="76367647"/>
    <w:rsid w:val="763A1732"/>
    <w:rsid w:val="76AD18B7"/>
    <w:rsid w:val="76F0071D"/>
    <w:rsid w:val="770420D4"/>
    <w:rsid w:val="773F80F0"/>
    <w:rsid w:val="779A0E3C"/>
    <w:rsid w:val="77A747E4"/>
    <w:rsid w:val="77C93C82"/>
    <w:rsid w:val="77E43616"/>
    <w:rsid w:val="77F36070"/>
    <w:rsid w:val="78347ECD"/>
    <w:rsid w:val="783B2BF3"/>
    <w:rsid w:val="786F6D59"/>
    <w:rsid w:val="78744E2F"/>
    <w:rsid w:val="78A57C52"/>
    <w:rsid w:val="78A83FA7"/>
    <w:rsid w:val="78C160DE"/>
    <w:rsid w:val="78CA2EA9"/>
    <w:rsid w:val="78D642F4"/>
    <w:rsid w:val="78DE68BC"/>
    <w:rsid w:val="78FEA3CB"/>
    <w:rsid w:val="78FFDF06"/>
    <w:rsid w:val="7921301A"/>
    <w:rsid w:val="79614888"/>
    <w:rsid w:val="796D2A75"/>
    <w:rsid w:val="79AC25AE"/>
    <w:rsid w:val="79AE2F77"/>
    <w:rsid w:val="79B936D3"/>
    <w:rsid w:val="79ED1667"/>
    <w:rsid w:val="79F10794"/>
    <w:rsid w:val="7A2B4985"/>
    <w:rsid w:val="7A340367"/>
    <w:rsid w:val="7A5A025C"/>
    <w:rsid w:val="7A772BBC"/>
    <w:rsid w:val="7AA31C03"/>
    <w:rsid w:val="7AAC1FF2"/>
    <w:rsid w:val="7AD516C5"/>
    <w:rsid w:val="7B333368"/>
    <w:rsid w:val="7B4C076B"/>
    <w:rsid w:val="7B711D02"/>
    <w:rsid w:val="7B712CC2"/>
    <w:rsid w:val="7B7D36C3"/>
    <w:rsid w:val="7B866F05"/>
    <w:rsid w:val="7BCFB272"/>
    <w:rsid w:val="7BD67C84"/>
    <w:rsid w:val="7BDF8C9A"/>
    <w:rsid w:val="7BE32E4D"/>
    <w:rsid w:val="7BE631C6"/>
    <w:rsid w:val="7C126EFC"/>
    <w:rsid w:val="7C1C564D"/>
    <w:rsid w:val="7C1E2179"/>
    <w:rsid w:val="7C233753"/>
    <w:rsid w:val="7C505C46"/>
    <w:rsid w:val="7C577134"/>
    <w:rsid w:val="7C8021FC"/>
    <w:rsid w:val="7CAABCAA"/>
    <w:rsid w:val="7CB81233"/>
    <w:rsid w:val="7CC423B7"/>
    <w:rsid w:val="7CEA5382"/>
    <w:rsid w:val="7CEF0F34"/>
    <w:rsid w:val="7D0A41DF"/>
    <w:rsid w:val="7D124E1E"/>
    <w:rsid w:val="7D2659A0"/>
    <w:rsid w:val="7D4E19E0"/>
    <w:rsid w:val="7D7B63EB"/>
    <w:rsid w:val="7D964FA1"/>
    <w:rsid w:val="7DB67EA0"/>
    <w:rsid w:val="7DF06F8A"/>
    <w:rsid w:val="7E171AD0"/>
    <w:rsid w:val="7E262910"/>
    <w:rsid w:val="7E2D1F10"/>
    <w:rsid w:val="7E392890"/>
    <w:rsid w:val="7E7044F2"/>
    <w:rsid w:val="7E73C0D3"/>
    <w:rsid w:val="7E7B2D93"/>
    <w:rsid w:val="7ED963FA"/>
    <w:rsid w:val="7EEE1C00"/>
    <w:rsid w:val="7F005AC2"/>
    <w:rsid w:val="7F1A0267"/>
    <w:rsid w:val="7F3D7287"/>
    <w:rsid w:val="7F57239C"/>
    <w:rsid w:val="7F5779B2"/>
    <w:rsid w:val="7F5FEBDB"/>
    <w:rsid w:val="7F602BBA"/>
    <w:rsid w:val="7F7789B7"/>
    <w:rsid w:val="7F871AF4"/>
    <w:rsid w:val="7F9360DA"/>
    <w:rsid w:val="7F99DB76"/>
    <w:rsid w:val="7FA82713"/>
    <w:rsid w:val="7FB31D42"/>
    <w:rsid w:val="7FBF30CA"/>
    <w:rsid w:val="7FBFBD87"/>
    <w:rsid w:val="7FC2395F"/>
    <w:rsid w:val="7FE15D8C"/>
    <w:rsid w:val="7FE40346"/>
    <w:rsid w:val="7FE85FE6"/>
    <w:rsid w:val="7FEEAB69"/>
    <w:rsid w:val="7FF5481E"/>
    <w:rsid w:val="7FFDC877"/>
    <w:rsid w:val="7FFE8A91"/>
    <w:rsid w:val="933F86CB"/>
    <w:rsid w:val="95FFECAE"/>
    <w:rsid w:val="979FBFBB"/>
    <w:rsid w:val="9EF3752C"/>
    <w:rsid w:val="A0FAAE08"/>
    <w:rsid w:val="AEF797B4"/>
    <w:rsid w:val="AFFB54F1"/>
    <w:rsid w:val="B6FE7AFA"/>
    <w:rsid w:val="B76EAA22"/>
    <w:rsid w:val="B7FB0F80"/>
    <w:rsid w:val="BCF7B75A"/>
    <w:rsid w:val="BECD798F"/>
    <w:rsid w:val="CD7C6A35"/>
    <w:rsid w:val="CFD718AC"/>
    <w:rsid w:val="D6FD103C"/>
    <w:rsid w:val="D7EF44AD"/>
    <w:rsid w:val="D9FF977E"/>
    <w:rsid w:val="DDFFAAE0"/>
    <w:rsid w:val="DFE6063E"/>
    <w:rsid w:val="E3FBA836"/>
    <w:rsid w:val="E5FFF8E5"/>
    <w:rsid w:val="E8EF1F10"/>
    <w:rsid w:val="F3676569"/>
    <w:rsid w:val="F5F72B1D"/>
    <w:rsid w:val="F732304F"/>
    <w:rsid w:val="F7ADCAF5"/>
    <w:rsid w:val="F9FDA141"/>
    <w:rsid w:val="FA692A85"/>
    <w:rsid w:val="FBDE7423"/>
    <w:rsid w:val="FBEF9287"/>
    <w:rsid w:val="FDC9DDC5"/>
    <w:rsid w:val="FEEF4645"/>
    <w:rsid w:val="FEF4B89B"/>
    <w:rsid w:val="FEFF34D2"/>
    <w:rsid w:val="FEFF681A"/>
    <w:rsid w:val="FF6FD603"/>
    <w:rsid w:val="FF829690"/>
    <w:rsid w:val="FFA7B8BD"/>
    <w:rsid w:val="FFFF2794"/>
    <w:rsid w:val="FFFFB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name="Body Text First Indent 2" w:locked="1"/>
    <w:lsdException w:uiPriority="99" w:name="Note Heading" w:locked="1"/>
    <w:lsdException w:uiPriority="99" w:name="Body Text 2" w:locked="1"/>
    <w:lsdException w:qFormat="1" w:uiPriority="99" w:semiHidden="0" w:name="Body Text 3" w:locked="1"/>
    <w:lsdException w:qFormat="1" w:unhideWhenUsed="0" w:uiPriority="99" w:semiHidden="0" w:name="Body Text Indent 2"/>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kern w:val="44"/>
      <w:sz w:val="36"/>
      <w:szCs w:val="36"/>
    </w:rPr>
  </w:style>
  <w:style w:type="paragraph" w:styleId="5">
    <w:name w:val="heading 2"/>
    <w:basedOn w:val="1"/>
    <w:next w:val="1"/>
    <w:link w:val="43"/>
    <w:qFormat/>
    <w:uiPriority w:val="99"/>
    <w:pPr>
      <w:keepNext/>
      <w:keepLines/>
      <w:spacing w:before="260" w:after="260" w:line="415" w:lineRule="auto"/>
      <w:ind w:firstLine="200" w:firstLineChars="200"/>
      <w:outlineLvl w:val="1"/>
    </w:pPr>
    <w:rPr>
      <w:rFonts w:ascii="Cambria" w:hAnsi="Cambria" w:cs="Cambria"/>
      <w:sz w:val="32"/>
      <w:szCs w:val="32"/>
    </w:rPr>
  </w:style>
  <w:style w:type="paragraph" w:styleId="6">
    <w:name w:val="heading 3"/>
    <w:basedOn w:val="1"/>
    <w:next w:val="1"/>
    <w:link w:val="44"/>
    <w:qFormat/>
    <w:uiPriority w:val="99"/>
    <w:pPr>
      <w:keepNext/>
      <w:keepLines/>
      <w:spacing w:before="260" w:after="260" w:line="415" w:lineRule="auto"/>
      <w:ind w:firstLine="200" w:firstLineChars="200"/>
      <w:outlineLvl w:val="2"/>
    </w:pPr>
    <w:rPr>
      <w:sz w:val="28"/>
      <w:szCs w:val="28"/>
    </w:rPr>
  </w:style>
  <w:style w:type="paragraph" w:styleId="7">
    <w:name w:val="heading 4"/>
    <w:basedOn w:val="1"/>
    <w:next w:val="1"/>
    <w:link w:val="45"/>
    <w:qFormat/>
    <w:uiPriority w:val="99"/>
    <w:pPr>
      <w:keepNext/>
      <w:keepLines/>
      <w:spacing w:before="280" w:after="290" w:line="377" w:lineRule="auto"/>
      <w:ind w:firstLine="200" w:firstLineChars="200"/>
      <w:outlineLvl w:val="3"/>
    </w:pPr>
    <w:rPr>
      <w:rFonts w:ascii="Cambria" w:hAnsi="Cambria" w:cs="Cambria"/>
      <w:sz w:val="28"/>
      <w:szCs w:val="28"/>
    </w:rPr>
  </w:style>
  <w:style w:type="paragraph" w:styleId="8">
    <w:name w:val="heading 5"/>
    <w:basedOn w:val="1"/>
    <w:next w:val="1"/>
    <w:link w:val="46"/>
    <w:qFormat/>
    <w:uiPriority w:val="99"/>
    <w:pPr>
      <w:keepNext/>
      <w:keepLines/>
      <w:spacing w:before="280" w:after="290" w:line="377" w:lineRule="auto"/>
      <w:ind w:firstLine="200" w:firstLineChars="200"/>
      <w:outlineLvl w:val="4"/>
    </w:pPr>
    <w:rPr>
      <w:b/>
      <w:bCs/>
      <w:sz w:val="24"/>
      <w:szCs w:val="24"/>
    </w:rPr>
  </w:style>
  <w:style w:type="paragraph" w:styleId="9">
    <w:name w:val="heading 6"/>
    <w:basedOn w:val="1"/>
    <w:next w:val="1"/>
    <w:link w:val="47"/>
    <w:qFormat/>
    <w:uiPriority w:val="99"/>
    <w:pPr>
      <w:keepNext/>
      <w:keepLines/>
      <w:spacing w:before="240" w:after="64" w:line="320" w:lineRule="auto"/>
      <w:outlineLvl w:val="5"/>
    </w:pPr>
    <w:rPr>
      <w:rFonts w:ascii="Cambria" w:hAnsi="Cambria" w:cs="Cambria"/>
      <w:b/>
      <w:bCs/>
      <w:sz w:val="24"/>
      <w:szCs w:val="24"/>
    </w:rPr>
  </w:style>
  <w:style w:type="paragraph" w:styleId="10">
    <w:name w:val="heading 7"/>
    <w:basedOn w:val="1"/>
    <w:next w:val="1"/>
    <w:link w:val="48"/>
    <w:qFormat/>
    <w:uiPriority w:val="99"/>
    <w:pPr>
      <w:keepNext/>
      <w:keepLines/>
      <w:spacing w:before="240" w:after="64" w:line="320" w:lineRule="auto"/>
      <w:outlineLvl w:val="6"/>
    </w:pPr>
    <w:rPr>
      <w:b/>
      <w:bCs/>
      <w:sz w:val="24"/>
      <w:szCs w:val="24"/>
    </w:rPr>
  </w:style>
  <w:style w:type="paragraph" w:styleId="11">
    <w:name w:val="heading 8"/>
    <w:basedOn w:val="1"/>
    <w:next w:val="1"/>
    <w:link w:val="49"/>
    <w:qFormat/>
    <w:uiPriority w:val="99"/>
    <w:pPr>
      <w:keepNext/>
      <w:keepLines/>
      <w:spacing w:before="240" w:after="64" w:line="320" w:lineRule="auto"/>
      <w:outlineLvl w:val="7"/>
    </w:pPr>
    <w:rPr>
      <w:rFonts w:ascii="Cambria" w:hAnsi="Cambria" w:cs="Cambria"/>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line="460" w:lineRule="exact"/>
    </w:pPr>
    <w:rPr>
      <w:rFonts w:ascii="汉鼎简楷体" w:hAnsi="宋体" w:eastAsia="汉鼎简楷体"/>
      <w:b/>
      <w:bCs/>
      <w:spacing w:val="4"/>
      <w:sz w:val="24"/>
      <w:szCs w:val="20"/>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2">
    <w:name w:val="annotation text"/>
    <w:basedOn w:val="1"/>
    <w:link w:val="50"/>
    <w:semiHidden/>
    <w:qFormat/>
    <w:locked/>
    <w:uiPriority w:val="99"/>
    <w:pPr>
      <w:jc w:val="left"/>
    </w:pPr>
  </w:style>
  <w:style w:type="paragraph" w:styleId="13">
    <w:name w:val="Body Text 3"/>
    <w:basedOn w:val="1"/>
    <w:unhideWhenUsed/>
    <w:qFormat/>
    <w:locked/>
    <w:uiPriority w:val="99"/>
    <w:pPr>
      <w:spacing w:after="120"/>
    </w:pPr>
    <w:rPr>
      <w:sz w:val="16"/>
      <w:szCs w:val="16"/>
    </w:rPr>
  </w:style>
  <w:style w:type="paragraph" w:styleId="14">
    <w:name w:val="Body Text Indent"/>
    <w:basedOn w:val="1"/>
    <w:next w:val="1"/>
    <w:link w:val="51"/>
    <w:unhideWhenUsed/>
    <w:qFormat/>
    <w:locked/>
    <w:uiPriority w:val="99"/>
    <w:pPr>
      <w:spacing w:after="120"/>
      <w:ind w:left="420" w:leftChars="200"/>
    </w:pPr>
  </w:style>
  <w:style w:type="paragraph" w:styleId="15">
    <w:name w:val="Block Text"/>
    <w:basedOn w:val="1"/>
    <w:unhideWhenUsed/>
    <w:qFormat/>
    <w:locked/>
    <w:uiPriority w:val="99"/>
    <w:pPr>
      <w:spacing w:after="120"/>
      <w:ind w:left="1440" w:leftChars="700" w:right="1440" w:rightChars="700"/>
    </w:pPr>
  </w:style>
  <w:style w:type="paragraph" w:styleId="16">
    <w:name w:val="toc 5"/>
    <w:basedOn w:val="1"/>
    <w:next w:val="1"/>
    <w:qFormat/>
    <w:locked/>
    <w:uiPriority w:val="0"/>
    <w:pPr>
      <w:ind w:left="1760"/>
      <w:jc w:val="left"/>
    </w:pPr>
  </w:style>
  <w:style w:type="paragraph" w:styleId="17">
    <w:name w:val="toc 3"/>
    <w:basedOn w:val="1"/>
    <w:next w:val="1"/>
    <w:semiHidden/>
    <w:qFormat/>
    <w:uiPriority w:val="99"/>
    <w:pPr>
      <w:ind w:left="420"/>
      <w:jc w:val="left"/>
    </w:pPr>
    <w:rPr>
      <w:rFonts w:cs="Times New Roman"/>
      <w:i/>
      <w:iCs/>
      <w:sz w:val="20"/>
      <w:szCs w:val="20"/>
    </w:rPr>
  </w:style>
  <w:style w:type="paragraph" w:styleId="18">
    <w:name w:val="Plain Text"/>
    <w:basedOn w:val="1"/>
    <w:next w:val="1"/>
    <w:link w:val="52"/>
    <w:qFormat/>
    <w:uiPriority w:val="0"/>
    <w:rPr>
      <w:rFonts w:ascii="宋体" w:hAnsi="Courier New" w:cs="宋体"/>
    </w:rPr>
  </w:style>
  <w:style w:type="paragraph" w:styleId="19">
    <w:name w:val="Date"/>
    <w:basedOn w:val="1"/>
    <w:next w:val="1"/>
    <w:link w:val="53"/>
    <w:qFormat/>
    <w:uiPriority w:val="99"/>
    <w:pPr>
      <w:ind w:left="100" w:leftChars="2500"/>
    </w:pPr>
  </w:style>
  <w:style w:type="paragraph" w:styleId="20">
    <w:name w:val="Body Text Indent 2"/>
    <w:basedOn w:val="1"/>
    <w:link w:val="54"/>
    <w:qFormat/>
    <w:uiPriority w:val="99"/>
    <w:pPr>
      <w:ind w:firstLine="562" w:firstLineChars="200"/>
    </w:pPr>
    <w:rPr>
      <w:rFonts w:ascii="仿宋_GB2312" w:eastAsia="仿宋_GB2312" w:cs="仿宋_GB2312"/>
      <w:b/>
      <w:bCs/>
      <w:sz w:val="28"/>
      <w:szCs w:val="28"/>
    </w:rPr>
  </w:style>
  <w:style w:type="paragraph" w:styleId="21">
    <w:name w:val="Balloon Text"/>
    <w:basedOn w:val="1"/>
    <w:link w:val="55"/>
    <w:semiHidden/>
    <w:qFormat/>
    <w:uiPriority w:val="99"/>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390"/>
      </w:tabs>
      <w:spacing w:before="120" w:after="120"/>
    </w:pPr>
    <w:rPr>
      <w:rFonts w:cs="Times New Roman"/>
      <w:b/>
      <w:bCs/>
      <w:caps/>
      <w:sz w:val="24"/>
      <w:szCs w:val="24"/>
    </w:rPr>
  </w:style>
  <w:style w:type="paragraph" w:styleId="25">
    <w:name w:val="toc 4"/>
    <w:basedOn w:val="1"/>
    <w:next w:val="1"/>
    <w:qFormat/>
    <w:locked/>
    <w:uiPriority w:val="0"/>
    <w:pPr>
      <w:tabs>
        <w:tab w:val="left" w:pos="1890"/>
        <w:tab w:val="right" w:leader="dot" w:pos="8296"/>
      </w:tabs>
      <w:ind w:left="630" w:leftChars="300"/>
    </w:pPr>
  </w:style>
  <w:style w:type="paragraph" w:styleId="26">
    <w:name w:val="footnote text"/>
    <w:basedOn w:val="1"/>
    <w:qFormat/>
    <w:locked/>
    <w:uiPriority w:val="0"/>
    <w:pPr>
      <w:snapToGrid w:val="0"/>
      <w:jc w:val="left"/>
    </w:pPr>
    <w:rPr>
      <w:sz w:val="18"/>
      <w:szCs w:val="18"/>
    </w:rPr>
  </w:style>
  <w:style w:type="paragraph" w:styleId="27">
    <w:name w:val="table of figures"/>
    <w:basedOn w:val="1"/>
    <w:next w:val="1"/>
    <w:unhideWhenUsed/>
    <w:qFormat/>
    <w:locked/>
    <w:uiPriority w:val="99"/>
    <w:pPr>
      <w:ind w:left="200" w:leftChars="200" w:hanging="200" w:hangingChars="200"/>
    </w:pPr>
  </w:style>
  <w:style w:type="paragraph" w:styleId="28">
    <w:name w:val="toc 2"/>
    <w:basedOn w:val="1"/>
    <w:next w:val="1"/>
    <w:semiHidden/>
    <w:qFormat/>
    <w:uiPriority w:val="99"/>
    <w:pPr>
      <w:ind w:left="210"/>
      <w:jc w:val="left"/>
    </w:pPr>
    <w:rPr>
      <w:rFonts w:cs="Times New Roman"/>
      <w:smallCaps/>
      <w:sz w:val="20"/>
      <w:szCs w:val="20"/>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qFormat/>
    <w:locked/>
    <w:uiPriority w:val="0"/>
    <w:pPr>
      <w:spacing w:before="240" w:after="60"/>
      <w:ind w:left="840" w:leftChars="400" w:right="1071" w:rightChars="510" w:firstLine="104" w:firstLineChars="24"/>
      <w:jc w:val="center"/>
      <w:outlineLvl w:val="0"/>
    </w:pPr>
    <w:rPr>
      <w:rFonts w:cs="Arial"/>
      <w:b/>
      <w:bCs/>
      <w:sz w:val="44"/>
      <w:szCs w:val="32"/>
    </w:rPr>
  </w:style>
  <w:style w:type="paragraph" w:styleId="31">
    <w:name w:val="annotation subject"/>
    <w:basedOn w:val="12"/>
    <w:next w:val="12"/>
    <w:link w:val="58"/>
    <w:semiHidden/>
    <w:qFormat/>
    <w:locked/>
    <w:uiPriority w:val="99"/>
    <w:rPr>
      <w:b/>
      <w:bCs/>
    </w:rPr>
  </w:style>
  <w:style w:type="paragraph" w:styleId="32">
    <w:name w:val="Body Text First Indent"/>
    <w:basedOn w:val="2"/>
    <w:qFormat/>
    <w:locked/>
    <w:uiPriority w:val="0"/>
    <w:pPr>
      <w:spacing w:line="312" w:lineRule="auto"/>
      <w:ind w:firstLine="420"/>
    </w:pPr>
  </w:style>
  <w:style w:type="paragraph" w:styleId="33">
    <w:name w:val="Body Text First Indent 2"/>
    <w:basedOn w:val="14"/>
    <w:next w:val="1"/>
    <w:semiHidden/>
    <w:unhideWhenUsed/>
    <w:qFormat/>
    <w:locked/>
    <w:uiPriority w:val="99"/>
    <w:pPr>
      <w:ind w:firstLine="420" w:firstLineChars="200"/>
    </w:p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99"/>
    <w:rPr>
      <w:b/>
      <w:bCs/>
    </w:rPr>
  </w:style>
  <w:style w:type="character" w:styleId="38">
    <w:name w:val="page number"/>
    <w:basedOn w:val="36"/>
    <w:qFormat/>
    <w:uiPriority w:val="99"/>
  </w:style>
  <w:style w:type="character" w:styleId="39">
    <w:name w:val="Hyperlink"/>
    <w:basedOn w:val="36"/>
    <w:qFormat/>
    <w:uiPriority w:val="99"/>
    <w:rPr>
      <w:color w:val="0000FF"/>
      <w:u w:val="single"/>
    </w:rPr>
  </w:style>
  <w:style w:type="character" w:styleId="40">
    <w:name w:val="annotation reference"/>
    <w:basedOn w:val="36"/>
    <w:semiHidden/>
    <w:qFormat/>
    <w:locked/>
    <w:uiPriority w:val="99"/>
    <w:rPr>
      <w:sz w:val="21"/>
      <w:szCs w:val="21"/>
    </w:rPr>
  </w:style>
  <w:style w:type="paragraph" w:customStyle="1" w:styleId="41">
    <w:name w:val="wang正文"/>
    <w:qFormat/>
    <w:uiPriority w:val="0"/>
    <w:pPr>
      <w:tabs>
        <w:tab w:val="left" w:pos="6840"/>
      </w:tabs>
      <w:topLinePunct/>
      <w:spacing w:line="300" w:lineRule="exact"/>
      <w:ind w:firstLine="420"/>
    </w:pPr>
    <w:rPr>
      <w:rFonts w:ascii="Times New Roman" w:hAnsi="Times New Roman" w:eastAsia="宋体" w:cs="Times New Roman"/>
      <w:kern w:val="2"/>
      <w:sz w:val="21"/>
      <w:szCs w:val="24"/>
      <w:lang w:val="en-US" w:eastAsia="zh-CN" w:bidi="ar-SA"/>
    </w:rPr>
  </w:style>
  <w:style w:type="character" w:customStyle="1" w:styleId="42">
    <w:name w:val="标题 1 字符"/>
    <w:basedOn w:val="36"/>
    <w:link w:val="4"/>
    <w:qFormat/>
    <w:locked/>
    <w:uiPriority w:val="99"/>
    <w:rPr>
      <w:rFonts w:ascii="Calibri" w:hAnsi="Calibri" w:eastAsia="宋体" w:cs="Calibri"/>
      <w:kern w:val="44"/>
      <w:sz w:val="44"/>
      <w:szCs w:val="44"/>
      <w:lang w:val="en-US" w:eastAsia="zh-CN"/>
    </w:rPr>
  </w:style>
  <w:style w:type="character" w:customStyle="1" w:styleId="43">
    <w:name w:val="标题 2 字符"/>
    <w:basedOn w:val="36"/>
    <w:link w:val="5"/>
    <w:qFormat/>
    <w:locked/>
    <w:uiPriority w:val="99"/>
    <w:rPr>
      <w:rFonts w:ascii="Cambria" w:hAnsi="Cambria" w:eastAsia="宋体" w:cs="Cambria"/>
      <w:kern w:val="2"/>
      <w:sz w:val="32"/>
      <w:szCs w:val="32"/>
      <w:lang w:val="en-US" w:eastAsia="zh-CN"/>
    </w:rPr>
  </w:style>
  <w:style w:type="character" w:customStyle="1" w:styleId="44">
    <w:name w:val="标题 3 字符"/>
    <w:basedOn w:val="36"/>
    <w:link w:val="6"/>
    <w:qFormat/>
    <w:locked/>
    <w:uiPriority w:val="99"/>
    <w:rPr>
      <w:rFonts w:ascii="Calibri" w:hAnsi="Calibri" w:eastAsia="宋体" w:cs="Calibri"/>
      <w:kern w:val="2"/>
      <w:sz w:val="32"/>
      <w:szCs w:val="32"/>
      <w:lang w:val="en-US" w:eastAsia="zh-CN"/>
    </w:rPr>
  </w:style>
  <w:style w:type="character" w:customStyle="1" w:styleId="45">
    <w:name w:val="标题 4 字符"/>
    <w:basedOn w:val="36"/>
    <w:link w:val="7"/>
    <w:qFormat/>
    <w:locked/>
    <w:uiPriority w:val="99"/>
    <w:rPr>
      <w:rFonts w:ascii="Cambria" w:hAnsi="Cambria" w:eastAsia="宋体" w:cs="Cambria"/>
      <w:kern w:val="2"/>
      <w:sz w:val="28"/>
      <w:szCs w:val="28"/>
      <w:lang w:val="en-US" w:eastAsia="zh-CN"/>
    </w:rPr>
  </w:style>
  <w:style w:type="character" w:customStyle="1" w:styleId="46">
    <w:name w:val="标题 5 字符"/>
    <w:basedOn w:val="36"/>
    <w:link w:val="8"/>
    <w:qFormat/>
    <w:locked/>
    <w:uiPriority w:val="99"/>
    <w:rPr>
      <w:rFonts w:ascii="Calibri" w:hAnsi="Calibri" w:eastAsia="宋体" w:cs="Calibri"/>
      <w:b/>
      <w:bCs/>
      <w:kern w:val="2"/>
      <w:sz w:val="28"/>
      <w:szCs w:val="28"/>
      <w:lang w:val="en-US" w:eastAsia="zh-CN"/>
    </w:rPr>
  </w:style>
  <w:style w:type="character" w:customStyle="1" w:styleId="47">
    <w:name w:val="标题 6 字符"/>
    <w:basedOn w:val="36"/>
    <w:link w:val="9"/>
    <w:qFormat/>
    <w:locked/>
    <w:uiPriority w:val="99"/>
    <w:rPr>
      <w:rFonts w:ascii="Cambria" w:hAnsi="Cambria" w:eastAsia="宋体" w:cs="Cambria"/>
      <w:b/>
      <w:bCs/>
      <w:kern w:val="2"/>
      <w:sz w:val="24"/>
      <w:szCs w:val="24"/>
      <w:lang w:val="en-US" w:eastAsia="zh-CN"/>
    </w:rPr>
  </w:style>
  <w:style w:type="character" w:customStyle="1" w:styleId="48">
    <w:name w:val="标题 7 字符"/>
    <w:basedOn w:val="36"/>
    <w:link w:val="10"/>
    <w:semiHidden/>
    <w:qFormat/>
    <w:locked/>
    <w:uiPriority w:val="99"/>
    <w:rPr>
      <w:rFonts w:ascii="Calibri" w:hAnsi="Calibri" w:eastAsia="宋体" w:cs="Calibri"/>
      <w:b/>
      <w:bCs/>
      <w:kern w:val="2"/>
      <w:sz w:val="24"/>
      <w:szCs w:val="24"/>
      <w:lang w:val="en-US" w:eastAsia="zh-CN"/>
    </w:rPr>
  </w:style>
  <w:style w:type="character" w:customStyle="1" w:styleId="49">
    <w:name w:val="标题 8 字符"/>
    <w:basedOn w:val="36"/>
    <w:link w:val="11"/>
    <w:semiHidden/>
    <w:qFormat/>
    <w:locked/>
    <w:uiPriority w:val="99"/>
    <w:rPr>
      <w:rFonts w:ascii="Cambria" w:hAnsi="Cambria" w:eastAsia="宋体" w:cs="Cambria"/>
      <w:kern w:val="2"/>
      <w:sz w:val="24"/>
      <w:szCs w:val="24"/>
      <w:lang w:val="en-US" w:eastAsia="zh-CN"/>
    </w:rPr>
  </w:style>
  <w:style w:type="character" w:customStyle="1" w:styleId="50">
    <w:name w:val="批注文字 字符"/>
    <w:basedOn w:val="36"/>
    <w:link w:val="12"/>
    <w:semiHidden/>
    <w:qFormat/>
    <w:uiPriority w:val="99"/>
    <w:rPr>
      <w:rFonts w:ascii="Calibri" w:hAnsi="Calibri" w:cs="Calibri"/>
      <w:szCs w:val="21"/>
    </w:rPr>
  </w:style>
  <w:style w:type="character" w:customStyle="1" w:styleId="51">
    <w:name w:val="正文文本缩进 字符"/>
    <w:basedOn w:val="36"/>
    <w:link w:val="14"/>
    <w:semiHidden/>
    <w:qFormat/>
    <w:uiPriority w:val="99"/>
    <w:rPr>
      <w:rFonts w:ascii="Calibri" w:hAnsi="Calibri" w:cs="Calibri"/>
      <w:kern w:val="2"/>
      <w:sz w:val="21"/>
      <w:szCs w:val="21"/>
    </w:rPr>
  </w:style>
  <w:style w:type="character" w:customStyle="1" w:styleId="52">
    <w:name w:val="纯文本 字符"/>
    <w:basedOn w:val="36"/>
    <w:link w:val="18"/>
    <w:qFormat/>
    <w:uiPriority w:val="0"/>
    <w:rPr>
      <w:rFonts w:hint="eastAsia" w:ascii="宋体" w:hAnsi="Courier New" w:eastAsia="宋体" w:cs="Courier New"/>
      <w:kern w:val="2"/>
      <w:sz w:val="21"/>
      <w:szCs w:val="21"/>
    </w:rPr>
  </w:style>
  <w:style w:type="character" w:customStyle="1" w:styleId="53">
    <w:name w:val="日期 字符"/>
    <w:basedOn w:val="36"/>
    <w:link w:val="19"/>
    <w:qFormat/>
    <w:locked/>
    <w:uiPriority w:val="99"/>
    <w:rPr>
      <w:rFonts w:ascii="Calibri" w:hAnsi="Calibri" w:cs="Calibri"/>
      <w:kern w:val="2"/>
      <w:sz w:val="22"/>
      <w:szCs w:val="22"/>
    </w:rPr>
  </w:style>
  <w:style w:type="character" w:customStyle="1" w:styleId="54">
    <w:name w:val="正文文本缩进 2 字符"/>
    <w:basedOn w:val="36"/>
    <w:link w:val="20"/>
    <w:semiHidden/>
    <w:qFormat/>
    <w:locked/>
    <w:uiPriority w:val="99"/>
    <w:rPr>
      <w:rFonts w:ascii="Calibri" w:hAnsi="Calibri" w:cs="Calibri"/>
    </w:rPr>
  </w:style>
  <w:style w:type="character" w:customStyle="1" w:styleId="55">
    <w:name w:val="批注框文本 字符"/>
    <w:basedOn w:val="36"/>
    <w:link w:val="21"/>
    <w:semiHidden/>
    <w:qFormat/>
    <w:locked/>
    <w:uiPriority w:val="99"/>
    <w:rPr>
      <w:rFonts w:ascii="Calibri" w:hAnsi="Calibri" w:eastAsia="宋体" w:cs="Calibri"/>
      <w:kern w:val="2"/>
      <w:sz w:val="18"/>
      <w:szCs w:val="18"/>
      <w:lang w:val="en-US" w:eastAsia="zh-CN"/>
    </w:rPr>
  </w:style>
  <w:style w:type="character" w:customStyle="1" w:styleId="56">
    <w:name w:val="页脚 字符"/>
    <w:basedOn w:val="36"/>
    <w:link w:val="22"/>
    <w:qFormat/>
    <w:locked/>
    <w:uiPriority w:val="99"/>
    <w:rPr>
      <w:rFonts w:ascii="Calibri" w:hAnsi="Calibri" w:eastAsia="宋体" w:cs="Calibri"/>
      <w:kern w:val="2"/>
      <w:sz w:val="18"/>
      <w:szCs w:val="18"/>
      <w:lang w:val="en-US" w:eastAsia="zh-CN"/>
    </w:rPr>
  </w:style>
  <w:style w:type="character" w:customStyle="1" w:styleId="57">
    <w:name w:val="页眉 字符"/>
    <w:basedOn w:val="36"/>
    <w:link w:val="23"/>
    <w:qFormat/>
    <w:locked/>
    <w:uiPriority w:val="99"/>
    <w:rPr>
      <w:rFonts w:ascii="Calibri" w:hAnsi="Calibri" w:eastAsia="宋体" w:cs="Calibri"/>
      <w:kern w:val="2"/>
      <w:sz w:val="18"/>
      <w:szCs w:val="18"/>
      <w:lang w:val="en-US" w:eastAsia="zh-CN"/>
    </w:rPr>
  </w:style>
  <w:style w:type="character" w:customStyle="1" w:styleId="58">
    <w:name w:val="批注主题 字符"/>
    <w:basedOn w:val="50"/>
    <w:link w:val="31"/>
    <w:semiHidden/>
    <w:qFormat/>
    <w:uiPriority w:val="99"/>
    <w:rPr>
      <w:rFonts w:ascii="Calibri" w:hAnsi="Calibri" w:cs="Calibri"/>
      <w:b/>
      <w:bCs/>
      <w:szCs w:val="21"/>
    </w:rPr>
  </w:style>
  <w:style w:type="character" w:customStyle="1" w:styleId="59">
    <w:name w:val="Footer Char1"/>
    <w:basedOn w:val="36"/>
    <w:semiHidden/>
    <w:qFormat/>
    <w:locked/>
    <w:uiPriority w:val="99"/>
    <w:rPr>
      <w:rFonts w:ascii="Calibri" w:hAnsi="Calibri" w:cs="Calibri"/>
      <w:sz w:val="18"/>
      <w:szCs w:val="18"/>
    </w:rPr>
  </w:style>
  <w:style w:type="character" w:customStyle="1" w:styleId="60">
    <w:name w:val="Balloon Text Char1"/>
    <w:basedOn w:val="36"/>
    <w:semiHidden/>
    <w:qFormat/>
    <w:locked/>
    <w:uiPriority w:val="99"/>
    <w:rPr>
      <w:rFonts w:ascii="Calibri" w:hAnsi="Calibri" w:cs="Calibri"/>
      <w:sz w:val="2"/>
      <w:szCs w:val="2"/>
    </w:rPr>
  </w:style>
  <w:style w:type="character" w:customStyle="1" w:styleId="61">
    <w:name w:val="需求正文 Char"/>
    <w:link w:val="62"/>
    <w:qFormat/>
    <w:locked/>
    <w:uiPriority w:val="99"/>
    <w:rPr>
      <w:kern w:val="23"/>
      <w:sz w:val="23"/>
      <w:szCs w:val="23"/>
    </w:rPr>
  </w:style>
  <w:style w:type="paragraph" w:customStyle="1" w:styleId="62">
    <w:name w:val="需求正文"/>
    <w:basedOn w:val="1"/>
    <w:link w:val="61"/>
    <w:qFormat/>
    <w:uiPriority w:val="99"/>
    <w:pPr>
      <w:topLinePunct/>
      <w:adjustRightInd w:val="0"/>
      <w:ind w:firstLine="459"/>
    </w:pPr>
    <w:rPr>
      <w:rFonts w:cs="Times New Roman"/>
      <w:kern w:val="23"/>
      <w:sz w:val="23"/>
      <w:szCs w:val="23"/>
    </w:rPr>
  </w:style>
  <w:style w:type="character" w:customStyle="1" w:styleId="63">
    <w:name w:val="Plain Text Char1"/>
    <w:basedOn w:val="36"/>
    <w:semiHidden/>
    <w:qFormat/>
    <w:locked/>
    <w:uiPriority w:val="99"/>
    <w:rPr>
      <w:rFonts w:ascii="宋体" w:hAnsi="Courier New" w:cs="宋体"/>
      <w:sz w:val="21"/>
      <w:szCs w:val="21"/>
    </w:rPr>
  </w:style>
  <w:style w:type="character" w:customStyle="1" w:styleId="64">
    <w:name w:val="无间隔 Char"/>
    <w:basedOn w:val="36"/>
    <w:link w:val="65"/>
    <w:qFormat/>
    <w:locked/>
    <w:uiPriority w:val="99"/>
    <w:rPr>
      <w:rFonts w:ascii="Calibri" w:hAnsi="Calibri" w:cs="Calibri"/>
      <w:sz w:val="22"/>
      <w:szCs w:val="22"/>
      <w:lang w:val="en-US" w:eastAsia="zh-CN" w:bidi="ar-SA"/>
    </w:rPr>
  </w:style>
  <w:style w:type="paragraph" w:customStyle="1" w:styleId="65">
    <w:name w:val="无间隔1"/>
    <w:link w:val="64"/>
    <w:qFormat/>
    <w:uiPriority w:val="99"/>
    <w:rPr>
      <w:rFonts w:ascii="Calibri" w:hAnsi="Calibri" w:eastAsia="宋体" w:cs="Calibri"/>
      <w:sz w:val="22"/>
      <w:szCs w:val="22"/>
      <w:lang w:val="en-US" w:eastAsia="zh-CN" w:bidi="ar-SA"/>
    </w:rPr>
  </w:style>
  <w:style w:type="character" w:customStyle="1" w:styleId="66">
    <w:name w:val="Header Char1"/>
    <w:basedOn w:val="36"/>
    <w:semiHidden/>
    <w:qFormat/>
    <w:locked/>
    <w:uiPriority w:val="99"/>
    <w:rPr>
      <w:rFonts w:ascii="Calibri" w:hAnsi="Calibri" w:cs="Calibri"/>
      <w:sz w:val="18"/>
      <w:szCs w:val="18"/>
    </w:rPr>
  </w:style>
  <w:style w:type="character" w:customStyle="1" w:styleId="67">
    <w:name w:val="纯文本 Char"/>
    <w:basedOn w:val="36"/>
    <w:qFormat/>
    <w:locked/>
    <w:uiPriority w:val="0"/>
    <w:rPr>
      <w:rFonts w:ascii="宋体" w:hAnsi="Courier New" w:eastAsia="宋体" w:cs="宋体"/>
      <w:kern w:val="2"/>
      <w:sz w:val="21"/>
      <w:szCs w:val="21"/>
      <w:lang w:val="en-US" w:eastAsia="zh-CN"/>
    </w:rPr>
  </w:style>
  <w:style w:type="paragraph" w:customStyle="1" w:styleId="68">
    <w:name w:val="TOC 标题1"/>
    <w:basedOn w:val="4"/>
    <w:next w:val="1"/>
    <w:qFormat/>
    <w:uiPriority w:val="99"/>
    <w:pPr>
      <w:widowControl/>
      <w:spacing w:before="480" w:after="0" w:line="276" w:lineRule="auto"/>
      <w:jc w:val="left"/>
      <w:outlineLvl w:val="9"/>
    </w:pPr>
    <w:rPr>
      <w:rFonts w:ascii="Cambria" w:hAnsi="Cambria" w:cs="Cambria"/>
      <w:b/>
      <w:bCs/>
      <w:color w:val="365F91"/>
      <w:kern w:val="0"/>
      <w:sz w:val="28"/>
      <w:szCs w:val="28"/>
    </w:rPr>
  </w:style>
  <w:style w:type="paragraph" w:customStyle="1" w:styleId="69">
    <w:name w:val="列出段落"/>
    <w:basedOn w:val="1"/>
    <w:qFormat/>
    <w:uiPriority w:val="99"/>
    <w:pPr>
      <w:ind w:firstLine="420" w:firstLineChars="200"/>
    </w:pPr>
  </w:style>
  <w:style w:type="paragraph" w:customStyle="1" w:styleId="70">
    <w:name w:val="修订1"/>
    <w:qFormat/>
    <w:uiPriority w:val="99"/>
    <w:rPr>
      <w:rFonts w:ascii="Calibri" w:hAnsi="Calibri" w:eastAsia="宋体" w:cs="Calibri"/>
      <w:kern w:val="2"/>
      <w:sz w:val="21"/>
      <w:szCs w:val="21"/>
      <w:lang w:val="en-US" w:eastAsia="zh-CN" w:bidi="ar-SA"/>
    </w:rPr>
  </w:style>
  <w:style w:type="paragraph" w:customStyle="1" w:styleId="7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7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3">
    <w:name w:val="font31"/>
    <w:basedOn w:val="36"/>
    <w:qFormat/>
    <w:uiPriority w:val="0"/>
    <w:rPr>
      <w:rFonts w:hint="eastAsia" w:ascii="宋体" w:hAnsi="宋体" w:eastAsia="宋体" w:cs="宋体"/>
      <w:color w:val="000000"/>
      <w:sz w:val="22"/>
      <w:szCs w:val="22"/>
      <w:u w:val="none"/>
    </w:rPr>
  </w:style>
  <w:style w:type="paragraph" w:customStyle="1" w:styleId="74">
    <w:name w:val="列表段落1"/>
    <w:basedOn w:val="1"/>
    <w:qFormat/>
    <w:uiPriority w:val="34"/>
    <w:pPr>
      <w:ind w:firstLine="420" w:firstLineChars="200"/>
    </w:pPr>
  </w:style>
  <w:style w:type="paragraph" w:customStyle="1" w:styleId="75">
    <w:name w:val="Table Paragraph"/>
    <w:basedOn w:val="1"/>
    <w:qFormat/>
    <w:uiPriority w:val="1"/>
    <w:pPr>
      <w:jc w:val="left"/>
    </w:pPr>
    <w:rPr>
      <w:kern w:val="0"/>
      <w:sz w:val="22"/>
      <w:lang w:eastAsia="en-US"/>
    </w:rPr>
  </w:style>
  <w:style w:type="paragraph" w:customStyle="1" w:styleId="76">
    <w:name w:val="_Style 6"/>
    <w:basedOn w:val="4"/>
    <w:next w:val="1"/>
    <w:qFormat/>
    <w:uiPriority w:val="0"/>
    <w:pPr>
      <w:outlineLvl w:val="9"/>
    </w:p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Body text|1"/>
    <w:basedOn w:val="1"/>
    <w:qFormat/>
    <w:uiPriority w:val="0"/>
    <w:pPr>
      <w:spacing w:line="480" w:lineRule="auto"/>
    </w:pPr>
    <w:rPr>
      <w:rFonts w:ascii="宋体" w:hAnsi="宋体" w:cs="宋体"/>
      <w:sz w:val="20"/>
      <w:szCs w:val="20"/>
      <w:lang w:val="zh-TW" w:eastAsia="zh-TW" w:bidi="zh-TW"/>
    </w:rPr>
  </w:style>
  <w:style w:type="paragraph" w:customStyle="1" w:styleId="79">
    <w:name w:val="Heading #4|1"/>
    <w:basedOn w:val="1"/>
    <w:qFormat/>
    <w:uiPriority w:val="0"/>
    <w:pPr>
      <w:spacing w:after="200"/>
      <w:jc w:val="center"/>
      <w:outlineLvl w:val="3"/>
    </w:pPr>
    <w:rPr>
      <w:rFonts w:ascii="宋体" w:hAnsi="宋体" w:cs="宋体"/>
      <w:b/>
      <w:bCs/>
      <w:sz w:val="28"/>
      <w:szCs w:val="28"/>
      <w:lang w:val="zh-TW" w:eastAsia="zh-TW" w:bidi="zh-TW"/>
    </w:rPr>
  </w:style>
  <w:style w:type="paragraph" w:customStyle="1" w:styleId="80">
    <w:name w:val="Other|1"/>
    <w:basedOn w:val="1"/>
    <w:qFormat/>
    <w:uiPriority w:val="0"/>
    <w:pPr>
      <w:spacing w:after="600" w:line="480" w:lineRule="auto"/>
    </w:pPr>
    <w:rPr>
      <w:rFonts w:ascii="宋体" w:hAnsi="宋体" w:cs="宋体"/>
      <w:b/>
      <w:bCs/>
      <w:sz w:val="32"/>
      <w:szCs w:val="32"/>
      <w:lang w:val="zh-TW" w:eastAsia="zh-TW" w:bidi="zh-TW"/>
    </w:rPr>
  </w:style>
  <w:style w:type="paragraph" w:customStyle="1" w:styleId="81">
    <w:name w:val="Header or footer|2"/>
    <w:basedOn w:val="1"/>
    <w:qFormat/>
    <w:uiPriority w:val="0"/>
    <w:rPr>
      <w:sz w:val="20"/>
      <w:szCs w:val="20"/>
      <w:lang w:val="zh-TW" w:eastAsia="zh-TW" w:bidi="zh-TW"/>
    </w:rPr>
  </w:style>
  <w:style w:type="paragraph" w:customStyle="1" w:styleId="82">
    <w:name w:val="Header or footer|1"/>
    <w:basedOn w:val="1"/>
    <w:qFormat/>
    <w:uiPriority w:val="0"/>
    <w:rPr>
      <w:sz w:val="18"/>
      <w:szCs w:val="18"/>
      <w:lang w:val="zh-TW" w:eastAsia="zh-TW" w:bidi="zh-TW"/>
    </w:rPr>
  </w:style>
  <w:style w:type="paragraph" w:customStyle="1" w:styleId="83">
    <w:name w:val="Body text|3"/>
    <w:basedOn w:val="1"/>
    <w:qFormat/>
    <w:uiPriority w:val="0"/>
    <w:pPr>
      <w:spacing w:after="600" w:line="480" w:lineRule="auto"/>
    </w:pPr>
    <w:rPr>
      <w:rFonts w:ascii="宋体" w:hAnsi="宋体" w:cs="宋体"/>
      <w:b/>
      <w:bCs/>
      <w:sz w:val="32"/>
      <w:szCs w:val="32"/>
      <w:lang w:val="zh-TW" w:eastAsia="zh-TW" w:bidi="zh-TW"/>
    </w:rPr>
  </w:style>
  <w:style w:type="paragraph" w:customStyle="1" w:styleId="84">
    <w:name w:val="Body text|2"/>
    <w:basedOn w:val="1"/>
    <w:qFormat/>
    <w:uiPriority w:val="0"/>
    <w:pPr>
      <w:spacing w:line="406" w:lineRule="exact"/>
      <w:ind w:firstLine="560"/>
    </w:pPr>
    <w:rPr>
      <w:rFonts w:ascii="宋体" w:hAnsi="宋体" w:cs="宋体"/>
      <w:lang w:val="zh-TW" w:eastAsia="zh-TW" w:bidi="zh-TW"/>
    </w:rPr>
  </w:style>
  <w:style w:type="paragraph" w:customStyle="1" w:styleId="85">
    <w:name w:val="正文 首行缩进:  2 字符"/>
    <w:basedOn w:val="1"/>
    <w:qFormat/>
    <w:uiPriority w:val="0"/>
    <w:pPr>
      <w:ind w:firstLine="579" w:firstLineChars="200"/>
    </w:pPr>
    <w:rPr>
      <w:rFonts w:cs="宋体"/>
      <w:sz w:val="28"/>
      <w:szCs w:val="20"/>
    </w:rPr>
  </w:style>
  <w:style w:type="paragraph" w:customStyle="1" w:styleId="86">
    <w:name w:val="标题 21"/>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87">
    <w:name w:val="标题 41"/>
    <w:basedOn w:val="1"/>
    <w:qFormat/>
    <w:uiPriority w:val="1"/>
    <w:pPr>
      <w:ind w:left="522" w:right="21"/>
      <w:outlineLvl w:val="4"/>
    </w:pPr>
    <w:rPr>
      <w:rFonts w:eastAsia="Times New Roman" w:cs="Times New Roman"/>
      <w:b/>
      <w:bCs/>
    </w:rPr>
  </w:style>
  <w:style w:type="paragraph" w:customStyle="1" w:styleId="88">
    <w:name w:val="标题 31"/>
    <w:basedOn w:val="1"/>
    <w:qFormat/>
    <w:uiPriority w:val="1"/>
    <w:pPr>
      <w:ind w:left="237" w:right="21"/>
      <w:outlineLvl w:val="3"/>
    </w:pPr>
    <w:rPr>
      <w:sz w:val="28"/>
      <w:szCs w:val="28"/>
    </w:rPr>
  </w:style>
  <w:style w:type="paragraph" w:customStyle="1" w:styleId="89">
    <w:name w:val="Heading #5|1"/>
    <w:basedOn w:val="1"/>
    <w:qFormat/>
    <w:uiPriority w:val="0"/>
    <w:pPr>
      <w:spacing w:after="560"/>
      <w:ind w:right="560"/>
      <w:jc w:val="center"/>
      <w:outlineLvl w:val="4"/>
    </w:pPr>
    <w:rPr>
      <w:rFonts w:ascii="宋体" w:hAnsi="宋体" w:cs="宋体"/>
      <w:b/>
      <w:bCs/>
      <w:sz w:val="26"/>
      <w:szCs w:val="26"/>
      <w:lang w:val="zh-TW" w:eastAsia="zh-TW" w:bidi="zh-TW"/>
    </w:rPr>
  </w:style>
  <w:style w:type="paragraph" w:customStyle="1" w:styleId="90">
    <w:name w:val="正文（缩进）"/>
    <w:basedOn w:val="1"/>
    <w:qFormat/>
    <w:uiPriority w:val="0"/>
    <w:pPr>
      <w:spacing w:before="50" w:after="50"/>
      <w:ind w:firstLine="200" w:firstLineChars="200"/>
    </w:pPr>
    <w:rPr>
      <w:szCs w:val="22"/>
    </w:rPr>
  </w:style>
  <w:style w:type="paragraph" w:customStyle="1" w:styleId="91">
    <w:name w:val="Normal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92">
    <w:name w:val="font11"/>
    <w:qFormat/>
    <w:uiPriority w:val="0"/>
    <w:rPr>
      <w:rFonts w:hint="eastAsia" w:ascii="宋体" w:hAnsi="宋体" w:eastAsia="宋体" w:cs="宋体"/>
      <w:color w:val="000000"/>
      <w:sz w:val="21"/>
      <w:szCs w:val="21"/>
      <w:u w:val="none"/>
    </w:rPr>
  </w:style>
  <w:style w:type="character" w:customStyle="1" w:styleId="93">
    <w:name w:val="font21"/>
    <w:qFormat/>
    <w:uiPriority w:val="0"/>
    <w:rPr>
      <w:rFonts w:hint="eastAsia" w:ascii="宋体" w:hAnsi="宋体" w:eastAsia="宋体" w:cs="宋体"/>
      <w:color w:val="000000"/>
      <w:sz w:val="14"/>
      <w:szCs w:val="14"/>
      <w:u w:val="none"/>
    </w:rPr>
  </w:style>
  <w:style w:type="paragraph" w:styleId="9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88</Pages>
  <Words>21422</Words>
  <Characters>23054</Characters>
  <Lines>379</Lines>
  <Paragraphs>106</Paragraphs>
  <TotalTime>74</TotalTime>
  <ScaleCrop>false</ScaleCrop>
  <LinksUpToDate>false</LinksUpToDate>
  <CharactersWithSpaces>23691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2022-04-08T14:54:00Z</dcterms:created>
  <dc:creator>dk</dc:creator>
  <cp:lastModifiedBy>Administrator</cp:lastModifiedBy>
  <cp:lastPrinted>2022-08-24T09:11:00Z</cp:lastPrinted>
  <dcterms:modified xsi:type="dcterms:W3CDTF">2026-05-12T06:38:54Z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949C4547B4A9434D8D1DB5EB438593F9_13</vt:lpwstr>
  </property>
  <property fmtid="{D5CDD505-2E9C-101B-9397-08002B2CF9AE}" pid="4" name="KSOTemplateDocerSaveRecord">
    <vt:lpwstr>eyJoZGlkIjoiZWM5ZWU1ODg2ODI2NTM1MjQ0NzExMGZjNmQxMjIzNTciLCJ1c2VySWQiOiIxOTYyNDcxMjcifQ==</vt:lpwstr>
  </property>
</Properties>
</file>