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34997">
      <w:pPr>
        <w:kinsoku w:val="0"/>
        <w:overflowPunct w:val="0"/>
        <w:spacing w:line="356" w:lineRule="exact"/>
        <w:ind w:right="136"/>
        <w:jc w:val="both"/>
        <w:rPr>
          <w:rFonts w:hint="eastAsia" w:ascii="宋体" w:hAnsi="宋体"/>
          <w:b/>
          <w:bCs/>
          <w:color w:val="auto"/>
          <w:sz w:val="44"/>
          <w:highlight w:val="none"/>
        </w:rPr>
      </w:pPr>
      <w:r>
        <w:rPr>
          <w:rFonts w:hint="eastAsia" w:ascii="宋体" w:cs="宋体"/>
          <w:b/>
          <w:bCs/>
          <w:color w:val="auto"/>
          <w:sz w:val="44"/>
          <w:szCs w:val="44"/>
          <w:highlight w:val="none"/>
          <w:lang w:val="zh-CN"/>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890270" cy="926465"/>
            <wp:effectExtent l="0" t="0" r="5080" b="6985"/>
            <wp:wrapNone/>
            <wp:docPr id="2" name="图片 1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8" descr="logo"/>
                    <pic:cNvPicPr>
                      <a:picLocks noChangeAspect="1"/>
                    </pic:cNvPicPr>
                  </pic:nvPicPr>
                  <pic:blipFill>
                    <a:blip r:embed="rId7"/>
                    <a:stretch>
                      <a:fillRect/>
                    </a:stretch>
                  </pic:blipFill>
                  <pic:spPr>
                    <a:xfrm>
                      <a:off x="0" y="0"/>
                      <a:ext cx="890270" cy="926465"/>
                    </a:xfrm>
                    <a:prstGeom prst="rect">
                      <a:avLst/>
                    </a:prstGeom>
                    <a:noFill/>
                    <a:ln>
                      <a:noFill/>
                    </a:ln>
                  </pic:spPr>
                </pic:pic>
              </a:graphicData>
            </a:graphic>
          </wp:anchor>
        </w:drawing>
      </w:r>
    </w:p>
    <w:p w14:paraId="27DC7D1E">
      <w:pPr>
        <w:pStyle w:val="20"/>
        <w:ind w:left="0" w:leftChars="0" w:firstLine="0" w:firstLineChars="0"/>
        <w:rPr>
          <w:rFonts w:hint="eastAsia" w:ascii="宋体" w:hAnsi="宋体"/>
          <w:b/>
          <w:bCs/>
          <w:color w:val="auto"/>
          <w:sz w:val="44"/>
          <w:highlight w:val="none"/>
        </w:rPr>
      </w:pPr>
    </w:p>
    <w:p w14:paraId="2012A7DF">
      <w:pPr>
        <w:rPr>
          <w:rFonts w:hint="eastAsia" w:ascii="宋体" w:hAnsi="宋体"/>
          <w:b/>
          <w:bCs/>
          <w:color w:val="auto"/>
          <w:sz w:val="44"/>
          <w:highlight w:val="none"/>
        </w:rPr>
      </w:pPr>
    </w:p>
    <w:p w14:paraId="32B69E01">
      <w:pPr>
        <w:rPr>
          <w:rFonts w:hint="eastAsia"/>
          <w:color w:val="auto"/>
          <w:highlight w:val="none"/>
        </w:rPr>
      </w:pPr>
    </w:p>
    <w:p w14:paraId="35082A7D">
      <w:pPr>
        <w:keepNext w:val="0"/>
        <w:keepLines w:val="0"/>
        <w:pageBreakBefore w:val="0"/>
        <w:widowControl w:val="0"/>
        <w:kinsoku w:val="0"/>
        <w:wordWrap/>
        <w:overflowPunct w:val="0"/>
        <w:topLinePunct w:val="0"/>
        <w:autoSpaceDE/>
        <w:autoSpaceDN/>
        <w:bidi w:val="0"/>
        <w:adjustRightInd/>
        <w:snapToGrid/>
        <w:spacing w:line="360" w:lineRule="auto"/>
        <w:ind w:right="136"/>
        <w:jc w:val="center"/>
        <w:textAlignment w:val="auto"/>
        <w:rPr>
          <w:rFonts w:hint="eastAsia" w:ascii="宋体" w:hAnsi="宋体" w:eastAsia="宋体"/>
          <w:b/>
          <w:bCs/>
          <w:color w:val="auto"/>
          <w:sz w:val="44"/>
          <w:highlight w:val="none"/>
          <w:lang w:val="en-US" w:eastAsia="zh-CN"/>
        </w:rPr>
      </w:pPr>
      <w:r>
        <w:rPr>
          <w:rFonts w:hint="eastAsia" w:ascii="宋体" w:hAnsi="宋体"/>
          <w:b/>
          <w:bCs/>
          <w:color w:val="auto"/>
          <w:sz w:val="44"/>
          <w:highlight w:val="none"/>
          <w:lang w:val="en-US" w:eastAsia="zh-CN"/>
        </w:rPr>
        <w:t>新疆西昆仑金多金属矿成矿地质背景调查与找矿靶区优选服务项目</w:t>
      </w:r>
    </w:p>
    <w:p w14:paraId="6356F5AF">
      <w:pPr>
        <w:keepNext w:val="0"/>
        <w:keepLines w:val="0"/>
        <w:pageBreakBefore w:val="0"/>
        <w:widowControl w:val="0"/>
        <w:kinsoku w:val="0"/>
        <w:wordWrap/>
        <w:overflowPunct w:val="0"/>
        <w:topLinePunct w:val="0"/>
        <w:autoSpaceDE/>
        <w:autoSpaceDN/>
        <w:bidi w:val="0"/>
        <w:adjustRightInd/>
        <w:snapToGrid/>
        <w:spacing w:line="360" w:lineRule="auto"/>
        <w:ind w:right="136"/>
        <w:jc w:val="center"/>
        <w:textAlignment w:val="auto"/>
        <w:rPr>
          <w:rFonts w:hint="eastAsia" w:ascii="宋体" w:hAnsi="宋体"/>
          <w:b/>
          <w:bCs/>
          <w:color w:val="auto"/>
          <w:sz w:val="32"/>
          <w:szCs w:val="20"/>
          <w:highlight w:val="none"/>
        </w:rPr>
      </w:pPr>
      <w:r>
        <w:rPr>
          <w:rFonts w:hint="eastAsia" w:ascii="宋体" w:hAnsi="宋体"/>
          <w:b/>
          <w:bCs/>
          <w:color w:val="auto"/>
          <w:sz w:val="32"/>
          <w:szCs w:val="20"/>
          <w:highlight w:val="none"/>
          <w:lang w:eastAsia="zh-CN"/>
        </w:rPr>
        <w:t>（</w:t>
      </w:r>
      <w:r>
        <w:rPr>
          <w:rFonts w:hint="eastAsia" w:ascii="宋体" w:hAnsi="宋体"/>
          <w:b/>
          <w:bCs/>
          <w:color w:val="auto"/>
          <w:sz w:val="32"/>
          <w:szCs w:val="20"/>
          <w:highlight w:val="none"/>
        </w:rPr>
        <w:t>项目编号：</w:t>
      </w:r>
      <w:r>
        <w:rPr>
          <w:rFonts w:hint="eastAsia" w:ascii="宋体" w:hAnsi="宋体"/>
          <w:b/>
          <w:bCs/>
          <w:color w:val="auto"/>
          <w:sz w:val="32"/>
          <w:szCs w:val="20"/>
          <w:highlight w:val="none"/>
          <w:lang w:eastAsia="zh-CN"/>
        </w:rPr>
        <w:t>ZTQ-2026058）</w:t>
      </w:r>
    </w:p>
    <w:p w14:paraId="6E431F3A">
      <w:pPr>
        <w:keepNext w:val="0"/>
        <w:keepLines w:val="0"/>
        <w:pageBreakBefore w:val="0"/>
        <w:widowControl w:val="0"/>
        <w:kinsoku w:val="0"/>
        <w:wordWrap/>
        <w:overflowPunct w:val="0"/>
        <w:topLinePunct w:val="0"/>
        <w:autoSpaceDE/>
        <w:autoSpaceDN/>
        <w:bidi w:val="0"/>
        <w:adjustRightInd/>
        <w:snapToGrid/>
        <w:spacing w:line="360" w:lineRule="auto"/>
        <w:ind w:right="136"/>
        <w:jc w:val="both"/>
        <w:textAlignment w:val="auto"/>
        <w:rPr>
          <w:rFonts w:hint="eastAsia" w:ascii="宋体" w:hAnsi="宋体"/>
          <w:b/>
          <w:bCs/>
          <w:color w:val="auto"/>
          <w:sz w:val="44"/>
          <w:highlight w:val="none"/>
        </w:rPr>
      </w:pPr>
    </w:p>
    <w:p w14:paraId="0D1A33AB">
      <w:pPr>
        <w:keepNext w:val="0"/>
        <w:keepLines w:val="0"/>
        <w:pageBreakBefore w:val="0"/>
        <w:widowControl w:val="0"/>
        <w:kinsoku w:val="0"/>
        <w:wordWrap/>
        <w:overflowPunct w:val="0"/>
        <w:topLinePunct w:val="0"/>
        <w:autoSpaceDE/>
        <w:autoSpaceDN/>
        <w:bidi w:val="0"/>
        <w:adjustRightInd/>
        <w:snapToGrid/>
        <w:spacing w:line="360" w:lineRule="auto"/>
        <w:ind w:right="136"/>
        <w:jc w:val="center"/>
        <w:textAlignment w:val="auto"/>
        <w:rPr>
          <w:rFonts w:hint="eastAsia" w:ascii="宋体" w:hAnsi="宋体"/>
          <w:b/>
          <w:bCs/>
          <w:color w:val="auto"/>
          <w:sz w:val="44"/>
          <w:highlight w:val="none"/>
        </w:rPr>
      </w:pPr>
      <w:r>
        <w:rPr>
          <w:rFonts w:hint="eastAsia" w:ascii="宋体" w:hAnsi="宋体"/>
          <w:b/>
          <w:bCs/>
          <w:color w:val="auto"/>
          <w:sz w:val="44"/>
          <w:highlight w:val="none"/>
          <w:lang w:val="en-US" w:eastAsia="zh-CN"/>
        </w:rPr>
        <w:t>招标</w:t>
      </w:r>
      <w:r>
        <w:rPr>
          <w:rFonts w:hint="eastAsia" w:ascii="宋体" w:hAnsi="宋体"/>
          <w:b/>
          <w:bCs/>
          <w:color w:val="auto"/>
          <w:sz w:val="44"/>
          <w:highlight w:val="none"/>
        </w:rPr>
        <w:t>文件</w:t>
      </w:r>
    </w:p>
    <w:p w14:paraId="05DB53E2">
      <w:pPr>
        <w:keepNext w:val="0"/>
        <w:keepLines w:val="0"/>
        <w:pageBreakBefore w:val="0"/>
        <w:widowControl w:val="0"/>
        <w:kinsoku w:val="0"/>
        <w:wordWrap/>
        <w:overflowPunct w:val="0"/>
        <w:topLinePunct w:val="0"/>
        <w:autoSpaceDE/>
        <w:autoSpaceDN/>
        <w:bidi w:val="0"/>
        <w:adjustRightInd/>
        <w:snapToGrid/>
        <w:spacing w:line="360" w:lineRule="auto"/>
        <w:ind w:right="136"/>
        <w:jc w:val="both"/>
        <w:textAlignment w:val="auto"/>
        <w:rPr>
          <w:rFonts w:hint="eastAsia" w:ascii="宋体" w:hAnsi="宋体" w:eastAsia="宋体" w:cs="Times New Roman"/>
          <w:b/>
          <w:bCs/>
          <w:color w:val="auto"/>
          <w:sz w:val="44"/>
          <w:highlight w:val="none"/>
        </w:rPr>
      </w:pPr>
    </w:p>
    <w:p w14:paraId="31DAF5EE">
      <w:pPr>
        <w:pStyle w:val="17"/>
        <w:rPr>
          <w:rFonts w:hint="eastAsia"/>
          <w:color w:val="auto"/>
          <w:highlight w:val="none"/>
        </w:rPr>
      </w:pPr>
    </w:p>
    <w:p w14:paraId="26B11B98">
      <w:pPr>
        <w:keepNext w:val="0"/>
        <w:keepLines w:val="0"/>
        <w:pageBreakBefore w:val="0"/>
        <w:widowControl w:val="0"/>
        <w:kinsoku/>
        <w:wordWrap/>
        <w:overflowPunct/>
        <w:topLinePunct w:val="0"/>
        <w:autoSpaceDE/>
        <w:autoSpaceDN/>
        <w:bidi w:val="0"/>
        <w:adjustRightInd/>
        <w:snapToGrid/>
        <w:spacing w:after="210" w:afterLines="50"/>
        <w:jc w:val="left"/>
        <w:textAlignment w:val="auto"/>
        <w:outlineLvl w:val="9"/>
        <w:rPr>
          <w:rFonts w:hint="eastAsia" w:eastAsia="宋体"/>
          <w:color w:val="auto"/>
          <w:sz w:val="24"/>
          <w:highlight w:val="none"/>
          <w:lang w:val="en-US" w:eastAsia="zh-CN"/>
        </w:rPr>
      </w:pPr>
      <w:r>
        <w:rPr>
          <w:b/>
          <w:bCs/>
          <w:color w:val="auto"/>
          <w:spacing w:val="43"/>
          <w:kern w:val="0"/>
          <w:sz w:val="24"/>
          <w:highlight w:val="none"/>
        </w:rPr>
        <w:t>招标人</w:t>
      </w:r>
      <w:r>
        <w:rPr>
          <w:b/>
          <w:color w:val="auto"/>
          <w:spacing w:val="43"/>
          <w:kern w:val="0"/>
          <w:sz w:val="24"/>
          <w:highlight w:val="none"/>
        </w:rPr>
        <w:t>（盖章</w:t>
      </w:r>
      <w:r>
        <w:rPr>
          <w:b/>
          <w:color w:val="auto"/>
          <w:spacing w:val="4"/>
          <w:kern w:val="0"/>
          <w:sz w:val="24"/>
          <w:highlight w:val="none"/>
        </w:rPr>
        <w:t>）</w:t>
      </w:r>
      <w:r>
        <w:rPr>
          <w:b/>
          <w:bCs/>
          <w:color w:val="auto"/>
          <w:sz w:val="24"/>
          <w:highlight w:val="none"/>
        </w:rPr>
        <w:t>：</w:t>
      </w:r>
      <w:r>
        <w:rPr>
          <w:rFonts w:hint="eastAsia"/>
          <w:b/>
          <w:bCs/>
          <w:color w:val="auto"/>
          <w:sz w:val="24"/>
          <w:highlight w:val="none"/>
          <w:lang w:eastAsia="zh-CN"/>
        </w:rPr>
        <w:t>新疆维吾尔自治区地质研究院</w:t>
      </w:r>
    </w:p>
    <w:p w14:paraId="04C32A16">
      <w:pPr>
        <w:keepNext w:val="0"/>
        <w:keepLines w:val="0"/>
        <w:pageBreakBefore w:val="0"/>
        <w:widowControl w:val="0"/>
        <w:kinsoku/>
        <w:wordWrap/>
        <w:overflowPunct/>
        <w:topLinePunct w:val="0"/>
        <w:autoSpaceDE/>
        <w:autoSpaceDN/>
        <w:bidi w:val="0"/>
        <w:adjustRightInd/>
        <w:snapToGrid/>
        <w:spacing w:after="210" w:afterLines="50"/>
        <w:jc w:val="left"/>
        <w:textAlignment w:val="auto"/>
        <w:outlineLvl w:val="9"/>
        <w:rPr>
          <w:rFonts w:hint="default"/>
          <w:b/>
          <w:bCs/>
          <w:color w:val="auto"/>
          <w:sz w:val="24"/>
          <w:highlight w:val="none"/>
          <w:lang w:val="en-US" w:eastAsia="zh-CN"/>
        </w:rPr>
      </w:pPr>
      <w:r>
        <w:rPr>
          <w:rFonts w:hint="eastAsia"/>
          <w:b/>
          <w:bCs/>
          <w:color w:val="auto"/>
          <w:kern w:val="0"/>
          <w:sz w:val="24"/>
          <w:highlight w:val="none"/>
        </w:rPr>
        <w:t>联系</w:t>
      </w:r>
      <w:r>
        <w:rPr>
          <w:b/>
          <w:bCs/>
          <w:color w:val="auto"/>
          <w:kern w:val="0"/>
          <w:sz w:val="24"/>
          <w:highlight w:val="none"/>
        </w:rPr>
        <w:t>人</w:t>
      </w:r>
      <w:r>
        <w:rPr>
          <w:b/>
          <w:bCs/>
          <w:color w:val="auto"/>
          <w:sz w:val="24"/>
          <w:highlight w:val="none"/>
        </w:rPr>
        <w:t>：</w:t>
      </w:r>
      <w:r>
        <w:rPr>
          <w:rFonts w:hint="eastAsia"/>
          <w:b/>
          <w:bCs/>
          <w:color w:val="auto"/>
          <w:sz w:val="24"/>
          <w:highlight w:val="none"/>
        </w:rPr>
        <w:t>苏先生</w:t>
      </w:r>
    </w:p>
    <w:p w14:paraId="0550819E">
      <w:pPr>
        <w:keepNext w:val="0"/>
        <w:keepLines w:val="0"/>
        <w:pageBreakBefore w:val="0"/>
        <w:widowControl w:val="0"/>
        <w:kinsoku/>
        <w:wordWrap/>
        <w:overflowPunct/>
        <w:topLinePunct w:val="0"/>
        <w:autoSpaceDE/>
        <w:autoSpaceDN/>
        <w:bidi w:val="0"/>
        <w:adjustRightInd/>
        <w:snapToGrid/>
        <w:spacing w:after="210" w:afterLines="50"/>
        <w:jc w:val="left"/>
        <w:textAlignment w:val="auto"/>
        <w:outlineLvl w:val="9"/>
        <w:rPr>
          <w:rFonts w:hint="eastAsia"/>
          <w:b/>
          <w:bCs/>
          <w:color w:val="auto"/>
          <w:sz w:val="24"/>
          <w:highlight w:val="none"/>
          <w:lang w:eastAsia="zh-CN"/>
        </w:rPr>
      </w:pPr>
      <w:r>
        <w:rPr>
          <w:rFonts w:hint="eastAsia"/>
          <w:b/>
          <w:bCs/>
          <w:color w:val="auto"/>
          <w:kern w:val="0"/>
          <w:sz w:val="24"/>
          <w:highlight w:val="none"/>
        </w:rPr>
        <w:t>电</w:t>
      </w:r>
      <w:r>
        <w:rPr>
          <w:b/>
          <w:bCs/>
          <w:color w:val="auto"/>
          <w:kern w:val="0"/>
          <w:sz w:val="24"/>
          <w:highlight w:val="none"/>
        </w:rPr>
        <w:t>话</w:t>
      </w:r>
      <w:r>
        <w:rPr>
          <w:b/>
          <w:bCs/>
          <w:color w:val="auto"/>
          <w:sz w:val="24"/>
          <w:highlight w:val="none"/>
        </w:rPr>
        <w:t>：</w:t>
      </w:r>
      <w:r>
        <w:rPr>
          <w:rFonts w:hint="eastAsia"/>
          <w:b/>
          <w:bCs/>
          <w:color w:val="auto"/>
          <w:sz w:val="24"/>
          <w:highlight w:val="none"/>
          <w:lang w:eastAsia="zh-CN"/>
        </w:rPr>
        <w:t>0991-8776866</w:t>
      </w:r>
    </w:p>
    <w:p w14:paraId="7A9EFC48">
      <w:pPr>
        <w:keepNext w:val="0"/>
        <w:keepLines w:val="0"/>
        <w:pageBreakBefore w:val="0"/>
        <w:widowControl w:val="0"/>
        <w:kinsoku/>
        <w:wordWrap/>
        <w:overflowPunct/>
        <w:topLinePunct w:val="0"/>
        <w:autoSpaceDE/>
        <w:autoSpaceDN/>
        <w:bidi w:val="0"/>
        <w:adjustRightInd/>
        <w:snapToGrid/>
        <w:spacing w:after="210" w:afterLines="50"/>
        <w:jc w:val="left"/>
        <w:textAlignment w:val="auto"/>
        <w:outlineLvl w:val="9"/>
        <w:rPr>
          <w:rFonts w:hint="default"/>
          <w:b/>
          <w:bCs/>
          <w:color w:val="auto"/>
          <w:sz w:val="24"/>
          <w:highlight w:val="none"/>
          <w:lang w:val="en-US" w:eastAsia="zh-CN"/>
        </w:rPr>
      </w:pPr>
      <w:r>
        <w:rPr>
          <w:rFonts w:hint="eastAsia"/>
          <w:b/>
          <w:bCs/>
          <w:color w:val="auto"/>
          <w:sz w:val="24"/>
          <w:highlight w:val="none"/>
          <w:lang w:val="en-US" w:eastAsia="zh-CN"/>
        </w:rPr>
        <w:t>详细地址：乌鲁木齐市沙依巴克区泽普街466号</w:t>
      </w:r>
    </w:p>
    <w:p w14:paraId="482DEFE8">
      <w:pPr>
        <w:jc w:val="left"/>
        <w:outlineLvl w:val="9"/>
        <w:rPr>
          <w:rFonts w:hint="default"/>
          <w:b/>
          <w:bCs/>
          <w:color w:val="auto"/>
          <w:sz w:val="24"/>
          <w:highlight w:val="none"/>
          <w:lang w:val="en-US" w:eastAsia="zh-CN"/>
        </w:rPr>
      </w:pPr>
    </w:p>
    <w:p w14:paraId="75633F4A">
      <w:pPr>
        <w:jc w:val="left"/>
        <w:outlineLvl w:val="9"/>
        <w:rPr>
          <w:b/>
          <w:bCs/>
          <w:color w:val="auto"/>
          <w:sz w:val="24"/>
          <w:highlight w:val="none"/>
        </w:rPr>
      </w:pPr>
    </w:p>
    <w:p w14:paraId="26EEFA97">
      <w:pPr>
        <w:keepNext w:val="0"/>
        <w:keepLines w:val="0"/>
        <w:pageBreakBefore w:val="0"/>
        <w:widowControl w:val="0"/>
        <w:kinsoku/>
        <w:wordWrap/>
        <w:overflowPunct/>
        <w:topLinePunct w:val="0"/>
        <w:autoSpaceDE/>
        <w:autoSpaceDN/>
        <w:bidi w:val="0"/>
        <w:adjustRightInd/>
        <w:snapToGrid/>
        <w:spacing w:after="210" w:afterLines="50"/>
        <w:jc w:val="left"/>
        <w:textAlignment w:val="auto"/>
        <w:outlineLvl w:val="9"/>
        <w:rPr>
          <w:b/>
          <w:bCs/>
          <w:color w:val="auto"/>
          <w:sz w:val="24"/>
          <w:highlight w:val="none"/>
        </w:rPr>
      </w:pPr>
      <w:r>
        <w:rPr>
          <w:b/>
          <w:bCs/>
          <w:color w:val="auto"/>
          <w:sz w:val="24"/>
          <w:highlight w:val="none"/>
        </w:rPr>
        <w:t>招标代理机构（盖章）：</w:t>
      </w:r>
      <w:r>
        <w:rPr>
          <w:rFonts w:hint="eastAsia"/>
          <w:b/>
          <w:bCs/>
          <w:color w:val="auto"/>
          <w:sz w:val="24"/>
          <w:highlight w:val="none"/>
        </w:rPr>
        <w:t>新疆</w:t>
      </w:r>
      <w:r>
        <w:rPr>
          <w:rFonts w:hint="eastAsia"/>
          <w:b/>
          <w:bCs/>
          <w:color w:val="auto"/>
          <w:sz w:val="24"/>
          <w:highlight w:val="none"/>
          <w:lang w:val="en-US" w:eastAsia="zh-CN"/>
        </w:rPr>
        <w:t>众通桥项目管理咨询有限</w:t>
      </w:r>
      <w:r>
        <w:rPr>
          <w:rFonts w:hint="eastAsia"/>
          <w:b/>
          <w:bCs/>
          <w:color w:val="auto"/>
          <w:sz w:val="24"/>
          <w:highlight w:val="none"/>
        </w:rPr>
        <w:t>公司</w:t>
      </w:r>
    </w:p>
    <w:p w14:paraId="01A06992">
      <w:pPr>
        <w:keepNext w:val="0"/>
        <w:keepLines w:val="0"/>
        <w:pageBreakBefore w:val="0"/>
        <w:widowControl w:val="0"/>
        <w:kinsoku/>
        <w:wordWrap/>
        <w:overflowPunct/>
        <w:topLinePunct w:val="0"/>
        <w:autoSpaceDE/>
        <w:autoSpaceDN/>
        <w:bidi w:val="0"/>
        <w:adjustRightInd/>
        <w:snapToGrid/>
        <w:spacing w:after="210" w:afterLines="50"/>
        <w:textAlignment w:val="auto"/>
        <w:outlineLvl w:val="9"/>
        <w:rPr>
          <w:rFonts w:hint="default" w:eastAsia="宋体"/>
          <w:b/>
          <w:bCs/>
          <w:color w:val="auto"/>
          <w:sz w:val="24"/>
          <w:highlight w:val="none"/>
          <w:lang w:val="en-US" w:eastAsia="zh-CN"/>
        </w:rPr>
      </w:pPr>
      <w:r>
        <w:rPr>
          <w:rFonts w:hint="eastAsia"/>
          <w:b/>
          <w:bCs/>
          <w:color w:val="auto"/>
          <w:kern w:val="0"/>
          <w:sz w:val="24"/>
          <w:highlight w:val="none"/>
        </w:rPr>
        <w:t>联系</w:t>
      </w:r>
      <w:r>
        <w:rPr>
          <w:b/>
          <w:bCs/>
          <w:color w:val="auto"/>
          <w:kern w:val="0"/>
          <w:sz w:val="24"/>
          <w:highlight w:val="none"/>
        </w:rPr>
        <w:t>人</w:t>
      </w:r>
      <w:r>
        <w:rPr>
          <w:b/>
          <w:bCs/>
          <w:color w:val="auto"/>
          <w:sz w:val="24"/>
          <w:highlight w:val="none"/>
        </w:rPr>
        <w:t>：</w:t>
      </w:r>
      <w:r>
        <w:rPr>
          <w:rFonts w:hint="eastAsia"/>
          <w:b/>
          <w:bCs/>
          <w:color w:val="auto"/>
          <w:sz w:val="24"/>
          <w:highlight w:val="none"/>
          <w:lang w:val="en-US" w:eastAsia="zh-CN"/>
        </w:rPr>
        <w:t>程云翠 陈琼 张媛媛</w:t>
      </w:r>
    </w:p>
    <w:p w14:paraId="03B2E559">
      <w:pPr>
        <w:keepNext w:val="0"/>
        <w:keepLines w:val="0"/>
        <w:pageBreakBefore w:val="0"/>
        <w:widowControl w:val="0"/>
        <w:kinsoku/>
        <w:wordWrap/>
        <w:overflowPunct/>
        <w:topLinePunct w:val="0"/>
        <w:autoSpaceDE/>
        <w:autoSpaceDN/>
        <w:bidi w:val="0"/>
        <w:adjustRightInd/>
        <w:snapToGrid/>
        <w:spacing w:after="210" w:afterLines="50"/>
        <w:textAlignment w:val="auto"/>
        <w:outlineLvl w:val="9"/>
        <w:rPr>
          <w:rFonts w:hint="default" w:eastAsia="宋体"/>
          <w:b/>
          <w:bCs/>
          <w:color w:val="auto"/>
          <w:sz w:val="24"/>
          <w:highlight w:val="none"/>
          <w:lang w:val="en-US" w:eastAsia="zh-CN"/>
        </w:rPr>
      </w:pPr>
      <w:r>
        <w:rPr>
          <w:rFonts w:hint="eastAsia"/>
          <w:b/>
          <w:bCs/>
          <w:color w:val="auto"/>
          <w:kern w:val="0"/>
          <w:sz w:val="24"/>
          <w:highlight w:val="none"/>
        </w:rPr>
        <w:t>电</w:t>
      </w:r>
      <w:r>
        <w:rPr>
          <w:b/>
          <w:bCs/>
          <w:color w:val="auto"/>
          <w:kern w:val="0"/>
          <w:sz w:val="24"/>
          <w:highlight w:val="none"/>
        </w:rPr>
        <w:t>话</w:t>
      </w:r>
      <w:r>
        <w:rPr>
          <w:b/>
          <w:bCs/>
          <w:color w:val="auto"/>
          <w:sz w:val="24"/>
          <w:highlight w:val="none"/>
        </w:rPr>
        <w:t>：</w:t>
      </w:r>
      <w:r>
        <w:rPr>
          <w:rFonts w:hint="eastAsia"/>
          <w:b/>
          <w:bCs/>
          <w:color w:val="auto"/>
          <w:sz w:val="24"/>
          <w:highlight w:val="none"/>
          <w:lang w:val="en-US" w:eastAsia="zh-CN"/>
        </w:rPr>
        <w:t>15739558062 13379780240</w:t>
      </w:r>
    </w:p>
    <w:p w14:paraId="3507E6C1">
      <w:pPr>
        <w:keepNext w:val="0"/>
        <w:keepLines w:val="0"/>
        <w:pageBreakBefore w:val="0"/>
        <w:widowControl w:val="0"/>
        <w:kinsoku/>
        <w:wordWrap/>
        <w:overflowPunct/>
        <w:topLinePunct w:val="0"/>
        <w:autoSpaceDE/>
        <w:autoSpaceDN/>
        <w:bidi w:val="0"/>
        <w:adjustRightInd/>
        <w:snapToGrid/>
        <w:spacing w:after="210" w:afterLines="50"/>
        <w:textAlignment w:val="auto"/>
        <w:outlineLvl w:val="9"/>
        <w:rPr>
          <w:color w:val="auto"/>
          <w:sz w:val="26"/>
          <w:szCs w:val="26"/>
          <w:highlight w:val="none"/>
        </w:rPr>
      </w:pPr>
      <w:r>
        <w:rPr>
          <w:b/>
          <w:bCs/>
          <w:color w:val="auto"/>
          <w:sz w:val="24"/>
          <w:highlight w:val="none"/>
        </w:rPr>
        <w:t>详细地</w:t>
      </w:r>
      <w:r>
        <w:rPr>
          <w:b/>
          <w:bCs/>
          <w:color w:val="auto"/>
          <w:spacing w:val="1"/>
          <w:kern w:val="0"/>
          <w:sz w:val="24"/>
          <w:highlight w:val="none"/>
        </w:rPr>
        <w:t>址</w:t>
      </w:r>
      <w:r>
        <w:rPr>
          <w:b/>
          <w:bCs/>
          <w:color w:val="auto"/>
          <w:sz w:val="24"/>
          <w:highlight w:val="none"/>
        </w:rPr>
        <w:t>：</w:t>
      </w:r>
      <w:r>
        <w:rPr>
          <w:rFonts w:hint="eastAsia"/>
          <w:b/>
          <w:bCs/>
          <w:color w:val="auto"/>
          <w:sz w:val="24"/>
          <w:highlight w:val="none"/>
          <w:lang w:val="en-US" w:eastAsia="zh-CN"/>
        </w:rPr>
        <w:t>新疆乌鲁木齐市沙依巴克区克拉玛依西街880号安佳大厦C602</w:t>
      </w:r>
    </w:p>
    <w:p w14:paraId="767E4345">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14:paraId="0F71B46D">
      <w:pPr>
        <w:keepNext w:val="0"/>
        <w:keepLines w:val="0"/>
        <w:pageBreakBefore w:val="0"/>
        <w:widowControl w:val="0"/>
        <w:kinsoku/>
        <w:wordWrap/>
        <w:overflowPunct/>
        <w:topLinePunct w:val="0"/>
        <w:autoSpaceDE/>
        <w:autoSpaceDN/>
        <w:bidi w:val="0"/>
        <w:adjustRightInd/>
        <w:snapToGrid/>
        <w:spacing w:before="0" w:after="0" w:afterLines="50" w:line="288" w:lineRule="auto"/>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rPr>
        <w:t>目</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录</w:t>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TOC \o "1-3" \h \u </w:instrText>
      </w:r>
      <w:r>
        <w:rPr>
          <w:rFonts w:hint="eastAsia" w:ascii="宋体" w:hAnsi="宋体" w:eastAsia="宋体" w:cs="宋体"/>
          <w:b/>
          <w:color w:val="auto"/>
          <w:sz w:val="24"/>
          <w:szCs w:val="24"/>
          <w:highlight w:val="none"/>
        </w:rPr>
        <w:fldChar w:fldCharType="separate"/>
      </w:r>
    </w:p>
    <w:p w14:paraId="5445FBA0">
      <w:pPr>
        <w:pStyle w:val="3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_Toc1305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第一部分 </w:t>
      </w:r>
      <w:r>
        <w:rPr>
          <w:rFonts w:hint="eastAsia" w:ascii="宋体" w:hAnsi="宋体" w:eastAsia="宋体" w:cs="宋体"/>
          <w:sz w:val="24"/>
          <w:szCs w:val="24"/>
          <w:highlight w:val="none"/>
          <w:lang w:val="en-US" w:eastAsia="zh-CN"/>
        </w:rPr>
        <w:t>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_Toc1305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48627C82">
      <w:pPr>
        <w:pStyle w:val="3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_Toc5814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第二部分 </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_Toc5814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7D35C254">
      <w:pPr>
        <w:pStyle w:val="3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_Toc11407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_Toc11407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EFA3267">
      <w:pPr>
        <w:pStyle w:val="3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_Toc9830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投标人须知正文部分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_Toc9830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645AFA19">
      <w:pPr>
        <w:pStyle w:val="3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_Toc29809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第三部分 </w:t>
      </w:r>
      <w:r>
        <w:rPr>
          <w:rFonts w:hint="eastAsia" w:ascii="宋体" w:hAnsi="宋体" w:eastAsia="宋体" w:cs="宋体"/>
          <w:sz w:val="24"/>
          <w:szCs w:val="24"/>
          <w:highlight w:val="none"/>
          <w:lang w:eastAsia="zh-CN"/>
        </w:rPr>
        <w:t>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_Toc29809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7F965651">
      <w:pPr>
        <w:pStyle w:val="3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_Toc20109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四部分</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评审方法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_Toc20109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E956E63">
      <w:pPr>
        <w:pStyle w:val="3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_Toc20145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五</w:t>
      </w:r>
      <w:r>
        <w:rPr>
          <w:rFonts w:hint="eastAsia" w:ascii="宋体" w:hAnsi="宋体" w:eastAsia="宋体" w:cs="宋体"/>
          <w:sz w:val="24"/>
          <w:szCs w:val="24"/>
          <w:highlight w:val="none"/>
        </w:rPr>
        <w:t>部分 合同</w:t>
      </w:r>
      <w:r>
        <w:rPr>
          <w:rFonts w:hint="eastAsia" w:ascii="宋体" w:hAnsi="宋体" w:eastAsia="宋体" w:cs="宋体"/>
          <w:sz w:val="24"/>
          <w:szCs w:val="24"/>
          <w:highlight w:val="none"/>
          <w:lang w:val="en-US" w:eastAsia="zh-CN"/>
        </w:rPr>
        <w:t>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_Toc20145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D27B398">
      <w:pPr>
        <w:pStyle w:val="3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_Toc20810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六</w:t>
      </w:r>
      <w:r>
        <w:rPr>
          <w:rFonts w:hint="eastAsia" w:ascii="宋体" w:hAnsi="宋体" w:eastAsia="宋体" w:cs="宋体"/>
          <w:sz w:val="24"/>
          <w:szCs w:val="24"/>
          <w:highlight w:val="none"/>
        </w:rPr>
        <w:t>部分</w:t>
      </w:r>
      <w:r>
        <w:rPr>
          <w:rFonts w:hint="eastAsia" w:ascii="宋体" w:hAnsi="宋体" w:eastAsia="宋体" w:cs="宋体"/>
          <w:sz w:val="24"/>
          <w:szCs w:val="24"/>
          <w:highlight w:val="none"/>
          <w:lang w:val="en-US" w:eastAsia="zh-CN"/>
        </w:rPr>
        <w:t xml:space="preserve"> 投标文件</w:t>
      </w:r>
      <w:r>
        <w:rPr>
          <w:rFonts w:hint="eastAsia" w:ascii="宋体" w:hAnsi="宋体" w:eastAsia="宋体" w:cs="宋体"/>
          <w:sz w:val="24"/>
          <w:szCs w:val="24"/>
          <w:highlight w:val="none"/>
        </w:rPr>
        <w:t>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_Toc20810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7FAD48D">
      <w:pPr>
        <w:pStyle w:val="3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_Toc29984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投标文件封面</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_Toc29984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738BDA68">
      <w:pPr>
        <w:pStyle w:val="3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_Toc10415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eastAsia="zh-CN"/>
        </w:rPr>
        <w:t>一</w:t>
      </w:r>
      <w:r>
        <w:rPr>
          <w:rFonts w:hint="eastAsia" w:ascii="宋体" w:hAnsi="宋体" w:eastAsia="宋体" w:cs="宋体"/>
          <w:bCs/>
          <w:sz w:val="24"/>
          <w:szCs w:val="24"/>
          <w:highlight w:val="none"/>
        </w:rPr>
        <w:t>、资</w:t>
      </w:r>
      <w:r>
        <w:rPr>
          <w:rFonts w:hint="eastAsia" w:ascii="宋体" w:hAnsi="宋体" w:eastAsia="宋体" w:cs="宋体"/>
          <w:bCs/>
          <w:sz w:val="24"/>
          <w:szCs w:val="24"/>
          <w:highlight w:val="none"/>
          <w:lang w:eastAsia="zh-CN"/>
        </w:rPr>
        <w:t>格</w:t>
      </w:r>
      <w:r>
        <w:rPr>
          <w:rFonts w:hint="eastAsia" w:ascii="宋体" w:hAnsi="宋体" w:eastAsia="宋体" w:cs="宋体"/>
          <w:bCs/>
          <w:sz w:val="24"/>
          <w:szCs w:val="24"/>
          <w:highlight w:val="none"/>
        </w:rPr>
        <w:t>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_Toc10415 \h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4F44634B">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_Toc2816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（一）满足《中华人民共和国政府采购法》第二十二条规定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_Toc2816 \h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79E77FD8">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_Toc7810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rPr>
        <w:t>1.资格声明函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_Toc7810 \h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6CB9242E">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_Toc24649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lang w:eastAsia="zh-CN"/>
        </w:rPr>
        <w:t>法定代表人身份证明及</w:t>
      </w:r>
      <w:r>
        <w:rPr>
          <w:rFonts w:hint="eastAsia" w:ascii="宋体" w:hAnsi="宋体" w:eastAsia="宋体" w:cs="宋体"/>
          <w:bCs/>
          <w:sz w:val="24"/>
          <w:szCs w:val="24"/>
          <w:highlight w:val="none"/>
        </w:rPr>
        <w:t>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_Toc24649 \h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9A46F26">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_Toc25349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具有独立承担民事责任的能力</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_Toc25349 \h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7C7E248">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_Toc3023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4.具有良好的商业信誉和健全的财务会计制度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_Toc3023 \h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41F1E67E">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_Toc8933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5.具有履行合同所必需的设备和专业技术能力</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_Toc8933 \h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FCE9315">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_Toc31731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6.有依法缴纳税收和社会保障资金的良好记录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_Toc31731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330B212">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_Toc24006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7.参加政府采购活动前三年内，在经营活动中没有重大违法记录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_Toc24006 \h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58C45FA">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_Toc22919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（二）落实政府采购政策需满足的资格要求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_Toc22919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7D25194">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_Toc2564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中小企业声明函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_Toc2564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2684B0B">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_Toc14082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监狱企业声明函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_Toc14082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8AFED72">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_Toc14236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残疾人福利性单位声明函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_Toc14236 \h </w:instrText>
      </w:r>
      <w:r>
        <w:rPr>
          <w:rFonts w:hint="eastAsia" w:ascii="宋体" w:hAnsi="宋体" w:eastAsia="宋体" w:cs="宋体"/>
          <w:sz w:val="24"/>
          <w:szCs w:val="24"/>
        </w:rPr>
        <w:fldChar w:fldCharType="separate"/>
      </w:r>
      <w:r>
        <w:rPr>
          <w:rFonts w:hint="eastAsia" w:ascii="宋体" w:hAnsi="宋体" w:eastAsia="宋体" w:cs="宋体"/>
          <w:sz w:val="24"/>
          <w:szCs w:val="24"/>
        </w:rPr>
        <w:t>58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B9D1D25">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_Toc5697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eastAsia="zh-CN"/>
        </w:rPr>
        <w:t>三</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投标</w:t>
      </w:r>
      <w:r>
        <w:rPr>
          <w:rFonts w:hint="eastAsia" w:ascii="宋体" w:hAnsi="宋体" w:eastAsia="宋体" w:cs="宋体"/>
          <w:bCs/>
          <w:sz w:val="24"/>
          <w:szCs w:val="24"/>
          <w:highlight w:val="none"/>
          <w:lang w:eastAsia="zh-CN"/>
        </w:rPr>
        <w:t>保证金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_Toc5697 \h </w:instrText>
      </w:r>
      <w:r>
        <w:rPr>
          <w:rFonts w:hint="eastAsia" w:ascii="宋体" w:hAnsi="宋体" w:eastAsia="宋体" w:cs="宋体"/>
          <w:sz w:val="24"/>
          <w:szCs w:val="24"/>
        </w:rPr>
        <w:fldChar w:fldCharType="separate"/>
      </w:r>
      <w:r>
        <w:rPr>
          <w:rFonts w:hint="eastAsia" w:ascii="宋体" w:hAnsi="宋体" w:eastAsia="宋体" w:cs="宋体"/>
          <w:sz w:val="24"/>
          <w:szCs w:val="24"/>
        </w:rPr>
        <w:t>59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9C462EA">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_Toc13159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四</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本项目特定资格要求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_Toc13159 \h </w:instrText>
      </w:r>
      <w:r>
        <w:rPr>
          <w:rFonts w:hint="eastAsia" w:ascii="宋体" w:hAnsi="宋体" w:eastAsia="宋体" w:cs="宋体"/>
          <w:sz w:val="24"/>
          <w:szCs w:val="24"/>
        </w:rPr>
        <w:fldChar w:fldCharType="separate"/>
      </w:r>
      <w:r>
        <w:rPr>
          <w:rFonts w:hint="eastAsia" w:ascii="宋体" w:hAnsi="宋体" w:eastAsia="宋体" w:cs="宋体"/>
          <w:sz w:val="24"/>
          <w:szCs w:val="24"/>
        </w:rPr>
        <w:t>59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0C6230C">
      <w:pPr>
        <w:pStyle w:val="3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_Toc24934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报价文件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_Toc24934 \h </w:instrText>
      </w:r>
      <w:r>
        <w:rPr>
          <w:rFonts w:hint="eastAsia" w:ascii="宋体" w:hAnsi="宋体" w:eastAsia="宋体" w:cs="宋体"/>
          <w:sz w:val="24"/>
          <w:szCs w:val="24"/>
        </w:rPr>
        <w:fldChar w:fldCharType="separate"/>
      </w:r>
      <w:r>
        <w:rPr>
          <w:rFonts w:hint="eastAsia" w:ascii="宋体" w:hAnsi="宋体" w:eastAsia="宋体" w:cs="宋体"/>
          <w:sz w:val="24"/>
          <w:szCs w:val="24"/>
        </w:rPr>
        <w:t>60</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82A4ACB">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_Toc29955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lang w:val="en-US" w:eastAsia="zh-CN"/>
        </w:rPr>
        <w:t>开标</w:t>
      </w:r>
      <w:r>
        <w:rPr>
          <w:rFonts w:hint="eastAsia" w:ascii="宋体" w:hAnsi="宋体" w:eastAsia="宋体" w:cs="宋体"/>
          <w:sz w:val="24"/>
          <w:szCs w:val="24"/>
          <w:highlight w:val="none"/>
          <w:lang w:eastAsia="zh-CN"/>
        </w:rPr>
        <w:t>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_Toc29955 \h </w:instrText>
      </w:r>
      <w:r>
        <w:rPr>
          <w:rFonts w:hint="eastAsia" w:ascii="宋体" w:hAnsi="宋体" w:eastAsia="宋体" w:cs="宋体"/>
          <w:sz w:val="24"/>
          <w:szCs w:val="24"/>
        </w:rPr>
        <w:fldChar w:fldCharType="separate"/>
      </w:r>
      <w:r>
        <w:rPr>
          <w:rFonts w:hint="eastAsia" w:ascii="宋体" w:hAnsi="宋体" w:eastAsia="宋体" w:cs="宋体"/>
          <w:sz w:val="24"/>
          <w:szCs w:val="24"/>
        </w:rPr>
        <w:t>60</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FC49910">
      <w:pPr>
        <w:pStyle w:val="3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_Toc6035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eastAsia="zh-CN"/>
        </w:rPr>
        <w:t>三</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eastAsia="zh-CN"/>
        </w:rPr>
        <w:t>商务技术文件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_Toc6035 \h </w:instrText>
      </w:r>
      <w:r>
        <w:rPr>
          <w:rFonts w:hint="eastAsia" w:ascii="宋体" w:hAnsi="宋体" w:eastAsia="宋体" w:cs="宋体"/>
          <w:sz w:val="24"/>
          <w:szCs w:val="24"/>
        </w:rPr>
        <w:fldChar w:fldCharType="separate"/>
      </w:r>
      <w:r>
        <w:rPr>
          <w:rFonts w:hint="eastAsia" w:ascii="宋体" w:hAnsi="宋体" w:eastAsia="宋体" w:cs="宋体"/>
          <w:sz w:val="24"/>
          <w:szCs w:val="24"/>
        </w:rPr>
        <w:t>61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DE0D405">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_Toc13594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投标函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_Toc13594 \h </w:instrText>
      </w:r>
      <w:r>
        <w:rPr>
          <w:rFonts w:hint="eastAsia" w:ascii="宋体" w:hAnsi="宋体" w:eastAsia="宋体" w:cs="宋体"/>
          <w:sz w:val="24"/>
          <w:szCs w:val="24"/>
        </w:rPr>
        <w:fldChar w:fldCharType="separate"/>
      </w:r>
      <w:r>
        <w:rPr>
          <w:rFonts w:hint="eastAsia" w:ascii="宋体" w:hAnsi="宋体" w:eastAsia="宋体" w:cs="宋体"/>
          <w:sz w:val="24"/>
          <w:szCs w:val="24"/>
        </w:rPr>
        <w:t>61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D009202">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_Toc13458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基本情况表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_Toc13458 \h </w:instrText>
      </w:r>
      <w:r>
        <w:rPr>
          <w:rFonts w:hint="eastAsia" w:ascii="宋体" w:hAnsi="宋体" w:eastAsia="宋体" w:cs="宋体"/>
          <w:sz w:val="24"/>
          <w:szCs w:val="24"/>
        </w:rPr>
        <w:fldChar w:fldCharType="separate"/>
      </w:r>
      <w:r>
        <w:rPr>
          <w:rFonts w:hint="eastAsia" w:ascii="宋体" w:hAnsi="宋体" w:eastAsia="宋体" w:cs="宋体"/>
          <w:sz w:val="24"/>
          <w:szCs w:val="24"/>
        </w:rPr>
        <w:t>63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D38F370">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_Toc14066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eastAsia="zh-CN"/>
        </w:rPr>
        <w:t xml:space="preserve">（三） </w:t>
      </w:r>
      <w:r>
        <w:rPr>
          <w:rFonts w:hint="eastAsia" w:ascii="宋体" w:hAnsi="宋体" w:eastAsia="宋体" w:cs="宋体"/>
          <w:sz w:val="24"/>
          <w:szCs w:val="24"/>
          <w:highlight w:val="none"/>
          <w:lang w:eastAsia="zh-CN"/>
        </w:rPr>
        <w:t>技术参数偏离表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_Toc14066 \h </w:instrText>
      </w:r>
      <w:r>
        <w:rPr>
          <w:rFonts w:hint="eastAsia" w:ascii="宋体" w:hAnsi="宋体" w:eastAsia="宋体" w:cs="宋体"/>
          <w:sz w:val="24"/>
          <w:szCs w:val="24"/>
        </w:rPr>
        <w:fldChar w:fldCharType="separate"/>
      </w:r>
      <w:r>
        <w:rPr>
          <w:rFonts w:hint="eastAsia" w:ascii="宋体" w:hAnsi="宋体" w:eastAsia="宋体" w:cs="宋体"/>
          <w:sz w:val="24"/>
          <w:szCs w:val="24"/>
        </w:rPr>
        <w:t>64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8D80B9E">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_Toc21161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lang w:eastAsia="zh-CN"/>
        </w:rPr>
        <w:t>）商务条款偏离表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_Toc21161 \h </w:instrText>
      </w:r>
      <w:r>
        <w:rPr>
          <w:rFonts w:hint="eastAsia" w:ascii="宋体" w:hAnsi="宋体" w:eastAsia="宋体" w:cs="宋体"/>
          <w:sz w:val="24"/>
          <w:szCs w:val="24"/>
        </w:rPr>
        <w:fldChar w:fldCharType="separate"/>
      </w:r>
      <w:r>
        <w:rPr>
          <w:rFonts w:hint="eastAsia" w:ascii="宋体" w:hAnsi="宋体" w:eastAsia="宋体" w:cs="宋体"/>
          <w:sz w:val="24"/>
          <w:szCs w:val="24"/>
        </w:rPr>
        <w:t>65</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E072009">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_Toc26473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近三年类似</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lang w:eastAsia="zh-CN"/>
        </w:rPr>
        <w:t>业绩</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_Toc26473 \h </w:instrText>
      </w:r>
      <w:r>
        <w:rPr>
          <w:rFonts w:hint="eastAsia" w:ascii="宋体" w:hAnsi="宋体" w:eastAsia="宋体" w:cs="宋体"/>
          <w:sz w:val="24"/>
          <w:szCs w:val="24"/>
        </w:rPr>
        <w:fldChar w:fldCharType="separate"/>
      </w:r>
      <w:r>
        <w:rPr>
          <w:rFonts w:hint="eastAsia" w:ascii="宋体" w:hAnsi="宋体" w:eastAsia="宋体" w:cs="宋体"/>
          <w:sz w:val="24"/>
          <w:szCs w:val="24"/>
        </w:rPr>
        <w:t>66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2ACFEA6">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_Toc16431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lang w:eastAsia="zh-CN"/>
        </w:rPr>
        <w:t>）企业实力</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_Toc16431 \h </w:instrText>
      </w:r>
      <w:r>
        <w:rPr>
          <w:rFonts w:hint="eastAsia" w:ascii="宋体" w:hAnsi="宋体" w:eastAsia="宋体" w:cs="宋体"/>
          <w:sz w:val="24"/>
          <w:szCs w:val="24"/>
        </w:rPr>
        <w:fldChar w:fldCharType="separate"/>
      </w:r>
      <w:r>
        <w:rPr>
          <w:rFonts w:hint="eastAsia" w:ascii="宋体" w:hAnsi="宋体" w:eastAsia="宋体" w:cs="宋体"/>
          <w:sz w:val="24"/>
          <w:szCs w:val="24"/>
        </w:rPr>
        <w:t>67</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A515580">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_Toc17598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项目负责人基本情况表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_Toc17598 \h </w:instrText>
      </w:r>
      <w:r>
        <w:rPr>
          <w:rFonts w:hint="eastAsia" w:ascii="宋体" w:hAnsi="宋体" w:eastAsia="宋体" w:cs="宋体"/>
          <w:sz w:val="24"/>
          <w:szCs w:val="24"/>
        </w:rPr>
        <w:fldChar w:fldCharType="separate"/>
      </w:r>
      <w:r>
        <w:rPr>
          <w:rFonts w:hint="eastAsia" w:ascii="宋体" w:hAnsi="宋体" w:eastAsia="宋体" w:cs="宋体"/>
          <w:sz w:val="24"/>
          <w:szCs w:val="24"/>
        </w:rPr>
        <w:t>68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7A3179E">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_Toc20120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拟投入项目人员配置表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_Toc20120 \h </w:instrText>
      </w:r>
      <w:r>
        <w:rPr>
          <w:rFonts w:hint="eastAsia" w:ascii="宋体" w:hAnsi="宋体" w:eastAsia="宋体" w:cs="宋体"/>
          <w:sz w:val="24"/>
          <w:szCs w:val="24"/>
        </w:rPr>
        <w:fldChar w:fldCharType="separate"/>
      </w:r>
      <w:r>
        <w:rPr>
          <w:rFonts w:hint="eastAsia" w:ascii="宋体" w:hAnsi="宋体" w:eastAsia="宋体" w:cs="宋体"/>
          <w:sz w:val="24"/>
          <w:szCs w:val="24"/>
        </w:rPr>
        <w:t>69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01E3B4F">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_Toc24039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九</w:t>
      </w:r>
      <w:r>
        <w:rPr>
          <w:rFonts w:hint="eastAsia" w:ascii="宋体" w:hAnsi="宋体" w:eastAsia="宋体" w:cs="宋体"/>
          <w:sz w:val="24"/>
          <w:szCs w:val="24"/>
          <w:highlight w:val="none"/>
          <w:lang w:eastAsia="zh-CN"/>
        </w:rPr>
        <w:t>）实施（服务）方案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_Toc24039 \h </w:instrText>
      </w:r>
      <w:r>
        <w:rPr>
          <w:rFonts w:hint="eastAsia" w:ascii="宋体" w:hAnsi="宋体" w:eastAsia="宋体" w:cs="宋体"/>
          <w:sz w:val="24"/>
          <w:szCs w:val="24"/>
        </w:rPr>
        <w:fldChar w:fldCharType="separate"/>
      </w:r>
      <w:r>
        <w:rPr>
          <w:rFonts w:hint="eastAsia" w:ascii="宋体" w:hAnsi="宋体" w:eastAsia="宋体" w:cs="宋体"/>
          <w:sz w:val="24"/>
          <w:szCs w:val="24"/>
        </w:rPr>
        <w:t>70</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9C766DF">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_Toc3858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进度计划保障措施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_Toc3858 \h </w:instrText>
      </w:r>
      <w:r>
        <w:rPr>
          <w:rFonts w:hint="eastAsia" w:ascii="宋体" w:hAnsi="宋体" w:eastAsia="宋体" w:cs="宋体"/>
          <w:sz w:val="24"/>
          <w:szCs w:val="24"/>
        </w:rPr>
        <w:fldChar w:fldCharType="separate"/>
      </w:r>
      <w:r>
        <w:rPr>
          <w:rFonts w:hint="eastAsia" w:ascii="宋体" w:hAnsi="宋体" w:eastAsia="宋体" w:cs="宋体"/>
          <w:sz w:val="24"/>
          <w:szCs w:val="24"/>
        </w:rPr>
        <w:t>70</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6108B7E3">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_Toc27963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kern w:val="2"/>
          <w:sz w:val="24"/>
          <w:szCs w:val="24"/>
          <w:highlight w:val="none"/>
          <w:lang w:val="en-US" w:eastAsia="zh-CN" w:bidi="ar-SA"/>
        </w:rPr>
        <w:t>十一</w:t>
      </w:r>
      <w:r>
        <w:rPr>
          <w:rFonts w:hint="eastAsia" w:ascii="宋体" w:hAnsi="宋体" w:eastAsia="宋体" w:cs="宋体"/>
          <w:sz w:val="24"/>
          <w:szCs w:val="24"/>
          <w:highlight w:val="none"/>
          <w:lang w:eastAsia="zh-CN"/>
        </w:rPr>
        <w:t>）服务质量控制措施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_Toc27963 \h </w:instrText>
      </w:r>
      <w:r>
        <w:rPr>
          <w:rFonts w:hint="eastAsia" w:ascii="宋体" w:hAnsi="宋体" w:eastAsia="宋体" w:cs="宋体"/>
          <w:sz w:val="24"/>
          <w:szCs w:val="24"/>
        </w:rPr>
        <w:fldChar w:fldCharType="separate"/>
      </w:r>
      <w:r>
        <w:rPr>
          <w:rFonts w:hint="eastAsia" w:ascii="宋体" w:hAnsi="宋体" w:eastAsia="宋体" w:cs="宋体"/>
          <w:sz w:val="24"/>
          <w:szCs w:val="24"/>
        </w:rPr>
        <w:t>70</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A61BF40">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_Toc4336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highlight w:val="none"/>
          <w:lang w:val="en-US" w:eastAsia="zh-CN" w:bidi="ar-SA"/>
        </w:rPr>
        <w:t>（十二）内控制度措施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_Toc4336 \h </w:instrText>
      </w:r>
      <w:r>
        <w:rPr>
          <w:rFonts w:hint="eastAsia" w:ascii="宋体" w:hAnsi="宋体" w:eastAsia="宋体" w:cs="宋体"/>
          <w:sz w:val="24"/>
          <w:szCs w:val="24"/>
        </w:rPr>
        <w:fldChar w:fldCharType="separate"/>
      </w:r>
      <w:r>
        <w:rPr>
          <w:rFonts w:hint="eastAsia" w:ascii="宋体" w:hAnsi="宋体" w:eastAsia="宋体" w:cs="宋体"/>
          <w:sz w:val="24"/>
          <w:szCs w:val="24"/>
        </w:rPr>
        <w:t>70</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68459631">
      <w:pPr>
        <w:pStyle w:val="26"/>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_Toc29109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（十</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lang w:eastAsia="zh-CN"/>
        </w:rPr>
        <w:t>）其他有利于投标的资料及证明文件等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_Toc29109 \h </w:instrText>
      </w:r>
      <w:r>
        <w:rPr>
          <w:rFonts w:hint="eastAsia" w:ascii="宋体" w:hAnsi="宋体" w:eastAsia="宋体" w:cs="宋体"/>
          <w:sz w:val="24"/>
          <w:szCs w:val="24"/>
        </w:rPr>
        <w:fldChar w:fldCharType="separate"/>
      </w:r>
      <w:r>
        <w:rPr>
          <w:rFonts w:hint="eastAsia" w:ascii="宋体" w:hAnsi="宋体" w:eastAsia="宋体" w:cs="宋体"/>
          <w:sz w:val="24"/>
          <w:szCs w:val="24"/>
        </w:rPr>
        <w:t>71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7827E481">
      <w:pPr>
        <w:pStyle w:val="3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_Toc6252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七</w:t>
      </w:r>
      <w:r>
        <w:rPr>
          <w:rFonts w:hint="eastAsia" w:ascii="宋体" w:hAnsi="宋体" w:eastAsia="宋体" w:cs="宋体"/>
          <w:sz w:val="24"/>
          <w:szCs w:val="24"/>
          <w:highlight w:val="none"/>
        </w:rPr>
        <w:t>部分 附件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_Toc6252 \h </w:instrText>
      </w:r>
      <w:r>
        <w:rPr>
          <w:rFonts w:hint="eastAsia" w:ascii="宋体" w:hAnsi="宋体" w:eastAsia="宋体" w:cs="宋体"/>
          <w:sz w:val="24"/>
          <w:szCs w:val="24"/>
        </w:rPr>
        <w:fldChar w:fldCharType="separate"/>
      </w:r>
      <w:r>
        <w:rPr>
          <w:rFonts w:hint="eastAsia" w:ascii="宋体" w:hAnsi="宋体" w:eastAsia="宋体" w:cs="宋体"/>
          <w:sz w:val="24"/>
          <w:szCs w:val="24"/>
        </w:rPr>
        <w:t>72</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4D5FA8C">
      <w:pPr>
        <w:keepNext w:val="0"/>
        <w:keepLines w:val="0"/>
        <w:pageBreakBefore w:val="0"/>
        <w:widowControl w:val="0"/>
        <w:kinsoku/>
        <w:wordWrap/>
        <w:overflowPunct/>
        <w:topLinePunct w:val="0"/>
        <w:autoSpaceDE/>
        <w:autoSpaceDN/>
        <w:bidi w:val="0"/>
        <w:adjustRightInd/>
        <w:snapToGrid/>
        <w:spacing w:before="0" w:after="0" w:afterLines="50" w:line="288" w:lineRule="auto"/>
        <w:ind w:left="0" w:leftChars="0" w:right="0" w:rightChars="0" w:firstLine="0" w:firstLineChars="0"/>
        <w:jc w:val="center"/>
        <w:textAlignment w:val="auto"/>
        <w:outlineLvl w:val="9"/>
        <w:rPr>
          <w:rFonts w:hint="eastAsia"/>
          <w:color w:val="auto"/>
          <w:sz w:val="22"/>
          <w:szCs w:val="21"/>
          <w:highlight w:val="none"/>
        </w:rPr>
        <w:sectPr>
          <w:headerReference r:id="rId3" w:type="default"/>
          <w:type w:val="continuous"/>
          <w:pgSz w:w="11906" w:h="16838"/>
          <w:pgMar w:top="1134" w:right="1134" w:bottom="1134" w:left="1134" w:header="850" w:footer="992" w:gutter="0"/>
          <w:pgBorders>
            <w:top w:val="none" w:sz="0" w:space="0"/>
            <w:left w:val="none" w:sz="0" w:space="0"/>
            <w:bottom w:val="none" w:sz="0" w:space="0"/>
            <w:right w:val="none" w:sz="0" w:space="0"/>
          </w:pgBorders>
          <w:pgNumType w:fmt="decimal" w:start="0"/>
          <w:cols w:space="720" w:num="1"/>
          <w:rtlGutter w:val="1"/>
          <w:docGrid w:type="lines" w:linePitch="416" w:charSpace="0"/>
        </w:sectPr>
      </w:pPr>
      <w:r>
        <w:rPr>
          <w:rFonts w:hint="eastAsia" w:ascii="宋体" w:hAnsi="宋体" w:eastAsia="宋体" w:cs="宋体"/>
          <w:color w:val="auto"/>
          <w:sz w:val="24"/>
          <w:szCs w:val="24"/>
          <w:highlight w:val="none"/>
        </w:rPr>
        <w:fldChar w:fldCharType="end"/>
      </w:r>
      <w:bookmarkStart w:id="0" w:name="_Toc1305"/>
      <w:bookmarkStart w:id="1" w:name="_Toc19037"/>
      <w:bookmarkStart w:id="2" w:name="_Toc19862"/>
      <w:bookmarkStart w:id="3" w:name="_Toc349573118"/>
      <w:bookmarkStart w:id="4" w:name="_Toc298240402"/>
      <w:bookmarkStart w:id="5" w:name="_Toc349637917"/>
    </w:p>
    <w:p w14:paraId="60797701">
      <w:pPr>
        <w:keepNext w:val="0"/>
        <w:keepLines w:val="0"/>
        <w:pageBreakBefore w:val="0"/>
        <w:widowControl w:val="0"/>
        <w:kinsoku/>
        <w:wordWrap/>
        <w:overflowPunct/>
        <w:topLinePunct w:val="0"/>
        <w:autoSpaceDE/>
        <w:autoSpaceDN/>
        <w:bidi w:val="0"/>
        <w:adjustRightInd/>
        <w:snapToGrid/>
        <w:spacing w:before="0" w:after="0" w:afterLines="50" w:line="288" w:lineRule="auto"/>
        <w:ind w:left="0" w:leftChars="0" w:right="0" w:rightChars="0" w:firstLine="0" w:firstLineChars="0"/>
        <w:jc w:val="center"/>
        <w:textAlignment w:val="auto"/>
        <w:outlineLvl w:val="9"/>
        <w:rPr>
          <w:rFonts w:hint="eastAsia"/>
          <w:color w:val="auto"/>
          <w:highlight w:val="none"/>
        </w:rPr>
      </w:pPr>
      <w:r>
        <w:rPr>
          <w:rFonts w:hint="eastAsia" w:ascii="宋体" w:hAnsi="宋体" w:eastAsia="宋体" w:cs="宋体"/>
          <w:color w:val="auto"/>
          <w:sz w:val="32"/>
          <w:szCs w:val="32"/>
          <w:highlight w:val="none"/>
        </w:rPr>
        <w:t xml:space="preserve">第一部分 </w:t>
      </w:r>
      <w:r>
        <w:rPr>
          <w:rFonts w:hint="eastAsia" w:ascii="宋体" w:hAnsi="宋体" w:cs="宋体"/>
          <w:color w:val="auto"/>
          <w:sz w:val="32"/>
          <w:szCs w:val="32"/>
          <w:highlight w:val="none"/>
          <w:lang w:val="en-US" w:eastAsia="zh-CN"/>
        </w:rPr>
        <w:t>招标</w:t>
      </w:r>
      <w:r>
        <w:rPr>
          <w:rFonts w:hint="eastAsia" w:ascii="宋体" w:hAnsi="宋体" w:eastAsia="宋体" w:cs="宋体"/>
          <w:color w:val="auto"/>
          <w:sz w:val="32"/>
          <w:szCs w:val="32"/>
          <w:highlight w:val="none"/>
          <w:lang w:val="en-US" w:eastAsia="zh-CN"/>
        </w:rPr>
        <w:t>公告</w:t>
      </w:r>
      <w:bookmarkEnd w:id="0"/>
    </w:p>
    <w:bookmarkEnd w:id="1"/>
    <w:bookmarkEnd w:id="2"/>
    <w:bookmarkEnd w:id="3"/>
    <w:bookmarkEnd w:id="4"/>
    <w:bookmarkEnd w:id="5"/>
    <w:p w14:paraId="42E74E43">
      <w:pPr>
        <w:keepNext w:val="0"/>
        <w:keepLines w:val="0"/>
        <w:pageBreakBefore w:val="0"/>
        <w:widowControl w:val="0"/>
        <w:kinsoku/>
        <w:wordWrap/>
        <w:overflowPunct/>
        <w:topLinePunct w:val="0"/>
        <w:autoSpaceDE/>
        <w:autoSpaceDN/>
        <w:bidi w:val="0"/>
        <w:adjustRightInd/>
        <w:snapToGrid/>
        <w:spacing w:before="200" w:after="200" w:line="400" w:lineRule="exact"/>
        <w:jc w:val="center"/>
        <w:textAlignment w:val="auto"/>
        <w:outlineLvl w:val="9"/>
        <w:rPr>
          <w:rFonts w:hint="eastAsia" w:ascii="宋体" w:hAnsi="宋体" w:eastAsia="宋体" w:cs="宋体"/>
          <w:color w:val="auto"/>
          <w:highlight w:val="none"/>
        </w:rPr>
      </w:pPr>
      <w:bookmarkStart w:id="6" w:name="_Toc21777"/>
      <w:bookmarkStart w:id="7" w:name="_Toc6320"/>
      <w:bookmarkStart w:id="8" w:name="_Toc10859"/>
      <w:bookmarkStart w:id="9" w:name="_Toc18296"/>
      <w:bookmarkStart w:id="10" w:name="_Toc267301280"/>
      <w:r>
        <w:rPr>
          <w:rFonts w:hint="eastAsia" w:ascii="宋体" w:hAnsi="宋体" w:cs="宋体"/>
          <w:b/>
          <w:bCs/>
          <w:color w:val="auto"/>
          <w:sz w:val="24"/>
          <w:szCs w:val="24"/>
          <w:highlight w:val="none"/>
          <w:lang w:val="en-US" w:eastAsia="zh-CN"/>
        </w:rPr>
        <w:t>新疆西昆仑金多金属矿成矿地质背景调查与找矿靶区优选服务项目公开招标</w:t>
      </w:r>
      <w:r>
        <w:rPr>
          <w:rFonts w:hint="eastAsia" w:ascii="宋体" w:hAnsi="宋体" w:eastAsia="宋体" w:cs="宋体"/>
          <w:b/>
          <w:bCs/>
          <w:color w:val="auto"/>
          <w:sz w:val="24"/>
          <w:szCs w:val="24"/>
          <w:highlight w:val="none"/>
        </w:rPr>
        <w:t>公告</w:t>
      </w:r>
      <w:bookmarkEnd w:id="6"/>
      <w:bookmarkEnd w:id="7"/>
    </w:p>
    <w:tbl>
      <w:tblPr>
        <w:tblStyle w:val="40"/>
        <w:tblpPr w:leftFromText="180" w:rightFromText="180" w:vertAnchor="text" w:horzAnchor="page" w:tblpX="1395"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19B6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noWrap w:val="0"/>
            <w:vAlign w:val="center"/>
          </w:tcPr>
          <w:p w14:paraId="16ABD7B4">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sz w:val="24"/>
                <w:szCs w:val="24"/>
                <w:highlight w:val="none"/>
                <w:lang w:val="en-US"/>
              </w:rPr>
            </w:pPr>
            <w:bookmarkStart w:id="11" w:name="_Toc15979"/>
            <w:bookmarkStart w:id="12" w:name="_Toc21363"/>
            <w:r>
              <w:rPr>
                <w:rFonts w:hint="eastAsia" w:ascii="宋体" w:hAnsi="宋体" w:eastAsia="宋体" w:cs="宋体"/>
                <w:color w:val="auto"/>
                <w:sz w:val="24"/>
                <w:szCs w:val="24"/>
                <w:highlight w:val="none"/>
                <w:lang w:val="en-US"/>
              </w:rPr>
              <w:t>项目概况</w:t>
            </w:r>
          </w:p>
          <w:p w14:paraId="4785ED4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highlight w:val="none"/>
              </w:rPr>
            </w:pPr>
            <w:r>
              <w:rPr>
                <w:rFonts w:hint="eastAsia" w:ascii="宋体" w:hAnsi="宋体" w:cs="宋体"/>
                <w:color w:val="auto"/>
                <w:sz w:val="24"/>
                <w:szCs w:val="24"/>
                <w:highlight w:val="none"/>
                <w:lang w:val="en-US" w:eastAsia="zh-CN"/>
              </w:rPr>
              <w:t>新疆西昆仑金多金属矿成矿地质背景调查与找矿靶区优选服务项目招标项目的潜在投标人应在政采云平台线上获取招标文件，并于</w:t>
            </w:r>
            <w:r>
              <w:rPr>
                <w:rFonts w:hint="eastAsia" w:ascii="宋体" w:hAnsi="宋体" w:cs="宋体"/>
                <w:color w:val="FF0000"/>
                <w:sz w:val="24"/>
                <w:szCs w:val="24"/>
                <w:highlight w:val="none"/>
                <w:lang w:val="en-US" w:eastAsia="zh-CN"/>
              </w:rPr>
              <w:t>2026年05月15日11:00</w:t>
            </w:r>
            <w:r>
              <w:rPr>
                <w:rFonts w:hint="eastAsia" w:ascii="宋体" w:hAnsi="宋体" w:cs="宋体"/>
                <w:color w:val="auto"/>
                <w:sz w:val="24"/>
                <w:szCs w:val="24"/>
                <w:highlight w:val="none"/>
                <w:lang w:val="en-US" w:eastAsia="zh-CN"/>
              </w:rPr>
              <w:t>（北京时间）前递交投标文件。</w:t>
            </w:r>
          </w:p>
        </w:tc>
      </w:tr>
    </w:tbl>
    <w:p w14:paraId="6597520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rPr>
      </w:pPr>
    </w:p>
    <w:p w14:paraId="6799EFF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bookmarkEnd w:id="11"/>
      <w:bookmarkEnd w:id="12"/>
    </w:p>
    <w:p w14:paraId="12DD52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ZTQ-2026058</w:t>
      </w:r>
    </w:p>
    <w:p w14:paraId="30A848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val="en-US" w:eastAsia="zh-CN"/>
        </w:rPr>
        <w:t>新疆西昆仑金多金属矿成矿地质背景调查与找矿靶区优选服务项目</w:t>
      </w:r>
    </w:p>
    <w:p w14:paraId="6EE9521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w:t>
      </w:r>
      <w:r>
        <w:rPr>
          <w:rFonts w:hint="eastAsia" w:ascii="宋体" w:hAnsi="宋体" w:cs="宋体"/>
          <w:color w:val="auto"/>
          <w:sz w:val="24"/>
          <w:szCs w:val="24"/>
          <w:highlight w:val="none"/>
          <w:lang w:val="en-US" w:eastAsia="zh-CN"/>
        </w:rPr>
        <w:t>公开招标</w:t>
      </w:r>
    </w:p>
    <w:p w14:paraId="1F3BD5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预算金额（元）：</w:t>
      </w:r>
      <w:r>
        <w:rPr>
          <w:rFonts w:hint="eastAsia" w:ascii="宋体" w:hAnsi="宋体" w:cs="宋体"/>
          <w:color w:val="auto"/>
          <w:sz w:val="24"/>
          <w:szCs w:val="24"/>
          <w:highlight w:val="none"/>
          <w:lang w:val="en-US" w:eastAsia="zh-CN"/>
        </w:rPr>
        <w:t>3154800.00</w:t>
      </w:r>
    </w:p>
    <w:p w14:paraId="65CF53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最高限价（元）：</w:t>
      </w:r>
      <w:r>
        <w:rPr>
          <w:rFonts w:hint="eastAsia" w:ascii="宋体" w:hAnsi="宋体" w:cs="宋体"/>
          <w:color w:val="auto"/>
          <w:sz w:val="24"/>
          <w:szCs w:val="24"/>
          <w:highlight w:val="none"/>
          <w:lang w:val="en-US" w:eastAsia="zh-CN"/>
        </w:rPr>
        <w:t>3154800.00</w:t>
      </w:r>
    </w:p>
    <w:p w14:paraId="2CE007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采购需求：详见采购文件</w:t>
      </w:r>
    </w:p>
    <w:p w14:paraId="549D71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标项</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新疆西昆仑金多金属矿成矿地质背景调查与找矿靶区优选服务项目</w:t>
      </w:r>
    </w:p>
    <w:p w14:paraId="5A8B71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数量：</w:t>
      </w:r>
      <w:r>
        <w:rPr>
          <w:rFonts w:hint="eastAsia" w:ascii="宋体" w:hAnsi="宋体" w:eastAsia="宋体" w:cs="宋体"/>
          <w:color w:val="auto"/>
          <w:sz w:val="24"/>
          <w:szCs w:val="24"/>
          <w:highlight w:val="none"/>
          <w:lang w:val="en-US" w:eastAsia="zh-CN"/>
        </w:rPr>
        <w:t>1</w:t>
      </w:r>
    </w:p>
    <w:p w14:paraId="765CAE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简要规格描述或项目基本概况介绍、用途：本项目服务主要</w:t>
      </w:r>
      <w:r>
        <w:rPr>
          <w:rFonts w:hint="eastAsia" w:ascii="宋体" w:hAnsi="宋体" w:cs="宋体"/>
          <w:color w:val="auto"/>
          <w:sz w:val="24"/>
          <w:szCs w:val="24"/>
          <w:highlight w:val="none"/>
          <w:lang w:val="en-US" w:eastAsia="zh-CN"/>
        </w:rPr>
        <w:t>为岩石样品加工及制备、岩石样品测试分析等工作</w:t>
      </w:r>
      <w:r>
        <w:rPr>
          <w:rFonts w:hint="eastAsia" w:ascii="宋体" w:hAnsi="宋体" w:eastAsia="宋体" w:cs="宋体"/>
          <w:color w:val="auto"/>
          <w:sz w:val="24"/>
          <w:szCs w:val="24"/>
          <w:highlight w:val="none"/>
          <w:lang w:eastAsia="zh-CN"/>
        </w:rPr>
        <w:t>。（具体详见第三部分 采购需求）</w:t>
      </w:r>
    </w:p>
    <w:p w14:paraId="65559D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备注：</w:t>
      </w:r>
    </w:p>
    <w:p w14:paraId="7B5174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合同履约期限</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自签订合同之日起至2026年12月止</w:t>
      </w:r>
    </w:p>
    <w:p w14:paraId="350BE06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sz w:val="24"/>
          <w:szCs w:val="24"/>
        </w:rPr>
        <w:t>本项目（否）接受联合体</w:t>
      </w:r>
      <w:r>
        <w:rPr>
          <w:rFonts w:hint="eastAsia" w:ascii="宋体" w:hAnsi="宋体" w:eastAsia="宋体" w:cs="宋体"/>
          <w:color w:val="auto"/>
          <w:sz w:val="24"/>
          <w:szCs w:val="24"/>
          <w:highlight w:val="none"/>
        </w:rPr>
        <w:t>。</w:t>
      </w:r>
    </w:p>
    <w:p w14:paraId="4BE39CC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rPr>
      </w:pPr>
      <w:bookmarkStart w:id="13" w:name="_Toc23449"/>
      <w:bookmarkStart w:id="14" w:name="_Toc22219"/>
      <w:r>
        <w:rPr>
          <w:rFonts w:hint="eastAsia" w:ascii="宋体" w:hAnsi="宋体" w:eastAsia="宋体" w:cs="宋体"/>
          <w:b/>
          <w:bCs/>
          <w:color w:val="auto"/>
          <w:sz w:val="24"/>
          <w:szCs w:val="24"/>
          <w:highlight w:val="none"/>
        </w:rPr>
        <w:t>二、申请人的资格要求：</w:t>
      </w:r>
      <w:bookmarkEnd w:id="13"/>
      <w:bookmarkEnd w:id="14"/>
    </w:p>
    <w:p w14:paraId="194A92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15" w:name="_Toc19216"/>
      <w:bookmarkStart w:id="16" w:name="_Toc1605"/>
      <w:r>
        <w:rPr>
          <w:rFonts w:hint="eastAsia" w:ascii="宋体" w:hAnsi="宋体" w:eastAsia="宋体" w:cs="宋体"/>
          <w:color w:val="auto"/>
          <w:sz w:val="24"/>
          <w:szCs w:val="24"/>
          <w:highlight w:val="none"/>
        </w:rPr>
        <w:t>1.满足《中华人民共和国政府采购法》第二十二条规定；</w:t>
      </w:r>
      <w:bookmarkEnd w:id="15"/>
      <w:bookmarkEnd w:id="16"/>
    </w:p>
    <w:p w14:paraId="7E670B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具有独立承担民事责任的能力的投标人；</w:t>
      </w:r>
    </w:p>
    <w:p w14:paraId="58928D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具有良好的商业信誉和健全的财务会计制度；</w:t>
      </w:r>
    </w:p>
    <w:p w14:paraId="37CF069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具有履行合同所必需的设备和专业技术能力；</w:t>
      </w:r>
    </w:p>
    <w:p w14:paraId="54D103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有依法缴纳税收和社会保障资金的良好记录；</w:t>
      </w:r>
    </w:p>
    <w:p w14:paraId="410609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参加本次采购活动前三年内，在经营活动中没有重大违法记录；</w:t>
      </w:r>
    </w:p>
    <w:p w14:paraId="0F534F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法律、行政法规规定的其他条件。</w:t>
      </w:r>
    </w:p>
    <w:p w14:paraId="67F099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ascii="宋体" w:hAnsi="宋体" w:cs="宋体"/>
          <w:color w:val="auto"/>
          <w:sz w:val="24"/>
          <w:szCs w:val="24"/>
          <w:highlight w:val="none"/>
          <w:lang w:val="en-US" w:eastAsia="zh-CN"/>
        </w:rPr>
        <w:t>不</w:t>
      </w:r>
      <w:r>
        <w:rPr>
          <w:rFonts w:hint="eastAsia" w:ascii="宋体" w:hAnsi="宋体" w:cs="宋体"/>
          <w:b w:val="0"/>
          <w:bCs w:val="0"/>
          <w:color w:val="auto"/>
          <w:sz w:val="24"/>
          <w:szCs w:val="24"/>
          <w:highlight w:val="none"/>
          <w:lang w:val="en-US" w:eastAsia="zh-CN"/>
        </w:rPr>
        <w:t>专门面向中小企业采购项目</w:t>
      </w:r>
    </w:p>
    <w:p w14:paraId="5889495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r>
        <w:rPr>
          <w:rFonts w:hint="eastAsia" w:ascii="宋体" w:hAnsi="宋体" w:cs="宋体"/>
          <w:color w:val="auto"/>
          <w:sz w:val="24"/>
          <w:szCs w:val="24"/>
          <w:highlight w:val="none"/>
          <w:lang w:val="en-US" w:eastAsia="zh-CN"/>
        </w:rPr>
        <w:t>无</w:t>
      </w:r>
    </w:p>
    <w:p w14:paraId="5C81DF6D">
      <w:pPr>
        <w:adjustRightInd w:val="0"/>
        <w:snapToGrid w:val="0"/>
        <w:spacing w:line="360" w:lineRule="auto"/>
        <w:ind w:left="479" w:leftChars="228" w:firstLine="0" w:firstLineChars="0"/>
        <w:rPr>
          <w:rFonts w:hint="eastAsia" w:ascii="宋体" w:hAnsi="宋体" w:cs="宋体"/>
          <w:sz w:val="24"/>
          <w:szCs w:val="24"/>
        </w:rPr>
      </w:pPr>
      <w:bookmarkStart w:id="17" w:name="_Toc17925"/>
      <w:bookmarkStart w:id="18" w:name="_Toc14230"/>
      <w:r>
        <w:rPr>
          <w:rFonts w:hint="eastAsia" w:ascii="宋体" w:hAnsi="宋体" w:cs="宋体"/>
          <w:sz w:val="24"/>
          <w:szCs w:val="24"/>
        </w:rPr>
        <w:t>本项目（否）接受联合体。</w:t>
      </w:r>
    </w:p>
    <w:p w14:paraId="61FC009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三、获取（下载）招标文件</w:t>
      </w:r>
      <w:bookmarkEnd w:id="17"/>
      <w:bookmarkEnd w:id="18"/>
    </w:p>
    <w:p w14:paraId="358967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时间：</w:t>
      </w:r>
      <w:r>
        <w:rPr>
          <w:rFonts w:hint="eastAsia" w:ascii="宋体" w:hAnsi="宋体" w:cs="宋体"/>
          <w:color w:val="FF0000"/>
          <w:sz w:val="24"/>
          <w:szCs w:val="24"/>
          <w:highlight w:val="none"/>
          <w:lang w:val="en-US" w:eastAsia="zh-CN"/>
        </w:rPr>
        <w:t>2026年04月24日至2026年05月06日</w:t>
      </w:r>
      <w:r>
        <w:rPr>
          <w:rFonts w:hint="eastAsia" w:ascii="宋体" w:hAnsi="宋体" w:eastAsia="宋体" w:cs="宋体"/>
          <w:color w:val="auto"/>
          <w:sz w:val="24"/>
          <w:szCs w:val="24"/>
          <w:highlight w:val="none"/>
        </w:rPr>
        <w:t>，每天上午00</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00至1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00，下午1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00至23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59（北京时间，法定节假日除外）</w:t>
      </w:r>
    </w:p>
    <w:p w14:paraId="5F2ECC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：政采云</w:t>
      </w:r>
      <w:r>
        <w:rPr>
          <w:rFonts w:hint="eastAsia" w:ascii="宋体" w:hAnsi="宋体" w:eastAsia="宋体" w:cs="宋体"/>
          <w:color w:val="auto"/>
          <w:sz w:val="24"/>
          <w:szCs w:val="24"/>
          <w:highlight w:val="none"/>
        </w:rPr>
        <w:t>平台线上</w:t>
      </w:r>
    </w:p>
    <w:p w14:paraId="1AF501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方式：供应商登录政采云平台https</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ww.zcygov.cn/在线申请获取采购文件（进入“项目采购”应用，在获取采购文件菜单中选择项目，申请获取采购文件），或者点击采购公告底部潜在供应商“获取采购文件”，页面跳转后登陆，直接获取采购文件。</w:t>
      </w:r>
    </w:p>
    <w:p w14:paraId="1F4B81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售价（元）：</w:t>
      </w:r>
      <w:r>
        <w:rPr>
          <w:rFonts w:hint="eastAsia" w:ascii="宋体" w:hAnsi="宋体" w:eastAsia="宋体" w:cs="宋体"/>
          <w:color w:val="auto"/>
          <w:sz w:val="24"/>
          <w:szCs w:val="24"/>
          <w:highlight w:val="none"/>
          <w:lang w:val="en-US" w:eastAsia="zh-CN"/>
        </w:rPr>
        <w:t>0</w:t>
      </w:r>
      <w:r>
        <w:rPr>
          <w:rFonts w:hint="eastAsia" w:ascii="宋体" w:hAnsi="宋体" w:eastAsia="宋体" w:cs="宋体"/>
          <w:snapToGrid/>
          <w:color w:val="auto"/>
          <w:kern w:val="2"/>
          <w:sz w:val="24"/>
          <w:szCs w:val="24"/>
          <w:highlight w:val="none"/>
          <w:lang w:val="en-US" w:eastAsia="zh-CN" w:bidi="ar-SA"/>
        </w:rPr>
        <w:t>元</w:t>
      </w:r>
    </w:p>
    <w:p w14:paraId="5D449D0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rPr>
      </w:pPr>
      <w:bookmarkStart w:id="19" w:name="_Toc24068"/>
      <w:bookmarkStart w:id="20" w:name="_Toc24473"/>
      <w:r>
        <w:rPr>
          <w:rFonts w:hint="eastAsia" w:ascii="宋体" w:hAnsi="宋体" w:eastAsia="宋体" w:cs="宋体"/>
          <w:b/>
          <w:bCs/>
          <w:color w:val="auto"/>
          <w:sz w:val="24"/>
          <w:szCs w:val="24"/>
          <w:highlight w:val="none"/>
        </w:rPr>
        <w:t>四、</w:t>
      </w:r>
      <w:bookmarkEnd w:id="19"/>
      <w:bookmarkEnd w:id="20"/>
      <w:r>
        <w:rPr>
          <w:rFonts w:hint="eastAsia" w:asciiTheme="minorEastAsia" w:hAnsiTheme="minorEastAsia" w:eastAsiaTheme="minorEastAsia" w:cstheme="minorEastAsia"/>
          <w:b/>
          <w:bCs/>
          <w:color w:val="auto"/>
          <w:sz w:val="24"/>
          <w:szCs w:val="24"/>
          <w:highlight w:val="none"/>
          <w:lang w:val="en-US" w:eastAsia="zh-CN"/>
        </w:rPr>
        <w:t>响应文件提交</w:t>
      </w:r>
    </w:p>
    <w:p w14:paraId="42F032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cs="宋体"/>
          <w:color w:val="FF0000"/>
          <w:sz w:val="24"/>
          <w:szCs w:val="24"/>
          <w:highlight w:val="none"/>
          <w:lang w:val="en-US" w:eastAsia="zh-CN"/>
        </w:rPr>
        <w:t>2026年05月15日11：00</w:t>
      </w:r>
      <w:r>
        <w:rPr>
          <w:rFonts w:hint="eastAsia" w:ascii="宋体" w:hAnsi="宋体" w:eastAsia="宋体" w:cs="宋体"/>
          <w:color w:val="auto"/>
          <w:sz w:val="24"/>
          <w:szCs w:val="24"/>
          <w:highlight w:val="none"/>
        </w:rPr>
        <w:t>（北京时间）</w:t>
      </w:r>
    </w:p>
    <w:p w14:paraId="6A30AC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投标地点：</w:t>
      </w:r>
      <w:r>
        <w:rPr>
          <w:rFonts w:hint="eastAsia" w:asciiTheme="minorEastAsia" w:hAnsiTheme="minorEastAsia" w:eastAsiaTheme="minorEastAsia" w:cstheme="minorEastAsia"/>
          <w:color w:val="auto"/>
          <w:sz w:val="24"/>
          <w:szCs w:val="24"/>
          <w:highlight w:val="none"/>
          <w:lang w:val="en-US" w:eastAsia="zh-CN"/>
        </w:rPr>
        <w:t>请登录政采云投标客户端投标</w:t>
      </w:r>
    </w:p>
    <w:p w14:paraId="01289CF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default" w:ascii="宋体" w:hAnsi="宋体" w:eastAsia="宋体" w:cs="宋体"/>
          <w:b/>
          <w:bCs/>
          <w:color w:val="auto"/>
          <w:sz w:val="24"/>
          <w:szCs w:val="24"/>
          <w:highlight w:val="none"/>
          <w:lang w:val="en-US"/>
        </w:rPr>
      </w:pPr>
      <w:bookmarkStart w:id="21" w:name="_Toc2786"/>
      <w:bookmarkStart w:id="22" w:name="_Toc989"/>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响应文件开启</w:t>
      </w:r>
    </w:p>
    <w:p w14:paraId="18AFB2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开启时间：</w:t>
      </w:r>
      <w:r>
        <w:rPr>
          <w:rFonts w:hint="eastAsia" w:asciiTheme="minorEastAsia" w:hAnsiTheme="minorEastAsia" w:eastAsiaTheme="minorEastAsia" w:cstheme="minorEastAsia"/>
          <w:color w:val="FF0000"/>
          <w:sz w:val="24"/>
          <w:szCs w:val="24"/>
          <w:highlight w:val="none"/>
          <w:lang w:val="en-US" w:eastAsia="zh-CN"/>
        </w:rPr>
        <w:t>2026年05月15日11：00</w:t>
      </w:r>
      <w:r>
        <w:rPr>
          <w:rFonts w:hint="eastAsia" w:asciiTheme="minorEastAsia" w:hAnsiTheme="minorEastAsia" w:eastAsiaTheme="minorEastAsia" w:cstheme="minorEastAsia"/>
          <w:color w:val="auto"/>
          <w:sz w:val="24"/>
          <w:szCs w:val="24"/>
          <w:highlight w:val="none"/>
          <w:lang w:val="en-US" w:eastAsia="zh-CN"/>
        </w:rPr>
        <w:t>（北京时间）</w:t>
      </w:r>
    </w:p>
    <w:p w14:paraId="7FE5FC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b/>
          <w:bCs/>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地点：</w:t>
      </w:r>
      <w:r>
        <w:rPr>
          <w:rFonts w:hint="eastAsia" w:ascii="宋体" w:hAnsi="宋体" w:eastAsia="宋体" w:cs="宋体"/>
          <w:color w:val="auto"/>
          <w:sz w:val="24"/>
          <w:szCs w:val="24"/>
          <w:highlight w:val="none"/>
        </w:rPr>
        <w:t>投标人登录政采云平台https</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//www.zcygov.cn/，进入“项目采购-开标评标-右边选择对应项目点击“进入项目”进入开标大厅</w:t>
      </w:r>
    </w:p>
    <w:p w14:paraId="54A2B86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bookmarkEnd w:id="21"/>
      <w:bookmarkEnd w:id="22"/>
    </w:p>
    <w:p w14:paraId="71A602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w:t>
      </w:r>
    </w:p>
    <w:p w14:paraId="62B64D3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bookmarkStart w:id="23" w:name="_Toc14189"/>
      <w:bookmarkStart w:id="24" w:name="_Toc4506"/>
      <w:r>
        <w:rPr>
          <w:rFonts w:hint="eastAsia" w:ascii="宋体" w:hAnsi="宋体" w:eastAsia="宋体" w:cs="宋体"/>
          <w:b/>
          <w:bCs/>
          <w:color w:val="auto"/>
          <w:sz w:val="24"/>
          <w:szCs w:val="24"/>
          <w:highlight w:val="none"/>
        </w:rPr>
        <w:t>七、其他补充事宜</w:t>
      </w:r>
      <w:bookmarkEnd w:id="23"/>
      <w:bookmarkEnd w:id="24"/>
    </w:p>
    <w:p w14:paraId="0706665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1.本项目实行网上投标，采用电子投标文件。</w:t>
      </w:r>
    </w:p>
    <w:p w14:paraId="43A4F8B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6162ED1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3.供应商将政采云电子交易客户端下载、安装完成后，可通过账号密码或CA登录客户端进行投标文件的制作。在使用政采云投标客户端时，建议使用WIN7及以上操作系统。</w:t>
      </w:r>
    </w:p>
    <w:p w14:paraId="2012F10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递交截止时间前，供应商须随时关注本项目招标公告发布网站（新疆政府采购网http://www.ccgp-xinjiang.gov.cn/）的最新的变更公告、更正公告、澄清公告等相关信息，并对上述查看行为自行承担责任。对于未查看最新的变更公告、更正公告、澄清公告等相关信息，而造成的一切后果，由供应商自行承担。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w:t>
      </w:r>
    </w:p>
    <w:p w14:paraId="1F65E30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、对本次采购提出询问，请按以下方式联系</w:t>
      </w:r>
    </w:p>
    <w:p w14:paraId="13ABF6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25" w:name="_Toc3504"/>
      <w:bookmarkStart w:id="26" w:name="_Toc5973"/>
      <w:r>
        <w:rPr>
          <w:rFonts w:hint="eastAsia" w:ascii="宋体" w:hAnsi="宋体" w:eastAsia="宋体" w:cs="宋体"/>
          <w:color w:val="auto"/>
          <w:sz w:val="24"/>
          <w:szCs w:val="24"/>
          <w:highlight w:val="none"/>
        </w:rPr>
        <w:t>1.采购人信息</w:t>
      </w:r>
      <w:bookmarkEnd w:id="25"/>
      <w:bookmarkEnd w:id="26"/>
    </w:p>
    <w:p w14:paraId="6B3296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新疆维吾尔自治区地质研究院</w:t>
      </w:r>
    </w:p>
    <w:p w14:paraId="5F6647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eastAsia="zh-CN"/>
        </w:rPr>
        <w:t>乌鲁木齐市沙依巴克区泽普街466号</w:t>
      </w:r>
    </w:p>
    <w:p w14:paraId="6AAFF31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w:t>
      </w:r>
      <w:bookmarkStart w:id="27" w:name="_Toc25180"/>
      <w:bookmarkStart w:id="28" w:name="_Toc9918"/>
      <w:r>
        <w:rPr>
          <w:rFonts w:hint="eastAsia" w:ascii="宋体" w:hAnsi="宋体" w:cs="宋体"/>
          <w:color w:val="auto"/>
          <w:sz w:val="24"/>
          <w:szCs w:val="24"/>
          <w:highlight w:val="none"/>
          <w:lang w:eastAsia="zh-CN"/>
        </w:rPr>
        <w:t>0991-8776866</w:t>
      </w:r>
    </w:p>
    <w:p w14:paraId="2AD7B69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采购代理机构信息</w:t>
      </w:r>
      <w:bookmarkEnd w:id="27"/>
      <w:bookmarkEnd w:id="28"/>
    </w:p>
    <w:p w14:paraId="63AB80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新疆</w:t>
      </w:r>
      <w:r>
        <w:rPr>
          <w:rFonts w:hint="eastAsia" w:ascii="宋体" w:hAnsi="宋体" w:eastAsia="宋体" w:cs="宋体"/>
          <w:color w:val="auto"/>
          <w:sz w:val="24"/>
          <w:szCs w:val="24"/>
          <w:highlight w:val="none"/>
          <w:lang w:val="en-US" w:eastAsia="zh-CN"/>
        </w:rPr>
        <w:t>众通桥项目管理咨询</w:t>
      </w:r>
      <w:r>
        <w:rPr>
          <w:rFonts w:hint="eastAsia" w:ascii="宋体" w:hAnsi="宋体" w:eastAsia="宋体" w:cs="宋体"/>
          <w:color w:val="auto"/>
          <w:sz w:val="24"/>
          <w:szCs w:val="24"/>
          <w:highlight w:val="none"/>
          <w:lang w:eastAsia="zh-CN"/>
        </w:rPr>
        <w:t>有限公司</w:t>
      </w:r>
    </w:p>
    <w:p w14:paraId="405BFD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val="en-US" w:eastAsia="zh-CN"/>
        </w:rPr>
        <w:t>乌鲁木齐市沙依巴克区克拉玛依西街880号安佳大厦C602</w:t>
      </w:r>
    </w:p>
    <w:p w14:paraId="6EF556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联系人方式：</w:t>
      </w:r>
      <w:r>
        <w:rPr>
          <w:rFonts w:hint="eastAsia" w:ascii="宋体" w:hAnsi="宋体" w:cs="宋体"/>
          <w:color w:val="auto"/>
          <w:sz w:val="24"/>
          <w:szCs w:val="24"/>
          <w:highlight w:val="none"/>
          <w:lang w:val="en-US" w:eastAsia="zh-CN"/>
        </w:rPr>
        <w:t>程云翠 陈琼 张媛媛</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15739558062 13379780240</w:t>
      </w:r>
    </w:p>
    <w:p w14:paraId="7B8DBF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29" w:name="_Toc20069"/>
      <w:bookmarkStart w:id="30" w:name="_Toc16872"/>
      <w:r>
        <w:rPr>
          <w:rFonts w:hint="eastAsia" w:ascii="宋体" w:hAnsi="宋体" w:eastAsia="宋体" w:cs="宋体"/>
          <w:color w:val="auto"/>
          <w:sz w:val="24"/>
          <w:szCs w:val="24"/>
          <w:highlight w:val="none"/>
        </w:rPr>
        <w:t>3.项目联系方式</w:t>
      </w:r>
      <w:bookmarkEnd w:id="29"/>
      <w:bookmarkEnd w:id="30"/>
    </w:p>
    <w:p w14:paraId="1B3D3D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ascii="宋体" w:hAnsi="宋体" w:cs="宋体"/>
          <w:color w:val="auto"/>
          <w:sz w:val="24"/>
          <w:szCs w:val="24"/>
          <w:highlight w:val="none"/>
          <w:lang w:val="en-US" w:eastAsia="zh-CN"/>
        </w:rPr>
        <w:t>程云翠 陈琼 张媛媛</w:t>
      </w:r>
    </w:p>
    <w:p w14:paraId="02ABD4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w:t>
      </w:r>
      <w:r>
        <w:rPr>
          <w:rFonts w:hint="default"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 xml:space="preserve"> 话：</w:t>
      </w:r>
      <w:r>
        <w:rPr>
          <w:rFonts w:hint="eastAsia" w:ascii="宋体" w:hAnsi="宋体" w:cs="宋体"/>
          <w:color w:val="auto"/>
          <w:sz w:val="24"/>
          <w:szCs w:val="24"/>
          <w:highlight w:val="none"/>
          <w:lang w:val="en-US" w:eastAsia="zh-CN"/>
        </w:rPr>
        <w:t>15739558062 13379780240</w:t>
      </w:r>
    </w:p>
    <w:p w14:paraId="713307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Style w:val="47"/>
          <w:rFonts w:hint="eastAsia" w:ascii="宋体" w:hAnsi="宋体" w:cs="宋体"/>
          <w:snapToGrid/>
          <w:color w:val="auto"/>
          <w:kern w:val="2"/>
          <w:sz w:val="24"/>
          <w:szCs w:val="24"/>
          <w:highlight w:val="none"/>
          <w:u w:val="none"/>
          <w:lang w:val="en-US" w:eastAsia="zh-CN" w:bidi="ar-SA"/>
        </w:rPr>
      </w:pPr>
      <w:r>
        <w:rPr>
          <w:rFonts w:hint="eastAsia" w:ascii="宋体" w:hAnsi="宋体" w:cs="宋体"/>
          <w:snapToGrid/>
          <w:color w:val="auto"/>
          <w:kern w:val="2"/>
          <w:sz w:val="24"/>
          <w:szCs w:val="24"/>
          <w:highlight w:val="none"/>
          <w:u w:val="none"/>
          <w:lang w:val="en-US" w:eastAsia="zh-CN" w:bidi="ar-SA"/>
        </w:rPr>
        <w:fldChar w:fldCharType="begin"/>
      </w:r>
      <w:r>
        <w:rPr>
          <w:rFonts w:hint="eastAsia" w:ascii="宋体" w:hAnsi="宋体" w:cs="宋体"/>
          <w:snapToGrid/>
          <w:color w:val="auto"/>
          <w:kern w:val="2"/>
          <w:sz w:val="24"/>
          <w:szCs w:val="24"/>
          <w:highlight w:val="none"/>
          <w:u w:val="none"/>
          <w:lang w:val="en-US" w:eastAsia="zh-CN" w:bidi="ar-SA"/>
        </w:rPr>
        <w:instrText xml:space="preserve"> HYPERLINK "mailto:619868284@qq.com" </w:instrText>
      </w:r>
      <w:r>
        <w:rPr>
          <w:rFonts w:hint="eastAsia" w:ascii="宋体" w:hAnsi="宋体" w:cs="宋体"/>
          <w:snapToGrid/>
          <w:color w:val="auto"/>
          <w:kern w:val="2"/>
          <w:sz w:val="24"/>
          <w:szCs w:val="24"/>
          <w:highlight w:val="none"/>
          <w:u w:val="none"/>
          <w:lang w:val="en-US" w:eastAsia="zh-CN" w:bidi="ar-SA"/>
        </w:rPr>
        <w:fldChar w:fldCharType="separate"/>
      </w:r>
    </w:p>
    <w:p w14:paraId="39D791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cs="宋体"/>
          <w:snapToGrid/>
          <w:color w:val="auto"/>
          <w:kern w:val="2"/>
          <w:sz w:val="24"/>
          <w:szCs w:val="24"/>
          <w:highlight w:val="none"/>
          <w:u w:val="none"/>
          <w:lang w:val="en-US" w:eastAsia="zh-CN" w:bidi="ar-SA"/>
        </w:rPr>
      </w:pPr>
      <w:r>
        <w:rPr>
          <w:rStyle w:val="47"/>
          <w:rFonts w:hint="eastAsia" w:ascii="宋体" w:hAnsi="宋体" w:cs="宋体"/>
          <w:snapToGrid/>
          <w:color w:val="auto"/>
          <w:kern w:val="2"/>
          <w:sz w:val="24"/>
          <w:szCs w:val="24"/>
          <w:highlight w:val="none"/>
          <w:u w:val="none"/>
          <w:lang w:val="en-US" w:eastAsia="zh-CN" w:bidi="ar-SA"/>
        </w:rPr>
        <w:br w:type="page"/>
      </w:r>
      <w:r>
        <w:rPr>
          <w:rFonts w:hint="eastAsia" w:ascii="宋体" w:hAnsi="宋体" w:cs="宋体"/>
          <w:snapToGrid/>
          <w:color w:val="auto"/>
          <w:kern w:val="2"/>
          <w:sz w:val="24"/>
          <w:szCs w:val="24"/>
          <w:highlight w:val="none"/>
          <w:u w:val="none"/>
          <w:lang w:val="en-US" w:eastAsia="zh-CN" w:bidi="ar-SA"/>
        </w:rPr>
        <w:fldChar w:fldCharType="end"/>
      </w:r>
    </w:p>
    <w:bookmarkEnd w:id="8"/>
    <w:bookmarkEnd w:id="9"/>
    <w:p w14:paraId="44C7B4C4">
      <w:pPr>
        <w:keepNext/>
        <w:keepLines w:val="0"/>
        <w:pageBreakBefore w:val="0"/>
        <w:widowControl w:val="0"/>
        <w:numPr>
          <w:ilvl w:val="0"/>
          <w:numId w:val="0"/>
        </w:numPr>
        <w:tabs>
          <w:tab w:val="left" w:pos="360"/>
        </w:tabs>
        <w:kinsoku/>
        <w:wordWrap/>
        <w:overflowPunct/>
        <w:topLinePunct w:val="0"/>
        <w:autoSpaceDE/>
        <w:autoSpaceDN/>
        <w:bidi w:val="0"/>
        <w:adjustRightInd w:val="0"/>
        <w:snapToGrid w:val="0"/>
        <w:spacing w:afterAutospacing="0" w:line="360" w:lineRule="auto"/>
        <w:jc w:val="center"/>
        <w:textAlignment w:val="auto"/>
        <w:outlineLvl w:val="0"/>
        <w:rPr>
          <w:rFonts w:hint="eastAsia" w:ascii="宋体" w:hAnsi="宋体" w:eastAsia="宋体" w:cs="宋体"/>
          <w:color w:val="auto"/>
          <w:sz w:val="24"/>
          <w:szCs w:val="24"/>
          <w:highlight w:val="none"/>
          <w:lang w:eastAsia="zh-CN"/>
        </w:rPr>
      </w:pPr>
      <w:bookmarkStart w:id="31" w:name="_Toc349637918"/>
      <w:bookmarkStart w:id="32" w:name="_Toc31463"/>
      <w:bookmarkStart w:id="33" w:name="_Toc2509"/>
      <w:bookmarkStart w:id="34" w:name="_Toc5814"/>
      <w:bookmarkStart w:id="35" w:name="_Toc349573119"/>
      <w:bookmarkStart w:id="36" w:name="_Toc298240403"/>
      <w:r>
        <w:rPr>
          <w:rFonts w:hint="eastAsia" w:ascii="宋体" w:hAnsi="宋体" w:eastAsia="宋体" w:cs="宋体"/>
          <w:color w:val="auto"/>
          <w:sz w:val="32"/>
          <w:szCs w:val="32"/>
          <w:highlight w:val="none"/>
        </w:rPr>
        <w:t xml:space="preserve">第二部分 </w:t>
      </w:r>
      <w:r>
        <w:rPr>
          <w:rFonts w:hint="eastAsia" w:ascii="宋体" w:hAnsi="宋体" w:cs="宋体"/>
          <w:color w:val="auto"/>
          <w:sz w:val="32"/>
          <w:szCs w:val="32"/>
          <w:highlight w:val="none"/>
          <w:lang w:val="en-US" w:eastAsia="zh-CN"/>
        </w:rPr>
        <w:t>投标人</w:t>
      </w:r>
      <w:r>
        <w:rPr>
          <w:rFonts w:hint="eastAsia" w:ascii="宋体" w:hAnsi="宋体" w:eastAsia="宋体" w:cs="宋体"/>
          <w:color w:val="auto"/>
          <w:sz w:val="32"/>
          <w:szCs w:val="32"/>
          <w:highlight w:val="none"/>
        </w:rPr>
        <w:t>须知</w:t>
      </w:r>
      <w:bookmarkEnd w:id="31"/>
      <w:bookmarkEnd w:id="32"/>
      <w:bookmarkEnd w:id="33"/>
      <w:bookmarkEnd w:id="34"/>
      <w:bookmarkEnd w:id="35"/>
      <w:bookmarkEnd w:id="36"/>
    </w:p>
    <w:bookmarkEnd w:id="10"/>
    <w:p w14:paraId="0AA1B8A2">
      <w:pPr>
        <w:keepNext/>
        <w:pageBreakBefore w:val="0"/>
        <w:widowControl w:val="0"/>
        <w:kinsoku/>
        <w:wordWrap/>
        <w:overflowPunct/>
        <w:topLinePunct w:val="0"/>
        <w:autoSpaceDE/>
        <w:autoSpaceDN/>
        <w:bidi w:val="0"/>
        <w:adjustRightInd w:val="0"/>
        <w:snapToGrid w:val="0"/>
        <w:spacing w:before="0" w:after="0" w:afterAutospacing="0" w:line="360" w:lineRule="auto"/>
        <w:jc w:val="center"/>
        <w:textAlignment w:val="auto"/>
        <w:outlineLvl w:val="1"/>
        <w:rPr>
          <w:rFonts w:hint="eastAsia" w:ascii="宋体" w:hAnsi="宋体" w:eastAsia="宋体" w:cs="宋体"/>
          <w:color w:val="auto"/>
          <w:sz w:val="28"/>
          <w:szCs w:val="28"/>
          <w:highlight w:val="none"/>
          <w:lang w:eastAsia="zh-CN"/>
        </w:rPr>
      </w:pPr>
      <w:bookmarkStart w:id="37" w:name="_Toc18155"/>
      <w:bookmarkStart w:id="38" w:name="_Toc11407"/>
      <w:bookmarkStart w:id="39" w:name="_Toc267301282"/>
      <w:bookmarkStart w:id="40" w:name="_Toc349637920"/>
      <w:bookmarkStart w:id="41" w:name="_Toc19157"/>
      <w:bookmarkStart w:id="42" w:name="_Toc14386"/>
      <w:bookmarkStart w:id="43" w:name="_Toc298240406"/>
      <w:bookmarkStart w:id="44" w:name="_Toc12816"/>
      <w:bookmarkStart w:id="45" w:name="_Toc349637921"/>
      <w:bookmarkStart w:id="46" w:name="_Toc23012"/>
      <w:bookmarkStart w:id="47" w:name="_Toc349573121"/>
      <w:bookmarkStart w:id="48" w:name="_Toc298240405"/>
      <w:bookmarkStart w:id="49" w:name="_Toc349573122"/>
      <w:bookmarkStart w:id="50" w:name="_Toc267301283"/>
      <w:r>
        <w:rPr>
          <w:rFonts w:hint="eastAsia" w:ascii="宋体" w:hAnsi="宋体" w:cs="宋体"/>
          <w:color w:val="auto"/>
          <w:sz w:val="28"/>
          <w:szCs w:val="28"/>
          <w:highlight w:val="none"/>
          <w:lang w:val="en-US" w:eastAsia="zh-CN"/>
        </w:rPr>
        <w:t>投标人</w:t>
      </w:r>
      <w:r>
        <w:rPr>
          <w:rFonts w:hint="eastAsia" w:ascii="宋体" w:hAnsi="宋体" w:eastAsia="宋体" w:cs="宋体"/>
          <w:color w:val="auto"/>
          <w:sz w:val="28"/>
          <w:szCs w:val="28"/>
          <w:highlight w:val="none"/>
          <w:lang w:eastAsia="zh-CN"/>
        </w:rPr>
        <w:t>须知前附表</w:t>
      </w:r>
      <w:bookmarkEnd w:id="37"/>
      <w:bookmarkEnd w:id="38"/>
    </w:p>
    <w:tbl>
      <w:tblPr>
        <w:tblStyle w:val="4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2150"/>
        <w:gridCol w:w="6891"/>
      </w:tblGrid>
      <w:tr w14:paraId="40298D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21" w:type="dxa"/>
            <w:tcBorders>
              <w:top w:val="single" w:color="auto" w:sz="4" w:space="0"/>
              <w:bottom w:val="single" w:color="auto" w:sz="4" w:space="0"/>
              <w:right w:val="single" w:color="auto" w:sz="4" w:space="0"/>
            </w:tcBorders>
            <w:noWrap w:val="0"/>
            <w:vAlign w:val="center"/>
          </w:tcPr>
          <w:p w14:paraId="3A6A48FE">
            <w:pPr>
              <w:pStyle w:val="25"/>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序号</w:t>
            </w:r>
          </w:p>
        </w:tc>
        <w:tc>
          <w:tcPr>
            <w:tcW w:w="2150" w:type="dxa"/>
            <w:tcBorders>
              <w:top w:val="single" w:color="auto" w:sz="4" w:space="0"/>
              <w:bottom w:val="single" w:color="auto" w:sz="4" w:space="0"/>
              <w:right w:val="single" w:color="auto" w:sz="4" w:space="0"/>
            </w:tcBorders>
            <w:noWrap w:val="0"/>
            <w:vAlign w:val="center"/>
          </w:tcPr>
          <w:p w14:paraId="64B3194E">
            <w:pPr>
              <w:pStyle w:val="25"/>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名 称</w:t>
            </w:r>
          </w:p>
        </w:tc>
        <w:tc>
          <w:tcPr>
            <w:tcW w:w="6891" w:type="dxa"/>
            <w:tcBorders>
              <w:top w:val="single" w:color="auto" w:sz="4" w:space="0"/>
              <w:left w:val="single" w:color="auto" w:sz="4" w:space="0"/>
              <w:bottom w:val="single" w:color="auto" w:sz="4" w:space="0"/>
            </w:tcBorders>
            <w:noWrap w:val="0"/>
            <w:vAlign w:val="center"/>
          </w:tcPr>
          <w:p w14:paraId="14144FC6">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内  容</w:t>
            </w:r>
          </w:p>
        </w:tc>
      </w:tr>
      <w:tr w14:paraId="0E837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21" w:type="dxa"/>
            <w:tcBorders>
              <w:top w:val="single" w:color="auto" w:sz="4" w:space="0"/>
              <w:bottom w:val="single" w:color="auto" w:sz="4" w:space="0"/>
              <w:right w:val="single" w:color="auto" w:sz="4" w:space="0"/>
            </w:tcBorders>
            <w:noWrap w:val="0"/>
            <w:vAlign w:val="center"/>
          </w:tcPr>
          <w:p w14:paraId="72D849FC">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50" w:type="dxa"/>
            <w:tcBorders>
              <w:top w:val="single" w:color="auto" w:sz="4" w:space="0"/>
              <w:bottom w:val="single" w:color="auto" w:sz="4" w:space="0"/>
              <w:right w:val="single" w:color="auto" w:sz="4" w:space="0"/>
            </w:tcBorders>
            <w:noWrap w:val="0"/>
            <w:vAlign w:val="center"/>
          </w:tcPr>
          <w:p w14:paraId="199A66E2">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891" w:type="dxa"/>
            <w:tcBorders>
              <w:top w:val="single" w:color="auto" w:sz="4" w:space="0"/>
              <w:left w:val="single" w:color="auto" w:sz="4" w:space="0"/>
              <w:bottom w:val="single" w:color="auto" w:sz="4" w:space="0"/>
            </w:tcBorders>
            <w:noWrap w:val="0"/>
            <w:vAlign w:val="center"/>
          </w:tcPr>
          <w:p w14:paraId="0CEDFF54">
            <w:pPr>
              <w:spacing w:line="320" w:lineRule="exact"/>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新疆西昆仑金多金属矿成矿地质背景调查与找矿靶区优选服务项目</w:t>
            </w:r>
          </w:p>
        </w:tc>
      </w:tr>
      <w:tr w14:paraId="09834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21" w:type="dxa"/>
            <w:tcBorders>
              <w:top w:val="single" w:color="auto" w:sz="4" w:space="0"/>
              <w:bottom w:val="single" w:color="auto" w:sz="4" w:space="0"/>
              <w:right w:val="single" w:color="auto" w:sz="4" w:space="0"/>
            </w:tcBorders>
            <w:noWrap w:val="0"/>
            <w:vAlign w:val="center"/>
          </w:tcPr>
          <w:p w14:paraId="057AD45F">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150" w:type="dxa"/>
            <w:tcBorders>
              <w:top w:val="single" w:color="auto" w:sz="4" w:space="0"/>
              <w:bottom w:val="single" w:color="auto" w:sz="4" w:space="0"/>
              <w:right w:val="single" w:color="auto" w:sz="4" w:space="0"/>
            </w:tcBorders>
            <w:noWrap w:val="0"/>
            <w:vAlign w:val="center"/>
          </w:tcPr>
          <w:p w14:paraId="5F7CEDA3">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6891" w:type="dxa"/>
            <w:tcBorders>
              <w:top w:val="single" w:color="auto" w:sz="4" w:space="0"/>
              <w:left w:val="single" w:color="auto" w:sz="4" w:space="0"/>
              <w:bottom w:val="single" w:color="auto" w:sz="4" w:space="0"/>
            </w:tcBorders>
            <w:noWrap w:val="0"/>
            <w:vAlign w:val="center"/>
          </w:tcPr>
          <w:p w14:paraId="52EB8BB3">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ZTQ-2026058</w:t>
            </w:r>
          </w:p>
        </w:tc>
      </w:tr>
      <w:tr w14:paraId="4743EE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4F1F8426">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p>
        </w:tc>
        <w:tc>
          <w:tcPr>
            <w:tcW w:w="2150" w:type="dxa"/>
            <w:tcBorders>
              <w:top w:val="single" w:color="auto" w:sz="4" w:space="0"/>
              <w:bottom w:val="single" w:color="auto" w:sz="4" w:space="0"/>
              <w:right w:val="single" w:color="auto" w:sz="4" w:space="0"/>
            </w:tcBorders>
            <w:noWrap w:val="0"/>
            <w:vAlign w:val="center"/>
          </w:tcPr>
          <w:p w14:paraId="678228C2">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w:t>
            </w:r>
          </w:p>
        </w:tc>
        <w:tc>
          <w:tcPr>
            <w:tcW w:w="6891" w:type="dxa"/>
            <w:tcBorders>
              <w:top w:val="single" w:color="auto" w:sz="4" w:space="0"/>
              <w:left w:val="single" w:color="auto" w:sz="4" w:space="0"/>
              <w:bottom w:val="single" w:color="auto" w:sz="4" w:space="0"/>
            </w:tcBorders>
            <w:noWrap w:val="0"/>
            <w:vAlign w:val="center"/>
          </w:tcPr>
          <w:p w14:paraId="5ACC5D81">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公开招标</w:t>
            </w:r>
          </w:p>
        </w:tc>
      </w:tr>
      <w:tr w14:paraId="57B8E6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15DCC370">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p>
        </w:tc>
        <w:tc>
          <w:tcPr>
            <w:tcW w:w="2150" w:type="dxa"/>
            <w:tcBorders>
              <w:top w:val="single" w:color="auto" w:sz="4" w:space="0"/>
              <w:bottom w:val="single" w:color="auto" w:sz="4" w:space="0"/>
              <w:right w:val="single" w:color="auto" w:sz="4" w:space="0"/>
            </w:tcBorders>
            <w:noWrap w:val="0"/>
            <w:vAlign w:val="center"/>
          </w:tcPr>
          <w:p w14:paraId="5A09E344">
            <w:pPr>
              <w:pStyle w:val="21"/>
              <w:rPr>
                <w:rFonts w:hint="eastAsia"/>
                <w:color w:val="auto"/>
                <w:highlight w:val="none"/>
                <w:lang w:val="en-US" w:eastAsia="zh-CN"/>
              </w:rPr>
            </w:pPr>
            <w:r>
              <w:rPr>
                <w:rFonts w:hint="eastAsia" w:ascii="宋体" w:hAnsi="宋体" w:eastAsia="宋体" w:cs="宋体"/>
                <w:color w:val="auto"/>
                <w:sz w:val="24"/>
                <w:szCs w:val="24"/>
                <w:highlight w:val="none"/>
              </w:rPr>
              <w:t>预算金额</w:t>
            </w:r>
          </w:p>
        </w:tc>
        <w:tc>
          <w:tcPr>
            <w:tcW w:w="6891" w:type="dxa"/>
            <w:tcBorders>
              <w:top w:val="single" w:color="auto" w:sz="4" w:space="0"/>
              <w:left w:val="single" w:color="auto" w:sz="4" w:space="0"/>
              <w:bottom w:val="single" w:color="auto" w:sz="4" w:space="0"/>
            </w:tcBorders>
            <w:noWrap w:val="0"/>
            <w:vAlign w:val="center"/>
          </w:tcPr>
          <w:p w14:paraId="1E05ED22">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3154800.00元</w:t>
            </w:r>
          </w:p>
        </w:tc>
      </w:tr>
      <w:tr w14:paraId="49AA8D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56E16E9B">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w:t>
            </w:r>
          </w:p>
        </w:tc>
        <w:tc>
          <w:tcPr>
            <w:tcW w:w="2150" w:type="dxa"/>
            <w:tcBorders>
              <w:top w:val="single" w:color="auto" w:sz="4" w:space="0"/>
              <w:bottom w:val="single" w:color="auto" w:sz="4" w:space="0"/>
              <w:right w:val="single" w:color="auto" w:sz="4" w:space="0"/>
            </w:tcBorders>
            <w:noWrap w:val="0"/>
            <w:vAlign w:val="center"/>
          </w:tcPr>
          <w:p w14:paraId="48252228">
            <w:pPr>
              <w:spacing w:line="320" w:lineRule="exact"/>
              <w:jc w:val="center"/>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最高限价</w:t>
            </w:r>
          </w:p>
        </w:tc>
        <w:tc>
          <w:tcPr>
            <w:tcW w:w="6891" w:type="dxa"/>
            <w:tcBorders>
              <w:top w:val="single" w:color="auto" w:sz="4" w:space="0"/>
              <w:left w:val="single" w:color="auto" w:sz="4" w:space="0"/>
              <w:bottom w:val="single" w:color="auto" w:sz="4" w:space="0"/>
            </w:tcBorders>
            <w:noWrap w:val="0"/>
            <w:vAlign w:val="center"/>
          </w:tcPr>
          <w:p w14:paraId="3E2F99A0">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3154800.00元</w:t>
            </w:r>
          </w:p>
        </w:tc>
      </w:tr>
      <w:tr w14:paraId="260786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7D5DA8D9">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6</w:t>
            </w:r>
          </w:p>
        </w:tc>
        <w:tc>
          <w:tcPr>
            <w:tcW w:w="2150" w:type="dxa"/>
            <w:tcBorders>
              <w:top w:val="single" w:color="auto" w:sz="4" w:space="0"/>
              <w:bottom w:val="single" w:color="auto" w:sz="4" w:space="0"/>
              <w:right w:val="single" w:color="auto" w:sz="4" w:space="0"/>
            </w:tcBorders>
            <w:noWrap w:val="0"/>
            <w:vAlign w:val="center"/>
          </w:tcPr>
          <w:p w14:paraId="49416D73">
            <w:pPr>
              <w:spacing w:line="320" w:lineRule="exact"/>
              <w:jc w:val="center"/>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采购内容</w:t>
            </w:r>
          </w:p>
        </w:tc>
        <w:tc>
          <w:tcPr>
            <w:tcW w:w="6891" w:type="dxa"/>
            <w:tcBorders>
              <w:top w:val="single" w:color="auto" w:sz="4" w:space="0"/>
              <w:left w:val="single" w:color="auto" w:sz="4" w:space="0"/>
              <w:bottom w:val="single" w:color="auto" w:sz="4" w:space="0"/>
            </w:tcBorders>
            <w:noWrap w:val="0"/>
            <w:vAlign w:val="center"/>
          </w:tcPr>
          <w:p w14:paraId="6F889660">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详见第三部分 采购需求</w:t>
            </w:r>
          </w:p>
        </w:tc>
      </w:tr>
      <w:tr w14:paraId="12C3A9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4415CDE0">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7</w:t>
            </w:r>
          </w:p>
        </w:tc>
        <w:tc>
          <w:tcPr>
            <w:tcW w:w="2150" w:type="dxa"/>
            <w:tcBorders>
              <w:top w:val="single" w:color="auto" w:sz="4" w:space="0"/>
              <w:bottom w:val="single" w:color="auto" w:sz="4" w:space="0"/>
              <w:right w:val="single" w:color="auto" w:sz="4" w:space="0"/>
            </w:tcBorders>
            <w:noWrap w:val="0"/>
            <w:vAlign w:val="center"/>
          </w:tcPr>
          <w:p w14:paraId="1DDADBA6">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w:t>
            </w:r>
          </w:p>
        </w:tc>
        <w:tc>
          <w:tcPr>
            <w:tcW w:w="6891" w:type="dxa"/>
            <w:tcBorders>
              <w:top w:val="single" w:color="auto" w:sz="4" w:space="0"/>
              <w:left w:val="single" w:color="auto" w:sz="4" w:space="0"/>
              <w:bottom w:val="single" w:color="auto" w:sz="4" w:space="0"/>
            </w:tcBorders>
            <w:noWrap w:val="0"/>
            <w:vAlign w:val="center"/>
          </w:tcPr>
          <w:p w14:paraId="646ED83C">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财政资金</w:t>
            </w:r>
          </w:p>
        </w:tc>
      </w:tr>
      <w:tr w14:paraId="637C6C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0"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69B0BDCE">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8</w:t>
            </w:r>
          </w:p>
        </w:tc>
        <w:tc>
          <w:tcPr>
            <w:tcW w:w="2150" w:type="dxa"/>
            <w:tcBorders>
              <w:top w:val="single" w:color="auto" w:sz="4" w:space="0"/>
              <w:bottom w:val="single" w:color="auto" w:sz="4" w:space="0"/>
              <w:right w:val="single" w:color="auto" w:sz="4" w:space="0"/>
            </w:tcBorders>
            <w:noWrap w:val="0"/>
            <w:vAlign w:val="center"/>
          </w:tcPr>
          <w:p w14:paraId="1F4F9077">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 购 人</w:t>
            </w:r>
          </w:p>
        </w:tc>
        <w:tc>
          <w:tcPr>
            <w:tcW w:w="6891" w:type="dxa"/>
            <w:tcBorders>
              <w:top w:val="single" w:color="auto" w:sz="4" w:space="0"/>
              <w:left w:val="single" w:color="auto" w:sz="4" w:space="0"/>
              <w:bottom w:val="single" w:color="auto" w:sz="4" w:space="0"/>
            </w:tcBorders>
            <w:noWrap w:val="0"/>
            <w:vAlign w:val="center"/>
          </w:tcPr>
          <w:p w14:paraId="02BBEFBD">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新疆维吾尔自治区地质研究院</w:t>
            </w:r>
          </w:p>
          <w:p w14:paraId="4D292CFD">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r>
              <w:rPr>
                <w:rFonts w:hint="eastAsia" w:ascii="宋体" w:hAnsi="宋体" w:cs="宋体"/>
                <w:color w:val="auto"/>
                <w:sz w:val="24"/>
                <w:szCs w:val="24"/>
                <w:highlight w:val="none"/>
                <w:lang w:val="en-US" w:eastAsia="zh-CN"/>
              </w:rPr>
              <w:t>乌鲁木齐市沙依巴克区泽普街466号</w:t>
            </w:r>
          </w:p>
          <w:p w14:paraId="0C35FCBA">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szCs w:val="24"/>
                <w:highlight w:val="none"/>
                <w:lang w:val="en-US" w:eastAsia="zh-CN"/>
              </w:rPr>
              <w:t>苏先生</w:t>
            </w:r>
          </w:p>
          <w:p w14:paraId="0C942FA5">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  话：</w:t>
            </w:r>
            <w:r>
              <w:rPr>
                <w:rFonts w:hint="eastAsia" w:ascii="宋体" w:hAnsi="宋体" w:cs="宋体"/>
                <w:color w:val="auto"/>
                <w:sz w:val="24"/>
                <w:szCs w:val="24"/>
                <w:highlight w:val="none"/>
                <w:lang w:val="en-US" w:eastAsia="zh-CN"/>
              </w:rPr>
              <w:t>0991-8776866</w:t>
            </w:r>
          </w:p>
        </w:tc>
      </w:tr>
      <w:tr w14:paraId="5E6E78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4"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1FF82189">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w:t>
            </w:r>
          </w:p>
        </w:tc>
        <w:tc>
          <w:tcPr>
            <w:tcW w:w="2150" w:type="dxa"/>
            <w:tcBorders>
              <w:top w:val="single" w:color="auto" w:sz="4" w:space="0"/>
              <w:bottom w:val="single" w:color="auto" w:sz="4" w:space="0"/>
              <w:right w:val="single" w:color="auto" w:sz="4" w:space="0"/>
            </w:tcBorders>
            <w:noWrap w:val="0"/>
            <w:vAlign w:val="center"/>
          </w:tcPr>
          <w:p w14:paraId="06FC732B">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代理机构</w:t>
            </w:r>
          </w:p>
        </w:tc>
        <w:tc>
          <w:tcPr>
            <w:tcW w:w="6891" w:type="dxa"/>
            <w:tcBorders>
              <w:top w:val="single" w:color="auto" w:sz="4" w:space="0"/>
              <w:left w:val="single" w:color="auto" w:sz="4" w:space="0"/>
              <w:bottom w:val="single" w:color="auto" w:sz="4" w:space="0"/>
            </w:tcBorders>
            <w:noWrap w:val="0"/>
            <w:vAlign w:val="center"/>
          </w:tcPr>
          <w:p w14:paraId="2E601291">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新疆众通桥项目管理咨询有限公司</w:t>
            </w:r>
          </w:p>
          <w:p w14:paraId="32209D7A">
            <w:pPr>
              <w:spacing w:line="32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eastAsia="zh-CN"/>
              </w:rPr>
              <w:t>乌鲁木齐市沙依巴克区克拉玛依西街880号安佳大厦C602</w:t>
            </w:r>
          </w:p>
          <w:p w14:paraId="77DC0F25">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程云翠 陈琼 张媛媛</w:t>
            </w:r>
          </w:p>
          <w:p w14:paraId="18D28EA7">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15739558062 13379780240</w:t>
            </w:r>
          </w:p>
        </w:tc>
      </w:tr>
      <w:tr w14:paraId="4D92F5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0B31A8DD">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w:t>
            </w:r>
          </w:p>
        </w:tc>
        <w:tc>
          <w:tcPr>
            <w:tcW w:w="2150" w:type="dxa"/>
            <w:tcBorders>
              <w:top w:val="single" w:color="auto" w:sz="4" w:space="0"/>
              <w:bottom w:val="single" w:color="auto" w:sz="4" w:space="0"/>
              <w:right w:val="single" w:color="auto" w:sz="4" w:space="0"/>
            </w:tcBorders>
            <w:noWrap w:val="0"/>
            <w:vAlign w:val="center"/>
          </w:tcPr>
          <w:p w14:paraId="501A4E68">
            <w:pPr>
              <w:spacing w:line="320" w:lineRule="exact"/>
              <w:jc w:val="center"/>
              <w:outlineLvl w:val="9"/>
              <w:rPr>
                <w:rFonts w:hint="eastAsia" w:ascii="宋体" w:hAnsi="宋体" w:eastAsia="宋体" w:cs="宋体"/>
                <w:color w:val="auto"/>
                <w:spacing w:val="8"/>
                <w:sz w:val="24"/>
                <w:szCs w:val="24"/>
                <w:highlight w:val="none"/>
              </w:rPr>
            </w:pPr>
            <w:r>
              <w:rPr>
                <w:rFonts w:hint="eastAsia" w:ascii="宋体" w:hAnsi="宋体" w:eastAsia="宋体" w:cs="宋体"/>
                <w:color w:val="auto"/>
                <w:sz w:val="24"/>
                <w:szCs w:val="24"/>
                <w:highlight w:val="none"/>
              </w:rPr>
              <w:t>投标人资质资格要求</w:t>
            </w:r>
          </w:p>
        </w:tc>
        <w:tc>
          <w:tcPr>
            <w:tcW w:w="6891" w:type="dxa"/>
            <w:tcBorders>
              <w:top w:val="single" w:color="auto" w:sz="4" w:space="0"/>
              <w:left w:val="single" w:color="auto" w:sz="4" w:space="0"/>
              <w:bottom w:val="single" w:color="auto" w:sz="4" w:space="0"/>
            </w:tcBorders>
            <w:noWrap w:val="0"/>
            <w:vAlign w:val="center"/>
          </w:tcPr>
          <w:p w14:paraId="75AB6A30">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1.满足《中华人民共和国政府采购法》第二十二条规定；</w:t>
            </w:r>
          </w:p>
          <w:p w14:paraId="5FFC3648">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1.1具有独立承担民事责任的能力的投标人；</w:t>
            </w:r>
          </w:p>
          <w:p w14:paraId="7162A713">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1.2具有良好的商业信誉和健全的财务会计制度；</w:t>
            </w:r>
          </w:p>
          <w:p w14:paraId="3662AD5F">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1.3具有履行合同所必需的设备和专业技术能力；</w:t>
            </w:r>
          </w:p>
          <w:p w14:paraId="5B07B8A9">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1.4有依法缴纳税收和社会保障资金的良好记录；</w:t>
            </w:r>
          </w:p>
          <w:p w14:paraId="614C05A1">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1.5参加本次采购活动前三年内，在经营活动中没有重大违法记录；</w:t>
            </w:r>
          </w:p>
          <w:p w14:paraId="024524BF">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1.6法律、行政法规规定的其他条件。</w:t>
            </w:r>
          </w:p>
          <w:p w14:paraId="648686D4">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2.落实政府采购政策需满足的资格要求：不专门面向中小企业采购项目</w:t>
            </w:r>
          </w:p>
          <w:p w14:paraId="4EC743CF">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3.本项目的特定资格要求：</w:t>
            </w:r>
            <w:r>
              <w:rPr>
                <w:rFonts w:hint="eastAsia" w:ascii="宋体" w:hAnsi="宋体" w:cs="宋体"/>
                <w:color w:val="auto"/>
                <w:sz w:val="24"/>
                <w:szCs w:val="24"/>
                <w:highlight w:val="none"/>
                <w:lang w:val="en-US" w:eastAsia="zh-CN"/>
              </w:rPr>
              <w:t>无</w:t>
            </w:r>
          </w:p>
        </w:tc>
      </w:tr>
      <w:tr w14:paraId="772850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9"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1F42191B">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11</w:t>
            </w:r>
          </w:p>
        </w:tc>
        <w:tc>
          <w:tcPr>
            <w:tcW w:w="2150" w:type="dxa"/>
            <w:tcBorders>
              <w:top w:val="single" w:color="auto" w:sz="4" w:space="0"/>
              <w:bottom w:val="single" w:color="auto" w:sz="4" w:space="0"/>
              <w:right w:val="single" w:color="auto" w:sz="4" w:space="0"/>
            </w:tcBorders>
            <w:noWrap w:val="0"/>
            <w:vAlign w:val="center"/>
          </w:tcPr>
          <w:p w14:paraId="1F61B43B">
            <w:pPr>
              <w:keepNext w:val="0"/>
              <w:keepLines w:val="0"/>
              <w:pageBreakBefore w:val="0"/>
              <w:widowControl w:val="0"/>
              <w:kinsoku/>
              <w:overflowPunct/>
              <w:topLinePunct w:val="0"/>
              <w:bidi w:val="0"/>
              <w:adjustRightInd w:val="0"/>
              <w:snapToGrid w:val="0"/>
              <w:spacing w:line="240" w:lineRule="auto"/>
              <w:ind w:left="0" w:lef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落实政府采购政策</w:t>
            </w:r>
          </w:p>
        </w:tc>
        <w:tc>
          <w:tcPr>
            <w:tcW w:w="6891" w:type="dxa"/>
            <w:tcBorders>
              <w:top w:val="single" w:color="auto" w:sz="4" w:space="0"/>
              <w:left w:val="single" w:color="auto" w:sz="4" w:space="0"/>
              <w:bottom w:val="single" w:color="auto" w:sz="4" w:space="0"/>
            </w:tcBorders>
            <w:noWrap w:val="0"/>
            <w:vAlign w:val="center"/>
          </w:tcPr>
          <w:p w14:paraId="2F380114">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财政部、工业和信息化部《关于印发政府采购促进中小企业发展管理办法</w:t>
            </w:r>
            <w:r>
              <w:rPr>
                <w:rFonts w:hint="eastAsia" w:ascii="宋体" w:hAnsi="宋体" w:eastAsia="宋体" w:cs="宋体"/>
                <w:color w:val="auto"/>
                <w:sz w:val="24"/>
                <w:szCs w:val="24"/>
                <w:highlight w:val="none"/>
                <w:lang w:eastAsia="zh-CN"/>
              </w:rPr>
              <w:t>的通知</w:t>
            </w:r>
            <w:r>
              <w:rPr>
                <w:rFonts w:hint="eastAsia" w:ascii="宋体" w:hAnsi="宋体" w:eastAsia="宋体" w:cs="宋体"/>
                <w:color w:val="auto"/>
                <w:sz w:val="24"/>
                <w:szCs w:val="24"/>
                <w:highlight w:val="none"/>
              </w:rPr>
              <w:t>》（财库</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2020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46号）；</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财政部、司法部《关于政府采购支持监狱企业发展有关问题的通知》（财库[2014]68号）；</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财政部、民政部、中国残疾人联合会《关于促进残疾人就业政府采购政策的通知》（财库[2017]141号）；</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财政部、国家发展改革委、生态环境部、市场监管总局《关于调整优化节能产品、环境标志产品政府采购执行机制的通知》（财库[2019]9号）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财政部、生态环境部《关于印发环境标志产品政府采购品目清单的通知》（财库[2019]18号）；</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财政部、发展改革委《关于印发节能产品政府采购品目清单的通知》（财库[2019]19号）；</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市场监管总局《市场监管总局关于发布参与实施政府采购节能产品、环境标志产品认证机构名录的公告》（2019年第16号）；</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《财政部等三部门联合印发商品包装和快递包装政府采购需求标准（试行）》（财办库[2020]123号）等相关政策。</w:t>
            </w:r>
          </w:p>
        </w:tc>
      </w:tr>
      <w:tr w14:paraId="264001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7B75AD70">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12</w:t>
            </w:r>
          </w:p>
        </w:tc>
        <w:tc>
          <w:tcPr>
            <w:tcW w:w="2150" w:type="dxa"/>
            <w:tcBorders>
              <w:top w:val="single" w:color="auto" w:sz="4" w:space="0"/>
              <w:bottom w:val="single" w:color="auto" w:sz="4" w:space="0"/>
              <w:right w:val="single" w:color="auto" w:sz="4" w:space="0"/>
            </w:tcBorders>
            <w:noWrap w:val="0"/>
            <w:vAlign w:val="center"/>
          </w:tcPr>
          <w:p w14:paraId="655351E0">
            <w:pPr>
              <w:keepNext w:val="0"/>
              <w:keepLines w:val="0"/>
              <w:pageBreakBefore w:val="0"/>
              <w:widowControl w:val="0"/>
              <w:kinsoku/>
              <w:overflowPunct/>
              <w:topLinePunct w:val="0"/>
              <w:bidi w:val="0"/>
              <w:adjustRightInd w:val="0"/>
              <w:snapToGrid w:val="0"/>
              <w:spacing w:line="240" w:lineRule="auto"/>
              <w:ind w:left="0" w:leftChars="0"/>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落实政府采购政策预留份额要求</w:t>
            </w:r>
          </w:p>
        </w:tc>
        <w:tc>
          <w:tcPr>
            <w:tcW w:w="6891" w:type="dxa"/>
            <w:tcBorders>
              <w:top w:val="single" w:color="auto" w:sz="4" w:space="0"/>
              <w:left w:val="single" w:color="auto" w:sz="4" w:space="0"/>
              <w:bottom w:val="single" w:color="auto" w:sz="4" w:space="0"/>
            </w:tcBorders>
            <w:noWrap w:val="0"/>
            <w:vAlign w:val="center"/>
          </w:tcPr>
          <w:p w14:paraId="61717371">
            <w:pPr>
              <w:keepNext w:val="0"/>
              <w:keepLines w:val="0"/>
              <w:pageBreakBefore w:val="0"/>
              <w:widowControl w:val="0"/>
              <w:kinsoku/>
              <w:overflowPunct/>
              <w:topLinePunct w:val="0"/>
              <w:bidi w:val="0"/>
              <w:adjustRightInd w:val="0"/>
              <w:snapToGrid w:val="0"/>
              <w:spacing w:line="240" w:lineRule="auto"/>
              <w:ind w:left="0" w:left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1.中小企业政策</w:t>
            </w:r>
          </w:p>
          <w:p w14:paraId="085DD724">
            <w:pPr>
              <w:keepNext w:val="0"/>
              <w:keepLines w:val="0"/>
              <w:pageBreakBefore w:val="0"/>
              <w:widowControl w:val="0"/>
              <w:kinsoku/>
              <w:overflowPunct/>
              <w:topLinePunct w:val="0"/>
              <w:bidi w:val="0"/>
              <w:adjustRightInd w:val="0"/>
              <w:snapToGrid w:val="0"/>
              <w:spacing w:line="240" w:lineRule="auto"/>
              <w:ind w:left="0" w:leftChars="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本项目非专门面向中小企业预留采购项目。供应商提供的货物全部由符合政策要求的小微企业制造、服务和工程由符合政策要求的小微企业承接，应对</w:t>
            </w:r>
            <w:r>
              <w:rPr>
                <w:rFonts w:hint="eastAsia" w:ascii="宋体" w:hAnsi="宋体" w:eastAsia="宋体" w:cs="宋体"/>
                <w:color w:val="auto"/>
                <w:sz w:val="24"/>
                <w:szCs w:val="24"/>
                <w:highlight w:val="none"/>
                <w:u w:val="none"/>
                <w:lang w:eastAsia="zh-CN"/>
              </w:rPr>
              <w:t>小微企业</w:t>
            </w:r>
            <w:r>
              <w:rPr>
                <w:rFonts w:hint="eastAsia" w:ascii="宋体" w:hAnsi="宋体" w:eastAsia="宋体" w:cs="宋体"/>
                <w:color w:val="auto"/>
                <w:sz w:val="24"/>
                <w:szCs w:val="24"/>
                <w:highlight w:val="none"/>
                <w:lang w:eastAsia="zh-CN"/>
              </w:rPr>
              <w:t>报价给予10%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20%（工程项目为6%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10%）扣除。</w:t>
            </w:r>
          </w:p>
          <w:p w14:paraId="3ADA20F9">
            <w:pPr>
              <w:keepNext w:val="0"/>
              <w:keepLines w:val="0"/>
              <w:pageBreakBefore w:val="0"/>
              <w:widowControl w:val="0"/>
              <w:kinsoku/>
              <w:overflowPunct/>
              <w:topLinePunct w:val="0"/>
              <w:bidi w:val="0"/>
              <w:adjustRightInd w:val="0"/>
              <w:snapToGrid w:val="0"/>
              <w:spacing w:line="24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本项目专门面向中小企业采购。即：供应商为中小企业或监狱企业或残疾人福利性单位；供应商提供的货物全部由符合政策要求的中小/小微企业制造、服务和工程全部由符合政策要求的小微企业承接。</w:t>
            </w:r>
          </w:p>
          <w:p w14:paraId="06E71F05">
            <w:pPr>
              <w:keepNext w:val="0"/>
              <w:keepLines w:val="0"/>
              <w:pageBreakBefore w:val="0"/>
              <w:widowControl w:val="0"/>
              <w:kinsoku/>
              <w:overflowPunct/>
              <w:topLinePunct w:val="0"/>
              <w:bidi w:val="0"/>
              <w:adjustRightInd w:val="0"/>
              <w:snapToGrid w:val="0"/>
              <w:spacing w:line="24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□专门面向小微企业采购项目。即：供应商为小微企业或监狱企业或残疾人福利性单位；供应商提供的货物全部由符合政策要求的小微企业制造、服务和工程全部由符合政策要求的小微企业承接。</w:t>
            </w:r>
          </w:p>
          <w:p w14:paraId="2072503F">
            <w:pPr>
              <w:keepNext w:val="0"/>
              <w:keepLines w:val="0"/>
              <w:pageBreakBefore w:val="0"/>
              <w:widowControl w:val="0"/>
              <w:kinsoku/>
              <w:overflowPunct/>
              <w:topLinePunct w:val="0"/>
              <w:bidi w:val="0"/>
              <w:adjustRightInd w:val="0"/>
              <w:snapToGrid w:val="0"/>
              <w:spacing w:line="24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2.其它落实政府采购政策的资格要求：</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w:t>
            </w:r>
          </w:p>
        </w:tc>
      </w:tr>
      <w:tr w14:paraId="4822E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56A4CA9C">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13</w:t>
            </w:r>
          </w:p>
        </w:tc>
        <w:tc>
          <w:tcPr>
            <w:tcW w:w="2150" w:type="dxa"/>
            <w:tcBorders>
              <w:top w:val="single" w:color="auto" w:sz="4" w:space="0"/>
              <w:bottom w:val="single" w:color="auto" w:sz="4" w:space="0"/>
              <w:right w:val="single" w:color="auto" w:sz="4" w:space="0"/>
            </w:tcBorders>
            <w:noWrap w:val="0"/>
            <w:vAlign w:val="center"/>
          </w:tcPr>
          <w:p w14:paraId="7CE0E66B">
            <w:pPr>
              <w:keepNext w:val="0"/>
              <w:keepLines w:val="0"/>
              <w:pageBreakBefore w:val="0"/>
              <w:widowControl w:val="0"/>
              <w:kinsoku/>
              <w:overflowPunct/>
              <w:topLinePunct w:val="0"/>
              <w:bidi w:val="0"/>
              <w:adjustRightInd w:val="0"/>
              <w:snapToGrid w:val="0"/>
              <w:spacing w:line="240" w:lineRule="auto"/>
              <w:ind w:left="0" w:leftChars="0"/>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价格评审优惠</w:t>
            </w:r>
          </w:p>
        </w:tc>
        <w:tc>
          <w:tcPr>
            <w:tcW w:w="6891" w:type="dxa"/>
            <w:tcBorders>
              <w:top w:val="single" w:color="auto" w:sz="4" w:space="0"/>
              <w:left w:val="single" w:color="auto" w:sz="4" w:space="0"/>
              <w:bottom w:val="single" w:color="auto" w:sz="4" w:space="0"/>
            </w:tcBorders>
            <w:noWrap w:val="0"/>
            <w:vAlign w:val="center"/>
          </w:tcPr>
          <w:p w14:paraId="1A3FB7F5">
            <w:pPr>
              <w:keepNext w:val="0"/>
              <w:keepLines w:val="0"/>
              <w:pageBreakBefore w:val="0"/>
              <w:widowControl w:val="0"/>
              <w:kinsoku/>
              <w:overflowPunct/>
              <w:topLinePunct w:val="0"/>
              <w:bidi w:val="0"/>
              <w:adjustRightInd w:val="0"/>
              <w:snapToGrid w:val="0"/>
              <w:spacing w:line="240" w:lineRule="auto"/>
              <w:ind w:left="0" w:leftChars="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none"/>
                <w:lang w:eastAsia="zh-CN"/>
              </w:rPr>
              <w:t>小微企业</w:t>
            </w:r>
            <w:r>
              <w:rPr>
                <w:rFonts w:hint="eastAsia" w:ascii="宋体" w:hAnsi="宋体" w:eastAsia="宋体" w:cs="宋体"/>
                <w:color w:val="auto"/>
                <w:sz w:val="24"/>
                <w:szCs w:val="24"/>
                <w:highlight w:val="none"/>
                <w:lang w:eastAsia="zh-CN"/>
              </w:rPr>
              <w:t>报价给予扣除：</w:t>
            </w:r>
            <w:r>
              <w:rPr>
                <w:rFonts w:hint="eastAsia" w:ascii="宋体" w:hAnsi="宋体" w:eastAsia="宋体" w:cs="宋体"/>
                <w:color w:val="auto"/>
                <w:sz w:val="24"/>
                <w:szCs w:val="24"/>
                <w:highlight w:val="none"/>
                <w:u w:val="single"/>
                <w:lang w:val="en-US" w:eastAsia="zh-CN"/>
              </w:rPr>
              <w:t xml:space="preserve">  10% </w:t>
            </w:r>
            <w:r>
              <w:rPr>
                <w:rFonts w:hint="eastAsia" w:ascii="宋体" w:hAnsi="宋体" w:eastAsia="宋体" w:cs="宋体"/>
                <w:color w:val="auto"/>
                <w:sz w:val="24"/>
                <w:szCs w:val="24"/>
                <w:highlight w:val="none"/>
                <w:u w:val="single"/>
              </w:rPr>
              <w:t xml:space="preserve"> </w:t>
            </w:r>
          </w:p>
          <w:p w14:paraId="005CE6A7">
            <w:pPr>
              <w:keepNext w:val="0"/>
              <w:keepLines w:val="0"/>
              <w:pageBreakBefore w:val="0"/>
              <w:widowControl w:val="0"/>
              <w:kinsoku/>
              <w:overflowPunct/>
              <w:topLinePunct w:val="0"/>
              <w:bidi w:val="0"/>
              <w:adjustRightInd w:val="0"/>
              <w:snapToGrid w:val="0"/>
              <w:spacing w:line="24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报价不给予扣除</w:t>
            </w:r>
          </w:p>
        </w:tc>
      </w:tr>
      <w:tr w14:paraId="15F87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31FBECE5">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14</w:t>
            </w:r>
          </w:p>
        </w:tc>
        <w:tc>
          <w:tcPr>
            <w:tcW w:w="2150" w:type="dxa"/>
            <w:tcBorders>
              <w:top w:val="single" w:color="auto" w:sz="4" w:space="0"/>
              <w:bottom w:val="single" w:color="auto" w:sz="4" w:space="0"/>
              <w:right w:val="single" w:color="auto" w:sz="4" w:space="0"/>
            </w:tcBorders>
            <w:noWrap w:val="0"/>
            <w:vAlign w:val="center"/>
          </w:tcPr>
          <w:p w14:paraId="50371B1F">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是否接受联合体</w:t>
            </w:r>
          </w:p>
        </w:tc>
        <w:tc>
          <w:tcPr>
            <w:tcW w:w="6891" w:type="dxa"/>
            <w:tcBorders>
              <w:top w:val="single" w:color="auto" w:sz="4" w:space="0"/>
              <w:left w:val="single" w:color="auto" w:sz="4" w:space="0"/>
              <w:bottom w:val="single" w:color="auto" w:sz="4" w:space="0"/>
            </w:tcBorders>
            <w:noWrap w:val="0"/>
            <w:vAlign w:val="center"/>
          </w:tcPr>
          <w:p w14:paraId="5B5FBF38">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否</w:t>
            </w:r>
          </w:p>
        </w:tc>
      </w:tr>
      <w:tr w14:paraId="2E8CF4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71CAD056">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15</w:t>
            </w:r>
          </w:p>
        </w:tc>
        <w:tc>
          <w:tcPr>
            <w:tcW w:w="2150" w:type="dxa"/>
            <w:tcBorders>
              <w:top w:val="single" w:color="auto" w:sz="4" w:space="0"/>
              <w:bottom w:val="single" w:color="auto" w:sz="4" w:space="0"/>
              <w:right w:val="single" w:color="auto" w:sz="4" w:space="0"/>
            </w:tcBorders>
            <w:noWrap w:val="0"/>
            <w:vAlign w:val="center"/>
          </w:tcPr>
          <w:p w14:paraId="3B5860DA">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标的名称</w:t>
            </w:r>
          </w:p>
        </w:tc>
        <w:tc>
          <w:tcPr>
            <w:tcW w:w="6891" w:type="dxa"/>
            <w:tcBorders>
              <w:top w:val="single" w:color="auto" w:sz="4" w:space="0"/>
              <w:left w:val="single" w:color="auto" w:sz="4" w:space="0"/>
              <w:bottom w:val="single" w:color="auto" w:sz="4" w:space="0"/>
            </w:tcBorders>
            <w:noWrap w:val="0"/>
            <w:vAlign w:val="center"/>
          </w:tcPr>
          <w:p w14:paraId="7B3E03CA">
            <w:pPr>
              <w:spacing w:line="320" w:lineRule="exact"/>
              <w:outlineLvl w:val="9"/>
              <w:rPr>
                <w:rFonts w:hint="default" w:ascii="宋体" w:hAnsi="宋体" w:eastAsia="宋体" w:cs="宋体"/>
                <w:bCs/>
                <w:color w:val="auto"/>
                <w:sz w:val="24"/>
                <w:szCs w:val="24"/>
                <w:highlight w:val="none"/>
                <w:u w:val="none"/>
                <w:lang w:val="en-US" w:eastAsia="zh-CN"/>
              </w:rPr>
            </w:pPr>
            <w:r>
              <w:rPr>
                <w:rFonts w:hint="eastAsia" w:ascii="宋体" w:hAnsi="宋体" w:cs="宋体"/>
                <w:bCs/>
                <w:color w:val="auto"/>
                <w:sz w:val="24"/>
                <w:szCs w:val="24"/>
                <w:highlight w:val="none"/>
                <w:u w:val="none"/>
                <w:lang w:val="en-US" w:eastAsia="zh-CN"/>
              </w:rPr>
              <w:t>新疆西昆仑金多金属矿成矿地质背景调查与找矿靶区优选服务项目</w:t>
            </w:r>
          </w:p>
        </w:tc>
      </w:tr>
      <w:tr w14:paraId="12C618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05716A79">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16</w:t>
            </w:r>
          </w:p>
        </w:tc>
        <w:tc>
          <w:tcPr>
            <w:tcW w:w="2150" w:type="dxa"/>
            <w:tcBorders>
              <w:top w:val="single" w:color="auto" w:sz="4" w:space="0"/>
              <w:bottom w:val="single" w:color="auto" w:sz="4" w:space="0"/>
              <w:right w:val="single" w:color="auto" w:sz="4" w:space="0"/>
            </w:tcBorders>
            <w:shd w:val="clear" w:color="auto" w:fill="auto"/>
            <w:noWrap w:val="0"/>
            <w:vAlign w:val="center"/>
          </w:tcPr>
          <w:p w14:paraId="77DEB344">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outlineLvl w:val="9"/>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标的所属行业</w:t>
            </w:r>
          </w:p>
        </w:tc>
        <w:tc>
          <w:tcPr>
            <w:tcW w:w="6891" w:type="dxa"/>
            <w:tcBorders>
              <w:top w:val="single" w:color="auto" w:sz="4" w:space="0"/>
              <w:left w:val="single" w:color="auto" w:sz="4" w:space="0"/>
              <w:bottom w:val="single" w:color="auto" w:sz="4" w:space="0"/>
            </w:tcBorders>
            <w:shd w:val="clear" w:color="auto" w:fill="auto"/>
            <w:noWrap w:val="0"/>
            <w:vAlign w:val="center"/>
          </w:tcPr>
          <w:p w14:paraId="2EA62D9D">
            <w:pPr>
              <w:keepNext w:val="0"/>
              <w:keepLines w:val="0"/>
              <w:pageBreakBefore w:val="0"/>
              <w:widowControl w:val="0"/>
              <w:kinsoku/>
              <w:overflowPunct/>
              <w:topLinePunct w:val="0"/>
              <w:bidi w:val="0"/>
              <w:adjustRightInd w:val="0"/>
              <w:snapToGrid w:val="0"/>
              <w:spacing w:line="240" w:lineRule="auto"/>
              <w:ind w:left="0" w:leftChars="0"/>
              <w:textAlignment w:val="auto"/>
              <w:outlineLvl w:val="9"/>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其他未列明行业</w:t>
            </w:r>
          </w:p>
        </w:tc>
      </w:tr>
      <w:tr w14:paraId="738C16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6518545E">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17</w:t>
            </w:r>
          </w:p>
        </w:tc>
        <w:tc>
          <w:tcPr>
            <w:tcW w:w="2150" w:type="dxa"/>
            <w:tcBorders>
              <w:top w:val="single" w:color="auto" w:sz="4" w:space="0"/>
              <w:bottom w:val="single" w:color="auto" w:sz="4" w:space="0"/>
              <w:right w:val="single" w:color="auto" w:sz="4" w:space="0"/>
            </w:tcBorders>
            <w:shd w:val="clear" w:color="auto" w:fill="auto"/>
            <w:noWrap w:val="0"/>
            <w:vAlign w:val="center"/>
          </w:tcPr>
          <w:p w14:paraId="771AA4BE">
            <w:pPr>
              <w:spacing w:line="320" w:lineRule="exact"/>
              <w:jc w:val="center"/>
              <w:outlineLvl w:val="9"/>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有效期</w:t>
            </w:r>
          </w:p>
        </w:tc>
        <w:tc>
          <w:tcPr>
            <w:tcW w:w="6891" w:type="dxa"/>
            <w:tcBorders>
              <w:top w:val="single" w:color="auto" w:sz="4" w:space="0"/>
              <w:left w:val="single" w:color="auto" w:sz="4" w:space="0"/>
              <w:bottom w:val="single" w:color="auto" w:sz="4" w:space="0"/>
            </w:tcBorders>
            <w:shd w:val="clear" w:color="auto" w:fill="auto"/>
            <w:noWrap w:val="0"/>
            <w:vAlign w:val="center"/>
          </w:tcPr>
          <w:p w14:paraId="389005B2">
            <w:pPr>
              <w:spacing w:line="320" w:lineRule="exact"/>
              <w:outlineLvl w:val="9"/>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90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天（如不满足将导致废标）</w:t>
            </w:r>
          </w:p>
        </w:tc>
      </w:tr>
      <w:tr w14:paraId="6357D8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7"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060BD249">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18</w:t>
            </w:r>
          </w:p>
        </w:tc>
        <w:tc>
          <w:tcPr>
            <w:tcW w:w="2150" w:type="dxa"/>
            <w:tcBorders>
              <w:top w:val="single" w:color="auto" w:sz="4" w:space="0"/>
              <w:bottom w:val="single" w:color="auto" w:sz="4" w:space="0"/>
              <w:right w:val="single" w:color="auto" w:sz="4" w:space="0"/>
            </w:tcBorders>
            <w:shd w:val="clear" w:color="auto" w:fill="auto"/>
            <w:noWrap w:val="0"/>
            <w:vAlign w:val="center"/>
          </w:tcPr>
          <w:p w14:paraId="4172EFFA">
            <w:pPr>
              <w:pStyle w:val="17"/>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份数</w:t>
            </w:r>
          </w:p>
        </w:tc>
        <w:tc>
          <w:tcPr>
            <w:tcW w:w="6891" w:type="dxa"/>
            <w:tcBorders>
              <w:top w:val="single" w:color="auto" w:sz="4" w:space="0"/>
              <w:left w:val="single" w:color="auto" w:sz="4" w:space="0"/>
              <w:bottom w:val="single" w:color="auto" w:sz="4" w:space="0"/>
            </w:tcBorders>
            <w:shd w:val="clear" w:color="auto" w:fill="auto"/>
            <w:noWrap w:val="0"/>
            <w:vAlign w:val="center"/>
          </w:tcPr>
          <w:p w14:paraId="2835F10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纸质</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lang w:eastAsia="zh-CN"/>
              </w:rPr>
              <w:t>文件</w:t>
            </w:r>
            <w:r>
              <w:rPr>
                <w:rFonts w:hint="eastAsia" w:asciiTheme="minorEastAsia" w:hAnsiTheme="minorEastAsia" w:eastAsiaTheme="minorEastAsia" w:cstheme="minorEastAsia"/>
                <w:color w:val="auto"/>
                <w:sz w:val="24"/>
                <w:szCs w:val="24"/>
                <w:highlight w:val="none"/>
              </w:rPr>
              <w:t>：正本1份，副本2份</w:t>
            </w:r>
          </w:p>
          <w:p w14:paraId="1A60219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注：每本标书厚度不得超过5cm，如超过可进行分册装订。</w:t>
            </w:r>
          </w:p>
          <w:p w14:paraId="6433C7AD">
            <w:pPr>
              <w:keepNext w:val="0"/>
              <w:keepLines w:val="0"/>
              <w:pageBreakBefore w:val="0"/>
              <w:widowControl w:val="0"/>
              <w:kinsoku/>
              <w:overflowPunct/>
              <w:topLinePunct w:val="0"/>
              <w:bidi w:val="0"/>
              <w:adjustRightInd w:val="0"/>
              <w:snapToGrid w:val="0"/>
              <w:spacing w:line="240" w:lineRule="auto"/>
              <w:ind w:left="0" w:leftChars="0"/>
              <w:jc w:val="both"/>
              <w:textAlignment w:val="auto"/>
              <w:outlineLvl w:val="9"/>
              <w:rPr>
                <w:rFonts w:hint="eastAsia" w:ascii="宋体" w:hAnsi="宋体" w:cs="宋体" w:eastAsia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公示期满由</w:t>
            </w:r>
            <w:r>
              <w:rPr>
                <w:rFonts w:hint="eastAsia" w:asciiTheme="minorEastAsia" w:hAnsiTheme="minorEastAsia" w:eastAsiaTheme="minorEastAsia" w:cstheme="minorEastAsia"/>
                <w:color w:val="auto"/>
                <w:sz w:val="24"/>
                <w:szCs w:val="24"/>
                <w:highlight w:val="none"/>
                <w:lang w:val="en-US" w:eastAsia="zh-CN"/>
              </w:rPr>
              <w:t>中标</w:t>
            </w:r>
            <w:r>
              <w:rPr>
                <w:rFonts w:hint="eastAsia" w:asciiTheme="minorEastAsia" w:hAnsiTheme="minorEastAsia" w:eastAsiaTheme="minorEastAsia" w:cstheme="minorEastAsia"/>
                <w:color w:val="auto"/>
                <w:sz w:val="24"/>
                <w:szCs w:val="24"/>
                <w:highlight w:val="none"/>
              </w:rPr>
              <w:t>单位将纸质</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lang w:eastAsia="zh-CN"/>
              </w:rPr>
              <w:t>文件</w:t>
            </w:r>
            <w:r>
              <w:rPr>
                <w:rFonts w:hint="eastAsia" w:asciiTheme="minorEastAsia" w:hAnsiTheme="minorEastAsia" w:eastAsiaTheme="minorEastAsia" w:cstheme="minorEastAsia"/>
                <w:color w:val="auto"/>
                <w:sz w:val="24"/>
                <w:szCs w:val="24"/>
                <w:highlight w:val="none"/>
              </w:rPr>
              <w:t>寄至</w:t>
            </w:r>
            <w:r>
              <w:rPr>
                <w:rFonts w:hint="eastAsia" w:asciiTheme="minorEastAsia" w:hAnsiTheme="minorEastAsia" w:eastAsiaTheme="minorEastAsia" w:cstheme="minorEastAsia"/>
                <w:color w:val="auto"/>
                <w:sz w:val="24"/>
                <w:szCs w:val="24"/>
                <w:highlight w:val="none"/>
                <w:lang w:val="en-US" w:eastAsia="zh-CN"/>
              </w:rPr>
              <w:t>采购代理</w:t>
            </w:r>
            <w:r>
              <w:rPr>
                <w:rFonts w:hint="eastAsia" w:asciiTheme="minorEastAsia" w:hAnsiTheme="minorEastAsia" w:eastAsiaTheme="minorEastAsia" w:cstheme="minorEastAsia"/>
                <w:color w:val="auto"/>
                <w:sz w:val="24"/>
                <w:szCs w:val="24"/>
                <w:highlight w:val="none"/>
                <w:lang w:eastAsia="zh-CN"/>
              </w:rPr>
              <w:t>公司</w:t>
            </w:r>
            <w:r>
              <w:rPr>
                <w:rFonts w:hint="eastAsia" w:asciiTheme="minorEastAsia" w:hAnsiTheme="minorEastAsia" w:eastAsiaTheme="minorEastAsia" w:cstheme="minorEastAsia"/>
                <w:color w:val="auto"/>
                <w:sz w:val="24"/>
                <w:szCs w:val="24"/>
                <w:highlight w:val="none"/>
                <w:lang w:val="en-US" w:eastAsia="zh-CN"/>
              </w:rPr>
              <w:t>处</w:t>
            </w:r>
            <w:r>
              <w:rPr>
                <w:rFonts w:hint="eastAsia" w:asciiTheme="minorEastAsia" w:hAnsiTheme="minorEastAsia" w:eastAsiaTheme="minorEastAsia" w:cstheme="minorEastAsia"/>
                <w:color w:val="auto"/>
                <w:sz w:val="24"/>
                <w:szCs w:val="24"/>
                <w:highlight w:val="none"/>
                <w:lang w:eastAsia="zh-CN"/>
              </w:rPr>
              <w:t>）</w:t>
            </w:r>
          </w:p>
        </w:tc>
      </w:tr>
      <w:tr w14:paraId="6F878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6C665132">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19</w:t>
            </w:r>
          </w:p>
        </w:tc>
        <w:tc>
          <w:tcPr>
            <w:tcW w:w="2150" w:type="dxa"/>
            <w:tcBorders>
              <w:top w:val="single" w:color="auto" w:sz="4" w:space="0"/>
              <w:bottom w:val="single" w:color="auto" w:sz="4" w:space="0"/>
              <w:right w:val="single" w:color="auto" w:sz="4" w:space="0"/>
            </w:tcBorders>
            <w:shd w:val="clear" w:color="auto" w:fill="auto"/>
            <w:noWrap w:val="0"/>
            <w:vAlign w:val="center"/>
          </w:tcPr>
          <w:p w14:paraId="2204AB69">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投标</w:t>
            </w:r>
            <w:r>
              <w:rPr>
                <w:rFonts w:hint="eastAsia" w:asciiTheme="minorEastAsia" w:hAnsiTheme="minorEastAsia" w:eastAsiaTheme="minorEastAsia" w:cstheme="minorEastAsia"/>
                <w:b w:val="0"/>
                <w:bCs w:val="0"/>
                <w:color w:val="auto"/>
                <w:sz w:val="24"/>
                <w:szCs w:val="24"/>
                <w:highlight w:val="none"/>
              </w:rPr>
              <w:t>文件</w:t>
            </w:r>
            <w:r>
              <w:rPr>
                <w:rFonts w:hint="eastAsia" w:asciiTheme="minorEastAsia" w:hAnsiTheme="minorEastAsia" w:eastAsiaTheme="minorEastAsia" w:cstheme="minorEastAsia"/>
                <w:color w:val="auto"/>
                <w:kern w:val="2"/>
                <w:sz w:val="24"/>
                <w:szCs w:val="24"/>
                <w:highlight w:val="none"/>
                <w:lang w:val="en-US" w:eastAsia="zh-CN" w:bidi="ar-SA"/>
              </w:rPr>
              <w:t>递交（上传）截止时间及开标时间（投标文件解密时间）</w:t>
            </w:r>
          </w:p>
        </w:tc>
        <w:tc>
          <w:tcPr>
            <w:tcW w:w="6891" w:type="dxa"/>
            <w:tcBorders>
              <w:top w:val="single" w:color="auto" w:sz="4" w:space="0"/>
              <w:left w:val="single" w:color="auto" w:sz="4" w:space="0"/>
              <w:bottom w:val="single" w:color="auto" w:sz="4" w:space="0"/>
            </w:tcBorders>
            <w:shd w:val="clear" w:color="auto" w:fill="auto"/>
            <w:noWrap w:val="0"/>
            <w:vAlign w:val="center"/>
          </w:tcPr>
          <w:p w14:paraId="59DA8AC1">
            <w:pPr>
              <w:spacing w:line="320" w:lineRule="exact"/>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2026年05月15日11：00</w:t>
            </w:r>
            <w:r>
              <w:rPr>
                <w:rFonts w:hint="eastAsia" w:ascii="宋体" w:hAnsi="宋体" w:eastAsia="宋体" w:cs="宋体"/>
                <w:color w:val="auto"/>
                <w:sz w:val="24"/>
                <w:szCs w:val="24"/>
                <w:highlight w:val="none"/>
              </w:rPr>
              <w:t>（北京时间）</w:t>
            </w:r>
          </w:p>
        </w:tc>
      </w:tr>
      <w:tr w14:paraId="53ABDC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73AF98C7">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21</w:t>
            </w:r>
          </w:p>
        </w:tc>
        <w:tc>
          <w:tcPr>
            <w:tcW w:w="2150" w:type="dxa"/>
            <w:tcBorders>
              <w:top w:val="single" w:color="auto" w:sz="4" w:space="0"/>
              <w:bottom w:val="single" w:color="auto" w:sz="4" w:space="0"/>
              <w:right w:val="single" w:color="auto" w:sz="4" w:space="0"/>
            </w:tcBorders>
            <w:shd w:val="clear" w:color="auto" w:fill="auto"/>
            <w:noWrap w:val="0"/>
            <w:vAlign w:val="center"/>
          </w:tcPr>
          <w:p w14:paraId="3BD8211E">
            <w:pPr>
              <w:spacing w:line="320" w:lineRule="exact"/>
              <w:jc w:val="center"/>
              <w:rPr>
                <w:rFonts w:hint="eastAsia" w:ascii="宋体" w:hAnsi="宋体" w:cs="宋体"/>
                <w:color w:val="auto"/>
                <w:sz w:val="24"/>
                <w:highlight w:val="none"/>
              </w:rPr>
            </w:pPr>
            <w:r>
              <w:rPr>
                <w:rFonts w:hint="eastAsia" w:ascii="宋体" w:hAnsi="宋体" w:cs="宋体"/>
                <w:color w:val="auto"/>
                <w:sz w:val="24"/>
                <w:highlight w:val="none"/>
              </w:rPr>
              <w:t>投标文件</w:t>
            </w:r>
          </w:p>
          <w:p w14:paraId="1A3C1ABF">
            <w:pPr>
              <w:spacing w:line="320" w:lineRule="exact"/>
              <w:jc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cs="宋体"/>
                <w:color w:val="auto"/>
                <w:sz w:val="24"/>
                <w:highlight w:val="none"/>
              </w:rPr>
              <w:t>解密时长</w:t>
            </w:r>
          </w:p>
        </w:tc>
        <w:tc>
          <w:tcPr>
            <w:tcW w:w="6891" w:type="dxa"/>
            <w:tcBorders>
              <w:top w:val="single" w:color="auto" w:sz="4" w:space="0"/>
              <w:left w:val="single" w:color="auto" w:sz="4" w:space="0"/>
              <w:bottom w:val="single" w:color="auto" w:sz="4" w:space="0"/>
            </w:tcBorders>
            <w:shd w:val="clear" w:color="auto" w:fill="auto"/>
            <w:noWrap w:val="0"/>
            <w:vAlign w:val="center"/>
          </w:tcPr>
          <w:p w14:paraId="22478F05">
            <w:pPr>
              <w:spacing w:line="320" w:lineRule="exac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30分钟</w:t>
            </w:r>
          </w:p>
        </w:tc>
      </w:tr>
      <w:tr w14:paraId="782D2E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1E87169A">
            <w:pPr>
              <w:spacing w:line="320" w:lineRule="exact"/>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2150" w:type="dxa"/>
            <w:tcBorders>
              <w:top w:val="single" w:color="auto" w:sz="4" w:space="0"/>
              <w:bottom w:val="single" w:color="auto" w:sz="4" w:space="0"/>
              <w:right w:val="single" w:color="auto" w:sz="4" w:space="0"/>
            </w:tcBorders>
            <w:shd w:val="clear" w:color="auto" w:fill="auto"/>
            <w:noWrap w:val="0"/>
            <w:vAlign w:val="center"/>
          </w:tcPr>
          <w:p w14:paraId="7674770B">
            <w:pPr>
              <w:spacing w:line="320" w:lineRule="exact"/>
              <w:jc w:val="center"/>
              <w:rPr>
                <w:rFonts w:hint="eastAsia" w:asciiTheme="minorEastAsia" w:hAnsiTheme="minorEastAsia" w:eastAsiaTheme="minorEastAsia" w:cstheme="minorEastAsia"/>
                <w:b w:val="0"/>
                <w:bCs/>
                <w:color w:val="auto"/>
                <w:kern w:val="0"/>
                <w:sz w:val="24"/>
                <w:szCs w:val="24"/>
                <w:highlight w:val="none"/>
                <w:lang w:val="en-US" w:eastAsia="zh-CN"/>
              </w:rPr>
            </w:pPr>
            <w:r>
              <w:rPr>
                <w:rFonts w:hint="eastAsia" w:ascii="宋体" w:hAnsi="宋体" w:cs="宋体"/>
                <w:bCs/>
                <w:color w:val="auto"/>
                <w:kern w:val="0"/>
                <w:sz w:val="24"/>
                <w:szCs w:val="24"/>
                <w:highlight w:val="none"/>
              </w:rPr>
              <w:t>投标文件递交（上传）地点</w:t>
            </w:r>
          </w:p>
        </w:tc>
        <w:tc>
          <w:tcPr>
            <w:tcW w:w="6891" w:type="dxa"/>
            <w:tcBorders>
              <w:top w:val="single" w:color="auto" w:sz="4" w:space="0"/>
              <w:left w:val="single" w:color="auto" w:sz="4" w:space="0"/>
              <w:bottom w:val="single" w:color="auto" w:sz="4" w:space="0"/>
            </w:tcBorders>
            <w:shd w:val="clear" w:color="auto" w:fill="auto"/>
            <w:noWrap w:val="0"/>
            <w:vAlign w:val="center"/>
          </w:tcPr>
          <w:p w14:paraId="559D8113">
            <w:pPr>
              <w:spacing w:line="320" w:lineRule="exact"/>
              <w:rPr>
                <w:rFonts w:hint="eastAsia" w:asciiTheme="minorEastAsia" w:hAnsiTheme="minorEastAsia" w:eastAsiaTheme="minorEastAsia" w:cstheme="minorEastAsia"/>
                <w:color w:val="auto"/>
                <w:sz w:val="24"/>
                <w:szCs w:val="24"/>
                <w:highlight w:val="none"/>
              </w:rPr>
            </w:pPr>
            <w:r>
              <w:rPr>
                <w:rFonts w:hint="eastAsia" w:ascii="宋体" w:hAnsi="宋体" w:cs="宋体"/>
                <w:color w:val="auto"/>
                <w:sz w:val="24"/>
                <w:szCs w:val="24"/>
                <w:highlight w:val="none"/>
              </w:rPr>
              <w:t>政采云投标客户端</w:t>
            </w:r>
          </w:p>
        </w:tc>
      </w:tr>
      <w:tr w14:paraId="14010A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17DB8D85">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w:t>
            </w:r>
          </w:p>
        </w:tc>
        <w:tc>
          <w:tcPr>
            <w:tcW w:w="2150" w:type="dxa"/>
            <w:tcBorders>
              <w:top w:val="single" w:color="auto" w:sz="4" w:space="0"/>
              <w:bottom w:val="single" w:color="auto" w:sz="4" w:space="0"/>
              <w:right w:val="single" w:color="auto" w:sz="4" w:space="0"/>
            </w:tcBorders>
            <w:shd w:val="clear" w:color="auto" w:fill="auto"/>
            <w:noWrap w:val="0"/>
            <w:vAlign w:val="center"/>
          </w:tcPr>
          <w:p w14:paraId="5DE0BF10">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b w:val="0"/>
                <w:bCs/>
                <w:color w:val="auto"/>
                <w:kern w:val="0"/>
                <w:sz w:val="24"/>
                <w:szCs w:val="24"/>
                <w:highlight w:val="none"/>
                <w:lang w:val="en-US" w:eastAsia="zh-CN"/>
              </w:rPr>
              <w:t>评标委员会</w:t>
            </w:r>
            <w:r>
              <w:rPr>
                <w:rFonts w:hint="eastAsia" w:ascii="宋体" w:hAnsi="宋体" w:cs="宋体"/>
                <w:b w:val="0"/>
                <w:bCs/>
                <w:color w:val="auto"/>
                <w:kern w:val="0"/>
                <w:sz w:val="24"/>
                <w:szCs w:val="24"/>
                <w:highlight w:val="none"/>
              </w:rPr>
              <w:t>组成</w:t>
            </w:r>
          </w:p>
        </w:tc>
        <w:tc>
          <w:tcPr>
            <w:tcW w:w="6891" w:type="dxa"/>
            <w:tcBorders>
              <w:top w:val="single" w:color="auto" w:sz="4" w:space="0"/>
              <w:left w:val="single" w:color="auto" w:sz="4" w:space="0"/>
              <w:bottom w:val="single" w:color="auto" w:sz="4" w:space="0"/>
            </w:tcBorders>
            <w:shd w:val="clear" w:color="auto" w:fill="auto"/>
            <w:noWrap w:val="0"/>
            <w:vAlign w:val="center"/>
          </w:tcPr>
          <w:p w14:paraId="1502D08F">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cs="宋体"/>
                <w:b w:val="0"/>
                <w:bCs/>
                <w:color w:val="auto"/>
                <w:kern w:val="0"/>
                <w:sz w:val="24"/>
                <w:szCs w:val="24"/>
                <w:highlight w:val="none"/>
                <w:lang w:val="en-US" w:eastAsia="zh-CN"/>
              </w:rPr>
              <w:t>评标委员会</w:t>
            </w:r>
            <w:r>
              <w:rPr>
                <w:rFonts w:hint="eastAsia" w:ascii="宋体" w:hAnsi="宋体" w:cs="宋体"/>
                <w:color w:val="auto"/>
                <w:sz w:val="24"/>
                <w:szCs w:val="24"/>
                <w:highlight w:val="none"/>
                <w:lang w:eastAsia="zh-CN"/>
              </w:rPr>
              <w:t>人</w:t>
            </w:r>
            <w:r>
              <w:rPr>
                <w:rFonts w:hint="eastAsia" w:ascii="宋体" w:hAnsi="宋体" w:cs="宋体"/>
                <w:b w:val="0"/>
                <w:bCs w:val="0"/>
                <w:color w:val="auto"/>
                <w:sz w:val="24"/>
                <w:szCs w:val="24"/>
                <w:highlight w:val="none"/>
                <w:lang w:eastAsia="zh-CN"/>
              </w:rPr>
              <w:t>员</w:t>
            </w: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5人及以上单数组成</w:t>
            </w:r>
            <w:r>
              <w:rPr>
                <w:rFonts w:hint="eastAsia" w:ascii="宋体" w:hAnsi="宋体" w:cs="宋体"/>
                <w:b w:val="0"/>
                <w:bCs w:val="0"/>
                <w:color w:val="auto"/>
                <w:sz w:val="24"/>
                <w:szCs w:val="24"/>
                <w:highlight w:val="none"/>
                <w:lang w:eastAsia="zh-CN"/>
              </w:rPr>
              <w:t>（</w:t>
            </w:r>
            <w:r>
              <w:rPr>
                <w:rFonts w:hint="eastAsia" w:ascii="宋体" w:hAnsi="宋体" w:cs="宋体"/>
                <w:color w:val="auto"/>
                <w:sz w:val="24"/>
                <w:szCs w:val="24"/>
                <w:highlight w:val="none"/>
              </w:rPr>
              <w:t>采购人代表不得超过</w:t>
            </w:r>
            <w:r>
              <w:rPr>
                <w:rFonts w:ascii="宋体" w:hAnsi="宋体" w:cs="宋体"/>
                <w:color w:val="auto"/>
                <w:sz w:val="24"/>
                <w:szCs w:val="24"/>
                <w:highlight w:val="none"/>
              </w:rPr>
              <w:t>1</w:t>
            </w: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w:t>
            </w:r>
          </w:p>
          <w:p w14:paraId="67392778">
            <w:pPr>
              <w:spacing w:line="320" w:lineRule="exact"/>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评委确定方式：</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val="en-US" w:eastAsia="zh-CN"/>
              </w:rPr>
              <w:t>政采云平台</w:t>
            </w:r>
            <w:r>
              <w:rPr>
                <w:rFonts w:hint="eastAsia" w:asciiTheme="minorEastAsia" w:hAnsiTheme="minorEastAsia" w:eastAsiaTheme="minorEastAsia" w:cstheme="minorEastAsia"/>
                <w:color w:val="auto"/>
                <w:sz w:val="24"/>
                <w:szCs w:val="24"/>
                <w:highlight w:val="none"/>
              </w:rPr>
              <w:t>自行抽取</w:t>
            </w:r>
          </w:p>
        </w:tc>
      </w:tr>
      <w:tr w14:paraId="082274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32979ABA">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24</w:t>
            </w:r>
          </w:p>
        </w:tc>
        <w:tc>
          <w:tcPr>
            <w:tcW w:w="2150" w:type="dxa"/>
            <w:tcBorders>
              <w:top w:val="single" w:color="auto" w:sz="4" w:space="0"/>
              <w:bottom w:val="single" w:color="auto" w:sz="4" w:space="0"/>
              <w:right w:val="single" w:color="auto" w:sz="4" w:space="0"/>
            </w:tcBorders>
            <w:shd w:val="clear" w:color="auto" w:fill="auto"/>
            <w:noWrap w:val="0"/>
            <w:vAlign w:val="center"/>
          </w:tcPr>
          <w:p w14:paraId="0FED1CB4">
            <w:pPr>
              <w:spacing w:line="320" w:lineRule="exact"/>
              <w:jc w:val="center"/>
              <w:outlineLvl w:val="9"/>
              <w:rPr>
                <w:rFonts w:hint="default"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履约保证金</w:t>
            </w:r>
          </w:p>
        </w:tc>
        <w:tc>
          <w:tcPr>
            <w:tcW w:w="6891" w:type="dxa"/>
            <w:tcBorders>
              <w:top w:val="single" w:color="auto" w:sz="4" w:space="0"/>
              <w:left w:val="single" w:color="auto" w:sz="4" w:space="0"/>
              <w:bottom w:val="single" w:color="auto" w:sz="4" w:space="0"/>
            </w:tcBorders>
            <w:shd w:val="clear" w:color="auto" w:fill="auto"/>
            <w:noWrap w:val="0"/>
            <w:vAlign w:val="center"/>
          </w:tcPr>
          <w:p w14:paraId="445732BC">
            <w:pPr>
              <w:spacing w:line="320" w:lineRule="exact"/>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以甲乙双方合同为准</w:t>
            </w:r>
          </w:p>
        </w:tc>
      </w:tr>
      <w:tr w14:paraId="4EB1E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7DE057B0">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25</w:t>
            </w:r>
          </w:p>
        </w:tc>
        <w:tc>
          <w:tcPr>
            <w:tcW w:w="2150" w:type="dxa"/>
            <w:tcBorders>
              <w:top w:val="single" w:color="auto" w:sz="4" w:space="0"/>
              <w:bottom w:val="single" w:color="auto" w:sz="4" w:space="0"/>
              <w:right w:val="single" w:color="auto" w:sz="4" w:space="0"/>
            </w:tcBorders>
            <w:shd w:val="clear" w:color="auto" w:fill="auto"/>
            <w:noWrap w:val="0"/>
            <w:vAlign w:val="center"/>
          </w:tcPr>
          <w:p w14:paraId="0DBED122">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w:t>
            </w:r>
          </w:p>
        </w:tc>
        <w:tc>
          <w:tcPr>
            <w:tcW w:w="6891" w:type="dxa"/>
            <w:tcBorders>
              <w:top w:val="single" w:color="auto" w:sz="4" w:space="0"/>
              <w:left w:val="single" w:color="auto" w:sz="4" w:space="0"/>
              <w:bottom w:val="single" w:color="auto" w:sz="4" w:space="0"/>
            </w:tcBorders>
            <w:shd w:val="clear" w:color="auto" w:fill="auto"/>
            <w:noWrap w:val="0"/>
            <w:vAlign w:val="center"/>
          </w:tcPr>
          <w:p w14:paraId="163273BB">
            <w:pPr>
              <w:adjustRightInd w:val="0"/>
              <w:snapToGrid w:val="0"/>
              <w:spacing w:line="400" w:lineRule="exact"/>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rPr>
              <w:t>保证金</w:t>
            </w:r>
            <w:r>
              <w:rPr>
                <w:rFonts w:hint="eastAsia" w:ascii="宋体" w:hAnsi="宋体" w:eastAsia="宋体" w:cs="宋体"/>
                <w:b/>
                <w:bCs/>
                <w:color w:val="auto"/>
                <w:sz w:val="24"/>
                <w:szCs w:val="24"/>
                <w:highlight w:val="none"/>
                <w:lang w:val="en-US" w:eastAsia="zh-CN"/>
              </w:rPr>
              <w:t>的金额：</w:t>
            </w:r>
            <w:r>
              <w:rPr>
                <w:rFonts w:hint="eastAsia" w:ascii="宋体" w:hAnsi="宋体" w:cs="宋体"/>
                <w:b/>
                <w:bCs/>
                <w:color w:val="auto"/>
                <w:sz w:val="24"/>
                <w:szCs w:val="24"/>
                <w:highlight w:val="none"/>
                <w:lang w:val="en-US" w:eastAsia="zh-CN"/>
              </w:rPr>
              <w:t>31500.00元</w:t>
            </w:r>
          </w:p>
          <w:p w14:paraId="38F53F6B">
            <w:pPr>
              <w:spacing w:line="32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缴纳形式：转账</w:t>
            </w:r>
            <w:r>
              <w:rPr>
                <w:rFonts w:hint="eastAsia" w:ascii="宋体" w:hAnsi="宋体" w:eastAsia="宋体" w:cs="宋体"/>
                <w:color w:val="auto"/>
                <w:sz w:val="24"/>
                <w:szCs w:val="24"/>
                <w:highlight w:val="none"/>
                <w:lang w:val="en-US" w:eastAsia="zh-CN"/>
              </w:rPr>
              <w:t>或电子保函</w:t>
            </w:r>
          </w:p>
          <w:p w14:paraId="7F8A7F5D">
            <w:pPr>
              <w:spacing w:line="320" w:lineRule="exact"/>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（1）转账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从</w:t>
            </w:r>
            <w:r>
              <w:rPr>
                <w:rFonts w:hint="eastAsia" w:ascii="宋体" w:hAnsi="宋体" w:eastAsia="宋体" w:cs="宋体"/>
                <w:color w:val="auto"/>
                <w:sz w:val="24"/>
                <w:szCs w:val="24"/>
                <w:highlight w:val="none"/>
              </w:rPr>
              <w:t>投标人基本账户转入</w:t>
            </w:r>
            <w:r>
              <w:rPr>
                <w:rFonts w:hint="eastAsia" w:ascii="宋体" w:hAnsi="宋体" w:eastAsia="宋体" w:cs="宋体"/>
                <w:color w:val="auto"/>
                <w:sz w:val="24"/>
                <w:szCs w:val="24"/>
                <w:highlight w:val="none"/>
                <w:lang w:val="en-US" w:eastAsia="zh-CN"/>
              </w:rPr>
              <w:t>代理</w:t>
            </w:r>
            <w:r>
              <w:rPr>
                <w:rFonts w:hint="eastAsia" w:ascii="宋体" w:hAnsi="宋体" w:eastAsia="宋体" w:cs="宋体"/>
                <w:color w:val="auto"/>
                <w:sz w:val="24"/>
                <w:szCs w:val="24"/>
                <w:highlight w:val="none"/>
                <w:lang w:eastAsia="zh-CN"/>
              </w:rPr>
              <w:t>公司</w:t>
            </w:r>
            <w:r>
              <w:rPr>
                <w:rFonts w:hint="eastAsia" w:ascii="宋体" w:hAnsi="宋体" w:eastAsia="宋体" w:cs="宋体"/>
                <w:color w:val="auto"/>
                <w:sz w:val="24"/>
                <w:szCs w:val="24"/>
                <w:highlight w:val="none"/>
              </w:rPr>
              <w:t>账户）</w:t>
            </w:r>
          </w:p>
          <w:p w14:paraId="622BFE78">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账  户：</w:t>
            </w:r>
            <w:r>
              <w:rPr>
                <w:rFonts w:hint="eastAsia" w:ascii="宋体" w:hAnsi="宋体" w:eastAsia="宋体" w:cs="宋体"/>
                <w:color w:val="auto"/>
                <w:sz w:val="24"/>
                <w:szCs w:val="24"/>
                <w:highlight w:val="none"/>
                <w:lang w:eastAsia="zh-CN"/>
              </w:rPr>
              <w:t>新疆众通桥项目管理咨询有限公司</w:t>
            </w:r>
          </w:p>
          <w:p w14:paraId="5857E8F3">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lang w:val="en-US" w:eastAsia="zh-CN"/>
              </w:rPr>
              <w:t>65050110874600000486</w:t>
            </w:r>
          </w:p>
          <w:p w14:paraId="2DDD539E">
            <w:pPr>
              <w:pStyle w:val="17"/>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行  号：</w:t>
            </w:r>
            <w:r>
              <w:rPr>
                <w:rFonts w:hint="eastAsia" w:ascii="宋体" w:hAnsi="宋体" w:eastAsia="宋体" w:cs="宋体"/>
                <w:color w:val="auto"/>
                <w:sz w:val="24"/>
                <w:szCs w:val="24"/>
                <w:highlight w:val="none"/>
                <w:lang w:val="en-US" w:eastAsia="zh-CN"/>
              </w:rPr>
              <w:t>105881000639</w:t>
            </w:r>
          </w:p>
          <w:p w14:paraId="2AD1C241">
            <w:pPr>
              <w:spacing w:line="32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lang w:val="en-US" w:eastAsia="zh-CN"/>
              </w:rPr>
              <w:t>建设银行乌鲁木齐克拉玛依西路支行</w:t>
            </w:r>
          </w:p>
          <w:p w14:paraId="70585D77">
            <w:pPr>
              <w:numPr>
                <w:ilvl w:val="0"/>
                <w:numId w:val="0"/>
              </w:numPr>
              <w:spacing w:line="320" w:lineRule="exact"/>
              <w:outlineLvl w:val="9"/>
              <w:rPr>
                <w:rFonts w:hint="default" w:ascii="宋体" w:hAnsi="宋体" w:eastAsia="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（2）</w:t>
            </w:r>
            <w:r>
              <w:rPr>
                <w:rFonts w:hint="default" w:ascii="宋体" w:hAnsi="宋体" w:eastAsia="宋体" w:cs="宋体"/>
                <w:color w:val="auto"/>
                <w:sz w:val="24"/>
                <w:szCs w:val="24"/>
                <w:highlight w:val="none"/>
                <w:lang w:val="en-US" w:eastAsia="zh-CN"/>
              </w:rPr>
              <w:t>电子保函</w:t>
            </w:r>
          </w:p>
          <w:p w14:paraId="5DAB50F6">
            <w:pPr>
              <w:numPr>
                <w:ilvl w:val="0"/>
                <w:numId w:val="0"/>
              </w:numPr>
              <w:spacing w:line="320" w:lineRule="exact"/>
              <w:outlineLvl w:val="9"/>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投标人可在政采云线上完成电子保函的申请、审核、开票、出函等环节；政采云电子保函申请链接：</w:t>
            </w:r>
          </w:p>
          <w:p w14:paraId="60400702">
            <w:pPr>
              <w:numPr>
                <w:ilvl w:val="0"/>
                <w:numId w:val="0"/>
              </w:numPr>
              <w:spacing w:line="320" w:lineRule="exact"/>
              <w:jc w:val="left"/>
              <w:outlineLvl w:val="9"/>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（https</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//jinrong.zcygov.cn/luban/finance/letter/xinjiang?pageModelFlag=650000&amp;utm=site.site-PC-42055.1473-pc-wsg-customFloatWindow-front.1.cfe992802e0511efa283c5d3053f34e0），金融服务热线：95763；</w:t>
            </w:r>
          </w:p>
          <w:p w14:paraId="2D8D784E">
            <w:pPr>
              <w:spacing w:line="320" w:lineRule="exac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注：</w:t>
            </w:r>
            <w:r>
              <w:rPr>
                <w:rFonts w:hint="eastAsia" w:ascii="宋体" w:hAnsi="宋体" w:eastAsia="宋体" w:cs="宋体"/>
                <w:color w:val="auto"/>
                <w:sz w:val="24"/>
                <w:szCs w:val="24"/>
                <w:highlight w:val="none"/>
              </w:rPr>
              <w:t>在缴纳保证金时注明</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w:t>
            </w:r>
            <w:r>
              <w:rPr>
                <w:rFonts w:hint="eastAsia" w:ascii="宋体" w:hAnsi="宋体" w:eastAsia="宋体" w:cs="宋体"/>
                <w:b/>
                <w:bCs/>
                <w:color w:val="auto"/>
                <w:sz w:val="24"/>
                <w:szCs w:val="24"/>
                <w:highlight w:val="none"/>
                <w:lang w:val="en-US" w:eastAsia="zh-CN"/>
              </w:rPr>
              <w:t>名称/</w:t>
            </w:r>
            <w:r>
              <w:rPr>
                <w:rFonts w:hint="eastAsia" w:ascii="宋体" w:hAnsi="宋体" w:eastAsia="宋体" w:cs="宋体"/>
                <w:b/>
                <w:bCs/>
                <w:color w:val="auto"/>
                <w:sz w:val="24"/>
                <w:szCs w:val="24"/>
                <w:highlight w:val="none"/>
              </w:rPr>
              <w:t>项目编号</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lang w:val="en-US" w:eastAsia="zh-CN"/>
              </w:rPr>
              <w:t>保证金）</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保证金应于投标截止时间前确认到账，</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保证金</w:t>
            </w:r>
            <w:r>
              <w:rPr>
                <w:rFonts w:hint="eastAsia" w:ascii="宋体" w:hAnsi="宋体" w:eastAsia="宋体" w:cs="宋体"/>
                <w:color w:val="auto"/>
                <w:sz w:val="24"/>
                <w:szCs w:val="24"/>
                <w:highlight w:val="none"/>
                <w:lang w:val="en-US" w:eastAsia="zh-CN"/>
              </w:rPr>
              <w:t>和电子保函</w:t>
            </w:r>
            <w:r>
              <w:rPr>
                <w:rFonts w:hint="eastAsia" w:ascii="宋体" w:hAnsi="宋体" w:eastAsia="宋体" w:cs="宋体"/>
                <w:color w:val="auto"/>
                <w:sz w:val="24"/>
                <w:szCs w:val="24"/>
                <w:highlight w:val="none"/>
              </w:rPr>
              <w:t>有效期应当与</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有效期</w:t>
            </w:r>
            <w:r>
              <w:rPr>
                <w:rFonts w:hint="eastAsia" w:ascii="宋体" w:hAnsi="宋体" w:eastAsia="宋体" w:cs="宋体"/>
                <w:color w:val="auto"/>
                <w:sz w:val="24"/>
                <w:szCs w:val="24"/>
                <w:highlight w:val="none"/>
              </w:rPr>
              <w:t>一致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若投标人未按照上述规定缴纳保证金导致保证金无法查明的，</w:t>
            </w:r>
            <w:r>
              <w:rPr>
                <w:rFonts w:hint="eastAsia" w:ascii="宋体" w:hAnsi="宋体" w:eastAsia="宋体" w:cs="宋体"/>
                <w:color w:val="auto"/>
                <w:sz w:val="24"/>
                <w:szCs w:val="24"/>
                <w:highlight w:val="none"/>
              </w:rPr>
              <w:t>责任由投标人承担</w:t>
            </w:r>
            <w:r>
              <w:rPr>
                <w:rFonts w:hint="eastAsia" w:ascii="宋体" w:hAnsi="宋体" w:eastAsia="宋体" w:cs="宋体"/>
                <w:color w:val="auto"/>
                <w:sz w:val="24"/>
                <w:szCs w:val="24"/>
                <w:highlight w:val="none"/>
                <w:lang w:eastAsia="zh-CN"/>
              </w:rPr>
              <w:t>。</w:t>
            </w:r>
          </w:p>
        </w:tc>
      </w:tr>
      <w:tr w14:paraId="16477C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8"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32D60AF5">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26</w:t>
            </w:r>
          </w:p>
        </w:tc>
        <w:tc>
          <w:tcPr>
            <w:tcW w:w="2150" w:type="dxa"/>
            <w:tcBorders>
              <w:top w:val="single" w:color="auto" w:sz="4" w:space="0"/>
              <w:bottom w:val="single" w:color="auto" w:sz="4" w:space="0"/>
              <w:right w:val="single" w:color="auto" w:sz="4" w:space="0"/>
            </w:tcBorders>
            <w:shd w:val="clear" w:color="auto" w:fill="auto"/>
            <w:noWrap w:val="0"/>
            <w:vAlign w:val="center"/>
          </w:tcPr>
          <w:p w14:paraId="6BAD477D">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评审办法</w:t>
            </w:r>
          </w:p>
        </w:tc>
        <w:tc>
          <w:tcPr>
            <w:tcW w:w="6891" w:type="dxa"/>
            <w:tcBorders>
              <w:top w:val="single" w:color="auto" w:sz="4" w:space="0"/>
              <w:left w:val="single" w:color="auto" w:sz="4" w:space="0"/>
              <w:bottom w:val="single" w:color="auto" w:sz="4" w:space="0"/>
            </w:tcBorders>
            <w:shd w:val="clear" w:color="auto" w:fill="auto"/>
            <w:noWrap w:val="0"/>
            <w:vAlign w:val="center"/>
          </w:tcPr>
          <w:p w14:paraId="453085F9">
            <w:pPr>
              <w:spacing w:line="320" w:lineRule="exac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sz w:val="24"/>
                <w:szCs w:val="24"/>
                <w:highlight w:val="none"/>
              </w:rPr>
              <w:t>综合评分法，即指</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满足</w:t>
            </w:r>
            <w:r>
              <w:rPr>
                <w:rFonts w:hint="eastAsia" w:ascii="宋体" w:hAnsi="宋体" w:eastAsia="宋体" w:cs="宋体"/>
                <w:bCs/>
                <w:color w:val="auto"/>
                <w:sz w:val="24"/>
                <w:szCs w:val="24"/>
                <w:highlight w:val="none"/>
                <w:lang w:eastAsia="zh-CN"/>
              </w:rPr>
              <w:t>采购</w:t>
            </w:r>
            <w:r>
              <w:rPr>
                <w:rFonts w:hint="eastAsia" w:ascii="宋体" w:hAnsi="宋体" w:eastAsia="宋体" w:cs="宋体"/>
                <w:bCs/>
                <w:color w:val="auto"/>
                <w:sz w:val="24"/>
                <w:szCs w:val="24"/>
                <w:highlight w:val="none"/>
              </w:rPr>
              <w:t>文件全部实质性要求且按照评审因素的量化指标评审得分最高的投标人为</w:t>
            </w:r>
            <w:r>
              <w:rPr>
                <w:rFonts w:hint="eastAsia" w:ascii="宋体" w:hAnsi="宋体" w:eastAsia="宋体" w:cs="宋体"/>
                <w:bCs/>
                <w:color w:val="auto"/>
                <w:sz w:val="24"/>
                <w:szCs w:val="24"/>
                <w:highlight w:val="none"/>
                <w:lang w:eastAsia="zh-CN"/>
              </w:rPr>
              <w:t>中标（成交）</w:t>
            </w:r>
            <w:r>
              <w:rPr>
                <w:rFonts w:hint="eastAsia" w:ascii="宋体" w:hAnsi="宋体" w:eastAsia="宋体" w:cs="宋体"/>
                <w:bCs/>
                <w:color w:val="auto"/>
                <w:sz w:val="24"/>
                <w:szCs w:val="24"/>
                <w:highlight w:val="none"/>
              </w:rPr>
              <w:t>候选人的评标方法。每一投标人的最终得分为所有评委评分的算术平均值</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得分相同的，报价较低的一方为</w:t>
            </w:r>
            <w:r>
              <w:rPr>
                <w:rFonts w:hint="eastAsia" w:ascii="宋体" w:hAnsi="宋体" w:eastAsia="宋体" w:cs="宋体"/>
                <w:bCs/>
                <w:color w:val="auto"/>
                <w:sz w:val="24"/>
                <w:szCs w:val="24"/>
                <w:highlight w:val="none"/>
                <w:lang w:eastAsia="zh-CN"/>
              </w:rPr>
              <w:t>中标（成交）</w:t>
            </w:r>
            <w:r>
              <w:rPr>
                <w:rFonts w:hint="eastAsia" w:ascii="宋体" w:hAnsi="宋体" w:eastAsia="宋体" w:cs="宋体"/>
                <w:bCs/>
                <w:color w:val="auto"/>
                <w:sz w:val="24"/>
                <w:szCs w:val="24"/>
                <w:highlight w:val="none"/>
              </w:rPr>
              <w:t>人</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得分且投标报价相同的，技术指标较优的一方为</w:t>
            </w:r>
            <w:r>
              <w:rPr>
                <w:rFonts w:hint="eastAsia" w:ascii="宋体" w:hAnsi="宋体" w:eastAsia="宋体" w:cs="宋体"/>
                <w:bCs/>
                <w:color w:val="auto"/>
                <w:sz w:val="24"/>
                <w:szCs w:val="24"/>
                <w:highlight w:val="none"/>
                <w:lang w:eastAsia="zh-CN"/>
              </w:rPr>
              <w:t>中标（成交）</w:t>
            </w:r>
            <w:r>
              <w:rPr>
                <w:rFonts w:hint="eastAsia" w:ascii="宋体" w:hAnsi="宋体" w:eastAsia="宋体" w:cs="宋体"/>
                <w:bCs/>
                <w:color w:val="auto"/>
                <w:sz w:val="24"/>
                <w:szCs w:val="24"/>
                <w:highlight w:val="none"/>
              </w:rPr>
              <w:t>人。</w:t>
            </w:r>
          </w:p>
        </w:tc>
      </w:tr>
      <w:tr w14:paraId="430D6F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16C1535D">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27</w:t>
            </w:r>
          </w:p>
        </w:tc>
        <w:tc>
          <w:tcPr>
            <w:tcW w:w="2150" w:type="dxa"/>
            <w:tcBorders>
              <w:top w:val="single" w:color="auto" w:sz="4" w:space="0"/>
              <w:bottom w:val="single" w:color="auto" w:sz="4" w:space="0"/>
              <w:right w:val="single" w:color="auto" w:sz="4" w:space="0"/>
            </w:tcBorders>
            <w:shd w:val="clear" w:color="auto" w:fill="auto"/>
            <w:noWrap w:val="0"/>
            <w:vAlign w:val="center"/>
          </w:tcPr>
          <w:p w14:paraId="0BF93AC9">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是否接受联合体</w:t>
            </w:r>
          </w:p>
        </w:tc>
        <w:tc>
          <w:tcPr>
            <w:tcW w:w="6891" w:type="dxa"/>
            <w:tcBorders>
              <w:top w:val="single" w:color="auto" w:sz="4" w:space="0"/>
              <w:left w:val="single" w:color="auto" w:sz="4" w:space="0"/>
              <w:bottom w:val="single" w:color="auto" w:sz="4" w:space="0"/>
            </w:tcBorders>
            <w:shd w:val="clear" w:color="auto" w:fill="auto"/>
            <w:noWrap w:val="0"/>
            <w:vAlign w:val="center"/>
          </w:tcPr>
          <w:p w14:paraId="706903D0">
            <w:pPr>
              <w:spacing w:line="320" w:lineRule="exact"/>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否</w:t>
            </w:r>
          </w:p>
        </w:tc>
      </w:tr>
      <w:tr w14:paraId="609E8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5B338CD8">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28</w:t>
            </w:r>
          </w:p>
        </w:tc>
        <w:tc>
          <w:tcPr>
            <w:tcW w:w="2150" w:type="dxa"/>
            <w:tcBorders>
              <w:top w:val="single" w:color="auto" w:sz="4" w:space="0"/>
              <w:bottom w:val="single" w:color="auto" w:sz="4" w:space="0"/>
              <w:right w:val="single" w:color="auto" w:sz="4" w:space="0"/>
            </w:tcBorders>
            <w:noWrap w:val="0"/>
            <w:vAlign w:val="center"/>
          </w:tcPr>
          <w:p w14:paraId="231ECB2A">
            <w:pPr>
              <w:adjustRightInd w:val="0"/>
              <w:snapToGrid w:val="0"/>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项目地点</w:t>
            </w:r>
          </w:p>
        </w:tc>
        <w:tc>
          <w:tcPr>
            <w:tcW w:w="6891" w:type="dxa"/>
            <w:tcBorders>
              <w:top w:val="single" w:color="auto" w:sz="4" w:space="0"/>
              <w:left w:val="single" w:color="auto" w:sz="4" w:space="0"/>
              <w:bottom w:val="single" w:color="auto" w:sz="4" w:space="0"/>
            </w:tcBorders>
            <w:noWrap w:val="0"/>
            <w:vAlign w:val="center"/>
          </w:tcPr>
          <w:p w14:paraId="1682FCFE">
            <w:pPr>
              <w:spacing w:line="4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采购人指定地点</w:t>
            </w:r>
          </w:p>
        </w:tc>
      </w:tr>
      <w:tr w14:paraId="09DF29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0FE4658D">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9</w:t>
            </w:r>
          </w:p>
        </w:tc>
        <w:tc>
          <w:tcPr>
            <w:tcW w:w="2150" w:type="dxa"/>
            <w:tcBorders>
              <w:top w:val="single" w:color="auto" w:sz="4" w:space="0"/>
              <w:bottom w:val="single" w:color="auto" w:sz="4" w:space="0"/>
              <w:right w:val="single" w:color="auto" w:sz="4" w:space="0"/>
            </w:tcBorders>
            <w:noWrap w:val="0"/>
            <w:vAlign w:val="center"/>
          </w:tcPr>
          <w:p w14:paraId="611DB3DA">
            <w:pPr>
              <w:spacing w:line="320" w:lineRule="exact"/>
              <w:jc w:val="center"/>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合同履约</w:t>
            </w:r>
            <w:r>
              <w:rPr>
                <w:rFonts w:hint="default" w:ascii="宋体" w:hAnsi="宋体" w:eastAsia="宋体" w:cs="宋体"/>
                <w:color w:val="auto"/>
                <w:sz w:val="24"/>
                <w:szCs w:val="24"/>
                <w:highlight w:val="none"/>
                <w:lang w:val="en-US" w:eastAsia="zh-CN"/>
              </w:rPr>
              <w:t>期限</w:t>
            </w:r>
          </w:p>
        </w:tc>
        <w:tc>
          <w:tcPr>
            <w:tcW w:w="6891" w:type="dxa"/>
            <w:tcBorders>
              <w:top w:val="single" w:color="auto" w:sz="4" w:space="0"/>
              <w:left w:val="single" w:color="auto" w:sz="4" w:space="0"/>
              <w:bottom w:val="single" w:color="auto" w:sz="4" w:space="0"/>
            </w:tcBorders>
            <w:noWrap w:val="0"/>
            <w:vAlign w:val="center"/>
          </w:tcPr>
          <w:p w14:paraId="3D9B5199">
            <w:pPr>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自签订合同之日起至2026年12月止</w:t>
            </w:r>
          </w:p>
        </w:tc>
      </w:tr>
      <w:tr w14:paraId="0E8A6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2EBE95A3">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30</w:t>
            </w:r>
          </w:p>
        </w:tc>
        <w:tc>
          <w:tcPr>
            <w:tcW w:w="2150" w:type="dxa"/>
            <w:tcBorders>
              <w:top w:val="single" w:color="auto" w:sz="4" w:space="0"/>
              <w:bottom w:val="single" w:color="auto" w:sz="4" w:space="0"/>
              <w:right w:val="single" w:color="auto" w:sz="4" w:space="0"/>
            </w:tcBorders>
            <w:shd w:val="clear" w:color="auto" w:fill="auto"/>
            <w:noWrap w:val="0"/>
            <w:vAlign w:val="center"/>
          </w:tcPr>
          <w:p w14:paraId="5AE9AB4F">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质量等级标准</w:t>
            </w:r>
          </w:p>
        </w:tc>
        <w:tc>
          <w:tcPr>
            <w:tcW w:w="6891" w:type="dxa"/>
            <w:tcBorders>
              <w:top w:val="single" w:color="auto" w:sz="4" w:space="0"/>
              <w:left w:val="single" w:color="auto" w:sz="4" w:space="0"/>
              <w:bottom w:val="single" w:color="auto" w:sz="4" w:space="0"/>
            </w:tcBorders>
            <w:shd w:val="clear" w:color="auto" w:fill="auto"/>
            <w:noWrap w:val="0"/>
            <w:vAlign w:val="center"/>
          </w:tcPr>
          <w:p w14:paraId="40A6B261">
            <w:pPr>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符合国家及行业标准</w:t>
            </w:r>
          </w:p>
        </w:tc>
      </w:tr>
      <w:tr w14:paraId="50A01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1C71FE8C">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1</w:t>
            </w:r>
          </w:p>
        </w:tc>
        <w:tc>
          <w:tcPr>
            <w:tcW w:w="2150" w:type="dxa"/>
            <w:tcBorders>
              <w:top w:val="single" w:color="auto" w:sz="4" w:space="0"/>
              <w:bottom w:val="single" w:color="auto" w:sz="4" w:space="0"/>
              <w:right w:val="single" w:color="auto" w:sz="4" w:space="0"/>
            </w:tcBorders>
            <w:noWrap w:val="0"/>
            <w:vAlign w:val="center"/>
          </w:tcPr>
          <w:p w14:paraId="52B6AB06">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付款方式</w:t>
            </w:r>
          </w:p>
        </w:tc>
        <w:tc>
          <w:tcPr>
            <w:tcW w:w="6891" w:type="dxa"/>
            <w:tcBorders>
              <w:top w:val="single" w:color="auto" w:sz="4" w:space="0"/>
              <w:left w:val="single" w:color="auto" w:sz="4" w:space="0"/>
              <w:bottom w:val="single" w:color="auto" w:sz="4" w:space="0"/>
            </w:tcBorders>
            <w:noWrap w:val="0"/>
            <w:vAlign w:val="center"/>
          </w:tcPr>
          <w:p w14:paraId="4839FF3F">
            <w:pPr>
              <w:outlineLvl w:val="9"/>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以甲乙双方合同约定为准</w:t>
            </w:r>
          </w:p>
        </w:tc>
      </w:tr>
      <w:tr w14:paraId="1F6605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25AEE732">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2</w:t>
            </w:r>
          </w:p>
        </w:tc>
        <w:tc>
          <w:tcPr>
            <w:tcW w:w="2150" w:type="dxa"/>
            <w:tcBorders>
              <w:top w:val="single" w:color="auto" w:sz="4" w:space="0"/>
              <w:bottom w:val="single" w:color="auto" w:sz="4" w:space="0"/>
              <w:right w:val="single" w:color="auto" w:sz="4" w:space="0"/>
            </w:tcBorders>
            <w:shd w:val="clear" w:color="auto" w:fill="auto"/>
            <w:noWrap w:val="0"/>
            <w:vAlign w:val="center"/>
          </w:tcPr>
          <w:p w14:paraId="1C13A60C">
            <w:pPr>
              <w:keepNext w:val="0"/>
              <w:keepLines w:val="0"/>
              <w:pageBreakBefore w:val="0"/>
              <w:widowControl w:val="0"/>
              <w:kinsoku/>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踏勘现场</w:t>
            </w:r>
          </w:p>
        </w:tc>
        <w:tc>
          <w:tcPr>
            <w:tcW w:w="6891" w:type="dxa"/>
            <w:tcBorders>
              <w:top w:val="single" w:color="auto" w:sz="4" w:space="0"/>
              <w:left w:val="single" w:color="auto" w:sz="4" w:space="0"/>
              <w:bottom w:val="single" w:color="auto" w:sz="4" w:space="0"/>
            </w:tcBorders>
            <w:shd w:val="clear" w:color="auto" w:fill="auto"/>
            <w:noWrap w:val="0"/>
            <w:vAlign w:val="center"/>
          </w:tcPr>
          <w:p w14:paraId="5F616EE2">
            <w:pPr>
              <w:keepNext w:val="0"/>
              <w:keepLines w:val="0"/>
              <w:pageBreakBefore w:val="0"/>
              <w:widowControl w:val="0"/>
              <w:kinsoku/>
              <w:overflowPunct/>
              <w:topLinePunct w:val="0"/>
              <w:autoSpaceDE w:val="0"/>
              <w:autoSpaceDN w:val="0"/>
              <w:bidi w:val="0"/>
              <w:adjustRightInd w:val="0"/>
              <w:snapToGrid w:val="0"/>
              <w:spacing w:line="240" w:lineRule="auto"/>
              <w:ind w:left="0" w:leftChars="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组织</w:t>
            </w:r>
          </w:p>
          <w:p w14:paraId="393BDF80">
            <w:pPr>
              <w:keepNext w:val="0"/>
              <w:keepLines w:val="0"/>
              <w:pageBreakBefore w:val="0"/>
              <w:widowControl w:val="0"/>
              <w:kinsoku/>
              <w:overflowPunct/>
              <w:topLinePunct w:val="0"/>
              <w:autoSpaceDE/>
              <w:autoSpaceDN/>
              <w:bidi w:val="0"/>
              <w:adjustRightInd w:val="0"/>
              <w:snapToGrid w:val="0"/>
              <w:spacing w:line="240" w:lineRule="auto"/>
              <w:ind w:left="0" w:leftChars="0"/>
              <w:jc w:val="both"/>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不组织</w:t>
            </w:r>
          </w:p>
        </w:tc>
      </w:tr>
      <w:tr w14:paraId="7CDDD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0EE0511C">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3</w:t>
            </w:r>
          </w:p>
        </w:tc>
        <w:tc>
          <w:tcPr>
            <w:tcW w:w="2150" w:type="dxa"/>
            <w:tcBorders>
              <w:top w:val="single" w:color="auto" w:sz="4" w:space="0"/>
              <w:bottom w:val="single" w:color="auto" w:sz="4" w:space="0"/>
              <w:right w:val="single" w:color="auto" w:sz="4" w:space="0"/>
            </w:tcBorders>
            <w:shd w:val="clear" w:color="auto" w:fill="auto"/>
            <w:noWrap w:val="0"/>
            <w:vAlign w:val="center"/>
          </w:tcPr>
          <w:p w14:paraId="53544398">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rPr>
              <w:t>节能、环保要求</w:t>
            </w:r>
          </w:p>
        </w:tc>
        <w:tc>
          <w:tcPr>
            <w:tcW w:w="6891" w:type="dxa"/>
            <w:tcBorders>
              <w:top w:val="single" w:color="auto" w:sz="4" w:space="0"/>
              <w:left w:val="single" w:color="auto" w:sz="4" w:space="0"/>
              <w:bottom w:val="single" w:color="auto" w:sz="4" w:space="0"/>
            </w:tcBorders>
            <w:shd w:val="clear" w:color="auto" w:fill="auto"/>
            <w:noWrap w:val="0"/>
            <w:vAlign w:val="center"/>
          </w:tcPr>
          <w:p w14:paraId="1458943E">
            <w:pPr>
              <w:keepNext w:val="0"/>
              <w:keepLines w:val="0"/>
              <w:pageBreakBefore w:val="0"/>
              <w:widowControl w:val="0"/>
              <w:kinsoku/>
              <w:overflowPunct/>
              <w:topLinePunct w:val="0"/>
              <w:autoSpaceDE/>
              <w:autoSpaceDN/>
              <w:bidi w:val="0"/>
              <w:adjustRightInd w:val="0"/>
              <w:snapToGrid w:val="0"/>
              <w:spacing w:line="240" w:lineRule="auto"/>
              <w:ind w:left="0" w:leftChars="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按国家有关节能环保政策执行</w:t>
            </w:r>
          </w:p>
        </w:tc>
      </w:tr>
      <w:tr w14:paraId="6C7410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5821921B">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34</w:t>
            </w:r>
          </w:p>
        </w:tc>
        <w:tc>
          <w:tcPr>
            <w:tcW w:w="2150" w:type="dxa"/>
            <w:tcBorders>
              <w:top w:val="single" w:color="auto" w:sz="4" w:space="0"/>
              <w:bottom w:val="single" w:color="auto" w:sz="4" w:space="0"/>
              <w:right w:val="single" w:color="auto" w:sz="4" w:space="0"/>
            </w:tcBorders>
            <w:shd w:val="clear" w:color="auto" w:fill="auto"/>
            <w:noWrap w:val="0"/>
            <w:vAlign w:val="center"/>
          </w:tcPr>
          <w:p w14:paraId="766EF50C">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w:t>
            </w:r>
          </w:p>
          <w:p w14:paraId="169BB43F">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服务费</w:t>
            </w:r>
          </w:p>
        </w:tc>
        <w:tc>
          <w:tcPr>
            <w:tcW w:w="6891" w:type="dxa"/>
            <w:tcBorders>
              <w:top w:val="single" w:color="auto" w:sz="4" w:space="0"/>
              <w:left w:val="single" w:color="auto" w:sz="4" w:space="0"/>
              <w:bottom w:val="single" w:color="auto" w:sz="4" w:space="0"/>
            </w:tcBorders>
            <w:shd w:val="clear" w:color="auto" w:fill="auto"/>
            <w:noWrap w:val="0"/>
            <w:vAlign w:val="center"/>
          </w:tcPr>
          <w:p w14:paraId="77A2507D">
            <w:pP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招标代理服务费用按照发改价格(2015)299号通知要求，参照发改价格(2011)534号文的差额定率累进法计算及中华人民共和国国家计划委员会“计价格[2002]1980号”文规定收取。由中标人在领取中标通知书前向新疆众通桥项目管理咨询有限公司支付。（收款账户同保证金缴纳账户）</w:t>
            </w:r>
          </w:p>
        </w:tc>
      </w:tr>
      <w:tr w14:paraId="6C971C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5C98FA0D">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35</w:t>
            </w:r>
          </w:p>
        </w:tc>
        <w:tc>
          <w:tcPr>
            <w:tcW w:w="2150" w:type="dxa"/>
            <w:tcBorders>
              <w:top w:val="single" w:color="auto" w:sz="4" w:space="0"/>
              <w:bottom w:val="single" w:color="auto" w:sz="4" w:space="0"/>
              <w:right w:val="single" w:color="auto" w:sz="4" w:space="0"/>
            </w:tcBorders>
            <w:shd w:val="clear" w:color="auto" w:fill="auto"/>
            <w:noWrap w:val="0"/>
            <w:vAlign w:val="center"/>
          </w:tcPr>
          <w:p w14:paraId="2522867F">
            <w:pPr>
              <w:pStyle w:val="11"/>
              <w:keepNext w:val="0"/>
              <w:keepLines w:val="0"/>
              <w:pageBreakBefore w:val="0"/>
              <w:widowControl w:val="0"/>
              <w:kinsoku/>
              <w:overflowPunct/>
              <w:topLinePunct w:val="0"/>
              <w:bidi w:val="0"/>
              <w:adjustRightInd w:val="0"/>
              <w:snapToGrid w:val="0"/>
              <w:spacing w:line="240" w:lineRule="auto"/>
              <w:ind w:left="0" w:leftChars="0" w:firstLine="0" w:firstLineChars="0"/>
              <w:contextualSpacing/>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rPr>
              <w:t>低于成本价不正当竞争预防措施</w:t>
            </w:r>
          </w:p>
        </w:tc>
        <w:tc>
          <w:tcPr>
            <w:tcW w:w="6891" w:type="dxa"/>
            <w:tcBorders>
              <w:top w:val="single" w:color="auto" w:sz="4" w:space="0"/>
              <w:left w:val="single" w:color="auto" w:sz="4" w:space="0"/>
              <w:bottom w:val="single" w:color="auto" w:sz="4" w:space="0"/>
            </w:tcBorders>
            <w:shd w:val="clear" w:color="auto" w:fill="auto"/>
            <w:noWrap w:val="0"/>
            <w:vAlign w:val="center"/>
          </w:tcPr>
          <w:p w14:paraId="1BD6F336">
            <w:pPr>
              <w:pStyle w:val="11"/>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1.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1D30176">
            <w:pPr>
              <w:pStyle w:val="11"/>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2.政府采购异常低价审查：根据《关于推动解决政府采购异常低价问题的通知》（ 财库〔2026〕2号）的规定：</w:t>
            </w:r>
          </w:p>
          <w:p w14:paraId="56A2EDCA">
            <w:pPr>
              <w:pStyle w:val="11"/>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（一）政府采购评审中出现下列情形之一的，评审委员会应当启动异常低价投标（响应）审查程序：</w:t>
            </w:r>
          </w:p>
          <w:p w14:paraId="44E2CDE0">
            <w:pPr>
              <w:pStyle w:val="11"/>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1.投标（响应）报价低于全部通过符合性审查供应商投标（响应）报价平均值50%的，即投标（响应）报价&lt;全部通过符合性审查供应商投标（响应）报价平均值×50%；</w:t>
            </w:r>
          </w:p>
          <w:p w14:paraId="64B14BD8">
            <w:pPr>
              <w:pStyle w:val="11"/>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2.投标（响应）报价低于通过符合性审查的次低报价供应商投标（响应）报价50%的，即投标（响应）报价&lt;通过符合性审查的次低报价供应商投标（响应）报价×50%；</w:t>
            </w:r>
          </w:p>
          <w:p w14:paraId="5437F8D6">
            <w:pPr>
              <w:pStyle w:val="11"/>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3.投标（响应）报价低于采购项目最高限价45%的，即投标（响应）报价&lt;采购项目最高限价×45%；</w:t>
            </w:r>
          </w:p>
          <w:p w14:paraId="564036F4">
            <w:pPr>
              <w:pStyle w:val="11"/>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4.评审委员会基于专业判断，认为供应商报价过低，有可能影响产品质量或者不能诚信履约的其他情形。</w:t>
            </w:r>
          </w:p>
          <w:p w14:paraId="69750EA1">
            <w:pPr>
              <w:pStyle w:val="11"/>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采购人可以结合具体项目实际情况，提高上述第1项至第3项中启动异常低价投标（响应）审查的数值标准，但是最高不得超过65%。（本项目不提高）</w:t>
            </w:r>
          </w:p>
          <w:p w14:paraId="0684B5AD">
            <w:pPr>
              <w:pStyle w:val="11"/>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相关法律法规对供应商报价有规定的，从其规定。</w:t>
            </w:r>
          </w:p>
          <w:p w14:paraId="42EA8238">
            <w:pPr>
              <w:pStyle w:val="11"/>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02E12B6">
            <w:pPr>
              <w:pStyle w:val="11"/>
              <w:adjustRightInd w:val="0"/>
              <w:snapToGrid w:val="0"/>
              <w:ind w:firstLine="0" w:firstLineChars="0"/>
              <w:contextualSpacing/>
              <w:rPr>
                <w:rFonts w:hint="eastAsia" w:ascii="宋体" w:hAnsi="宋体" w:eastAsia="宋体" w:cs="宋体"/>
                <w:kern w:val="2"/>
                <w:sz w:val="24"/>
                <w:szCs w:val="24"/>
                <w:lang w:val="zh-CN" w:eastAsia="zh-CN" w:bidi="ar-SA"/>
              </w:rPr>
            </w:pPr>
            <w:r>
              <w:rPr>
                <w:rFonts w:hint="eastAsia" w:ascii="宋体" w:hAnsi="宋体" w:cs="宋体"/>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28951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7"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3B0C3363">
            <w:pPr>
              <w:spacing w:line="320" w:lineRule="exact"/>
              <w:jc w:val="center"/>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36</w:t>
            </w:r>
          </w:p>
        </w:tc>
        <w:tc>
          <w:tcPr>
            <w:tcW w:w="2150" w:type="dxa"/>
            <w:tcBorders>
              <w:top w:val="single" w:color="auto" w:sz="4" w:space="0"/>
              <w:bottom w:val="single" w:color="auto" w:sz="4" w:space="0"/>
              <w:right w:val="single" w:color="auto" w:sz="4" w:space="0"/>
            </w:tcBorders>
            <w:shd w:val="clear" w:color="auto" w:fill="auto"/>
            <w:noWrap w:val="0"/>
            <w:vAlign w:val="center"/>
          </w:tcPr>
          <w:p w14:paraId="73DCD032">
            <w:pPr>
              <w:pStyle w:val="11"/>
              <w:keepNext w:val="0"/>
              <w:keepLines w:val="0"/>
              <w:pageBreakBefore w:val="0"/>
              <w:widowControl w:val="0"/>
              <w:kinsoku/>
              <w:overflowPunct/>
              <w:topLinePunct w:val="0"/>
              <w:bidi w:val="0"/>
              <w:adjustRightInd w:val="0"/>
              <w:snapToGrid w:val="0"/>
              <w:spacing w:line="240" w:lineRule="auto"/>
              <w:ind w:left="482" w:leftChars="0" w:hanging="482" w:hangingChars="200"/>
              <w:contextualSpacing/>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w:t>
            </w:r>
          </w:p>
          <w:p w14:paraId="700A6833">
            <w:pPr>
              <w:pStyle w:val="11"/>
              <w:keepNext w:val="0"/>
              <w:keepLines w:val="0"/>
              <w:pageBreakBefore w:val="0"/>
              <w:widowControl w:val="0"/>
              <w:kinsoku/>
              <w:overflowPunct/>
              <w:topLinePunct w:val="0"/>
              <w:bidi w:val="0"/>
              <w:adjustRightInd w:val="0"/>
              <w:snapToGrid w:val="0"/>
              <w:spacing w:line="240" w:lineRule="auto"/>
              <w:ind w:left="482" w:leftChars="0" w:hanging="482" w:hangingChars="200"/>
              <w:contextualSpacing/>
              <w:jc w:val="center"/>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事项</w:t>
            </w:r>
          </w:p>
        </w:tc>
        <w:tc>
          <w:tcPr>
            <w:tcW w:w="6891" w:type="dxa"/>
            <w:tcBorders>
              <w:top w:val="single" w:color="auto" w:sz="4" w:space="0"/>
              <w:left w:val="single" w:color="auto" w:sz="4" w:space="0"/>
              <w:bottom w:val="single" w:color="auto" w:sz="4" w:space="0"/>
            </w:tcBorders>
            <w:shd w:val="clear" w:color="auto" w:fill="auto"/>
            <w:noWrap w:val="0"/>
            <w:vAlign w:val="center"/>
          </w:tcPr>
          <w:p w14:paraId="770EEA92">
            <w:pPr>
              <w:pStyle w:val="11"/>
              <w:keepNext w:val="0"/>
              <w:keepLines w:val="0"/>
              <w:pageBreakBefore w:val="0"/>
              <w:widowControl w:val="0"/>
              <w:kinsoku/>
              <w:overflowPunct/>
              <w:topLinePunct w:val="0"/>
              <w:bidi w:val="0"/>
              <w:adjustRightInd w:val="0"/>
              <w:snapToGrid w:val="0"/>
              <w:spacing w:line="240" w:lineRule="auto"/>
              <w:ind w:left="0" w:leftChars="0" w:firstLine="0" w:firstLineChars="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根据《财政部关于在政府采购活动中查询及使用信用记录有关问题的通知》财库〔2016〕125号</w:t>
            </w:r>
            <w:r>
              <w:rPr>
                <w:rFonts w:hint="eastAsia" w:ascii="宋体" w:hAnsi="宋体" w:eastAsia="宋体" w:cs="宋体"/>
                <w:color w:val="auto"/>
                <w:sz w:val="24"/>
                <w:szCs w:val="24"/>
                <w:highlight w:val="none"/>
                <w:lang w:eastAsia="zh-CN"/>
              </w:rPr>
              <w:t>文</w:t>
            </w:r>
            <w:r>
              <w:rPr>
                <w:rFonts w:hint="eastAsia" w:ascii="宋体" w:hAnsi="宋体" w:eastAsia="宋体" w:cs="宋体"/>
                <w:color w:val="auto"/>
                <w:sz w:val="24"/>
                <w:szCs w:val="24"/>
                <w:highlight w:val="none"/>
              </w:rPr>
              <w:t>规定，</w:t>
            </w:r>
            <w:r>
              <w:rPr>
                <w:rFonts w:hint="eastAsia"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rPr>
              <w:t>通过“信用中国”（</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"qq://txfile/"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）、中国政府采购网（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"qq://txfile/"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）等渠道查询</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主体信用记录</w:t>
            </w:r>
            <w:r>
              <w:rPr>
                <w:rFonts w:hint="eastAsia" w:ascii="宋体" w:hAnsi="宋体" w:eastAsia="宋体" w:cs="宋体"/>
                <w:color w:val="auto"/>
                <w:sz w:val="24"/>
                <w:szCs w:val="24"/>
                <w:highlight w:val="none"/>
                <w:lang w:eastAsia="zh-CN"/>
              </w:rPr>
              <w:t>。</w:t>
            </w:r>
          </w:p>
          <w:p w14:paraId="580A1C68">
            <w:pPr>
              <w:pStyle w:val="11"/>
              <w:keepNext w:val="0"/>
              <w:keepLines w:val="0"/>
              <w:pageBreakBefore w:val="0"/>
              <w:widowControl w:val="0"/>
              <w:kinsoku/>
              <w:overflowPunct/>
              <w:topLinePunct w:val="0"/>
              <w:bidi w:val="0"/>
              <w:adjustRightInd w:val="0"/>
              <w:snapToGrid w:val="0"/>
              <w:spacing w:line="240" w:lineRule="auto"/>
              <w:ind w:left="0" w:leftChars="0" w:firstLine="0" w:firstLineChars="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签字盖章要求：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供应商资格证明材料、法定代表人身份证明或授权书应加盖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其他证明供应商资格的文件或证明材料应加盖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公章，样式可参照“</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格式”编制；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文件中明确要求盖章或签字的，</w:t>
            </w:r>
            <w:r>
              <w:rPr>
                <w:rFonts w:hint="eastAsia" w:ascii="宋体" w:hAnsi="宋体" w:eastAsia="宋体" w:cs="宋体"/>
                <w:color w:val="auto"/>
                <w:sz w:val="24"/>
                <w:szCs w:val="24"/>
                <w:highlight w:val="none"/>
                <w:lang w:eastAsia="zh-CN"/>
              </w:rPr>
              <w:t>必</w:t>
            </w:r>
            <w:r>
              <w:rPr>
                <w:rFonts w:hint="eastAsia" w:ascii="宋体" w:hAnsi="宋体" w:eastAsia="宋体" w:cs="宋体"/>
                <w:color w:val="auto"/>
                <w:sz w:val="24"/>
                <w:szCs w:val="24"/>
                <w:highlight w:val="none"/>
              </w:rPr>
              <w:t>须盖章或签字。</w:t>
            </w:r>
          </w:p>
          <w:p w14:paraId="196414A4">
            <w:pPr>
              <w:pStyle w:val="11"/>
              <w:keepNext w:val="0"/>
              <w:keepLines w:val="0"/>
              <w:pageBreakBefore w:val="0"/>
              <w:widowControl w:val="0"/>
              <w:kinsoku/>
              <w:overflowPunct/>
              <w:topLinePunct w:val="0"/>
              <w:bidi w:val="0"/>
              <w:adjustRightInd w:val="0"/>
              <w:snapToGrid w:val="0"/>
              <w:spacing w:line="240" w:lineRule="auto"/>
              <w:ind w:left="0" w:leftChars="0" w:firstLine="0" w:firstLineChars="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投标人提供的</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应当使用</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文件所提供</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格式（表格可按照同样格式扩展）。未提供格式的，需要时由投标人用文字或者表格、图片等其它形式提供。</w:t>
            </w:r>
          </w:p>
          <w:p w14:paraId="4EAC7A2E">
            <w:pPr>
              <w:pStyle w:val="11"/>
              <w:keepNext w:val="0"/>
              <w:keepLines w:val="0"/>
              <w:pageBreakBefore w:val="0"/>
              <w:widowControl w:val="0"/>
              <w:kinsoku/>
              <w:overflowPunct/>
              <w:topLinePunct w:val="0"/>
              <w:bidi w:val="0"/>
              <w:adjustRightInd w:val="0"/>
              <w:snapToGrid w:val="0"/>
              <w:spacing w:line="240" w:lineRule="auto"/>
              <w:ind w:left="0" w:leftChars="0" w:firstLine="0" w:firstLineChars="0"/>
              <w:contextualSpacing/>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tc>
      </w:tr>
    </w:tbl>
    <w:p w14:paraId="5DBA1251">
      <w:pPr>
        <w:adjustRightInd w:val="0"/>
        <w:snapToGrid w:val="0"/>
        <w:spacing w:before="0" w:after="0" w:line="400" w:lineRule="exact"/>
        <w:jc w:val="cente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br w:type="page"/>
      </w:r>
      <w:bookmarkEnd w:id="39"/>
      <w:bookmarkEnd w:id="40"/>
      <w:bookmarkEnd w:id="41"/>
      <w:bookmarkEnd w:id="42"/>
      <w:bookmarkEnd w:id="43"/>
      <w:bookmarkEnd w:id="44"/>
      <w:bookmarkEnd w:id="45"/>
      <w:bookmarkEnd w:id="46"/>
      <w:bookmarkEnd w:id="47"/>
      <w:bookmarkEnd w:id="48"/>
      <w:bookmarkEnd w:id="49"/>
      <w:bookmarkEnd w:id="50"/>
      <w:bookmarkStart w:id="51" w:name="_Toc29081"/>
      <w:bookmarkStart w:id="52" w:name="_Toc24149"/>
      <w:bookmarkStart w:id="53" w:name="_Toc29063"/>
      <w:bookmarkStart w:id="54" w:name="_Toc9830"/>
      <w:bookmarkStart w:id="55" w:name="_Toc23826"/>
      <w:bookmarkStart w:id="56" w:name="_Toc349637926"/>
      <w:bookmarkStart w:id="57" w:name="_Toc298240411"/>
      <w:bookmarkStart w:id="58" w:name="_Toc17884_WPSOffice_Level1"/>
      <w:bookmarkStart w:id="59" w:name="_Toc13260"/>
      <w:bookmarkStart w:id="60" w:name="_Toc18145"/>
      <w:bookmarkStart w:id="61" w:name="_Toc8931"/>
      <w:bookmarkStart w:id="62" w:name="_Toc349573127"/>
      <w:bookmarkStart w:id="63" w:name="_Toc349637936"/>
      <w:bookmarkStart w:id="64" w:name="_Toc267301295"/>
      <w:bookmarkStart w:id="65" w:name="_Toc349573137"/>
      <w:bookmarkStart w:id="66" w:name="_Toc298240422"/>
      <w:r>
        <w:rPr>
          <w:rFonts w:hint="eastAsia" w:ascii="宋体" w:hAnsi="宋体" w:eastAsia="宋体" w:cs="宋体"/>
          <w:b/>
          <w:color w:val="auto"/>
          <w:sz w:val="28"/>
          <w:szCs w:val="28"/>
          <w:highlight w:val="none"/>
        </w:rPr>
        <w:t>投标人须知正文部分</w:t>
      </w:r>
      <w:bookmarkEnd w:id="51"/>
      <w:bookmarkEnd w:id="52"/>
      <w:bookmarkEnd w:id="53"/>
      <w:bookmarkEnd w:id="54"/>
    </w:p>
    <w:p w14:paraId="1EAC17CB">
      <w:pPr>
        <w:pStyle w:val="17"/>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bookmarkStart w:id="67" w:name="_Toc19480"/>
      <w:r>
        <w:rPr>
          <w:rFonts w:hint="eastAsia" w:ascii="宋体" w:hAnsi="宋体" w:eastAsia="宋体" w:cs="宋体"/>
          <w:b/>
          <w:bCs/>
          <w:color w:val="auto"/>
          <w:sz w:val="28"/>
          <w:szCs w:val="28"/>
          <w:highlight w:val="none"/>
          <w:lang w:val="en-US" w:eastAsia="zh-CN"/>
        </w:rPr>
        <w:t>一、说明</w:t>
      </w:r>
      <w:bookmarkEnd w:id="67"/>
    </w:p>
    <w:p w14:paraId="6F5BF253">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68" w:name="_Toc918"/>
      <w:bookmarkStart w:id="69" w:name="_Toc25761"/>
      <w:r>
        <w:rPr>
          <w:rFonts w:hint="eastAsia" w:ascii="宋体" w:hAnsi="宋体" w:eastAsia="宋体" w:cs="宋体"/>
          <w:color w:val="auto"/>
          <w:sz w:val="24"/>
          <w:szCs w:val="24"/>
          <w:highlight w:val="none"/>
          <w:lang w:val="en-US" w:eastAsia="zh-CN"/>
        </w:rPr>
        <w:t>1．项目概况</w:t>
      </w:r>
    </w:p>
    <w:p w14:paraId="48B21404">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1.1项目名称：详见投标人须知前附表；</w:t>
      </w:r>
    </w:p>
    <w:p w14:paraId="53217D9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1.2项目编号：详见投标人须知前附表；</w:t>
      </w:r>
    </w:p>
    <w:p w14:paraId="0C99496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1.3采购方式：详见投标人须知前附表；</w:t>
      </w:r>
    </w:p>
    <w:p w14:paraId="0062B714">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1.4预算金额：详见投标人须知前附表；</w:t>
      </w:r>
    </w:p>
    <w:p w14:paraId="11D8D84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1.5采购内容：详见投标人须知前附表；</w:t>
      </w:r>
    </w:p>
    <w:p w14:paraId="6023D56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1.6资金来源：详见投标人须知前附表；</w:t>
      </w:r>
    </w:p>
    <w:p w14:paraId="7D6C8049">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1.7项目实施地点：详见投标人须知前附表；</w:t>
      </w:r>
    </w:p>
    <w:p w14:paraId="7A2BC3E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1.8合同履约期限：详见投标人须知前附表；</w:t>
      </w:r>
    </w:p>
    <w:p w14:paraId="034722A2">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2．定义</w:t>
      </w:r>
    </w:p>
    <w:p w14:paraId="24BD0854">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2.1“采购人”系指详见投标人须知前附表；</w:t>
      </w:r>
    </w:p>
    <w:p w14:paraId="271BC033">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2.2“招标代理机构”系指详见投标人须知前附表；</w:t>
      </w:r>
    </w:p>
    <w:p w14:paraId="5847FD01">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2.3“投标人”系指向招标代理机构提交投标文件的制造商或供应商；</w:t>
      </w:r>
    </w:p>
    <w:p w14:paraId="649384E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2.4“中标人”系指在本次项目中将被授予合同的投标人。</w:t>
      </w:r>
    </w:p>
    <w:p w14:paraId="05AF5FE2">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3．合格的投标人</w:t>
      </w:r>
    </w:p>
    <w:p w14:paraId="68CDC74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3.1满足《中华人民共和国政府采购法》第二十二条规定；</w:t>
      </w:r>
    </w:p>
    <w:p w14:paraId="138579A5">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3.2有能力提供招标文件中所要求的货物或服务、资格审查合格的制造商或供应商；</w:t>
      </w:r>
    </w:p>
    <w:p w14:paraId="446BFEDD">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3.3投标人必须遵守有关的法律和规章条例。</w:t>
      </w:r>
    </w:p>
    <w:p w14:paraId="40090EA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4．投标人资格（详见“投标人须知前附表”）</w:t>
      </w:r>
    </w:p>
    <w:p w14:paraId="70B66EE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5．投标费用</w:t>
      </w:r>
    </w:p>
    <w:p w14:paraId="04396234">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5.1无论投标过程中的做法和结果如何，投标人将自行承担所有与参加投标有关的全部费用。</w:t>
      </w:r>
    </w:p>
    <w:p w14:paraId="236B73E4">
      <w:pPr>
        <w:pStyle w:val="17"/>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二、招标文件</w:t>
      </w:r>
      <w:bookmarkEnd w:id="68"/>
      <w:bookmarkEnd w:id="69"/>
    </w:p>
    <w:p w14:paraId="7E293FB8">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70" w:name="_Toc19291"/>
      <w:bookmarkStart w:id="71" w:name="_Toc19334"/>
      <w:r>
        <w:rPr>
          <w:rFonts w:hint="eastAsia" w:ascii="宋体" w:hAnsi="宋体" w:eastAsia="宋体" w:cs="宋体"/>
          <w:color w:val="auto"/>
          <w:sz w:val="24"/>
          <w:szCs w:val="24"/>
          <w:highlight w:val="none"/>
          <w:lang w:val="en-US" w:eastAsia="zh-CN"/>
        </w:rPr>
        <w:t>6.招标文件构成</w:t>
      </w:r>
      <w:bookmarkEnd w:id="70"/>
      <w:bookmarkEnd w:id="71"/>
    </w:p>
    <w:p w14:paraId="1E528E25">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6.1招标文件包括：</w:t>
      </w:r>
    </w:p>
    <w:p w14:paraId="742F0D1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6.1.1招标公告；</w:t>
      </w:r>
    </w:p>
    <w:p w14:paraId="588A7C67">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6.1.2投标人须知；</w:t>
      </w:r>
    </w:p>
    <w:p w14:paraId="48D0E5F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6.1.3采购需求；</w:t>
      </w:r>
    </w:p>
    <w:p w14:paraId="6A9EA92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6.1.4评审方法；</w:t>
      </w:r>
    </w:p>
    <w:p w14:paraId="2B1DAD8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6.1.5合同格式；</w:t>
      </w:r>
    </w:p>
    <w:p w14:paraId="267E8C19">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6.1.6投标文件格式；</w:t>
      </w:r>
    </w:p>
    <w:p w14:paraId="5B81586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6.1.7附件。</w:t>
      </w:r>
    </w:p>
    <w:p w14:paraId="3839425A">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6.2招标文件以中文编写。</w:t>
      </w:r>
    </w:p>
    <w:p w14:paraId="64326C35">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6.3投标人应认真阅读招标文件中所有的事项、格式、条款和规范等要求，从而对招标文件作出实质性响应。如果没有按照招标文件要求提交全部投标文件或资料，没有对招标文件作出实质性响应，其风险应由投标人自行承担。</w:t>
      </w:r>
    </w:p>
    <w:p w14:paraId="7CA638B5">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72" w:name="_Toc12438"/>
      <w:bookmarkStart w:id="73" w:name="_Toc28763"/>
      <w:r>
        <w:rPr>
          <w:rFonts w:hint="eastAsia" w:ascii="宋体" w:hAnsi="宋体" w:eastAsia="宋体" w:cs="宋体"/>
          <w:color w:val="auto"/>
          <w:sz w:val="24"/>
          <w:szCs w:val="24"/>
          <w:highlight w:val="none"/>
          <w:lang w:val="en-US" w:eastAsia="zh-CN"/>
        </w:rPr>
        <w:t>7.招标文件澄清</w:t>
      </w:r>
      <w:bookmarkEnd w:id="72"/>
      <w:bookmarkEnd w:id="73"/>
    </w:p>
    <w:p w14:paraId="1D8E59E8">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7.1投标人对招标文件有疑问的，可以向招标代理机构提出询问，招标代理机构将及时做出答复；</w:t>
      </w:r>
    </w:p>
    <w:p w14:paraId="5E805A22">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投标人对招标文件有质疑，须在得到招标文件之日起，以书面形式向招标机构提出质疑；招标机构对在投标截止时间10日以前收到的澄清要求将以书面形式予以答复，并将书面答复发给每个购买招标文件的投标人（答复中不包括问题的来源），必要时同时在财政部门指定的政府采购信息发布媒体发布澄清公告，投标人在收到上述通知后，应在24小时内向招标代理机构回函确认。</w:t>
      </w:r>
    </w:p>
    <w:p w14:paraId="7BA0525A">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74" w:name="_Toc7251"/>
      <w:bookmarkStart w:id="75" w:name="_Toc31263"/>
      <w:r>
        <w:rPr>
          <w:rFonts w:hint="eastAsia" w:ascii="宋体" w:hAnsi="宋体" w:eastAsia="宋体" w:cs="宋体"/>
          <w:color w:val="auto"/>
          <w:sz w:val="24"/>
          <w:szCs w:val="24"/>
          <w:highlight w:val="none"/>
          <w:lang w:val="en-US" w:eastAsia="zh-CN"/>
        </w:rPr>
        <w:t>8.招标文件的修改</w:t>
      </w:r>
      <w:bookmarkEnd w:id="74"/>
      <w:bookmarkEnd w:id="75"/>
    </w:p>
    <w:p w14:paraId="077464ED">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8.1投标截止日期四十八小时前，招标人都可能会以招标文件补充形式在中国招标投标公共服务平台上修改招标文件。</w:t>
      </w:r>
    </w:p>
    <w:p w14:paraId="4629D4F8">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8.2在投标截止时间前，招标机构可视具体情况延长投标截止时间，并将变更时间书面通知所有购买招标文件的投标人。</w:t>
      </w:r>
    </w:p>
    <w:p w14:paraId="5AF2A135">
      <w:pPr>
        <w:pStyle w:val="17"/>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bookmarkStart w:id="76" w:name="_Toc349637922"/>
      <w:bookmarkStart w:id="77" w:name="_Toc267301284"/>
      <w:bookmarkStart w:id="78" w:name="_Toc298240407"/>
      <w:bookmarkStart w:id="79" w:name="_Toc17537"/>
      <w:bookmarkStart w:id="80" w:name="_Toc349573123"/>
      <w:bookmarkStart w:id="81" w:name="_Toc7792"/>
      <w:r>
        <w:rPr>
          <w:rFonts w:hint="eastAsia" w:ascii="宋体" w:hAnsi="宋体" w:eastAsia="宋体" w:cs="宋体"/>
          <w:b/>
          <w:bCs/>
          <w:color w:val="auto"/>
          <w:sz w:val="28"/>
          <w:szCs w:val="28"/>
          <w:highlight w:val="none"/>
          <w:lang w:val="en-US" w:eastAsia="zh-CN"/>
        </w:rPr>
        <w:t>三、投标文件的编写</w:t>
      </w:r>
      <w:bookmarkEnd w:id="76"/>
      <w:bookmarkEnd w:id="77"/>
      <w:bookmarkEnd w:id="78"/>
      <w:bookmarkEnd w:id="79"/>
      <w:bookmarkEnd w:id="80"/>
      <w:bookmarkEnd w:id="81"/>
    </w:p>
    <w:p w14:paraId="742DB359">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82" w:name="_Toc938"/>
      <w:bookmarkStart w:id="83" w:name="_Toc22060"/>
      <w:r>
        <w:rPr>
          <w:rFonts w:hint="eastAsia" w:ascii="宋体" w:hAnsi="宋体" w:eastAsia="宋体" w:cs="宋体"/>
          <w:color w:val="auto"/>
          <w:sz w:val="24"/>
          <w:szCs w:val="24"/>
          <w:highlight w:val="none"/>
          <w:lang w:val="en-US" w:eastAsia="zh-CN"/>
        </w:rPr>
        <w:t>9.要求</w:t>
      </w:r>
      <w:bookmarkEnd w:id="82"/>
      <w:bookmarkEnd w:id="83"/>
    </w:p>
    <w:p w14:paraId="5CAD7108">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9.1投标人应仔细阅读招标文件的所有内容，按招标文件的要求提供投标文件，并保证所提供的全部资料的真实性，以使其投标对招标文件作出实质性响应，否则，其投标可能被拒绝。</w:t>
      </w:r>
    </w:p>
    <w:p w14:paraId="7D2A836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84" w:name="_Toc4175"/>
      <w:bookmarkStart w:id="85" w:name="_Toc25523"/>
      <w:r>
        <w:rPr>
          <w:rFonts w:hint="eastAsia" w:ascii="宋体" w:hAnsi="宋体" w:eastAsia="宋体" w:cs="宋体"/>
          <w:color w:val="auto"/>
          <w:sz w:val="24"/>
          <w:szCs w:val="24"/>
          <w:highlight w:val="none"/>
          <w:lang w:val="en-US" w:eastAsia="zh-CN"/>
        </w:rPr>
        <w:t>10.投标语言</w:t>
      </w:r>
      <w:bookmarkEnd w:id="84"/>
      <w:bookmarkEnd w:id="85"/>
    </w:p>
    <w:p w14:paraId="2C1288F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10.1投标文件及投标人与招标代理机构就投标交换的文件和来往信件，应以中文书写。</w:t>
      </w:r>
    </w:p>
    <w:p w14:paraId="4DC723C9">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86" w:name="_Toc4014"/>
      <w:bookmarkStart w:id="87" w:name="_Toc23862"/>
      <w:r>
        <w:rPr>
          <w:rFonts w:hint="eastAsia" w:ascii="宋体" w:hAnsi="宋体" w:eastAsia="宋体" w:cs="宋体"/>
          <w:color w:val="auto"/>
          <w:sz w:val="24"/>
          <w:szCs w:val="24"/>
          <w:highlight w:val="none"/>
          <w:lang w:val="en-US" w:eastAsia="zh-CN"/>
        </w:rPr>
        <w:t>11.投标文件的构成</w:t>
      </w:r>
      <w:bookmarkEnd w:id="86"/>
      <w:bookmarkEnd w:id="87"/>
    </w:p>
    <w:p w14:paraId="7348BC4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11.1投标人编写的投标文件应包括下列内容：</w:t>
      </w:r>
    </w:p>
    <w:p w14:paraId="02AA8DA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11.1.1投标文件封面（封面、目录、索引表）</w:t>
      </w:r>
    </w:p>
    <w:p w14:paraId="2158B46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11.1.2资格文件</w:t>
      </w:r>
    </w:p>
    <w:p w14:paraId="73F9927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11.1.2.1满足《中华人民共和国政府采购法》第二十二条规定；</w:t>
      </w:r>
    </w:p>
    <w:p w14:paraId="446C37D8">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11.1.2.2投标保证金；</w:t>
      </w:r>
    </w:p>
    <w:p w14:paraId="5F07EC0A">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11.1.2.3本项目特定资格资质；</w:t>
      </w:r>
    </w:p>
    <w:p w14:paraId="23B1B0D8">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11.1.3报价文件</w:t>
      </w:r>
    </w:p>
    <w:p w14:paraId="6821B81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11.1.3.1开标一览表；</w:t>
      </w:r>
    </w:p>
    <w:p w14:paraId="39E4035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11.1.4商务技术文件</w:t>
      </w:r>
    </w:p>
    <w:p w14:paraId="17E80672">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11.1.4.1投标函；</w:t>
      </w:r>
    </w:p>
    <w:p w14:paraId="2FBBBB91">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11.1.4.2投标人基本情况表；</w:t>
      </w:r>
    </w:p>
    <w:p w14:paraId="509CB3C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11.1.4.3技术参数偏离表；</w:t>
      </w:r>
    </w:p>
    <w:p w14:paraId="188FF11D">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11.1.4.4商务条款偏离表；</w:t>
      </w:r>
    </w:p>
    <w:p w14:paraId="62C32BD5">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11.1.4.5</w:t>
      </w:r>
      <w:r>
        <w:rPr>
          <w:rFonts w:hint="eastAsia" w:ascii="宋体" w:hAnsi="宋体" w:cs="宋体"/>
          <w:color w:val="auto"/>
          <w:sz w:val="24"/>
          <w:szCs w:val="24"/>
          <w:highlight w:val="none"/>
          <w:lang w:val="en-US" w:eastAsia="zh-CN"/>
        </w:rPr>
        <w:t>投标人近三年类似项目业绩；</w:t>
      </w:r>
    </w:p>
    <w:p w14:paraId="76B73FB8">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11.1.4.6</w:t>
      </w:r>
      <w:r>
        <w:rPr>
          <w:rFonts w:hint="eastAsia" w:ascii="Times New Roman" w:hAnsi="Times New Roman" w:cs="Times New Roman"/>
          <w:color w:val="auto"/>
          <w:sz w:val="24"/>
          <w:szCs w:val="24"/>
          <w:highlight w:val="none"/>
          <w:lang w:val="en-US" w:eastAsia="zh-CN"/>
        </w:rPr>
        <w:t>企业实力</w:t>
      </w:r>
    </w:p>
    <w:p w14:paraId="22FE281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11.1.4.7项目负责人基本情况表；</w:t>
      </w:r>
    </w:p>
    <w:p w14:paraId="2B63DD2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拟投入项目人员配置表；</w:t>
      </w:r>
    </w:p>
    <w:p w14:paraId="5D3C55F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w:t>
      </w:r>
      <w:r>
        <w:rPr>
          <w:rFonts w:hint="eastAsia" w:ascii="宋体" w:hAnsi="宋体" w:cs="宋体"/>
          <w:color w:val="auto"/>
          <w:sz w:val="24"/>
          <w:szCs w:val="24"/>
          <w:highlight w:val="none"/>
          <w:lang w:val="en-US" w:eastAsia="zh-CN"/>
        </w:rPr>
        <w:t>9实施（服务）方案</w:t>
      </w:r>
      <w:r>
        <w:rPr>
          <w:rFonts w:hint="eastAsia" w:ascii="宋体" w:hAnsi="宋体" w:eastAsia="宋体" w:cs="宋体"/>
          <w:color w:val="auto"/>
          <w:sz w:val="24"/>
          <w:szCs w:val="24"/>
          <w:highlight w:val="none"/>
          <w:lang w:val="en-US" w:eastAsia="zh-CN"/>
        </w:rPr>
        <w:t>；</w:t>
      </w:r>
    </w:p>
    <w:p w14:paraId="5EEB9807">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进度计划保障措施；</w:t>
      </w:r>
    </w:p>
    <w:p w14:paraId="75C9E58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服务质量控制措施；</w:t>
      </w:r>
    </w:p>
    <w:p w14:paraId="21EEBF9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11.1.4.1</w:t>
      </w:r>
      <w:r>
        <w:rPr>
          <w:rFonts w:hint="eastAsia" w:ascii="宋体" w:hAnsi="宋体" w:cs="宋体"/>
          <w:color w:val="auto"/>
          <w:sz w:val="24"/>
          <w:szCs w:val="24"/>
          <w:highlight w:val="none"/>
          <w:lang w:val="en-US" w:eastAsia="zh-CN"/>
        </w:rPr>
        <w:t>2内控制度措施</w:t>
      </w:r>
      <w:r>
        <w:rPr>
          <w:rFonts w:hint="eastAsia" w:ascii="宋体" w:hAnsi="宋体" w:eastAsia="宋体" w:cs="宋体"/>
          <w:color w:val="auto"/>
          <w:sz w:val="24"/>
          <w:szCs w:val="24"/>
          <w:highlight w:val="none"/>
          <w:lang w:val="en-US" w:eastAsia="zh-CN"/>
        </w:rPr>
        <w:t>；</w:t>
      </w:r>
    </w:p>
    <w:p w14:paraId="4712E4AD">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其他有利于投标的资料及证明文件等。</w:t>
      </w:r>
    </w:p>
    <w:p w14:paraId="1F600C35">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11.2投标人应将投标文件装订成册，并编写文件资料目录。</w:t>
      </w:r>
    </w:p>
    <w:p w14:paraId="003BE03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88" w:name="_Toc18986"/>
      <w:bookmarkStart w:id="89" w:name="_Toc14471"/>
      <w:r>
        <w:rPr>
          <w:rFonts w:hint="eastAsia" w:ascii="宋体" w:hAnsi="宋体" w:eastAsia="宋体" w:cs="宋体"/>
          <w:color w:val="auto"/>
          <w:sz w:val="24"/>
          <w:szCs w:val="24"/>
          <w:highlight w:val="none"/>
          <w:lang w:val="en-US" w:eastAsia="zh-CN"/>
        </w:rPr>
        <w:t>12.投标文件格式</w:t>
      </w:r>
      <w:bookmarkEnd w:id="88"/>
      <w:bookmarkEnd w:id="89"/>
    </w:p>
    <w:p w14:paraId="1730185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12.1投标人应按招标文件的投标文件格式中提供的投标文件格式填写投标承诺书、开标一览表、投标报价明细表（如有）。</w:t>
      </w:r>
    </w:p>
    <w:p w14:paraId="39327DD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12.2投标人应按招标文件“第六部分 投标文件格式”提供的格式编写其投标文件，投标人不得缺少或留空任何招标文件要求填写的表格或提交的资料。</w:t>
      </w:r>
    </w:p>
    <w:p w14:paraId="3AF79B4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12.3投标人应将投标文件按“第六部分 投标文件格式”提供的格式规定的顺序编排、并应编制目录、逐页标注连续页码，并装订成册。</w:t>
      </w:r>
    </w:p>
    <w:p w14:paraId="39B3AE1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90" w:name="_Toc27419"/>
      <w:bookmarkStart w:id="91" w:name="_Toc20732"/>
      <w:r>
        <w:rPr>
          <w:rFonts w:hint="eastAsia" w:ascii="宋体" w:hAnsi="宋体" w:eastAsia="宋体" w:cs="宋体"/>
          <w:color w:val="auto"/>
          <w:sz w:val="24"/>
          <w:szCs w:val="24"/>
          <w:highlight w:val="none"/>
          <w:lang w:val="en-US" w:eastAsia="zh-CN"/>
        </w:rPr>
        <w:t>13.投标报价</w:t>
      </w:r>
      <w:bookmarkEnd w:id="90"/>
      <w:bookmarkEnd w:id="91"/>
    </w:p>
    <w:p w14:paraId="7E53CF78">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13.1投标人应在投标报价表上标明单价和总价。单价和总价要相符。小写和大写要相符。投标人应在投标报价表中标明其提供的所有货物/服务及其相关工作范围内所有费用的总价，不接受有任何选择性报价。</w:t>
      </w:r>
    </w:p>
    <w:p w14:paraId="3389500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13.2投标人所报的投标报价不得高于本项目最高投标限价。</w:t>
      </w:r>
    </w:p>
    <w:p w14:paraId="5FA48A6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13.3算术性修正。算术性修正是指对投标文件的报价明细进行校核，并对其算术上和运算上的差错给予修正。修正的原则如下：</w:t>
      </w:r>
    </w:p>
    <w:p w14:paraId="52B9F9C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13.3.1当以数字表示的金额与文字表示的金额有差异时，以文字表示的金额为准；</w:t>
      </w:r>
    </w:p>
    <w:p w14:paraId="0031675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13.3.2当单价与数量相乘不等于合价时，以单价计算为准。如果单价有明显的小数点位置差错，应以标出的合价为准，同时对单价予以修正；</w:t>
      </w:r>
    </w:p>
    <w:p w14:paraId="28829DC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13.3.3当各明细部分的价格累计不等于合价时，应以各明细的累计计数为准，修正合价。</w:t>
      </w:r>
    </w:p>
    <w:p w14:paraId="189FD2D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13.3.4按以上原则对算术性差错修正，应取得投标人的同意，并确认修正后最终投标价。如果投标人拒绝确认，则其投标文件将不予以评审并按废标处理，没收其投标担保。</w:t>
      </w:r>
    </w:p>
    <w:p w14:paraId="46A2DB81">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92" w:name="_Toc17041"/>
      <w:bookmarkStart w:id="93" w:name="_Toc26760"/>
      <w:r>
        <w:rPr>
          <w:rFonts w:hint="eastAsia" w:ascii="宋体" w:hAnsi="宋体" w:eastAsia="宋体" w:cs="宋体"/>
          <w:color w:val="auto"/>
          <w:sz w:val="24"/>
          <w:szCs w:val="24"/>
          <w:highlight w:val="none"/>
          <w:lang w:val="en-US" w:eastAsia="zh-CN"/>
        </w:rPr>
        <w:t>13.4投标报价依据相关法律法规等文件，并结合工程实际情况,未按此规定填报的投标人，整个投标文件将被视为不响应招标文件，而予以拒绝评审。</w:t>
      </w:r>
    </w:p>
    <w:p w14:paraId="7AD3081A">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13.5投标人不得违反《中华人民共和国反不正当竞争法》的规定，以低于成本的价格销售货物或服务，否则应对其价格构成情况做出详细说明并提供相关证明资料。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投标人的澄清、说明或者补正应当采用书面形式，由其授权代表签字，并不得超出投标文件的范围或者改变投标文件的实质性内容，书面承诺为其投标文件的组成部分。</w:t>
      </w:r>
    </w:p>
    <w:p w14:paraId="544F653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14.投标货币</w:t>
      </w:r>
      <w:bookmarkEnd w:id="92"/>
      <w:bookmarkEnd w:id="93"/>
    </w:p>
    <w:p w14:paraId="0759446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14.1投标人提供的货物和服务一律用人民币报价。</w:t>
      </w:r>
    </w:p>
    <w:p w14:paraId="09250C79">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94" w:name="_Toc20066"/>
      <w:bookmarkStart w:id="95" w:name="_Toc6964"/>
      <w:r>
        <w:rPr>
          <w:rFonts w:hint="eastAsia" w:ascii="宋体" w:hAnsi="宋体" w:eastAsia="宋体" w:cs="宋体"/>
          <w:color w:val="auto"/>
          <w:sz w:val="24"/>
          <w:szCs w:val="24"/>
          <w:highlight w:val="none"/>
          <w:lang w:val="en-US" w:eastAsia="zh-CN"/>
        </w:rPr>
        <w:t>15.投标人的证明文件：</w:t>
      </w:r>
      <w:bookmarkEnd w:id="94"/>
      <w:bookmarkEnd w:id="95"/>
    </w:p>
    <w:p w14:paraId="28A4DC04">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投标人必须提交证明其有资格进行投标和有能力履行合同的文件，作为投标文件的一部分。（详见“投标人须知前附表”、“投标文件格式”）</w:t>
      </w:r>
    </w:p>
    <w:p w14:paraId="5C9B87F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（1）投标文件中要求签字、盖章处必须严格按要求签字、加盖有关有法律效力的印章方为有效；</w:t>
      </w:r>
    </w:p>
    <w:p w14:paraId="23497995">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（2）所有资格证明文件必须满足招标文件要求，否则将导致废标。</w:t>
      </w:r>
    </w:p>
    <w:p w14:paraId="15F3BF93">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16.投标人须提交证明拟供货物和服务符合招标文件规定的技术投标文件，作为投标文件的一部分。</w:t>
      </w:r>
    </w:p>
    <w:p w14:paraId="0A852EB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96" w:name="_Toc24392"/>
      <w:bookmarkStart w:id="97" w:name="_Toc5361"/>
      <w:r>
        <w:rPr>
          <w:rFonts w:hint="eastAsia" w:ascii="宋体" w:hAnsi="宋体" w:eastAsia="宋体" w:cs="宋体"/>
          <w:color w:val="auto"/>
          <w:sz w:val="24"/>
          <w:szCs w:val="24"/>
          <w:highlight w:val="none"/>
          <w:lang w:val="en-US" w:eastAsia="zh-CN"/>
        </w:rPr>
        <w:t>17.投标有效期</w:t>
      </w:r>
      <w:bookmarkEnd w:id="96"/>
      <w:bookmarkEnd w:id="97"/>
    </w:p>
    <w:p w14:paraId="6123807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17.1投标文件从开标之日起，投标有效期为90天。（如不满足将导致废标）</w:t>
      </w:r>
    </w:p>
    <w:p w14:paraId="35C9B51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17.2在特殊情况下，招标代理机构可与投标人商量延长投标文件的有效期。</w:t>
      </w:r>
    </w:p>
    <w:p w14:paraId="347316E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98" w:name="_Toc10227"/>
      <w:bookmarkStart w:id="99" w:name="_Toc8237"/>
      <w:r>
        <w:rPr>
          <w:rFonts w:hint="eastAsia" w:ascii="宋体" w:hAnsi="宋体" w:eastAsia="宋体" w:cs="宋体"/>
          <w:color w:val="auto"/>
          <w:sz w:val="24"/>
          <w:szCs w:val="24"/>
          <w:highlight w:val="none"/>
          <w:lang w:val="en-US" w:eastAsia="zh-CN"/>
        </w:rPr>
        <w:t>18.投标文件的书写要求</w:t>
      </w:r>
      <w:bookmarkEnd w:id="98"/>
      <w:bookmarkEnd w:id="99"/>
    </w:p>
    <w:p w14:paraId="05AEFFC4">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18.1投标文件均须左侧胶装装订，装订须牢固不易拆散和换页，不得采用活页方式装订，</w:t>
      </w:r>
      <w:r>
        <w:rPr>
          <w:rFonts w:hint="eastAsia" w:ascii="宋体" w:hAnsi="宋体" w:eastAsia="宋体" w:cs="宋体"/>
          <w:color w:val="auto"/>
          <w:sz w:val="24"/>
          <w:szCs w:val="24"/>
          <w:highlight w:val="none"/>
          <w:lang w:val="zh-CN" w:eastAsia="zh-CN"/>
        </w:rPr>
        <w:t>每本标书厚度不得超过5cm，如超过可以分册装订</w:t>
      </w:r>
      <w:r>
        <w:rPr>
          <w:rFonts w:hint="eastAsia" w:ascii="宋体" w:hAnsi="宋体" w:eastAsia="宋体" w:cs="宋体"/>
          <w:color w:val="auto"/>
          <w:sz w:val="24"/>
          <w:szCs w:val="24"/>
          <w:highlight w:val="none"/>
          <w:lang w:val="en-US" w:eastAsia="zh-CN"/>
        </w:rPr>
        <w:t>。</w:t>
      </w:r>
    </w:p>
    <w:p w14:paraId="578A147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18.2投标文件应清楚工整，修改处应应加盖单位法人代表或代理人印章。</w:t>
      </w:r>
    </w:p>
    <w:p w14:paraId="37119C3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18.3投标文件应由法定代表人或委托代理人在凡规定签章处逐一签署及加盖法人章或单位公章。</w:t>
      </w:r>
    </w:p>
    <w:p w14:paraId="5D5F3A5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18.4电报、电话、传真形式的投标概不接受。</w:t>
      </w:r>
    </w:p>
    <w:p w14:paraId="668565BD">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18.5投标文件的份数（详见“投标人须知前附表”）。</w:t>
      </w:r>
    </w:p>
    <w:p w14:paraId="340379F2">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100" w:name="_Toc21424"/>
      <w:bookmarkStart w:id="101" w:name="_Toc19182"/>
      <w:r>
        <w:rPr>
          <w:rFonts w:hint="eastAsia" w:ascii="宋体" w:hAnsi="宋体" w:eastAsia="宋体" w:cs="宋体"/>
          <w:color w:val="auto"/>
          <w:sz w:val="24"/>
          <w:szCs w:val="24"/>
          <w:highlight w:val="none"/>
          <w:lang w:val="en-US" w:eastAsia="zh-CN"/>
        </w:rPr>
        <w:t>19.投标保证金</w:t>
      </w:r>
      <w:bookmarkEnd w:id="100"/>
      <w:bookmarkEnd w:id="101"/>
    </w:p>
    <w:p w14:paraId="2F1D2C3A">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19.1投标人按照“投标人须知前附表”中明确的标准，于投标截止时间前向招标代理机构交纳投标保证金。</w:t>
      </w:r>
    </w:p>
    <w:p w14:paraId="17B99E68">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19.2本次招标可接受电汇作为投标保证金，投标保证金有效期应当与投标有效期一致。</w:t>
      </w:r>
    </w:p>
    <w:p w14:paraId="0A70FBB8">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19.3投标保证金的退还时间：</w:t>
      </w:r>
    </w:p>
    <w:p w14:paraId="3833DAC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19.3.1在中标通知书发出后5个工作日内退还未中标供应商的投标保证金，在采购合同签订且公示后5个工作日内退还中标供应商的投标保证金。具体退还保证金要求，详见“第七部分 附件”。</w:t>
      </w:r>
    </w:p>
    <w:p w14:paraId="3A08BAC7">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19.4未按规定提交投标保证金的投标，将被视为投标无效。</w:t>
      </w:r>
    </w:p>
    <w:p w14:paraId="6EDC5854">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19.5下列任何情况发生时，投标保证金将被没收：</w:t>
      </w:r>
    </w:p>
    <w:p w14:paraId="28645B3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19.5.1投标人在招标文件规定的投标有效期内撤回其投标；</w:t>
      </w:r>
    </w:p>
    <w:p w14:paraId="25C4C441">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19.5.2中标人在规定期限内未能：</w:t>
      </w:r>
    </w:p>
    <w:p w14:paraId="0F0CE6D2">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19.5.2.1按本须知规定签订合同；</w:t>
      </w:r>
    </w:p>
    <w:p w14:paraId="2E44B9D9">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19.5.2.2按本须知规定向招标代理机构交纳招标代理服务费。</w:t>
      </w:r>
    </w:p>
    <w:p w14:paraId="56D9CFF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19.5.3投标人行贿采购人或招标代理机构或评标专家或试图影响招标结果的行为；</w:t>
      </w:r>
    </w:p>
    <w:p w14:paraId="3E265CC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19.5.4投标人在提交投标文件时或答复质疑及澄清时提供虚假或伪造的证明材料及数据；</w:t>
      </w:r>
    </w:p>
    <w:p w14:paraId="23F9DE71">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19.5.5</w:t>
      </w:r>
      <w:r>
        <w:rPr>
          <w:rFonts w:hint="eastAsia" w:ascii="宋体" w:hAnsi="宋体" w:eastAsia="宋体" w:cs="宋体"/>
          <w:color w:val="auto"/>
          <w:sz w:val="24"/>
          <w:szCs w:val="24"/>
          <w:highlight w:val="none"/>
          <w:lang w:val="zh-CN" w:eastAsia="zh-CN"/>
        </w:rPr>
        <w:t>法律、行政法规和招标文件规定的其他情况。</w:t>
      </w:r>
    </w:p>
    <w:p w14:paraId="007658E1">
      <w:pPr>
        <w:pStyle w:val="17"/>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bookmarkStart w:id="102" w:name="_Toc267301285"/>
      <w:bookmarkStart w:id="103" w:name="_Toc298240408"/>
      <w:bookmarkStart w:id="104" w:name="_Toc349637923"/>
      <w:bookmarkStart w:id="105" w:name="_Toc349573124"/>
      <w:bookmarkStart w:id="106" w:name="_Toc22142"/>
      <w:bookmarkStart w:id="107" w:name="_Toc28588"/>
      <w:r>
        <w:rPr>
          <w:rFonts w:hint="eastAsia" w:ascii="宋体" w:hAnsi="宋体" w:eastAsia="宋体" w:cs="宋体"/>
          <w:b/>
          <w:bCs/>
          <w:color w:val="auto"/>
          <w:sz w:val="28"/>
          <w:szCs w:val="28"/>
          <w:highlight w:val="none"/>
          <w:lang w:val="en-US" w:eastAsia="zh-CN"/>
        </w:rPr>
        <w:t>四、投标文件的递交</w:t>
      </w:r>
      <w:bookmarkEnd w:id="102"/>
      <w:bookmarkEnd w:id="103"/>
      <w:bookmarkEnd w:id="104"/>
      <w:bookmarkEnd w:id="105"/>
      <w:bookmarkEnd w:id="106"/>
      <w:bookmarkEnd w:id="107"/>
    </w:p>
    <w:p w14:paraId="6F4443DA">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108" w:name="_Toc26228"/>
      <w:bookmarkStart w:id="109" w:name="_Toc267301286"/>
      <w:bookmarkStart w:id="110" w:name="_Toc349637924"/>
      <w:bookmarkStart w:id="111" w:name="_Toc298240409"/>
      <w:bookmarkStart w:id="112" w:name="_Toc349573125"/>
      <w:bookmarkStart w:id="113" w:name="_Toc16765"/>
      <w:r>
        <w:rPr>
          <w:rFonts w:hint="eastAsia" w:ascii="宋体" w:hAnsi="宋体" w:eastAsia="宋体" w:cs="宋体"/>
          <w:color w:val="auto"/>
          <w:sz w:val="24"/>
          <w:szCs w:val="24"/>
          <w:highlight w:val="none"/>
          <w:lang w:val="en-US" w:eastAsia="zh-CN"/>
        </w:rPr>
        <w:t>20.投标文件的加密与标记</w:t>
      </w:r>
    </w:p>
    <w:p w14:paraId="1BFF18E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投标人应通过电子投标文件制作工具严格按招标文件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w:t>
      </w:r>
    </w:p>
    <w:p w14:paraId="5DFD1392">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投标截止时间以政采云平台显示的时间为准，逾期系统将自动关闭，未完成上传的投标文件视为逾期送达，将被拒绝。</w:t>
      </w:r>
    </w:p>
    <w:p w14:paraId="1A69A93D">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20.2如果投标人未按上述要求加密及标记，采购代理机构对投标文件的误投和提前启封概不负责。对由此造成提前开启的投标文件，采购代理机构有权予以拒绝，并退回投标人。</w:t>
      </w:r>
    </w:p>
    <w:p w14:paraId="252BA6F9">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21.投标文件的递交</w:t>
      </w:r>
    </w:p>
    <w:p w14:paraId="46F8DB6D">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21.1本</w:t>
      </w:r>
      <w:r>
        <w:rPr>
          <w:rFonts w:hint="eastAsia" w:ascii="宋体" w:hAnsi="宋体" w:eastAsia="宋体" w:cs="宋体"/>
          <w:color w:val="auto"/>
          <w:sz w:val="24"/>
          <w:szCs w:val="24"/>
          <w:highlight w:val="none"/>
          <w:lang w:val="zh-CN" w:eastAsia="zh-CN"/>
        </w:rPr>
        <w:t>项目采用不见面开标。只需将加密电子投标文件（.</w:t>
      </w:r>
      <w:r>
        <w:rPr>
          <w:rFonts w:hint="eastAsia" w:ascii="宋体" w:hAnsi="宋体" w:eastAsia="宋体" w:cs="宋体"/>
          <w:color w:val="auto"/>
          <w:sz w:val="24"/>
          <w:szCs w:val="24"/>
          <w:highlight w:val="none"/>
          <w:lang w:val="en-US" w:eastAsia="zh-CN"/>
        </w:rPr>
        <w:t>jmbs</w:t>
      </w:r>
      <w:r>
        <w:rPr>
          <w:rFonts w:hint="eastAsia" w:ascii="宋体" w:hAnsi="宋体" w:eastAsia="宋体" w:cs="宋体"/>
          <w:color w:val="auto"/>
          <w:sz w:val="24"/>
          <w:szCs w:val="24"/>
          <w:highlight w:val="none"/>
          <w:lang w:val="zh-CN" w:eastAsia="zh-CN"/>
        </w:rPr>
        <w:t>格式）在投标截止时间前通过</w:t>
      </w:r>
      <w:r>
        <w:rPr>
          <w:rFonts w:hint="eastAsia" w:ascii="宋体" w:hAnsi="宋体" w:eastAsia="宋体" w:cs="宋体"/>
          <w:color w:val="auto"/>
          <w:sz w:val="24"/>
          <w:szCs w:val="24"/>
          <w:highlight w:val="none"/>
          <w:lang w:val="en-US" w:eastAsia="zh-CN"/>
        </w:rPr>
        <w:t>政采云</w:t>
      </w:r>
      <w:r>
        <w:rPr>
          <w:rFonts w:hint="eastAsia" w:ascii="宋体" w:hAnsi="宋体" w:eastAsia="宋体" w:cs="宋体"/>
          <w:color w:val="auto"/>
          <w:sz w:val="24"/>
          <w:szCs w:val="24"/>
          <w:highlight w:val="none"/>
          <w:lang w:val="zh-CN" w:eastAsia="zh-CN"/>
        </w:rPr>
        <w:t>平台上传完成。上传时必须得到电脑“上传成功”的确认回复后方为上传成功。逾期上传的或者未上传到平台的投标文件，采购人不予受理。</w:t>
      </w:r>
    </w:p>
    <w:p w14:paraId="2600BE9A">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21.2</w:t>
      </w:r>
      <w:r>
        <w:rPr>
          <w:rFonts w:hint="eastAsia" w:ascii="宋体" w:hAnsi="宋体" w:eastAsia="宋体" w:cs="宋体"/>
          <w:b/>
          <w:bCs/>
          <w:color w:val="auto"/>
          <w:sz w:val="24"/>
          <w:szCs w:val="24"/>
          <w:highlight w:val="none"/>
          <w:lang w:val="zh-CN" w:eastAsia="zh-CN"/>
        </w:rPr>
        <w:t>投标单位在投标截止时间前无需提供纸质投标文件，待中标（成交）</w:t>
      </w:r>
      <w:r>
        <w:rPr>
          <w:rFonts w:hint="eastAsia" w:ascii="宋体" w:hAnsi="宋体" w:eastAsia="宋体" w:cs="宋体"/>
          <w:b/>
          <w:bCs/>
          <w:color w:val="auto"/>
          <w:sz w:val="24"/>
          <w:szCs w:val="24"/>
          <w:highlight w:val="none"/>
          <w:lang w:val="en-US" w:eastAsia="zh-CN"/>
        </w:rPr>
        <w:t>公示期满后由中标单位将纸质（正本1份、副本2份）送或寄至新疆众通桥项目管理咨询有限公司。</w:t>
      </w:r>
    </w:p>
    <w:p w14:paraId="55B79A8D">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21.3</w:t>
      </w:r>
      <w:r>
        <w:rPr>
          <w:rFonts w:hint="eastAsia" w:ascii="宋体" w:hAnsi="宋体" w:eastAsia="宋体" w:cs="宋体"/>
          <w:color w:val="auto"/>
          <w:sz w:val="24"/>
          <w:szCs w:val="24"/>
          <w:highlight w:val="none"/>
          <w:lang w:val="zh-CN" w:eastAsia="zh-CN"/>
        </w:rPr>
        <w:t>纸质投标文件装订要求：投标文件要求不得活页装订，每本标书厚度不得超过5cm，如超过可以分册装订。</w:t>
      </w:r>
    </w:p>
    <w:p w14:paraId="627629E1">
      <w:pPr>
        <w:pStyle w:val="17"/>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w:t>
      </w:r>
      <w:bookmarkEnd w:id="108"/>
      <w:bookmarkEnd w:id="109"/>
      <w:bookmarkEnd w:id="110"/>
      <w:bookmarkEnd w:id="111"/>
      <w:bookmarkEnd w:id="112"/>
      <w:r>
        <w:rPr>
          <w:rFonts w:hint="eastAsia" w:ascii="宋体" w:hAnsi="宋体" w:eastAsia="宋体" w:cs="宋体"/>
          <w:b/>
          <w:bCs/>
          <w:color w:val="auto"/>
          <w:sz w:val="28"/>
          <w:szCs w:val="28"/>
          <w:highlight w:val="none"/>
          <w:lang w:val="en-US" w:eastAsia="zh-CN"/>
        </w:rPr>
        <w:t>、开标程序</w:t>
      </w:r>
      <w:bookmarkEnd w:id="113"/>
    </w:p>
    <w:p w14:paraId="5D34A427">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22．开标</w:t>
      </w:r>
    </w:p>
    <w:p w14:paraId="338865A3">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22.1本项目采用电子招投标方式</w:t>
      </w:r>
    </w:p>
    <w:p w14:paraId="2FB7E499">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22.2本次招标按招标文件中投标邀请规定的时间地点进行开标，将邀请投标人的法定代表人或其授权委托人准时参加开标会。</w:t>
      </w:r>
    </w:p>
    <w:p w14:paraId="3123D461">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22.3对招标人的纪律要求</w:t>
      </w:r>
    </w:p>
    <w:p w14:paraId="675F5E2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招标人不得泄露招标投标活动中应当保密的情况和资料，不得与投标人串通损害国家利益、社会公共利益或者他人合法权益。</w:t>
      </w:r>
    </w:p>
    <w:p w14:paraId="1636FDF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22.4对投标人的纪律要求</w:t>
      </w:r>
    </w:p>
    <w:p w14:paraId="28742D4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投标人不得互相串通投标或者与招标人串通投标，不得向招标人或者评标委员会成员行贿谋取中标，不得以他人名义投标或者以其他方式弄虚作假骗取中标；投标人不得以任何方式干扰、影响评标工作。</w:t>
      </w:r>
    </w:p>
    <w:p w14:paraId="2E0A368A">
      <w:pPr>
        <w:pStyle w:val="17"/>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六、投标文件的解密</w:t>
      </w:r>
    </w:p>
    <w:p w14:paraId="326AB254">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bookmarkStart w:id="114" w:name="_Toc267301288"/>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.1投标文件的解密</w:t>
      </w:r>
    </w:p>
    <w:p w14:paraId="73E3FA2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政采云平台将在开标时间（投标文件解密时间）自动开启投标文件解密，投标人需在采购文件规定的时间内自行将投标文件进行解密。</w:t>
      </w:r>
      <w:r>
        <w:rPr>
          <w:rFonts w:hint="eastAsia" w:ascii="宋体" w:hAnsi="宋体" w:cs="宋体"/>
          <w:b/>
          <w:bCs/>
          <w:color w:val="auto"/>
          <w:sz w:val="24"/>
          <w:szCs w:val="24"/>
          <w:highlight w:val="none"/>
        </w:rPr>
        <w:t>待开启签字提示时，及时进行签字确认。</w:t>
      </w:r>
      <w:r>
        <w:rPr>
          <w:rFonts w:hint="eastAsia" w:ascii="宋体" w:hAnsi="宋体" w:eastAsia="宋体" w:cs="宋体"/>
          <w:color w:val="auto"/>
          <w:sz w:val="24"/>
          <w:szCs w:val="24"/>
          <w:highlight w:val="none"/>
          <w:lang w:val="en-US" w:eastAsia="zh-CN"/>
        </w:rPr>
        <w:t>如因供应商自身原因导致在规定时间内无法正常解密的（如：浏览器故障、未安装相关驱动、网络故障、加密CA与解密CA不一致等），招标代理机构不予异常处理，视为供应商自动弃标。</w:t>
      </w:r>
    </w:p>
    <w:p w14:paraId="3532C8C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.2投标文件解密失败的异常处理</w:t>
      </w:r>
    </w:p>
    <w:p w14:paraId="61FC670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在投标文件解密截止时间前，如因政采云系统原因导致不能正常解密的，应及时联系代理机构项目负责人，经确认后将上传未加密的电子投标文件进行异常处理。如超过投标文件解密时间，不管什么原因招标代理机构一律不予异常处理，视为供应商自动弃标。</w:t>
      </w:r>
    </w:p>
    <w:bookmarkEnd w:id="114"/>
    <w:p w14:paraId="6E0066EF">
      <w:pPr>
        <w:pStyle w:val="17"/>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bookmarkStart w:id="115" w:name="_Toc24164"/>
      <w:r>
        <w:rPr>
          <w:rFonts w:hint="eastAsia" w:ascii="宋体" w:hAnsi="宋体" w:eastAsia="宋体" w:cs="宋体"/>
          <w:b/>
          <w:bCs/>
          <w:color w:val="auto"/>
          <w:sz w:val="28"/>
          <w:szCs w:val="28"/>
          <w:highlight w:val="none"/>
          <w:lang w:val="en-US" w:eastAsia="zh-CN"/>
        </w:rPr>
        <w:t>七、</w:t>
      </w:r>
      <w:bookmarkEnd w:id="115"/>
      <w:r>
        <w:rPr>
          <w:rFonts w:hint="eastAsia" w:ascii="宋体" w:hAnsi="宋体" w:eastAsia="宋体" w:cs="宋体"/>
          <w:b/>
          <w:bCs/>
          <w:color w:val="auto"/>
          <w:sz w:val="28"/>
          <w:szCs w:val="28"/>
          <w:highlight w:val="none"/>
          <w:lang w:val="en-US" w:eastAsia="zh-CN"/>
        </w:rPr>
        <w:t>授予合同</w:t>
      </w:r>
    </w:p>
    <w:p w14:paraId="45F1F46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.合同授予标准</w:t>
      </w:r>
    </w:p>
    <w:p w14:paraId="3322CACA">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.1合同将授予被确定为实质上响应招标文件要求，评标认为具备履行合同义务条件、报价合理、技术和商务条件都符合条件基础上综合评分得分最高的投标人。</w:t>
      </w:r>
    </w:p>
    <w:p w14:paraId="51B52E42">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.2最高投标价不一定是被授予合同的保证。</w:t>
      </w:r>
    </w:p>
    <w:p w14:paraId="7461D95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.3如果确定该投标人无法圆满履行合同，招标代理机构将对下一个可能中标的投标人资格作出类似的审查。</w:t>
      </w:r>
    </w:p>
    <w:p w14:paraId="11424BE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.接受和拒绝任何或所有投标的权力</w:t>
      </w:r>
    </w:p>
    <w:p w14:paraId="49076851">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.1采购人或招标代理机构保留依法定事由、不可抗力或政府采购主管部门相关要求，拒绝任何或所有投标的权利，或宣布招标无效的权利。对受影响的投标人不承担任何责任。</w:t>
      </w:r>
    </w:p>
    <w:p w14:paraId="2F138C9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.中标通知书</w:t>
      </w:r>
    </w:p>
    <w:p w14:paraId="6287CE6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.1中标公告期满后，招标代理机构将以书面形式发出《中标通知书》，但发出时间不超过投标有效期，《中标通知书》一经发出即发生法律效力。</w:t>
      </w:r>
    </w:p>
    <w:p w14:paraId="79F2B39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.2《中标通知书》将作为签订合同的依据。</w:t>
      </w:r>
    </w:p>
    <w:p w14:paraId="168F243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.3招标代理机构将在中标人按规定签订合同并提交履约保证金（如适用）后退还其投标保证金。</w:t>
      </w:r>
    </w:p>
    <w:p w14:paraId="33294329">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lang w:val="en-US" w:eastAsia="zh-CN"/>
        </w:rPr>
        <w:t>.签订合同</w:t>
      </w:r>
    </w:p>
    <w:p w14:paraId="1552AAE5">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lang w:val="en-US" w:eastAsia="zh-CN"/>
        </w:rPr>
        <w:t>.1中标人应当自《中标通知书》发出之日起三十日内，按照招标文件和中标供应商投标文件的约定，与采购人签订书面合同。所签订的合同不得对招标文件和中标供商投标文件作实质性修改，采购人和中标人不得再订立背离合同实质性内容的其他协议。</w:t>
      </w:r>
    </w:p>
    <w:p w14:paraId="62DD792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lang w:val="en-US" w:eastAsia="zh-CN"/>
        </w:rPr>
        <w:t>.2如中标人拒签合同，则按违约处理。招标代理机构没收其投标保证金。</w:t>
      </w:r>
    </w:p>
    <w:p w14:paraId="43F0D27A">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lang w:val="en-US" w:eastAsia="zh-CN"/>
        </w:rPr>
        <w:t>.3招标文件、中标人的投标文件及其澄清文件等，均为签订经济合同的依据。</w:t>
      </w:r>
    </w:p>
    <w:p w14:paraId="1E771174">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.招标代理服务费</w:t>
      </w:r>
    </w:p>
    <w:p w14:paraId="04B9AA7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.1中标人须向招标代理机构按如下标准和期限交纳招标代理服务费：</w:t>
      </w:r>
    </w:p>
    <w:p w14:paraId="3863FC1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.1.1招标代理服务费支付标准按照国家取费标准计取；</w:t>
      </w:r>
    </w:p>
    <w:p w14:paraId="13F6CFC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.1.2中标公告期满后，中标人领取中标通知书前须按规定的标准以现金或电汇的方式一次性向招标代理机构缴纳招标代理服务费。</w:t>
      </w:r>
    </w:p>
    <w:p w14:paraId="60F0012F">
      <w:pPr>
        <w:pStyle w:val="17"/>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bookmarkStart w:id="116" w:name="_Toc15314"/>
      <w:bookmarkStart w:id="117" w:name="_Toc27454"/>
      <w:r>
        <w:rPr>
          <w:rFonts w:hint="eastAsia" w:ascii="宋体" w:hAnsi="宋体" w:eastAsia="宋体" w:cs="宋体"/>
          <w:b/>
          <w:bCs/>
          <w:color w:val="auto"/>
          <w:sz w:val="28"/>
          <w:szCs w:val="28"/>
          <w:highlight w:val="none"/>
          <w:lang w:val="en-US" w:eastAsia="zh-CN"/>
        </w:rPr>
        <w:t>八、</w:t>
      </w:r>
      <w:bookmarkEnd w:id="116"/>
      <w:bookmarkEnd w:id="117"/>
      <w:r>
        <w:rPr>
          <w:rFonts w:hint="eastAsia" w:ascii="宋体" w:hAnsi="宋体" w:eastAsia="宋体" w:cs="宋体"/>
          <w:b/>
          <w:bCs/>
          <w:color w:val="auto"/>
          <w:sz w:val="28"/>
          <w:szCs w:val="28"/>
          <w:highlight w:val="none"/>
          <w:lang w:val="en-US" w:eastAsia="zh-CN"/>
        </w:rPr>
        <w:t>招标失败条件</w:t>
      </w:r>
    </w:p>
    <w:p w14:paraId="33FD0F79">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lang w:val="en-US" w:eastAsia="zh-CN"/>
        </w:rPr>
        <w:t>.出现影响采购公正的违法、违规行为的；</w:t>
      </w:r>
    </w:p>
    <w:p w14:paraId="79ED3AC7">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.因重大变故，采购任务取消的；</w:t>
      </w:r>
    </w:p>
    <w:p w14:paraId="1530DFE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.招标文件截止时间后，实际参与的投标人不足法定家数的；</w:t>
      </w:r>
    </w:p>
    <w:p w14:paraId="56A87E0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.最终报价均超过采购预算的；</w:t>
      </w:r>
    </w:p>
    <w:p w14:paraId="2AF6D177">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.对招标文件作出实质性响应的投标人不足法定家数的。</w:t>
      </w:r>
    </w:p>
    <w:p w14:paraId="4FBF4019">
      <w:pPr>
        <w:pStyle w:val="17"/>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bookmarkStart w:id="118" w:name="_Toc446599320"/>
      <w:bookmarkStart w:id="119" w:name="_Toc437611461"/>
      <w:bookmarkStart w:id="120" w:name="_Toc22980"/>
      <w:bookmarkStart w:id="121" w:name="_Toc21111"/>
      <w:bookmarkStart w:id="122" w:name="_Toc11068"/>
      <w:bookmarkStart w:id="123" w:name="_Toc6088"/>
      <w:bookmarkStart w:id="124" w:name="_Toc29415"/>
      <w:r>
        <w:rPr>
          <w:rFonts w:hint="eastAsia" w:ascii="宋体" w:hAnsi="宋体" w:eastAsia="宋体" w:cs="宋体"/>
          <w:b/>
          <w:bCs/>
          <w:color w:val="auto"/>
          <w:sz w:val="28"/>
          <w:szCs w:val="28"/>
          <w:highlight w:val="none"/>
          <w:lang w:val="en-US" w:eastAsia="zh-CN"/>
        </w:rPr>
        <w:t>九、</w:t>
      </w:r>
      <w:bookmarkEnd w:id="118"/>
      <w:bookmarkEnd w:id="119"/>
      <w:bookmarkEnd w:id="120"/>
      <w:bookmarkEnd w:id="121"/>
      <w:bookmarkEnd w:id="122"/>
      <w:bookmarkEnd w:id="123"/>
      <w:bookmarkEnd w:id="124"/>
      <w:r>
        <w:rPr>
          <w:rFonts w:hint="eastAsia" w:ascii="宋体" w:hAnsi="宋体" w:eastAsia="宋体" w:cs="宋体"/>
          <w:b/>
          <w:bCs/>
          <w:color w:val="auto"/>
          <w:sz w:val="28"/>
          <w:szCs w:val="28"/>
          <w:highlight w:val="none"/>
          <w:lang w:val="en-US" w:eastAsia="zh-CN"/>
        </w:rPr>
        <w:t>质疑和投诉</w:t>
      </w:r>
    </w:p>
    <w:p w14:paraId="1E1E523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.质疑</w:t>
      </w:r>
    </w:p>
    <w:p w14:paraId="6C3CE9E4">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.1供应商提出质疑应当符合以下条件：</w:t>
      </w:r>
    </w:p>
    <w:p w14:paraId="12C08909">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如果供应商对此次采购活动有疑问，可依据《政府采购法》等相关规定，在规定的时间内以书面形式向采购人或代理机构提出质疑。质疑书应当包括下列主要内容：</w:t>
      </w:r>
    </w:p>
    <w:p w14:paraId="2AC10CA5">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（1）质疑人的名称、地址、电话等；</w:t>
      </w:r>
    </w:p>
    <w:p w14:paraId="0B514E1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（2）质疑人法人签章和单位公章；</w:t>
      </w:r>
    </w:p>
    <w:p w14:paraId="57125A0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（3）具体的质疑事项及事实依据；</w:t>
      </w:r>
    </w:p>
    <w:p w14:paraId="28F1FF23">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（4）明确的请求和必要（合法来源）的证明材料；</w:t>
      </w:r>
    </w:p>
    <w:p w14:paraId="6EC584E3">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（5）以联合体形式参与资格预审的，则必须联合体各方共同签署、盖章；</w:t>
      </w:r>
    </w:p>
    <w:p w14:paraId="01A00C7A">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（6）提起质疑的日期。</w:t>
      </w:r>
    </w:p>
    <w:p w14:paraId="6FD64DAF">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特注：未按上述程序规定的必备内容进行质疑的，采购人或代理机构将不予以受理。</w:t>
      </w:r>
    </w:p>
    <w:p w14:paraId="7A2C4328">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14:paraId="65877E4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.3质疑人可以委托代理人办理质疑事项，代理人办理质疑事项时，除提交质疑书外，还应当提交质疑人的授权委托书及代理人的有效身份证明，授权委托书应当载明委托代理的具体权限和事项。</w:t>
      </w:r>
    </w:p>
    <w:p w14:paraId="0B6D12B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.4被质疑人应当在受理质疑后7个工作日内作出答复，并以书面形式通知质疑人和其他有关供应商，答复内容仅限于供应商所质疑的内容，不得涉及国家秘密和商业秘密。</w:t>
      </w:r>
    </w:p>
    <w:p w14:paraId="36ACB34E">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125" w:name="_Toc483174929"/>
      <w:bookmarkStart w:id="126" w:name="_Toc456336161"/>
      <w:bookmarkStart w:id="127" w:name="_Toc9365"/>
      <w:bookmarkStart w:id="128" w:name="_Toc450546725"/>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.投诉</w:t>
      </w:r>
      <w:bookmarkEnd w:id="125"/>
      <w:bookmarkEnd w:id="126"/>
      <w:bookmarkEnd w:id="127"/>
      <w:bookmarkEnd w:id="128"/>
    </w:p>
    <w:p w14:paraId="085443F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.1质疑人如对被质疑人的质疑回复不满意或在规定时间内未做出回复的，可在答复期满后15个工作日内向本项目管辖内的政府采购监督部门提起投诉。供应商投诉应当有明确的请求和必要的证明材料。</w:t>
      </w:r>
    </w:p>
    <w:p w14:paraId="60948B7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.2投诉人提起投诉应符合以下条件：</w:t>
      </w:r>
    </w:p>
    <w:p w14:paraId="755B24D7">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投诉人应是参与项目的供应商；</w:t>
      </w:r>
    </w:p>
    <w:p w14:paraId="4DEAE29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投诉前已依法进行质疑；</w:t>
      </w:r>
    </w:p>
    <w:p w14:paraId="439B5AA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投诉书内容符合中华人民共和国财政部20号令《政府采购供应商投诉处理办法》的规定；</w:t>
      </w:r>
    </w:p>
    <w:p w14:paraId="69B3A46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在投诉有效期内；</w:t>
      </w:r>
    </w:p>
    <w:p w14:paraId="3A6BAE33">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同一投诉事项未经处理的；</w:t>
      </w:r>
    </w:p>
    <w:p w14:paraId="2D51D9A4">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GB" w:eastAsia="zh-CN"/>
        </w:rPr>
        <w:t>（</w:t>
      </w:r>
      <w:r>
        <w:rPr>
          <w:rFonts w:hint="eastAsia" w:ascii="宋体" w:hAnsi="宋体" w:eastAsia="宋体" w:cs="宋体"/>
          <w:color w:val="auto"/>
          <w:sz w:val="24"/>
          <w:szCs w:val="24"/>
          <w:highlight w:val="none"/>
          <w:lang w:val="en-GB" w:eastAsia="zh-CN"/>
        </w:rPr>
        <w:t>6</w:t>
      </w:r>
      <w:r>
        <w:rPr>
          <w:rFonts w:hint="eastAsia" w:ascii="宋体" w:hAnsi="宋体" w:cs="宋体"/>
          <w:color w:val="auto"/>
          <w:sz w:val="24"/>
          <w:szCs w:val="24"/>
          <w:highlight w:val="none"/>
          <w:lang w:val="en-GB" w:eastAsia="zh-CN"/>
        </w:rPr>
        <w:t>）</w:t>
      </w:r>
      <w:r>
        <w:rPr>
          <w:rFonts w:hint="eastAsia" w:ascii="宋体" w:hAnsi="宋体" w:eastAsia="宋体" w:cs="宋体"/>
          <w:color w:val="auto"/>
          <w:sz w:val="24"/>
          <w:szCs w:val="24"/>
          <w:highlight w:val="none"/>
          <w:lang w:val="en-US" w:eastAsia="zh-CN"/>
        </w:rPr>
        <w:t>相关法律、法规和省级以上人民政府财政部门规定的其他条件。</w:t>
      </w:r>
    </w:p>
    <w:p w14:paraId="724E00E5">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.3供应商投诉时，应当当面提交投诉书，投诉书应当包括下列主要内容：</w:t>
      </w:r>
    </w:p>
    <w:p w14:paraId="474B028B">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投诉人的姓名或者名称、住所、联系方式及相关证明；</w:t>
      </w:r>
    </w:p>
    <w:p w14:paraId="172E8D0A">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被投诉人的名称、住所、联系方式；</w:t>
      </w:r>
    </w:p>
    <w:p w14:paraId="764657E4">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具体的投诉事项、事实根据和法律依据；</w:t>
      </w:r>
    </w:p>
    <w:p w14:paraId="5E78B76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质疑和质疑答复情况及相关证明材料；</w:t>
      </w:r>
    </w:p>
    <w:p w14:paraId="24F43937">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提起投诉的日期。</w:t>
      </w:r>
    </w:p>
    <w:p w14:paraId="39C9CB7A">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投诉人为自然人的，应当由本人签字。投诉人为法人的，应当由其法定代表人签字并加盖单位公章。投诉人为其他组织的，应当由其主要负责人签字盖章并加盖单位公章。</w:t>
      </w:r>
    </w:p>
    <w:p w14:paraId="4BD23B0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.4投诉人可以授权代理人办理投诉事务。代理人办理投诉事务时，除提交投诉书外，还应当向监督部门提交投诉人的授权委托书，授权委托书应当载明委托代理的具体权限和事项。</w:t>
      </w:r>
    </w:p>
    <w:p w14:paraId="0C8C0F0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.5投诉人不符合上述规定提起的投诉，政府采购监督部门不予受理。</w:t>
      </w:r>
    </w:p>
    <w:p w14:paraId="7A77E322">
      <w:pPr>
        <w:pStyle w:val="17"/>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十、其他注意事项</w:t>
      </w:r>
    </w:p>
    <w:p w14:paraId="37C93316">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36</w:t>
      </w:r>
      <w:r>
        <w:rPr>
          <w:rFonts w:hint="eastAsia" w:ascii="宋体" w:hAnsi="宋体" w:eastAsia="宋体" w:cs="宋体"/>
          <w:color w:val="auto"/>
          <w:sz w:val="24"/>
          <w:szCs w:val="24"/>
          <w:highlight w:val="none"/>
          <w:lang w:val="en-US" w:eastAsia="zh-CN"/>
        </w:rPr>
        <w:t>.单位负责人为同一人或者存在直接控股、管理关系的不同供应商，不得参加同一合同项下的政府采购活动。</w:t>
      </w:r>
    </w:p>
    <w:p w14:paraId="6802738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37</w:t>
      </w:r>
      <w:r>
        <w:rPr>
          <w:rFonts w:hint="eastAsia" w:ascii="宋体" w:hAnsi="宋体" w:eastAsia="宋体" w:cs="宋体"/>
          <w:color w:val="auto"/>
          <w:sz w:val="24"/>
          <w:szCs w:val="24"/>
          <w:highlight w:val="none"/>
          <w:lang w:val="en-US" w:eastAsia="zh-CN"/>
        </w:rPr>
        <w:t>.供应商为采购项目提供整体设计、规范编制或者项目管理、监理、检测等服务的供应商，不得再参加该采购项目的其他采购活动。</w:t>
      </w:r>
    </w:p>
    <w:p w14:paraId="4067DF73">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38</w:t>
      </w:r>
      <w:r>
        <w:rPr>
          <w:rFonts w:hint="eastAsia" w:ascii="宋体" w:hAnsi="宋体" w:eastAsia="宋体" w:cs="宋体"/>
          <w:color w:val="auto"/>
          <w:sz w:val="24"/>
          <w:szCs w:val="24"/>
          <w:highlight w:val="none"/>
          <w:lang w:val="en-US" w:eastAsia="zh-CN"/>
        </w:rPr>
        <w:t>.政府采购法第二十二条第一款第五项所称重大违法记录，是指供应商因违法经营受到刑事处罚或者责令停产停业、吊销许可证或者执照、较大数额（高于200万元）罚款等行政处罚。</w:t>
      </w:r>
    </w:p>
    <w:p w14:paraId="25844E9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39</w:t>
      </w:r>
      <w:r>
        <w:rPr>
          <w:rFonts w:hint="eastAsia" w:ascii="宋体" w:hAnsi="宋体" w:eastAsia="宋体" w:cs="宋体"/>
          <w:color w:val="auto"/>
          <w:sz w:val="24"/>
          <w:szCs w:val="24"/>
          <w:highlight w:val="none"/>
          <w:lang w:val="en-US" w:eastAsia="zh-CN"/>
        </w:rPr>
        <w:t>.按照财政部《关于规范政府采购行政处罚有关问题的通知》的规定，各级人民政府财政部门依法对参加政府采购活动的供应商作出的禁止参加政府采购活动等行政处罚决定在全国范围内生效。</w:t>
      </w:r>
    </w:p>
    <w:p w14:paraId="7DD6EC20">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.供应商在参加政府采购活动前3年内因违法经营被禁止在一定期限内参加政府采购活动，期限届满的，可以参加政府采购活动。</w:t>
      </w:r>
    </w:p>
    <w:p w14:paraId="17BBB1E9">
      <w:pPr>
        <w:keepNext/>
        <w:keepLines w:val="0"/>
        <w:pageBreakBefore w:val="0"/>
        <w:widowControl w:val="0"/>
        <w:numPr>
          <w:ilvl w:val="0"/>
          <w:numId w:val="0"/>
        </w:numPr>
        <w:tabs>
          <w:tab w:val="left" w:pos="360"/>
        </w:tabs>
        <w:kinsoku/>
        <w:wordWrap/>
        <w:overflowPunct/>
        <w:topLinePunct w:val="0"/>
        <w:autoSpaceDE/>
        <w:autoSpaceDN/>
        <w:bidi w:val="0"/>
        <w:adjustRightInd w:val="0"/>
        <w:snapToGrid w:val="0"/>
        <w:spacing w:line="360" w:lineRule="auto"/>
        <w:jc w:val="center"/>
        <w:textAlignment w:val="auto"/>
        <w:outlineLvl w:val="0"/>
        <w:rPr>
          <w:rFonts w:hint="eastAsia"/>
          <w:color w:val="auto"/>
          <w:highlight w:val="none"/>
          <w:lang w:eastAsia="zh-CN"/>
        </w:rPr>
      </w:pPr>
      <w:r>
        <w:rPr>
          <w:rFonts w:hint="eastAsia" w:ascii="宋体" w:hAnsi="宋体" w:eastAsia="宋体" w:cs="宋体"/>
          <w:b w:val="0"/>
          <w:bCs w:val="0"/>
          <w:snapToGrid/>
          <w:color w:val="auto"/>
          <w:kern w:val="2"/>
          <w:sz w:val="24"/>
          <w:szCs w:val="24"/>
          <w:highlight w:val="none"/>
          <w:lang w:val="en-US" w:eastAsia="zh-CN" w:bidi="ar-SA"/>
        </w:rPr>
        <w:br w:type="page"/>
      </w:r>
      <w:bookmarkEnd w:id="55"/>
      <w:bookmarkStart w:id="129" w:name="_Toc29809"/>
      <w:r>
        <w:rPr>
          <w:rFonts w:hint="eastAsia" w:ascii="宋体" w:hAnsi="宋体" w:eastAsia="宋体" w:cs="宋体"/>
          <w:color w:val="auto"/>
          <w:sz w:val="32"/>
          <w:szCs w:val="32"/>
          <w:highlight w:val="none"/>
        </w:rPr>
        <w:t xml:space="preserve">第三部分 </w:t>
      </w:r>
      <w:r>
        <w:rPr>
          <w:rFonts w:hint="eastAsia" w:ascii="宋体" w:hAnsi="宋体" w:eastAsia="宋体" w:cs="宋体"/>
          <w:color w:val="auto"/>
          <w:sz w:val="32"/>
          <w:szCs w:val="32"/>
          <w:highlight w:val="none"/>
          <w:lang w:eastAsia="zh-CN"/>
        </w:rPr>
        <w:t>采购需求</w:t>
      </w:r>
      <w:bookmarkEnd w:id="129"/>
    </w:p>
    <w:p w14:paraId="44495D6E">
      <w:pPr>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482" w:firstLineChars="200"/>
        <w:textAlignment w:val="auto"/>
        <w:rPr>
          <w:rFonts w:hint="default" w:ascii="宋体" w:hAnsi="宋体" w:eastAsia="宋体" w:cs="宋体"/>
          <w:b/>
          <w:bCs/>
          <w:color w:val="auto"/>
          <w:sz w:val="24"/>
          <w:highlight w:val="none"/>
          <w:lang w:val="en-US" w:eastAsia="zh-CN"/>
        </w:rPr>
      </w:pPr>
      <w:bookmarkStart w:id="130" w:name="_Toc31418"/>
      <w:r>
        <w:rPr>
          <w:rFonts w:hint="eastAsia" w:ascii="宋体" w:hAnsi="宋体" w:eastAsia="宋体" w:cs="宋体"/>
          <w:b/>
          <w:bCs/>
          <w:color w:val="auto"/>
          <w:sz w:val="24"/>
          <w:highlight w:val="none"/>
        </w:rPr>
        <w:t>一、</w:t>
      </w:r>
      <w:r>
        <w:rPr>
          <w:rFonts w:hint="eastAsia" w:ascii="宋体" w:hAnsi="宋体" w:cs="宋体"/>
          <w:b/>
          <w:bCs/>
          <w:color w:val="auto"/>
          <w:sz w:val="24"/>
          <w:highlight w:val="none"/>
          <w:lang w:val="en-US" w:eastAsia="zh-CN"/>
        </w:rPr>
        <w:t>项目概况</w:t>
      </w:r>
    </w:p>
    <w:p w14:paraId="66B48325">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1.项目名称：</w:t>
      </w:r>
      <w:r>
        <w:rPr>
          <w:rFonts w:hint="eastAsia" w:ascii="宋体" w:hAnsi="宋体" w:cs="宋体"/>
          <w:color w:val="auto"/>
          <w:sz w:val="24"/>
          <w:szCs w:val="24"/>
          <w:highlight w:val="none"/>
          <w:lang w:val="en-US" w:eastAsia="zh-CN"/>
        </w:rPr>
        <w:t>新疆西昆仑金多金属矿成矿地质背景调查与找矿靶区优选服务项目</w:t>
      </w:r>
    </w:p>
    <w:p w14:paraId="44C548A4">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2.项目编号：ZTQ-2026058</w:t>
      </w:r>
    </w:p>
    <w:p w14:paraId="791B6BD8">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lang w:val="en-US" w:eastAsia="zh-CN"/>
        </w:rPr>
        <w:t>周期：自签订合同之日起至2026年1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月止</w:t>
      </w:r>
    </w:p>
    <w:p w14:paraId="74276B2C">
      <w:pPr>
        <w:pStyle w:val="17"/>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.质量等级标准：符合国家及行业标准</w:t>
      </w:r>
    </w:p>
    <w:p w14:paraId="7B99AA2A">
      <w:pPr>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二</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招标内容</w:t>
      </w:r>
    </w:p>
    <w:p w14:paraId="331E41B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基岩光谱样250件，光片鉴定400件，薄片鉴定800件，电子探针1500点，硅酸盐分析300件，微量稀土元素分析300件，投射电子显微镜25小时，锆石U-Pb定年500点，方解石U-Pb定年380点，锆石Hf同位素333点，铷-锶年龄同位素分析1000点，钐-铷年龄同位素分析1000点以及所需的样品制备及单矿物挑选等加工</w:t>
      </w:r>
      <w:r>
        <w:rPr>
          <w:rFonts w:hint="eastAsia" w:ascii="宋体" w:hAnsi="宋体" w:eastAsia="宋体" w:cs="宋体"/>
          <w:kern w:val="2"/>
          <w:sz w:val="24"/>
          <w:szCs w:val="24"/>
          <w:highlight w:val="none"/>
          <w:lang w:val="en-US" w:eastAsia="zh-CN" w:bidi="ar-SA"/>
        </w:rPr>
        <w:t>。</w:t>
      </w:r>
    </w:p>
    <w:p w14:paraId="5FAA0866">
      <w:pPr>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482" w:firstLineChars="200"/>
        <w:textAlignment w:val="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三、技术要求</w:t>
      </w:r>
    </w:p>
    <w:p w14:paraId="237B2F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严格按照国家、行业等有关测试现行规范执行，具体规范和标准主要如下：</w:t>
      </w:r>
    </w:p>
    <w:p w14:paraId="234AA1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《岩矿鉴定技术规范（总则、薄片/光片制样与鉴定）》（DZ/T 0275.1-5-2015）；</w:t>
      </w:r>
    </w:p>
    <w:p w14:paraId="543779F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《烧失量测定（重量法）》（GB/T 14506.34-2019）；</w:t>
      </w:r>
    </w:p>
    <w:p w14:paraId="7F79EF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《岩石和矿石化学分析方法总则及一般规定》（GB/T 14505-2010）；</w:t>
      </w:r>
    </w:p>
    <w:p w14:paraId="3567DE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《地质矿产实验室测试质量管理规范》（DZ/T 0130-2006）；</w:t>
      </w:r>
    </w:p>
    <w:p w14:paraId="67C4A8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《硅酸盐岩石化学分析方法 第30部分：44个元素量测定》（GB∕T 14506.30-2010）；</w:t>
      </w:r>
    </w:p>
    <w:p w14:paraId="509EE9E4">
      <w:pPr>
        <w:keepNext w:val="0"/>
        <w:keepLines w:val="0"/>
        <w:pageBreakBefore w:val="0"/>
        <w:widowControl w:val="0"/>
        <w:kinsoku/>
        <w:wordWrap/>
        <w:overflowPunct/>
        <w:topLinePunct w:val="0"/>
        <w:autoSpaceDE/>
        <w:autoSpaceDN/>
        <w:bidi w:val="0"/>
        <w:adjustRightInd w:val="0"/>
        <w:snapToGrid w:val="0"/>
        <w:spacing w:line="360" w:lineRule="auto"/>
        <w:ind w:left="479" w:leftChars="228" w:firstLine="0" w:firstLineChars="0"/>
        <w:textAlignment w:val="auto"/>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《硅酸盐岩石化学分析方法 第28部分：16个主次成分量测定》（GB∕T 14506.28-2010）；《地质样品同位素分析方法 第16部分：地质样品铅同位素组成测定多接收电感耦合等离子体质谱法》（DZ/T 0184.16-2024）；</w:t>
      </w:r>
    </w:p>
    <w:p w14:paraId="428944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《地质样品同位素分析方法 第3部分：锆石 微区原位铀-铅年龄测定 激光剥蚀-电等离子体感耦合质谱法》（DZ/T 0184.3-2024）；</w:t>
      </w:r>
    </w:p>
    <w:p w14:paraId="40C68E0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《地质样品同位素分析方法 第18部分：锆石 微区原位铪同位素组成测定 激光剥蚀-多接收电感耦合等离子体质谱法》（DZ/T 0184.18-2024）；</w:t>
      </w:r>
    </w:p>
    <w:p w14:paraId="0FC4DB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《微束分析硫化物矿物的电子探针定量分析方法》（GB/T 15246-2022）；</w:t>
      </w:r>
    </w:p>
    <w:p w14:paraId="58ACB6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《地球化学普查规范（1∶50000）》（DZ/T 0011-2015）；</w:t>
      </w:r>
    </w:p>
    <w:p w14:paraId="3FE8DF7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《地质矿产实验室测试质量管理规范》（DZ/T 0130-2006）；</w:t>
      </w:r>
    </w:p>
    <w:p w14:paraId="6D8D4C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《地质矿产实验室测试质量管理规范》（DZ/T 0130-2006）；</w:t>
      </w:r>
    </w:p>
    <w:p w14:paraId="34D26F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《地球化学普查规范（1∶50000）》（DZ/T 0011-2015）。</w:t>
      </w:r>
    </w:p>
    <w:p w14:paraId="78AA1FA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四、相关要求</w:t>
      </w:r>
    </w:p>
    <w:p w14:paraId="43127A7F">
      <w:pPr>
        <w:shd w:val="clear"/>
        <w:spacing w:line="360" w:lineRule="auto"/>
        <w:ind w:firstLine="480" w:firstLineChars="200"/>
        <w:rPr>
          <w:rFonts w:hint="default" w:ascii="仿宋" w:hAnsi="仿宋" w:cs="仿宋"/>
          <w:bCs/>
          <w:sz w:val="24"/>
          <w:szCs w:val="24"/>
          <w:highlight w:val="none"/>
          <w:lang w:val="en-US"/>
        </w:rPr>
      </w:pPr>
      <w:r>
        <w:rPr>
          <w:rFonts w:hint="eastAsia" w:ascii="仿宋" w:hAnsi="仿宋" w:cs="仿宋"/>
          <w:bCs/>
          <w:sz w:val="24"/>
          <w:szCs w:val="24"/>
          <w:highlight w:val="none"/>
          <w:lang w:val="en-US" w:eastAsia="zh-CN"/>
        </w:rPr>
        <w:t>项目实施步骤</w:t>
      </w:r>
    </w:p>
    <w:p w14:paraId="514D74F9">
      <w:pPr>
        <w:shd w:val="clear"/>
        <w:spacing w:line="360" w:lineRule="auto"/>
        <w:ind w:firstLine="480" w:firstLineChars="200"/>
        <w:rPr>
          <w:rFonts w:hint="eastAsia" w:ascii="仿宋" w:hAnsi="仿宋" w:cs="仿宋"/>
          <w:bCs/>
          <w:sz w:val="24"/>
          <w:szCs w:val="24"/>
          <w:highlight w:val="none"/>
          <w:lang w:eastAsia="zh-CN"/>
        </w:rPr>
      </w:pPr>
      <w:r>
        <w:rPr>
          <w:rFonts w:hint="eastAsia" w:ascii="仿宋" w:hAnsi="仿宋" w:cs="仿宋"/>
          <w:bCs/>
          <w:sz w:val="24"/>
          <w:szCs w:val="24"/>
          <w:highlight w:val="none"/>
        </w:rPr>
        <w:t>样品分批送检</w:t>
      </w:r>
      <w:r>
        <w:rPr>
          <w:rFonts w:hint="eastAsia" w:ascii="仿宋" w:hAnsi="仿宋" w:cs="仿宋"/>
          <w:bCs/>
          <w:sz w:val="24"/>
          <w:szCs w:val="24"/>
          <w:highlight w:val="none"/>
          <w:lang w:eastAsia="zh-CN"/>
        </w:rPr>
        <w:t>，</w:t>
      </w:r>
      <w:r>
        <w:rPr>
          <w:rFonts w:hint="eastAsia" w:ascii="仿宋" w:hAnsi="仿宋" w:cs="仿宋"/>
          <w:bCs/>
          <w:sz w:val="24"/>
          <w:szCs w:val="24"/>
          <w:highlight w:val="none"/>
          <w:lang w:val="en-US" w:eastAsia="zh-CN"/>
        </w:rPr>
        <w:t>基岩光谱样，化学分析样，</w:t>
      </w:r>
      <w:r>
        <w:rPr>
          <w:rFonts w:hint="eastAsia" w:ascii="仿宋" w:hAnsi="仿宋" w:cs="仿宋"/>
          <w:bCs/>
          <w:sz w:val="24"/>
          <w:szCs w:val="24"/>
          <w:highlight w:val="none"/>
          <w:lang w:eastAsia="zh-CN"/>
        </w:rPr>
        <w:t>硅酸盐</w:t>
      </w:r>
      <w:r>
        <w:rPr>
          <w:rFonts w:hint="eastAsia" w:ascii="仿宋" w:hAnsi="仿宋" w:cs="仿宋"/>
          <w:bCs/>
          <w:sz w:val="24"/>
          <w:szCs w:val="24"/>
          <w:highlight w:val="none"/>
          <w:lang w:val="en-US" w:eastAsia="zh-CN"/>
        </w:rPr>
        <w:t>、</w:t>
      </w:r>
      <w:r>
        <w:rPr>
          <w:rFonts w:hint="eastAsia" w:ascii="仿宋" w:hAnsi="仿宋" w:cs="仿宋"/>
          <w:bCs/>
          <w:sz w:val="24"/>
          <w:szCs w:val="24"/>
          <w:highlight w:val="none"/>
          <w:lang w:eastAsia="zh-CN"/>
        </w:rPr>
        <w:t>稀土、微量元素</w:t>
      </w:r>
      <w:r>
        <w:rPr>
          <w:rFonts w:hint="eastAsia" w:ascii="仿宋" w:hAnsi="仿宋" w:cs="仿宋"/>
          <w:bCs/>
          <w:sz w:val="24"/>
          <w:szCs w:val="24"/>
          <w:highlight w:val="none"/>
          <w:lang w:val="en-US" w:eastAsia="zh-CN"/>
        </w:rPr>
        <w:t>等化学分析样测试应在样品送至实验室起15天内出初步测试结果，</w:t>
      </w:r>
      <w:r>
        <w:rPr>
          <w:rFonts w:hint="eastAsia" w:ascii="仿宋" w:hAnsi="仿宋" w:cs="仿宋"/>
          <w:bCs/>
          <w:sz w:val="24"/>
          <w:szCs w:val="24"/>
          <w:highlight w:val="none"/>
        </w:rPr>
        <w:t>30个工作日</w:t>
      </w:r>
      <w:r>
        <w:rPr>
          <w:rFonts w:hint="eastAsia" w:ascii="仿宋" w:hAnsi="仿宋" w:cs="仿宋"/>
          <w:bCs/>
          <w:sz w:val="24"/>
          <w:szCs w:val="24"/>
          <w:highlight w:val="none"/>
          <w:lang w:val="en-US" w:eastAsia="zh-CN"/>
        </w:rPr>
        <w:t>提交最终测试数据</w:t>
      </w:r>
      <w:r>
        <w:rPr>
          <w:rFonts w:hint="eastAsia" w:ascii="仿宋" w:hAnsi="仿宋" w:cs="仿宋"/>
          <w:bCs/>
          <w:sz w:val="24"/>
          <w:szCs w:val="24"/>
          <w:highlight w:val="none"/>
        </w:rPr>
        <w:t>，</w:t>
      </w:r>
      <w:r>
        <w:rPr>
          <w:rFonts w:hint="eastAsia" w:ascii="仿宋" w:hAnsi="仿宋" w:cs="仿宋"/>
          <w:bCs/>
          <w:sz w:val="24"/>
          <w:szCs w:val="24"/>
          <w:highlight w:val="none"/>
          <w:lang w:val="en-US" w:eastAsia="zh-CN"/>
        </w:rPr>
        <w:t>岩矿鉴定应在样品送至实验室起45天内出鉴定报告，</w:t>
      </w:r>
      <w:r>
        <w:rPr>
          <w:rFonts w:hint="eastAsia" w:ascii="仿宋" w:hAnsi="仿宋" w:cs="仿宋"/>
          <w:bCs/>
          <w:sz w:val="24"/>
          <w:szCs w:val="24"/>
          <w:highlight w:val="none"/>
        </w:rPr>
        <w:t>提交Excel格式分析数据</w:t>
      </w:r>
      <w:r>
        <w:rPr>
          <w:rFonts w:hint="eastAsia" w:ascii="仿宋" w:hAnsi="仿宋" w:cs="仿宋"/>
          <w:bCs/>
          <w:sz w:val="24"/>
          <w:szCs w:val="24"/>
          <w:highlight w:val="none"/>
          <w:lang w:eastAsia="zh-CN"/>
        </w:rPr>
        <w:t>；</w:t>
      </w:r>
      <w:r>
        <w:rPr>
          <w:rFonts w:hint="eastAsia" w:ascii="仿宋" w:hAnsi="仿宋" w:cs="仿宋"/>
          <w:bCs/>
          <w:sz w:val="24"/>
          <w:szCs w:val="24"/>
          <w:highlight w:val="none"/>
        </w:rPr>
        <w:t>全部样品测试完成后1个月内提交分析数据报告和分析质量评估报告。</w:t>
      </w:r>
      <w:r>
        <w:rPr>
          <w:rFonts w:hint="eastAsia" w:ascii="仿宋" w:hAnsi="仿宋" w:cs="仿宋"/>
          <w:bCs/>
          <w:sz w:val="24"/>
          <w:szCs w:val="24"/>
          <w:highlight w:val="none"/>
          <w:lang w:val="en-US" w:eastAsia="zh-CN"/>
        </w:rPr>
        <w:t>锆石U-Pb定年、电子探针、多种同位素测试应在样品送至实验室起45天内出初步测试结果，</w:t>
      </w:r>
      <w:r>
        <w:rPr>
          <w:rFonts w:hint="eastAsia" w:ascii="仿宋" w:hAnsi="仿宋" w:cs="仿宋"/>
          <w:bCs/>
          <w:sz w:val="24"/>
          <w:szCs w:val="24"/>
          <w:highlight w:val="none"/>
        </w:rPr>
        <w:t>全部样品测试完成后</w:t>
      </w:r>
      <w:r>
        <w:rPr>
          <w:rFonts w:hint="eastAsia" w:ascii="仿宋" w:hAnsi="仿宋" w:cs="仿宋"/>
          <w:bCs/>
          <w:sz w:val="24"/>
          <w:szCs w:val="24"/>
          <w:highlight w:val="none"/>
          <w:lang w:val="en-US" w:eastAsia="zh-CN"/>
        </w:rPr>
        <w:t>2</w:t>
      </w:r>
      <w:r>
        <w:rPr>
          <w:rFonts w:hint="eastAsia" w:ascii="仿宋" w:hAnsi="仿宋" w:cs="仿宋"/>
          <w:bCs/>
          <w:sz w:val="24"/>
          <w:szCs w:val="24"/>
          <w:highlight w:val="none"/>
        </w:rPr>
        <w:t>个月内提交分析数据报告和分析质量评估报告</w:t>
      </w:r>
    </w:p>
    <w:p w14:paraId="153609E9">
      <w:pPr>
        <w:shd w:val="clear"/>
        <w:spacing w:line="360" w:lineRule="auto"/>
        <w:ind w:firstLine="480" w:firstLineChars="200"/>
        <w:rPr>
          <w:rFonts w:ascii="仿宋" w:hAnsi="仿宋" w:cs="仿宋"/>
          <w:bCs/>
          <w:sz w:val="24"/>
          <w:szCs w:val="24"/>
          <w:highlight w:val="none"/>
        </w:rPr>
      </w:pPr>
      <w:r>
        <w:rPr>
          <w:rFonts w:hint="eastAsia" w:ascii="仿宋" w:hAnsi="仿宋" w:cs="仿宋"/>
          <w:bCs/>
          <w:sz w:val="24"/>
          <w:szCs w:val="24"/>
          <w:highlight w:val="none"/>
        </w:rPr>
        <w:t>样品管理</w:t>
      </w:r>
    </w:p>
    <w:p w14:paraId="7FCAEF1B">
      <w:pPr>
        <w:shd w:val="clear"/>
        <w:spacing w:line="360" w:lineRule="auto"/>
        <w:ind w:firstLine="480" w:firstLineChars="200"/>
        <w:rPr>
          <w:rFonts w:hint="eastAsia" w:ascii="仿宋" w:hAnsi="仿宋" w:cs="仿宋"/>
          <w:bCs/>
          <w:sz w:val="24"/>
          <w:szCs w:val="24"/>
          <w:highlight w:val="none"/>
        </w:rPr>
      </w:pPr>
      <w:r>
        <w:rPr>
          <w:rFonts w:hint="eastAsia" w:ascii="仿宋" w:hAnsi="仿宋" w:cs="仿宋"/>
          <w:bCs/>
          <w:sz w:val="24"/>
          <w:szCs w:val="24"/>
          <w:highlight w:val="none"/>
        </w:rPr>
        <w:t>供应商需提供样品存储专用库房，确保样品无污染、无丢失；样品运输由采购方负责，供应商需配合完成样品接收及交接记录。</w:t>
      </w:r>
    </w:p>
    <w:p w14:paraId="0BDED1FF">
      <w:pPr>
        <w:shd w:val="clear"/>
        <w:spacing w:line="360" w:lineRule="auto"/>
        <w:ind w:firstLine="480" w:firstLineChars="200"/>
        <w:rPr>
          <w:rFonts w:hint="default" w:ascii="仿宋" w:hAnsi="仿宋" w:eastAsia="宋体" w:cs="仿宋"/>
          <w:bCs/>
          <w:sz w:val="24"/>
          <w:szCs w:val="24"/>
          <w:highlight w:val="none"/>
          <w:lang w:val="en-US" w:eastAsia="zh-CN"/>
        </w:rPr>
      </w:pPr>
      <w:r>
        <w:rPr>
          <w:rFonts w:hint="eastAsia" w:ascii="仿宋" w:hAnsi="仿宋" w:cs="仿宋"/>
          <w:bCs/>
          <w:sz w:val="24"/>
          <w:szCs w:val="24"/>
          <w:highlight w:val="none"/>
          <w:lang w:val="en-US" w:eastAsia="zh-CN"/>
        </w:rPr>
        <w:t>数据保密及其他管理</w:t>
      </w:r>
    </w:p>
    <w:p w14:paraId="150B5D29">
      <w:pPr>
        <w:shd w:val="clear"/>
        <w:spacing w:line="360" w:lineRule="auto"/>
        <w:ind w:firstLine="480" w:firstLineChars="200"/>
        <w:rPr>
          <w:rFonts w:hint="eastAsia" w:ascii="宋体" w:hAnsi="宋体" w:cs="宋体"/>
          <w:b/>
          <w:bCs/>
          <w:color w:val="auto"/>
          <w:sz w:val="24"/>
          <w:highlight w:val="none"/>
          <w:lang w:val="en-US" w:eastAsia="zh-CN"/>
        </w:rPr>
      </w:pPr>
      <w:r>
        <w:rPr>
          <w:rFonts w:hint="eastAsia" w:ascii="仿宋" w:hAnsi="仿宋" w:cs="仿宋"/>
          <w:bCs/>
          <w:sz w:val="24"/>
          <w:szCs w:val="24"/>
          <w:highlight w:val="none"/>
        </w:rPr>
        <w:t>供应商需签署保密协议，未经授权不得使用或泄露项目数据；因质量问题导致返工，费用由供应商承担。</w:t>
      </w:r>
    </w:p>
    <w:p w14:paraId="17AC9ACF">
      <w:pPr>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bookmarkEnd w:id="56"/>
    <w:bookmarkEnd w:id="57"/>
    <w:bookmarkEnd w:id="58"/>
    <w:bookmarkEnd w:id="59"/>
    <w:bookmarkEnd w:id="60"/>
    <w:bookmarkEnd w:id="61"/>
    <w:bookmarkEnd w:id="62"/>
    <w:bookmarkEnd w:id="130"/>
    <w:p w14:paraId="22537589">
      <w:pPr>
        <w:keepNext/>
        <w:keepLines w:val="0"/>
        <w:pageBreakBefore w:val="0"/>
        <w:widowControl w:val="0"/>
        <w:numPr>
          <w:ilvl w:val="0"/>
          <w:numId w:val="0"/>
        </w:numPr>
        <w:tabs>
          <w:tab w:val="left" w:pos="360"/>
        </w:tabs>
        <w:kinsoku/>
        <w:wordWrap/>
        <w:overflowPunct/>
        <w:topLinePunct w:val="0"/>
        <w:autoSpaceDE/>
        <w:autoSpaceDN/>
        <w:bidi w:val="0"/>
        <w:adjustRightInd w:val="0"/>
        <w:snapToGrid w:val="0"/>
        <w:spacing w:line="400" w:lineRule="exact"/>
        <w:jc w:val="center"/>
        <w:textAlignment w:val="auto"/>
        <w:outlineLvl w:val="9"/>
        <w:rPr>
          <w:rFonts w:hint="eastAsia"/>
          <w:color w:val="auto"/>
          <w:highlight w:val="none"/>
          <w:lang w:val="en-US" w:eastAsia="zh-CN"/>
        </w:rPr>
      </w:pPr>
      <w:bookmarkStart w:id="131" w:name="_Hlt101846155"/>
      <w:bookmarkEnd w:id="131"/>
      <w:bookmarkStart w:id="132" w:name="_Toc16847"/>
      <w:bookmarkStart w:id="133" w:name="_Toc183682415"/>
      <w:bookmarkStart w:id="134" w:name="_Toc217446097"/>
      <w:bookmarkStart w:id="135" w:name="_Toc208849007"/>
      <w:bookmarkStart w:id="136" w:name="_Toc183582280"/>
    </w:p>
    <w:p w14:paraId="455E06D1">
      <w:pPr>
        <w:keepNext/>
        <w:keepLines w:val="0"/>
        <w:pageBreakBefore w:val="0"/>
        <w:widowControl w:val="0"/>
        <w:numPr>
          <w:ilvl w:val="0"/>
          <w:numId w:val="0"/>
        </w:numPr>
        <w:tabs>
          <w:tab w:val="left" w:pos="360"/>
        </w:tabs>
        <w:kinsoku/>
        <w:wordWrap/>
        <w:overflowPunct/>
        <w:topLinePunct w:val="0"/>
        <w:autoSpaceDE/>
        <w:autoSpaceDN/>
        <w:bidi w:val="0"/>
        <w:adjustRightInd w:val="0"/>
        <w:snapToGrid w:val="0"/>
        <w:spacing w:line="400" w:lineRule="exact"/>
        <w:jc w:val="center"/>
        <w:textAlignment w:val="auto"/>
        <w:outlineLvl w:val="0"/>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val="en-US" w:eastAsia="zh-CN"/>
        </w:rPr>
        <w:t xml:space="preserve"> </w:t>
      </w:r>
      <w:bookmarkStart w:id="137" w:name="_Toc20109"/>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eastAsia="zh-CN"/>
        </w:rPr>
        <w:t>四部分</w:t>
      </w:r>
      <w:r>
        <w:rPr>
          <w:rFonts w:hint="eastAsia" w:ascii="宋体" w:hAnsi="宋体" w:eastAsia="宋体" w:cs="宋体"/>
          <w:color w:val="auto"/>
          <w:sz w:val="32"/>
          <w:szCs w:val="32"/>
          <w:highlight w:val="none"/>
        </w:rPr>
        <w:t xml:space="preserve"> </w:t>
      </w:r>
      <w:bookmarkEnd w:id="132"/>
      <w:r>
        <w:rPr>
          <w:rFonts w:hint="eastAsia" w:ascii="宋体" w:hAnsi="宋体" w:eastAsia="宋体" w:cs="宋体"/>
          <w:color w:val="auto"/>
          <w:sz w:val="32"/>
          <w:szCs w:val="32"/>
          <w:highlight w:val="none"/>
          <w:lang w:eastAsia="zh-CN"/>
        </w:rPr>
        <w:t>评审方法</w:t>
      </w:r>
      <w:bookmarkEnd w:id="137"/>
    </w:p>
    <w:bookmarkEnd w:id="133"/>
    <w:bookmarkEnd w:id="134"/>
    <w:bookmarkEnd w:id="135"/>
    <w:bookmarkEnd w:id="136"/>
    <w:p w14:paraId="0D25CCD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bookmarkStart w:id="138" w:name="_Toc17152"/>
      <w:bookmarkStart w:id="139" w:name="_Toc21981"/>
      <w:bookmarkStart w:id="140" w:name="_Toc217446099"/>
      <w:r>
        <w:rPr>
          <w:rFonts w:hint="eastAsia" w:ascii="宋体" w:hAnsi="宋体" w:eastAsia="宋体" w:cs="宋体"/>
          <w:bCs/>
          <w:color w:val="auto"/>
          <w:sz w:val="24"/>
          <w:szCs w:val="24"/>
          <w:highlight w:val="none"/>
        </w:rPr>
        <w:t>1.总则</w:t>
      </w:r>
      <w:bookmarkEnd w:id="138"/>
      <w:bookmarkEnd w:id="139"/>
    </w:p>
    <w:p w14:paraId="569A950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1.1根据《中华人民共和国政府采购法》和《政府采购货物和服务招标投标管理办法》（财政部第87号令）等法律规章，结合采购项目特点制定本评标办法。</w:t>
      </w:r>
    </w:p>
    <w:p w14:paraId="460FA50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1.2评标工作由采购人</w:t>
      </w:r>
      <w:r>
        <w:rPr>
          <w:rFonts w:hint="eastAsia" w:ascii="宋体" w:hAnsi="宋体" w:eastAsia="宋体" w:cs="宋体"/>
          <w:bCs/>
          <w:color w:val="auto"/>
          <w:sz w:val="24"/>
          <w:szCs w:val="24"/>
          <w:highlight w:val="none"/>
          <w:lang w:eastAsia="zh-CN"/>
        </w:rPr>
        <w:t>或代理机构</w:t>
      </w:r>
      <w:r>
        <w:rPr>
          <w:rFonts w:hint="eastAsia" w:ascii="宋体" w:hAnsi="宋体" w:eastAsia="宋体" w:cs="宋体"/>
          <w:bCs/>
          <w:color w:val="auto"/>
          <w:sz w:val="24"/>
          <w:szCs w:val="24"/>
          <w:highlight w:val="none"/>
        </w:rPr>
        <w:t>负责组织，具体评标事务由评标委员会负责。评标委员会由采购人代表和有关技术、经济等方面的专家组成。</w:t>
      </w:r>
    </w:p>
    <w:p w14:paraId="4DA52BB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1.3评标工作应遵循公平、公正、科学及择优的原则，并以相同的评标程序和标准对待所有的</w:t>
      </w:r>
      <w:r>
        <w:rPr>
          <w:rFonts w:hint="eastAsia" w:ascii="宋体" w:hAnsi="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rPr>
        <w:t>。</w:t>
      </w:r>
    </w:p>
    <w:p w14:paraId="273A6D8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1.4评标委员会按照采购文件规定的评标方法和标准进行评标，并独立履行下列职责：</w:t>
      </w:r>
    </w:p>
    <w:p w14:paraId="3092B77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（1）审查</w:t>
      </w:r>
      <w:r>
        <w:rPr>
          <w:rFonts w:hint="eastAsia" w:ascii="宋体" w:hAnsi="宋体" w:eastAsia="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是否符合采购文件要求，并作出评价；</w:t>
      </w:r>
    </w:p>
    <w:p w14:paraId="2027595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（2）要求投标</w:t>
      </w:r>
      <w:r>
        <w:rPr>
          <w:rFonts w:hint="eastAsia" w:ascii="宋体" w:hAnsi="宋体" w:cs="宋体"/>
          <w:bCs/>
          <w:color w:val="auto"/>
          <w:sz w:val="24"/>
          <w:szCs w:val="24"/>
          <w:highlight w:val="none"/>
          <w:lang w:val="en-US" w:eastAsia="zh-CN"/>
        </w:rPr>
        <w:t>人</w:t>
      </w:r>
      <w:r>
        <w:rPr>
          <w:rFonts w:hint="eastAsia" w:ascii="宋体" w:hAnsi="宋体" w:eastAsia="宋体" w:cs="宋体"/>
          <w:bCs/>
          <w:color w:val="auto"/>
          <w:sz w:val="24"/>
          <w:szCs w:val="24"/>
          <w:highlight w:val="none"/>
        </w:rPr>
        <w:t>对</w:t>
      </w:r>
      <w:r>
        <w:rPr>
          <w:rFonts w:hint="eastAsia" w:ascii="宋体" w:hAnsi="宋体" w:eastAsia="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有关事项作出解释或者澄清；</w:t>
      </w:r>
    </w:p>
    <w:p w14:paraId="3585B74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（3）推荐</w:t>
      </w:r>
      <w:r>
        <w:rPr>
          <w:rFonts w:hint="eastAsia" w:ascii="宋体" w:hAnsi="宋体" w:eastAsia="宋体" w:cs="宋体"/>
          <w:bCs/>
          <w:color w:val="auto"/>
          <w:sz w:val="24"/>
          <w:szCs w:val="24"/>
          <w:highlight w:val="none"/>
          <w:lang w:eastAsia="zh-CN"/>
        </w:rPr>
        <w:t>中标（</w:t>
      </w:r>
      <w:r>
        <w:rPr>
          <w:rFonts w:hint="eastAsia" w:ascii="宋体" w:hAnsi="宋体" w:eastAsia="宋体" w:cs="宋体"/>
          <w:bCs/>
          <w:color w:val="auto"/>
          <w:sz w:val="24"/>
          <w:szCs w:val="24"/>
          <w:highlight w:val="none"/>
        </w:rPr>
        <w:t>成交</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候选</w:t>
      </w:r>
      <w:r>
        <w:rPr>
          <w:rFonts w:hint="eastAsia" w:ascii="宋体" w:hAnsi="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rPr>
        <w:t>名单，或者受采购人委托按照事先确定的办法直接确定</w:t>
      </w:r>
      <w:r>
        <w:rPr>
          <w:rFonts w:hint="eastAsia" w:ascii="宋体" w:hAnsi="宋体" w:eastAsia="宋体" w:cs="宋体"/>
          <w:bCs/>
          <w:color w:val="auto"/>
          <w:sz w:val="24"/>
          <w:szCs w:val="24"/>
          <w:highlight w:val="none"/>
          <w:lang w:eastAsia="zh-CN"/>
        </w:rPr>
        <w:t>中标（</w:t>
      </w:r>
      <w:r>
        <w:rPr>
          <w:rFonts w:hint="eastAsia" w:ascii="宋体" w:hAnsi="宋体" w:eastAsia="宋体" w:cs="宋体"/>
          <w:bCs/>
          <w:color w:val="auto"/>
          <w:sz w:val="24"/>
          <w:szCs w:val="24"/>
          <w:highlight w:val="none"/>
        </w:rPr>
        <w:t>成交</w:t>
      </w:r>
      <w:r>
        <w:rPr>
          <w:rFonts w:hint="eastAsia" w:ascii="宋体" w:hAnsi="宋体" w:eastAsia="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rPr>
        <w:t>；</w:t>
      </w:r>
    </w:p>
    <w:p w14:paraId="7843B79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（4）向采购单位或者有关部门报告非法干预评标工作的行为。</w:t>
      </w:r>
      <w:bookmarkStart w:id="141" w:name="_Toc217446098"/>
    </w:p>
    <w:p w14:paraId="123B75E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1.5评标过程严格保密。</w:t>
      </w:r>
      <w:r>
        <w:rPr>
          <w:rFonts w:hint="eastAsia" w:ascii="宋体" w:hAnsi="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rPr>
        <w:t>对</w:t>
      </w:r>
      <w:r>
        <w:rPr>
          <w:rFonts w:hint="eastAsia" w:ascii="宋体" w:hAnsi="宋体" w:eastAsia="宋体" w:cs="宋体"/>
          <w:bCs/>
          <w:color w:val="auto"/>
          <w:sz w:val="24"/>
          <w:szCs w:val="24"/>
          <w:highlight w:val="none"/>
          <w:lang w:eastAsia="zh-CN"/>
        </w:rPr>
        <w:t>评标委员会</w:t>
      </w:r>
      <w:r>
        <w:rPr>
          <w:rFonts w:hint="eastAsia" w:ascii="宋体" w:hAnsi="宋体" w:eastAsia="宋体" w:cs="宋体"/>
          <w:bCs/>
          <w:color w:val="auto"/>
          <w:sz w:val="24"/>
          <w:szCs w:val="24"/>
          <w:highlight w:val="none"/>
        </w:rPr>
        <w:t>的评标过程或合同授予决定施加影响的任何行为都可能导致其投标被拒绝。</w:t>
      </w:r>
    </w:p>
    <w:p w14:paraId="2DC47A3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1.6评标委员会决定投标文件的响应性依据投标文件本身的内容，而不寻求外部的证据。</w:t>
      </w:r>
    </w:p>
    <w:p w14:paraId="2157C013">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1.7评标委员会发现采购文件表述不明确或需要说明的事项，可提请采购单位书面解释说明。发现采购文件违反有关法律、法规和规章的，可以拒绝评标，并向采购单位书面说明情况。</w:t>
      </w:r>
    </w:p>
    <w:p w14:paraId="7300BAF7">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1.8</w:t>
      </w:r>
      <w:r>
        <w:rPr>
          <w:rFonts w:hint="eastAsia" w:ascii="宋体" w:hAnsi="宋体" w:cs="宋体"/>
          <w:color w:val="auto"/>
          <w:sz w:val="24"/>
          <w:highlight w:val="none"/>
        </w:rPr>
        <w:t>在评标过程中，评标委员会发现有下列情形之一的，视为投标人串通投标，其投标无效：</w:t>
      </w:r>
    </w:p>
    <w:p w14:paraId="7F5C400D">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（1）不同投标人的投标文件由同一单位或者个人编制；</w:t>
      </w:r>
    </w:p>
    <w:p w14:paraId="253E9E6C">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（2）不同投标人委托同一单位或者个人办理投标事宜；</w:t>
      </w:r>
    </w:p>
    <w:p w14:paraId="55D0B14F">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（3）不同投标人的投标文件载明的项目管理成员或者联系人员为同一人；</w:t>
      </w:r>
    </w:p>
    <w:p w14:paraId="5DD5759E">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（4）不同投标人的投标文件异常一致或者投标报价呈规律性差异；</w:t>
      </w:r>
    </w:p>
    <w:p w14:paraId="69515136">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（5）不同投标人的投标文件相互混装；</w:t>
      </w:r>
    </w:p>
    <w:p w14:paraId="1C19BB66">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（6）不同投标人的投标保证金从同一单位或者个人的账户转出。</w:t>
      </w:r>
    </w:p>
    <w:p w14:paraId="7423579F">
      <w:pPr>
        <w:adjustRightInd w:val="0"/>
        <w:snapToGrid w:val="0"/>
        <w:spacing w:line="360" w:lineRule="auto"/>
        <w:ind w:firstLine="480" w:firstLineChars="200"/>
        <w:outlineLvl w:val="9"/>
        <w:rPr>
          <w:rFonts w:hint="eastAsia" w:ascii="宋体" w:hAnsi="宋体" w:cs="宋体"/>
          <w:color w:val="auto"/>
          <w:sz w:val="24"/>
          <w:highlight w:val="none"/>
        </w:rPr>
      </w:pPr>
      <w:bookmarkStart w:id="142" w:name="_Toc5150"/>
      <w:bookmarkStart w:id="143" w:name="_Toc15247"/>
      <w:r>
        <w:rPr>
          <w:rFonts w:hint="eastAsia" w:ascii="宋体" w:hAnsi="宋体" w:cs="宋体"/>
          <w:color w:val="auto"/>
          <w:sz w:val="24"/>
          <w:highlight w:val="none"/>
          <w:lang w:val="en-US" w:eastAsia="zh-CN"/>
        </w:rPr>
        <w:t>1.9</w:t>
      </w:r>
      <w:r>
        <w:rPr>
          <w:rFonts w:hint="eastAsia" w:ascii="宋体" w:hAnsi="宋体" w:cs="宋体"/>
          <w:color w:val="auto"/>
          <w:sz w:val="24"/>
          <w:highlight w:val="none"/>
        </w:rPr>
        <w:t>对与评标活动有关的工作人员的纪律要求</w:t>
      </w:r>
      <w:bookmarkEnd w:id="142"/>
      <w:bookmarkEnd w:id="143"/>
    </w:p>
    <w:p w14:paraId="6EEBF099">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与评标活动有关的工作人员不得收受他人的财物或者好处，不得向其他人透露对投标文件的评审和比较、中标候选人的推荐情况及评标有关其他情况。在评标活动中，与评标活动有关的工作人员不得擅离职守，影响评标程序正常进行。</w:t>
      </w:r>
    </w:p>
    <w:p w14:paraId="07959417">
      <w:pPr>
        <w:adjustRightInd w:val="0"/>
        <w:snapToGrid w:val="0"/>
        <w:spacing w:line="360" w:lineRule="auto"/>
        <w:ind w:firstLine="480" w:firstLineChars="200"/>
        <w:outlineLvl w:val="9"/>
        <w:rPr>
          <w:rFonts w:hint="eastAsia" w:ascii="宋体" w:hAnsi="宋体" w:cs="宋体"/>
          <w:color w:val="auto"/>
          <w:sz w:val="24"/>
          <w:highlight w:val="none"/>
        </w:rPr>
      </w:pPr>
      <w:bookmarkStart w:id="144" w:name="_Toc16272"/>
      <w:bookmarkStart w:id="145" w:name="_Toc32479"/>
      <w:r>
        <w:rPr>
          <w:rFonts w:hint="eastAsia" w:ascii="宋体" w:hAnsi="宋体" w:cs="宋体"/>
          <w:color w:val="auto"/>
          <w:sz w:val="24"/>
          <w:highlight w:val="none"/>
          <w:lang w:val="en-US" w:eastAsia="zh-CN"/>
        </w:rPr>
        <w:t>1.10</w:t>
      </w:r>
      <w:r>
        <w:rPr>
          <w:rFonts w:hint="eastAsia" w:ascii="宋体" w:hAnsi="宋体" w:cs="宋体"/>
          <w:color w:val="auto"/>
          <w:sz w:val="24"/>
          <w:highlight w:val="none"/>
        </w:rPr>
        <w:t>对评标委员会成员要求评标纪律</w:t>
      </w:r>
      <w:bookmarkEnd w:id="144"/>
      <w:bookmarkEnd w:id="145"/>
    </w:p>
    <w:p w14:paraId="49EFB4A6">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1.10</w:t>
      </w:r>
      <w:r>
        <w:rPr>
          <w:rFonts w:hint="eastAsia" w:ascii="宋体" w:hAnsi="宋体" w:cs="宋体"/>
          <w:color w:val="auto"/>
          <w:sz w:val="24"/>
          <w:highlight w:val="none"/>
        </w:rPr>
        <w:t>.1评委会应当依照有关法律法规的规定，按照招标文件确定的评标标准和办法客观、公正的对投标文件提出评审意见。招标文件设有规定的评标标准和方法不得作为评标依据。</w:t>
      </w:r>
    </w:p>
    <w:p w14:paraId="7EE35C85">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1.10</w:t>
      </w:r>
      <w:r>
        <w:rPr>
          <w:rFonts w:hint="eastAsia" w:ascii="宋体" w:hAnsi="宋体" w:cs="宋体"/>
          <w:color w:val="auto"/>
          <w:sz w:val="24"/>
          <w:highlight w:val="none"/>
        </w:rPr>
        <w:t>.2评标委员会成员不得私下接触投标人，不得收受投标人给予的财务或者其他好处，不得向招标人征询确定中标人意向。</w:t>
      </w:r>
    </w:p>
    <w:p w14:paraId="6EA6CD8A">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1.10</w:t>
      </w:r>
      <w:r>
        <w:rPr>
          <w:rFonts w:hint="eastAsia" w:ascii="宋体" w:hAnsi="宋体" w:cs="宋体"/>
          <w:color w:val="auto"/>
          <w:sz w:val="24"/>
          <w:highlight w:val="none"/>
        </w:rPr>
        <w:t>.3不得接受任何单位或个人明示或暗示提出的倾向或排斥特定投标人的要求。</w:t>
      </w:r>
    </w:p>
    <w:p w14:paraId="039AD02F">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1.10</w:t>
      </w:r>
      <w:r>
        <w:rPr>
          <w:rFonts w:hint="eastAsia" w:ascii="宋体" w:hAnsi="宋体" w:cs="宋体"/>
          <w:color w:val="auto"/>
          <w:sz w:val="24"/>
          <w:highlight w:val="none"/>
        </w:rPr>
        <w:t>.4不得有其他不客观，不公正履行职务的行为。</w:t>
      </w:r>
    </w:p>
    <w:p w14:paraId="70F3C24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bookmarkStart w:id="146" w:name="_Toc31942"/>
      <w:bookmarkStart w:id="147" w:name="_Toc22379"/>
      <w:r>
        <w:rPr>
          <w:rFonts w:hint="eastAsia" w:ascii="宋体" w:hAnsi="宋体" w:eastAsia="宋体" w:cs="宋体"/>
          <w:bCs/>
          <w:color w:val="auto"/>
          <w:sz w:val="24"/>
          <w:szCs w:val="24"/>
          <w:highlight w:val="none"/>
        </w:rPr>
        <w:t>2.评标方法</w:t>
      </w:r>
      <w:bookmarkEnd w:id="146"/>
      <w:bookmarkEnd w:id="147"/>
    </w:p>
    <w:bookmarkEnd w:id="141"/>
    <w:p w14:paraId="20DF1B9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本项目采用综合评分法</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评标结果按评审后得分由高到低顺序排列。得分相同的，按投标报价由低到高顺序排列。</w:t>
      </w:r>
      <w:r>
        <w:rPr>
          <w:rFonts w:hint="eastAsia" w:ascii="宋体" w:hAnsi="宋体" w:eastAsia="宋体" w:cs="宋体"/>
          <w:color w:val="auto"/>
          <w:sz w:val="24"/>
          <w:szCs w:val="24"/>
          <w:highlight w:val="none"/>
          <w:lang w:eastAsia="zh-CN"/>
        </w:rPr>
        <w:t>得分且投标报价相同的，技术指标较优的一方为中标人。</w:t>
      </w:r>
    </w:p>
    <w:p w14:paraId="40480283">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bookmarkStart w:id="148" w:name="_Toc28657"/>
      <w:bookmarkStart w:id="149" w:name="_Toc10751"/>
      <w:r>
        <w:rPr>
          <w:rFonts w:hint="eastAsia" w:ascii="宋体" w:hAnsi="宋体" w:eastAsia="宋体" w:cs="宋体"/>
          <w:bCs/>
          <w:color w:val="auto"/>
          <w:sz w:val="24"/>
          <w:szCs w:val="24"/>
          <w:highlight w:val="none"/>
        </w:rPr>
        <w:t>3.评标程序</w:t>
      </w:r>
      <w:bookmarkEnd w:id="148"/>
      <w:bookmarkEnd w:id="149"/>
    </w:p>
    <w:p w14:paraId="297B447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eastAsia="zh-CN"/>
        </w:rPr>
        <w:t>1资格性审查。采购人或招标代理机构根据</w:t>
      </w:r>
      <w:r>
        <w:rPr>
          <w:rFonts w:hint="eastAsia" w:ascii="宋体" w:hAnsi="宋体" w:eastAsia="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lang w:eastAsia="zh-CN"/>
        </w:rPr>
        <w:t>的投标文件进行资格审查，资格审查通过的单位进行符合性审查，未通过的单位予以废标处理。</w:t>
      </w:r>
    </w:p>
    <w:p w14:paraId="341FC122">
      <w:pPr>
        <w:spacing w:line="360" w:lineRule="auto"/>
        <w:jc w:val="center"/>
        <w:outlineLvl w:val="9"/>
        <w:rPr>
          <w:rFonts w:hint="eastAsia" w:ascii="宋体" w:hAnsi="宋体" w:eastAsia="宋体" w:cs="宋体"/>
          <w:b/>
          <w:bCs/>
          <w:color w:val="auto"/>
          <w:kern w:val="0"/>
          <w:sz w:val="24"/>
          <w:highlight w:val="none"/>
          <w:lang w:eastAsia="zh-CN"/>
        </w:rPr>
      </w:pPr>
      <w:r>
        <w:rPr>
          <w:rFonts w:hint="eastAsia" w:ascii="宋体" w:hAnsi="宋体" w:eastAsia="宋体" w:cs="宋体"/>
          <w:b/>
          <w:bCs/>
          <w:color w:val="auto"/>
          <w:kern w:val="0"/>
          <w:sz w:val="24"/>
          <w:highlight w:val="none"/>
          <w:lang w:eastAsia="zh-CN"/>
        </w:rPr>
        <w:t>资格性</w:t>
      </w:r>
      <w:r>
        <w:rPr>
          <w:rFonts w:hint="eastAsia" w:ascii="宋体" w:hAnsi="宋体" w:eastAsia="宋体" w:cs="宋体"/>
          <w:b/>
          <w:bCs/>
          <w:color w:val="auto"/>
          <w:kern w:val="0"/>
          <w:sz w:val="24"/>
          <w:highlight w:val="none"/>
        </w:rPr>
        <w:t>审查表</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3360"/>
        <w:gridCol w:w="4500"/>
        <w:gridCol w:w="1233"/>
      </w:tblGrid>
      <w:tr w14:paraId="3939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0" w:type="dxa"/>
            <w:noWrap w:val="0"/>
            <w:vAlign w:val="center"/>
          </w:tcPr>
          <w:p w14:paraId="66F714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b w:val="0"/>
                <w:bCs/>
                <w:color w:val="auto"/>
                <w:kern w:val="0"/>
                <w:sz w:val="24"/>
                <w:szCs w:val="24"/>
                <w:highlight w:val="none"/>
                <w:vertAlign w:val="baseline"/>
                <w:lang w:eastAsia="zh-CN"/>
              </w:rPr>
              <w:t>序号</w:t>
            </w:r>
          </w:p>
        </w:tc>
        <w:tc>
          <w:tcPr>
            <w:tcW w:w="3360" w:type="dxa"/>
            <w:noWrap w:val="0"/>
            <w:vAlign w:val="center"/>
          </w:tcPr>
          <w:p w14:paraId="3BEC230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b w:val="0"/>
                <w:bCs/>
                <w:color w:val="auto"/>
                <w:kern w:val="0"/>
                <w:sz w:val="24"/>
                <w:szCs w:val="24"/>
                <w:highlight w:val="none"/>
                <w:vertAlign w:val="baseline"/>
                <w:lang w:eastAsia="zh-CN"/>
              </w:rPr>
              <w:t>审查</w:t>
            </w:r>
            <w:r>
              <w:rPr>
                <w:rFonts w:hint="eastAsia" w:ascii="宋体" w:hAnsi="宋体" w:eastAsia="宋体" w:cs="宋体"/>
                <w:b w:val="0"/>
                <w:bCs/>
                <w:color w:val="auto"/>
                <w:kern w:val="0"/>
                <w:sz w:val="24"/>
                <w:szCs w:val="24"/>
                <w:highlight w:val="none"/>
                <w:vertAlign w:val="baseline"/>
                <w:lang w:val="en-US" w:eastAsia="zh-CN"/>
              </w:rPr>
              <w:t>因素</w:t>
            </w:r>
          </w:p>
        </w:tc>
        <w:tc>
          <w:tcPr>
            <w:tcW w:w="4500" w:type="dxa"/>
            <w:noWrap w:val="0"/>
            <w:vAlign w:val="center"/>
          </w:tcPr>
          <w:p w14:paraId="1051681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审查标准</w:t>
            </w:r>
          </w:p>
        </w:tc>
        <w:tc>
          <w:tcPr>
            <w:tcW w:w="1233" w:type="dxa"/>
            <w:noWrap w:val="0"/>
            <w:vAlign w:val="center"/>
          </w:tcPr>
          <w:p w14:paraId="32BA35F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评审意见</w:t>
            </w:r>
          </w:p>
        </w:tc>
      </w:tr>
      <w:tr w14:paraId="0B73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0" w:type="dxa"/>
            <w:noWrap w:val="0"/>
            <w:vAlign w:val="center"/>
          </w:tcPr>
          <w:p w14:paraId="60EEC3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1</w:t>
            </w:r>
          </w:p>
        </w:tc>
        <w:tc>
          <w:tcPr>
            <w:tcW w:w="3360" w:type="dxa"/>
            <w:shd w:val="clear" w:color="auto" w:fill="auto"/>
            <w:noWrap w:val="0"/>
            <w:vAlign w:val="center"/>
          </w:tcPr>
          <w:p w14:paraId="17ACDAF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eastAsia="zh-CN"/>
              </w:rPr>
              <w:t>具有独立承担民事责任的能力的</w:t>
            </w:r>
            <w:r>
              <w:rPr>
                <w:rFonts w:hint="eastAsia" w:ascii="宋体" w:hAnsi="宋体" w:cs="宋体"/>
                <w:b w:val="0"/>
                <w:bCs/>
                <w:color w:val="auto"/>
                <w:kern w:val="0"/>
                <w:sz w:val="24"/>
                <w:szCs w:val="24"/>
                <w:highlight w:val="none"/>
                <w:vertAlign w:val="baseline"/>
                <w:lang w:val="en-US" w:eastAsia="zh-CN" w:bidi="ar-SA"/>
              </w:rPr>
              <w:t>投标人</w:t>
            </w:r>
          </w:p>
        </w:tc>
        <w:tc>
          <w:tcPr>
            <w:tcW w:w="4500" w:type="dxa"/>
            <w:shd w:val="clear" w:color="auto" w:fill="auto"/>
            <w:noWrap w:val="0"/>
            <w:vAlign w:val="center"/>
          </w:tcPr>
          <w:p w14:paraId="62FA18C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提供有效的：</w:t>
            </w:r>
          </w:p>
          <w:p w14:paraId="2C7E0B1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1、如供应商是企业（包括合伙企业），应提供在市场监督管理部门注册的有效 “企业法人营业执照”或“营业执照”；</w:t>
            </w:r>
          </w:p>
          <w:p w14:paraId="3134E7D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2、如供应商是事业单位，应提供有效的“事业单位法人证书”；</w:t>
            </w:r>
          </w:p>
          <w:p w14:paraId="4929E20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3、如供应商是非企业专业服务机构的，应提供执业许可证等证明文件；</w:t>
            </w:r>
          </w:p>
          <w:p w14:paraId="32747C9C">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4、如供应商是个体工商户，应提供有效的“个体工商户营业执照”；</w:t>
            </w:r>
          </w:p>
          <w:p w14:paraId="36CAB06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5、如供应商是自然人，应提供有效的自然人身份证明。</w:t>
            </w:r>
          </w:p>
          <w:p w14:paraId="3F3157C5">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注：所有证明文件须在有效期内，且主体名称与投标人名称一致。</w:t>
            </w:r>
          </w:p>
        </w:tc>
        <w:tc>
          <w:tcPr>
            <w:tcW w:w="1233" w:type="dxa"/>
            <w:noWrap w:val="0"/>
            <w:vAlign w:val="center"/>
          </w:tcPr>
          <w:p w14:paraId="4BC2292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4100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30" w:type="dxa"/>
            <w:noWrap w:val="0"/>
            <w:vAlign w:val="center"/>
          </w:tcPr>
          <w:p w14:paraId="4BDD5B2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2</w:t>
            </w:r>
          </w:p>
        </w:tc>
        <w:tc>
          <w:tcPr>
            <w:tcW w:w="3360" w:type="dxa"/>
            <w:shd w:val="clear" w:color="auto" w:fill="auto"/>
            <w:noWrap w:val="0"/>
            <w:vAlign w:val="center"/>
          </w:tcPr>
          <w:p w14:paraId="191F737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color w:val="auto"/>
                <w:sz w:val="24"/>
                <w:szCs w:val="24"/>
                <w:highlight w:val="none"/>
              </w:rPr>
              <w:t>具有良好的商业信誉和健全的财务会计制度</w:t>
            </w:r>
          </w:p>
        </w:tc>
        <w:tc>
          <w:tcPr>
            <w:tcW w:w="4500" w:type="dxa"/>
            <w:shd w:val="clear" w:color="auto" w:fill="auto"/>
            <w:noWrap w:val="0"/>
            <w:vAlign w:val="center"/>
          </w:tcPr>
          <w:p w14:paraId="5D7143C0">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提供</w:t>
            </w:r>
            <w:r>
              <w:rPr>
                <w:rFonts w:hint="eastAsia" w:ascii="宋体" w:hAnsi="宋体" w:cs="宋体"/>
                <w:b w:val="0"/>
                <w:bCs/>
                <w:color w:val="auto"/>
                <w:kern w:val="0"/>
                <w:sz w:val="24"/>
                <w:szCs w:val="24"/>
                <w:highlight w:val="none"/>
                <w:vertAlign w:val="baseline"/>
                <w:lang w:val="en-US" w:eastAsia="zh-CN" w:bidi="ar-SA"/>
              </w:rPr>
              <w:t>2024</w:t>
            </w:r>
            <w:r>
              <w:rPr>
                <w:rFonts w:hint="default" w:ascii="宋体" w:hAnsi="宋体" w:eastAsia="宋体" w:cs="宋体"/>
                <w:b w:val="0"/>
                <w:bCs/>
                <w:color w:val="auto"/>
                <w:kern w:val="0"/>
                <w:sz w:val="24"/>
                <w:szCs w:val="24"/>
                <w:highlight w:val="none"/>
                <w:vertAlign w:val="baseline"/>
                <w:lang w:val="en-US" w:eastAsia="zh-CN" w:bidi="ar-SA"/>
              </w:rPr>
              <w:t>年度</w:t>
            </w:r>
            <w:r>
              <w:rPr>
                <w:rFonts w:hint="eastAsia" w:ascii="宋体" w:hAnsi="宋体" w:cs="宋体"/>
                <w:b w:val="0"/>
                <w:bCs/>
                <w:color w:val="auto"/>
                <w:kern w:val="0"/>
                <w:sz w:val="24"/>
                <w:szCs w:val="24"/>
                <w:highlight w:val="none"/>
                <w:vertAlign w:val="baseline"/>
                <w:lang w:val="en-US" w:eastAsia="zh-CN" w:bidi="ar-SA"/>
              </w:rPr>
              <w:t>或2025年度</w:t>
            </w:r>
            <w:r>
              <w:rPr>
                <w:rFonts w:hint="default" w:ascii="宋体" w:hAnsi="宋体" w:eastAsia="宋体" w:cs="宋体"/>
                <w:b w:val="0"/>
                <w:bCs/>
                <w:color w:val="auto"/>
                <w:kern w:val="0"/>
                <w:sz w:val="24"/>
                <w:szCs w:val="24"/>
                <w:highlight w:val="none"/>
                <w:vertAlign w:val="baseline"/>
                <w:lang w:val="en-US" w:eastAsia="zh-CN" w:bidi="ar-SA"/>
              </w:rPr>
              <w:t>财务报表/财务审计报告或提供其基本开户银行在投标截止日前六个月内出具的银行资信证明加盖</w:t>
            </w:r>
            <w:r>
              <w:rPr>
                <w:rFonts w:hint="eastAsia" w:ascii="宋体" w:hAnsi="宋体" w:cs="宋体"/>
                <w:b w:val="0"/>
                <w:bCs/>
                <w:color w:val="auto"/>
                <w:kern w:val="0"/>
                <w:sz w:val="24"/>
                <w:szCs w:val="24"/>
                <w:highlight w:val="none"/>
                <w:vertAlign w:val="baseline"/>
                <w:lang w:val="en-US" w:eastAsia="zh-CN" w:bidi="ar-SA"/>
              </w:rPr>
              <w:t>投标人</w:t>
            </w:r>
            <w:r>
              <w:rPr>
                <w:rFonts w:hint="default" w:ascii="宋体" w:hAnsi="宋体" w:eastAsia="宋体" w:cs="宋体"/>
                <w:b w:val="0"/>
                <w:bCs/>
                <w:color w:val="auto"/>
                <w:kern w:val="0"/>
                <w:sz w:val="24"/>
                <w:szCs w:val="24"/>
                <w:highlight w:val="none"/>
                <w:vertAlign w:val="baseline"/>
                <w:lang w:val="en-US" w:eastAsia="zh-CN" w:bidi="ar-SA"/>
              </w:rPr>
              <w:t>公章；新成立不满1年的企业无需提供</w:t>
            </w:r>
          </w:p>
        </w:tc>
        <w:tc>
          <w:tcPr>
            <w:tcW w:w="1233" w:type="dxa"/>
            <w:noWrap w:val="0"/>
            <w:vAlign w:val="center"/>
          </w:tcPr>
          <w:p w14:paraId="712EB61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kern w:val="0"/>
                <w:sz w:val="24"/>
                <w:highlight w:val="none"/>
                <w:lang w:eastAsia="zh-CN"/>
              </w:rPr>
            </w:pPr>
          </w:p>
        </w:tc>
      </w:tr>
      <w:tr w14:paraId="3930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noWrap w:val="0"/>
            <w:vAlign w:val="center"/>
          </w:tcPr>
          <w:p w14:paraId="0DEE25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3</w:t>
            </w:r>
          </w:p>
        </w:tc>
        <w:tc>
          <w:tcPr>
            <w:tcW w:w="3360" w:type="dxa"/>
            <w:shd w:val="clear" w:color="auto" w:fill="auto"/>
            <w:noWrap w:val="0"/>
            <w:vAlign w:val="center"/>
          </w:tcPr>
          <w:p w14:paraId="3F414F2B">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具有履行合同所必需的设备和专业技术能力</w:t>
            </w:r>
          </w:p>
        </w:tc>
        <w:tc>
          <w:tcPr>
            <w:tcW w:w="4500" w:type="dxa"/>
            <w:shd w:val="clear" w:color="auto" w:fill="auto"/>
            <w:noWrap w:val="0"/>
            <w:vAlign w:val="center"/>
          </w:tcPr>
          <w:p w14:paraId="0BA2F84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cs="宋体"/>
                <w:kern w:val="0"/>
                <w:sz w:val="24"/>
              </w:rPr>
              <w:t>按采购文件要求</w:t>
            </w:r>
            <w:r>
              <w:rPr>
                <w:rFonts w:hint="eastAsia" w:ascii="宋体" w:hAnsi="宋体" w:cs="宋体"/>
                <w:sz w:val="24"/>
                <w:szCs w:val="24"/>
              </w:rPr>
              <w:t>提供“具有履行合同所必需的设备和专业技术能力的声明函”</w:t>
            </w:r>
          </w:p>
        </w:tc>
        <w:tc>
          <w:tcPr>
            <w:tcW w:w="1233" w:type="dxa"/>
            <w:noWrap w:val="0"/>
            <w:vAlign w:val="center"/>
          </w:tcPr>
          <w:p w14:paraId="21051AC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340B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30" w:type="dxa"/>
            <w:noWrap w:val="0"/>
            <w:vAlign w:val="center"/>
          </w:tcPr>
          <w:p w14:paraId="04002C2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4</w:t>
            </w:r>
          </w:p>
        </w:tc>
        <w:tc>
          <w:tcPr>
            <w:tcW w:w="3360" w:type="dxa"/>
            <w:shd w:val="clear" w:color="auto" w:fill="auto"/>
            <w:noWrap w:val="0"/>
            <w:vAlign w:val="center"/>
          </w:tcPr>
          <w:p w14:paraId="498A4C0B">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rPr>
              <w:t>有依法缴纳税收和社会保障资金的良好记录</w:t>
            </w:r>
          </w:p>
        </w:tc>
        <w:tc>
          <w:tcPr>
            <w:tcW w:w="4500" w:type="dxa"/>
            <w:shd w:val="clear" w:color="auto" w:fill="auto"/>
            <w:noWrap w:val="0"/>
            <w:vAlign w:val="center"/>
          </w:tcPr>
          <w:p w14:paraId="343F13E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cs="宋体"/>
                <w:sz w:val="24"/>
                <w:szCs w:val="24"/>
              </w:rPr>
              <w:t>提供近6个月内</w:t>
            </w:r>
            <w:r>
              <w:rPr>
                <w:rFonts w:hint="eastAsia" w:ascii="宋体" w:hAnsi="宋体" w:cs="宋体"/>
                <w:sz w:val="24"/>
                <w:szCs w:val="24"/>
                <w:lang w:val="en-US" w:eastAsia="zh-CN"/>
              </w:rPr>
              <w:t>任意</w:t>
            </w:r>
            <w:r>
              <w:rPr>
                <w:rFonts w:hint="eastAsia" w:ascii="宋体" w:hAnsi="宋体" w:cs="宋体"/>
                <w:sz w:val="24"/>
                <w:szCs w:val="24"/>
              </w:rPr>
              <w:t>1个月的依法缴纳税收的完税证明和社保缴纳证明加盖供应商公章；供应商依法享受缓缴、免缴税收，免缴社会保障资金的提供证明材料加盖</w:t>
            </w:r>
            <w:r>
              <w:rPr>
                <w:rFonts w:hint="eastAsia" w:ascii="宋体" w:hAnsi="宋体" w:cs="宋体"/>
                <w:sz w:val="24"/>
                <w:szCs w:val="24"/>
                <w:lang w:val="en-US" w:eastAsia="zh-CN"/>
              </w:rPr>
              <w:t>投标人</w:t>
            </w:r>
            <w:r>
              <w:rPr>
                <w:rFonts w:hint="eastAsia" w:ascii="宋体" w:hAnsi="宋体" w:cs="宋体"/>
                <w:sz w:val="24"/>
                <w:szCs w:val="24"/>
              </w:rPr>
              <w:t>公章</w:t>
            </w:r>
          </w:p>
        </w:tc>
        <w:tc>
          <w:tcPr>
            <w:tcW w:w="1233" w:type="dxa"/>
            <w:noWrap w:val="0"/>
            <w:vAlign w:val="center"/>
          </w:tcPr>
          <w:p w14:paraId="190E9D2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4DBF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30" w:type="dxa"/>
            <w:noWrap w:val="0"/>
            <w:vAlign w:val="center"/>
          </w:tcPr>
          <w:p w14:paraId="7B1C5EF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5</w:t>
            </w:r>
          </w:p>
        </w:tc>
        <w:tc>
          <w:tcPr>
            <w:tcW w:w="3360" w:type="dxa"/>
            <w:shd w:val="clear" w:color="auto" w:fill="auto"/>
            <w:noWrap w:val="0"/>
            <w:vAlign w:val="center"/>
          </w:tcPr>
          <w:p w14:paraId="137B4FD5">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参加本次采购活动前三年内，在经营活动中没有重大违法记录</w:t>
            </w:r>
          </w:p>
        </w:tc>
        <w:tc>
          <w:tcPr>
            <w:tcW w:w="4500" w:type="dxa"/>
            <w:shd w:val="clear" w:color="auto" w:fill="auto"/>
            <w:noWrap w:val="0"/>
            <w:vAlign w:val="center"/>
          </w:tcPr>
          <w:p w14:paraId="57D499D5">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val="en-US" w:eastAsia="zh-CN" w:bidi="ar-SA"/>
              </w:rPr>
              <w:t>按采购文件要求提供“前三年内没有重大违法记录声明函”；</w:t>
            </w:r>
          </w:p>
          <w:p w14:paraId="5A4270FA">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val="en-US" w:eastAsia="zh-CN" w:bidi="ar-SA"/>
              </w:rPr>
              <w:t>投标（响应）文件开启日资格审查小组在“信用中国”、“中国政府采购网”查询：未被列入失信被执行人、重大税收违法案件当事人名单、政府采购严重违法失信行为记录名单的，有失信记录的将被拒绝其参与政府采购活动</w:t>
            </w:r>
          </w:p>
        </w:tc>
        <w:tc>
          <w:tcPr>
            <w:tcW w:w="1233" w:type="dxa"/>
            <w:noWrap w:val="0"/>
            <w:vAlign w:val="center"/>
          </w:tcPr>
          <w:p w14:paraId="1551C7C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2699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30" w:type="dxa"/>
            <w:noWrap w:val="0"/>
            <w:vAlign w:val="center"/>
          </w:tcPr>
          <w:p w14:paraId="78039DA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rPr>
              <w:t>结论</w:t>
            </w:r>
          </w:p>
        </w:tc>
        <w:tc>
          <w:tcPr>
            <w:tcW w:w="9093" w:type="dxa"/>
            <w:gridSpan w:val="3"/>
            <w:noWrap w:val="0"/>
            <w:vAlign w:val="center"/>
          </w:tcPr>
          <w:p w14:paraId="696E39F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rPr>
              <w:t>评审结果：通过用“√”表示；未通过用“×”表示。</w:t>
            </w:r>
          </w:p>
        </w:tc>
      </w:tr>
    </w:tbl>
    <w:p w14:paraId="10545FA4">
      <w:pPr>
        <w:keepNext w:val="0"/>
        <w:keepLines w:val="0"/>
        <w:pageBreakBefore w:val="0"/>
        <w:widowControl w:val="0"/>
        <w:kinsoku/>
        <w:wordWrap w:val="0"/>
        <w:overflowPunct/>
        <w:topLinePunct/>
        <w:autoSpaceDE/>
        <w:autoSpaceDN/>
        <w:bidi w:val="0"/>
        <w:adjustRightInd w:val="0"/>
        <w:snapToGrid w:val="0"/>
        <w:spacing w:line="360" w:lineRule="auto"/>
        <w:ind w:firstLine="482" w:firstLineChars="200"/>
        <w:textAlignment w:val="auto"/>
        <w:rPr>
          <w:rFonts w:hint="eastAsia" w:ascii="宋体" w:hAnsi="宋体" w:eastAsia="宋体" w:cs="宋体"/>
          <w:b/>
          <w:bCs w:val="0"/>
          <w:color w:val="auto"/>
          <w:sz w:val="24"/>
          <w:szCs w:val="24"/>
          <w:highlight w:val="none"/>
        </w:rPr>
      </w:pPr>
    </w:p>
    <w:p w14:paraId="60DE7C25">
      <w:pPr>
        <w:keepNext w:val="0"/>
        <w:keepLines w:val="0"/>
        <w:pageBreakBefore w:val="0"/>
        <w:widowControl w:val="0"/>
        <w:kinsoku/>
        <w:wordWrap w:val="0"/>
        <w:overflowPunct/>
        <w:topLinePunct/>
        <w:autoSpaceDE/>
        <w:autoSpaceDN/>
        <w:bidi w:val="0"/>
        <w:adjustRightInd w:val="0"/>
        <w:snapToGrid w:val="0"/>
        <w:spacing w:line="360" w:lineRule="auto"/>
        <w:ind w:firstLine="482" w:firstLineChars="200"/>
        <w:textAlignment w:val="auto"/>
        <w:rPr>
          <w:rFonts w:hint="eastAsia"/>
          <w:color w:val="auto"/>
          <w:highlight w:val="none"/>
        </w:rPr>
      </w:pPr>
      <w:r>
        <w:rPr>
          <w:rFonts w:hint="eastAsia" w:ascii="宋体" w:hAnsi="宋体" w:eastAsia="宋体" w:cs="宋体"/>
          <w:b/>
          <w:bCs w:val="0"/>
          <w:color w:val="auto"/>
          <w:sz w:val="24"/>
          <w:szCs w:val="24"/>
          <w:highlight w:val="none"/>
        </w:rPr>
        <w:t>备注：如果</w:t>
      </w:r>
      <w:r>
        <w:rPr>
          <w:rFonts w:hint="eastAsia" w:ascii="宋体" w:hAnsi="宋体" w:cs="宋体"/>
          <w:b/>
          <w:bCs w:val="0"/>
          <w:color w:val="auto"/>
          <w:sz w:val="24"/>
          <w:szCs w:val="24"/>
          <w:highlight w:val="none"/>
          <w:lang w:eastAsia="zh-CN"/>
        </w:rPr>
        <w:t>投标文件</w:t>
      </w:r>
      <w:r>
        <w:rPr>
          <w:rFonts w:hint="eastAsia" w:ascii="宋体" w:hAnsi="宋体" w:eastAsia="宋体" w:cs="宋体"/>
          <w:b/>
          <w:bCs w:val="0"/>
          <w:color w:val="auto"/>
          <w:sz w:val="24"/>
          <w:szCs w:val="24"/>
          <w:highlight w:val="none"/>
        </w:rPr>
        <w:t>中有一项未通过上述审查标准，将认定整个</w:t>
      </w:r>
      <w:r>
        <w:rPr>
          <w:rFonts w:hint="eastAsia" w:ascii="宋体" w:hAnsi="宋体" w:cs="宋体"/>
          <w:b/>
          <w:bCs w:val="0"/>
          <w:color w:val="auto"/>
          <w:sz w:val="24"/>
          <w:szCs w:val="24"/>
          <w:highlight w:val="none"/>
          <w:lang w:eastAsia="zh-CN"/>
        </w:rPr>
        <w:t>投标文件</w:t>
      </w:r>
      <w:r>
        <w:rPr>
          <w:rFonts w:hint="eastAsia" w:ascii="宋体" w:hAnsi="宋体" w:eastAsia="宋体" w:cs="宋体"/>
          <w:b/>
          <w:bCs w:val="0"/>
          <w:color w:val="auto"/>
          <w:sz w:val="24"/>
          <w:szCs w:val="24"/>
          <w:highlight w:val="none"/>
        </w:rPr>
        <w:t>不响应采购文件而予以无效处理，并且不允许供应商通过修改或撤销其不符合要求的差异或保留，使之成为具有响应性的投标。</w:t>
      </w:r>
    </w:p>
    <w:p w14:paraId="4E3A413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3.2符合性检查。依据采购文件的规定，从</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的有效性、完整性和对采购文件的响应程度进行审查，以确定是否对采购文件的实质性要求作出响应。</w:t>
      </w:r>
    </w:p>
    <w:p w14:paraId="68AA15C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0"/>
          <w:sz w:val="24"/>
          <w:highlight w:val="none"/>
        </w:rPr>
      </w:pPr>
      <w:r>
        <w:rPr>
          <w:rFonts w:hint="eastAsia" w:ascii="宋体" w:hAnsi="宋体" w:cs="宋体"/>
          <w:b w:val="0"/>
          <w:bCs/>
          <w:color w:val="auto"/>
          <w:kern w:val="0"/>
          <w:sz w:val="24"/>
          <w:szCs w:val="24"/>
          <w:highlight w:val="none"/>
          <w:vertAlign w:val="baseline"/>
          <w:lang w:val="en-US" w:eastAsia="zh-CN" w:bidi="ar-SA"/>
        </w:rPr>
        <w:t>投标人</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属于下列情况之一的，在符合性检查时按照无效投标处理：</w:t>
      </w:r>
    </w:p>
    <w:p w14:paraId="6AB7FD32">
      <w:pPr>
        <w:spacing w:line="360" w:lineRule="auto"/>
        <w:jc w:val="center"/>
        <w:outlineLvl w:val="9"/>
        <w:rPr>
          <w:rFonts w:hint="eastAsia" w:ascii="宋体" w:hAnsi="宋体" w:eastAsia="宋体" w:cs="宋体"/>
          <w:b/>
          <w:bCs/>
          <w:color w:val="auto"/>
          <w:kern w:val="0"/>
          <w:sz w:val="24"/>
          <w:highlight w:val="none"/>
          <w:lang w:eastAsia="zh-CN"/>
        </w:rPr>
      </w:pPr>
      <w:r>
        <w:rPr>
          <w:rFonts w:hint="eastAsia" w:ascii="宋体" w:hAnsi="宋体" w:eastAsia="宋体" w:cs="宋体"/>
          <w:b/>
          <w:bCs/>
          <w:color w:val="auto"/>
          <w:kern w:val="0"/>
          <w:sz w:val="24"/>
          <w:highlight w:val="none"/>
        </w:rPr>
        <w:t>符合性审查表</w:t>
      </w:r>
    </w:p>
    <w:tbl>
      <w:tblPr>
        <w:tblStyle w:val="41"/>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2591"/>
        <w:gridCol w:w="5033"/>
        <w:gridCol w:w="1303"/>
      </w:tblGrid>
      <w:tr w14:paraId="2B90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0" w:type="dxa"/>
            <w:noWrap w:val="0"/>
            <w:vAlign w:val="center"/>
          </w:tcPr>
          <w:p w14:paraId="619159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b w:val="0"/>
                <w:bCs/>
                <w:color w:val="auto"/>
                <w:kern w:val="0"/>
                <w:sz w:val="24"/>
                <w:szCs w:val="24"/>
                <w:highlight w:val="none"/>
                <w:vertAlign w:val="baseline"/>
                <w:lang w:eastAsia="zh-CN"/>
              </w:rPr>
              <w:t>序号</w:t>
            </w:r>
          </w:p>
        </w:tc>
        <w:tc>
          <w:tcPr>
            <w:tcW w:w="2591" w:type="dxa"/>
            <w:noWrap w:val="0"/>
            <w:vAlign w:val="center"/>
          </w:tcPr>
          <w:p w14:paraId="5C8A62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审查因素</w:t>
            </w:r>
          </w:p>
        </w:tc>
        <w:tc>
          <w:tcPr>
            <w:tcW w:w="5033" w:type="dxa"/>
            <w:noWrap w:val="0"/>
            <w:vAlign w:val="center"/>
          </w:tcPr>
          <w:p w14:paraId="19DD5D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b w:val="0"/>
                <w:bCs/>
                <w:color w:val="auto"/>
                <w:kern w:val="0"/>
                <w:sz w:val="24"/>
                <w:szCs w:val="24"/>
                <w:highlight w:val="none"/>
                <w:vertAlign w:val="baseline"/>
                <w:lang w:eastAsia="zh-CN"/>
              </w:rPr>
              <w:t>审查</w:t>
            </w:r>
            <w:r>
              <w:rPr>
                <w:rFonts w:hint="eastAsia" w:ascii="宋体" w:hAnsi="宋体" w:eastAsia="宋体" w:cs="宋体"/>
                <w:b w:val="0"/>
                <w:bCs/>
                <w:color w:val="auto"/>
                <w:kern w:val="0"/>
                <w:sz w:val="24"/>
                <w:szCs w:val="24"/>
                <w:highlight w:val="none"/>
                <w:vertAlign w:val="baseline"/>
                <w:lang w:val="en-US" w:eastAsia="zh-CN"/>
              </w:rPr>
              <w:t>标准</w:t>
            </w:r>
          </w:p>
        </w:tc>
        <w:tc>
          <w:tcPr>
            <w:tcW w:w="1303" w:type="dxa"/>
            <w:noWrap w:val="0"/>
            <w:vAlign w:val="center"/>
          </w:tcPr>
          <w:p w14:paraId="07C0A7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评审意见</w:t>
            </w:r>
          </w:p>
        </w:tc>
      </w:tr>
      <w:tr w14:paraId="56F17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0" w:type="dxa"/>
            <w:noWrap w:val="0"/>
            <w:vAlign w:val="center"/>
          </w:tcPr>
          <w:p w14:paraId="0433A6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1</w:t>
            </w:r>
          </w:p>
        </w:tc>
        <w:tc>
          <w:tcPr>
            <w:tcW w:w="2591" w:type="dxa"/>
            <w:noWrap w:val="0"/>
            <w:vAlign w:val="center"/>
          </w:tcPr>
          <w:p w14:paraId="3EE1BC7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rPr>
              <w:t>投标报价</w:t>
            </w:r>
          </w:p>
        </w:tc>
        <w:tc>
          <w:tcPr>
            <w:tcW w:w="5033" w:type="dxa"/>
            <w:noWrap w:val="0"/>
            <w:vAlign w:val="center"/>
          </w:tcPr>
          <w:p w14:paraId="7DB3242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b w:val="0"/>
                <w:bCs/>
                <w:color w:val="auto"/>
                <w:kern w:val="0"/>
                <w:sz w:val="24"/>
                <w:szCs w:val="24"/>
                <w:highlight w:val="none"/>
                <w:vertAlign w:val="baseline"/>
                <w:lang w:eastAsia="zh-CN"/>
              </w:rPr>
              <w:t>其投标报价未超过最高限价金额，且只有一个有效报价，</w:t>
            </w:r>
            <w:r>
              <w:rPr>
                <w:rFonts w:hint="eastAsia" w:ascii="宋体" w:hAnsi="宋体" w:eastAsia="宋体" w:cs="宋体"/>
                <w:b w:val="0"/>
                <w:bCs/>
                <w:color w:val="auto"/>
                <w:kern w:val="0"/>
                <w:sz w:val="24"/>
                <w:szCs w:val="24"/>
                <w:highlight w:val="none"/>
                <w:vertAlign w:val="baseline"/>
                <w:lang w:val="en-US" w:eastAsia="zh-CN"/>
              </w:rPr>
              <w:t>未</w:t>
            </w:r>
            <w:r>
              <w:rPr>
                <w:rFonts w:hint="eastAsia" w:ascii="宋体" w:hAnsi="宋体" w:eastAsia="宋体" w:cs="宋体"/>
                <w:b w:val="0"/>
                <w:bCs/>
                <w:color w:val="auto"/>
                <w:kern w:val="0"/>
                <w:sz w:val="24"/>
                <w:szCs w:val="24"/>
                <w:highlight w:val="none"/>
                <w:vertAlign w:val="baseline"/>
                <w:lang w:eastAsia="zh-CN"/>
              </w:rPr>
              <w:t>提交选择性报价</w:t>
            </w:r>
          </w:p>
        </w:tc>
        <w:tc>
          <w:tcPr>
            <w:tcW w:w="1303" w:type="dxa"/>
            <w:noWrap w:val="0"/>
            <w:vAlign w:val="center"/>
          </w:tcPr>
          <w:p w14:paraId="07B5034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26877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0" w:type="dxa"/>
            <w:noWrap w:val="0"/>
            <w:vAlign w:val="center"/>
          </w:tcPr>
          <w:p w14:paraId="685A73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2</w:t>
            </w:r>
          </w:p>
        </w:tc>
        <w:tc>
          <w:tcPr>
            <w:tcW w:w="2591" w:type="dxa"/>
            <w:noWrap w:val="0"/>
            <w:vAlign w:val="center"/>
          </w:tcPr>
          <w:p w14:paraId="40146A60">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default" w:ascii="宋体" w:hAnsi="宋体" w:eastAsia="宋体" w:cs="宋体"/>
                <w:b w:val="0"/>
                <w:bCs/>
                <w:color w:val="auto"/>
                <w:kern w:val="0"/>
                <w:sz w:val="24"/>
                <w:szCs w:val="24"/>
                <w:highlight w:val="none"/>
                <w:vertAlign w:val="baseline"/>
                <w:lang w:val="en-US" w:eastAsia="zh-CN"/>
              </w:rPr>
              <w:t>授权委托书或法人身份证明</w:t>
            </w:r>
          </w:p>
        </w:tc>
        <w:tc>
          <w:tcPr>
            <w:tcW w:w="5033" w:type="dxa"/>
            <w:noWrap w:val="0"/>
            <w:vAlign w:val="center"/>
          </w:tcPr>
          <w:p w14:paraId="2238E74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cs="宋体"/>
                <w:b w:val="0"/>
                <w:bCs/>
                <w:color w:val="auto"/>
                <w:kern w:val="0"/>
                <w:sz w:val="24"/>
                <w:szCs w:val="24"/>
                <w:highlight w:val="none"/>
                <w:vertAlign w:val="baseline"/>
                <w:lang w:val="en-US" w:eastAsia="zh-CN"/>
              </w:rPr>
              <w:t>投标文件</w:t>
            </w:r>
            <w:r>
              <w:rPr>
                <w:rFonts w:hint="eastAsia" w:ascii="宋体" w:hAnsi="宋体" w:eastAsia="宋体" w:cs="宋体"/>
                <w:b w:val="0"/>
                <w:bCs/>
                <w:color w:val="auto"/>
                <w:kern w:val="0"/>
                <w:sz w:val="24"/>
                <w:szCs w:val="24"/>
                <w:highlight w:val="none"/>
                <w:vertAlign w:val="baseline"/>
                <w:lang w:eastAsia="zh-CN"/>
              </w:rPr>
              <w:t>提供</w:t>
            </w:r>
            <w:r>
              <w:rPr>
                <w:rFonts w:hint="eastAsia" w:ascii="宋体" w:hAnsi="宋体" w:eastAsia="宋体" w:cs="宋体"/>
                <w:b w:val="0"/>
                <w:bCs/>
                <w:color w:val="auto"/>
                <w:kern w:val="0"/>
                <w:sz w:val="24"/>
                <w:szCs w:val="24"/>
                <w:highlight w:val="none"/>
                <w:vertAlign w:val="baseline"/>
                <w:lang w:val="en-US" w:eastAsia="zh-CN"/>
              </w:rPr>
              <w:t>有效的</w:t>
            </w:r>
            <w:r>
              <w:rPr>
                <w:rFonts w:hint="eastAsia" w:ascii="宋体" w:hAnsi="宋体" w:eastAsia="宋体" w:cs="宋体"/>
                <w:b w:val="0"/>
                <w:bCs/>
                <w:color w:val="auto"/>
                <w:kern w:val="0"/>
                <w:sz w:val="24"/>
                <w:szCs w:val="24"/>
                <w:highlight w:val="none"/>
                <w:vertAlign w:val="baseline"/>
                <w:lang w:eastAsia="zh-CN"/>
              </w:rPr>
              <w:t>法定代表人授权委托书或提供法定代表人身份证明</w:t>
            </w:r>
          </w:p>
        </w:tc>
        <w:tc>
          <w:tcPr>
            <w:tcW w:w="1303" w:type="dxa"/>
            <w:noWrap w:val="0"/>
            <w:vAlign w:val="center"/>
          </w:tcPr>
          <w:p w14:paraId="0A8EAEF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25C0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0" w:type="dxa"/>
            <w:noWrap w:val="0"/>
            <w:vAlign w:val="center"/>
          </w:tcPr>
          <w:p w14:paraId="55E165A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3</w:t>
            </w:r>
          </w:p>
        </w:tc>
        <w:tc>
          <w:tcPr>
            <w:tcW w:w="2591" w:type="dxa"/>
            <w:noWrap w:val="0"/>
            <w:vAlign w:val="center"/>
          </w:tcPr>
          <w:p w14:paraId="7C6F6FD0">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lang w:eastAsia="zh-CN"/>
              </w:rPr>
              <w:t>签署、盖章</w:t>
            </w:r>
          </w:p>
        </w:tc>
        <w:tc>
          <w:tcPr>
            <w:tcW w:w="5033" w:type="dxa"/>
            <w:noWrap w:val="0"/>
            <w:vAlign w:val="center"/>
          </w:tcPr>
          <w:p w14:paraId="0CE3743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cs="宋体"/>
                <w:b w:val="0"/>
                <w:bCs/>
                <w:color w:val="auto"/>
                <w:kern w:val="0"/>
                <w:sz w:val="24"/>
                <w:szCs w:val="24"/>
                <w:highlight w:val="none"/>
                <w:vertAlign w:val="baseline"/>
                <w:lang w:val="en-US" w:eastAsia="zh-CN"/>
              </w:rPr>
              <w:t>投标文件</w:t>
            </w:r>
            <w:r>
              <w:rPr>
                <w:rFonts w:hint="eastAsia" w:ascii="宋体" w:hAnsi="宋体" w:eastAsia="宋体" w:cs="宋体"/>
                <w:b w:val="0"/>
                <w:bCs/>
                <w:color w:val="auto"/>
                <w:kern w:val="0"/>
                <w:sz w:val="24"/>
                <w:szCs w:val="24"/>
                <w:highlight w:val="none"/>
                <w:vertAlign w:val="baseline"/>
                <w:lang w:eastAsia="zh-CN"/>
              </w:rPr>
              <w:t>上法定代表人或其授权代理人的签字、</w:t>
            </w:r>
            <w:r>
              <w:rPr>
                <w:rFonts w:hint="eastAsia" w:ascii="宋体" w:hAnsi="宋体" w:cs="宋体"/>
                <w:b w:val="0"/>
                <w:bCs/>
                <w:color w:val="auto"/>
                <w:kern w:val="0"/>
                <w:sz w:val="24"/>
                <w:szCs w:val="24"/>
                <w:highlight w:val="none"/>
                <w:vertAlign w:val="baseline"/>
                <w:lang w:val="en-US" w:eastAsia="zh-CN"/>
              </w:rPr>
              <w:t>投标人</w:t>
            </w:r>
            <w:r>
              <w:rPr>
                <w:rFonts w:hint="eastAsia" w:ascii="宋体" w:hAnsi="宋体" w:eastAsia="宋体" w:cs="宋体"/>
                <w:b w:val="0"/>
                <w:bCs/>
                <w:color w:val="auto"/>
                <w:kern w:val="0"/>
                <w:sz w:val="24"/>
                <w:szCs w:val="24"/>
                <w:highlight w:val="none"/>
                <w:vertAlign w:val="baseline"/>
                <w:lang w:eastAsia="zh-CN"/>
              </w:rPr>
              <w:t>的单位章齐全符合</w:t>
            </w:r>
            <w:r>
              <w:rPr>
                <w:rFonts w:hint="eastAsia" w:ascii="宋体" w:hAnsi="宋体" w:cs="宋体"/>
                <w:b w:val="0"/>
                <w:bCs/>
                <w:color w:val="auto"/>
                <w:kern w:val="0"/>
                <w:sz w:val="24"/>
                <w:szCs w:val="24"/>
                <w:highlight w:val="none"/>
                <w:vertAlign w:val="baseline"/>
                <w:lang w:val="en-US" w:eastAsia="zh-CN"/>
              </w:rPr>
              <w:t>招标</w:t>
            </w:r>
            <w:r>
              <w:rPr>
                <w:rFonts w:hint="eastAsia" w:ascii="宋体" w:hAnsi="宋体" w:eastAsia="宋体" w:cs="宋体"/>
                <w:b w:val="0"/>
                <w:bCs/>
                <w:color w:val="auto"/>
                <w:kern w:val="0"/>
                <w:sz w:val="24"/>
                <w:szCs w:val="24"/>
                <w:highlight w:val="none"/>
                <w:vertAlign w:val="baseline"/>
                <w:lang w:eastAsia="zh-CN"/>
              </w:rPr>
              <w:t>文件规定</w:t>
            </w:r>
          </w:p>
        </w:tc>
        <w:tc>
          <w:tcPr>
            <w:tcW w:w="1303" w:type="dxa"/>
            <w:noWrap w:val="0"/>
            <w:vAlign w:val="center"/>
          </w:tcPr>
          <w:p w14:paraId="4A47B90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792CF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0" w:type="dxa"/>
            <w:noWrap w:val="0"/>
            <w:vAlign w:val="center"/>
          </w:tcPr>
          <w:p w14:paraId="351D1E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4</w:t>
            </w:r>
          </w:p>
        </w:tc>
        <w:tc>
          <w:tcPr>
            <w:tcW w:w="2591" w:type="dxa"/>
            <w:noWrap w:val="0"/>
            <w:vAlign w:val="center"/>
          </w:tcPr>
          <w:p w14:paraId="4259152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保证金或电子保函</w:t>
            </w:r>
          </w:p>
        </w:tc>
        <w:tc>
          <w:tcPr>
            <w:tcW w:w="5033" w:type="dxa"/>
            <w:noWrap w:val="0"/>
            <w:vAlign w:val="center"/>
          </w:tcPr>
          <w:p w14:paraId="2A81369B">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b w:val="0"/>
                <w:bCs/>
                <w:color w:val="auto"/>
                <w:kern w:val="0"/>
                <w:sz w:val="24"/>
                <w:szCs w:val="24"/>
                <w:highlight w:val="none"/>
                <w:vertAlign w:val="baseline"/>
                <w:lang w:eastAsia="zh-CN"/>
              </w:rPr>
              <w:t>按规定提交</w:t>
            </w:r>
            <w:r>
              <w:rPr>
                <w:rFonts w:hint="eastAsia" w:ascii="宋体" w:hAnsi="宋体" w:cs="宋体"/>
                <w:b w:val="0"/>
                <w:bCs/>
                <w:color w:val="auto"/>
                <w:kern w:val="0"/>
                <w:sz w:val="24"/>
                <w:szCs w:val="24"/>
                <w:highlight w:val="none"/>
                <w:vertAlign w:val="baseline"/>
                <w:lang w:val="en-US" w:eastAsia="zh-CN"/>
              </w:rPr>
              <w:t>投标</w:t>
            </w:r>
            <w:r>
              <w:rPr>
                <w:rFonts w:hint="eastAsia" w:ascii="宋体" w:hAnsi="宋体" w:eastAsia="宋体" w:cs="宋体"/>
                <w:b w:val="0"/>
                <w:bCs/>
                <w:color w:val="auto"/>
                <w:kern w:val="0"/>
                <w:sz w:val="24"/>
                <w:szCs w:val="24"/>
                <w:highlight w:val="none"/>
                <w:vertAlign w:val="baseline"/>
                <w:lang w:eastAsia="zh-CN"/>
              </w:rPr>
              <w:t>保证金或电子保函</w:t>
            </w:r>
          </w:p>
        </w:tc>
        <w:tc>
          <w:tcPr>
            <w:tcW w:w="1303" w:type="dxa"/>
            <w:noWrap w:val="0"/>
            <w:vAlign w:val="center"/>
          </w:tcPr>
          <w:p w14:paraId="6B56183A">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675D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0" w:type="dxa"/>
            <w:noWrap w:val="0"/>
            <w:vAlign w:val="center"/>
          </w:tcPr>
          <w:p w14:paraId="53B457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5</w:t>
            </w:r>
          </w:p>
        </w:tc>
        <w:tc>
          <w:tcPr>
            <w:tcW w:w="2591" w:type="dxa"/>
            <w:noWrap w:val="0"/>
            <w:vAlign w:val="center"/>
          </w:tcPr>
          <w:p w14:paraId="693C1E5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lang w:eastAsia="zh-CN"/>
              </w:rPr>
              <w:t>有效期、</w:t>
            </w:r>
            <w:r>
              <w:rPr>
                <w:rFonts w:hint="eastAsia" w:ascii="宋体" w:hAnsi="宋体" w:cs="宋体"/>
                <w:color w:val="auto"/>
                <w:sz w:val="24"/>
                <w:szCs w:val="24"/>
                <w:highlight w:val="none"/>
                <w:lang w:val="en-US" w:eastAsia="zh-CN"/>
              </w:rPr>
              <w:t>合同履约期限</w:t>
            </w:r>
          </w:p>
        </w:tc>
        <w:tc>
          <w:tcPr>
            <w:tcW w:w="5033" w:type="dxa"/>
            <w:noWrap w:val="0"/>
            <w:vAlign w:val="center"/>
          </w:tcPr>
          <w:p w14:paraId="16A45A7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lang w:eastAsia="zh-CN"/>
              </w:rPr>
              <w:t>有效期、</w:t>
            </w:r>
            <w:r>
              <w:rPr>
                <w:rFonts w:hint="eastAsia" w:ascii="宋体" w:hAnsi="宋体" w:cs="宋体"/>
                <w:color w:val="auto"/>
                <w:sz w:val="24"/>
                <w:szCs w:val="24"/>
                <w:highlight w:val="none"/>
                <w:lang w:val="en-US" w:eastAsia="zh-CN"/>
              </w:rPr>
              <w:t>合同履约期限</w:t>
            </w:r>
            <w:r>
              <w:rPr>
                <w:rFonts w:hint="default" w:ascii="宋体" w:hAnsi="宋体" w:eastAsia="宋体" w:cs="宋体"/>
                <w:b w:val="0"/>
                <w:bCs/>
                <w:color w:val="auto"/>
                <w:kern w:val="0"/>
                <w:sz w:val="24"/>
                <w:szCs w:val="24"/>
                <w:highlight w:val="none"/>
                <w:vertAlign w:val="baseline"/>
                <w:lang w:val="en-US" w:eastAsia="zh-CN"/>
              </w:rPr>
              <w:t>满足</w:t>
            </w:r>
            <w:r>
              <w:rPr>
                <w:rFonts w:hint="eastAsia" w:ascii="宋体" w:hAnsi="宋体" w:cs="宋体"/>
                <w:b w:val="0"/>
                <w:bCs/>
                <w:color w:val="auto"/>
                <w:kern w:val="0"/>
                <w:sz w:val="24"/>
                <w:szCs w:val="24"/>
                <w:highlight w:val="none"/>
                <w:vertAlign w:val="baseline"/>
                <w:lang w:val="en-US" w:eastAsia="zh-CN"/>
              </w:rPr>
              <w:t>招标</w:t>
            </w:r>
            <w:r>
              <w:rPr>
                <w:rFonts w:hint="default" w:ascii="宋体" w:hAnsi="宋体" w:eastAsia="宋体" w:cs="宋体"/>
                <w:b w:val="0"/>
                <w:bCs/>
                <w:color w:val="auto"/>
                <w:kern w:val="0"/>
                <w:sz w:val="24"/>
                <w:szCs w:val="24"/>
                <w:highlight w:val="none"/>
                <w:vertAlign w:val="baseline"/>
                <w:lang w:val="en-US" w:eastAsia="zh-CN"/>
              </w:rPr>
              <w:t>文件要求</w:t>
            </w:r>
          </w:p>
        </w:tc>
        <w:tc>
          <w:tcPr>
            <w:tcW w:w="1303" w:type="dxa"/>
            <w:noWrap w:val="0"/>
            <w:vAlign w:val="center"/>
          </w:tcPr>
          <w:p w14:paraId="720B125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5EF3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0" w:type="dxa"/>
            <w:noWrap w:val="0"/>
            <w:vAlign w:val="center"/>
          </w:tcPr>
          <w:p w14:paraId="5DE87F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6</w:t>
            </w:r>
          </w:p>
        </w:tc>
        <w:tc>
          <w:tcPr>
            <w:tcW w:w="2591" w:type="dxa"/>
            <w:noWrap w:val="0"/>
            <w:vAlign w:val="center"/>
          </w:tcPr>
          <w:p w14:paraId="1BDEF41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cs="宋体"/>
                <w:b w:val="0"/>
                <w:bCs/>
                <w:color w:val="auto"/>
                <w:kern w:val="0"/>
                <w:sz w:val="24"/>
                <w:szCs w:val="24"/>
                <w:highlight w:val="none"/>
                <w:vertAlign w:val="baseline"/>
                <w:lang w:eastAsia="zh-CN"/>
              </w:rPr>
            </w:pPr>
            <w:r>
              <w:rPr>
                <w:rFonts w:hint="eastAsia" w:ascii="宋体" w:hAnsi="宋体" w:cs="宋体"/>
                <w:b w:val="0"/>
                <w:bCs/>
                <w:color w:val="auto"/>
                <w:kern w:val="0"/>
                <w:sz w:val="24"/>
                <w:szCs w:val="24"/>
                <w:highlight w:val="none"/>
                <w:vertAlign w:val="baseline"/>
                <w:lang w:eastAsia="zh-CN"/>
              </w:rPr>
              <w:t>实质性要求和条款</w:t>
            </w:r>
          </w:p>
        </w:tc>
        <w:tc>
          <w:tcPr>
            <w:tcW w:w="5033" w:type="dxa"/>
            <w:noWrap w:val="0"/>
            <w:vAlign w:val="center"/>
          </w:tcPr>
          <w:p w14:paraId="5D3131E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投标文件的有效性、完整性是否响应采购文件要求，是否响应采购文件的实质性要求和条款</w:t>
            </w:r>
          </w:p>
        </w:tc>
        <w:tc>
          <w:tcPr>
            <w:tcW w:w="1303" w:type="dxa"/>
            <w:noWrap w:val="0"/>
            <w:vAlign w:val="center"/>
          </w:tcPr>
          <w:p w14:paraId="1BEA3E9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color w:val="auto"/>
                <w:sz w:val="24"/>
                <w:szCs w:val="24"/>
                <w:highlight w:val="none"/>
                <w:lang w:val="en-US" w:eastAsia="zh-CN"/>
              </w:rPr>
            </w:pPr>
          </w:p>
        </w:tc>
      </w:tr>
      <w:tr w14:paraId="2C54A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0" w:type="dxa"/>
            <w:noWrap w:val="0"/>
            <w:vAlign w:val="center"/>
          </w:tcPr>
          <w:p w14:paraId="4E0F8D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7</w:t>
            </w:r>
          </w:p>
        </w:tc>
        <w:tc>
          <w:tcPr>
            <w:tcW w:w="2591" w:type="dxa"/>
            <w:noWrap w:val="0"/>
            <w:vAlign w:val="center"/>
          </w:tcPr>
          <w:p w14:paraId="4B8B2891">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采购人不能接受的条件</w:t>
            </w:r>
          </w:p>
        </w:tc>
        <w:tc>
          <w:tcPr>
            <w:tcW w:w="5033" w:type="dxa"/>
            <w:noWrap w:val="0"/>
            <w:vAlign w:val="center"/>
          </w:tcPr>
          <w:p w14:paraId="3CF79EFC">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投标文件</w:t>
            </w:r>
            <w:r>
              <w:rPr>
                <w:rFonts w:hint="eastAsia" w:ascii="宋体" w:hAnsi="宋体" w:eastAsia="宋体" w:cs="宋体"/>
                <w:color w:val="auto"/>
                <w:kern w:val="0"/>
                <w:sz w:val="24"/>
                <w:szCs w:val="24"/>
                <w:highlight w:val="none"/>
                <w:lang w:eastAsia="zh-CN"/>
              </w:rPr>
              <w:t>未附有采购人不能接受的附加条件及法律、法规和</w:t>
            </w:r>
            <w:r>
              <w:rPr>
                <w:rFonts w:hint="eastAsia" w:ascii="宋体" w:hAnsi="宋体" w:cs="宋体"/>
                <w:b w:val="0"/>
                <w:bCs/>
                <w:color w:val="auto"/>
                <w:kern w:val="0"/>
                <w:sz w:val="24"/>
                <w:szCs w:val="24"/>
                <w:highlight w:val="none"/>
                <w:vertAlign w:val="baseline"/>
                <w:lang w:val="en-US" w:eastAsia="zh-CN"/>
              </w:rPr>
              <w:t>招标</w:t>
            </w:r>
            <w:r>
              <w:rPr>
                <w:rFonts w:hint="eastAsia" w:ascii="宋体" w:hAnsi="宋体" w:eastAsia="宋体" w:cs="宋体"/>
                <w:color w:val="auto"/>
                <w:kern w:val="0"/>
                <w:sz w:val="24"/>
                <w:szCs w:val="24"/>
                <w:highlight w:val="none"/>
                <w:lang w:eastAsia="zh-CN"/>
              </w:rPr>
              <w:t>文件规定的其他无效情形</w:t>
            </w:r>
          </w:p>
        </w:tc>
        <w:tc>
          <w:tcPr>
            <w:tcW w:w="1303" w:type="dxa"/>
            <w:noWrap w:val="0"/>
            <w:vAlign w:val="center"/>
          </w:tcPr>
          <w:p w14:paraId="7FBBABE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color w:val="auto"/>
                <w:sz w:val="24"/>
                <w:szCs w:val="24"/>
                <w:highlight w:val="none"/>
                <w:lang w:val="en-US" w:eastAsia="zh-CN"/>
              </w:rPr>
            </w:pPr>
          </w:p>
        </w:tc>
      </w:tr>
      <w:tr w14:paraId="2A8F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30" w:type="dxa"/>
            <w:noWrap w:val="0"/>
            <w:vAlign w:val="center"/>
          </w:tcPr>
          <w:p w14:paraId="5FF204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rPr>
              <w:t>结论</w:t>
            </w:r>
          </w:p>
        </w:tc>
        <w:tc>
          <w:tcPr>
            <w:tcW w:w="8927" w:type="dxa"/>
            <w:gridSpan w:val="3"/>
            <w:noWrap w:val="0"/>
            <w:vAlign w:val="center"/>
          </w:tcPr>
          <w:p w14:paraId="509D726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rPr>
              <w:t>评审结果：通过用“√”表示；未通过用“×”表示。</w:t>
            </w:r>
          </w:p>
        </w:tc>
      </w:tr>
    </w:tbl>
    <w:p w14:paraId="6E8DCB03">
      <w:pPr>
        <w:keepNext w:val="0"/>
        <w:keepLines w:val="0"/>
        <w:pageBreakBefore w:val="0"/>
        <w:widowControl w:val="0"/>
        <w:kinsoku/>
        <w:wordWrap w:val="0"/>
        <w:overflowPunct/>
        <w:topLinePunct/>
        <w:autoSpaceDE/>
        <w:autoSpaceDN/>
        <w:bidi w:val="0"/>
        <w:adjustRightInd w:val="0"/>
        <w:snapToGrid w:val="0"/>
        <w:spacing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备注：如果</w:t>
      </w:r>
      <w:r>
        <w:rPr>
          <w:rFonts w:hint="eastAsia" w:ascii="宋体" w:hAnsi="宋体" w:cs="宋体"/>
          <w:b/>
          <w:bCs w:val="0"/>
          <w:color w:val="auto"/>
          <w:sz w:val="24"/>
          <w:szCs w:val="24"/>
          <w:highlight w:val="none"/>
          <w:lang w:val="en-US" w:eastAsia="zh-CN"/>
        </w:rPr>
        <w:t>投标文件</w:t>
      </w:r>
      <w:r>
        <w:rPr>
          <w:rFonts w:hint="eastAsia" w:ascii="宋体" w:hAnsi="宋体" w:eastAsia="宋体" w:cs="宋体"/>
          <w:b/>
          <w:bCs w:val="0"/>
          <w:color w:val="auto"/>
          <w:sz w:val="24"/>
          <w:szCs w:val="24"/>
          <w:highlight w:val="none"/>
          <w:lang w:val="en-US" w:eastAsia="zh-CN"/>
        </w:rPr>
        <w:t>中有一项未通过上述审查标准，</w:t>
      </w:r>
      <w:r>
        <w:rPr>
          <w:rFonts w:hint="eastAsia" w:ascii="宋体" w:hAnsi="宋体" w:cs="宋体"/>
          <w:b/>
          <w:bCs w:val="0"/>
          <w:color w:val="auto"/>
          <w:sz w:val="24"/>
          <w:szCs w:val="24"/>
          <w:highlight w:val="none"/>
          <w:lang w:val="en-US" w:eastAsia="zh-CN"/>
        </w:rPr>
        <w:t>评标委员会</w:t>
      </w:r>
      <w:r>
        <w:rPr>
          <w:rFonts w:hint="eastAsia" w:ascii="宋体" w:hAnsi="宋体" w:eastAsia="宋体" w:cs="宋体"/>
          <w:b/>
          <w:bCs w:val="0"/>
          <w:color w:val="auto"/>
          <w:sz w:val="24"/>
          <w:szCs w:val="24"/>
          <w:highlight w:val="none"/>
          <w:lang w:val="en-US" w:eastAsia="zh-CN"/>
        </w:rPr>
        <w:t>将认定整个</w:t>
      </w:r>
      <w:r>
        <w:rPr>
          <w:rFonts w:hint="eastAsia" w:ascii="宋体" w:hAnsi="宋体" w:cs="宋体"/>
          <w:b/>
          <w:bCs w:val="0"/>
          <w:color w:val="auto"/>
          <w:sz w:val="24"/>
          <w:szCs w:val="24"/>
          <w:highlight w:val="none"/>
          <w:lang w:val="en-US" w:eastAsia="zh-CN"/>
        </w:rPr>
        <w:t>投标文件</w:t>
      </w:r>
      <w:r>
        <w:rPr>
          <w:rFonts w:hint="eastAsia" w:ascii="宋体" w:hAnsi="宋体" w:eastAsia="宋体" w:cs="宋体"/>
          <w:b/>
          <w:bCs w:val="0"/>
          <w:color w:val="auto"/>
          <w:sz w:val="24"/>
          <w:szCs w:val="24"/>
          <w:highlight w:val="none"/>
          <w:lang w:val="en-US" w:eastAsia="zh-CN"/>
        </w:rPr>
        <w:t>不响应采购文件而予以无效处理，并且不允许供应商通过修改或撤销其不符合要求的差异或保留，使之成为具有响应性的投标。</w:t>
      </w:r>
    </w:p>
    <w:p w14:paraId="092B9E2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3.2.1在</w:t>
      </w:r>
      <w:r>
        <w:rPr>
          <w:rFonts w:hint="eastAsia" w:ascii="宋体" w:hAnsi="宋体" w:cs="宋体"/>
          <w:bCs/>
          <w:color w:val="auto"/>
          <w:sz w:val="24"/>
          <w:szCs w:val="24"/>
          <w:highlight w:val="none"/>
          <w:lang w:val="en-US" w:eastAsia="zh-CN"/>
        </w:rPr>
        <w:t>投标文件</w:t>
      </w:r>
      <w:r>
        <w:rPr>
          <w:rFonts w:hint="eastAsia" w:ascii="宋体" w:hAnsi="宋体" w:eastAsia="宋体" w:cs="宋体"/>
          <w:bCs/>
          <w:color w:val="auto"/>
          <w:sz w:val="24"/>
          <w:szCs w:val="24"/>
          <w:highlight w:val="none"/>
          <w:lang w:val="en-US" w:eastAsia="zh-CN"/>
        </w:rPr>
        <w:t>符合性审查过程中，如果出现</w:t>
      </w:r>
      <w:r>
        <w:rPr>
          <w:rFonts w:hint="eastAsia" w:ascii="宋体" w:hAnsi="宋体" w:cs="宋体"/>
          <w:bCs/>
          <w:color w:val="auto"/>
          <w:sz w:val="24"/>
          <w:szCs w:val="24"/>
          <w:highlight w:val="none"/>
          <w:lang w:val="en-US" w:eastAsia="zh-CN"/>
        </w:rPr>
        <w:t>评标委员会</w:t>
      </w:r>
      <w:r>
        <w:rPr>
          <w:rFonts w:hint="eastAsia" w:ascii="宋体" w:hAnsi="宋体" w:eastAsia="宋体" w:cs="宋体"/>
          <w:bCs/>
          <w:color w:val="auto"/>
          <w:sz w:val="24"/>
          <w:szCs w:val="24"/>
          <w:highlight w:val="none"/>
          <w:lang w:val="en-US" w:eastAsia="zh-CN"/>
        </w:rPr>
        <w:t>成员意见不一致的情况，按照</w:t>
      </w:r>
      <w:r>
        <w:rPr>
          <w:rFonts w:hint="eastAsia" w:ascii="宋体" w:hAnsi="宋体" w:eastAsia="宋体" w:cs="宋体"/>
          <w:bCs/>
          <w:color w:val="auto"/>
          <w:sz w:val="24"/>
          <w:szCs w:val="24"/>
          <w:highlight w:val="none"/>
          <w:lang w:eastAsia="zh-CN"/>
        </w:rPr>
        <w:t>少数服从多数的原则确定，但不得违背政府采购基本原则和采购文件规定。</w:t>
      </w:r>
    </w:p>
    <w:p w14:paraId="11A0F25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3.2.2</w:t>
      </w:r>
      <w:r>
        <w:rPr>
          <w:rFonts w:hint="eastAsia" w:ascii="宋体" w:hAnsi="宋体" w:eastAsia="宋体" w:cs="宋体"/>
          <w:bCs/>
          <w:color w:val="auto"/>
          <w:sz w:val="24"/>
          <w:szCs w:val="24"/>
          <w:highlight w:val="none"/>
          <w:lang w:eastAsia="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方式确定一个投标人获得中标人推荐资格，其他同品牌投标人不作为中标（成交）候选人；</w:t>
      </w:r>
    </w:p>
    <w:p w14:paraId="692BC10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3.3澄清有关问题。对</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中含义不明确、同类问题表述不一致或者有明显文字和计算错误的内容，</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可以书面形式（应当由</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专家签字）要求供应商作出必要的澄清、说明或者纠正。供应商的澄清、说明或者补正应当采用书面形式，由其授权的代表签字，并不得超出投标文件的范围或者改变</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的实质性内容。</w:t>
      </w:r>
      <w:bookmarkStart w:id="150" w:name="_Toc183682422"/>
      <w:bookmarkEnd w:id="150"/>
      <w:bookmarkStart w:id="151" w:name="_Toc217446104"/>
      <w:bookmarkEnd w:id="151"/>
      <w:bookmarkStart w:id="152" w:name="_Toc183582287"/>
      <w:bookmarkEnd w:id="152"/>
    </w:p>
    <w:p w14:paraId="2943EB8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3.4比较与评价。按采购文件中规定的评标方法和标准，对符合性审查合格的</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进行商务、技术和服务评估，综合比较与评价。</w:t>
      </w:r>
    </w:p>
    <w:p w14:paraId="7E50927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3.5推荐中标（成交）候选供应商名单。中标（成交）候选供应商数量应当根据采购需要确定，但必须按顺序排列中标（成交）候选供应商。</w:t>
      </w:r>
    </w:p>
    <w:p w14:paraId="07892AD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3.5.1本项目采用综合评分法，评标结果按评审后得分由高到低顺序排列。得分相同的，按投标报价由低到高顺序排列。得分且投标报价相同的排序并列。</w:t>
      </w:r>
    </w:p>
    <w:p w14:paraId="13F1E07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3.6编写评标报告。评标报告是</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根据全体评标成员签字的原始评标记录和评标结果编写的报告，其主要内容包括：</w:t>
      </w:r>
    </w:p>
    <w:p w14:paraId="38BF288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（1）项目概况、开标日期和地点；</w:t>
      </w:r>
    </w:p>
    <w:p w14:paraId="04C2666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（2）购买采购文件的供应商名单和</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成员名单；</w:t>
      </w:r>
    </w:p>
    <w:p w14:paraId="242E377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（3）评标方法和标准；</w:t>
      </w:r>
    </w:p>
    <w:p w14:paraId="7109F6E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（4）开标记录和评标情况及说明，包括投标无效供应商名单及原因；</w:t>
      </w:r>
    </w:p>
    <w:p w14:paraId="79DBAD7C">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（5）评标结果和中标（成交）候选供应商排序。</w:t>
      </w:r>
    </w:p>
    <w:p w14:paraId="70C6BC2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53" w:name="_Toc217446103"/>
      <w:r>
        <w:rPr>
          <w:rFonts w:hint="eastAsia" w:ascii="宋体" w:hAnsi="宋体" w:eastAsia="宋体" w:cs="宋体"/>
          <w:bCs/>
          <w:color w:val="auto"/>
          <w:sz w:val="24"/>
          <w:szCs w:val="24"/>
          <w:highlight w:val="none"/>
          <w:lang w:eastAsia="zh-CN"/>
        </w:rPr>
        <w:t>4.评标细则及标准</w:t>
      </w:r>
      <w:bookmarkEnd w:id="153"/>
    </w:p>
    <w:p w14:paraId="5855CE4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4.1</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只对通过符合性审查的</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，根据采购文件的要求采用相同的评标程序、评分办法及标准进行评价和比较。</w:t>
      </w:r>
    </w:p>
    <w:p w14:paraId="7E931ED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4.2本次综合评分的因素是：价格、服务、业绩、对采购文件的响应程度和（如涉及）节能、环境标志产品及投标文件规范性等。</w:t>
      </w:r>
    </w:p>
    <w:p w14:paraId="5530690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4.3除价格因素外，</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成员应依据</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规定的评分标准和方法独立对其他因素进行比较打分。</w:t>
      </w:r>
    </w:p>
    <w:p w14:paraId="3942F9B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4.4在评标过程中，</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有下列情况之一，</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成员应当按照采购文件规定的非实质性偏离进行扣分：</w:t>
      </w:r>
    </w:p>
    <w:p w14:paraId="6D872B6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文字表述的内容含义不明确，或者同类问题表述不一致，或者有明显文字和计算错误，或者提供的技术信息和数据资料不完整，供应商拒不或在规定的时间内没有进行澄清、说明或补正或澄清、说明、补正的内容也不能说明问题的；</w:t>
      </w:r>
    </w:p>
    <w:p w14:paraId="220256A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未编制目录、页码；</w:t>
      </w:r>
    </w:p>
    <w:p w14:paraId="433C7AE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（3）认定的与采购文件规定的技术、商务和其他规定要求不符的非实质性偏离；</w:t>
      </w:r>
    </w:p>
    <w:p w14:paraId="17DE711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（4）认定的其他非实质性偏离。</w:t>
      </w:r>
    </w:p>
    <w:p w14:paraId="26EE305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4.5综合评审标准</w:t>
      </w:r>
    </w:p>
    <w:p w14:paraId="42ADD2E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4.5.1综合评审标准的制定以科学合理、降低</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自由裁量权为原则。</w:t>
      </w:r>
    </w:p>
    <w:p w14:paraId="59BE3D4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4.5.2</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将按照下述评审标准对通过符合性审查的</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进行详细评审，供应商评审得分等于所有评委评分的算术平均值，结果保留两位小数。</w:t>
      </w:r>
    </w:p>
    <w:p w14:paraId="15822E3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评标因素权重表：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2277"/>
        <w:gridCol w:w="2586"/>
        <w:gridCol w:w="2945"/>
      </w:tblGrid>
      <w:tr w14:paraId="3218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851" w:type="dxa"/>
            <w:tcBorders>
              <w:top w:val="single" w:color="auto" w:sz="4" w:space="0"/>
              <w:left w:val="single" w:color="auto" w:sz="4" w:space="0"/>
              <w:bottom w:val="single" w:color="auto" w:sz="4" w:space="0"/>
              <w:right w:val="single" w:color="auto" w:sz="4" w:space="0"/>
            </w:tcBorders>
            <w:noWrap w:val="0"/>
            <w:vAlign w:val="center"/>
          </w:tcPr>
          <w:p w14:paraId="27F396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617469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586" w:type="dxa"/>
            <w:tcBorders>
              <w:top w:val="single" w:color="auto" w:sz="4" w:space="0"/>
              <w:left w:val="single" w:color="auto" w:sz="4" w:space="0"/>
              <w:bottom w:val="single" w:color="auto" w:sz="4" w:space="0"/>
              <w:right w:val="single" w:color="auto" w:sz="4" w:space="0"/>
            </w:tcBorders>
            <w:noWrap w:val="0"/>
            <w:vAlign w:val="center"/>
          </w:tcPr>
          <w:p w14:paraId="0FBB22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945" w:type="dxa"/>
            <w:tcBorders>
              <w:top w:val="single" w:color="auto" w:sz="4" w:space="0"/>
              <w:left w:val="single" w:color="auto" w:sz="4" w:space="0"/>
              <w:bottom w:val="single" w:color="auto" w:sz="4" w:space="0"/>
              <w:right w:val="single" w:color="auto" w:sz="4" w:space="0"/>
            </w:tcBorders>
            <w:noWrap w:val="0"/>
            <w:vAlign w:val="center"/>
          </w:tcPr>
          <w:p w14:paraId="5475EE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w:t>
            </w:r>
          </w:p>
        </w:tc>
      </w:tr>
      <w:tr w14:paraId="721B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851" w:type="dxa"/>
            <w:tcBorders>
              <w:top w:val="single" w:color="auto" w:sz="4" w:space="0"/>
              <w:left w:val="single" w:color="auto" w:sz="4" w:space="0"/>
              <w:bottom w:val="single" w:color="auto" w:sz="4" w:space="0"/>
              <w:right w:val="single" w:color="auto" w:sz="4" w:space="0"/>
            </w:tcBorders>
            <w:noWrap w:val="0"/>
            <w:vAlign w:val="center"/>
          </w:tcPr>
          <w:p w14:paraId="2E5794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评标因素</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1E2842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w:t>
            </w:r>
          </w:p>
        </w:tc>
        <w:tc>
          <w:tcPr>
            <w:tcW w:w="2586" w:type="dxa"/>
            <w:tcBorders>
              <w:top w:val="single" w:color="auto" w:sz="4" w:space="0"/>
              <w:left w:val="single" w:color="auto" w:sz="4" w:space="0"/>
              <w:bottom w:val="single" w:color="auto" w:sz="4" w:space="0"/>
              <w:right w:val="single" w:color="auto" w:sz="4" w:space="0"/>
            </w:tcBorders>
            <w:noWrap w:val="0"/>
            <w:vAlign w:val="center"/>
          </w:tcPr>
          <w:p w14:paraId="41D7C5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技术、商务部分</w:t>
            </w:r>
          </w:p>
        </w:tc>
        <w:tc>
          <w:tcPr>
            <w:tcW w:w="2945" w:type="dxa"/>
            <w:tcBorders>
              <w:top w:val="single" w:color="auto" w:sz="4" w:space="0"/>
              <w:left w:val="single" w:color="auto" w:sz="4" w:space="0"/>
              <w:bottom w:val="single" w:color="auto" w:sz="4" w:space="0"/>
              <w:right w:val="single" w:color="auto" w:sz="4" w:space="0"/>
            </w:tcBorders>
            <w:noWrap w:val="0"/>
            <w:vAlign w:val="center"/>
          </w:tcPr>
          <w:p w14:paraId="6EC2EB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合计</w:t>
            </w:r>
          </w:p>
        </w:tc>
      </w:tr>
      <w:tr w14:paraId="2B6D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51" w:type="dxa"/>
            <w:tcBorders>
              <w:top w:val="single" w:color="auto" w:sz="4" w:space="0"/>
              <w:left w:val="single" w:color="auto" w:sz="4" w:space="0"/>
              <w:bottom w:val="single" w:color="auto" w:sz="4" w:space="0"/>
              <w:right w:val="single" w:color="auto" w:sz="4" w:space="0"/>
            </w:tcBorders>
            <w:noWrap w:val="0"/>
            <w:vAlign w:val="center"/>
          </w:tcPr>
          <w:p w14:paraId="3B1370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权重</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1D48F0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w:t>
            </w:r>
          </w:p>
        </w:tc>
        <w:tc>
          <w:tcPr>
            <w:tcW w:w="2586" w:type="dxa"/>
            <w:tcBorders>
              <w:top w:val="single" w:color="auto" w:sz="4" w:space="0"/>
              <w:left w:val="single" w:color="auto" w:sz="4" w:space="0"/>
              <w:bottom w:val="single" w:color="auto" w:sz="4" w:space="0"/>
              <w:right w:val="single" w:color="auto" w:sz="4" w:space="0"/>
            </w:tcBorders>
            <w:noWrap w:val="0"/>
            <w:vAlign w:val="center"/>
          </w:tcPr>
          <w:p w14:paraId="7932DF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w:t>
            </w:r>
          </w:p>
        </w:tc>
        <w:tc>
          <w:tcPr>
            <w:tcW w:w="2945" w:type="dxa"/>
            <w:tcBorders>
              <w:top w:val="single" w:color="auto" w:sz="4" w:space="0"/>
              <w:left w:val="single" w:color="auto" w:sz="4" w:space="0"/>
              <w:bottom w:val="single" w:color="auto" w:sz="4" w:space="0"/>
              <w:right w:val="single" w:color="auto" w:sz="4" w:space="0"/>
            </w:tcBorders>
            <w:noWrap w:val="0"/>
            <w:vAlign w:val="center"/>
          </w:tcPr>
          <w:p w14:paraId="25AE8DF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100%</w:t>
            </w:r>
          </w:p>
        </w:tc>
      </w:tr>
    </w:tbl>
    <w:p w14:paraId="32C064C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p>
    <w:p w14:paraId="1AF6B260">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4.5.3</w:t>
      </w:r>
      <w:r>
        <w:rPr>
          <w:rFonts w:hint="eastAsia" w:ascii="宋体" w:hAnsi="宋体" w:eastAsia="宋体" w:cs="宋体"/>
          <w:bCs/>
          <w:color w:val="auto"/>
          <w:sz w:val="24"/>
          <w:szCs w:val="24"/>
          <w:highlight w:val="none"/>
          <w:lang w:eastAsia="zh-CN"/>
        </w:rPr>
        <w:t>价格得分的评分方法：采用低价优先法计算，即满足采购文件要求且投标价格最低的投标报价为评标基准价，其价格得分为满分。其他投标人的价格得分统一按照下列公式计算：价格得分=（评标基准价/</w:t>
      </w:r>
      <w:r>
        <w:rPr>
          <w:rFonts w:hint="eastAsia" w:ascii="宋体" w:hAnsi="宋体" w:eastAsia="宋体" w:cs="宋体"/>
          <w:bCs/>
          <w:color w:val="auto"/>
          <w:sz w:val="24"/>
          <w:szCs w:val="24"/>
          <w:highlight w:val="none"/>
          <w:lang w:val="zh-CN" w:eastAsia="zh-CN"/>
        </w:rPr>
        <w:t>投标报价</w:t>
      </w:r>
      <w:r>
        <w:rPr>
          <w:rFonts w:hint="eastAsia" w:ascii="宋体" w:hAnsi="宋体" w:eastAsia="宋体" w:cs="宋体"/>
          <w:bCs/>
          <w:color w:val="auto"/>
          <w:sz w:val="24"/>
          <w:szCs w:val="24"/>
          <w:highlight w:val="none"/>
          <w:lang w:eastAsia="zh-CN"/>
        </w:rPr>
        <w:t>）×报价部分权重×100，如此类推，算出所有投标供应商的价格得分。</w:t>
      </w:r>
    </w:p>
    <w:p w14:paraId="51AA60F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评审优惠内容及价格扣除：</w:t>
      </w:r>
    </w:p>
    <w:p w14:paraId="3CB0CFD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（一）小型和微型企业产品价格扣除</w:t>
      </w:r>
    </w:p>
    <w:p w14:paraId="59D053D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根据财政部印发的《政府采购促进中小企业发展管理办法》（财库[20</w:t>
      </w:r>
      <w:r>
        <w:rPr>
          <w:rFonts w:hint="eastAsia" w:ascii="宋体" w:hAnsi="宋体" w:eastAsia="宋体" w:cs="宋体"/>
          <w:bCs/>
          <w:color w:val="auto"/>
          <w:sz w:val="24"/>
          <w:szCs w:val="24"/>
          <w:highlight w:val="none"/>
          <w:lang w:val="en-US" w:eastAsia="zh-CN"/>
        </w:rPr>
        <w:t>20</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46</w:t>
      </w:r>
      <w:r>
        <w:rPr>
          <w:rFonts w:hint="eastAsia" w:ascii="宋体" w:hAnsi="宋体" w:eastAsia="宋体" w:cs="宋体"/>
          <w:bCs/>
          <w:color w:val="auto"/>
          <w:sz w:val="24"/>
          <w:szCs w:val="24"/>
          <w:highlight w:val="none"/>
          <w:lang w:eastAsia="zh-CN"/>
        </w:rPr>
        <w:t>号）和《关于进一步加大政府采购支持中小企业力度的通知》（财库[20</w:t>
      </w:r>
      <w:r>
        <w:rPr>
          <w:rFonts w:hint="eastAsia" w:ascii="宋体" w:hAnsi="宋体" w:eastAsia="宋体" w:cs="宋体"/>
          <w:bCs/>
          <w:color w:val="auto"/>
          <w:sz w:val="24"/>
          <w:szCs w:val="24"/>
          <w:highlight w:val="none"/>
          <w:lang w:val="en-US" w:eastAsia="zh-CN"/>
        </w:rPr>
        <w:t>22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19</w:t>
      </w:r>
      <w:r>
        <w:rPr>
          <w:rFonts w:hint="eastAsia" w:ascii="宋体" w:hAnsi="宋体" w:eastAsia="宋体" w:cs="宋体"/>
          <w:bCs/>
          <w:color w:val="auto"/>
          <w:sz w:val="24"/>
          <w:szCs w:val="24"/>
          <w:highlight w:val="none"/>
          <w:lang w:eastAsia="zh-CN"/>
        </w:rPr>
        <w:t>号）的规定，对小型和微型企业产品给予</w:t>
      </w: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-20%</w:t>
      </w:r>
      <w:r>
        <w:rPr>
          <w:rFonts w:hint="eastAsia" w:ascii="宋体" w:hAnsi="宋体" w:eastAsia="宋体" w:cs="宋体"/>
          <w:bCs/>
          <w:color w:val="auto"/>
          <w:sz w:val="24"/>
          <w:szCs w:val="24"/>
          <w:highlight w:val="none"/>
          <w:lang w:eastAsia="zh-CN"/>
        </w:rPr>
        <w:t>的价格扣除优惠，用扣除后的价格参与评审。</w:t>
      </w:r>
    </w:p>
    <w:p w14:paraId="64DE102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《政府采购促进中小企业发展管理办法》（财库[20</w:t>
      </w:r>
      <w:r>
        <w:rPr>
          <w:rFonts w:hint="eastAsia" w:ascii="宋体" w:hAnsi="宋体" w:eastAsia="宋体" w:cs="宋体"/>
          <w:bCs/>
          <w:color w:val="auto"/>
          <w:sz w:val="24"/>
          <w:szCs w:val="24"/>
          <w:highlight w:val="none"/>
          <w:lang w:val="en-US" w:eastAsia="zh-CN"/>
        </w:rPr>
        <w:t>20</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46</w:t>
      </w:r>
      <w:r>
        <w:rPr>
          <w:rFonts w:hint="eastAsia" w:ascii="宋体" w:hAnsi="宋体" w:eastAsia="宋体" w:cs="宋体"/>
          <w:bCs/>
          <w:color w:val="auto"/>
          <w:sz w:val="24"/>
          <w:szCs w:val="24"/>
          <w:highlight w:val="none"/>
          <w:lang w:eastAsia="zh-CN"/>
        </w:rPr>
        <w:t>号）所称中小企业（含中型、小型、微型企业，下同）应当同时符合以下条件：</w:t>
      </w:r>
    </w:p>
    <w:p w14:paraId="2112CA6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符合中小企业划分标准；</w:t>
      </w:r>
    </w:p>
    <w:p w14:paraId="12AEEA30">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提供本企业制造的货物、承担的工程或者服务，或者提供其他中小企业制造的货物。本项所称货物不包括使用大型企业注册商标的货物。</w:t>
      </w:r>
    </w:p>
    <w:p w14:paraId="6CA8A48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中小企业划分标准以《工业和信息化部、国家统计局、国家发展和改革委员会、财政部关于印发中小企业划型标准规定的通知》（工信部联企业[2011]300号）规定的划分标准为准（详见附件）。小型、微型企业提供中型企业制造的货物的，视同为中型企业。参加政府采购活动的中小企业应当提供《中小企业声明函》。凡是参与小微企业价格评审扣除的供应商应当提供《中小企业声明函》，不提供者不得享受小微企业价格扣除的优惠政策，提供虚假证明的按照无效投标处理。</w:t>
      </w:r>
    </w:p>
    <w:p w14:paraId="4686CB6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（二）监狱企业产品价格扣除</w:t>
      </w:r>
    </w:p>
    <w:p w14:paraId="24BAD6C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监狱企业视同小型、微型企业，按上述条款享受评审中价格扣除。</w:t>
      </w:r>
    </w:p>
    <w:p w14:paraId="4FF17CB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FD847D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监狱企业参加政府采购活动时，应当提供由省级以上监狱管理局、戒毒管理局（含新疆生产建设兵团）出具的属于监狱企业的证明文件，否则不予认可。</w:t>
      </w:r>
    </w:p>
    <w:p w14:paraId="72AE1F6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（三）残疾人福利性单位产品价格扣除</w:t>
      </w:r>
    </w:p>
    <w:p w14:paraId="02613FE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残疾人福利性单位视同小型、微型企业，按上述条款享受评审中价格扣除。</w:t>
      </w:r>
    </w:p>
    <w:p w14:paraId="64DE708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根据财政部、民政部、中国残疾人联合会印发的《关于促进残疾人就业政府采购政策的通知》（财库〔2017〕141号）的规定，符合条件的残疾人福利性单位在参加政府采购活动时，应当提供该通知规定的《残疾人福利性单位声明函》，并对声明的真实性负责。一旦中标将在中标公告中公告其声明函，接受社会监督。投标人提供的《残疾人福利性单位声明函》与事实不符的，依照《中华人民共和国政府采购法》第七十七条第一款的规定追究法律责任。</w:t>
      </w:r>
    </w:p>
    <w:p w14:paraId="3BE8072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投标人同时为小型、微型企业、监狱企业、残疾人福利性单位任两种或以上情况的，评审中只享受一次价格扣除，不重复进行价格扣除。</w:t>
      </w:r>
    </w:p>
    <w:p w14:paraId="4D08119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（四）节能产品、环境标志产品价格扣除：</w:t>
      </w:r>
    </w:p>
    <w:p w14:paraId="109EE33C">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投标产品</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针对非政府强制采购产品</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纳入国家行业主管部门颁布的最新一期节能产品清单的，节能产品投标报价占总投标报价比例在30%或以上的，对节能产品的价格给予2%的扣除，在30%以下的，对节能产品的价格给予1%的扣除，用扣除后的价格参与评审。</w:t>
      </w:r>
      <w:r>
        <w:rPr>
          <w:rFonts w:hint="eastAsia" w:ascii="宋体" w:hAnsi="宋体" w:eastAsia="宋体" w:cs="宋体"/>
          <w:b/>
          <w:bCs w:val="0"/>
          <w:color w:val="auto"/>
          <w:sz w:val="24"/>
          <w:szCs w:val="24"/>
          <w:highlight w:val="none"/>
          <w:lang w:eastAsia="zh-CN"/>
        </w:rPr>
        <w:t>（提供投标产品所在清单页加盖投标人公章）</w:t>
      </w:r>
      <w:r>
        <w:rPr>
          <w:rFonts w:hint="eastAsia" w:ascii="宋体" w:hAnsi="宋体" w:eastAsia="宋体" w:cs="宋体"/>
          <w:bCs/>
          <w:color w:val="auto"/>
          <w:sz w:val="24"/>
          <w:szCs w:val="24"/>
          <w:highlight w:val="none"/>
          <w:lang w:eastAsia="zh-CN"/>
        </w:rPr>
        <w:t>。</w:t>
      </w:r>
    </w:p>
    <w:p w14:paraId="3A78966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投标产品纳入国家行业主管部门颁布的最新一期环境标志产品清单的，环境标志产品投标报价占总投标报价比例在30%或以上的，对环境标志产品的价格给予2%的扣除，在30%以下的，对节能产品的价格给予1%的扣除，用扣除后的价格参与评审。（提供投标产品所在清单页加盖投标人公章）。</w:t>
      </w:r>
    </w:p>
    <w:p w14:paraId="7FE6A9C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4.5.4报价评审标准</w:t>
      </w:r>
    </w:p>
    <w:p w14:paraId="66BF0B3B">
      <w:pPr>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报价评</w:t>
      </w:r>
      <w:r>
        <w:rPr>
          <w:rFonts w:hint="eastAsia" w:ascii="宋体" w:hAnsi="宋体" w:eastAsia="宋体" w:cs="宋体"/>
          <w:b/>
          <w:bCs/>
          <w:color w:val="auto"/>
          <w:sz w:val="24"/>
          <w:szCs w:val="24"/>
          <w:highlight w:val="none"/>
          <w:lang w:eastAsia="zh-CN"/>
        </w:rPr>
        <w:t>审</w:t>
      </w:r>
      <w:r>
        <w:rPr>
          <w:rFonts w:hint="eastAsia" w:ascii="宋体" w:hAnsi="宋体" w:eastAsia="宋体" w:cs="宋体"/>
          <w:b/>
          <w:bCs/>
          <w:color w:val="auto"/>
          <w:sz w:val="24"/>
          <w:szCs w:val="24"/>
          <w:highlight w:val="none"/>
        </w:rPr>
        <w:t>标准（</w:t>
      </w:r>
      <w:r>
        <w:rPr>
          <w:rFonts w:hint="eastAsia" w:ascii="宋体" w:hAnsi="宋体" w:eastAsia="宋体" w:cs="宋体"/>
          <w:b/>
          <w:color w:val="auto"/>
          <w:spacing w:val="-2"/>
          <w:sz w:val="24"/>
          <w:szCs w:val="24"/>
          <w:highlight w:val="none"/>
        </w:rPr>
        <w:t>占总分值的</w:t>
      </w:r>
      <w:r>
        <w:rPr>
          <w:rFonts w:hint="eastAsia" w:ascii="宋体" w:hAnsi="宋体" w:cs="宋体"/>
          <w:b/>
          <w:color w:val="auto"/>
          <w:spacing w:val="-2"/>
          <w:sz w:val="24"/>
          <w:szCs w:val="24"/>
          <w:highlight w:val="none"/>
          <w:lang w:val="en-US" w:eastAsia="zh-CN"/>
        </w:rPr>
        <w:t>1</w:t>
      </w:r>
      <w:r>
        <w:rPr>
          <w:rFonts w:hint="eastAsia" w:ascii="宋体" w:hAnsi="宋体" w:eastAsia="宋体" w:cs="宋体"/>
          <w:b/>
          <w:color w:val="auto"/>
          <w:spacing w:val="-2"/>
          <w:sz w:val="24"/>
          <w:szCs w:val="24"/>
          <w:highlight w:val="none"/>
          <w:lang w:val="en-US" w:eastAsia="zh-CN"/>
        </w:rPr>
        <w:t>0</w:t>
      </w:r>
      <w:r>
        <w:rPr>
          <w:rFonts w:hint="eastAsia" w:ascii="宋体" w:hAnsi="宋体" w:eastAsia="宋体" w:cs="宋体"/>
          <w:b/>
          <w:color w:val="auto"/>
          <w:spacing w:val="-2"/>
          <w:sz w:val="24"/>
          <w:szCs w:val="24"/>
          <w:highlight w:val="none"/>
        </w:rPr>
        <w:t>%</w:t>
      </w:r>
      <w:r>
        <w:rPr>
          <w:rFonts w:hint="eastAsia" w:ascii="宋体" w:hAnsi="宋体" w:eastAsia="宋体" w:cs="宋体"/>
          <w:b/>
          <w:bCs/>
          <w:color w:val="auto"/>
          <w:sz w:val="24"/>
          <w:szCs w:val="24"/>
          <w:highlight w:val="none"/>
        </w:rPr>
        <w:t>）</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332"/>
        <w:gridCol w:w="7596"/>
      </w:tblGrid>
      <w:tr w14:paraId="3055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30" w:type="dxa"/>
            <w:noWrap w:val="0"/>
            <w:vAlign w:val="center"/>
          </w:tcPr>
          <w:p w14:paraId="3AE9145B">
            <w:pPr>
              <w:autoSpaceDE w:val="0"/>
              <w:autoSpaceDN w:val="0"/>
              <w:adjustRightInd w:val="0"/>
              <w:jc w:val="center"/>
              <w:outlineLvl w:val="9"/>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序号</w:t>
            </w:r>
          </w:p>
        </w:tc>
        <w:tc>
          <w:tcPr>
            <w:tcW w:w="1332" w:type="dxa"/>
            <w:noWrap w:val="0"/>
            <w:vAlign w:val="center"/>
          </w:tcPr>
          <w:p w14:paraId="38F95511">
            <w:pPr>
              <w:autoSpaceDE w:val="0"/>
              <w:autoSpaceDN w:val="0"/>
              <w:adjustRightInd w:val="0"/>
              <w:jc w:val="center"/>
              <w:outlineLvl w:val="9"/>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评审因素</w:t>
            </w:r>
          </w:p>
        </w:tc>
        <w:tc>
          <w:tcPr>
            <w:tcW w:w="7596" w:type="dxa"/>
            <w:noWrap w:val="0"/>
            <w:vAlign w:val="center"/>
          </w:tcPr>
          <w:p w14:paraId="4C1C9892">
            <w:pPr>
              <w:autoSpaceDE w:val="0"/>
              <w:autoSpaceDN w:val="0"/>
              <w:adjustRightInd w:val="0"/>
              <w:jc w:val="center"/>
              <w:outlineLvl w:val="9"/>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评分标准</w:t>
            </w:r>
          </w:p>
        </w:tc>
      </w:tr>
      <w:tr w14:paraId="7FEE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30" w:type="dxa"/>
            <w:vMerge w:val="restart"/>
            <w:noWrap w:val="0"/>
            <w:vAlign w:val="center"/>
          </w:tcPr>
          <w:p w14:paraId="3AF8A4DF">
            <w:pPr>
              <w:autoSpaceDE w:val="0"/>
              <w:autoSpaceDN w:val="0"/>
              <w:adjustRightInd w:val="0"/>
              <w:jc w:val="center"/>
              <w:outlineLvl w:val="9"/>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1</w:t>
            </w:r>
          </w:p>
        </w:tc>
        <w:tc>
          <w:tcPr>
            <w:tcW w:w="1332" w:type="dxa"/>
            <w:vMerge w:val="restart"/>
            <w:noWrap w:val="0"/>
            <w:vAlign w:val="center"/>
          </w:tcPr>
          <w:p w14:paraId="590B962B">
            <w:pPr>
              <w:autoSpaceDE w:val="0"/>
              <w:autoSpaceDN w:val="0"/>
              <w:adjustRightInd w:val="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投标报价</w:t>
            </w:r>
          </w:p>
        </w:tc>
        <w:tc>
          <w:tcPr>
            <w:tcW w:w="7596" w:type="dxa"/>
            <w:noWrap w:val="0"/>
            <w:vAlign w:val="center"/>
          </w:tcPr>
          <w:p w14:paraId="3C731E2A">
            <w:pPr>
              <w:autoSpaceDE w:val="0"/>
              <w:autoSpaceDN w:val="0"/>
              <w:adjustRightInd w:val="0"/>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评标基准价即满足</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lang w:val="zh-CN"/>
              </w:rPr>
              <w:t>文件要求且投标价格最低的投标报价。</w:t>
            </w:r>
          </w:p>
          <w:p w14:paraId="1C86B4C4">
            <w:pPr>
              <w:autoSpaceDE w:val="0"/>
              <w:autoSpaceDN w:val="0"/>
              <w:adjustRightInd w:val="0"/>
              <w:outlineLvl w:val="9"/>
              <w:rPr>
                <w:rFonts w:hint="eastAsia" w:ascii="宋体" w:hAnsi="宋体" w:eastAsia="宋体" w:cs="宋体"/>
                <w:color w:val="auto"/>
                <w:sz w:val="24"/>
                <w:highlight w:val="none"/>
              </w:rPr>
            </w:pPr>
            <w:r>
              <w:rPr>
                <w:rFonts w:hint="eastAsia" w:ascii="宋体" w:hAnsi="宋体" w:cs="宋体"/>
                <w:color w:val="auto"/>
                <w:sz w:val="24"/>
                <w:highlight w:val="none"/>
                <w:lang w:val="zh-CN"/>
              </w:rPr>
              <w:t>投标报价得分=（评标基准价/投标报价）×</w:t>
            </w:r>
            <w:r>
              <w:rPr>
                <w:rFonts w:hint="eastAsia" w:ascii="宋体" w:hAnsi="宋体" w:cs="宋体"/>
                <w:color w:val="auto"/>
                <w:sz w:val="24"/>
                <w:highlight w:val="none"/>
              </w:rPr>
              <w:t>报价部分权重×100</w:t>
            </w:r>
          </w:p>
        </w:tc>
      </w:tr>
      <w:tr w14:paraId="071B6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30" w:type="dxa"/>
            <w:vMerge w:val="continue"/>
            <w:noWrap w:val="0"/>
            <w:vAlign w:val="center"/>
          </w:tcPr>
          <w:p w14:paraId="601E860C">
            <w:pPr>
              <w:autoSpaceDE w:val="0"/>
              <w:autoSpaceDN w:val="0"/>
              <w:adjustRightInd w:val="0"/>
              <w:jc w:val="center"/>
              <w:outlineLvl w:val="9"/>
              <w:rPr>
                <w:rFonts w:hint="eastAsia" w:ascii="宋体" w:hAnsi="宋体" w:eastAsia="宋体" w:cs="宋体"/>
                <w:bCs/>
                <w:color w:val="auto"/>
                <w:sz w:val="24"/>
                <w:highlight w:val="none"/>
                <w:lang w:val="zh-CN"/>
              </w:rPr>
            </w:pPr>
          </w:p>
        </w:tc>
        <w:tc>
          <w:tcPr>
            <w:tcW w:w="1332" w:type="dxa"/>
            <w:vMerge w:val="continue"/>
            <w:noWrap w:val="0"/>
            <w:vAlign w:val="center"/>
          </w:tcPr>
          <w:p w14:paraId="3AA71A2C">
            <w:pPr>
              <w:autoSpaceDE w:val="0"/>
              <w:autoSpaceDN w:val="0"/>
              <w:adjustRightInd w:val="0"/>
              <w:jc w:val="center"/>
              <w:outlineLvl w:val="9"/>
              <w:rPr>
                <w:rFonts w:hint="eastAsia" w:ascii="宋体" w:hAnsi="宋体" w:eastAsia="宋体" w:cs="宋体"/>
                <w:color w:val="auto"/>
                <w:sz w:val="24"/>
                <w:highlight w:val="none"/>
                <w:lang w:val="zh-CN"/>
              </w:rPr>
            </w:pPr>
          </w:p>
        </w:tc>
        <w:tc>
          <w:tcPr>
            <w:tcW w:w="7596" w:type="dxa"/>
            <w:noWrap w:val="0"/>
            <w:vAlign w:val="center"/>
          </w:tcPr>
          <w:p w14:paraId="2F4D76DE">
            <w:pPr>
              <w:autoSpaceDE w:val="0"/>
              <w:autoSpaceDN w:val="0"/>
              <w:adjustRightInd w:val="0"/>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因落实政府采购政策进行价格调整的，以调整后的价格计算评标基准价和投标报价。</w:t>
            </w:r>
          </w:p>
        </w:tc>
      </w:tr>
      <w:tr w14:paraId="1ADA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30" w:type="dxa"/>
            <w:vMerge w:val="restart"/>
            <w:noWrap w:val="0"/>
            <w:vAlign w:val="center"/>
          </w:tcPr>
          <w:p w14:paraId="3AE946B3">
            <w:pPr>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政府采购价格折扣优惠政策说明</w:t>
            </w:r>
          </w:p>
        </w:tc>
        <w:tc>
          <w:tcPr>
            <w:tcW w:w="1332" w:type="dxa"/>
            <w:vMerge w:val="restart"/>
            <w:noWrap w:val="0"/>
            <w:vAlign w:val="center"/>
          </w:tcPr>
          <w:p w14:paraId="5037306E">
            <w:pPr>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w:t>
            </w:r>
          </w:p>
        </w:tc>
        <w:tc>
          <w:tcPr>
            <w:tcW w:w="7596" w:type="dxa"/>
            <w:noWrap w:val="0"/>
            <w:vAlign w:val="center"/>
          </w:tcPr>
          <w:p w14:paraId="1C194B8E">
            <w:pPr>
              <w:outlineLvl w:val="9"/>
              <w:rPr>
                <w:rFonts w:hint="eastAsia" w:ascii="宋体" w:hAnsi="宋体" w:eastAsia="宋体" w:cs="宋体"/>
                <w:bCs/>
                <w:color w:val="auto"/>
                <w:sz w:val="24"/>
                <w:highlight w:val="none"/>
              </w:rPr>
            </w:pPr>
            <w:r>
              <w:rPr>
                <w:rFonts w:hint="eastAsia" w:ascii="宋体" w:hAnsi="宋体" w:eastAsia="宋体" w:cs="宋体"/>
                <w:color w:val="auto"/>
                <w:sz w:val="24"/>
                <w:highlight w:val="none"/>
              </w:rPr>
              <w:t>根据工信部等部委发布的《关于印发中小企业划型标准规定的通知》（工信部联企业</w:t>
            </w:r>
            <w:r>
              <w:rPr>
                <w:rFonts w:hint="eastAsia" w:ascii="宋体" w:hAnsi="宋体" w:eastAsia="宋体" w:cs="宋体"/>
                <w:bCs/>
                <w:color w:val="auto"/>
                <w:sz w:val="24"/>
                <w:highlight w:val="none"/>
              </w:rPr>
              <w:t>〔2011〕300</w:t>
            </w:r>
            <w:r>
              <w:rPr>
                <w:rFonts w:hint="eastAsia" w:ascii="宋体" w:hAnsi="宋体" w:eastAsia="宋体" w:cs="宋体"/>
                <w:color w:val="auto"/>
                <w:sz w:val="24"/>
                <w:highlight w:val="none"/>
              </w:rPr>
              <w:t>号），按照本次采购标的所属行业的划型标准，符合条件的中小企业提供《中小企业声明函》。</w:t>
            </w:r>
          </w:p>
        </w:tc>
      </w:tr>
      <w:tr w14:paraId="7A77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30" w:type="dxa"/>
            <w:vMerge w:val="continue"/>
            <w:noWrap w:val="0"/>
            <w:vAlign w:val="center"/>
          </w:tcPr>
          <w:p w14:paraId="42682AE7">
            <w:pPr>
              <w:jc w:val="center"/>
              <w:outlineLvl w:val="9"/>
              <w:rPr>
                <w:rFonts w:hint="eastAsia" w:ascii="宋体" w:hAnsi="宋体" w:eastAsia="宋体" w:cs="宋体"/>
                <w:color w:val="auto"/>
                <w:sz w:val="24"/>
                <w:highlight w:val="none"/>
              </w:rPr>
            </w:pPr>
          </w:p>
        </w:tc>
        <w:tc>
          <w:tcPr>
            <w:tcW w:w="1332" w:type="dxa"/>
            <w:vMerge w:val="continue"/>
            <w:noWrap w:val="0"/>
            <w:vAlign w:val="center"/>
          </w:tcPr>
          <w:p w14:paraId="1E52A704">
            <w:pPr>
              <w:jc w:val="center"/>
              <w:outlineLvl w:val="9"/>
              <w:rPr>
                <w:rFonts w:hint="eastAsia" w:ascii="宋体" w:hAnsi="宋体" w:eastAsia="宋体" w:cs="宋体"/>
                <w:color w:val="auto"/>
                <w:sz w:val="24"/>
                <w:highlight w:val="none"/>
              </w:rPr>
            </w:pPr>
          </w:p>
        </w:tc>
        <w:tc>
          <w:tcPr>
            <w:tcW w:w="7596" w:type="dxa"/>
            <w:noWrap w:val="0"/>
            <w:vAlign w:val="center"/>
          </w:tcPr>
          <w:p w14:paraId="0D89021B">
            <w:pPr>
              <w:outlineLvl w:val="9"/>
              <w:rPr>
                <w:rFonts w:hint="eastAsia" w:ascii="宋体" w:hAnsi="宋体" w:eastAsia="宋体" w:cs="宋体"/>
                <w:color w:val="auto"/>
                <w:sz w:val="24"/>
                <w:highlight w:val="none"/>
              </w:rPr>
            </w:pPr>
            <w:r>
              <w:rPr>
                <w:rFonts w:hint="eastAsia" w:ascii="宋体" w:hAnsi="宋体" w:eastAsia="宋体" w:cs="宋体"/>
                <w:bCs/>
                <w:color w:val="auto"/>
                <w:sz w:val="24"/>
                <w:highlight w:val="none"/>
              </w:rPr>
              <w:t>根据财政部发布的《政府采购促进中小企业发展管理办法》（财库〔2020〕46号）</w:t>
            </w:r>
            <w:r>
              <w:rPr>
                <w:rFonts w:hint="eastAsia" w:ascii="宋体" w:hAnsi="宋体" w:eastAsia="宋体" w:cs="宋体"/>
                <w:color w:val="auto"/>
                <w:sz w:val="24"/>
                <w:highlight w:val="none"/>
              </w:rPr>
              <w:t>规定，</w:t>
            </w:r>
            <w:r>
              <w:rPr>
                <w:rFonts w:hint="eastAsia" w:ascii="宋体" w:hAnsi="宋体" w:eastAsia="宋体" w:cs="宋体"/>
                <w:color w:val="auto"/>
                <w:sz w:val="24"/>
                <w:highlight w:val="none"/>
                <w:lang w:eastAsia="zh-CN"/>
              </w:rPr>
              <w:t>对</w:t>
            </w:r>
            <w:r>
              <w:rPr>
                <w:rFonts w:hint="eastAsia" w:ascii="宋体" w:hAnsi="宋体" w:eastAsia="宋体" w:cs="宋体"/>
                <w:color w:val="auto"/>
                <w:sz w:val="24"/>
                <w:szCs w:val="24"/>
                <w:highlight w:val="none"/>
                <w:lang w:val="en-US" w:eastAsia="zh-CN"/>
              </w:rPr>
              <w:t>非专门面向中小企业预留采购项目</w:t>
            </w:r>
            <w:r>
              <w:rPr>
                <w:rFonts w:hint="eastAsia" w:ascii="宋体" w:hAnsi="宋体" w:eastAsia="宋体" w:cs="宋体"/>
                <w:color w:val="auto"/>
                <w:sz w:val="24"/>
                <w:highlight w:val="none"/>
                <w:lang w:eastAsia="zh-CN"/>
              </w:rPr>
              <w:t>，给予</w:t>
            </w:r>
            <w:r>
              <w:rPr>
                <w:rFonts w:hint="eastAsia" w:ascii="宋体" w:hAnsi="宋体" w:eastAsia="宋体" w:cs="宋体"/>
                <w:color w:val="auto"/>
                <w:sz w:val="24"/>
                <w:highlight w:val="none"/>
              </w:rPr>
              <w:t>小微企业投标</w:t>
            </w:r>
            <w:r>
              <w:rPr>
                <w:rFonts w:hint="eastAsia" w:ascii="宋体" w:hAnsi="宋体" w:eastAsia="宋体" w:cs="宋体"/>
                <w:color w:val="auto"/>
                <w:sz w:val="24"/>
                <w:highlight w:val="none"/>
                <w:lang w:eastAsia="zh-CN"/>
              </w:rPr>
              <w:t>报价</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折扣。</w:t>
            </w:r>
          </w:p>
        </w:tc>
      </w:tr>
      <w:tr w14:paraId="1579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730" w:type="dxa"/>
            <w:vMerge w:val="continue"/>
            <w:noWrap w:val="0"/>
            <w:vAlign w:val="center"/>
          </w:tcPr>
          <w:p w14:paraId="5F59300C">
            <w:pPr>
              <w:jc w:val="center"/>
              <w:outlineLvl w:val="9"/>
              <w:rPr>
                <w:rFonts w:hint="eastAsia" w:ascii="宋体" w:hAnsi="宋体" w:eastAsia="宋体" w:cs="宋体"/>
                <w:color w:val="auto"/>
                <w:sz w:val="24"/>
                <w:highlight w:val="none"/>
              </w:rPr>
            </w:pPr>
          </w:p>
        </w:tc>
        <w:tc>
          <w:tcPr>
            <w:tcW w:w="1332" w:type="dxa"/>
            <w:vMerge w:val="continue"/>
            <w:noWrap w:val="0"/>
            <w:vAlign w:val="center"/>
          </w:tcPr>
          <w:p w14:paraId="22D30BBB">
            <w:pPr>
              <w:jc w:val="center"/>
              <w:outlineLvl w:val="9"/>
              <w:rPr>
                <w:rFonts w:hint="eastAsia" w:ascii="宋体" w:hAnsi="宋体" w:eastAsia="宋体" w:cs="宋体"/>
                <w:color w:val="auto"/>
                <w:sz w:val="24"/>
                <w:highlight w:val="none"/>
              </w:rPr>
            </w:pPr>
          </w:p>
        </w:tc>
        <w:tc>
          <w:tcPr>
            <w:tcW w:w="7596" w:type="dxa"/>
            <w:noWrap w:val="0"/>
            <w:vAlign w:val="center"/>
          </w:tcPr>
          <w:p w14:paraId="55E2EC3E">
            <w:pPr>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小微企业只有提供本企业制造的货物、承担的工程或者服务，或者提供其他小微企业制造的货物，享受投标货物的价格折扣；</w:t>
            </w:r>
          </w:p>
          <w:p w14:paraId="39126FC1">
            <w:pPr>
              <w:outlineLvl w:val="9"/>
              <w:rPr>
                <w:rFonts w:hint="eastAsia" w:ascii="宋体" w:hAnsi="宋体" w:eastAsia="宋体" w:cs="宋体"/>
                <w:color w:val="auto"/>
                <w:sz w:val="24"/>
                <w:highlight w:val="none"/>
              </w:rPr>
            </w:pPr>
            <w:r>
              <w:rPr>
                <w:rFonts w:hint="eastAsia" w:ascii="宋体" w:hAnsi="宋体" w:eastAsia="宋体" w:cs="宋体"/>
                <w:bCs/>
                <w:color w:val="auto"/>
                <w:sz w:val="24"/>
                <w:highlight w:val="none"/>
              </w:rPr>
              <w:t>小微企业提供中型企业制造的货物或使用大型企业注册商标货物的，视同为中型企业。</w:t>
            </w:r>
          </w:p>
        </w:tc>
      </w:tr>
      <w:tr w14:paraId="7823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730" w:type="dxa"/>
            <w:vMerge w:val="continue"/>
            <w:noWrap w:val="0"/>
            <w:vAlign w:val="center"/>
          </w:tcPr>
          <w:p w14:paraId="7502F30B">
            <w:pPr>
              <w:jc w:val="center"/>
              <w:outlineLvl w:val="9"/>
              <w:rPr>
                <w:rFonts w:hint="eastAsia" w:ascii="宋体" w:hAnsi="宋体" w:eastAsia="宋体" w:cs="宋体"/>
                <w:color w:val="auto"/>
                <w:sz w:val="24"/>
                <w:highlight w:val="none"/>
              </w:rPr>
            </w:pPr>
          </w:p>
        </w:tc>
        <w:tc>
          <w:tcPr>
            <w:tcW w:w="1332" w:type="dxa"/>
            <w:noWrap w:val="0"/>
            <w:vAlign w:val="center"/>
          </w:tcPr>
          <w:p w14:paraId="1F92FC44">
            <w:pPr>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监狱企业</w:t>
            </w:r>
          </w:p>
        </w:tc>
        <w:tc>
          <w:tcPr>
            <w:tcW w:w="7596" w:type="dxa"/>
            <w:noWrap w:val="0"/>
            <w:vAlign w:val="center"/>
          </w:tcPr>
          <w:p w14:paraId="0051F01D">
            <w:pPr>
              <w:outlineLvl w:val="9"/>
              <w:rPr>
                <w:rFonts w:hint="eastAsia" w:ascii="宋体" w:hAnsi="宋体" w:eastAsia="宋体" w:cs="宋体"/>
                <w:color w:val="auto"/>
                <w:sz w:val="24"/>
                <w:highlight w:val="none"/>
              </w:rPr>
            </w:pPr>
            <w:r>
              <w:rPr>
                <w:rFonts w:hint="eastAsia" w:ascii="宋体" w:hAnsi="宋体" w:eastAsia="宋体" w:cs="宋体"/>
                <w:bCs/>
                <w:color w:val="auto"/>
                <w:sz w:val="24"/>
                <w:highlight w:val="none"/>
              </w:rPr>
              <w:t>根据财库〔2014〕68号《财政部司法部关于政府采购支持监狱企业发展有关问题的通知》，</w:t>
            </w:r>
            <w:r>
              <w:rPr>
                <w:rFonts w:hint="eastAsia" w:ascii="宋体" w:hAnsi="宋体" w:eastAsia="宋体" w:cs="宋体"/>
                <w:color w:val="auto"/>
                <w:sz w:val="24"/>
                <w:highlight w:val="none"/>
              </w:rPr>
              <w:t>由省级以上监狱管理局、戒毒管理局（含新疆生产建设兵团）</w:t>
            </w:r>
            <w:r>
              <w:rPr>
                <w:rFonts w:hint="eastAsia" w:ascii="宋体" w:hAnsi="宋体" w:eastAsia="宋体" w:cs="宋体"/>
                <w:color w:val="auto"/>
                <w:sz w:val="24"/>
                <w:highlight w:val="none"/>
                <w:lang w:eastAsia="zh-CN"/>
              </w:rPr>
              <w:t>认定</w:t>
            </w:r>
            <w:r>
              <w:rPr>
                <w:rFonts w:hint="eastAsia" w:ascii="宋体" w:hAnsi="宋体" w:eastAsia="宋体" w:cs="宋体"/>
                <w:color w:val="auto"/>
                <w:sz w:val="24"/>
                <w:highlight w:val="none"/>
              </w:rPr>
              <w:t>的监狱企业，</w:t>
            </w:r>
            <w:r>
              <w:rPr>
                <w:rFonts w:hint="eastAsia" w:ascii="宋体" w:hAnsi="宋体" w:eastAsia="宋体" w:cs="宋体"/>
                <w:color w:val="auto"/>
                <w:sz w:val="24"/>
                <w:highlight w:val="none"/>
                <w:lang w:eastAsia="zh-CN"/>
              </w:rPr>
              <w:t>提供《</w:t>
            </w:r>
            <w:r>
              <w:rPr>
                <w:rFonts w:hint="eastAsia" w:ascii="宋体" w:hAnsi="宋体" w:eastAsia="宋体" w:cs="宋体"/>
                <w:color w:val="auto"/>
                <w:sz w:val="24"/>
                <w:highlight w:val="none"/>
              </w:rPr>
              <w:t>监狱企业</w:t>
            </w:r>
            <w:r>
              <w:rPr>
                <w:rFonts w:hint="eastAsia" w:ascii="宋体" w:hAnsi="宋体" w:eastAsia="宋体" w:cs="宋体"/>
                <w:color w:val="auto"/>
                <w:sz w:val="24"/>
                <w:highlight w:val="none"/>
                <w:lang w:eastAsia="zh-CN"/>
              </w:rPr>
              <w:t>声明函》的</w:t>
            </w:r>
            <w:r>
              <w:rPr>
                <w:rFonts w:hint="eastAsia" w:ascii="宋体" w:hAnsi="宋体" w:eastAsia="宋体" w:cs="宋体"/>
                <w:bCs/>
                <w:color w:val="auto"/>
                <w:sz w:val="24"/>
                <w:highlight w:val="none"/>
              </w:rPr>
              <w:t>视同小微企业。</w:t>
            </w:r>
          </w:p>
        </w:tc>
      </w:tr>
      <w:tr w14:paraId="2CD23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30" w:type="dxa"/>
            <w:vMerge w:val="continue"/>
            <w:noWrap w:val="0"/>
            <w:vAlign w:val="center"/>
          </w:tcPr>
          <w:p w14:paraId="065A0E12">
            <w:pPr>
              <w:jc w:val="center"/>
              <w:outlineLvl w:val="9"/>
              <w:rPr>
                <w:rFonts w:hint="eastAsia" w:ascii="宋体" w:hAnsi="宋体" w:eastAsia="宋体" w:cs="宋体"/>
                <w:color w:val="auto"/>
                <w:sz w:val="24"/>
                <w:highlight w:val="none"/>
              </w:rPr>
            </w:pPr>
          </w:p>
        </w:tc>
        <w:tc>
          <w:tcPr>
            <w:tcW w:w="1332" w:type="dxa"/>
            <w:noWrap w:val="0"/>
            <w:vAlign w:val="center"/>
          </w:tcPr>
          <w:p w14:paraId="2114026A">
            <w:pPr>
              <w:jc w:val="center"/>
              <w:outlineLvl w:val="9"/>
              <w:rPr>
                <w:rFonts w:hint="eastAsia" w:ascii="宋体" w:hAnsi="宋体" w:eastAsia="宋体" w:cs="宋体"/>
                <w:color w:val="auto"/>
                <w:sz w:val="24"/>
                <w:highlight w:val="none"/>
                <w:lang w:eastAsia="zh-CN"/>
              </w:rPr>
            </w:pPr>
            <w:r>
              <w:rPr>
                <w:rFonts w:hint="eastAsia" w:ascii="宋体" w:hAnsi="宋体" w:eastAsia="宋体" w:cs="宋体"/>
                <w:bCs/>
                <w:color w:val="auto"/>
                <w:sz w:val="24"/>
                <w:highlight w:val="none"/>
              </w:rPr>
              <w:t>残疾人福利性</w:t>
            </w:r>
            <w:r>
              <w:rPr>
                <w:rFonts w:hint="eastAsia" w:ascii="宋体" w:hAnsi="宋体" w:eastAsia="宋体" w:cs="宋体"/>
                <w:bCs/>
                <w:color w:val="auto"/>
                <w:sz w:val="24"/>
                <w:highlight w:val="none"/>
                <w:lang w:eastAsia="zh-CN"/>
              </w:rPr>
              <w:t>单位</w:t>
            </w:r>
          </w:p>
        </w:tc>
        <w:tc>
          <w:tcPr>
            <w:tcW w:w="7596" w:type="dxa"/>
            <w:noWrap w:val="0"/>
            <w:vAlign w:val="center"/>
          </w:tcPr>
          <w:p w14:paraId="6826927A">
            <w:pPr>
              <w:outlineLvl w:val="9"/>
              <w:rPr>
                <w:rFonts w:hint="eastAsia" w:ascii="宋体" w:hAnsi="宋体" w:eastAsia="宋体" w:cs="宋体"/>
                <w:color w:val="auto"/>
                <w:sz w:val="24"/>
                <w:highlight w:val="none"/>
              </w:rPr>
            </w:pPr>
            <w:r>
              <w:rPr>
                <w:rFonts w:hint="eastAsia" w:ascii="宋体" w:hAnsi="宋体" w:eastAsia="宋体" w:cs="宋体"/>
                <w:bCs/>
                <w:color w:val="auto"/>
                <w:sz w:val="24"/>
                <w:highlight w:val="none"/>
              </w:rPr>
              <w:t>根据财库〔2017〕141号《财政部民政部中国残疾人联合会关于促进残疾人就业政府采购政策的通知》，符合享受政府采购支持政策的残疾人福利性单位且提供《残疾人福利性单位声明函》的视同小微企业。</w:t>
            </w:r>
          </w:p>
        </w:tc>
      </w:tr>
      <w:tr w14:paraId="67F1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30" w:type="dxa"/>
            <w:noWrap w:val="0"/>
            <w:vAlign w:val="center"/>
          </w:tcPr>
          <w:p w14:paraId="4F97C504">
            <w:pPr>
              <w:jc w:val="center"/>
              <w:outlineLvl w:val="9"/>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备注</w:t>
            </w:r>
          </w:p>
        </w:tc>
        <w:tc>
          <w:tcPr>
            <w:tcW w:w="8928" w:type="dxa"/>
            <w:gridSpan w:val="2"/>
            <w:noWrap w:val="0"/>
            <w:vAlign w:val="center"/>
          </w:tcPr>
          <w:p w14:paraId="33D82806">
            <w:pPr>
              <w:outlineLvl w:val="9"/>
              <w:rPr>
                <w:rFonts w:hint="eastAsia" w:ascii="宋体" w:hAnsi="宋体" w:eastAsia="宋体" w:cs="宋体"/>
                <w:b/>
                <w:color w:val="auto"/>
                <w:sz w:val="24"/>
                <w:highlight w:val="none"/>
                <w:lang w:val="zh-CN"/>
              </w:rPr>
            </w:pPr>
            <w:r>
              <w:rPr>
                <w:rFonts w:hint="eastAsia" w:ascii="宋体" w:hAnsi="宋体" w:eastAsia="宋体" w:cs="宋体"/>
                <w:color w:val="auto"/>
                <w:sz w:val="24"/>
                <w:highlight w:val="none"/>
                <w:lang w:val="zh-CN"/>
              </w:rPr>
              <w:t>因落实政府采购政策进行价格调整的，</w:t>
            </w:r>
            <w:r>
              <w:rPr>
                <w:rFonts w:hint="eastAsia" w:ascii="宋体" w:hAnsi="宋体" w:eastAsia="宋体" w:cs="宋体"/>
                <w:color w:val="auto"/>
                <w:sz w:val="24"/>
                <w:highlight w:val="none"/>
                <w:lang w:val="en-US" w:eastAsia="zh-CN"/>
              </w:rPr>
              <w:t>评审</w:t>
            </w:r>
            <w:r>
              <w:rPr>
                <w:rFonts w:hint="eastAsia" w:ascii="宋体" w:hAnsi="宋体" w:eastAsia="宋体" w:cs="宋体"/>
                <w:color w:val="auto"/>
                <w:sz w:val="24"/>
                <w:highlight w:val="none"/>
                <w:lang w:val="zh-CN"/>
              </w:rPr>
              <w:t>小组应记录价格调整的依据、计算过程及计算结果。</w:t>
            </w:r>
          </w:p>
        </w:tc>
      </w:tr>
    </w:tbl>
    <w:p w14:paraId="5CA21CD8">
      <w:pPr>
        <w:spacing w:line="40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4.5.5商务技术评审标准</w:t>
      </w:r>
    </w:p>
    <w:p w14:paraId="7597A7D6">
      <w:pPr>
        <w:spacing w:line="400" w:lineRule="exact"/>
        <w:jc w:val="center"/>
        <w:outlineLvl w:val="9"/>
        <w:rPr>
          <w:rFonts w:hint="eastAsia" w:ascii="宋体" w:hAnsi="宋体" w:cs="宋体"/>
          <w:b/>
          <w:color w:val="auto"/>
          <w:sz w:val="24"/>
          <w:szCs w:val="24"/>
          <w:highlight w:val="none"/>
        </w:rPr>
      </w:pPr>
      <w:bookmarkStart w:id="154" w:name="_Toc24695"/>
      <w:bookmarkStart w:id="155" w:name="_Toc5828"/>
      <w:r>
        <w:rPr>
          <w:rFonts w:hint="eastAsia" w:ascii="宋体" w:hAnsi="宋体" w:cs="宋体"/>
          <w:b/>
          <w:color w:val="auto"/>
          <w:sz w:val="24"/>
          <w:szCs w:val="24"/>
          <w:highlight w:val="none"/>
        </w:rPr>
        <w:t>商务技术评审</w:t>
      </w:r>
      <w:r>
        <w:rPr>
          <w:rFonts w:hint="eastAsia" w:ascii="宋体" w:hAnsi="宋体" w:cs="宋体"/>
          <w:b/>
          <w:color w:val="auto"/>
          <w:sz w:val="24"/>
          <w:szCs w:val="24"/>
          <w:highlight w:val="none"/>
          <w:lang w:eastAsia="zh-CN"/>
        </w:rPr>
        <w:t>标准</w:t>
      </w:r>
      <w:r>
        <w:rPr>
          <w:rFonts w:hint="eastAsia" w:ascii="宋体" w:hAnsi="宋体" w:cs="宋体"/>
          <w:b/>
          <w:color w:val="auto"/>
          <w:sz w:val="24"/>
          <w:szCs w:val="24"/>
          <w:highlight w:val="none"/>
        </w:rPr>
        <w:t>（占总分值的</w:t>
      </w:r>
      <w:r>
        <w:rPr>
          <w:rFonts w:hint="eastAsia" w:ascii="宋体" w:hAnsi="宋体" w:cs="宋体"/>
          <w:b/>
          <w:color w:val="auto"/>
          <w:sz w:val="24"/>
          <w:szCs w:val="24"/>
          <w:highlight w:val="none"/>
          <w:lang w:val="en-US" w:eastAsia="zh-CN"/>
        </w:rPr>
        <w:t>90%</w:t>
      </w:r>
      <w:r>
        <w:rPr>
          <w:rFonts w:hint="eastAsia" w:ascii="宋体" w:hAnsi="宋体" w:cs="宋体"/>
          <w:b/>
          <w:color w:val="auto"/>
          <w:sz w:val="24"/>
          <w:szCs w:val="24"/>
          <w:highlight w:val="none"/>
        </w:rPr>
        <w:t>）</w:t>
      </w:r>
      <w:bookmarkEnd w:id="154"/>
      <w:bookmarkEnd w:id="155"/>
    </w:p>
    <w:tbl>
      <w:tblPr>
        <w:tblStyle w:val="40"/>
        <w:tblW w:w="50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235"/>
        <w:gridCol w:w="1386"/>
        <w:gridCol w:w="732"/>
        <w:gridCol w:w="6227"/>
      </w:tblGrid>
      <w:tr w14:paraId="3433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9" w:type="pct"/>
            <w:tcBorders>
              <w:top w:val="single" w:color="auto" w:sz="4" w:space="0"/>
              <w:left w:val="single" w:color="auto" w:sz="4" w:space="0"/>
              <w:right w:val="single" w:color="auto" w:sz="4" w:space="0"/>
            </w:tcBorders>
            <w:noWrap w:val="0"/>
            <w:vAlign w:val="center"/>
          </w:tcPr>
          <w:p w14:paraId="37810193">
            <w:pPr>
              <w:jc w:val="center"/>
              <w:outlineLvl w:val="9"/>
              <w:rPr>
                <w:rFonts w:ascii="宋体" w:hAnsi="宋体" w:cs="宋体"/>
                <w:color w:val="auto"/>
                <w:sz w:val="24"/>
                <w:highlight w:val="none"/>
              </w:rPr>
            </w:pPr>
            <w:r>
              <w:rPr>
                <w:rFonts w:hint="eastAsia" w:ascii="宋体" w:hAnsi="宋体" w:cs="宋体"/>
                <w:color w:val="auto"/>
                <w:sz w:val="24"/>
                <w:highlight w:val="none"/>
              </w:rPr>
              <w:t>序号</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2AE998F2">
            <w:pPr>
              <w:jc w:val="center"/>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评审分项</w:t>
            </w:r>
          </w:p>
        </w:tc>
        <w:tc>
          <w:tcPr>
            <w:tcW w:w="685" w:type="pct"/>
            <w:tcBorders>
              <w:top w:val="single" w:color="auto" w:sz="4" w:space="0"/>
              <w:left w:val="single" w:color="auto" w:sz="4" w:space="0"/>
              <w:bottom w:val="single" w:color="auto" w:sz="4" w:space="0"/>
              <w:right w:val="single" w:color="auto" w:sz="4" w:space="0"/>
            </w:tcBorders>
            <w:noWrap w:val="0"/>
            <w:vAlign w:val="center"/>
          </w:tcPr>
          <w:p w14:paraId="088D77EE">
            <w:pPr>
              <w:jc w:val="center"/>
              <w:outlineLvl w:val="9"/>
              <w:rPr>
                <w:rFonts w:ascii="宋体" w:hAnsi="宋体" w:cs="宋体"/>
                <w:color w:val="auto"/>
                <w:sz w:val="24"/>
                <w:highlight w:val="none"/>
              </w:rPr>
            </w:pPr>
            <w:r>
              <w:rPr>
                <w:rFonts w:hint="eastAsia" w:ascii="宋体" w:hAnsi="宋体" w:cs="宋体"/>
                <w:color w:val="auto"/>
                <w:sz w:val="24"/>
                <w:highlight w:val="none"/>
              </w:rPr>
              <w:t>评审项目</w:t>
            </w:r>
          </w:p>
        </w:tc>
        <w:tc>
          <w:tcPr>
            <w:tcW w:w="362" w:type="pct"/>
            <w:tcBorders>
              <w:top w:val="single" w:color="auto" w:sz="4" w:space="0"/>
              <w:left w:val="single" w:color="auto" w:sz="4" w:space="0"/>
              <w:bottom w:val="single" w:color="auto" w:sz="4" w:space="0"/>
              <w:right w:val="single" w:color="auto" w:sz="4" w:space="0"/>
            </w:tcBorders>
            <w:noWrap w:val="0"/>
            <w:vAlign w:val="center"/>
          </w:tcPr>
          <w:p w14:paraId="1CEBB385">
            <w:pPr>
              <w:jc w:val="center"/>
              <w:outlineLvl w:val="9"/>
              <w:rPr>
                <w:rFonts w:ascii="宋体" w:hAnsi="宋体" w:cs="宋体"/>
                <w:color w:val="auto"/>
                <w:sz w:val="24"/>
                <w:highlight w:val="none"/>
              </w:rPr>
            </w:pPr>
            <w:r>
              <w:rPr>
                <w:rFonts w:hint="eastAsia" w:ascii="宋体" w:hAnsi="宋体" w:cs="宋体"/>
                <w:color w:val="auto"/>
                <w:sz w:val="24"/>
                <w:highlight w:val="none"/>
              </w:rPr>
              <w:t>分值</w:t>
            </w:r>
          </w:p>
        </w:tc>
        <w:tc>
          <w:tcPr>
            <w:tcW w:w="3081" w:type="pct"/>
            <w:tcBorders>
              <w:top w:val="single" w:color="auto" w:sz="4" w:space="0"/>
              <w:left w:val="single" w:color="auto" w:sz="4" w:space="0"/>
              <w:bottom w:val="single" w:color="auto" w:sz="4" w:space="0"/>
              <w:right w:val="single" w:color="auto" w:sz="4" w:space="0"/>
            </w:tcBorders>
            <w:noWrap w:val="0"/>
            <w:vAlign w:val="center"/>
          </w:tcPr>
          <w:p w14:paraId="108E6EEB">
            <w:pPr>
              <w:jc w:val="center"/>
              <w:outlineLvl w:val="9"/>
              <w:rPr>
                <w:rFonts w:ascii="宋体" w:hAnsi="宋体" w:cs="宋体"/>
                <w:color w:val="auto"/>
                <w:sz w:val="24"/>
                <w:highlight w:val="none"/>
              </w:rPr>
            </w:pPr>
            <w:r>
              <w:rPr>
                <w:rFonts w:hint="eastAsia" w:ascii="宋体" w:hAnsi="宋体" w:cs="宋体"/>
                <w:color w:val="auto"/>
                <w:sz w:val="24"/>
                <w:highlight w:val="none"/>
              </w:rPr>
              <w:t>评审标准</w:t>
            </w:r>
          </w:p>
        </w:tc>
      </w:tr>
      <w:tr w14:paraId="7484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259" w:type="pct"/>
            <w:tcBorders>
              <w:top w:val="single" w:color="auto" w:sz="4" w:space="0"/>
              <w:left w:val="single" w:color="auto" w:sz="4" w:space="0"/>
              <w:right w:val="single" w:color="auto" w:sz="4" w:space="0"/>
            </w:tcBorders>
            <w:noWrap w:val="0"/>
            <w:vAlign w:val="center"/>
          </w:tcPr>
          <w:p w14:paraId="4754CF29">
            <w:pPr>
              <w:jc w:val="center"/>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610" w:type="pct"/>
            <w:vMerge w:val="restart"/>
            <w:tcBorders>
              <w:top w:val="single" w:color="auto" w:sz="4" w:space="0"/>
              <w:left w:val="single" w:color="auto" w:sz="4" w:space="0"/>
              <w:right w:val="single" w:color="auto" w:sz="4" w:space="0"/>
            </w:tcBorders>
            <w:noWrap w:val="0"/>
            <w:vAlign w:val="center"/>
          </w:tcPr>
          <w:p w14:paraId="3899D8E2">
            <w:pPr>
              <w:widowControl/>
              <w:kinsoku w:val="0"/>
              <w:autoSpaceDE w:val="0"/>
              <w:autoSpaceDN w:val="0"/>
              <w:adjustRightInd w:val="0"/>
              <w:snapToGrid w:val="0"/>
              <w:spacing w:line="240" w:lineRule="auto"/>
              <w:jc w:val="center"/>
              <w:textAlignment w:val="baseline"/>
              <w:rPr>
                <w:rFonts w:hint="default" w:ascii="宋体" w:hAnsi="宋体" w:eastAsia="宋体" w:cs="Courier New"/>
                <w:color w:val="auto"/>
                <w:sz w:val="24"/>
                <w:szCs w:val="24"/>
                <w:highlight w:val="none"/>
                <w:lang w:val="en-US" w:eastAsia="zh-CN"/>
              </w:rPr>
            </w:pPr>
            <w:r>
              <w:rPr>
                <w:rFonts w:hint="eastAsia" w:ascii="宋体" w:hAnsi="宋体" w:cs="Courier New"/>
                <w:color w:val="auto"/>
                <w:sz w:val="24"/>
                <w:szCs w:val="24"/>
                <w:highlight w:val="none"/>
                <w:lang w:val="en-US" w:eastAsia="zh-CN"/>
              </w:rPr>
              <w:t>商务部分</w:t>
            </w:r>
          </w:p>
        </w:tc>
        <w:tc>
          <w:tcPr>
            <w:tcW w:w="685" w:type="pct"/>
            <w:tcBorders>
              <w:top w:val="single" w:color="auto" w:sz="4" w:space="0"/>
              <w:left w:val="single" w:color="auto" w:sz="4" w:space="0"/>
              <w:bottom w:val="single" w:color="auto" w:sz="4" w:space="0"/>
              <w:right w:val="single" w:color="auto" w:sz="4" w:space="0"/>
            </w:tcBorders>
            <w:noWrap w:val="0"/>
            <w:vAlign w:val="center"/>
          </w:tcPr>
          <w:p w14:paraId="5AF59C4E">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业绩</w:t>
            </w:r>
            <w:r>
              <w:rPr>
                <w:rFonts w:hint="eastAsia" w:ascii="宋体" w:hAnsi="宋体" w:eastAsia="宋体" w:cs="宋体"/>
                <w:color w:val="auto"/>
                <w:sz w:val="24"/>
                <w:szCs w:val="24"/>
                <w:highlight w:val="none"/>
                <w:lang w:eastAsia="zh-CN"/>
              </w:rPr>
              <w:t>证明</w:t>
            </w:r>
          </w:p>
        </w:tc>
        <w:tc>
          <w:tcPr>
            <w:tcW w:w="362" w:type="pct"/>
            <w:tcBorders>
              <w:top w:val="single" w:color="auto" w:sz="4" w:space="0"/>
              <w:left w:val="single" w:color="auto" w:sz="4" w:space="0"/>
              <w:bottom w:val="single" w:color="auto" w:sz="4" w:space="0"/>
              <w:right w:val="single" w:color="auto" w:sz="4" w:space="0"/>
            </w:tcBorders>
            <w:noWrap w:val="0"/>
            <w:vAlign w:val="center"/>
          </w:tcPr>
          <w:p w14:paraId="36754A4E">
            <w:pPr>
              <w:widowControl/>
              <w:kinsoku w:val="0"/>
              <w:autoSpaceDE w:val="0"/>
              <w:autoSpaceDN w:val="0"/>
              <w:adjustRightInd w:val="0"/>
              <w:snapToGrid w:val="0"/>
              <w:spacing w:line="240" w:lineRule="auto"/>
              <w:jc w:val="center"/>
              <w:textAlignment w:val="baseline"/>
              <w:rPr>
                <w:rFonts w:hint="default"/>
                <w:color w:val="auto"/>
                <w:highlight w:val="none"/>
                <w:lang w:val="en-US" w:eastAsia="zh-CN"/>
              </w:rPr>
            </w:pPr>
            <w:r>
              <w:rPr>
                <w:rFonts w:hint="eastAsia" w:ascii="宋体" w:hAnsi="宋体" w:eastAsia="宋体" w:cs="宋体"/>
                <w:snapToGrid w:val="0"/>
                <w:color w:val="auto"/>
                <w:kern w:val="0"/>
                <w:sz w:val="24"/>
                <w:szCs w:val="24"/>
                <w:highlight w:val="none"/>
                <w:lang w:val="en-US" w:eastAsia="zh-CN"/>
              </w:rPr>
              <w:t>1</w:t>
            </w:r>
            <w:r>
              <w:rPr>
                <w:rFonts w:hint="eastAsia" w:ascii="宋体" w:hAnsi="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lang w:val="en-US" w:eastAsia="zh-CN"/>
              </w:rPr>
              <w:t>分</w:t>
            </w:r>
          </w:p>
        </w:tc>
        <w:tc>
          <w:tcPr>
            <w:tcW w:w="3081" w:type="pct"/>
            <w:tcBorders>
              <w:top w:val="single" w:color="auto" w:sz="4" w:space="0"/>
              <w:left w:val="single" w:color="auto" w:sz="4" w:space="0"/>
              <w:bottom w:val="single" w:color="auto" w:sz="4" w:space="0"/>
              <w:right w:val="single" w:color="auto" w:sz="4" w:space="0"/>
            </w:tcBorders>
            <w:noWrap w:val="0"/>
            <w:vAlign w:val="center"/>
          </w:tcPr>
          <w:p w14:paraId="7CBCBAB1">
            <w:pPr>
              <w:keepNext w:val="0"/>
              <w:keepLines w:val="0"/>
              <w:pageBreakBefore w:val="0"/>
              <w:widowControl w:val="0"/>
              <w:shd w:val="clear" w:color="auto" w:fill="auto"/>
              <w:kinsoku/>
              <w:wordWrap/>
              <w:overflowPunct/>
              <w:topLinePunct w:val="0"/>
              <w:autoSpaceDE/>
              <w:autoSpaceDN/>
              <w:bidi w:val="0"/>
              <w:adjustRightInd/>
              <w:spacing w:line="312" w:lineRule="auto"/>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投标人近三年（2023年1月1日-至今）类似项目业绩，每提供1个得4分，最高得1</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分。（须提供中标通知书或有效合同复印件作为证明材料，合同至少包括合同首页、合同金额所在页、合同采购内容、签字盖章页及相关页复印件并加盖投标人公章。未按上述要求提供佐证材料或佐证材料不清晰无法辨识内容的本项不得分。）</w:t>
            </w:r>
          </w:p>
        </w:tc>
      </w:tr>
      <w:tr w14:paraId="5410C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59" w:type="pct"/>
            <w:tcBorders>
              <w:top w:val="single" w:color="auto" w:sz="4" w:space="0"/>
              <w:left w:val="single" w:color="auto" w:sz="4" w:space="0"/>
              <w:right w:val="single" w:color="auto" w:sz="4" w:space="0"/>
            </w:tcBorders>
            <w:shd w:val="clear" w:color="auto" w:fill="auto"/>
            <w:noWrap w:val="0"/>
            <w:vAlign w:val="center"/>
          </w:tcPr>
          <w:p w14:paraId="734FB3C8">
            <w:pPr>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w:t>
            </w:r>
          </w:p>
        </w:tc>
        <w:tc>
          <w:tcPr>
            <w:tcW w:w="610" w:type="pct"/>
            <w:vMerge w:val="continue"/>
            <w:tcBorders>
              <w:left w:val="single" w:color="auto" w:sz="4" w:space="0"/>
              <w:right w:val="single" w:color="auto" w:sz="4" w:space="0"/>
            </w:tcBorders>
            <w:noWrap w:val="0"/>
            <w:vAlign w:val="center"/>
          </w:tcPr>
          <w:p w14:paraId="4AF39104">
            <w:pPr>
              <w:widowControl/>
              <w:kinsoku w:val="0"/>
              <w:autoSpaceDE w:val="0"/>
              <w:autoSpaceDN w:val="0"/>
              <w:adjustRightInd w:val="0"/>
              <w:snapToGrid w:val="0"/>
              <w:spacing w:line="240" w:lineRule="auto"/>
              <w:jc w:val="center"/>
              <w:textAlignment w:val="baseline"/>
              <w:rPr>
                <w:rFonts w:hint="eastAsia" w:ascii="宋体" w:hAnsi="宋体" w:cs="Courier New"/>
                <w:color w:val="auto"/>
                <w:sz w:val="24"/>
                <w:szCs w:val="24"/>
                <w:highlight w:val="none"/>
                <w:lang w:val="en-US" w:eastAsia="zh-CN"/>
              </w:rPr>
            </w:pPr>
          </w:p>
        </w:tc>
        <w:tc>
          <w:tcPr>
            <w:tcW w:w="68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9D0A65D">
            <w:pPr>
              <w:widowControl/>
              <w:kinsoku w:val="0"/>
              <w:autoSpaceDE w:val="0"/>
              <w:autoSpaceDN w:val="0"/>
              <w:adjustRightInd w:val="0"/>
              <w:snapToGrid w:val="0"/>
              <w:spacing w:line="240" w:lineRule="auto"/>
              <w:jc w:val="left"/>
              <w:textAlignment w:val="baseline"/>
              <w:rPr>
                <w:rFonts w:hint="default" w:ascii="宋体" w:hAnsi="宋体" w:eastAsia="宋体" w:cs="宋体"/>
                <w:snapToGrid w:val="0"/>
                <w:color w:val="auto"/>
                <w:kern w:val="0"/>
                <w:sz w:val="24"/>
                <w:szCs w:val="24"/>
                <w:highlight w:val="none"/>
                <w:lang w:val="en-US" w:eastAsia="zh-CN" w:bidi="ar-SA"/>
              </w:rPr>
            </w:pPr>
            <w:r>
              <w:rPr>
                <w:rFonts w:hint="default" w:ascii="宋体" w:hAnsi="宋体" w:eastAsia="宋体" w:cs="宋体"/>
                <w:snapToGrid w:val="0"/>
                <w:color w:val="auto"/>
                <w:kern w:val="0"/>
                <w:sz w:val="24"/>
                <w:szCs w:val="24"/>
                <w:highlight w:val="none"/>
                <w:lang w:val="en-US" w:eastAsia="zh-CN" w:bidi="ar-SA"/>
              </w:rPr>
              <w:t>企业实力</w:t>
            </w:r>
          </w:p>
        </w:tc>
        <w:tc>
          <w:tcPr>
            <w:tcW w:w="3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26C2939">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10</w:t>
            </w:r>
            <w:r>
              <w:rPr>
                <w:rFonts w:hint="eastAsia" w:ascii="宋体" w:hAnsi="宋体" w:eastAsia="宋体" w:cs="宋体"/>
                <w:snapToGrid w:val="0"/>
                <w:color w:val="auto"/>
                <w:kern w:val="0"/>
                <w:sz w:val="24"/>
                <w:szCs w:val="24"/>
                <w:highlight w:val="none"/>
                <w:lang w:val="en-US" w:eastAsia="zh-CN"/>
              </w:rPr>
              <w:t>分</w:t>
            </w:r>
          </w:p>
        </w:tc>
        <w:tc>
          <w:tcPr>
            <w:tcW w:w="30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4337F99">
            <w:pPr>
              <w:keepNext w:val="0"/>
              <w:keepLines w:val="0"/>
              <w:pageBreakBefore w:val="0"/>
              <w:widowControl w:val="0"/>
              <w:shd w:val="clear" w:color="auto" w:fill="auto"/>
              <w:kinsoku/>
              <w:wordWrap/>
              <w:overflowPunct/>
              <w:topLinePunct w:val="0"/>
              <w:autoSpaceDE/>
              <w:autoSpaceDN/>
              <w:bidi w:val="0"/>
              <w:adjustRightInd/>
              <w:spacing w:line="312" w:lineRule="auto"/>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供应商具有有效的①实验室资质认定（CMA）证书；②实验室认可资质（CNAS）证书或拥有省部级以上重点实验室认证证明（认证证明：指官方公布名单/实验室证书/批复文件）；每具备1项得5分，满分10分。</w:t>
            </w:r>
          </w:p>
          <w:p w14:paraId="03BE5FB5">
            <w:pPr>
              <w:keepNext w:val="0"/>
              <w:keepLines w:val="0"/>
              <w:pageBreakBefore w:val="0"/>
              <w:widowControl w:val="0"/>
              <w:shd w:val="clear" w:color="auto" w:fill="auto"/>
              <w:kinsoku/>
              <w:wordWrap/>
              <w:overflowPunct/>
              <w:topLinePunct w:val="0"/>
              <w:autoSpaceDE/>
              <w:autoSpaceDN/>
              <w:bidi w:val="0"/>
              <w:adjustRightInd/>
              <w:spacing w:line="312" w:lineRule="auto"/>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注：须提供上述材料扫描件，未提供相关证明材料不得分。</w:t>
            </w:r>
          </w:p>
        </w:tc>
      </w:tr>
      <w:tr w14:paraId="5480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59" w:type="pct"/>
            <w:tcBorders>
              <w:left w:val="single" w:color="auto" w:sz="4" w:space="0"/>
              <w:right w:val="single" w:color="auto" w:sz="4" w:space="0"/>
            </w:tcBorders>
            <w:shd w:val="clear" w:color="auto" w:fill="auto"/>
            <w:noWrap w:val="0"/>
            <w:vAlign w:val="center"/>
          </w:tcPr>
          <w:p w14:paraId="5A08A328">
            <w:pPr>
              <w:autoSpaceDE w:val="0"/>
              <w:autoSpaceDN w:val="0"/>
              <w:adjustRightInd w:val="0"/>
              <w:jc w:val="center"/>
              <w:outlineLvl w:val="9"/>
              <w:rPr>
                <w:rFonts w:hint="default" w:ascii="宋体" w:hAnsi="宋体" w:eastAsia="宋体" w:cs="宋体"/>
                <w:color w:val="auto"/>
                <w:spacing w:val="6"/>
                <w:kern w:val="0"/>
                <w:sz w:val="24"/>
                <w:szCs w:val="24"/>
                <w:highlight w:val="none"/>
                <w:lang w:val="en-US" w:eastAsia="zh-CN" w:bidi="ar-SA"/>
              </w:rPr>
            </w:pPr>
            <w:r>
              <w:rPr>
                <w:rFonts w:hint="eastAsia" w:ascii="宋体" w:hAnsi="宋体" w:cs="宋体"/>
                <w:color w:val="auto"/>
                <w:spacing w:val="6"/>
                <w:kern w:val="0"/>
                <w:sz w:val="24"/>
                <w:szCs w:val="24"/>
                <w:highlight w:val="none"/>
                <w:lang w:val="en-US" w:eastAsia="zh-CN" w:bidi="ar-SA"/>
              </w:rPr>
              <w:t>3</w:t>
            </w:r>
          </w:p>
        </w:tc>
        <w:tc>
          <w:tcPr>
            <w:tcW w:w="610" w:type="pct"/>
            <w:vMerge w:val="restart"/>
            <w:tcBorders>
              <w:top w:val="single" w:color="auto" w:sz="4" w:space="0"/>
              <w:left w:val="single" w:color="auto" w:sz="4" w:space="0"/>
              <w:right w:val="single" w:color="auto" w:sz="4" w:space="0"/>
            </w:tcBorders>
            <w:noWrap w:val="0"/>
            <w:vAlign w:val="center"/>
          </w:tcPr>
          <w:p w14:paraId="44F49DE5">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1"/>
                <w:sz w:val="24"/>
                <w:szCs w:val="24"/>
                <w:highlight w:val="none"/>
                <w:lang w:val="en-US" w:eastAsia="zh-CN"/>
              </w:rPr>
              <w:t>技术部分</w:t>
            </w:r>
          </w:p>
        </w:tc>
        <w:tc>
          <w:tcPr>
            <w:tcW w:w="685" w:type="pct"/>
            <w:tcBorders>
              <w:top w:val="single" w:color="auto" w:sz="4" w:space="0"/>
              <w:left w:val="single" w:color="auto" w:sz="4" w:space="0"/>
              <w:bottom w:val="single" w:color="auto" w:sz="4" w:space="0"/>
              <w:right w:val="single" w:color="auto" w:sz="4" w:space="0"/>
            </w:tcBorders>
            <w:noWrap w:val="0"/>
            <w:vAlign w:val="center"/>
          </w:tcPr>
          <w:p w14:paraId="4B8FD702">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实施（服务）方案</w:t>
            </w:r>
          </w:p>
        </w:tc>
        <w:tc>
          <w:tcPr>
            <w:tcW w:w="362" w:type="pct"/>
            <w:tcBorders>
              <w:top w:val="single" w:color="auto" w:sz="4" w:space="0"/>
              <w:left w:val="single" w:color="auto" w:sz="4" w:space="0"/>
              <w:bottom w:val="single" w:color="auto" w:sz="4" w:space="0"/>
              <w:right w:val="single" w:color="auto" w:sz="4" w:space="0"/>
            </w:tcBorders>
            <w:noWrap w:val="0"/>
            <w:vAlign w:val="center"/>
          </w:tcPr>
          <w:p w14:paraId="074AD193">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24</w:t>
            </w:r>
            <w:r>
              <w:rPr>
                <w:rFonts w:hint="eastAsia" w:ascii="宋体" w:hAnsi="宋体" w:eastAsia="宋体" w:cs="宋体"/>
                <w:snapToGrid w:val="0"/>
                <w:color w:val="auto"/>
                <w:kern w:val="0"/>
                <w:sz w:val="24"/>
                <w:szCs w:val="24"/>
                <w:highlight w:val="none"/>
                <w:lang w:val="en-US" w:eastAsia="zh-CN"/>
              </w:rPr>
              <w:t>分</w:t>
            </w:r>
          </w:p>
        </w:tc>
        <w:tc>
          <w:tcPr>
            <w:tcW w:w="3081" w:type="pct"/>
            <w:tcBorders>
              <w:top w:val="single" w:color="auto" w:sz="4" w:space="0"/>
              <w:left w:val="single" w:color="auto" w:sz="4" w:space="0"/>
              <w:bottom w:val="single" w:color="auto" w:sz="4" w:space="0"/>
              <w:right w:val="single" w:color="auto" w:sz="4" w:space="0"/>
            </w:tcBorders>
            <w:noWrap w:val="0"/>
            <w:vAlign w:val="center"/>
          </w:tcPr>
          <w:p w14:paraId="1CF06C4C">
            <w:pPr>
              <w:keepNext w:val="0"/>
              <w:keepLines w:val="0"/>
              <w:pageBreakBefore w:val="0"/>
              <w:widowControl w:val="0"/>
              <w:shd w:val="clear" w:color="auto" w:fill="auto"/>
              <w:kinsoku/>
              <w:wordWrap/>
              <w:overflowPunct/>
              <w:topLinePunct w:val="0"/>
              <w:autoSpaceDE/>
              <w:autoSpaceDN/>
              <w:bidi w:val="0"/>
              <w:adjustRightInd/>
              <w:spacing w:line="312" w:lineRule="auto"/>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snapToGrid w:val="0"/>
                <w:color w:val="auto"/>
                <w:kern w:val="0"/>
                <w:sz w:val="24"/>
                <w:szCs w:val="24"/>
                <w:highlight w:val="none"/>
                <w:lang w:val="en-US" w:eastAsia="zh-CN" w:bidi="ar-SA"/>
              </w:rPr>
              <w:t>提</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供详细实施（服务）方案，包括但不限于以下</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部分要素:</w:t>
            </w:r>
          </w:p>
          <w:p w14:paraId="2A946C6F">
            <w:pPr>
              <w:keepNext w:val="0"/>
              <w:keepLines w:val="0"/>
              <w:pageBreakBefore w:val="0"/>
              <w:widowControl w:val="0"/>
              <w:shd w:val="clear" w:color="auto" w:fill="auto"/>
              <w:kinsoku/>
              <w:wordWrap/>
              <w:overflowPunct/>
              <w:topLinePunct w:val="0"/>
              <w:autoSpaceDE/>
              <w:autoSpaceDN/>
              <w:bidi w:val="0"/>
              <w:adjustRightInd/>
              <w:spacing w:line="312" w:lineRule="auto"/>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①项目整体情况分析</w:t>
            </w:r>
          </w:p>
          <w:p w14:paraId="629F73F3">
            <w:pPr>
              <w:keepNext w:val="0"/>
              <w:keepLines w:val="0"/>
              <w:pageBreakBefore w:val="0"/>
              <w:widowControl w:val="0"/>
              <w:shd w:val="clear" w:color="auto" w:fill="auto"/>
              <w:kinsoku/>
              <w:wordWrap/>
              <w:overflowPunct/>
              <w:topLinePunct w:val="0"/>
              <w:autoSpaceDE/>
              <w:autoSpaceDN/>
              <w:bidi w:val="0"/>
              <w:adjustRightInd/>
              <w:spacing w:line="312" w:lineRule="auto"/>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②组织架构</w:t>
            </w:r>
          </w:p>
          <w:p w14:paraId="3CA9F055">
            <w:pPr>
              <w:keepNext w:val="0"/>
              <w:keepLines w:val="0"/>
              <w:pageBreakBefore w:val="0"/>
              <w:widowControl w:val="0"/>
              <w:shd w:val="clear" w:color="auto" w:fill="auto"/>
              <w:kinsoku/>
              <w:wordWrap/>
              <w:overflowPunct/>
              <w:topLinePunct w:val="0"/>
              <w:autoSpaceDE/>
              <w:autoSpaceDN/>
              <w:bidi w:val="0"/>
              <w:adjustRightInd/>
              <w:spacing w:line="312" w:lineRule="auto"/>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③样本的采集、运输、保存和处理要求</w:t>
            </w:r>
          </w:p>
          <w:p w14:paraId="5480CF7C">
            <w:pPr>
              <w:keepNext w:val="0"/>
              <w:keepLines w:val="0"/>
              <w:pageBreakBefore w:val="0"/>
              <w:widowControl w:val="0"/>
              <w:shd w:val="clear" w:color="auto" w:fill="auto"/>
              <w:kinsoku/>
              <w:wordWrap/>
              <w:overflowPunct/>
              <w:topLinePunct w:val="0"/>
              <w:autoSpaceDE/>
              <w:autoSpaceDN/>
              <w:bidi w:val="0"/>
              <w:adjustRightInd/>
              <w:spacing w:line="312" w:lineRule="auto"/>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④项目重点难点分析及解决方案</w:t>
            </w:r>
          </w:p>
          <w:p w14:paraId="13500369">
            <w:pPr>
              <w:keepNext w:val="0"/>
              <w:keepLines w:val="0"/>
              <w:pageBreakBefore w:val="0"/>
              <w:widowControl w:val="0"/>
              <w:shd w:val="clear" w:color="auto" w:fill="auto"/>
              <w:kinsoku/>
              <w:wordWrap/>
              <w:overflowPunct/>
              <w:topLinePunct w:val="0"/>
              <w:autoSpaceDE/>
              <w:autoSpaceDN/>
              <w:bidi w:val="0"/>
              <w:adjustRightInd/>
              <w:spacing w:line="312" w:lineRule="auto"/>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⑤安全管理措施</w:t>
            </w:r>
          </w:p>
          <w:p w14:paraId="2A9458BB">
            <w:pPr>
              <w:keepNext w:val="0"/>
              <w:keepLines w:val="0"/>
              <w:pageBreakBefore w:val="0"/>
              <w:widowControl w:val="0"/>
              <w:shd w:val="clear" w:color="auto" w:fill="auto"/>
              <w:kinsoku/>
              <w:wordWrap/>
              <w:overflowPunct/>
              <w:topLinePunct w:val="0"/>
              <w:autoSpaceDE/>
              <w:autoSpaceDN/>
              <w:bidi w:val="0"/>
              <w:adjustRightInd/>
              <w:spacing w:line="312" w:lineRule="auto"/>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⑥数据的产出标准和质量。</w:t>
            </w:r>
          </w:p>
          <w:p w14:paraId="4D1755F1">
            <w:pPr>
              <w:keepNext w:val="0"/>
              <w:keepLines w:val="0"/>
              <w:pageBreakBefore w:val="0"/>
              <w:widowControl w:val="0"/>
              <w:shd w:val="clear" w:color="auto" w:fill="auto"/>
              <w:kinsoku/>
              <w:wordWrap/>
              <w:overflowPunct/>
              <w:topLinePunct w:val="0"/>
              <w:autoSpaceDE/>
              <w:autoSpaceDN/>
              <w:bidi w:val="0"/>
              <w:adjustRightInd/>
              <w:spacing w:line="312"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所有要素齐全且完全满足项目要求得24分;每缺少一项内容的扣4分;每有一处缺陷的扣</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分;扣完为止，未提供不得分。（缺陷是指:存在不适用该项目实际情况的情形、凭空编造、内容前后不一致、前后逻辑错误、涉及的规范及标准错误、地点区域错误、内容缺失、不符合采购需求的任意一项）</w:t>
            </w:r>
          </w:p>
        </w:tc>
      </w:tr>
      <w:tr w14:paraId="7070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259" w:type="pct"/>
            <w:tcBorders>
              <w:left w:val="single" w:color="auto" w:sz="4" w:space="0"/>
              <w:right w:val="single" w:color="auto" w:sz="4" w:space="0"/>
            </w:tcBorders>
            <w:shd w:val="clear" w:color="auto" w:fill="auto"/>
            <w:noWrap w:val="0"/>
            <w:vAlign w:val="center"/>
          </w:tcPr>
          <w:p w14:paraId="7FDEB6E4">
            <w:pPr>
              <w:autoSpaceDE w:val="0"/>
              <w:autoSpaceDN w:val="0"/>
              <w:adjustRightInd w:val="0"/>
              <w:jc w:val="center"/>
              <w:outlineLvl w:val="9"/>
              <w:rPr>
                <w:rFonts w:hint="default" w:ascii="宋体" w:hAnsi="宋体" w:eastAsia="宋体" w:cs="宋体"/>
                <w:color w:val="auto"/>
                <w:spacing w:val="6"/>
                <w:kern w:val="0"/>
                <w:sz w:val="24"/>
                <w:szCs w:val="24"/>
                <w:highlight w:val="none"/>
                <w:lang w:val="en-US" w:eastAsia="zh-CN" w:bidi="ar-SA"/>
              </w:rPr>
            </w:pPr>
            <w:r>
              <w:rPr>
                <w:rFonts w:hint="eastAsia" w:ascii="宋体" w:hAnsi="宋体" w:cs="宋体"/>
                <w:color w:val="auto"/>
                <w:spacing w:val="6"/>
                <w:kern w:val="0"/>
                <w:sz w:val="24"/>
                <w:szCs w:val="24"/>
                <w:highlight w:val="none"/>
                <w:lang w:val="en-US" w:eastAsia="zh-CN" w:bidi="ar-SA"/>
              </w:rPr>
              <w:t>4</w:t>
            </w:r>
          </w:p>
        </w:tc>
        <w:tc>
          <w:tcPr>
            <w:tcW w:w="610" w:type="pct"/>
            <w:vMerge w:val="continue"/>
            <w:tcBorders>
              <w:left w:val="single" w:color="auto" w:sz="4" w:space="0"/>
              <w:right w:val="single" w:color="auto" w:sz="4" w:space="0"/>
            </w:tcBorders>
            <w:noWrap w:val="0"/>
            <w:vAlign w:val="center"/>
          </w:tcPr>
          <w:p w14:paraId="79ECA98E">
            <w:pPr>
              <w:adjustRightInd w:val="0"/>
              <w:snapToGrid w:val="0"/>
              <w:jc w:val="center"/>
              <w:rPr>
                <w:rFonts w:hint="eastAsia" w:ascii="宋体" w:hAnsi="宋体" w:eastAsia="宋体" w:cs="宋体"/>
                <w:color w:val="auto"/>
                <w:sz w:val="24"/>
                <w:szCs w:val="24"/>
                <w:highlight w:val="none"/>
                <w:lang w:val="en-US"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28834FC">
            <w:pPr>
              <w:pStyle w:val="29"/>
              <w:keepNext w:val="0"/>
              <w:keepLines w:val="0"/>
              <w:pageBreakBefore w:val="0"/>
              <w:shd w:val="clear" w:color="auto" w:fill="auto"/>
              <w:kinsoku/>
              <w:wordWrap/>
              <w:overflowPunct/>
              <w:topLinePunct w:val="0"/>
              <w:autoSpaceDE/>
              <w:autoSpaceDN/>
              <w:bidi w:val="0"/>
              <w:adjustRightInd/>
              <w:spacing w:line="360" w:lineRule="auto"/>
              <w:ind w:right="31" w:rightChars="15"/>
              <w:jc w:val="center"/>
              <w:textAlignment w:val="auto"/>
              <w:rPr>
                <w:rFonts w:hint="eastAsia" w:ascii="宋体" w:hAnsi="宋体" w:eastAsia="宋体" w:cs="宋体"/>
                <w:color w:val="auto"/>
                <w:kern w:val="0"/>
                <w:sz w:val="24"/>
                <w:szCs w:val="24"/>
                <w:highlight w:val="none"/>
                <w:lang w:val="en-US" w:eastAsia="zh-CN" w:bidi="ar-SA"/>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进度计划保障措施</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5A2B9C2F">
            <w:pPr>
              <w:pStyle w:val="29"/>
              <w:keepNext w:val="0"/>
              <w:keepLines w:val="0"/>
              <w:pageBreakBefore w:val="0"/>
              <w:shd w:val="clear" w:color="auto" w:fill="auto"/>
              <w:kinsoku/>
              <w:wordWrap/>
              <w:overflowPunct/>
              <w:topLinePunct w:val="0"/>
              <w:autoSpaceDE/>
              <w:autoSpaceDN/>
              <w:bidi w:val="0"/>
              <w:adjustRightInd/>
              <w:spacing w:line="36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12</w:t>
            </w:r>
          </w:p>
        </w:tc>
        <w:tc>
          <w:tcPr>
            <w:tcW w:w="6227" w:type="dxa"/>
            <w:tcBorders>
              <w:top w:val="single" w:color="auto" w:sz="4" w:space="0"/>
              <w:left w:val="single" w:color="auto" w:sz="4" w:space="0"/>
              <w:bottom w:val="single" w:color="auto" w:sz="4" w:space="0"/>
              <w:right w:val="single" w:color="auto" w:sz="4" w:space="0"/>
            </w:tcBorders>
            <w:noWrap w:val="0"/>
            <w:vAlign w:val="top"/>
          </w:tcPr>
          <w:p w14:paraId="34DCFE83">
            <w:pPr>
              <w:pStyle w:val="29"/>
              <w:keepNext w:val="0"/>
              <w:keepLines w:val="0"/>
              <w:pageBreakBefore w:val="0"/>
              <w:widowControl w:val="0"/>
              <w:shd w:val="clear" w:color="auto" w:fill="auto"/>
              <w:kinsoku/>
              <w:wordWrap/>
              <w:overflowPunct/>
              <w:topLinePunct w:val="0"/>
              <w:autoSpaceDE/>
              <w:autoSpaceDN/>
              <w:bidi w:val="0"/>
              <w:adjustRightInd/>
              <w:spacing w:line="312" w:lineRule="auto"/>
              <w:ind w:right="-31" w:rightChars="-15"/>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提供详细进度计划保障措施，包括但不限于以下3部分要素:①项目实施的</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任务划分；</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②关键时间节点把握；</w:t>
            </w:r>
          </w:p>
          <w:p w14:paraId="7E73A0FB">
            <w:pPr>
              <w:pStyle w:val="29"/>
              <w:keepNext w:val="0"/>
              <w:keepLines w:val="0"/>
              <w:pageBreakBefore w:val="0"/>
              <w:widowControl w:val="0"/>
              <w:shd w:val="clear" w:color="auto" w:fill="auto"/>
              <w:kinsoku/>
              <w:wordWrap/>
              <w:overflowPunct/>
              <w:topLinePunct w:val="0"/>
              <w:autoSpaceDE/>
              <w:autoSpaceDN/>
              <w:bidi w:val="0"/>
              <w:adjustRightInd/>
              <w:spacing w:line="312" w:lineRule="auto"/>
              <w:ind w:right="-31" w:rightChars="-15"/>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③提供进度计划保障措施。</w:t>
            </w:r>
          </w:p>
          <w:p w14:paraId="11F1E48B">
            <w:pPr>
              <w:pStyle w:val="29"/>
              <w:keepNext w:val="0"/>
              <w:keepLines w:val="0"/>
              <w:pageBreakBefore w:val="0"/>
              <w:widowControl w:val="0"/>
              <w:shd w:val="clear" w:color="auto" w:fill="auto"/>
              <w:kinsoku/>
              <w:wordWrap/>
              <w:overflowPunct/>
              <w:topLinePunct w:val="0"/>
              <w:autoSpaceDE/>
              <w:autoSpaceDN/>
              <w:bidi w:val="0"/>
              <w:adjustRightInd/>
              <w:spacing w:line="312" w:lineRule="auto"/>
              <w:ind w:right="-31" w:rightChars="-15"/>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所有要素齐全且完全满足项目要求得12分;每缺少一项内容的扣4分;每有一处缺陷的扣1分;扣完为止，未提供不得分。（缺陷是指:存在不适用该项目实际情况的情形、凭空编造、内容前后不一致、前后逻辑错误、涉及的规范及标准错误、地点区域错误、内容缺失、不符合采购需求的任意一项）</w:t>
            </w:r>
          </w:p>
        </w:tc>
      </w:tr>
      <w:tr w14:paraId="421F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 w:type="pct"/>
            <w:tcBorders>
              <w:left w:val="single" w:color="auto" w:sz="4" w:space="0"/>
              <w:right w:val="single" w:color="auto" w:sz="4" w:space="0"/>
            </w:tcBorders>
            <w:shd w:val="clear" w:color="auto" w:fill="auto"/>
            <w:noWrap w:val="0"/>
            <w:vAlign w:val="center"/>
          </w:tcPr>
          <w:p w14:paraId="7A4F89BB">
            <w:pPr>
              <w:autoSpaceDE w:val="0"/>
              <w:autoSpaceDN w:val="0"/>
              <w:adjustRightInd w:val="0"/>
              <w:jc w:val="center"/>
              <w:outlineLvl w:val="9"/>
              <w:rPr>
                <w:rFonts w:hint="default" w:ascii="宋体" w:hAnsi="宋体" w:eastAsia="宋体" w:cs="宋体"/>
                <w:color w:val="auto"/>
                <w:spacing w:val="6"/>
                <w:kern w:val="0"/>
                <w:sz w:val="24"/>
                <w:szCs w:val="24"/>
                <w:highlight w:val="none"/>
                <w:lang w:val="en-US" w:eastAsia="zh-CN" w:bidi="ar-SA"/>
              </w:rPr>
            </w:pPr>
            <w:r>
              <w:rPr>
                <w:rFonts w:hint="eastAsia" w:ascii="宋体" w:hAnsi="宋体" w:cs="宋体"/>
                <w:color w:val="auto"/>
                <w:spacing w:val="6"/>
                <w:kern w:val="0"/>
                <w:sz w:val="24"/>
                <w:szCs w:val="24"/>
                <w:highlight w:val="none"/>
                <w:lang w:val="en-US" w:eastAsia="zh-CN" w:bidi="ar-SA"/>
              </w:rPr>
              <w:t>5</w:t>
            </w:r>
          </w:p>
        </w:tc>
        <w:tc>
          <w:tcPr>
            <w:tcW w:w="610" w:type="pct"/>
            <w:vMerge w:val="continue"/>
            <w:tcBorders>
              <w:left w:val="single" w:color="auto" w:sz="4" w:space="0"/>
              <w:right w:val="single" w:color="auto" w:sz="4" w:space="0"/>
            </w:tcBorders>
            <w:noWrap w:val="0"/>
            <w:vAlign w:val="center"/>
          </w:tcPr>
          <w:p w14:paraId="5E932FC9">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kern w:val="1"/>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ACB5EE9">
            <w:pPr>
              <w:pStyle w:val="29"/>
              <w:keepNext w:val="0"/>
              <w:keepLines w:val="0"/>
              <w:pageBreakBefore w:val="0"/>
              <w:shd w:val="clear" w:color="auto" w:fill="auto"/>
              <w:kinsoku/>
              <w:wordWrap/>
              <w:overflowPunct/>
              <w:topLinePunct w:val="0"/>
              <w:autoSpaceDE/>
              <w:autoSpaceDN/>
              <w:bidi w:val="0"/>
              <w:adjustRightInd/>
              <w:spacing w:line="360" w:lineRule="auto"/>
              <w:ind w:right="31" w:rightChars="15"/>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服务质量控制措施</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34DCA98F">
            <w:pPr>
              <w:pStyle w:val="29"/>
              <w:keepNext w:val="0"/>
              <w:keepLines w:val="0"/>
              <w:pageBreakBefore w:val="0"/>
              <w:shd w:val="clear" w:color="auto" w:fill="auto"/>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16</w:t>
            </w:r>
            <w:r>
              <w:rPr>
                <w:rFonts w:hint="eastAsia" w:ascii="宋体" w:hAnsi="宋体" w:eastAsia="宋体" w:cs="宋体"/>
                <w:snapToGrid w:val="0"/>
                <w:color w:val="auto"/>
                <w:kern w:val="0"/>
                <w:sz w:val="24"/>
                <w:szCs w:val="24"/>
                <w:highlight w:val="none"/>
                <w:lang w:val="en-US" w:eastAsia="zh-CN"/>
              </w:rPr>
              <w:t>分</w:t>
            </w:r>
          </w:p>
        </w:tc>
        <w:tc>
          <w:tcPr>
            <w:tcW w:w="6227" w:type="dxa"/>
            <w:tcBorders>
              <w:top w:val="single" w:color="auto" w:sz="4" w:space="0"/>
              <w:left w:val="single" w:color="auto" w:sz="4" w:space="0"/>
              <w:bottom w:val="single" w:color="auto" w:sz="4" w:space="0"/>
              <w:right w:val="single" w:color="auto" w:sz="4" w:space="0"/>
            </w:tcBorders>
            <w:noWrap w:val="0"/>
            <w:vAlign w:val="center"/>
          </w:tcPr>
          <w:p w14:paraId="61B9E6F3">
            <w:pPr>
              <w:pStyle w:val="29"/>
              <w:keepNext w:val="0"/>
              <w:keepLines w:val="0"/>
              <w:pageBreakBefore w:val="0"/>
              <w:widowControl w:val="0"/>
              <w:shd w:val="clear" w:color="auto" w:fill="auto"/>
              <w:kinsoku/>
              <w:wordWrap/>
              <w:overflowPunct/>
              <w:topLinePunct w:val="0"/>
              <w:autoSpaceDE/>
              <w:autoSpaceDN/>
              <w:bidi w:val="0"/>
              <w:adjustRightInd/>
              <w:spacing w:line="312" w:lineRule="auto"/>
              <w:ind w:right="-31" w:rightChars="-15"/>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提供详细服务质量控制措施</w:t>
            </w:r>
            <w:r>
              <w:rPr>
                <w:rFonts w:hint="eastAsia" w:ascii="宋体" w:hAnsi="宋体" w:eastAsia="宋体" w:cs="宋体"/>
                <w:sz w:val="24"/>
                <w:szCs w:val="24"/>
                <w:highlight w:val="none"/>
              </w:rPr>
              <w:t>，包括但不限于以下</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部分要素</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p>
          <w:p w14:paraId="6F7BAE5B">
            <w:pPr>
              <w:pStyle w:val="29"/>
              <w:keepNext w:val="0"/>
              <w:keepLines w:val="0"/>
              <w:pageBreakBefore w:val="0"/>
              <w:widowControl w:val="0"/>
              <w:shd w:val="clear" w:color="auto" w:fill="auto"/>
              <w:kinsoku/>
              <w:wordWrap/>
              <w:overflowPunct/>
              <w:topLinePunct w:val="0"/>
              <w:autoSpaceDE/>
              <w:autoSpaceDN/>
              <w:bidi w:val="0"/>
              <w:adjustRightInd/>
              <w:spacing w:line="312" w:lineRule="auto"/>
              <w:ind w:right="-31" w:rightChars="-15"/>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①质量管理组织机构</w:t>
            </w:r>
          </w:p>
          <w:p w14:paraId="56F8A91C">
            <w:pPr>
              <w:pStyle w:val="29"/>
              <w:keepNext w:val="0"/>
              <w:keepLines w:val="0"/>
              <w:pageBreakBefore w:val="0"/>
              <w:widowControl w:val="0"/>
              <w:shd w:val="clear" w:color="auto" w:fill="auto"/>
              <w:kinsoku/>
              <w:wordWrap/>
              <w:overflowPunct/>
              <w:topLinePunct w:val="0"/>
              <w:autoSpaceDE/>
              <w:autoSpaceDN/>
              <w:bidi w:val="0"/>
              <w:adjustRightInd/>
              <w:spacing w:line="312" w:lineRule="auto"/>
              <w:ind w:right="-31" w:rightChars="-15"/>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②团队人员职责分工</w:t>
            </w:r>
          </w:p>
          <w:p w14:paraId="1C8BA7C2">
            <w:pPr>
              <w:pStyle w:val="29"/>
              <w:keepNext w:val="0"/>
              <w:keepLines w:val="0"/>
              <w:pageBreakBefore w:val="0"/>
              <w:widowControl w:val="0"/>
              <w:shd w:val="clear" w:color="auto" w:fill="auto"/>
              <w:kinsoku/>
              <w:wordWrap/>
              <w:overflowPunct/>
              <w:topLinePunct w:val="0"/>
              <w:autoSpaceDE/>
              <w:autoSpaceDN/>
              <w:bidi w:val="0"/>
              <w:adjustRightInd/>
              <w:spacing w:line="312" w:lineRule="auto"/>
              <w:ind w:right="-31" w:rightChars="-15"/>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③成果质量保证措施</w:t>
            </w:r>
          </w:p>
          <w:p w14:paraId="0C285A35">
            <w:pPr>
              <w:pStyle w:val="29"/>
              <w:keepNext w:val="0"/>
              <w:keepLines w:val="0"/>
              <w:pageBreakBefore w:val="0"/>
              <w:widowControl w:val="0"/>
              <w:shd w:val="clear" w:color="auto" w:fill="auto"/>
              <w:kinsoku/>
              <w:wordWrap/>
              <w:overflowPunct/>
              <w:topLinePunct w:val="0"/>
              <w:autoSpaceDE/>
              <w:autoSpaceDN/>
              <w:bidi w:val="0"/>
              <w:adjustRightInd/>
              <w:spacing w:line="312" w:lineRule="auto"/>
              <w:ind w:right="-31" w:rightChars="-15"/>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④实验仪器设备校准及环境控制情况。</w:t>
            </w:r>
          </w:p>
          <w:p w14:paraId="0C5CD74E">
            <w:pPr>
              <w:pStyle w:val="29"/>
              <w:keepNext w:val="0"/>
              <w:keepLines w:val="0"/>
              <w:pageBreakBefore w:val="0"/>
              <w:widowControl w:val="0"/>
              <w:shd w:val="clear" w:color="auto" w:fill="auto"/>
              <w:kinsoku/>
              <w:wordWrap/>
              <w:overflowPunct/>
              <w:topLinePunct w:val="0"/>
              <w:autoSpaceDE/>
              <w:autoSpaceDN/>
              <w:bidi w:val="0"/>
              <w:adjustRightInd/>
              <w:spacing w:line="312" w:lineRule="auto"/>
              <w:ind w:right="-31" w:rightChars="-15"/>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z w:val="24"/>
                <w:szCs w:val="24"/>
                <w:highlight w:val="none"/>
              </w:rPr>
              <w:t>所有要素齐全且完全满足项目要求得</w:t>
            </w: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rPr>
              <w:t>分;每缺少一项内容的扣4分;每有一处缺陷的扣1分;扣完为止，未提供不得分。（缺陷是指:存在不适用该项目实际情况的情形、凭空编造、内容前后不一致、前后逻辑错误、涉及的规范及标准错误、地点区域错误、内容缺失、不符合采购需求的任意一项）</w:t>
            </w:r>
            <w:r>
              <w:rPr>
                <w:rFonts w:hint="eastAsia" w:ascii="宋体" w:hAnsi="宋体" w:eastAsia="宋体" w:cs="宋体"/>
                <w:sz w:val="24"/>
                <w:szCs w:val="24"/>
                <w:highlight w:val="none"/>
                <w:lang w:eastAsia="zh-CN"/>
              </w:rPr>
              <w:t>。</w:t>
            </w:r>
          </w:p>
        </w:tc>
      </w:tr>
      <w:tr w14:paraId="53147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 w:type="pct"/>
            <w:tcBorders>
              <w:left w:val="single" w:color="auto" w:sz="4" w:space="0"/>
              <w:right w:val="single" w:color="auto" w:sz="4" w:space="0"/>
            </w:tcBorders>
            <w:shd w:val="clear" w:color="auto" w:fill="auto"/>
            <w:noWrap w:val="0"/>
            <w:vAlign w:val="center"/>
          </w:tcPr>
          <w:p w14:paraId="18059E6E">
            <w:pPr>
              <w:autoSpaceDE w:val="0"/>
              <w:autoSpaceDN w:val="0"/>
              <w:adjustRightInd w:val="0"/>
              <w:jc w:val="center"/>
              <w:outlineLvl w:val="9"/>
              <w:rPr>
                <w:rFonts w:hint="default" w:ascii="宋体" w:hAnsi="宋体" w:cs="宋体"/>
                <w:color w:val="auto"/>
                <w:spacing w:val="6"/>
                <w:kern w:val="0"/>
                <w:sz w:val="24"/>
                <w:szCs w:val="24"/>
                <w:highlight w:val="none"/>
                <w:lang w:val="en-US" w:eastAsia="zh-CN" w:bidi="ar-SA"/>
              </w:rPr>
            </w:pPr>
            <w:r>
              <w:rPr>
                <w:rFonts w:hint="eastAsia" w:ascii="宋体" w:hAnsi="宋体" w:cs="宋体"/>
                <w:color w:val="auto"/>
                <w:spacing w:val="6"/>
                <w:kern w:val="0"/>
                <w:sz w:val="24"/>
                <w:szCs w:val="24"/>
                <w:highlight w:val="none"/>
                <w:lang w:val="en-US" w:eastAsia="zh-CN" w:bidi="ar-SA"/>
              </w:rPr>
              <w:t>6</w:t>
            </w:r>
          </w:p>
        </w:tc>
        <w:tc>
          <w:tcPr>
            <w:tcW w:w="610" w:type="pct"/>
            <w:tcBorders>
              <w:left w:val="single" w:color="auto" w:sz="4" w:space="0"/>
              <w:right w:val="single" w:color="auto" w:sz="4" w:space="0"/>
            </w:tcBorders>
            <w:noWrap w:val="0"/>
            <w:vAlign w:val="center"/>
          </w:tcPr>
          <w:p w14:paraId="0F28BAF2">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kern w:val="1"/>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3EB97607">
            <w:pPr>
              <w:keepNext w:val="0"/>
              <w:keepLines w:val="0"/>
              <w:pageBreakBefore w:val="0"/>
              <w:shd w:val="clear" w:color="auto" w:fill="auto"/>
              <w:kinsoku/>
              <w:wordWrap/>
              <w:overflowPunct/>
              <w:topLinePunct w:val="0"/>
              <w:autoSpaceDE/>
              <w:autoSpaceDN/>
              <w:bidi w:val="0"/>
              <w:adjustRightInd/>
              <w:spacing w:line="36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内控制度措施</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2288511A">
            <w:pPr>
              <w:keepNext w:val="0"/>
              <w:keepLines w:val="0"/>
              <w:pageBreakBefore w:val="0"/>
              <w:shd w:val="clear" w:color="auto" w:fill="auto"/>
              <w:kinsoku/>
              <w:wordWrap/>
              <w:overflowPunct/>
              <w:topLinePunct w:val="0"/>
              <w:autoSpaceDE/>
              <w:autoSpaceDN/>
              <w:bidi w:val="0"/>
              <w:adjustRightInd/>
              <w:spacing w:line="36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12</w:t>
            </w:r>
            <w:r>
              <w:rPr>
                <w:rFonts w:hint="eastAsia" w:ascii="宋体" w:hAnsi="宋体" w:eastAsia="宋体" w:cs="宋体"/>
                <w:snapToGrid w:val="0"/>
                <w:color w:val="auto"/>
                <w:kern w:val="0"/>
                <w:sz w:val="24"/>
                <w:szCs w:val="24"/>
                <w:highlight w:val="none"/>
                <w:lang w:val="en-US" w:eastAsia="zh-CN"/>
              </w:rPr>
              <w:t>分</w:t>
            </w:r>
          </w:p>
        </w:tc>
        <w:tc>
          <w:tcPr>
            <w:tcW w:w="6227" w:type="dxa"/>
            <w:tcBorders>
              <w:top w:val="single" w:color="auto" w:sz="4" w:space="0"/>
              <w:left w:val="single" w:color="auto" w:sz="4" w:space="0"/>
              <w:bottom w:val="single" w:color="auto" w:sz="4" w:space="0"/>
              <w:right w:val="single" w:color="auto" w:sz="4" w:space="0"/>
            </w:tcBorders>
            <w:noWrap w:val="0"/>
            <w:vAlign w:val="center"/>
          </w:tcPr>
          <w:p w14:paraId="7D8DE26B">
            <w:pPr>
              <w:keepNext w:val="0"/>
              <w:keepLines w:val="0"/>
              <w:pageBreakBefore w:val="0"/>
              <w:widowControl w:val="0"/>
              <w:shd w:val="clear" w:color="auto" w:fill="auto"/>
              <w:kinsoku/>
              <w:wordWrap/>
              <w:overflowPunct/>
              <w:topLinePunct w:val="0"/>
              <w:autoSpaceDE/>
              <w:autoSpaceDN/>
              <w:bidi w:val="0"/>
              <w:adjustRightInd/>
              <w:spacing w:line="312" w:lineRule="auto"/>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提供详细内控制度措施</w:t>
            </w:r>
            <w:r>
              <w:rPr>
                <w:rFonts w:hint="eastAsia" w:ascii="宋体" w:hAnsi="宋体" w:eastAsia="宋体" w:cs="宋体"/>
                <w:sz w:val="24"/>
                <w:szCs w:val="24"/>
                <w:highlight w:val="none"/>
              </w:rPr>
              <w:t>，包括但不限于以下</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部分要素</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：①工作纪律及考核制度</w:t>
            </w:r>
          </w:p>
          <w:p w14:paraId="184FC4EA">
            <w:pPr>
              <w:keepNext w:val="0"/>
              <w:keepLines w:val="0"/>
              <w:pageBreakBefore w:val="0"/>
              <w:widowControl w:val="0"/>
              <w:shd w:val="clear" w:color="auto" w:fill="auto"/>
              <w:kinsoku/>
              <w:wordWrap/>
              <w:overflowPunct/>
              <w:topLinePunct w:val="0"/>
              <w:autoSpaceDE/>
              <w:autoSpaceDN/>
              <w:bidi w:val="0"/>
              <w:adjustRightInd/>
              <w:spacing w:line="312" w:lineRule="auto"/>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②应急措施</w:t>
            </w:r>
          </w:p>
          <w:p w14:paraId="47DEEBD8">
            <w:pPr>
              <w:keepNext w:val="0"/>
              <w:keepLines w:val="0"/>
              <w:pageBreakBefore w:val="0"/>
              <w:widowControl w:val="0"/>
              <w:shd w:val="clear" w:color="auto" w:fill="auto"/>
              <w:kinsoku/>
              <w:wordWrap/>
              <w:overflowPunct/>
              <w:topLinePunct w:val="0"/>
              <w:autoSpaceDE/>
              <w:autoSpaceDN/>
              <w:bidi w:val="0"/>
              <w:adjustRightInd/>
              <w:spacing w:line="312" w:lineRule="auto"/>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③档案管理制度</w:t>
            </w:r>
          </w:p>
          <w:p w14:paraId="652BA11A">
            <w:pPr>
              <w:keepNext w:val="0"/>
              <w:keepLines w:val="0"/>
              <w:pageBreakBefore w:val="0"/>
              <w:widowControl w:val="0"/>
              <w:shd w:val="clear" w:color="auto" w:fill="auto"/>
              <w:kinsoku/>
              <w:wordWrap/>
              <w:overflowPunct/>
              <w:topLinePunct w:val="0"/>
              <w:autoSpaceDE/>
              <w:autoSpaceDN/>
              <w:bidi w:val="0"/>
              <w:adjustRightInd/>
              <w:spacing w:line="312" w:lineRule="auto"/>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④信息BM制度</w:t>
            </w:r>
          </w:p>
          <w:p w14:paraId="6F5752AC">
            <w:pPr>
              <w:keepNext w:val="0"/>
              <w:keepLines w:val="0"/>
              <w:pageBreakBefore w:val="0"/>
              <w:widowControl w:val="0"/>
              <w:shd w:val="clear" w:color="auto" w:fill="auto"/>
              <w:kinsoku/>
              <w:wordWrap/>
              <w:overflowPunct/>
              <w:topLinePunct w:val="0"/>
              <w:autoSpaceDE/>
              <w:autoSpaceDN/>
              <w:bidi w:val="0"/>
              <w:adjustRightInd/>
              <w:spacing w:line="312"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所有要素齐全且完全满足项目要求得</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分;每缺少一项内容的扣</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分;每有一处缺陷的扣</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分;扣完为止，未提供不得分。（缺陷是指:存在不适用该项目实际情况的情形、凭空编造、内容前后不一致、前后逻辑错误、涉及的规范及标准错误、地点区域错误、内容缺失、不符合采购需求的任意一项）</w:t>
            </w:r>
          </w:p>
        </w:tc>
      </w:tr>
      <w:tr w14:paraId="21881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556" w:type="pct"/>
            <w:gridSpan w:val="3"/>
            <w:tcBorders>
              <w:left w:val="single" w:color="auto" w:sz="4" w:space="0"/>
              <w:right w:val="single" w:color="auto" w:sz="4" w:space="0"/>
            </w:tcBorders>
            <w:noWrap w:val="0"/>
            <w:vAlign w:val="center"/>
          </w:tcPr>
          <w:p w14:paraId="287365DE">
            <w:pPr>
              <w:autoSpaceDE w:val="0"/>
              <w:autoSpaceDN w:val="0"/>
              <w:adjustRightInd w:val="0"/>
              <w:jc w:val="center"/>
              <w:outlineLvl w:val="9"/>
              <w:rPr>
                <w:rFonts w:hint="eastAsia" w:ascii="宋体" w:hAnsi="宋体" w:eastAsia="宋体" w:cs="宋体"/>
                <w:color w:val="auto"/>
                <w:spacing w:val="6"/>
                <w:kern w:val="0"/>
                <w:sz w:val="24"/>
                <w:szCs w:val="24"/>
                <w:highlight w:val="none"/>
                <w:lang w:eastAsia="zh-CN"/>
              </w:rPr>
            </w:pPr>
            <w:r>
              <w:rPr>
                <w:rFonts w:hint="eastAsia" w:ascii="宋体" w:hAnsi="宋体" w:cs="宋体"/>
                <w:color w:val="auto"/>
                <w:spacing w:val="6"/>
                <w:kern w:val="0"/>
                <w:sz w:val="24"/>
                <w:szCs w:val="24"/>
                <w:highlight w:val="none"/>
                <w:lang w:eastAsia="zh-CN"/>
              </w:rPr>
              <w:t>合计</w:t>
            </w:r>
          </w:p>
        </w:tc>
        <w:tc>
          <w:tcPr>
            <w:tcW w:w="3443" w:type="pct"/>
            <w:gridSpan w:val="2"/>
            <w:tcBorders>
              <w:top w:val="single" w:color="auto" w:sz="4" w:space="0"/>
              <w:left w:val="single" w:color="auto" w:sz="4" w:space="0"/>
              <w:bottom w:val="single" w:color="auto" w:sz="4" w:space="0"/>
              <w:right w:val="single" w:color="auto" w:sz="4" w:space="0"/>
            </w:tcBorders>
            <w:noWrap w:val="0"/>
            <w:vAlign w:val="center"/>
          </w:tcPr>
          <w:p w14:paraId="569F68AA">
            <w:pPr>
              <w:spacing w:line="300" w:lineRule="exact"/>
              <w:jc w:val="center"/>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90分</w:t>
            </w:r>
          </w:p>
        </w:tc>
      </w:tr>
    </w:tbl>
    <w:p w14:paraId="4D32BFB1">
      <w:pPr>
        <w:keepNext w:val="0"/>
        <w:keepLines w:val="0"/>
        <w:pageBreakBefore w:val="0"/>
        <w:widowControl w:val="0"/>
        <w:kinsoku/>
        <w:wordWrap w:val="0"/>
        <w:overflowPunct/>
        <w:topLinePunct/>
        <w:autoSpaceDE/>
        <w:autoSpaceDN/>
        <w:bidi w:val="0"/>
        <w:adjustRightInd w:val="0"/>
        <w:snapToGrid w:val="0"/>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说明：技术偏离表与投标人所提供的技术资料参数不符情况视为虚假应标，予以废标处理，其风险由投标人自行承担。</w:t>
      </w:r>
    </w:p>
    <w:p w14:paraId="3CC4CF1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4.5.</w:t>
      </w:r>
      <w:r>
        <w:rPr>
          <w:rFonts w:hint="eastAsia" w:ascii="宋体" w:hAnsi="宋体" w:eastAsia="宋体" w:cs="宋体"/>
          <w:bCs/>
          <w:color w:val="auto"/>
          <w:sz w:val="24"/>
          <w:szCs w:val="24"/>
          <w:highlight w:val="none"/>
          <w:lang w:val="en-US" w:eastAsia="zh-CN"/>
        </w:rPr>
        <w:t>6</w:t>
      </w:r>
      <w:r>
        <w:rPr>
          <w:rFonts w:hint="eastAsia" w:ascii="宋体" w:hAnsi="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lang w:eastAsia="zh-CN"/>
        </w:rPr>
        <w:t>总分=</w:t>
      </w:r>
      <w:r>
        <w:rPr>
          <w:rFonts w:hint="eastAsia" w:ascii="宋体" w:hAnsi="宋体" w:eastAsia="宋体" w:cs="宋体"/>
          <w:bCs/>
          <w:color w:val="auto"/>
          <w:sz w:val="24"/>
          <w:szCs w:val="24"/>
          <w:highlight w:val="none"/>
          <w:lang w:val="en-US" w:eastAsia="zh-CN"/>
        </w:rPr>
        <w:t>商务部分得分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技术部分得分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报价部分得分</w:t>
      </w:r>
      <w:r>
        <w:rPr>
          <w:rFonts w:hint="eastAsia" w:ascii="宋体" w:hAnsi="宋体" w:eastAsia="宋体" w:cs="宋体"/>
          <w:bCs/>
          <w:color w:val="auto"/>
          <w:sz w:val="24"/>
          <w:szCs w:val="24"/>
          <w:highlight w:val="none"/>
          <w:lang w:eastAsia="zh-CN"/>
        </w:rPr>
        <w:t>，结果保留两位小数。</w:t>
      </w:r>
    </w:p>
    <w:p w14:paraId="6B911D1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56" w:name="_Toc25464"/>
      <w:bookmarkStart w:id="157" w:name="_Toc8606"/>
      <w:bookmarkStart w:id="158" w:name="_Toc217446060"/>
      <w:r>
        <w:rPr>
          <w:rFonts w:hint="eastAsia" w:ascii="宋体" w:hAnsi="宋体" w:eastAsia="宋体" w:cs="宋体"/>
          <w:bCs/>
          <w:color w:val="auto"/>
          <w:sz w:val="24"/>
          <w:szCs w:val="24"/>
          <w:highlight w:val="none"/>
          <w:lang w:eastAsia="zh-CN"/>
        </w:rPr>
        <w:t>5.废标</w:t>
      </w:r>
      <w:bookmarkEnd w:id="156"/>
      <w:bookmarkEnd w:id="157"/>
    </w:p>
    <w:p w14:paraId="34D7967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本次政府采购活动中，出现下列情形之一的，予以废标：</w:t>
      </w:r>
    </w:p>
    <w:p w14:paraId="6F0A189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（1）符合专业条件的供应商或者对采购文件作实质响应的供应商不足三家的；</w:t>
      </w:r>
    </w:p>
    <w:p w14:paraId="56A6F89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（2）出现影响采购公正的违法、违规行为的；</w:t>
      </w:r>
    </w:p>
    <w:p w14:paraId="30B29630">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（3）供应商的报价均超过了采购预算，采购人不能支付的；</w:t>
      </w:r>
    </w:p>
    <w:p w14:paraId="3175050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（4）因重大变故，采购任务取消的。</w:t>
      </w:r>
    </w:p>
    <w:p w14:paraId="3097442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废标后，采购代理机构应在发布采购公告的媒体上发布废标公告，并公告废标的详细理由。</w:t>
      </w:r>
    </w:p>
    <w:p w14:paraId="48E03E7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59" w:name="_Toc8947"/>
      <w:bookmarkStart w:id="160" w:name="_Toc20616"/>
      <w:r>
        <w:rPr>
          <w:rFonts w:hint="eastAsia" w:ascii="宋体" w:hAnsi="宋体" w:eastAsia="宋体" w:cs="宋体"/>
          <w:bCs/>
          <w:color w:val="auto"/>
          <w:sz w:val="24"/>
          <w:szCs w:val="24"/>
          <w:highlight w:val="none"/>
          <w:lang w:eastAsia="zh-CN"/>
        </w:rPr>
        <w:t>6.定标</w:t>
      </w:r>
      <w:bookmarkEnd w:id="158"/>
      <w:bookmarkEnd w:id="159"/>
      <w:bookmarkEnd w:id="160"/>
      <w:bookmarkStart w:id="161" w:name="_Toc217446061"/>
    </w:p>
    <w:p w14:paraId="4B478A2C">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6.1定标原则</w:t>
      </w:r>
      <w:bookmarkEnd w:id="161"/>
      <w:r>
        <w:rPr>
          <w:rFonts w:hint="eastAsia" w:ascii="宋体" w:hAnsi="宋体" w:eastAsia="宋体" w:cs="宋体"/>
          <w:bCs/>
          <w:color w:val="auto"/>
          <w:sz w:val="24"/>
          <w:szCs w:val="24"/>
          <w:highlight w:val="none"/>
          <w:lang w:eastAsia="zh-CN"/>
        </w:rPr>
        <w:t>：本项目根据评标委员会推荐的中标（成交）候选人名单，按顺序确定中标（成交）人。</w:t>
      </w:r>
    </w:p>
    <w:p w14:paraId="0A0DB34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62" w:name="_Toc26450"/>
      <w:bookmarkStart w:id="163" w:name="_Toc217446062"/>
      <w:bookmarkStart w:id="164" w:name="_Toc14716"/>
      <w:r>
        <w:rPr>
          <w:rFonts w:hint="eastAsia" w:ascii="宋体" w:hAnsi="宋体" w:eastAsia="宋体" w:cs="宋体"/>
          <w:bCs/>
          <w:color w:val="auto"/>
          <w:sz w:val="24"/>
          <w:szCs w:val="24"/>
          <w:highlight w:val="none"/>
          <w:lang w:eastAsia="zh-CN"/>
        </w:rPr>
        <w:t>6.2定标程序</w:t>
      </w:r>
      <w:bookmarkEnd w:id="162"/>
      <w:bookmarkEnd w:id="163"/>
      <w:bookmarkEnd w:id="164"/>
    </w:p>
    <w:p w14:paraId="3582B30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6.2.1评标委员会将评标情况写出书面报告，推荐中标（成交）候选人，并按照综合得分高低标明排列顺序。本项目采用综合评分法，评标结果按评审后得分由高到低顺序排列。得分相同的，按投标报价由低到高顺序排列。得分且投标报价相同的，技术指标较优的一方为中标人。</w:t>
      </w:r>
    </w:p>
    <w:p w14:paraId="05F9CC4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6.2.2采购代理机构在评标结束后两个工作日内将评标报告送至采购人。</w:t>
      </w:r>
    </w:p>
    <w:p w14:paraId="7A9E73B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6.2.3采购人应当自收到评审报告之日起5个工作日内在评审报告推荐的中标（成交）候选人中按顺序确定中标（成交）供应商。</w:t>
      </w:r>
    </w:p>
    <w:p w14:paraId="31177E4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6.2.4根据采购人确定的中标（成交）人，采购人在采购公告发布的媒体上发布中标（成交）公告，同时向中标（成交）人发出中标（成交）通知书。</w:t>
      </w:r>
    </w:p>
    <w:p w14:paraId="15D1CE4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6.2.5采购单位不退回响应文件和其他投标资料。</w:t>
      </w:r>
      <w:bookmarkEnd w:id="140"/>
    </w:p>
    <w:p w14:paraId="4A074CA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65" w:name="_Toc208849022"/>
      <w:bookmarkStart w:id="166" w:name="_Toc217446105"/>
      <w:bookmarkStart w:id="167" w:name="_Toc183682432"/>
      <w:bookmarkStart w:id="168" w:name="_Toc183582297"/>
      <w:bookmarkStart w:id="169" w:name="_Toc26038"/>
      <w:bookmarkStart w:id="170" w:name="_Toc2167"/>
      <w:r>
        <w:rPr>
          <w:rFonts w:hint="eastAsia" w:ascii="宋体" w:hAnsi="宋体" w:eastAsia="宋体" w:cs="宋体"/>
          <w:bCs/>
          <w:color w:val="auto"/>
          <w:sz w:val="24"/>
          <w:szCs w:val="24"/>
          <w:highlight w:val="none"/>
          <w:lang w:eastAsia="zh-CN"/>
        </w:rPr>
        <w:t>7.</w:t>
      </w:r>
      <w:bookmarkEnd w:id="165"/>
      <w:bookmarkEnd w:id="166"/>
      <w:bookmarkEnd w:id="167"/>
      <w:bookmarkEnd w:id="168"/>
      <w:r>
        <w:rPr>
          <w:rFonts w:hint="eastAsia" w:ascii="宋体" w:hAnsi="宋体" w:eastAsia="宋体" w:cs="宋体"/>
          <w:bCs/>
          <w:color w:val="auto"/>
          <w:sz w:val="24"/>
          <w:szCs w:val="24"/>
          <w:highlight w:val="none"/>
          <w:lang w:eastAsia="zh-CN"/>
        </w:rPr>
        <w:t>评标专家在政府采购活动中承担以下义务：</w:t>
      </w:r>
      <w:bookmarkEnd w:id="169"/>
      <w:bookmarkEnd w:id="170"/>
    </w:p>
    <w:p w14:paraId="4626824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71" w:name="_Toc13865"/>
      <w:bookmarkStart w:id="172" w:name="_Toc4921"/>
      <w:r>
        <w:rPr>
          <w:rFonts w:hint="eastAsia" w:ascii="宋体" w:hAnsi="宋体" w:eastAsia="宋体" w:cs="宋体"/>
          <w:bCs/>
          <w:color w:val="auto"/>
          <w:sz w:val="24"/>
          <w:szCs w:val="24"/>
          <w:highlight w:val="none"/>
          <w:lang w:eastAsia="zh-CN"/>
        </w:rPr>
        <w:t>7.1遵纪守法，客观、公正、廉洁地履行职责。</w:t>
      </w:r>
      <w:bookmarkEnd w:id="171"/>
      <w:bookmarkEnd w:id="172"/>
    </w:p>
    <w:p w14:paraId="0067461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7.2按照政府采购法律法规和采购文件的规定要求对供应商的资格条件和供应商提供的产品价格、技术、服务等方面严格进行评判，提供科学合理、公平公正的评审意见，参与起草评审报告，并予签字确认。</w:t>
      </w:r>
    </w:p>
    <w:p w14:paraId="6B3B2AF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7.3保守秘密。不得透露采购文件咨询情况，不得泄漏供应商的响应文件及知悉的商业秘密，不得向供应商透露评审情况。</w:t>
      </w:r>
    </w:p>
    <w:p w14:paraId="7DF9611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7.4发现供应商在政府采购活动中有不正当竞争或恶意串通等违规行为，及时向政府采购评审工作的组织者或财政部门报告并加以制止。</w:t>
      </w:r>
    </w:p>
    <w:p w14:paraId="2891212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发现采购人、政府采购代理机构及其工作人员在政府采购活动中有干预评审、发表倾向性和歧视性言论、受贿或者接受供应商的其他好处及其他违法违规行为，及时向财政部门报告。</w:t>
      </w:r>
    </w:p>
    <w:p w14:paraId="3877E7C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7.5解答有关方面对政府采购评审工作中有关问题的询问，配合采购人或者政府采购代理机构答复供应商质疑，配合财政部门的投诉处理工作等事宜。</w:t>
      </w:r>
    </w:p>
    <w:p w14:paraId="7B7BB6A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73" w:name="_Toc12044"/>
      <w:bookmarkStart w:id="174" w:name="_Toc29855"/>
      <w:r>
        <w:rPr>
          <w:rFonts w:hint="eastAsia" w:ascii="宋体" w:hAnsi="宋体" w:eastAsia="宋体" w:cs="宋体"/>
          <w:bCs/>
          <w:color w:val="auto"/>
          <w:sz w:val="24"/>
          <w:szCs w:val="24"/>
          <w:highlight w:val="none"/>
          <w:lang w:eastAsia="zh-CN"/>
        </w:rPr>
        <w:t>7.6法律、法规和规章规定的其他义务。</w:t>
      </w:r>
      <w:bookmarkEnd w:id="173"/>
      <w:bookmarkEnd w:id="174"/>
    </w:p>
    <w:p w14:paraId="1841227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75" w:name="_Toc12751"/>
      <w:bookmarkStart w:id="176" w:name="_Toc32180"/>
      <w:r>
        <w:rPr>
          <w:rFonts w:hint="eastAsia" w:ascii="宋体" w:hAnsi="宋体" w:eastAsia="宋体" w:cs="宋体"/>
          <w:bCs/>
          <w:color w:val="auto"/>
          <w:sz w:val="24"/>
          <w:szCs w:val="24"/>
          <w:highlight w:val="none"/>
          <w:lang w:eastAsia="zh-CN"/>
        </w:rPr>
        <w:t>8.评审专家在政府采购活动中应当遵守以下工作纪律：</w:t>
      </w:r>
      <w:bookmarkEnd w:id="175"/>
      <w:bookmarkEnd w:id="176"/>
    </w:p>
    <w:p w14:paraId="22F3E17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8.1应邀按时参加评审和咨询活动。遇特殊情况不能出席或途中遇阻不能按时参加评审或咨询的，应及时告知财政部门或者采购人或者政府采购代理机构，不得私自转托他人。</w:t>
      </w:r>
    </w:p>
    <w:p w14:paraId="0F307DC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8.2不得参加与自己有利害关系的政府采购项目的评审活动。对与自己有利害关系的评审项目，如受到邀请，应主动提出回避。财政部门、采购人或政府采购代理机构也可要求该评审专家回避。</w:t>
      </w:r>
    </w:p>
    <w:p w14:paraId="07DDEA1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有利害关系主要是指三年内曾在参加该采购项目供应商中任职</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包括一般工作</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或担任顾问，配偶或直系亲属在参加该采购项目的供应商中任职或担任顾问，与参加该采购项目供应商发生过法律纠纷，以及其他可能影响公正评审的情况。</w:t>
      </w:r>
    </w:p>
    <w:p w14:paraId="42539C3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8.3评审或咨询过程中关闭通讯设备，不得与外界联系。因发生不可预见情况，确实需要与外界联系的，应当有在场工作人员陪同。</w:t>
      </w:r>
    </w:p>
    <w:p w14:paraId="7D9E0C90">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8.4评审过程中，不得发表影响评审公正的倾向性、歧视性言论；不得征询或者接受采购人的倾向性意见；不得以任何明示或暗示的方式要求参加该采购项目的供应商以澄清、说明或补正为借口，表达与其原响应文件原意不同的新意见；不得以采购文件没有规定的方法和标准作为评审的依据；不得违反规定的评审格式评分和撰写评审意见；不得拒绝对自己的评审意见签字确认。</w:t>
      </w:r>
    </w:p>
    <w:p w14:paraId="3B94022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8.5在咨询工作中，严格执行国家产业政策和产品标准，认真听取咨询方的合理要求，提出科学合理的、无倾向性和歧视性的咨询方案，并对所提出的意见和建议承担个人责任。</w:t>
      </w:r>
    </w:p>
    <w:p w14:paraId="1EF79DB1">
      <w:pPr>
        <w:keepNext w:val="0"/>
        <w:keepLines w:val="0"/>
        <w:pageBreakBefore w:val="0"/>
        <w:widowControl w:val="0"/>
        <w:kinsoku/>
        <w:wordWrap w:val="0"/>
        <w:overflowPunct/>
        <w:topLinePunct/>
        <w:autoSpaceDE/>
        <w:autoSpaceDN/>
        <w:bidi w:val="0"/>
        <w:adjustRightInd w:val="0"/>
        <w:snapToGrid w:val="0"/>
        <w:spacing w:line="360" w:lineRule="auto"/>
        <w:ind w:firstLine="897" w:firstLineChars="374"/>
        <w:jc w:val="center"/>
        <w:textAlignment w:val="auto"/>
        <w:outlineLvl w:val="0"/>
        <w:rPr>
          <w:rFonts w:hint="eastAsia" w:ascii="宋体" w:hAnsi="宋体" w:eastAsia="宋体" w:cs="宋体"/>
          <w:color w:val="auto"/>
          <w:sz w:val="32"/>
          <w:szCs w:val="32"/>
          <w:highlight w:val="none"/>
          <w:lang w:val="en-US" w:eastAsia="zh-CN"/>
        </w:rPr>
      </w:pPr>
      <w:r>
        <w:rPr>
          <w:rFonts w:hint="eastAsia" w:ascii="宋体" w:hAnsi="宋体" w:eastAsia="宋体" w:cs="宋体"/>
          <w:bCs/>
          <w:color w:val="auto"/>
          <w:sz w:val="24"/>
          <w:szCs w:val="24"/>
          <w:highlight w:val="none"/>
        </w:rPr>
        <w:br w:type="page"/>
      </w:r>
      <w:bookmarkStart w:id="177" w:name="_Toc30154"/>
      <w:bookmarkStart w:id="178" w:name="_Toc19239"/>
      <w:bookmarkStart w:id="179" w:name="_Toc20145"/>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eastAsia="zh-CN"/>
        </w:rPr>
        <w:t>五</w:t>
      </w:r>
      <w:r>
        <w:rPr>
          <w:rFonts w:hint="eastAsia" w:ascii="宋体" w:hAnsi="宋体" w:eastAsia="宋体" w:cs="宋体"/>
          <w:color w:val="auto"/>
          <w:sz w:val="32"/>
          <w:szCs w:val="32"/>
          <w:highlight w:val="none"/>
        </w:rPr>
        <w:t>部分 合同</w:t>
      </w:r>
      <w:bookmarkEnd w:id="177"/>
      <w:bookmarkEnd w:id="178"/>
      <w:r>
        <w:rPr>
          <w:rFonts w:hint="eastAsia" w:ascii="宋体" w:hAnsi="宋体" w:eastAsia="宋体" w:cs="宋体"/>
          <w:color w:val="auto"/>
          <w:sz w:val="32"/>
          <w:szCs w:val="32"/>
          <w:highlight w:val="none"/>
          <w:lang w:val="en-US" w:eastAsia="zh-CN"/>
        </w:rPr>
        <w:t>格式</w:t>
      </w:r>
      <w:bookmarkEnd w:id="179"/>
    </w:p>
    <w:bookmarkEnd w:id="63"/>
    <w:bookmarkEnd w:id="64"/>
    <w:bookmarkEnd w:id="65"/>
    <w:bookmarkEnd w:id="66"/>
    <w:p w14:paraId="696908FF">
      <w:pPr>
        <w:pStyle w:val="17"/>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auto"/>
          <w:sz w:val="24"/>
          <w:szCs w:val="24"/>
          <w:highlight w:val="none"/>
        </w:rPr>
      </w:pPr>
      <w:bookmarkStart w:id="180" w:name="_Toc298240429"/>
      <w:bookmarkStart w:id="181" w:name="_Toc349573144"/>
      <w:bookmarkStart w:id="182" w:name="_Toc349637943"/>
    </w:p>
    <w:p w14:paraId="28B7C22E">
      <w:pPr>
        <w:pStyle w:val="39"/>
        <w:jc w:val="center"/>
        <w:rPr>
          <w:rFonts w:hint="eastAsia" w:ascii="宋体" w:hAnsi="宋体" w:eastAsia="宋体" w:cs="宋体"/>
          <w:b/>
          <w:bCs/>
          <w:snapToGrid/>
          <w:color w:val="auto"/>
          <w:kern w:val="2"/>
          <w:sz w:val="24"/>
          <w:szCs w:val="24"/>
          <w:highlight w:val="none"/>
          <w:lang w:val="en-US" w:eastAsia="zh-CN" w:bidi="ar-SA"/>
        </w:rPr>
      </w:pPr>
      <w:r>
        <w:rPr>
          <w:rFonts w:hint="eastAsia" w:ascii="宋体" w:hAnsi="宋体" w:eastAsia="宋体" w:cs="宋体"/>
          <w:b/>
          <w:bCs/>
          <w:snapToGrid/>
          <w:color w:val="auto"/>
          <w:kern w:val="2"/>
          <w:sz w:val="24"/>
          <w:szCs w:val="24"/>
          <w:highlight w:val="none"/>
          <w:lang w:val="en-US" w:eastAsia="zh-CN" w:bidi="ar-SA"/>
        </w:rPr>
        <w:t>（本合同仅供参考，最终以双方签订的合同为准）</w:t>
      </w:r>
    </w:p>
    <w:p w14:paraId="33DA884C">
      <w:pPr>
        <w:rPr>
          <w:color w:val="auto"/>
          <w:highlight w:val="none"/>
        </w:rPr>
      </w:pPr>
      <w:bookmarkStart w:id="183" w:name="_Toc15405"/>
      <w:bookmarkStart w:id="184" w:name="_Toc117"/>
    </w:p>
    <w:p w14:paraId="76443845">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281487F7">
      <w:pPr>
        <w:spacing w:line="480" w:lineRule="auto"/>
        <w:jc w:val="center"/>
        <w:rPr>
          <w:rFonts w:ascii="宋体" w:hAnsi="宋体" w:cs="宋体"/>
          <w:b/>
          <w:color w:val="auto"/>
          <w:sz w:val="28"/>
          <w:szCs w:val="28"/>
          <w:highlight w:val="none"/>
        </w:rPr>
      </w:pPr>
    </w:p>
    <w:p w14:paraId="0E8F3C16">
      <w:pPr>
        <w:spacing w:line="480" w:lineRule="auto"/>
        <w:jc w:val="center"/>
        <w:rPr>
          <w:rFonts w:ascii="宋体" w:hAnsi="宋体" w:cs="宋体"/>
          <w:b/>
          <w:color w:val="auto"/>
          <w:sz w:val="24"/>
          <w:highlight w:val="none"/>
        </w:rPr>
      </w:pPr>
    </w:p>
    <w:p w14:paraId="13FFB5B9">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78705CF5">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34E09CD3">
      <w:pPr>
        <w:spacing w:before="120" w:line="22" w:lineRule="atLeast"/>
        <w:rPr>
          <w:rFonts w:ascii="宋体" w:hAnsi="宋体" w:cs="宋体"/>
          <w:color w:val="auto"/>
          <w:sz w:val="24"/>
          <w:highlight w:val="none"/>
        </w:rPr>
      </w:pPr>
    </w:p>
    <w:p w14:paraId="081ECE85">
      <w:pPr>
        <w:pStyle w:val="178"/>
        <w:spacing w:before="120" w:line="22" w:lineRule="atLeast"/>
        <w:rPr>
          <w:rFonts w:ascii="宋体" w:hAnsi="宋体" w:eastAsia="宋体" w:cs="宋体"/>
          <w:color w:val="auto"/>
          <w:szCs w:val="24"/>
          <w:highlight w:val="none"/>
        </w:rPr>
      </w:pPr>
    </w:p>
    <w:p w14:paraId="1655D53F">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385BC7E5">
      <w:pPr>
        <w:pStyle w:val="178"/>
        <w:spacing w:before="120" w:line="22" w:lineRule="atLeast"/>
        <w:rPr>
          <w:rFonts w:ascii="宋体" w:hAnsi="宋体" w:eastAsia="宋体" w:cs="宋体"/>
          <w:color w:val="auto"/>
          <w:szCs w:val="24"/>
          <w:highlight w:val="none"/>
        </w:rPr>
      </w:pPr>
    </w:p>
    <w:p w14:paraId="22528F55">
      <w:pPr>
        <w:pStyle w:val="178"/>
        <w:spacing w:before="120" w:line="22" w:lineRule="atLeast"/>
        <w:rPr>
          <w:rFonts w:ascii="宋体" w:hAnsi="宋体" w:eastAsia="宋体" w:cs="宋体"/>
          <w:color w:val="auto"/>
          <w:szCs w:val="24"/>
          <w:highlight w:val="none"/>
        </w:rPr>
      </w:pPr>
    </w:p>
    <w:p w14:paraId="0EEECD57">
      <w:pPr>
        <w:rPr>
          <w:rFonts w:ascii="宋体" w:hAnsi="宋体" w:cs="宋体"/>
          <w:color w:val="auto"/>
          <w:sz w:val="24"/>
          <w:highlight w:val="none"/>
        </w:rPr>
      </w:pPr>
    </w:p>
    <w:p w14:paraId="316ACF64">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1DC8B83B">
      <w:pPr>
        <w:spacing w:before="120" w:line="22" w:lineRule="atLeast"/>
        <w:rPr>
          <w:rFonts w:ascii="宋体" w:hAnsi="宋体" w:cs="宋体"/>
          <w:color w:val="auto"/>
          <w:sz w:val="24"/>
          <w:highlight w:val="none"/>
        </w:rPr>
      </w:pPr>
    </w:p>
    <w:p w14:paraId="4B58FFE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610CFCC1">
      <w:pPr>
        <w:spacing w:before="120" w:line="22" w:lineRule="atLeast"/>
        <w:rPr>
          <w:rFonts w:ascii="宋体" w:hAnsi="宋体" w:cs="宋体"/>
          <w:color w:val="auto"/>
          <w:sz w:val="24"/>
          <w:highlight w:val="none"/>
        </w:rPr>
      </w:pPr>
    </w:p>
    <w:p w14:paraId="7D44ACF4">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3041F7DD">
      <w:pPr>
        <w:spacing w:before="120" w:line="22" w:lineRule="atLeast"/>
        <w:rPr>
          <w:rFonts w:ascii="宋体" w:hAnsi="宋体" w:cs="宋体"/>
          <w:color w:val="auto"/>
          <w:sz w:val="24"/>
          <w:highlight w:val="none"/>
        </w:rPr>
      </w:pPr>
    </w:p>
    <w:p w14:paraId="36E74351">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8B31341">
      <w:pPr>
        <w:spacing w:line="560" w:lineRule="exact"/>
        <w:ind w:firstLine="643" w:firstLineChars="200"/>
        <w:outlineLvl w:val="9"/>
        <w:rPr>
          <w:rFonts w:hint="eastAsia" w:ascii="宋体" w:hAnsi="宋体" w:eastAsia="宋体" w:cs="宋体"/>
          <w:b/>
          <w:color w:val="auto"/>
          <w:sz w:val="32"/>
          <w:szCs w:val="32"/>
          <w:highlight w:val="none"/>
          <w:u w:val="single"/>
        </w:rPr>
      </w:pPr>
      <w:r>
        <w:rPr>
          <w:rFonts w:hint="eastAsia" w:ascii="宋体" w:hAnsi="宋体" w:eastAsia="宋体" w:cs="宋体"/>
          <w:b/>
          <w:color w:val="auto"/>
          <w:sz w:val="32"/>
          <w:szCs w:val="32"/>
          <w:highlight w:val="none"/>
          <w:u w:val="single"/>
        </w:rPr>
        <w:br w:type="page"/>
      </w:r>
    </w:p>
    <w:p w14:paraId="48B39196">
      <w:pPr>
        <w:pStyle w:val="137"/>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第一部分 合同书</w:t>
      </w:r>
    </w:p>
    <w:p w14:paraId="637AE8A4">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u w:val="single"/>
          <w:lang w:val="zh-CN"/>
        </w:rPr>
        <w:t xml:space="preserve">      </w:t>
      </w:r>
      <w:r>
        <w:rPr>
          <w:rFonts w:hint="eastAsia" w:ascii="仿宋" w:hAnsi="仿宋" w:cs="仿宋"/>
          <w:color w:val="auto"/>
          <w:sz w:val="24"/>
          <w:highlight w:val="none"/>
          <w:lang w:val="zh-CN"/>
        </w:rPr>
        <w:t>年</w:t>
      </w:r>
      <w:r>
        <w:rPr>
          <w:rFonts w:hint="eastAsia" w:ascii="仿宋" w:hAnsi="仿宋" w:cs="仿宋"/>
          <w:color w:val="auto"/>
          <w:sz w:val="24"/>
          <w:highlight w:val="none"/>
          <w:u w:val="single"/>
          <w:lang w:val="zh-CN"/>
        </w:rPr>
        <w:t xml:space="preserve">    </w:t>
      </w:r>
      <w:r>
        <w:rPr>
          <w:rFonts w:hint="eastAsia" w:ascii="仿宋" w:hAnsi="仿宋" w:cs="仿宋"/>
          <w:color w:val="auto"/>
          <w:sz w:val="24"/>
          <w:highlight w:val="none"/>
          <w:lang w:val="zh-CN"/>
        </w:rPr>
        <w:t>月</w:t>
      </w:r>
      <w:r>
        <w:rPr>
          <w:rFonts w:hint="eastAsia" w:ascii="仿宋" w:hAnsi="仿宋" w:cs="仿宋"/>
          <w:color w:val="auto"/>
          <w:sz w:val="24"/>
          <w:highlight w:val="none"/>
          <w:u w:val="single"/>
          <w:lang w:val="zh-CN"/>
        </w:rPr>
        <w:t xml:space="preserve">    </w:t>
      </w:r>
      <w:r>
        <w:rPr>
          <w:rFonts w:hint="eastAsia" w:ascii="仿宋" w:hAnsi="仿宋" w:cs="仿宋"/>
          <w:color w:val="auto"/>
          <w:sz w:val="24"/>
          <w:highlight w:val="none"/>
          <w:lang w:val="zh-CN"/>
        </w:rPr>
        <w:t>日</w:t>
      </w:r>
      <w:r>
        <w:rPr>
          <w:rFonts w:hint="eastAsia" w:ascii="仿宋" w:hAnsi="仿宋" w:cs="仿宋"/>
          <w:color w:val="auto"/>
          <w:sz w:val="24"/>
          <w:highlight w:val="none"/>
        </w:rPr>
        <w:t>，</w:t>
      </w:r>
      <w:r>
        <w:rPr>
          <w:rFonts w:hint="eastAsia" w:ascii="仿宋" w:hAnsi="仿宋" w:cs="仿宋"/>
          <w:color w:val="auto"/>
          <w:sz w:val="24"/>
          <w:highlight w:val="none"/>
          <w:u w:val="single"/>
        </w:rPr>
        <w:t xml:space="preserve">   （采购人）   </w:t>
      </w:r>
      <w:r>
        <w:rPr>
          <w:rFonts w:hint="eastAsia" w:ascii="仿宋" w:hAnsi="仿宋" w:cs="仿宋"/>
          <w:color w:val="auto"/>
          <w:sz w:val="24"/>
          <w:highlight w:val="none"/>
        </w:rPr>
        <w:t>以</w:t>
      </w:r>
      <w:r>
        <w:rPr>
          <w:rFonts w:hint="eastAsia" w:ascii="仿宋" w:hAnsi="仿宋" w:cs="仿宋"/>
          <w:color w:val="auto"/>
          <w:sz w:val="24"/>
          <w:highlight w:val="none"/>
          <w:u w:val="single"/>
        </w:rPr>
        <w:t xml:space="preserve">   （政府采购方式）  </w:t>
      </w:r>
      <w:r>
        <w:rPr>
          <w:rFonts w:hint="eastAsia" w:ascii="仿宋" w:hAnsi="仿宋" w:cs="仿宋"/>
          <w:color w:val="auto"/>
          <w:sz w:val="24"/>
          <w:highlight w:val="none"/>
        </w:rPr>
        <w:t>对</w:t>
      </w:r>
      <w:r>
        <w:rPr>
          <w:rFonts w:hint="eastAsia" w:ascii="仿宋" w:hAnsi="仿宋" w:cs="仿宋"/>
          <w:color w:val="auto"/>
          <w:sz w:val="24"/>
          <w:highlight w:val="none"/>
          <w:u w:val="single"/>
        </w:rPr>
        <w:t xml:space="preserve">  （项目名称）    </w:t>
      </w:r>
      <w:r>
        <w:rPr>
          <w:rFonts w:hint="eastAsia" w:ascii="仿宋" w:hAnsi="仿宋" w:cs="仿宋"/>
          <w:color w:val="auto"/>
          <w:sz w:val="24"/>
          <w:highlight w:val="none"/>
        </w:rPr>
        <w:t>项目进行了采购。经</w:t>
      </w:r>
      <w:r>
        <w:rPr>
          <w:rFonts w:hint="eastAsia" w:ascii="仿宋" w:hAnsi="仿宋" w:cs="仿宋"/>
          <w:color w:val="auto"/>
          <w:sz w:val="24"/>
          <w:highlight w:val="none"/>
          <w:u w:val="single"/>
        </w:rPr>
        <w:t xml:space="preserve">   （相关评定主体名称）   </w:t>
      </w:r>
      <w:r>
        <w:rPr>
          <w:rFonts w:hint="eastAsia" w:ascii="仿宋" w:hAnsi="仿宋" w:cs="仿宋"/>
          <w:color w:val="auto"/>
          <w:sz w:val="24"/>
          <w:highlight w:val="none"/>
        </w:rPr>
        <w:t>评定，</w:t>
      </w:r>
      <w:r>
        <w:rPr>
          <w:rFonts w:hint="eastAsia" w:ascii="仿宋" w:hAnsi="仿宋" w:cs="仿宋"/>
          <w:color w:val="auto"/>
          <w:sz w:val="24"/>
          <w:highlight w:val="none"/>
          <w:u w:val="single"/>
        </w:rPr>
        <w:t xml:space="preserve">   （中标或者成交供应商名称） </w:t>
      </w:r>
      <w:r>
        <w:rPr>
          <w:rFonts w:hint="eastAsia" w:ascii="仿宋" w:hAnsi="仿宋" w:cs="仿宋"/>
          <w:color w:val="auto"/>
          <w:sz w:val="24"/>
          <w:highlight w:val="none"/>
        </w:rPr>
        <w:t>为该项目中标或者成交供应商。现于中标或者成交通知书发出之日起</w:t>
      </w:r>
      <w:r>
        <w:rPr>
          <w:rFonts w:hint="eastAsia" w:ascii="仿宋" w:hAnsi="仿宋" w:cs="仿宋"/>
          <w:color w:val="auto"/>
          <w:sz w:val="24"/>
          <w:highlight w:val="none"/>
          <w:lang w:val="en-US" w:eastAsia="zh-CN"/>
        </w:rPr>
        <w:t>30</w:t>
      </w:r>
      <w:r>
        <w:rPr>
          <w:rFonts w:hint="eastAsia" w:ascii="仿宋" w:hAnsi="仿宋" w:cs="仿宋"/>
          <w:color w:val="auto"/>
          <w:sz w:val="24"/>
          <w:highlight w:val="none"/>
        </w:rPr>
        <w:t>日内，按照采购文件确定的事项签订本合同。</w:t>
      </w:r>
    </w:p>
    <w:p w14:paraId="212D840C">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lang w:val="zh-CN"/>
        </w:rPr>
        <w:t>根据《中华人民共和国民法典》《中华人民共和国政府采购法》等相关法律法规之规定，按照平等、自愿、公平和诚实信用的原则，经</w:t>
      </w:r>
      <w:r>
        <w:rPr>
          <w:rFonts w:hint="eastAsia" w:ascii="仿宋" w:hAnsi="仿宋" w:cs="仿宋"/>
          <w:color w:val="auto"/>
          <w:sz w:val="24"/>
          <w:highlight w:val="none"/>
          <w:u w:val="single"/>
        </w:rPr>
        <w:t xml:space="preserve">   （采购人）   （</w:t>
      </w:r>
      <w:r>
        <w:rPr>
          <w:rFonts w:hint="eastAsia" w:ascii="仿宋" w:hAnsi="仿宋" w:cs="仿宋"/>
          <w:color w:val="auto"/>
          <w:sz w:val="24"/>
          <w:highlight w:val="none"/>
          <w:lang w:val="zh-CN"/>
        </w:rPr>
        <w:t>以下简称：甲方）和</w:t>
      </w:r>
      <w:r>
        <w:rPr>
          <w:rFonts w:hint="eastAsia" w:ascii="仿宋" w:hAnsi="仿宋" w:cs="仿宋"/>
          <w:color w:val="auto"/>
          <w:sz w:val="24"/>
          <w:highlight w:val="none"/>
          <w:u w:val="single"/>
        </w:rPr>
        <w:t xml:space="preserve">   （中或者成交标供应商名称）   （</w:t>
      </w:r>
      <w:r>
        <w:rPr>
          <w:rFonts w:hint="eastAsia" w:ascii="仿宋" w:hAnsi="仿宋" w:cs="仿宋"/>
          <w:color w:val="auto"/>
          <w:sz w:val="24"/>
          <w:highlight w:val="none"/>
          <w:lang w:val="zh-CN"/>
        </w:rPr>
        <w:t>以下简称：乙方）协商一致，约定以下合同</w:t>
      </w:r>
      <w:r>
        <w:rPr>
          <w:rFonts w:hint="eastAsia" w:ascii="仿宋" w:hAnsi="仿宋" w:cs="仿宋"/>
          <w:color w:val="auto"/>
          <w:sz w:val="24"/>
          <w:highlight w:val="none"/>
        </w:rPr>
        <w:t>条款，以兹共同遵守、全面履行。</w:t>
      </w:r>
    </w:p>
    <w:p w14:paraId="39D7748B">
      <w:pPr>
        <w:spacing w:line="560" w:lineRule="exact"/>
        <w:ind w:firstLine="482" w:firstLineChars="200"/>
        <w:outlineLvl w:val="9"/>
        <w:rPr>
          <w:rFonts w:ascii="仿宋" w:hAnsi="仿宋" w:cs="仿宋"/>
          <w:color w:val="auto"/>
          <w:sz w:val="24"/>
          <w:highlight w:val="none"/>
        </w:rPr>
      </w:pPr>
      <w:bookmarkStart w:id="185" w:name="_Toc20421"/>
      <w:bookmarkStart w:id="186" w:name="_Toc7366"/>
      <w:bookmarkStart w:id="187" w:name="_Toc28855"/>
      <w:bookmarkStart w:id="188" w:name="_Toc19273"/>
      <w:bookmarkStart w:id="189" w:name="_Toc19803"/>
      <w:bookmarkStart w:id="190" w:name="_Toc15367"/>
      <w:bookmarkStart w:id="191" w:name="_Toc22967"/>
      <w:r>
        <w:rPr>
          <w:rFonts w:hint="eastAsia" w:ascii="仿宋" w:hAnsi="仿宋" w:cs="仿宋"/>
          <w:b/>
          <w:color w:val="auto"/>
          <w:sz w:val="24"/>
          <w:highlight w:val="none"/>
        </w:rPr>
        <w:t>1.1合同组成部分</w:t>
      </w:r>
      <w:bookmarkEnd w:id="185"/>
      <w:bookmarkEnd w:id="186"/>
      <w:bookmarkEnd w:id="187"/>
      <w:bookmarkEnd w:id="188"/>
      <w:bookmarkEnd w:id="189"/>
      <w:bookmarkEnd w:id="190"/>
      <w:bookmarkEnd w:id="191"/>
    </w:p>
    <w:p w14:paraId="1506615C">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F866428">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1.1.1本合同及其补充合同、变更协议；</w:t>
      </w:r>
    </w:p>
    <w:p w14:paraId="4BD04FE2">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1.1.2中标或者成交通知书；</w:t>
      </w:r>
    </w:p>
    <w:p w14:paraId="439FFC40">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1.1.3投标或者投标文件（含澄清或者说明文件）；</w:t>
      </w:r>
    </w:p>
    <w:p w14:paraId="77433418">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1.1.4采购文件（含澄清或者修改文件）；</w:t>
      </w:r>
    </w:p>
    <w:p w14:paraId="6391D619">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1.1.5其他相关采购文件。</w:t>
      </w:r>
    </w:p>
    <w:p w14:paraId="541C11B3">
      <w:pPr>
        <w:spacing w:line="560" w:lineRule="exact"/>
        <w:ind w:firstLine="482" w:firstLineChars="200"/>
        <w:outlineLvl w:val="9"/>
        <w:rPr>
          <w:rFonts w:ascii="仿宋" w:hAnsi="仿宋" w:cs="仿宋"/>
          <w:b/>
          <w:color w:val="auto"/>
          <w:sz w:val="24"/>
          <w:highlight w:val="none"/>
        </w:rPr>
      </w:pPr>
      <w:bookmarkStart w:id="192" w:name="_Toc6773"/>
      <w:bookmarkStart w:id="193" w:name="_Toc2918"/>
      <w:bookmarkStart w:id="194" w:name="_Toc22185"/>
      <w:bookmarkStart w:id="195" w:name="_Toc7659"/>
      <w:bookmarkStart w:id="196" w:name="_Toc27828"/>
      <w:bookmarkStart w:id="197" w:name="_Toc18585"/>
      <w:bookmarkStart w:id="198" w:name="_Toc6311"/>
      <w:r>
        <w:rPr>
          <w:rFonts w:hint="eastAsia" w:ascii="仿宋" w:hAnsi="仿宋" w:cs="仿宋"/>
          <w:b/>
          <w:color w:val="auto"/>
          <w:sz w:val="24"/>
          <w:highlight w:val="none"/>
        </w:rPr>
        <w:t>1.2标的</w:t>
      </w:r>
      <w:bookmarkEnd w:id="192"/>
      <w:bookmarkEnd w:id="193"/>
      <w:bookmarkEnd w:id="194"/>
      <w:bookmarkEnd w:id="195"/>
      <w:bookmarkEnd w:id="196"/>
      <w:bookmarkEnd w:id="197"/>
      <w:bookmarkEnd w:id="198"/>
    </w:p>
    <w:p w14:paraId="055C2692">
      <w:pPr>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1.2.1服务内容：</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w:t>
      </w:r>
    </w:p>
    <w:p w14:paraId="0101F4DA">
      <w:pPr>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1.2.2服务标准：</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w:t>
      </w:r>
    </w:p>
    <w:p w14:paraId="52B50FA9">
      <w:pPr>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1.2.3技术保障：</w:t>
      </w:r>
      <w:r>
        <w:rPr>
          <w:rFonts w:hint="eastAsia" w:ascii="仿宋" w:hAnsi="仿宋" w:cs="仿宋"/>
          <w:color w:val="auto"/>
          <w:sz w:val="24"/>
          <w:highlight w:val="none"/>
          <w:u w:val="single"/>
        </w:rPr>
        <w:t>　　　　　　　　　                      　      ；</w:t>
      </w:r>
    </w:p>
    <w:p w14:paraId="43723FB4">
      <w:pPr>
        <w:spacing w:line="560" w:lineRule="exact"/>
        <w:ind w:firstLine="480" w:firstLineChars="200"/>
        <w:jc w:val="left"/>
        <w:outlineLvl w:val="9"/>
        <w:rPr>
          <w:rFonts w:ascii="仿宋" w:hAnsi="仿宋" w:cs="仿宋"/>
          <w:color w:val="auto"/>
          <w:sz w:val="24"/>
          <w:highlight w:val="none"/>
        </w:rPr>
      </w:pPr>
      <w:r>
        <w:rPr>
          <w:rFonts w:hint="eastAsia" w:ascii="仿宋" w:hAnsi="仿宋" w:cs="仿宋"/>
          <w:color w:val="auto"/>
          <w:sz w:val="24"/>
          <w:highlight w:val="none"/>
        </w:rPr>
        <w:t>1.2.4服务人员组成：</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w:t>
      </w:r>
    </w:p>
    <w:p w14:paraId="49BD462F">
      <w:pPr>
        <w:pStyle w:val="179"/>
        <w:spacing w:before="0" w:beforeAutospacing="0" w:after="0" w:afterAutospacing="0" w:line="360" w:lineRule="auto"/>
        <w:ind w:firstLine="480"/>
        <w:outlineLvl w:val="9"/>
        <w:rPr>
          <w:rFonts w:ascii="仿宋" w:hAnsi="仿宋" w:cs="仿宋"/>
          <w:color w:val="auto"/>
          <w:highlight w:val="none"/>
        </w:rPr>
      </w:pPr>
      <w:r>
        <w:rPr>
          <w:rFonts w:hint="eastAsia" w:ascii="仿宋" w:hAnsi="仿宋" w:cs="仿宋"/>
          <w:color w:val="auto"/>
          <w:highlight w:val="none"/>
        </w:rPr>
        <w:t>1.2.5合同</w:t>
      </w:r>
      <w:r>
        <w:rPr>
          <w:rFonts w:hint="eastAsia" w:ascii="仿宋" w:hAnsi="仿宋" w:cs="仿宋"/>
          <w:color w:val="auto"/>
          <w:highlight w:val="none"/>
          <w:u w:val="single"/>
        </w:rPr>
        <w:t xml:space="preserve">     </w:t>
      </w:r>
      <w:r>
        <w:rPr>
          <w:rFonts w:hint="eastAsia" w:ascii="仿宋" w:hAnsi="仿宋" w:cs="仿宋"/>
          <w:color w:val="auto"/>
          <w:highlight w:val="none"/>
        </w:rPr>
        <w:t>（是/否）涉及货物。若涉及货物的的，则：</w:t>
      </w:r>
    </w:p>
    <w:p w14:paraId="570FB2AE">
      <w:pPr>
        <w:spacing w:line="560" w:lineRule="exact"/>
        <w:ind w:firstLine="480" w:firstLineChars="200"/>
        <w:outlineLvl w:val="9"/>
        <w:rPr>
          <w:rFonts w:ascii="仿宋" w:hAnsi="仿宋" w:cs="仿宋"/>
          <w:color w:val="auto"/>
          <w:sz w:val="24"/>
          <w:highlight w:val="none"/>
          <w:u w:val="single"/>
        </w:rPr>
      </w:pPr>
      <w:bookmarkStart w:id="199" w:name="_Toc21124"/>
      <w:bookmarkStart w:id="200" w:name="_Toc1386"/>
      <w:bookmarkStart w:id="201" w:name="_Toc4929"/>
      <w:bookmarkStart w:id="202" w:name="_Toc13918"/>
      <w:bookmarkStart w:id="203" w:name="_Toc5635"/>
      <w:r>
        <w:rPr>
          <w:rFonts w:hint="eastAsia" w:ascii="仿宋" w:hAnsi="仿宋" w:cs="仿宋"/>
          <w:color w:val="auto"/>
          <w:sz w:val="24"/>
          <w:highlight w:val="none"/>
        </w:rPr>
        <w:t>1.2.5.1货物名称、品牌、规格型号、花色：</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w:t>
      </w:r>
    </w:p>
    <w:p w14:paraId="2CB22060">
      <w:pPr>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1.2.5.2货物数量：</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w:t>
      </w:r>
    </w:p>
    <w:p w14:paraId="41BA370C">
      <w:pPr>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1.2.5.3货物质量：</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w:t>
      </w:r>
    </w:p>
    <w:p w14:paraId="449D74DD">
      <w:pPr>
        <w:spacing w:line="560" w:lineRule="exact"/>
        <w:ind w:firstLine="482" w:firstLineChars="200"/>
        <w:outlineLvl w:val="9"/>
        <w:rPr>
          <w:rFonts w:ascii="仿宋" w:hAnsi="仿宋" w:cs="仿宋"/>
          <w:b/>
          <w:color w:val="auto"/>
          <w:sz w:val="24"/>
          <w:highlight w:val="none"/>
        </w:rPr>
      </w:pPr>
      <w:bookmarkStart w:id="204" w:name="_Toc4258"/>
      <w:bookmarkStart w:id="205" w:name="_Toc25508"/>
      <w:r>
        <w:rPr>
          <w:rFonts w:hint="eastAsia" w:ascii="仿宋" w:hAnsi="仿宋" w:cs="仿宋"/>
          <w:b/>
          <w:color w:val="auto"/>
          <w:sz w:val="24"/>
          <w:highlight w:val="none"/>
        </w:rPr>
        <w:t>1.3价款</w:t>
      </w:r>
      <w:bookmarkEnd w:id="199"/>
      <w:bookmarkEnd w:id="200"/>
      <w:bookmarkEnd w:id="201"/>
      <w:bookmarkEnd w:id="202"/>
      <w:bookmarkEnd w:id="203"/>
      <w:bookmarkEnd w:id="204"/>
      <w:bookmarkEnd w:id="205"/>
    </w:p>
    <w:p w14:paraId="4C323D86">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本项目采用以下第</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条款规定的计价方式计价。</w:t>
      </w:r>
    </w:p>
    <w:p w14:paraId="13CE03AA">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1.3.1总价合同，本合同总价（含税）为：￥</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元（大写：</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元人民币）。</w:t>
      </w:r>
    </w:p>
    <w:p w14:paraId="18AFCAA1">
      <w:pPr>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分项价格：</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3FFD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7C5DAFD">
            <w:pPr>
              <w:pStyle w:val="180"/>
              <w:spacing w:line="560" w:lineRule="exact"/>
              <w:jc w:val="center"/>
              <w:outlineLvl w:val="9"/>
              <w:rPr>
                <w:rFonts w:ascii="仿宋" w:hAnsi="仿宋" w:cs="仿宋"/>
                <w:color w:val="auto"/>
                <w:sz w:val="24"/>
                <w:szCs w:val="24"/>
                <w:highlight w:val="none"/>
              </w:rPr>
            </w:pPr>
            <w:r>
              <w:rPr>
                <w:rFonts w:hint="eastAsia" w:ascii="仿宋" w:hAnsi="仿宋" w:cs="仿宋"/>
                <w:color w:val="auto"/>
                <w:sz w:val="24"/>
                <w:szCs w:val="24"/>
                <w:highlight w:val="none"/>
              </w:rPr>
              <w:t>序号</w:t>
            </w:r>
          </w:p>
        </w:tc>
        <w:tc>
          <w:tcPr>
            <w:tcW w:w="3402" w:type="dxa"/>
            <w:vAlign w:val="center"/>
          </w:tcPr>
          <w:p w14:paraId="3B52DCFE">
            <w:pPr>
              <w:pStyle w:val="180"/>
              <w:spacing w:line="560" w:lineRule="exact"/>
              <w:ind w:firstLine="200"/>
              <w:jc w:val="center"/>
              <w:outlineLvl w:val="9"/>
              <w:rPr>
                <w:rFonts w:ascii="仿宋" w:hAnsi="仿宋" w:cs="仿宋"/>
                <w:color w:val="auto"/>
                <w:sz w:val="24"/>
                <w:szCs w:val="24"/>
                <w:highlight w:val="none"/>
              </w:rPr>
            </w:pPr>
            <w:r>
              <w:rPr>
                <w:rFonts w:hint="eastAsia" w:ascii="仿宋" w:hAnsi="仿宋" w:cs="仿宋"/>
                <w:color w:val="auto"/>
                <w:sz w:val="24"/>
                <w:szCs w:val="24"/>
                <w:highlight w:val="none"/>
              </w:rPr>
              <w:t>分项名称</w:t>
            </w:r>
          </w:p>
        </w:tc>
        <w:tc>
          <w:tcPr>
            <w:tcW w:w="2552" w:type="dxa"/>
            <w:vAlign w:val="center"/>
          </w:tcPr>
          <w:p w14:paraId="7AA27FA3">
            <w:pPr>
              <w:pStyle w:val="180"/>
              <w:spacing w:line="560" w:lineRule="exact"/>
              <w:jc w:val="center"/>
              <w:outlineLvl w:val="9"/>
              <w:rPr>
                <w:rFonts w:ascii="仿宋" w:hAnsi="仿宋" w:cs="仿宋"/>
                <w:color w:val="auto"/>
                <w:sz w:val="24"/>
                <w:szCs w:val="24"/>
                <w:highlight w:val="none"/>
              </w:rPr>
            </w:pPr>
            <w:r>
              <w:rPr>
                <w:rFonts w:hint="eastAsia" w:ascii="仿宋" w:hAnsi="仿宋" w:cs="仿宋"/>
                <w:color w:val="auto"/>
                <w:sz w:val="24"/>
                <w:szCs w:val="24"/>
                <w:highlight w:val="none"/>
              </w:rPr>
              <w:t>分项价格</w:t>
            </w:r>
          </w:p>
        </w:tc>
      </w:tr>
      <w:tr w14:paraId="2916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9073BE7">
            <w:pPr>
              <w:pStyle w:val="180"/>
              <w:spacing w:line="560" w:lineRule="exact"/>
              <w:ind w:firstLine="200"/>
              <w:jc w:val="center"/>
              <w:outlineLvl w:val="9"/>
              <w:rPr>
                <w:rFonts w:ascii="仿宋" w:hAnsi="仿宋" w:cs="仿宋"/>
                <w:color w:val="auto"/>
                <w:sz w:val="24"/>
                <w:szCs w:val="24"/>
                <w:highlight w:val="none"/>
              </w:rPr>
            </w:pPr>
          </w:p>
        </w:tc>
        <w:tc>
          <w:tcPr>
            <w:tcW w:w="3402" w:type="dxa"/>
            <w:vAlign w:val="center"/>
          </w:tcPr>
          <w:p w14:paraId="099C04E1">
            <w:pPr>
              <w:pStyle w:val="180"/>
              <w:spacing w:line="560" w:lineRule="exact"/>
              <w:ind w:firstLine="200"/>
              <w:jc w:val="center"/>
              <w:outlineLvl w:val="9"/>
              <w:rPr>
                <w:rFonts w:ascii="仿宋" w:hAnsi="仿宋" w:cs="仿宋"/>
                <w:color w:val="auto"/>
                <w:sz w:val="24"/>
                <w:szCs w:val="24"/>
                <w:highlight w:val="none"/>
              </w:rPr>
            </w:pPr>
          </w:p>
        </w:tc>
        <w:tc>
          <w:tcPr>
            <w:tcW w:w="2552" w:type="dxa"/>
            <w:vAlign w:val="center"/>
          </w:tcPr>
          <w:p w14:paraId="1DE854AB">
            <w:pPr>
              <w:pStyle w:val="180"/>
              <w:spacing w:line="560" w:lineRule="exact"/>
              <w:ind w:firstLine="200"/>
              <w:jc w:val="center"/>
              <w:outlineLvl w:val="9"/>
              <w:rPr>
                <w:rFonts w:ascii="仿宋" w:hAnsi="仿宋" w:cs="仿宋"/>
                <w:color w:val="auto"/>
                <w:sz w:val="24"/>
                <w:szCs w:val="24"/>
                <w:highlight w:val="none"/>
              </w:rPr>
            </w:pPr>
          </w:p>
        </w:tc>
      </w:tr>
      <w:tr w14:paraId="12DA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6D44D2C">
            <w:pPr>
              <w:pStyle w:val="180"/>
              <w:spacing w:line="560" w:lineRule="exact"/>
              <w:ind w:firstLine="200"/>
              <w:jc w:val="center"/>
              <w:outlineLvl w:val="9"/>
              <w:rPr>
                <w:rFonts w:ascii="仿宋" w:hAnsi="仿宋" w:cs="仿宋"/>
                <w:color w:val="auto"/>
                <w:sz w:val="24"/>
                <w:szCs w:val="24"/>
                <w:highlight w:val="none"/>
              </w:rPr>
            </w:pPr>
          </w:p>
        </w:tc>
        <w:tc>
          <w:tcPr>
            <w:tcW w:w="3402" w:type="dxa"/>
            <w:vAlign w:val="center"/>
          </w:tcPr>
          <w:p w14:paraId="068782D8">
            <w:pPr>
              <w:pStyle w:val="180"/>
              <w:spacing w:line="560" w:lineRule="exact"/>
              <w:ind w:firstLine="200"/>
              <w:jc w:val="center"/>
              <w:outlineLvl w:val="9"/>
              <w:rPr>
                <w:rFonts w:ascii="仿宋" w:hAnsi="仿宋" w:cs="仿宋"/>
                <w:color w:val="auto"/>
                <w:sz w:val="24"/>
                <w:szCs w:val="24"/>
                <w:highlight w:val="none"/>
              </w:rPr>
            </w:pPr>
          </w:p>
        </w:tc>
        <w:tc>
          <w:tcPr>
            <w:tcW w:w="2552" w:type="dxa"/>
            <w:vAlign w:val="center"/>
          </w:tcPr>
          <w:p w14:paraId="01090BF3">
            <w:pPr>
              <w:pStyle w:val="180"/>
              <w:spacing w:line="560" w:lineRule="exact"/>
              <w:ind w:firstLine="200"/>
              <w:jc w:val="center"/>
              <w:outlineLvl w:val="9"/>
              <w:rPr>
                <w:rFonts w:ascii="仿宋" w:hAnsi="仿宋" w:cs="仿宋"/>
                <w:color w:val="auto"/>
                <w:sz w:val="24"/>
                <w:szCs w:val="24"/>
                <w:highlight w:val="none"/>
              </w:rPr>
            </w:pPr>
          </w:p>
        </w:tc>
      </w:tr>
      <w:tr w14:paraId="74599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EC30FB1">
            <w:pPr>
              <w:pStyle w:val="180"/>
              <w:spacing w:line="560" w:lineRule="exact"/>
              <w:ind w:firstLine="200"/>
              <w:jc w:val="center"/>
              <w:outlineLvl w:val="9"/>
              <w:rPr>
                <w:rFonts w:ascii="仿宋" w:hAnsi="仿宋" w:cs="仿宋"/>
                <w:color w:val="auto"/>
                <w:sz w:val="24"/>
                <w:szCs w:val="24"/>
                <w:highlight w:val="none"/>
              </w:rPr>
            </w:pPr>
          </w:p>
        </w:tc>
        <w:tc>
          <w:tcPr>
            <w:tcW w:w="3402" w:type="dxa"/>
            <w:vAlign w:val="center"/>
          </w:tcPr>
          <w:p w14:paraId="2B158D4D">
            <w:pPr>
              <w:pStyle w:val="180"/>
              <w:spacing w:line="560" w:lineRule="exact"/>
              <w:ind w:firstLine="200"/>
              <w:jc w:val="center"/>
              <w:outlineLvl w:val="9"/>
              <w:rPr>
                <w:rFonts w:ascii="仿宋" w:hAnsi="仿宋" w:cs="仿宋"/>
                <w:color w:val="auto"/>
                <w:sz w:val="24"/>
                <w:szCs w:val="24"/>
                <w:highlight w:val="none"/>
              </w:rPr>
            </w:pPr>
          </w:p>
        </w:tc>
        <w:tc>
          <w:tcPr>
            <w:tcW w:w="2552" w:type="dxa"/>
            <w:vAlign w:val="center"/>
          </w:tcPr>
          <w:p w14:paraId="1CA73A18">
            <w:pPr>
              <w:pStyle w:val="180"/>
              <w:spacing w:line="560" w:lineRule="exact"/>
              <w:ind w:firstLine="200"/>
              <w:jc w:val="center"/>
              <w:outlineLvl w:val="9"/>
              <w:rPr>
                <w:rFonts w:ascii="仿宋" w:hAnsi="仿宋" w:cs="仿宋"/>
                <w:color w:val="auto"/>
                <w:sz w:val="24"/>
                <w:szCs w:val="24"/>
                <w:highlight w:val="none"/>
              </w:rPr>
            </w:pPr>
          </w:p>
        </w:tc>
      </w:tr>
      <w:tr w14:paraId="731B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0D2555F">
            <w:pPr>
              <w:pStyle w:val="180"/>
              <w:spacing w:line="560" w:lineRule="exact"/>
              <w:ind w:firstLine="200"/>
              <w:jc w:val="center"/>
              <w:outlineLvl w:val="9"/>
              <w:rPr>
                <w:rFonts w:ascii="仿宋" w:hAnsi="仿宋" w:cs="仿宋"/>
                <w:color w:val="auto"/>
                <w:sz w:val="24"/>
                <w:szCs w:val="24"/>
                <w:highlight w:val="none"/>
              </w:rPr>
            </w:pPr>
          </w:p>
        </w:tc>
        <w:tc>
          <w:tcPr>
            <w:tcW w:w="3402" w:type="dxa"/>
            <w:vAlign w:val="center"/>
          </w:tcPr>
          <w:p w14:paraId="00BADE5D">
            <w:pPr>
              <w:pStyle w:val="180"/>
              <w:spacing w:line="560" w:lineRule="exact"/>
              <w:ind w:firstLine="200"/>
              <w:jc w:val="center"/>
              <w:outlineLvl w:val="9"/>
              <w:rPr>
                <w:rFonts w:ascii="仿宋" w:hAnsi="仿宋" w:cs="仿宋"/>
                <w:color w:val="auto"/>
                <w:sz w:val="24"/>
                <w:szCs w:val="24"/>
                <w:highlight w:val="none"/>
              </w:rPr>
            </w:pPr>
          </w:p>
        </w:tc>
        <w:tc>
          <w:tcPr>
            <w:tcW w:w="2552" w:type="dxa"/>
            <w:vAlign w:val="center"/>
          </w:tcPr>
          <w:p w14:paraId="31E09DA3">
            <w:pPr>
              <w:pStyle w:val="180"/>
              <w:spacing w:line="560" w:lineRule="exact"/>
              <w:ind w:firstLine="200"/>
              <w:jc w:val="center"/>
              <w:outlineLvl w:val="9"/>
              <w:rPr>
                <w:rFonts w:ascii="仿宋" w:hAnsi="仿宋" w:cs="仿宋"/>
                <w:color w:val="auto"/>
                <w:sz w:val="24"/>
                <w:szCs w:val="24"/>
                <w:highlight w:val="none"/>
              </w:rPr>
            </w:pPr>
          </w:p>
        </w:tc>
      </w:tr>
      <w:tr w14:paraId="0609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0222CD4E">
            <w:pPr>
              <w:pStyle w:val="180"/>
              <w:spacing w:line="560" w:lineRule="exact"/>
              <w:ind w:firstLine="200"/>
              <w:jc w:val="center"/>
              <w:outlineLvl w:val="9"/>
              <w:rPr>
                <w:rFonts w:ascii="仿宋" w:hAnsi="仿宋" w:cs="仿宋"/>
                <w:color w:val="auto"/>
                <w:sz w:val="24"/>
                <w:szCs w:val="24"/>
                <w:highlight w:val="none"/>
              </w:rPr>
            </w:pPr>
            <w:r>
              <w:rPr>
                <w:rFonts w:hint="eastAsia" w:ascii="仿宋" w:hAnsi="仿宋" w:cs="仿宋"/>
                <w:color w:val="auto"/>
                <w:sz w:val="24"/>
                <w:szCs w:val="24"/>
                <w:highlight w:val="none"/>
              </w:rPr>
              <w:t>总价</w:t>
            </w:r>
          </w:p>
        </w:tc>
        <w:tc>
          <w:tcPr>
            <w:tcW w:w="2552" w:type="dxa"/>
            <w:vAlign w:val="center"/>
          </w:tcPr>
          <w:p w14:paraId="00972AEF">
            <w:pPr>
              <w:pStyle w:val="180"/>
              <w:spacing w:line="560" w:lineRule="exact"/>
              <w:ind w:firstLine="200"/>
              <w:jc w:val="center"/>
              <w:outlineLvl w:val="9"/>
              <w:rPr>
                <w:rFonts w:ascii="仿宋" w:hAnsi="仿宋" w:cs="仿宋"/>
                <w:color w:val="auto"/>
                <w:sz w:val="24"/>
                <w:szCs w:val="24"/>
                <w:highlight w:val="none"/>
              </w:rPr>
            </w:pPr>
          </w:p>
        </w:tc>
      </w:tr>
    </w:tbl>
    <w:p w14:paraId="4B65871B">
      <w:pPr>
        <w:spacing w:line="560" w:lineRule="exact"/>
        <w:ind w:firstLine="480" w:firstLineChars="200"/>
        <w:outlineLvl w:val="9"/>
        <w:rPr>
          <w:rFonts w:hint="eastAsia" w:ascii="仿宋" w:hAnsi="仿宋" w:cs="仿宋"/>
          <w:color w:val="auto"/>
          <w:sz w:val="24"/>
          <w:highlight w:val="none"/>
        </w:rPr>
      </w:pPr>
      <w:bookmarkStart w:id="206" w:name="_Toc30506"/>
      <w:bookmarkStart w:id="207" w:name="_Toc26916"/>
      <w:bookmarkStart w:id="208" w:name="_Toc30158"/>
      <w:bookmarkStart w:id="209" w:name="_Toc14993"/>
      <w:bookmarkStart w:id="210" w:name="_Toc3654"/>
      <w:r>
        <w:rPr>
          <w:rFonts w:hint="eastAsia" w:ascii="仿宋" w:hAnsi="仿宋" w:cs="仿宋"/>
          <w:bCs/>
          <w:color w:val="auto"/>
          <w:sz w:val="24"/>
          <w:highlight w:val="none"/>
        </w:rPr>
        <w:t>1.3.2单价合同，本合同单价（含税）标准为：</w:t>
      </w:r>
      <w:r>
        <w:rPr>
          <w:rFonts w:hint="eastAsia" w:ascii="仿宋" w:hAnsi="仿宋" w:cs="仿宋"/>
          <w:bCs/>
          <w:color w:val="auto"/>
          <w:sz w:val="24"/>
          <w:highlight w:val="none"/>
          <w:u w:val="single"/>
        </w:rPr>
        <w:t xml:space="preserve">                   </w:t>
      </w:r>
      <w:r>
        <w:rPr>
          <w:rFonts w:hint="eastAsia" w:ascii="仿宋" w:hAnsi="仿宋" w:cs="仿宋"/>
          <w:color w:val="auto"/>
          <w:sz w:val="24"/>
          <w:highlight w:val="none"/>
        </w:rPr>
        <w:t>。服务工作量的计量方式为：</w:t>
      </w:r>
      <w:r>
        <w:rPr>
          <w:rFonts w:hint="eastAsia" w:ascii="仿宋" w:hAnsi="仿宋" w:cs="仿宋"/>
          <w:bCs/>
          <w:color w:val="auto"/>
          <w:sz w:val="24"/>
          <w:highlight w:val="none"/>
          <w:u w:val="single"/>
        </w:rPr>
        <w:t xml:space="preserve">       </w:t>
      </w:r>
      <w:r>
        <w:rPr>
          <w:rFonts w:hint="eastAsia" w:ascii="仿宋" w:hAnsi="仿宋" w:cs="仿宋"/>
          <w:b/>
          <w:color w:val="auto"/>
          <w:sz w:val="24"/>
          <w:highlight w:val="none"/>
          <w:u w:val="single"/>
        </w:rPr>
        <w:t>合同专用条款</w:t>
      </w:r>
      <w:r>
        <w:rPr>
          <w:rFonts w:hint="eastAsia" w:ascii="仿宋" w:hAnsi="仿宋" w:cs="仿宋"/>
          <w:bCs/>
          <w:color w:val="auto"/>
          <w:sz w:val="24"/>
          <w:highlight w:val="none"/>
          <w:u w:val="single"/>
        </w:rPr>
        <w:t xml:space="preserve">     </w:t>
      </w:r>
      <w:r>
        <w:rPr>
          <w:rFonts w:hint="eastAsia" w:ascii="仿宋" w:hAnsi="仿宋" w:cs="仿宋"/>
          <w:color w:val="auto"/>
          <w:sz w:val="24"/>
          <w:highlight w:val="none"/>
        </w:rPr>
        <w:t>。单价合同，在合同履行期间内，根据实际完成的工作量据实结算，但结算总价上限不得超过预算金额或者双方确定的金额￥</w:t>
      </w:r>
      <w:r>
        <w:rPr>
          <w:rFonts w:hint="eastAsia" w:ascii="仿宋" w:hAnsi="仿宋" w:cs="仿宋"/>
          <w:color w:val="auto"/>
          <w:sz w:val="24"/>
          <w:highlight w:val="none"/>
          <w:u w:val="single"/>
        </w:rPr>
        <w:t xml:space="preserve"> </w:t>
      </w:r>
      <w:r>
        <w:rPr>
          <w:rFonts w:hint="eastAsia" w:ascii="仿宋" w:hAnsi="仿宋" w:cs="仿宋"/>
          <w:color w:val="auto"/>
          <w:sz w:val="24"/>
          <w:highlight w:val="none"/>
          <w:u w:val="single"/>
          <w:lang w:val="en-US" w:eastAsia="zh-CN"/>
        </w:rPr>
        <w:t xml:space="preserve">             </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元</w:t>
      </w:r>
    </w:p>
    <w:p w14:paraId="09E33151">
      <w:pPr>
        <w:spacing w:line="560" w:lineRule="exact"/>
        <w:outlineLvl w:val="9"/>
        <w:rPr>
          <w:rFonts w:ascii="仿宋" w:hAnsi="仿宋" w:cs="仿宋"/>
          <w:color w:val="auto"/>
          <w:sz w:val="24"/>
          <w:highlight w:val="none"/>
        </w:rPr>
      </w:pPr>
      <w:r>
        <w:rPr>
          <w:rFonts w:hint="eastAsia" w:ascii="仿宋" w:hAnsi="仿宋" w:cs="仿宋"/>
          <w:color w:val="auto"/>
          <w:sz w:val="24"/>
          <w:highlight w:val="none"/>
        </w:rPr>
        <w:t>（大写：</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元人民币）。</w:t>
      </w:r>
    </w:p>
    <w:p w14:paraId="39388745">
      <w:pPr>
        <w:keepNext w:val="0"/>
        <w:keepLines w:val="0"/>
        <w:pageBreakBefore w:val="0"/>
        <w:widowControl w:val="0"/>
        <w:tabs>
          <w:tab w:val="left" w:pos="432"/>
        </w:tabs>
        <w:kinsoku/>
        <w:wordWrap/>
        <w:overflowPunct/>
        <w:topLinePunct w:val="0"/>
        <w:autoSpaceDE/>
        <w:autoSpaceDN/>
        <w:bidi w:val="0"/>
        <w:adjustRightInd/>
        <w:snapToGrid/>
        <w:ind w:firstLine="480" w:firstLineChars="200"/>
        <w:textAlignment w:val="auto"/>
        <w:outlineLvl w:val="9"/>
        <w:rPr>
          <w:rFonts w:ascii="仿宋" w:hAnsi="仿宋" w:cs="仿宋"/>
          <w:color w:val="auto"/>
          <w:highlight w:val="none"/>
        </w:rPr>
      </w:pPr>
      <w:r>
        <w:rPr>
          <w:rFonts w:hint="eastAsia" w:ascii="仿宋" w:hAnsi="仿宋" w:cs="仿宋"/>
          <w:color w:val="auto"/>
          <w:sz w:val="24"/>
          <w:highlight w:val="none"/>
        </w:rPr>
        <w:t>1.3.3其他计价方式：</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w:t>
      </w:r>
    </w:p>
    <w:bookmarkEnd w:id="206"/>
    <w:bookmarkEnd w:id="207"/>
    <w:bookmarkEnd w:id="208"/>
    <w:bookmarkEnd w:id="209"/>
    <w:bookmarkEnd w:id="210"/>
    <w:p w14:paraId="2957FDA7">
      <w:pPr>
        <w:pStyle w:val="179"/>
        <w:spacing w:before="0" w:beforeAutospacing="0" w:after="0" w:afterAutospacing="0" w:line="360" w:lineRule="auto"/>
        <w:ind w:firstLine="480"/>
        <w:outlineLvl w:val="9"/>
        <w:rPr>
          <w:rFonts w:ascii="仿宋" w:hAnsi="仿宋" w:cs="仿宋"/>
          <w:b/>
          <w:color w:val="auto"/>
          <w:highlight w:val="none"/>
        </w:rPr>
      </w:pPr>
      <w:bookmarkStart w:id="211" w:name="_Toc10340"/>
      <w:bookmarkStart w:id="212" w:name="_Toc22618"/>
      <w:bookmarkStart w:id="213" w:name="_Toc1814"/>
      <w:bookmarkStart w:id="214" w:name="_Toc31421"/>
      <w:bookmarkStart w:id="215" w:name="_Toc4760"/>
      <w:bookmarkStart w:id="216" w:name="_Toc8772"/>
      <w:bookmarkStart w:id="217" w:name="_Toc11108"/>
      <w:bookmarkStart w:id="218" w:name="_Toc3625"/>
      <w:r>
        <w:rPr>
          <w:rFonts w:hint="eastAsia" w:ascii="仿宋" w:hAnsi="仿宋" w:cs="仿宋"/>
          <w:b/>
          <w:color w:val="auto"/>
          <w:highlight w:val="none"/>
        </w:rPr>
        <w:t>1.4履约保函</w:t>
      </w:r>
    </w:p>
    <w:p w14:paraId="24785010">
      <w:pPr>
        <w:pStyle w:val="179"/>
        <w:spacing w:before="0" w:beforeAutospacing="0" w:after="0" w:afterAutospacing="0" w:line="360" w:lineRule="auto"/>
        <w:ind w:firstLine="480"/>
        <w:outlineLvl w:val="9"/>
        <w:rPr>
          <w:rFonts w:ascii="仿宋" w:hAnsi="仿宋" w:cs="仿宋"/>
          <w:color w:val="auto"/>
          <w:highlight w:val="none"/>
        </w:rPr>
      </w:pPr>
      <w:r>
        <w:rPr>
          <w:rFonts w:hint="eastAsia" w:ascii="仿宋" w:hAnsi="仿宋" w:cs="仿宋"/>
          <w:color w:val="auto"/>
          <w:highlight w:val="none"/>
        </w:rPr>
        <w:t>乙方</w:t>
      </w:r>
      <w:r>
        <w:rPr>
          <w:rFonts w:hint="eastAsia" w:ascii="仿宋" w:hAnsi="仿宋" w:cs="仿宋"/>
          <w:color w:val="auto"/>
          <w:highlight w:val="none"/>
          <w:u w:val="single"/>
        </w:rPr>
        <w:t xml:space="preserve">     </w:t>
      </w:r>
      <w:r>
        <w:rPr>
          <w:rFonts w:hint="eastAsia" w:ascii="仿宋" w:hAnsi="仿宋" w:cs="仿宋"/>
          <w:color w:val="auto"/>
          <w:highlight w:val="none"/>
        </w:rPr>
        <w:t>（是/否）需要支付履约保函。若需要支付履约保证金的，则：</w:t>
      </w:r>
    </w:p>
    <w:p w14:paraId="62015B97">
      <w:pPr>
        <w:spacing w:line="560" w:lineRule="exact"/>
        <w:ind w:firstLine="480" w:firstLineChars="200"/>
        <w:outlineLvl w:val="9"/>
        <w:rPr>
          <w:rFonts w:ascii="仿宋" w:hAnsi="仿宋" w:cs="仿宋"/>
          <w:color w:val="auto"/>
          <w:kern w:val="0"/>
          <w:sz w:val="24"/>
          <w:highlight w:val="none"/>
        </w:rPr>
      </w:pPr>
      <w:r>
        <w:rPr>
          <w:rFonts w:hint="eastAsia" w:ascii="仿宋" w:hAnsi="仿宋" w:cs="仿宋"/>
          <w:color w:val="auto"/>
          <w:kern w:val="0"/>
          <w:sz w:val="24"/>
          <w:highlight w:val="none"/>
        </w:rPr>
        <w:t>1.4.1履约保证金的比例为合同金额的</w:t>
      </w:r>
      <w:r>
        <w:rPr>
          <w:rFonts w:hint="eastAsia" w:ascii="仿宋" w:hAnsi="仿宋" w:cs="仿宋"/>
          <w:color w:val="auto"/>
          <w:kern w:val="0"/>
          <w:sz w:val="24"/>
          <w:highlight w:val="none"/>
          <w:u w:val="single"/>
        </w:rPr>
        <w:t xml:space="preserve">     </w:t>
      </w:r>
      <w:r>
        <w:rPr>
          <w:rFonts w:hint="eastAsia" w:ascii="仿宋" w:hAnsi="仿宋" w:cs="仿宋"/>
          <w:color w:val="auto"/>
          <w:kern w:val="0"/>
          <w:sz w:val="24"/>
          <w:highlight w:val="none"/>
        </w:rPr>
        <w:t>%；</w:t>
      </w:r>
    </w:p>
    <w:p w14:paraId="5D9802F3">
      <w:pPr>
        <w:adjustRightInd w:val="0"/>
        <w:spacing w:line="560" w:lineRule="exact"/>
        <w:ind w:firstLine="480" w:firstLineChars="200"/>
        <w:outlineLvl w:val="9"/>
        <w:rPr>
          <w:rFonts w:ascii="仿宋" w:hAnsi="仿宋" w:cs="仿宋"/>
          <w:color w:val="auto"/>
          <w:kern w:val="0"/>
          <w:sz w:val="24"/>
          <w:highlight w:val="none"/>
        </w:rPr>
      </w:pPr>
      <w:r>
        <w:rPr>
          <w:rFonts w:hint="eastAsia" w:ascii="仿宋" w:hAnsi="仿宋" w:cs="仿宋"/>
          <w:color w:val="auto"/>
          <w:kern w:val="0"/>
          <w:sz w:val="24"/>
          <w:highlight w:val="none"/>
        </w:rPr>
        <w:t>1.4.2履约保证金支付方式详见</w:t>
      </w:r>
      <w:r>
        <w:rPr>
          <w:rFonts w:hint="eastAsia" w:ascii="仿宋" w:hAnsi="仿宋" w:cs="仿宋"/>
          <w:color w:val="auto"/>
          <w:kern w:val="0"/>
          <w:sz w:val="24"/>
          <w:highlight w:val="none"/>
          <w:u w:val="single"/>
        </w:rPr>
        <w:t xml:space="preserve">    </w:t>
      </w:r>
      <w:r>
        <w:rPr>
          <w:rFonts w:hint="eastAsia" w:ascii="仿宋" w:hAnsi="仿宋" w:cs="仿宋"/>
          <w:b/>
          <w:color w:val="auto"/>
          <w:sz w:val="24"/>
          <w:highlight w:val="none"/>
          <w:u w:val="single"/>
        </w:rPr>
        <w:t>合同专用条款</w:t>
      </w:r>
      <w:r>
        <w:rPr>
          <w:rFonts w:hint="eastAsia" w:ascii="仿宋" w:hAnsi="仿宋" w:cs="仿宋"/>
          <w:color w:val="auto"/>
          <w:kern w:val="0"/>
          <w:sz w:val="24"/>
          <w:highlight w:val="none"/>
          <w:u w:val="single"/>
        </w:rPr>
        <w:t xml:space="preserve">           </w:t>
      </w:r>
      <w:r>
        <w:rPr>
          <w:rFonts w:hint="eastAsia" w:ascii="仿宋" w:hAnsi="仿宋" w:cs="仿宋"/>
          <w:color w:val="auto"/>
          <w:kern w:val="0"/>
          <w:sz w:val="24"/>
          <w:highlight w:val="none"/>
        </w:rPr>
        <w:t>；</w:t>
      </w:r>
    </w:p>
    <w:p w14:paraId="1FFA6D1D">
      <w:pPr>
        <w:tabs>
          <w:tab w:val="left" w:pos="0"/>
          <w:tab w:val="left" w:pos="432"/>
        </w:tabs>
        <w:spacing w:line="560" w:lineRule="exact"/>
        <w:ind w:firstLine="480" w:firstLineChars="200"/>
        <w:outlineLvl w:val="9"/>
        <w:rPr>
          <w:rFonts w:ascii="仿宋" w:hAnsi="仿宋" w:cs="仿宋"/>
          <w:color w:val="auto"/>
          <w:highlight w:val="none"/>
        </w:rPr>
      </w:pPr>
      <w:r>
        <w:rPr>
          <w:rFonts w:hint="eastAsia" w:ascii="仿宋" w:hAnsi="仿宋" w:cs="仿宋"/>
          <w:color w:val="auto"/>
          <w:kern w:val="0"/>
          <w:sz w:val="24"/>
          <w:szCs w:val="24"/>
          <w:highlight w:val="none"/>
        </w:rPr>
        <w:t>1.4.3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07072E8">
      <w:pPr>
        <w:adjustRightInd w:val="0"/>
        <w:spacing w:line="560" w:lineRule="exact"/>
        <w:ind w:firstLine="480" w:firstLineChars="200"/>
        <w:outlineLvl w:val="9"/>
        <w:rPr>
          <w:rFonts w:ascii="仿宋" w:hAnsi="仿宋" w:cs="仿宋"/>
          <w:color w:val="auto"/>
          <w:kern w:val="0"/>
          <w:sz w:val="24"/>
          <w:highlight w:val="none"/>
        </w:rPr>
      </w:pPr>
      <w:r>
        <w:rPr>
          <w:rFonts w:hint="eastAsia" w:ascii="仿宋" w:hAnsi="仿宋" w:cs="仿宋"/>
          <w:color w:val="auto"/>
          <w:kern w:val="0"/>
          <w:sz w:val="24"/>
          <w:highlight w:val="none"/>
        </w:rPr>
        <w:t>1.4.4甲方在项目验收结束后及时退还履约保证金。甲方在项目通过验收之日起</w:t>
      </w:r>
      <w:r>
        <w:rPr>
          <w:rFonts w:hint="eastAsia" w:ascii="仿宋" w:hAnsi="仿宋" w:cs="仿宋"/>
          <w:color w:val="auto"/>
          <w:kern w:val="0"/>
          <w:sz w:val="24"/>
          <w:highlight w:val="none"/>
          <w:u w:val="single"/>
        </w:rPr>
        <w:t xml:space="preserve">      </w:t>
      </w:r>
      <w:r>
        <w:rPr>
          <w:rFonts w:hint="eastAsia" w:ascii="仿宋" w:hAnsi="仿宋" w:cs="仿宋"/>
          <w:color w:val="auto"/>
          <w:kern w:val="0"/>
          <w:sz w:val="24"/>
          <w:highlight w:val="none"/>
        </w:rPr>
        <w:t>每迟延退还一日的应退还而未退还金额的</w:t>
      </w:r>
      <w:r>
        <w:rPr>
          <w:rFonts w:hint="eastAsia" w:ascii="仿宋" w:hAnsi="仿宋" w:cs="仿宋"/>
          <w:color w:val="auto"/>
          <w:kern w:val="0"/>
          <w:sz w:val="24"/>
          <w:highlight w:val="none"/>
          <w:u w:val="single"/>
        </w:rPr>
        <w:t xml:space="preserve">     </w:t>
      </w:r>
      <w:r>
        <w:rPr>
          <w:rFonts w:hint="eastAsia" w:ascii="仿宋" w:hAnsi="仿宋" w:cs="仿宋"/>
          <w:color w:val="auto"/>
          <w:kern w:val="0"/>
          <w:sz w:val="24"/>
          <w:highlight w:val="none"/>
        </w:rPr>
        <w:t>%计算，最高限额为本合同履约保证金的</w:t>
      </w:r>
      <w:r>
        <w:rPr>
          <w:rFonts w:hint="eastAsia" w:ascii="仿宋" w:hAnsi="仿宋" w:cs="仿宋"/>
          <w:color w:val="auto"/>
          <w:kern w:val="0"/>
          <w:sz w:val="24"/>
          <w:highlight w:val="none"/>
          <w:u w:val="single"/>
        </w:rPr>
        <w:t xml:space="preserve">     </w:t>
      </w:r>
      <w:r>
        <w:rPr>
          <w:rFonts w:hint="eastAsia" w:ascii="仿宋" w:hAnsi="仿宋" w:cs="仿宋"/>
          <w:color w:val="auto"/>
          <w:kern w:val="0"/>
          <w:sz w:val="24"/>
          <w:highlight w:val="none"/>
        </w:rPr>
        <w:t xml:space="preserve"> %。</w:t>
      </w:r>
    </w:p>
    <w:p w14:paraId="7C22B02C">
      <w:pPr>
        <w:spacing w:line="560" w:lineRule="exact"/>
        <w:ind w:firstLine="482" w:firstLineChars="200"/>
        <w:outlineLvl w:val="9"/>
        <w:rPr>
          <w:rFonts w:ascii="仿宋" w:hAnsi="仿宋" w:cs="仿宋"/>
          <w:b/>
          <w:color w:val="auto"/>
          <w:sz w:val="24"/>
          <w:highlight w:val="none"/>
        </w:rPr>
      </w:pPr>
      <w:bookmarkStart w:id="219" w:name="_Toc16437"/>
      <w:bookmarkStart w:id="220" w:name="_Toc9623"/>
      <w:r>
        <w:rPr>
          <w:rFonts w:hint="eastAsia" w:ascii="仿宋" w:hAnsi="仿宋" w:cs="仿宋"/>
          <w:b/>
          <w:color w:val="auto"/>
          <w:sz w:val="24"/>
          <w:highlight w:val="none"/>
        </w:rPr>
        <w:t>1.5</w:t>
      </w:r>
      <w:bookmarkEnd w:id="211"/>
      <w:bookmarkEnd w:id="212"/>
      <w:bookmarkEnd w:id="213"/>
      <w:r>
        <w:rPr>
          <w:rFonts w:hint="eastAsia" w:ascii="仿宋" w:hAnsi="仿宋" w:cs="仿宋"/>
          <w:b/>
          <w:color w:val="auto"/>
          <w:sz w:val="24"/>
          <w:highlight w:val="none"/>
        </w:rPr>
        <w:t>预付款</w:t>
      </w:r>
      <w:bookmarkEnd w:id="219"/>
      <w:bookmarkEnd w:id="220"/>
    </w:p>
    <w:p w14:paraId="69CC0558">
      <w:pPr>
        <w:pStyle w:val="179"/>
        <w:spacing w:before="0" w:beforeAutospacing="0" w:after="0" w:afterAutospacing="0" w:line="360" w:lineRule="auto"/>
        <w:ind w:firstLine="480"/>
        <w:outlineLvl w:val="9"/>
        <w:rPr>
          <w:rFonts w:ascii="仿宋" w:hAnsi="仿宋" w:cs="仿宋"/>
          <w:color w:val="auto"/>
          <w:highlight w:val="none"/>
        </w:rPr>
      </w:pPr>
      <w:r>
        <w:rPr>
          <w:rFonts w:hint="eastAsia" w:ascii="仿宋" w:hAnsi="仿宋" w:cs="仿宋"/>
          <w:color w:val="auto"/>
          <w:highlight w:val="none"/>
        </w:rPr>
        <w:t>甲方</w:t>
      </w:r>
      <w:r>
        <w:rPr>
          <w:rFonts w:hint="eastAsia" w:ascii="仿宋" w:hAnsi="仿宋" w:cs="仿宋"/>
          <w:color w:val="auto"/>
          <w:highlight w:val="none"/>
          <w:u w:val="single"/>
        </w:rPr>
        <w:t xml:space="preserve">     </w:t>
      </w:r>
      <w:r>
        <w:rPr>
          <w:rFonts w:hint="eastAsia" w:ascii="仿宋" w:hAnsi="仿宋" w:cs="仿宋"/>
          <w:color w:val="auto"/>
          <w:highlight w:val="none"/>
        </w:rPr>
        <w:t>（是/否）需要支付预付款。若需要支付预付款的，则：</w:t>
      </w:r>
    </w:p>
    <w:p w14:paraId="556B0E4C">
      <w:pPr>
        <w:spacing w:line="560" w:lineRule="exact"/>
        <w:ind w:firstLine="480" w:firstLineChars="200"/>
        <w:outlineLvl w:val="9"/>
        <w:rPr>
          <w:rFonts w:ascii="仿宋" w:hAnsi="仿宋" w:cs="仿宋"/>
          <w:color w:val="auto"/>
          <w:kern w:val="0"/>
          <w:sz w:val="24"/>
          <w:highlight w:val="none"/>
        </w:rPr>
      </w:pPr>
      <w:r>
        <w:rPr>
          <w:rFonts w:hint="eastAsia" w:ascii="仿宋" w:hAnsi="仿宋" w:cs="仿宋"/>
          <w:color w:val="auto"/>
          <w:kern w:val="0"/>
          <w:sz w:val="24"/>
          <w:highlight w:val="none"/>
        </w:rPr>
        <w:t>1.5.1预付款比例、支付方式、时间详见</w:t>
      </w:r>
      <w:r>
        <w:rPr>
          <w:rFonts w:hint="eastAsia" w:ascii="仿宋" w:hAnsi="仿宋" w:cs="仿宋"/>
          <w:color w:val="auto"/>
          <w:kern w:val="0"/>
          <w:sz w:val="24"/>
          <w:highlight w:val="none"/>
          <w:u w:val="single"/>
        </w:rPr>
        <w:t xml:space="preserve">    </w:t>
      </w:r>
      <w:r>
        <w:rPr>
          <w:rFonts w:hint="eastAsia" w:ascii="仿宋" w:hAnsi="仿宋" w:cs="仿宋"/>
          <w:b/>
          <w:color w:val="auto"/>
          <w:sz w:val="24"/>
          <w:highlight w:val="none"/>
          <w:u w:val="single"/>
        </w:rPr>
        <w:t>合同专用条款</w:t>
      </w:r>
      <w:r>
        <w:rPr>
          <w:rFonts w:hint="eastAsia" w:ascii="仿宋" w:hAnsi="仿宋" w:cs="仿宋"/>
          <w:color w:val="auto"/>
          <w:kern w:val="0"/>
          <w:sz w:val="24"/>
          <w:highlight w:val="none"/>
          <w:u w:val="single"/>
        </w:rPr>
        <w:t xml:space="preserve">           </w:t>
      </w:r>
      <w:r>
        <w:rPr>
          <w:rFonts w:hint="eastAsia" w:ascii="仿宋" w:hAnsi="仿宋" w:cs="仿宋"/>
          <w:color w:val="auto"/>
          <w:kern w:val="0"/>
          <w:sz w:val="24"/>
          <w:highlight w:val="none"/>
        </w:rPr>
        <w:t>；</w:t>
      </w:r>
    </w:p>
    <w:p w14:paraId="25B185CA">
      <w:pPr>
        <w:pStyle w:val="179"/>
        <w:spacing w:before="0" w:beforeAutospacing="0" w:after="0" w:afterAutospacing="0" w:line="360" w:lineRule="auto"/>
        <w:ind w:firstLine="480"/>
        <w:outlineLvl w:val="9"/>
        <w:rPr>
          <w:rFonts w:ascii="仿宋" w:hAnsi="仿宋" w:cs="仿宋"/>
          <w:color w:val="auto"/>
          <w:highlight w:val="none"/>
        </w:rPr>
      </w:pPr>
      <w:r>
        <w:rPr>
          <w:rFonts w:hint="eastAsia" w:ascii="仿宋" w:hAnsi="仿宋" w:cs="仿宋"/>
          <w:color w:val="auto"/>
          <w:highlight w:val="none"/>
        </w:rPr>
        <w:t>1.5.2预付款的扣回方式详见</w:t>
      </w:r>
      <w:r>
        <w:rPr>
          <w:rFonts w:hint="eastAsia" w:ascii="仿宋" w:hAnsi="仿宋" w:cs="仿宋"/>
          <w:color w:val="auto"/>
          <w:highlight w:val="none"/>
          <w:u w:val="single"/>
        </w:rPr>
        <w:t xml:space="preserve">    </w:t>
      </w:r>
      <w:r>
        <w:rPr>
          <w:rFonts w:hint="eastAsia" w:ascii="仿宋" w:hAnsi="仿宋" w:cs="仿宋"/>
          <w:b/>
          <w:color w:val="auto"/>
          <w:highlight w:val="none"/>
          <w:u w:val="single"/>
        </w:rPr>
        <w:t>合同专用条款</w:t>
      </w:r>
      <w:r>
        <w:rPr>
          <w:rFonts w:hint="eastAsia" w:ascii="仿宋" w:hAnsi="仿宋" w:cs="仿宋"/>
          <w:color w:val="auto"/>
          <w:highlight w:val="none"/>
          <w:u w:val="single"/>
        </w:rPr>
        <w:t xml:space="preserve">           </w:t>
      </w:r>
      <w:r>
        <w:rPr>
          <w:rFonts w:hint="eastAsia" w:ascii="仿宋" w:hAnsi="仿宋" w:cs="仿宋"/>
          <w:color w:val="auto"/>
          <w:highlight w:val="none"/>
        </w:rPr>
        <w:t>；</w:t>
      </w:r>
    </w:p>
    <w:p w14:paraId="3F6B8D81">
      <w:pPr>
        <w:pStyle w:val="179"/>
        <w:spacing w:before="0" w:beforeAutospacing="0" w:after="0" w:afterAutospacing="0" w:line="360" w:lineRule="auto"/>
        <w:ind w:firstLine="480"/>
        <w:outlineLvl w:val="9"/>
        <w:rPr>
          <w:rFonts w:ascii="仿宋" w:hAnsi="仿宋" w:cs="仿宋"/>
          <w:color w:val="auto"/>
          <w:highlight w:val="none"/>
          <w:u w:val="single"/>
        </w:rPr>
      </w:pPr>
      <w:r>
        <w:rPr>
          <w:rFonts w:hint="eastAsia" w:ascii="仿宋" w:hAnsi="仿宋" w:cs="仿宋"/>
          <w:color w:val="auto"/>
          <w:highlight w:val="none"/>
        </w:rPr>
        <w:t>1.5.3预付款的担保措施详见</w:t>
      </w:r>
      <w:r>
        <w:rPr>
          <w:rFonts w:hint="eastAsia" w:ascii="仿宋" w:hAnsi="仿宋" w:cs="仿宋"/>
          <w:color w:val="auto"/>
          <w:highlight w:val="none"/>
          <w:u w:val="single"/>
        </w:rPr>
        <w:t xml:space="preserve">    </w:t>
      </w:r>
      <w:r>
        <w:rPr>
          <w:rFonts w:hint="eastAsia" w:ascii="仿宋" w:hAnsi="仿宋" w:cs="仿宋"/>
          <w:b/>
          <w:color w:val="auto"/>
          <w:highlight w:val="none"/>
          <w:u w:val="single"/>
        </w:rPr>
        <w:t>合同专用条款</w:t>
      </w:r>
      <w:r>
        <w:rPr>
          <w:rFonts w:hint="eastAsia" w:ascii="仿宋" w:hAnsi="仿宋" w:cs="仿宋"/>
          <w:color w:val="auto"/>
          <w:highlight w:val="none"/>
          <w:u w:val="single"/>
        </w:rPr>
        <w:t xml:space="preserve">          </w:t>
      </w:r>
      <w:r>
        <w:rPr>
          <w:rFonts w:hint="eastAsia" w:ascii="仿宋" w:hAnsi="仿宋" w:cs="仿宋"/>
          <w:color w:val="auto"/>
          <w:highlight w:val="none"/>
        </w:rPr>
        <w:t>。</w:t>
      </w:r>
    </w:p>
    <w:p w14:paraId="3A7C1E8D">
      <w:pPr>
        <w:pStyle w:val="179"/>
        <w:spacing w:before="0" w:beforeAutospacing="0" w:after="0" w:afterAutospacing="0" w:line="360" w:lineRule="auto"/>
        <w:ind w:firstLine="480"/>
        <w:outlineLvl w:val="9"/>
        <w:rPr>
          <w:rFonts w:ascii="仿宋" w:hAnsi="仿宋" w:cs="仿宋"/>
          <w:b/>
          <w:bCs/>
          <w:color w:val="auto"/>
          <w:highlight w:val="none"/>
        </w:rPr>
      </w:pPr>
      <w:r>
        <w:rPr>
          <w:rFonts w:hint="eastAsia" w:ascii="仿宋" w:hAnsi="仿宋" w:cs="仿宋"/>
          <w:b/>
          <w:bCs/>
          <w:color w:val="auto"/>
          <w:highlight w:val="none"/>
        </w:rPr>
        <w:t>1.6资金支付</w:t>
      </w:r>
    </w:p>
    <w:p w14:paraId="4778642A">
      <w:pPr>
        <w:pStyle w:val="179"/>
        <w:spacing w:before="0" w:beforeAutospacing="0" w:after="0" w:afterAutospacing="0" w:line="360" w:lineRule="auto"/>
        <w:ind w:firstLine="480"/>
        <w:outlineLvl w:val="9"/>
        <w:rPr>
          <w:rFonts w:ascii="仿宋" w:hAnsi="仿宋" w:cs="仿宋"/>
          <w:color w:val="auto"/>
          <w:highlight w:val="none"/>
        </w:rPr>
      </w:pPr>
      <w:r>
        <w:rPr>
          <w:rFonts w:hint="eastAsia" w:ascii="仿宋" w:hAnsi="仿宋" w:cs="仿宋"/>
          <w:color w:val="auto"/>
          <w:highlight w:val="none"/>
        </w:rPr>
        <w:t>1.6.1甲方应严格履行合同，及时组织验收，验收合格后及时将合同款支付完毕。对于满足合同约定支付条件的，甲方自收到发票后</w:t>
      </w:r>
      <w:r>
        <w:rPr>
          <w:rFonts w:hint="eastAsia" w:ascii="仿宋" w:hAnsi="仿宋" w:cs="仿宋"/>
          <w:color w:val="auto"/>
          <w:highlight w:val="none"/>
          <w:u w:val="single"/>
        </w:rPr>
        <w:t xml:space="preserve">    </w:t>
      </w:r>
      <w:r>
        <w:rPr>
          <w:rFonts w:hint="eastAsia" w:ascii="仿宋" w:hAnsi="仿宋" w:cs="仿宋"/>
          <w:color w:val="auto"/>
          <w:highlight w:val="none"/>
          <w:u w:val="single"/>
          <w:lang w:val="en-US" w:eastAsia="zh-CN"/>
        </w:rPr>
        <w:t xml:space="preserve"> </w:t>
      </w:r>
      <w:r>
        <w:rPr>
          <w:rFonts w:hint="eastAsia" w:ascii="仿宋" w:hAnsi="仿宋" w:cs="仿宋"/>
          <w:color w:val="auto"/>
          <w:highlight w:val="none"/>
        </w:rPr>
        <w:t>个工作日内将资金支付到合同约定的乙方账户，有条件的甲方可以即时支付。甲方不得以机构变动、人员更替、政策调整、单位放假等为由延迟付款。</w:t>
      </w:r>
    </w:p>
    <w:p w14:paraId="020A1E94">
      <w:pPr>
        <w:adjustRightInd w:val="0"/>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1.6.2资金支付的方式、时间和条件详见</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6B970B85">
      <w:pPr>
        <w:spacing w:line="560" w:lineRule="exact"/>
        <w:ind w:firstLine="482" w:firstLineChars="200"/>
        <w:outlineLvl w:val="9"/>
        <w:rPr>
          <w:rFonts w:ascii="仿宋" w:hAnsi="仿宋" w:cs="仿宋"/>
          <w:b/>
          <w:color w:val="auto"/>
          <w:sz w:val="24"/>
          <w:highlight w:val="none"/>
        </w:rPr>
      </w:pPr>
      <w:bookmarkStart w:id="221" w:name="_Toc15240"/>
      <w:bookmarkStart w:id="222" w:name="_Toc6825"/>
      <w:r>
        <w:rPr>
          <w:rFonts w:hint="eastAsia" w:ascii="仿宋" w:hAnsi="仿宋" w:cs="仿宋"/>
          <w:b/>
          <w:color w:val="auto"/>
          <w:sz w:val="24"/>
          <w:highlight w:val="none"/>
        </w:rPr>
        <w:t>1.7履行期限、地点和方式</w:t>
      </w:r>
      <w:bookmarkEnd w:id="214"/>
      <w:bookmarkEnd w:id="215"/>
      <w:bookmarkEnd w:id="216"/>
      <w:bookmarkEnd w:id="217"/>
      <w:bookmarkEnd w:id="218"/>
      <w:bookmarkEnd w:id="221"/>
      <w:bookmarkEnd w:id="222"/>
    </w:p>
    <w:p w14:paraId="477D99E7">
      <w:pPr>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1.7.1服务交付（实施）的时间（期限）：</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76A6527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1.7.2服务交付（实施）的地点（地域范围）：</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5B492632">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1.7.3服务交付（实施）的方式：</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5602BDF0">
      <w:pPr>
        <w:adjustRightInd w:val="0"/>
        <w:spacing w:line="560" w:lineRule="exact"/>
        <w:ind w:firstLine="480" w:firstLineChars="200"/>
        <w:outlineLvl w:val="9"/>
        <w:rPr>
          <w:rFonts w:ascii="仿宋" w:hAnsi="仿宋" w:cs="仿宋"/>
          <w:bCs/>
          <w:color w:val="auto"/>
          <w:sz w:val="24"/>
          <w:highlight w:val="none"/>
        </w:rPr>
      </w:pPr>
      <w:bookmarkStart w:id="223" w:name="_Toc3079"/>
      <w:bookmarkStart w:id="224" w:name="_Toc5698"/>
      <w:bookmarkStart w:id="225" w:name="_Toc8586"/>
      <w:bookmarkStart w:id="226" w:name="_Toc24662"/>
      <w:bookmarkStart w:id="227" w:name="_Toc2375"/>
      <w:r>
        <w:rPr>
          <w:rFonts w:hint="eastAsia" w:ascii="仿宋" w:hAnsi="仿宋" w:cs="仿宋"/>
          <w:bCs/>
          <w:color w:val="auto"/>
          <w:sz w:val="24"/>
          <w:highlight w:val="none"/>
        </w:rPr>
        <w:t>1.7.4若服务涉及货物的，则货物的：</w:t>
      </w:r>
    </w:p>
    <w:p w14:paraId="7419BBEE">
      <w:pPr>
        <w:adjustRightInd w:val="0"/>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1.7.4.1交付期限：详见</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3D25444D">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1.7.4.2交付地点：</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698AA745">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1.7.4.3交付方式：</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41CC6B41">
      <w:pPr>
        <w:spacing w:line="560" w:lineRule="exact"/>
        <w:ind w:firstLine="482" w:firstLineChars="200"/>
        <w:outlineLvl w:val="9"/>
        <w:rPr>
          <w:rFonts w:ascii="仿宋" w:hAnsi="仿宋" w:cs="仿宋"/>
          <w:color w:val="auto"/>
          <w:sz w:val="24"/>
          <w:highlight w:val="none"/>
          <w:u w:val="single"/>
        </w:rPr>
      </w:pPr>
      <w:bookmarkStart w:id="228" w:name="_Toc15653"/>
      <w:bookmarkStart w:id="229" w:name="_Toc2009"/>
      <w:r>
        <w:rPr>
          <w:rFonts w:hint="eastAsia" w:ascii="仿宋" w:hAnsi="仿宋" w:cs="仿宋"/>
          <w:b/>
          <w:color w:val="auto"/>
          <w:sz w:val="24"/>
          <w:highlight w:val="none"/>
        </w:rPr>
        <w:t>1.8违约责任</w:t>
      </w:r>
      <w:bookmarkEnd w:id="223"/>
      <w:bookmarkEnd w:id="224"/>
      <w:bookmarkEnd w:id="225"/>
      <w:bookmarkEnd w:id="226"/>
      <w:bookmarkEnd w:id="227"/>
      <w:bookmarkEnd w:id="228"/>
      <w:bookmarkEnd w:id="229"/>
    </w:p>
    <w:p w14:paraId="1AE53FF7">
      <w:pPr>
        <w:spacing w:line="560" w:lineRule="exact"/>
        <w:ind w:firstLine="480" w:firstLineChars="200"/>
        <w:outlineLvl w:val="9"/>
        <w:rPr>
          <w:rFonts w:hint="eastAsia" w:ascii="仿宋" w:hAnsi="仿宋" w:cs="仿宋"/>
          <w:color w:val="auto"/>
          <w:sz w:val="24"/>
          <w:highlight w:val="none"/>
        </w:rPr>
      </w:pPr>
      <w:r>
        <w:rPr>
          <w:rFonts w:hint="eastAsia" w:ascii="仿宋" w:hAnsi="仿宋" w:cs="仿宋"/>
          <w:color w:val="auto"/>
          <w:sz w:val="24"/>
          <w:highlight w:val="none"/>
        </w:rPr>
        <w:t>1.8.1除不可抗力外，如果乙方没有按照本合同约定的期限、地点和方式交付服务成果或者实施服务，那么甲方可要求乙方支付违约金，迟延履行违约金按每迟延履行一日的应提供而未提供服务价格的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%计算，最高限额为本合同总价的</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%；迟延履行的违约金计算数额达到前述最高限额之日起，甲方有权在要求乙方支付违约金的同时，书面通知乙方解除本合同；</w:t>
      </w:r>
    </w:p>
    <w:p w14:paraId="31614BAD">
      <w:pPr>
        <w:spacing w:line="560" w:lineRule="exact"/>
        <w:ind w:firstLine="480" w:firstLineChars="200"/>
        <w:outlineLvl w:val="9"/>
        <w:rPr>
          <w:rFonts w:ascii="仿宋" w:hAnsi="仿宋" w:cs="仿宋"/>
          <w:color w:val="auto"/>
          <w:sz w:val="24"/>
          <w:szCs w:val="24"/>
          <w:highlight w:val="none"/>
        </w:rPr>
      </w:pPr>
      <w:r>
        <w:rPr>
          <w:rFonts w:hint="eastAsia" w:ascii="仿宋" w:hAnsi="仿宋" w:cs="仿宋"/>
          <w:color w:val="auto"/>
          <w:sz w:val="24"/>
          <w:highlight w:val="none"/>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仿宋" w:hAnsi="仿宋" w:cs="仿宋"/>
          <w:color w:val="auto"/>
          <w:sz w:val="24"/>
          <w:highlight w:val="none"/>
          <w:u w:val="single"/>
        </w:rPr>
        <w:t xml:space="preserve">    （可根据情况修改）   %</w:t>
      </w:r>
      <w:r>
        <w:rPr>
          <w:rFonts w:hint="eastAsia" w:ascii="仿宋" w:hAnsi="仿宋" w:cs="仿宋"/>
          <w:color w:val="auto"/>
          <w:sz w:val="24"/>
          <w:highlight w:val="none"/>
        </w:rPr>
        <w:t>计算，最高限额为本合同总价的</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%；迟延交付货物的违约金计算数额达到前述最高限额之日起，甲方有权在要求乙方支付违约金的同时，</w:t>
      </w:r>
      <w:r>
        <w:rPr>
          <w:rFonts w:hint="eastAsia" w:ascii="仿宋" w:hAnsi="仿宋" w:cs="仿宋"/>
          <w:color w:val="auto"/>
          <w:sz w:val="24"/>
          <w:szCs w:val="24"/>
          <w:highlight w:val="none"/>
        </w:rPr>
        <w:t>书面通知乙方解除本合同；</w:t>
      </w:r>
    </w:p>
    <w:p w14:paraId="7E750CB0">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1.8.3除不可抗力外，如果甲方没有按照本合同约定的付款方式付款，那么乙方可要求甲方支付违约金，违约金按每迟延付款一日的应付而未付款的</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%计算，最高限额为本合同总价的</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%；迟延付款的违约金计算数额达到前述最高限额之日起，乙方有权在要求甲方支付违约金的同时，书面通知甲方解除本合同；</w:t>
      </w:r>
    </w:p>
    <w:p w14:paraId="6133C8B5">
      <w:pPr>
        <w:spacing w:line="560" w:lineRule="exact"/>
        <w:ind w:firstLine="480" w:firstLineChars="200"/>
        <w:outlineLvl w:val="9"/>
        <w:rPr>
          <w:rFonts w:ascii="仿宋" w:hAnsi="仿宋" w:cs="仿宋"/>
          <w:color w:val="auto"/>
          <w:sz w:val="24"/>
          <w:highlight w:val="none"/>
        </w:rPr>
      </w:pPr>
      <w:bookmarkStart w:id="230" w:name="_Toc32454"/>
      <w:bookmarkStart w:id="231" w:name="_Toc26807"/>
      <w:bookmarkStart w:id="232" w:name="_Toc9497"/>
      <w:bookmarkStart w:id="233" w:name="_Toc30329"/>
      <w:bookmarkStart w:id="234" w:name="_Toc18683"/>
      <w:r>
        <w:rPr>
          <w:rFonts w:hint="eastAsia" w:ascii="仿宋" w:hAnsi="仿宋" w:cs="仿宋"/>
          <w:color w:val="auto"/>
          <w:sz w:val="24"/>
          <w:highlight w:val="none"/>
        </w:rPr>
        <w:t>1.8.4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CE43834">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1.8.5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64697B7">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54B0F6AF">
      <w:pPr>
        <w:spacing w:line="560" w:lineRule="exact"/>
        <w:ind w:right="-420" w:rightChars="-200" w:firstLine="480" w:firstLineChars="200"/>
        <w:outlineLvl w:val="9"/>
        <w:rPr>
          <w:rFonts w:ascii="仿宋" w:hAnsi="仿宋" w:cs="仿宋"/>
          <w:color w:val="auto"/>
          <w:highlight w:val="none"/>
        </w:rPr>
      </w:pPr>
      <w:r>
        <w:rPr>
          <w:rFonts w:hint="eastAsia" w:ascii="仿宋" w:hAnsi="仿宋" w:cs="仿宋"/>
          <w:color w:val="auto"/>
          <w:sz w:val="24"/>
          <w:highlight w:val="none"/>
        </w:rPr>
        <w:t>1.8.7违约责任</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另有约定的，从其约定。</w:t>
      </w:r>
    </w:p>
    <w:bookmarkEnd w:id="230"/>
    <w:bookmarkEnd w:id="231"/>
    <w:bookmarkEnd w:id="232"/>
    <w:bookmarkEnd w:id="233"/>
    <w:bookmarkEnd w:id="234"/>
    <w:p w14:paraId="7D23FCA3">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ascii="仿宋" w:hAnsi="仿宋" w:cs="仿宋"/>
          <w:b/>
          <w:color w:val="auto"/>
          <w:sz w:val="24"/>
          <w:highlight w:val="none"/>
        </w:rPr>
      </w:pPr>
      <w:bookmarkStart w:id="235" w:name="_Toc28375"/>
      <w:bookmarkStart w:id="236" w:name="_Toc4790"/>
      <w:bookmarkStart w:id="237" w:name="_Toc31049"/>
      <w:bookmarkStart w:id="238" w:name="_Toc16021"/>
      <w:bookmarkStart w:id="239" w:name="_Toc15583"/>
      <w:r>
        <w:rPr>
          <w:rFonts w:hint="eastAsia" w:ascii="仿宋" w:hAnsi="仿宋" w:cs="仿宋"/>
          <w:b/>
          <w:color w:val="auto"/>
          <w:sz w:val="24"/>
          <w:highlight w:val="none"/>
        </w:rPr>
        <w:t>1.9合同争议的解决</w:t>
      </w:r>
      <w:bookmarkEnd w:id="235"/>
      <w:bookmarkEnd w:id="236"/>
      <w:bookmarkEnd w:id="237"/>
      <w:bookmarkEnd w:id="238"/>
      <w:bookmarkEnd w:id="239"/>
    </w:p>
    <w:p w14:paraId="6C451A06">
      <w:pPr>
        <w:keepNext w:val="0"/>
        <w:keepLines w:val="0"/>
        <w:pageBreakBefore w:val="0"/>
        <w:widowControl w:val="0"/>
        <w:kinsoku/>
        <w:wordWrap/>
        <w:overflowPunct/>
        <w:topLinePunct w:val="0"/>
        <w:autoSpaceDE/>
        <w:autoSpaceDN/>
        <w:bidi w:val="0"/>
        <w:adjustRightInd/>
        <w:snapToGrid/>
        <w:spacing w:line="560" w:lineRule="exact"/>
        <w:ind w:right="-420" w:rightChars="-200" w:firstLine="480" w:firstLineChars="200"/>
        <w:textAlignment w:val="auto"/>
        <w:outlineLvl w:val="9"/>
        <w:rPr>
          <w:rFonts w:ascii="仿宋" w:hAnsi="仿宋" w:cs="仿宋"/>
          <w:color w:val="auto"/>
          <w:sz w:val="24"/>
          <w:highlight w:val="none"/>
        </w:rPr>
      </w:pPr>
      <w:r>
        <w:rPr>
          <w:rFonts w:hint="eastAsia" w:ascii="仿宋" w:hAnsi="仿宋" w:cs="仿宋"/>
          <w:color w:val="auto"/>
          <w:sz w:val="24"/>
          <w:highlight w:val="none"/>
        </w:rPr>
        <w:t>本合同履行过程中发生的任何争议，双方当事人均可通过和解或者调解解决；不愿和解、调解或者和解、调解不成的，可以选择以下第</w:t>
      </w:r>
      <w:r>
        <w:rPr>
          <w:rFonts w:hint="eastAsia" w:ascii="仿宋" w:hAnsi="仿宋" w:cs="仿宋"/>
          <w:b/>
          <w:color w:val="auto"/>
          <w:sz w:val="24"/>
          <w:highlight w:val="none"/>
          <w:u w:val="single"/>
        </w:rPr>
        <w:t xml:space="preserve">      </w:t>
      </w:r>
      <w:r>
        <w:rPr>
          <w:rFonts w:hint="eastAsia" w:ascii="仿宋" w:hAnsi="仿宋" w:cs="仿宋"/>
          <w:color w:val="auto"/>
          <w:sz w:val="24"/>
          <w:highlight w:val="none"/>
        </w:rPr>
        <w:t>条款规定的方式解决：</w:t>
      </w:r>
    </w:p>
    <w:p w14:paraId="09BFCD66">
      <w:pPr>
        <w:keepNext w:val="0"/>
        <w:keepLines w:val="0"/>
        <w:pageBreakBefore w:val="0"/>
        <w:widowControl w:val="0"/>
        <w:kinsoku/>
        <w:wordWrap/>
        <w:overflowPunct/>
        <w:topLinePunct w:val="0"/>
        <w:autoSpaceDE/>
        <w:autoSpaceDN/>
        <w:bidi w:val="0"/>
        <w:adjustRightInd/>
        <w:snapToGrid/>
        <w:spacing w:line="560" w:lineRule="exact"/>
        <w:ind w:right="-420" w:rightChars="-200" w:firstLine="480" w:firstLineChars="200"/>
        <w:textAlignment w:val="auto"/>
        <w:outlineLvl w:val="9"/>
        <w:rPr>
          <w:rFonts w:ascii="仿宋" w:hAnsi="仿宋" w:cs="仿宋"/>
          <w:color w:val="auto"/>
          <w:sz w:val="24"/>
          <w:highlight w:val="none"/>
        </w:rPr>
      </w:pPr>
      <w:r>
        <w:rPr>
          <w:rFonts w:hint="eastAsia" w:ascii="仿宋" w:hAnsi="仿宋" w:cs="仿宋"/>
          <w:color w:val="auto"/>
          <w:sz w:val="24"/>
          <w:highlight w:val="none"/>
        </w:rPr>
        <w:t>1.9.1将争议提交</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仲裁委员会依申请仲裁时其现行有效的仲裁规则裁决；</w:t>
      </w:r>
    </w:p>
    <w:p w14:paraId="41256222">
      <w:pPr>
        <w:keepNext w:val="0"/>
        <w:keepLines w:val="0"/>
        <w:pageBreakBefore w:val="0"/>
        <w:widowControl w:val="0"/>
        <w:kinsoku/>
        <w:wordWrap/>
        <w:overflowPunct/>
        <w:topLinePunct w:val="0"/>
        <w:autoSpaceDE/>
        <w:autoSpaceDN/>
        <w:bidi w:val="0"/>
        <w:adjustRightInd/>
        <w:snapToGrid/>
        <w:spacing w:line="560" w:lineRule="exact"/>
        <w:ind w:right="-420" w:rightChars="-200" w:firstLine="480" w:firstLineChars="200"/>
        <w:textAlignment w:val="auto"/>
        <w:outlineLvl w:val="9"/>
        <w:rPr>
          <w:rFonts w:ascii="仿宋" w:hAnsi="仿宋" w:cs="仿宋"/>
          <w:color w:val="auto"/>
          <w:sz w:val="24"/>
          <w:highlight w:val="none"/>
        </w:rPr>
      </w:pPr>
      <w:r>
        <w:rPr>
          <w:rFonts w:hint="eastAsia" w:ascii="仿宋" w:hAnsi="仿宋" w:cs="仿宋"/>
          <w:color w:val="auto"/>
          <w:sz w:val="24"/>
          <w:highlight w:val="none"/>
        </w:rPr>
        <w:t>1.9.2向</w:t>
      </w:r>
      <w:r>
        <w:rPr>
          <w:rFonts w:hint="eastAsia" w:ascii="仿宋" w:hAnsi="仿宋" w:cs="仿宋"/>
          <w:b/>
          <w:color w:val="auto"/>
          <w:sz w:val="24"/>
          <w:highlight w:val="none"/>
          <w:u w:val="single"/>
        </w:rPr>
        <w:t>项目所在地</w:t>
      </w:r>
      <w:r>
        <w:rPr>
          <w:rFonts w:hint="eastAsia" w:ascii="仿宋" w:hAnsi="仿宋" w:cs="仿宋"/>
          <w:color w:val="auto"/>
          <w:sz w:val="24"/>
          <w:highlight w:val="none"/>
        </w:rPr>
        <w:t>人民法院起诉。</w:t>
      </w:r>
    </w:p>
    <w:p w14:paraId="6675F260">
      <w:pPr>
        <w:spacing w:line="560" w:lineRule="exact"/>
        <w:ind w:firstLine="482" w:firstLineChars="200"/>
        <w:outlineLvl w:val="9"/>
        <w:rPr>
          <w:rFonts w:ascii="仿宋" w:hAnsi="仿宋" w:cs="仿宋"/>
          <w:b/>
          <w:color w:val="auto"/>
          <w:sz w:val="24"/>
          <w:highlight w:val="none"/>
        </w:rPr>
      </w:pPr>
      <w:bookmarkStart w:id="240" w:name="_Toc15322"/>
      <w:bookmarkStart w:id="241" w:name="_Toc7245"/>
      <w:bookmarkStart w:id="242" w:name="_Toc25250"/>
      <w:bookmarkStart w:id="243" w:name="_Toc8195"/>
      <w:bookmarkStart w:id="244" w:name="_Toc11173"/>
      <w:r>
        <w:rPr>
          <w:rFonts w:hint="eastAsia" w:ascii="仿宋" w:hAnsi="仿宋" w:cs="仿宋"/>
          <w:b/>
          <w:color w:val="auto"/>
          <w:sz w:val="24"/>
          <w:highlight w:val="none"/>
        </w:rPr>
        <w:t>2.0合同生效</w:t>
      </w:r>
      <w:bookmarkEnd w:id="240"/>
      <w:bookmarkEnd w:id="241"/>
      <w:bookmarkEnd w:id="242"/>
      <w:bookmarkEnd w:id="243"/>
      <w:bookmarkEnd w:id="244"/>
    </w:p>
    <w:p w14:paraId="17B8B1DD">
      <w:pPr>
        <w:spacing w:line="560" w:lineRule="exact"/>
        <w:ind w:firstLine="480" w:firstLineChars="200"/>
        <w:outlineLvl w:val="9"/>
        <w:rPr>
          <w:rFonts w:hint="eastAsia" w:ascii="仿宋" w:hAnsi="仿宋" w:cs="仿宋"/>
          <w:color w:val="auto"/>
          <w:sz w:val="24"/>
          <w:highlight w:val="none"/>
        </w:rPr>
      </w:pPr>
      <w:r>
        <w:rPr>
          <w:rFonts w:hint="eastAsia" w:ascii="仿宋" w:hAnsi="仿宋" w:cs="仿宋"/>
          <w:color w:val="auto"/>
          <w:sz w:val="24"/>
          <w:highlight w:val="none"/>
        </w:rPr>
        <w:t>本合同自双方当事人盖章签字时生效。</w:t>
      </w:r>
    </w:p>
    <w:p w14:paraId="11B37130">
      <w:pPr>
        <w:spacing w:line="560" w:lineRule="exact"/>
        <w:ind w:firstLine="480" w:firstLineChars="200"/>
        <w:outlineLvl w:val="9"/>
        <w:rPr>
          <w:rFonts w:hint="eastAsia" w:ascii="仿宋" w:hAnsi="仿宋" w:cs="仿宋"/>
          <w:color w:val="auto"/>
          <w:sz w:val="24"/>
          <w:highlight w:val="none"/>
        </w:rPr>
      </w:pPr>
    </w:p>
    <w:p w14:paraId="4A730199">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b/>
          <w:color w:val="auto"/>
          <w:sz w:val="24"/>
          <w:highlight w:val="none"/>
          <w:lang w:val="zh-CN"/>
        </w:rPr>
        <w:t>甲方</w:t>
      </w:r>
      <w:r>
        <w:rPr>
          <w:rFonts w:hint="eastAsia" w:ascii="仿宋" w:hAnsi="仿宋" w:cs="仿宋"/>
          <w:color w:val="auto"/>
          <w:sz w:val="24"/>
          <w:highlight w:val="none"/>
          <w:lang w:val="zh-CN"/>
        </w:rPr>
        <w:t xml:space="preserve">：                             </w:t>
      </w:r>
      <w:r>
        <w:rPr>
          <w:rFonts w:hint="eastAsia" w:ascii="仿宋" w:hAnsi="仿宋" w:cs="仿宋"/>
          <w:b/>
          <w:color w:val="auto"/>
          <w:sz w:val="24"/>
          <w:highlight w:val="none"/>
          <w:lang w:val="zh-CN"/>
        </w:rPr>
        <w:t xml:space="preserve">      乙方</w:t>
      </w:r>
      <w:r>
        <w:rPr>
          <w:rFonts w:hint="eastAsia" w:ascii="仿宋" w:hAnsi="仿宋" w:cs="仿宋"/>
          <w:color w:val="auto"/>
          <w:sz w:val="24"/>
          <w:highlight w:val="none"/>
          <w:lang w:val="zh-CN"/>
        </w:rPr>
        <w:t>：</w:t>
      </w:r>
    </w:p>
    <w:p w14:paraId="0840A042">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统一社会信用代码：                        统一社会信用代码或身份证号码：</w:t>
      </w:r>
    </w:p>
    <w:p w14:paraId="5FB1D792">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住所：                                   住所：</w:t>
      </w:r>
    </w:p>
    <w:p w14:paraId="2AABF9C7">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法定代表人或                             法定代表人或</w:t>
      </w:r>
    </w:p>
    <w:p w14:paraId="23473BAD">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 xml:space="preserve">授权代表（签字）：                       授权代表（签字）： </w:t>
      </w:r>
    </w:p>
    <w:p w14:paraId="2666E21A">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联系人：                                 联系人：</w:t>
      </w:r>
    </w:p>
    <w:p w14:paraId="0B7F10FA">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约定送达地址：                           约定送达地址：</w:t>
      </w:r>
    </w:p>
    <w:p w14:paraId="46A755BD">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邮政编码：                               邮政编码：</w:t>
      </w:r>
    </w:p>
    <w:p w14:paraId="113250C7">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 xml:space="preserve">电话：                                    电话： </w:t>
      </w:r>
    </w:p>
    <w:p w14:paraId="237280AE">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传真：                                    传真：</w:t>
      </w:r>
    </w:p>
    <w:p w14:paraId="72A61CEB">
      <w:pPr>
        <w:autoSpaceDE w:val="0"/>
        <w:autoSpaceDN w:val="0"/>
        <w:spacing w:line="520" w:lineRule="exact"/>
        <w:outlineLvl w:val="9"/>
        <w:rPr>
          <w:rFonts w:ascii="仿宋" w:hAnsi="仿宋" w:cs="仿宋"/>
          <w:color w:val="auto"/>
          <w:sz w:val="24"/>
          <w:highlight w:val="none"/>
        </w:rPr>
      </w:pPr>
      <w:r>
        <w:rPr>
          <w:rFonts w:hint="eastAsia" w:ascii="仿宋" w:hAnsi="仿宋" w:cs="仿宋"/>
          <w:color w:val="auto"/>
          <w:sz w:val="24"/>
          <w:highlight w:val="none"/>
          <w:lang w:val="zh-CN"/>
        </w:rPr>
        <w:t>电子邮箱：                               电子邮箱：</w:t>
      </w:r>
    </w:p>
    <w:p w14:paraId="698A661F">
      <w:pPr>
        <w:autoSpaceDE w:val="0"/>
        <w:autoSpaceDN w:val="0"/>
        <w:spacing w:line="520" w:lineRule="exact"/>
        <w:outlineLvl w:val="9"/>
        <w:rPr>
          <w:rFonts w:ascii="仿宋" w:hAnsi="仿宋" w:cs="仿宋"/>
          <w:color w:val="auto"/>
          <w:sz w:val="24"/>
          <w:highlight w:val="none"/>
        </w:rPr>
      </w:pPr>
      <w:r>
        <w:rPr>
          <w:rFonts w:hint="eastAsia" w:ascii="仿宋" w:hAnsi="仿宋" w:cs="仿宋"/>
          <w:color w:val="auto"/>
          <w:sz w:val="24"/>
          <w:highlight w:val="none"/>
        </w:rPr>
        <w:t xml:space="preserve">开户银行：                               开户银行： </w:t>
      </w:r>
    </w:p>
    <w:p w14:paraId="71094E3A">
      <w:pPr>
        <w:autoSpaceDE w:val="0"/>
        <w:autoSpaceDN w:val="0"/>
        <w:spacing w:line="520" w:lineRule="exact"/>
        <w:outlineLvl w:val="9"/>
        <w:rPr>
          <w:rFonts w:ascii="仿宋" w:hAnsi="仿宋" w:cs="仿宋"/>
          <w:color w:val="auto"/>
          <w:sz w:val="24"/>
          <w:highlight w:val="none"/>
        </w:rPr>
      </w:pPr>
      <w:r>
        <w:rPr>
          <w:rFonts w:hint="eastAsia" w:ascii="仿宋" w:hAnsi="仿宋" w:cs="仿宋"/>
          <w:color w:val="auto"/>
          <w:sz w:val="24"/>
          <w:highlight w:val="none"/>
        </w:rPr>
        <w:t xml:space="preserve">开户名称：                               开户名称： </w:t>
      </w:r>
    </w:p>
    <w:p w14:paraId="5B0C8A77">
      <w:pPr>
        <w:autoSpaceDE w:val="0"/>
        <w:autoSpaceDN w:val="0"/>
        <w:spacing w:line="520" w:lineRule="exact"/>
        <w:outlineLvl w:val="9"/>
        <w:rPr>
          <w:rFonts w:ascii="仿宋" w:hAnsi="仿宋" w:cs="仿宋"/>
          <w:color w:val="auto"/>
          <w:sz w:val="24"/>
          <w:highlight w:val="none"/>
        </w:rPr>
      </w:pPr>
      <w:r>
        <w:rPr>
          <w:rFonts w:hint="eastAsia" w:ascii="仿宋" w:hAnsi="仿宋" w:cs="仿宋"/>
          <w:color w:val="auto"/>
          <w:sz w:val="24"/>
          <w:highlight w:val="none"/>
        </w:rPr>
        <w:t>开户账号：</w:t>
      </w:r>
      <w:r>
        <w:rPr>
          <w:rFonts w:hint="eastAsia" w:ascii="仿宋" w:hAnsi="仿宋" w:cs="仿宋"/>
          <w:color w:val="auto"/>
          <w:sz w:val="24"/>
          <w:highlight w:val="none"/>
          <w:lang w:val="zh-CN"/>
        </w:rPr>
        <w:t xml:space="preserve">                               </w:t>
      </w:r>
      <w:r>
        <w:rPr>
          <w:rFonts w:hint="eastAsia" w:ascii="仿宋" w:hAnsi="仿宋" w:cs="仿宋"/>
          <w:color w:val="auto"/>
          <w:sz w:val="24"/>
          <w:highlight w:val="none"/>
        </w:rPr>
        <w:t>开户账号：</w:t>
      </w:r>
    </w:p>
    <w:p w14:paraId="41463E45">
      <w:pPr>
        <w:widowControl/>
        <w:jc w:val="left"/>
        <w:outlineLvl w:val="9"/>
        <w:rPr>
          <w:rFonts w:ascii="仿宋" w:hAnsi="仿宋" w:cs="仿宋"/>
          <w:b/>
          <w:color w:val="auto"/>
          <w:sz w:val="24"/>
          <w:highlight w:val="none"/>
        </w:rPr>
      </w:pPr>
      <w:r>
        <w:rPr>
          <w:rFonts w:hint="eastAsia" w:ascii="仿宋" w:hAnsi="仿宋" w:cs="仿宋"/>
          <w:b/>
          <w:color w:val="auto"/>
          <w:highlight w:val="none"/>
        </w:rPr>
        <w:br w:type="page"/>
      </w:r>
    </w:p>
    <w:p w14:paraId="1F471D68">
      <w:pPr>
        <w:pStyle w:val="137"/>
        <w:spacing w:line="560" w:lineRule="exact"/>
        <w:ind w:firstLine="482"/>
        <w:jc w:val="center"/>
        <w:outlineLvl w:val="9"/>
        <w:rPr>
          <w:rFonts w:ascii="仿宋" w:hAnsi="仿宋" w:cs="仿宋"/>
          <w:b/>
          <w:color w:val="auto"/>
          <w:szCs w:val="24"/>
          <w:highlight w:val="none"/>
        </w:rPr>
      </w:pPr>
      <w:r>
        <w:rPr>
          <w:rFonts w:hint="eastAsia" w:ascii="仿宋" w:hAnsi="仿宋" w:cs="仿宋"/>
          <w:b/>
          <w:color w:val="auto"/>
          <w:szCs w:val="24"/>
          <w:highlight w:val="none"/>
        </w:rPr>
        <w:t>第二部分 合同一般条款</w:t>
      </w:r>
    </w:p>
    <w:p w14:paraId="681E9C0F">
      <w:pPr>
        <w:spacing w:line="560" w:lineRule="exact"/>
        <w:ind w:firstLine="482" w:firstLineChars="200"/>
        <w:outlineLvl w:val="9"/>
        <w:rPr>
          <w:rFonts w:ascii="仿宋" w:hAnsi="仿宋" w:cs="仿宋"/>
          <w:b/>
          <w:color w:val="auto"/>
          <w:sz w:val="24"/>
          <w:highlight w:val="none"/>
        </w:rPr>
      </w:pPr>
      <w:bookmarkStart w:id="245" w:name="_Toc31297"/>
      <w:bookmarkStart w:id="246" w:name="_Toc14021"/>
      <w:bookmarkStart w:id="247" w:name="_Toc25079"/>
      <w:bookmarkStart w:id="248" w:name="_Toc2197"/>
      <w:bookmarkStart w:id="249" w:name="_Toc19680"/>
      <w:bookmarkStart w:id="250" w:name="_Toc8583"/>
      <w:bookmarkStart w:id="251" w:name="_Toc5228"/>
      <w:r>
        <w:rPr>
          <w:rFonts w:hint="eastAsia" w:ascii="仿宋" w:hAnsi="仿宋" w:cs="仿宋"/>
          <w:b/>
          <w:color w:val="auto"/>
          <w:sz w:val="24"/>
          <w:highlight w:val="none"/>
        </w:rPr>
        <w:t>2.1定义</w:t>
      </w:r>
      <w:bookmarkEnd w:id="245"/>
      <w:bookmarkEnd w:id="246"/>
      <w:bookmarkEnd w:id="247"/>
      <w:bookmarkEnd w:id="248"/>
      <w:bookmarkEnd w:id="249"/>
      <w:bookmarkEnd w:id="250"/>
      <w:bookmarkEnd w:id="251"/>
    </w:p>
    <w:p w14:paraId="6F541EB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本合同中的下列词语应按以下内容进行解释：</w:t>
      </w:r>
    </w:p>
    <w:p w14:paraId="6789FC6E">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2.1.1“合同”系指采购人和中标或成交供应商签订的载明双方当事人所达成的协议，并包括所有的附件、附录和构成合同的其他文件。</w:t>
      </w:r>
    </w:p>
    <w:p w14:paraId="57F8948B">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2.1.2“合同价”系指根据合同约定，中标或成交供应商在完全履行合同义务后，采购人应支付给中标或成交供应商的价格。</w:t>
      </w:r>
    </w:p>
    <w:p w14:paraId="6ED66E69">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2.1.3“服务”系指中标或成交供应商根据合同约定应向采购人履行的除货物和工程以外的其他政府采购对象，包括采购人自身需要的服务和向社会公众提供的公共服务。</w:t>
      </w:r>
    </w:p>
    <w:p w14:paraId="6ECB9DB6">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2.1.4“甲方”系指与中标或成交供应商签署合同的采购人；采购人委托采购代理机构代表其与乙方签订合同的，采购人的授权委托书作为合同附件。</w:t>
      </w:r>
    </w:p>
    <w:p w14:paraId="65CF6DDF">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2.1.5“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2E76A832">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2.1.6“现场”系指合同约定提供服务的地点。</w:t>
      </w:r>
    </w:p>
    <w:p w14:paraId="2F764777">
      <w:pPr>
        <w:spacing w:line="560" w:lineRule="exact"/>
        <w:ind w:firstLine="482" w:firstLineChars="200"/>
        <w:outlineLvl w:val="9"/>
        <w:rPr>
          <w:rFonts w:ascii="仿宋" w:hAnsi="仿宋" w:cs="仿宋"/>
          <w:b/>
          <w:color w:val="auto"/>
          <w:sz w:val="24"/>
          <w:highlight w:val="none"/>
        </w:rPr>
      </w:pPr>
      <w:bookmarkStart w:id="252" w:name="_Toc6220"/>
      <w:bookmarkStart w:id="253" w:name="_Toc16752"/>
      <w:bookmarkStart w:id="254" w:name="_Toc23289"/>
      <w:bookmarkStart w:id="255" w:name="_Toc19539"/>
      <w:bookmarkStart w:id="256" w:name="_Toc11795"/>
      <w:bookmarkStart w:id="257" w:name="_Toc31402"/>
      <w:bookmarkStart w:id="258" w:name="_Toc3769"/>
      <w:r>
        <w:rPr>
          <w:rFonts w:hint="eastAsia" w:ascii="仿宋" w:hAnsi="仿宋" w:cs="仿宋"/>
          <w:b/>
          <w:color w:val="auto"/>
          <w:sz w:val="24"/>
          <w:highlight w:val="none"/>
        </w:rPr>
        <w:t>2.2技术规范</w:t>
      </w:r>
      <w:bookmarkEnd w:id="252"/>
      <w:bookmarkEnd w:id="253"/>
      <w:bookmarkEnd w:id="254"/>
      <w:bookmarkEnd w:id="255"/>
      <w:bookmarkEnd w:id="256"/>
      <w:bookmarkEnd w:id="257"/>
      <w:bookmarkEnd w:id="258"/>
    </w:p>
    <w:p w14:paraId="56902C43">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8BA3A0E">
      <w:pPr>
        <w:spacing w:line="560" w:lineRule="exact"/>
        <w:ind w:firstLine="482" w:firstLineChars="200"/>
        <w:outlineLvl w:val="9"/>
        <w:rPr>
          <w:rFonts w:ascii="仿宋" w:hAnsi="仿宋" w:cs="仿宋"/>
          <w:b/>
          <w:color w:val="auto"/>
          <w:sz w:val="24"/>
          <w:highlight w:val="none"/>
        </w:rPr>
      </w:pPr>
      <w:bookmarkStart w:id="259" w:name="_Toc12412"/>
      <w:bookmarkStart w:id="260" w:name="_Toc32684"/>
      <w:bookmarkStart w:id="261" w:name="_Toc9161"/>
      <w:bookmarkStart w:id="262" w:name="_Toc13673"/>
      <w:bookmarkStart w:id="263" w:name="_Toc6990"/>
      <w:bookmarkStart w:id="264" w:name="_Toc4133"/>
      <w:bookmarkStart w:id="265" w:name="_Toc27945"/>
      <w:r>
        <w:rPr>
          <w:rFonts w:hint="eastAsia" w:ascii="仿宋" w:hAnsi="仿宋" w:cs="仿宋"/>
          <w:b/>
          <w:color w:val="auto"/>
          <w:sz w:val="24"/>
          <w:highlight w:val="none"/>
        </w:rPr>
        <w:t>2.3知识产权</w:t>
      </w:r>
      <w:bookmarkEnd w:id="259"/>
      <w:bookmarkEnd w:id="260"/>
      <w:bookmarkEnd w:id="261"/>
      <w:bookmarkEnd w:id="262"/>
      <w:bookmarkEnd w:id="263"/>
      <w:bookmarkEnd w:id="264"/>
      <w:bookmarkEnd w:id="265"/>
    </w:p>
    <w:p w14:paraId="1D858445">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6E133380">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2.3.2合同涉及技术成果的归属和收益的分成办法的，详见</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38700302">
      <w:pPr>
        <w:spacing w:line="560" w:lineRule="exact"/>
        <w:ind w:firstLine="482" w:firstLineChars="200"/>
        <w:outlineLvl w:val="9"/>
        <w:rPr>
          <w:rFonts w:ascii="仿宋" w:hAnsi="仿宋" w:cs="仿宋"/>
          <w:b/>
          <w:color w:val="auto"/>
          <w:sz w:val="24"/>
          <w:highlight w:val="none"/>
        </w:rPr>
      </w:pPr>
      <w:r>
        <w:rPr>
          <w:rFonts w:hint="eastAsia" w:ascii="仿宋" w:hAnsi="仿宋" w:cs="仿宋"/>
          <w:b/>
          <w:color w:val="auto"/>
          <w:sz w:val="24"/>
          <w:highlight w:val="none"/>
        </w:rPr>
        <w:t>2.4履约检查和问题反馈</w:t>
      </w:r>
    </w:p>
    <w:p w14:paraId="39D78F2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5C732D4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2.4.2合同履行期间，甲方有权将履行过程中出现的问题反馈给乙方，双方当事人应以书面形式约定需要完善和改进的内容。</w:t>
      </w:r>
    </w:p>
    <w:p w14:paraId="03097F35">
      <w:pPr>
        <w:spacing w:line="560" w:lineRule="exact"/>
        <w:ind w:firstLine="482" w:firstLineChars="200"/>
        <w:outlineLvl w:val="9"/>
        <w:rPr>
          <w:rFonts w:ascii="仿宋" w:hAnsi="仿宋" w:cs="仿宋"/>
          <w:b/>
          <w:color w:val="auto"/>
          <w:sz w:val="24"/>
          <w:highlight w:val="none"/>
        </w:rPr>
      </w:pPr>
      <w:bookmarkStart w:id="266" w:name="_Toc32670"/>
      <w:bookmarkStart w:id="267" w:name="_Toc15447"/>
      <w:bookmarkStart w:id="268" w:name="_Toc5954"/>
      <w:bookmarkStart w:id="269" w:name="_Toc26006"/>
      <w:bookmarkStart w:id="270" w:name="_Toc26555"/>
      <w:bookmarkStart w:id="271" w:name="_Toc22011"/>
      <w:bookmarkStart w:id="272" w:name="_Toc31233"/>
      <w:r>
        <w:rPr>
          <w:rFonts w:hint="eastAsia" w:ascii="仿宋" w:hAnsi="仿宋" w:cs="仿宋"/>
          <w:b/>
          <w:color w:val="auto"/>
          <w:sz w:val="24"/>
          <w:highlight w:val="none"/>
        </w:rPr>
        <w:t>2.5结算方式和付款条件</w:t>
      </w:r>
      <w:bookmarkEnd w:id="266"/>
      <w:bookmarkEnd w:id="267"/>
      <w:bookmarkEnd w:id="268"/>
      <w:bookmarkEnd w:id="269"/>
      <w:bookmarkEnd w:id="270"/>
      <w:bookmarkEnd w:id="271"/>
      <w:bookmarkEnd w:id="272"/>
    </w:p>
    <w:p w14:paraId="4E17C9FD">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详见</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63CCA7A1">
      <w:pPr>
        <w:spacing w:line="560" w:lineRule="exact"/>
        <w:ind w:firstLine="482" w:firstLineChars="200"/>
        <w:outlineLvl w:val="9"/>
        <w:rPr>
          <w:rFonts w:ascii="仿宋" w:hAnsi="仿宋" w:cs="仿宋"/>
          <w:b/>
          <w:color w:val="auto"/>
          <w:sz w:val="24"/>
          <w:highlight w:val="none"/>
        </w:rPr>
      </w:pPr>
      <w:bookmarkStart w:id="273" w:name="_Toc13467"/>
      <w:bookmarkStart w:id="274" w:name="_Toc30507"/>
      <w:bookmarkStart w:id="275" w:name="_Toc232"/>
      <w:bookmarkStart w:id="276" w:name="_Toc13154"/>
      <w:bookmarkStart w:id="277" w:name="_Toc9128"/>
      <w:bookmarkStart w:id="278" w:name="_Toc18990"/>
      <w:bookmarkStart w:id="279" w:name="_Toc16163"/>
      <w:r>
        <w:rPr>
          <w:rFonts w:hint="eastAsia" w:ascii="仿宋" w:hAnsi="仿宋" w:cs="仿宋"/>
          <w:b/>
          <w:color w:val="auto"/>
          <w:sz w:val="24"/>
          <w:highlight w:val="none"/>
        </w:rPr>
        <w:t>2.6技术资料和保密义务</w:t>
      </w:r>
      <w:bookmarkEnd w:id="273"/>
      <w:bookmarkEnd w:id="274"/>
      <w:bookmarkEnd w:id="275"/>
      <w:bookmarkEnd w:id="276"/>
      <w:bookmarkEnd w:id="277"/>
      <w:bookmarkEnd w:id="278"/>
      <w:bookmarkEnd w:id="279"/>
    </w:p>
    <w:p w14:paraId="17F6209B">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2.6.1乙方有权依据合同约定和项目需要，向甲方了解有关情况，调阅有关资料等，甲方应予积极配合；</w:t>
      </w:r>
    </w:p>
    <w:p w14:paraId="74443F77">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2.6.2乙方有义务妥善保管和保护由甲方提供的前款信息和资料等；</w:t>
      </w:r>
    </w:p>
    <w:p w14:paraId="390E13CE">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A87E1A4">
      <w:pPr>
        <w:spacing w:line="560" w:lineRule="exact"/>
        <w:ind w:firstLine="482" w:firstLineChars="200"/>
        <w:outlineLvl w:val="9"/>
        <w:rPr>
          <w:rFonts w:ascii="仿宋" w:hAnsi="仿宋" w:cs="仿宋"/>
          <w:b/>
          <w:color w:val="auto"/>
          <w:sz w:val="24"/>
          <w:highlight w:val="none"/>
        </w:rPr>
      </w:pPr>
      <w:bookmarkStart w:id="280" w:name="_Toc28724"/>
      <w:bookmarkStart w:id="281" w:name="_Toc4129"/>
      <w:bookmarkStart w:id="282" w:name="_Toc19069"/>
      <w:r>
        <w:rPr>
          <w:rFonts w:hint="eastAsia" w:ascii="仿宋" w:hAnsi="仿宋" w:cs="仿宋"/>
          <w:b/>
          <w:color w:val="auto"/>
          <w:sz w:val="24"/>
          <w:highlight w:val="none"/>
        </w:rPr>
        <w:t>2.7质量保证</w:t>
      </w:r>
      <w:bookmarkEnd w:id="280"/>
      <w:bookmarkEnd w:id="281"/>
      <w:bookmarkEnd w:id="282"/>
    </w:p>
    <w:p w14:paraId="65F60E24">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2.7.1乙方应建立和完善履行合同的内部质量保证体系，并提供相关内部规章制度给甲方，以便甲方进行监督检查；</w:t>
      </w:r>
    </w:p>
    <w:p w14:paraId="1EE96C7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2.7.2乙方应保证履行合同的人员数量和素质、软件和硬件设备的配置、场地、环境和设施等满足全面履行合同的要求，并应接受甲方的监督检查。</w:t>
      </w:r>
    </w:p>
    <w:p w14:paraId="28E76D5E">
      <w:pPr>
        <w:spacing w:line="560" w:lineRule="exact"/>
        <w:ind w:firstLine="482" w:firstLineChars="200"/>
        <w:outlineLvl w:val="9"/>
        <w:rPr>
          <w:rFonts w:ascii="仿宋" w:hAnsi="仿宋" w:cs="仿宋"/>
          <w:b/>
          <w:color w:val="auto"/>
          <w:sz w:val="24"/>
          <w:highlight w:val="none"/>
        </w:rPr>
      </w:pPr>
      <w:bookmarkStart w:id="283" w:name="_Toc22267"/>
      <w:bookmarkStart w:id="284" w:name="_Toc9528"/>
      <w:bookmarkStart w:id="285" w:name="_Toc7782"/>
      <w:r>
        <w:rPr>
          <w:rFonts w:hint="eastAsia" w:ascii="仿宋" w:hAnsi="仿宋" w:cs="仿宋"/>
          <w:b/>
          <w:color w:val="auto"/>
          <w:sz w:val="24"/>
          <w:highlight w:val="none"/>
        </w:rPr>
        <w:t>2.8延迟履行</w:t>
      </w:r>
      <w:bookmarkEnd w:id="283"/>
      <w:bookmarkEnd w:id="284"/>
      <w:bookmarkEnd w:id="285"/>
    </w:p>
    <w:p w14:paraId="50C2DCF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101AB315">
      <w:pPr>
        <w:spacing w:line="560" w:lineRule="exact"/>
        <w:ind w:firstLine="482" w:firstLineChars="200"/>
        <w:outlineLvl w:val="9"/>
        <w:rPr>
          <w:rFonts w:ascii="仿宋" w:hAnsi="仿宋" w:cs="仿宋"/>
          <w:b/>
          <w:color w:val="auto"/>
          <w:sz w:val="24"/>
          <w:highlight w:val="none"/>
        </w:rPr>
      </w:pPr>
      <w:bookmarkStart w:id="286" w:name="_Toc26974"/>
      <w:bookmarkStart w:id="287" w:name="_Toc7798"/>
      <w:bookmarkStart w:id="288" w:name="_Toc10611"/>
      <w:r>
        <w:rPr>
          <w:rFonts w:hint="eastAsia" w:ascii="仿宋" w:hAnsi="仿宋" w:cs="仿宋"/>
          <w:b/>
          <w:color w:val="auto"/>
          <w:sz w:val="24"/>
          <w:highlight w:val="none"/>
        </w:rPr>
        <w:t>2.9合同变更</w:t>
      </w:r>
      <w:bookmarkEnd w:id="286"/>
      <w:bookmarkEnd w:id="287"/>
      <w:bookmarkEnd w:id="288"/>
    </w:p>
    <w:p w14:paraId="5AAEEEAD">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38D65C83">
      <w:pPr>
        <w:spacing w:line="560" w:lineRule="exact"/>
        <w:ind w:firstLine="482" w:firstLineChars="200"/>
        <w:outlineLvl w:val="9"/>
        <w:rPr>
          <w:rFonts w:ascii="仿宋" w:hAnsi="仿宋" w:cs="仿宋"/>
          <w:b/>
          <w:color w:val="auto"/>
          <w:sz w:val="24"/>
          <w:highlight w:val="none"/>
        </w:rPr>
      </w:pPr>
      <w:bookmarkStart w:id="289" w:name="_Toc10663"/>
      <w:bookmarkStart w:id="290" w:name="_Toc27613"/>
      <w:bookmarkStart w:id="291" w:name="_Toc26689"/>
      <w:bookmarkStart w:id="292" w:name="_Toc28551"/>
      <w:bookmarkStart w:id="293" w:name="_Toc42"/>
      <w:bookmarkStart w:id="294" w:name="_Toc23368"/>
      <w:bookmarkStart w:id="295" w:name="_Toc21830"/>
      <w:r>
        <w:rPr>
          <w:rFonts w:hint="eastAsia" w:ascii="仿宋" w:hAnsi="仿宋" w:cs="仿宋"/>
          <w:b/>
          <w:color w:val="auto"/>
          <w:sz w:val="24"/>
          <w:highlight w:val="none"/>
        </w:rPr>
        <w:t>2.10合同转让和分包</w:t>
      </w:r>
      <w:bookmarkEnd w:id="289"/>
      <w:bookmarkEnd w:id="290"/>
      <w:bookmarkEnd w:id="291"/>
      <w:bookmarkEnd w:id="292"/>
      <w:bookmarkEnd w:id="293"/>
      <w:bookmarkEnd w:id="294"/>
      <w:bookmarkEnd w:id="295"/>
    </w:p>
    <w:p w14:paraId="58B92154">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780376C">
      <w:pPr>
        <w:spacing w:line="560" w:lineRule="exact"/>
        <w:ind w:firstLine="482" w:firstLineChars="200"/>
        <w:outlineLvl w:val="9"/>
        <w:rPr>
          <w:rFonts w:ascii="仿宋" w:hAnsi="仿宋" w:cs="仿宋"/>
          <w:b/>
          <w:color w:val="auto"/>
          <w:sz w:val="24"/>
          <w:highlight w:val="none"/>
        </w:rPr>
      </w:pPr>
      <w:bookmarkStart w:id="296" w:name="_Toc32494"/>
      <w:bookmarkStart w:id="297" w:name="_Toc25571"/>
      <w:bookmarkStart w:id="298" w:name="_Toc12456"/>
      <w:bookmarkStart w:id="299" w:name="_Toc28756"/>
      <w:bookmarkStart w:id="300" w:name="_Toc14371"/>
      <w:bookmarkStart w:id="301" w:name="_Toc4720"/>
      <w:bookmarkStart w:id="302" w:name="_Toc26633"/>
      <w:r>
        <w:rPr>
          <w:rFonts w:hint="eastAsia" w:ascii="仿宋" w:hAnsi="仿宋" w:cs="仿宋"/>
          <w:b/>
          <w:color w:val="auto"/>
          <w:sz w:val="24"/>
          <w:highlight w:val="none"/>
        </w:rPr>
        <w:t>2.11不可抗力</w:t>
      </w:r>
      <w:bookmarkEnd w:id="296"/>
      <w:bookmarkEnd w:id="297"/>
      <w:bookmarkEnd w:id="298"/>
      <w:bookmarkEnd w:id="299"/>
      <w:bookmarkEnd w:id="300"/>
      <w:bookmarkEnd w:id="301"/>
      <w:bookmarkEnd w:id="302"/>
    </w:p>
    <w:p w14:paraId="433CFA25">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2.11.1如果任何一方遭遇法律规定的不可抗力，致使合同履行受阻时，履行合同的期限应予延长，延长的期限应相当于不可抗力所影响的时间；</w:t>
      </w:r>
    </w:p>
    <w:p w14:paraId="6A849688">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2.11.</w:t>
      </w:r>
      <w:r>
        <w:rPr>
          <w:rFonts w:hint="eastAsia" w:ascii="仿宋" w:hAnsi="仿宋" w:cs="仿宋"/>
          <w:color w:val="auto"/>
          <w:sz w:val="24"/>
          <w:highlight w:val="none"/>
          <w:lang w:val="en-US" w:eastAsia="zh-CN"/>
        </w:rPr>
        <w:t>2</w:t>
      </w:r>
      <w:r>
        <w:rPr>
          <w:rFonts w:hint="eastAsia" w:ascii="仿宋" w:hAnsi="仿宋" w:cs="仿宋"/>
          <w:color w:val="auto"/>
          <w:sz w:val="24"/>
          <w:highlight w:val="none"/>
        </w:rPr>
        <w:t>因不可抗力致使不能实现合同目的的，当事人可以解除合同；</w:t>
      </w:r>
    </w:p>
    <w:p w14:paraId="61754296">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2.11.</w:t>
      </w:r>
      <w:r>
        <w:rPr>
          <w:rFonts w:hint="eastAsia" w:ascii="仿宋" w:hAnsi="仿宋" w:cs="仿宋"/>
          <w:color w:val="auto"/>
          <w:sz w:val="24"/>
          <w:highlight w:val="none"/>
          <w:lang w:val="en-US" w:eastAsia="zh-CN"/>
        </w:rPr>
        <w:t>3</w:t>
      </w:r>
      <w:r>
        <w:rPr>
          <w:rFonts w:hint="eastAsia" w:ascii="仿宋" w:hAnsi="仿宋" w:cs="仿宋"/>
          <w:color w:val="auto"/>
          <w:sz w:val="24"/>
          <w:highlight w:val="none"/>
        </w:rPr>
        <w:t>因不可抗力致使合同有变更必要的，双方当事人应在</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约定时间内以书面形式变更合同；</w:t>
      </w:r>
    </w:p>
    <w:p w14:paraId="39A51A9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2.11.4受不可抗力影响的一方在不可抗力发生后，应在</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约定时间内以书面形式通知对方当事人，并在</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约定时间内，将有关部门出具的证明文件送达对方当事人。</w:t>
      </w:r>
    </w:p>
    <w:p w14:paraId="4BCEAF8A">
      <w:pPr>
        <w:spacing w:line="560" w:lineRule="exact"/>
        <w:ind w:firstLine="482" w:firstLineChars="200"/>
        <w:outlineLvl w:val="9"/>
        <w:rPr>
          <w:rFonts w:ascii="仿宋" w:hAnsi="仿宋" w:cs="仿宋"/>
          <w:b/>
          <w:color w:val="auto"/>
          <w:sz w:val="24"/>
          <w:highlight w:val="none"/>
        </w:rPr>
      </w:pPr>
      <w:bookmarkStart w:id="303" w:name="_Toc23854"/>
      <w:bookmarkStart w:id="304" w:name="_Toc23706"/>
      <w:bookmarkStart w:id="305" w:name="_Toc20515"/>
      <w:bookmarkStart w:id="306" w:name="_Toc24465"/>
      <w:bookmarkStart w:id="307" w:name="_Toc25783"/>
      <w:bookmarkStart w:id="308" w:name="_Toc14115"/>
      <w:bookmarkStart w:id="309" w:name="_Toc3638"/>
      <w:r>
        <w:rPr>
          <w:rFonts w:hint="eastAsia" w:ascii="仿宋" w:hAnsi="仿宋" w:cs="仿宋"/>
          <w:b/>
          <w:color w:val="auto"/>
          <w:sz w:val="24"/>
          <w:highlight w:val="none"/>
        </w:rPr>
        <w:t>2.12税费</w:t>
      </w:r>
      <w:bookmarkEnd w:id="303"/>
      <w:bookmarkEnd w:id="304"/>
      <w:bookmarkEnd w:id="305"/>
      <w:bookmarkEnd w:id="306"/>
      <w:bookmarkEnd w:id="307"/>
      <w:bookmarkEnd w:id="308"/>
      <w:bookmarkEnd w:id="309"/>
    </w:p>
    <w:p w14:paraId="111C693E">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与合同有关的一切税费，均按照中华人民共和国法律的相关规定缴纳。</w:t>
      </w:r>
    </w:p>
    <w:p w14:paraId="07F026E9">
      <w:pPr>
        <w:spacing w:line="560" w:lineRule="exact"/>
        <w:ind w:firstLine="482" w:firstLineChars="200"/>
        <w:outlineLvl w:val="9"/>
        <w:rPr>
          <w:rFonts w:ascii="仿宋" w:hAnsi="仿宋" w:cs="仿宋"/>
          <w:b/>
          <w:color w:val="auto"/>
          <w:sz w:val="24"/>
          <w:highlight w:val="none"/>
        </w:rPr>
      </w:pPr>
      <w:bookmarkStart w:id="310" w:name="_Toc30105"/>
      <w:bookmarkStart w:id="311" w:name="_Toc7315"/>
      <w:bookmarkStart w:id="312" w:name="_Toc11189"/>
      <w:bookmarkStart w:id="313" w:name="_Toc25525"/>
      <w:bookmarkStart w:id="314" w:name="_Toc28684"/>
      <w:bookmarkStart w:id="315" w:name="_Toc14814"/>
      <w:bookmarkStart w:id="316" w:name="_Toc26883"/>
      <w:r>
        <w:rPr>
          <w:rFonts w:hint="eastAsia" w:ascii="仿宋" w:hAnsi="仿宋" w:cs="仿宋"/>
          <w:b/>
          <w:color w:val="auto"/>
          <w:sz w:val="24"/>
          <w:highlight w:val="none"/>
        </w:rPr>
        <w:t>2.13乙方破产</w:t>
      </w:r>
      <w:bookmarkEnd w:id="310"/>
      <w:bookmarkEnd w:id="311"/>
      <w:bookmarkEnd w:id="312"/>
      <w:bookmarkEnd w:id="313"/>
      <w:bookmarkEnd w:id="314"/>
      <w:bookmarkEnd w:id="315"/>
      <w:bookmarkEnd w:id="316"/>
    </w:p>
    <w:p w14:paraId="071E4B4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FF93567">
      <w:pPr>
        <w:spacing w:line="560" w:lineRule="exact"/>
        <w:ind w:firstLine="482" w:firstLineChars="200"/>
        <w:outlineLvl w:val="9"/>
        <w:rPr>
          <w:rFonts w:ascii="仿宋" w:hAnsi="仿宋" w:cs="仿宋"/>
          <w:b/>
          <w:color w:val="auto"/>
          <w:sz w:val="24"/>
          <w:highlight w:val="none"/>
        </w:rPr>
      </w:pPr>
      <w:bookmarkStart w:id="317" w:name="_Toc23323"/>
      <w:bookmarkStart w:id="318" w:name="_Toc16331"/>
      <w:bookmarkStart w:id="319" w:name="_Toc1123"/>
      <w:bookmarkStart w:id="320" w:name="_Toc2016"/>
      <w:r>
        <w:rPr>
          <w:rFonts w:hint="eastAsia" w:ascii="仿宋" w:hAnsi="仿宋" w:cs="仿宋"/>
          <w:b/>
          <w:color w:val="auto"/>
          <w:sz w:val="24"/>
          <w:highlight w:val="none"/>
        </w:rPr>
        <w:t>2.14合同中止、终止</w:t>
      </w:r>
      <w:bookmarkEnd w:id="317"/>
      <w:bookmarkEnd w:id="318"/>
      <w:bookmarkEnd w:id="319"/>
      <w:bookmarkEnd w:id="320"/>
    </w:p>
    <w:p w14:paraId="78B40BF5">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2.14.1双方当事人不得擅自中止或者终止合同；</w:t>
      </w:r>
    </w:p>
    <w:p w14:paraId="16E84CD9">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423531DB">
      <w:pPr>
        <w:spacing w:line="560" w:lineRule="exact"/>
        <w:ind w:firstLine="482" w:firstLineChars="200"/>
        <w:outlineLvl w:val="9"/>
        <w:rPr>
          <w:rFonts w:ascii="仿宋" w:hAnsi="仿宋" w:cs="仿宋"/>
          <w:b/>
          <w:color w:val="auto"/>
          <w:sz w:val="24"/>
          <w:highlight w:val="none"/>
        </w:rPr>
      </w:pPr>
      <w:bookmarkStart w:id="321" w:name="_Toc17363"/>
      <w:bookmarkStart w:id="322" w:name="_Toc32055"/>
      <w:bookmarkStart w:id="323" w:name="_Toc1969"/>
      <w:bookmarkStart w:id="324" w:name="_Toc1987"/>
      <w:bookmarkStart w:id="325" w:name="_Toc14525"/>
      <w:r>
        <w:rPr>
          <w:rFonts w:hint="eastAsia" w:ascii="仿宋" w:hAnsi="仿宋" w:cs="仿宋"/>
          <w:b/>
          <w:color w:val="auto"/>
          <w:sz w:val="24"/>
          <w:highlight w:val="none"/>
        </w:rPr>
        <w:t>2.15检验和验收</w:t>
      </w:r>
      <w:bookmarkEnd w:id="321"/>
      <w:bookmarkEnd w:id="322"/>
      <w:bookmarkEnd w:id="323"/>
      <w:bookmarkEnd w:id="324"/>
      <w:bookmarkEnd w:id="325"/>
    </w:p>
    <w:p w14:paraId="2655A890">
      <w:pPr>
        <w:tabs>
          <w:tab w:val="left" w:pos="360"/>
          <w:tab w:val="left" w:pos="540"/>
          <w:tab w:val="left" w:pos="1080"/>
        </w:tabs>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2.15.1乙方按照</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的约定，定期提交服务报告，甲方按照</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的约定进行定期验收；</w:t>
      </w:r>
    </w:p>
    <w:p w14:paraId="590028A7">
      <w:pPr>
        <w:tabs>
          <w:tab w:val="left" w:pos="360"/>
          <w:tab w:val="left" w:pos="540"/>
          <w:tab w:val="left" w:pos="1080"/>
        </w:tabs>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16312D5">
      <w:pPr>
        <w:tabs>
          <w:tab w:val="left" w:pos="360"/>
          <w:tab w:val="left" w:pos="540"/>
          <w:tab w:val="left" w:pos="1080"/>
        </w:tabs>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2.15.3检验和验收标准、程序等具体内容以及前述验收书的效力详见</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43F2398E">
      <w:pPr>
        <w:spacing w:line="560" w:lineRule="exact"/>
        <w:ind w:firstLine="482" w:firstLineChars="200"/>
        <w:outlineLvl w:val="9"/>
        <w:rPr>
          <w:rFonts w:ascii="仿宋" w:hAnsi="仿宋" w:cs="仿宋"/>
          <w:b/>
          <w:color w:val="auto"/>
          <w:sz w:val="24"/>
          <w:highlight w:val="none"/>
        </w:rPr>
      </w:pPr>
      <w:bookmarkStart w:id="326" w:name="_Toc18910"/>
      <w:bookmarkStart w:id="327" w:name="_Toc9808"/>
      <w:bookmarkStart w:id="328" w:name="_Toc2308"/>
      <w:bookmarkStart w:id="329" w:name="_Toc25198"/>
      <w:bookmarkStart w:id="330" w:name="_Toc416"/>
      <w:bookmarkStart w:id="331" w:name="_Toc12666"/>
      <w:bookmarkStart w:id="332" w:name="_Toc31892"/>
      <w:r>
        <w:rPr>
          <w:rFonts w:hint="eastAsia" w:ascii="仿宋" w:hAnsi="仿宋" w:cs="仿宋"/>
          <w:b/>
          <w:color w:val="auto"/>
          <w:sz w:val="24"/>
          <w:highlight w:val="none"/>
        </w:rPr>
        <w:t>2.16通知和送达</w:t>
      </w:r>
      <w:bookmarkEnd w:id="326"/>
      <w:bookmarkEnd w:id="327"/>
      <w:bookmarkEnd w:id="328"/>
      <w:bookmarkEnd w:id="329"/>
      <w:bookmarkEnd w:id="330"/>
      <w:bookmarkEnd w:id="331"/>
      <w:bookmarkEnd w:id="332"/>
    </w:p>
    <w:p w14:paraId="5CBBA013">
      <w:pPr>
        <w:spacing w:line="560" w:lineRule="exact"/>
        <w:ind w:firstLine="480" w:firstLineChars="200"/>
        <w:outlineLvl w:val="9"/>
        <w:rPr>
          <w:rFonts w:ascii="仿宋" w:hAnsi="仿宋" w:cs="仿宋"/>
          <w:color w:val="auto"/>
          <w:sz w:val="24"/>
          <w:highlight w:val="none"/>
        </w:rPr>
      </w:pPr>
      <w:bookmarkStart w:id="333" w:name="_Toc27674"/>
      <w:bookmarkStart w:id="334" w:name="_Toc18401"/>
      <w:r>
        <w:rPr>
          <w:rFonts w:hint="eastAsia" w:ascii="仿宋" w:hAnsi="仿宋" w:cs="仿宋"/>
          <w:color w:val="auto"/>
          <w:sz w:val="24"/>
          <w:highlight w:val="none"/>
        </w:rPr>
        <w:t>2.1</w:t>
      </w:r>
      <w:r>
        <w:rPr>
          <w:rFonts w:hint="eastAsia" w:ascii="仿宋" w:hAnsi="仿宋" w:cs="仿宋"/>
          <w:color w:val="auto"/>
          <w:sz w:val="24"/>
          <w:highlight w:val="none"/>
          <w:lang w:val="en-US" w:eastAsia="zh-CN"/>
        </w:rPr>
        <w:t>6</w:t>
      </w:r>
      <w:r>
        <w:rPr>
          <w:rFonts w:hint="eastAsia" w:ascii="仿宋" w:hAnsi="仿宋" w:cs="仿宋"/>
          <w:color w:val="auto"/>
          <w:sz w:val="24"/>
          <w:highlight w:val="none"/>
        </w:rPr>
        <w:t>.1任何一方因履行合同而以合同第一部分尾部所列明的传真或电子邮件</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发出的所有通知、文件、材料，均视为已向对方当事人送达；任何一方变更上述送达方式或者地址的，应于</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个工作日内书面通知对方当事人，在对方当事人收到有关变更通知之前，变更前的约定送达方式或者地址仍视为有效。</w:t>
      </w:r>
    </w:p>
    <w:p w14:paraId="23AD2000">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w:t>
      </w:r>
      <w:r>
        <w:rPr>
          <w:rFonts w:hint="eastAsia" w:ascii="仿宋" w:hAnsi="仿宋" w:cs="仿宋"/>
          <w:color w:val="auto"/>
          <w:sz w:val="24"/>
          <w:highlight w:val="none"/>
          <w:lang w:val="en-US" w:eastAsia="zh-CN"/>
        </w:rPr>
        <w:t>6</w:t>
      </w:r>
      <w:r>
        <w:rPr>
          <w:rFonts w:hint="eastAsia" w:ascii="仿宋" w:hAnsi="仿宋" w:cs="仿宋"/>
          <w:color w:val="auto"/>
          <w:sz w:val="24"/>
          <w:highlight w:val="none"/>
        </w:rPr>
        <w:t>.2以当面交付方式送达的，交付之时视为送达；以电子邮件方式送达的，发出电子邮件之时视为送达；以传真方式送达的，发出传真之时视为送达；以邮寄方式送达的，邮件挂号寄出或者交邮之日之次日视为送达。</w:t>
      </w:r>
      <w:bookmarkEnd w:id="333"/>
      <w:bookmarkEnd w:id="334"/>
    </w:p>
    <w:p w14:paraId="767D39D9">
      <w:pPr>
        <w:spacing w:line="560" w:lineRule="exact"/>
        <w:ind w:firstLine="482" w:firstLineChars="200"/>
        <w:outlineLvl w:val="9"/>
        <w:rPr>
          <w:rFonts w:ascii="仿宋" w:hAnsi="仿宋" w:cs="仿宋"/>
          <w:b/>
          <w:color w:val="auto"/>
          <w:sz w:val="24"/>
          <w:highlight w:val="none"/>
        </w:rPr>
      </w:pPr>
      <w:bookmarkStart w:id="335" w:name="_Toc27644"/>
      <w:bookmarkStart w:id="336" w:name="_Toc5063"/>
      <w:bookmarkStart w:id="337" w:name="_Toc12254"/>
      <w:bookmarkStart w:id="338" w:name="_Toc375"/>
      <w:bookmarkStart w:id="339" w:name="_Toc13906"/>
      <w:bookmarkStart w:id="340" w:name="_Toc20808"/>
      <w:bookmarkStart w:id="341" w:name="_Toc28906"/>
      <w:r>
        <w:rPr>
          <w:rFonts w:hint="eastAsia" w:ascii="仿宋" w:hAnsi="仿宋" w:cs="仿宋"/>
          <w:b/>
          <w:color w:val="auto"/>
          <w:sz w:val="24"/>
          <w:highlight w:val="none"/>
        </w:rPr>
        <w:t>2.17合同使用的文字和适用的法律</w:t>
      </w:r>
      <w:bookmarkEnd w:id="335"/>
      <w:bookmarkEnd w:id="336"/>
      <w:bookmarkEnd w:id="337"/>
      <w:bookmarkEnd w:id="338"/>
      <w:bookmarkEnd w:id="339"/>
      <w:bookmarkEnd w:id="340"/>
      <w:bookmarkEnd w:id="341"/>
    </w:p>
    <w:p w14:paraId="15FBB990">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2.17.1合同使用汉语书就、变更和解释；</w:t>
      </w:r>
    </w:p>
    <w:p w14:paraId="4F93136B">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2.17.2合同适用中华人民共和国法律。</w:t>
      </w:r>
    </w:p>
    <w:p w14:paraId="4043F3F2">
      <w:pPr>
        <w:spacing w:line="560" w:lineRule="exact"/>
        <w:ind w:firstLine="482" w:firstLineChars="200"/>
        <w:outlineLvl w:val="9"/>
        <w:rPr>
          <w:rFonts w:ascii="仿宋" w:hAnsi="仿宋" w:cs="仿宋"/>
          <w:b/>
          <w:color w:val="auto"/>
          <w:sz w:val="24"/>
          <w:highlight w:val="none"/>
        </w:rPr>
      </w:pPr>
      <w:bookmarkStart w:id="342" w:name="_Toc30599"/>
      <w:bookmarkStart w:id="343" w:name="_Toc18540"/>
      <w:bookmarkStart w:id="344" w:name="_Toc7335"/>
      <w:bookmarkStart w:id="345" w:name="_Toc15649"/>
      <w:bookmarkStart w:id="346" w:name="_Toc4355"/>
      <w:r>
        <w:rPr>
          <w:rFonts w:hint="eastAsia" w:ascii="仿宋" w:hAnsi="仿宋" w:cs="仿宋"/>
          <w:b/>
          <w:color w:val="auto"/>
          <w:sz w:val="24"/>
          <w:highlight w:val="none"/>
        </w:rPr>
        <w:t>2.1</w:t>
      </w:r>
      <w:r>
        <w:rPr>
          <w:rFonts w:hint="eastAsia" w:ascii="仿宋" w:hAnsi="仿宋" w:cs="仿宋"/>
          <w:b/>
          <w:color w:val="auto"/>
          <w:sz w:val="24"/>
          <w:highlight w:val="none"/>
          <w:lang w:val="en-US" w:eastAsia="zh-CN"/>
        </w:rPr>
        <w:t>8</w:t>
      </w:r>
      <w:r>
        <w:rPr>
          <w:rFonts w:hint="eastAsia" w:ascii="仿宋" w:hAnsi="仿宋" w:cs="仿宋"/>
          <w:b/>
          <w:color w:val="auto"/>
          <w:sz w:val="24"/>
          <w:highlight w:val="none"/>
        </w:rPr>
        <w:t>计量单位</w:t>
      </w:r>
      <w:bookmarkEnd w:id="342"/>
      <w:bookmarkEnd w:id="343"/>
      <w:bookmarkEnd w:id="344"/>
      <w:bookmarkEnd w:id="345"/>
      <w:bookmarkEnd w:id="346"/>
    </w:p>
    <w:p w14:paraId="1C5EAFEC">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除技术规范中另有规定外，合同的计量单位均使用国家法定计量单位。</w:t>
      </w:r>
    </w:p>
    <w:p w14:paraId="5B20E072">
      <w:pPr>
        <w:spacing w:line="560" w:lineRule="exact"/>
        <w:ind w:firstLine="482" w:firstLineChars="200"/>
        <w:outlineLvl w:val="9"/>
        <w:rPr>
          <w:rFonts w:ascii="仿宋" w:hAnsi="仿宋" w:cs="仿宋"/>
          <w:b/>
          <w:color w:val="auto"/>
          <w:sz w:val="24"/>
          <w:highlight w:val="none"/>
        </w:rPr>
      </w:pPr>
      <w:r>
        <w:rPr>
          <w:rFonts w:hint="eastAsia" w:ascii="仿宋" w:hAnsi="仿宋" w:cs="仿宋"/>
          <w:b/>
          <w:color w:val="auto"/>
          <w:sz w:val="24"/>
          <w:highlight w:val="none"/>
        </w:rPr>
        <w:t>2.19合同份数</w:t>
      </w:r>
    </w:p>
    <w:p w14:paraId="680515CC">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合同份数按</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规定，每份均具有同等法律效力。</w:t>
      </w:r>
    </w:p>
    <w:p w14:paraId="5B2D7528">
      <w:pPr>
        <w:spacing w:line="360" w:lineRule="auto"/>
        <w:jc w:val="center"/>
        <w:outlineLvl w:val="9"/>
        <w:rPr>
          <w:rFonts w:ascii="仿宋" w:hAnsi="仿宋" w:cs="仿宋"/>
          <w:b/>
          <w:color w:val="auto"/>
          <w:sz w:val="24"/>
          <w:highlight w:val="none"/>
        </w:rPr>
      </w:pPr>
      <w:r>
        <w:rPr>
          <w:rFonts w:hint="eastAsia" w:ascii="仿宋" w:hAnsi="仿宋" w:cs="仿宋"/>
          <w:color w:val="auto"/>
          <w:kern w:val="0"/>
          <w:highlight w:val="none"/>
        </w:rPr>
        <w:br w:type="page"/>
      </w:r>
      <w:r>
        <w:rPr>
          <w:rFonts w:hint="eastAsia" w:ascii="仿宋" w:hAnsi="仿宋" w:cs="仿宋"/>
          <w:b/>
          <w:color w:val="auto"/>
          <w:sz w:val="24"/>
          <w:highlight w:val="none"/>
        </w:rPr>
        <w:t>第三部分  合同专用条款</w:t>
      </w:r>
    </w:p>
    <w:p w14:paraId="3FC9EEA9">
      <w:pPr>
        <w:spacing w:line="560" w:lineRule="exact"/>
        <w:ind w:left="-420" w:leftChars="-200" w:right="-420" w:rightChars="-200" w:firstLine="480" w:firstLineChars="200"/>
        <w:outlineLvl w:val="9"/>
        <w:rPr>
          <w:rFonts w:ascii="仿宋" w:hAnsi="仿宋" w:cs="仿宋"/>
          <w:color w:val="auto"/>
          <w:highlight w:val="none"/>
        </w:rPr>
      </w:pPr>
      <w:r>
        <w:rPr>
          <w:rFonts w:hint="eastAsia" w:ascii="仿宋" w:hAnsi="仿宋" w:cs="仿宋"/>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96"/>
        <w:gridCol w:w="7472"/>
      </w:tblGrid>
      <w:tr w14:paraId="43829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96" w:type="dxa"/>
            <w:tcBorders>
              <w:left w:val="single" w:color="auto" w:sz="4" w:space="0"/>
            </w:tcBorders>
            <w:vAlign w:val="center"/>
          </w:tcPr>
          <w:p w14:paraId="527CEB9C">
            <w:pPr>
              <w:spacing w:line="360" w:lineRule="auto"/>
              <w:jc w:val="center"/>
              <w:outlineLvl w:val="9"/>
              <w:rPr>
                <w:rFonts w:ascii="仿宋" w:hAnsi="仿宋" w:cs="仿宋"/>
                <w:b/>
                <w:color w:val="auto"/>
                <w:sz w:val="24"/>
                <w:highlight w:val="none"/>
              </w:rPr>
            </w:pPr>
            <w:r>
              <w:rPr>
                <w:rFonts w:hint="eastAsia" w:ascii="仿宋" w:hAnsi="仿宋" w:cs="仿宋"/>
                <w:b/>
                <w:color w:val="auto"/>
                <w:sz w:val="24"/>
                <w:highlight w:val="none"/>
              </w:rPr>
              <w:t>条款号</w:t>
            </w:r>
          </w:p>
        </w:tc>
        <w:tc>
          <w:tcPr>
            <w:tcW w:w="7472" w:type="dxa"/>
            <w:vAlign w:val="center"/>
          </w:tcPr>
          <w:p w14:paraId="344A2FB7">
            <w:pPr>
              <w:spacing w:line="360" w:lineRule="auto"/>
              <w:jc w:val="center"/>
              <w:outlineLvl w:val="9"/>
              <w:rPr>
                <w:rFonts w:ascii="仿宋" w:hAnsi="仿宋" w:cs="仿宋"/>
                <w:b/>
                <w:color w:val="auto"/>
                <w:sz w:val="24"/>
                <w:highlight w:val="none"/>
              </w:rPr>
            </w:pPr>
            <w:r>
              <w:rPr>
                <w:rFonts w:hint="eastAsia" w:ascii="仿宋" w:hAnsi="仿宋" w:cs="仿宋"/>
                <w:b/>
                <w:color w:val="auto"/>
                <w:sz w:val="24"/>
                <w:highlight w:val="none"/>
              </w:rPr>
              <w:t>约定内容</w:t>
            </w:r>
          </w:p>
        </w:tc>
      </w:tr>
      <w:tr w14:paraId="4BB85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71B4E8AC">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1.3.2</w:t>
            </w:r>
          </w:p>
        </w:tc>
        <w:tc>
          <w:tcPr>
            <w:tcW w:w="7472" w:type="dxa"/>
            <w:vAlign w:val="center"/>
          </w:tcPr>
          <w:p w14:paraId="5E1B9BA7">
            <w:pPr>
              <w:spacing w:line="360" w:lineRule="auto"/>
              <w:outlineLvl w:val="9"/>
              <w:rPr>
                <w:rFonts w:ascii="仿宋" w:hAnsi="仿宋" w:cs="仿宋"/>
                <w:color w:val="auto"/>
                <w:sz w:val="24"/>
                <w:highlight w:val="none"/>
              </w:rPr>
            </w:pPr>
          </w:p>
        </w:tc>
      </w:tr>
      <w:tr w14:paraId="576AA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489CFB62">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1.4.2</w:t>
            </w:r>
          </w:p>
        </w:tc>
        <w:tc>
          <w:tcPr>
            <w:tcW w:w="7472" w:type="dxa"/>
            <w:vAlign w:val="center"/>
          </w:tcPr>
          <w:p w14:paraId="05FE6BFB">
            <w:pPr>
              <w:spacing w:line="360" w:lineRule="auto"/>
              <w:outlineLvl w:val="9"/>
              <w:rPr>
                <w:rFonts w:ascii="仿宋" w:hAnsi="仿宋" w:cs="仿宋"/>
                <w:color w:val="auto"/>
                <w:sz w:val="24"/>
                <w:highlight w:val="none"/>
              </w:rPr>
            </w:pPr>
          </w:p>
        </w:tc>
      </w:tr>
      <w:tr w14:paraId="53D0A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558D6BAC">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 xml:space="preserve">1.5.1 </w:t>
            </w:r>
          </w:p>
        </w:tc>
        <w:tc>
          <w:tcPr>
            <w:tcW w:w="7472" w:type="dxa"/>
            <w:vAlign w:val="center"/>
          </w:tcPr>
          <w:p w14:paraId="577F7460">
            <w:pPr>
              <w:spacing w:line="360" w:lineRule="auto"/>
              <w:outlineLvl w:val="9"/>
              <w:rPr>
                <w:rFonts w:ascii="仿宋" w:hAnsi="仿宋" w:cs="仿宋"/>
                <w:color w:val="auto"/>
                <w:sz w:val="24"/>
                <w:highlight w:val="none"/>
              </w:rPr>
            </w:pPr>
          </w:p>
        </w:tc>
      </w:tr>
      <w:tr w14:paraId="30375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7D61401E">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1.5.2</w:t>
            </w:r>
          </w:p>
        </w:tc>
        <w:tc>
          <w:tcPr>
            <w:tcW w:w="7472" w:type="dxa"/>
            <w:vAlign w:val="center"/>
          </w:tcPr>
          <w:p w14:paraId="05ED9376">
            <w:pPr>
              <w:spacing w:line="360" w:lineRule="auto"/>
              <w:outlineLvl w:val="9"/>
              <w:rPr>
                <w:rFonts w:ascii="仿宋" w:hAnsi="仿宋" w:cs="仿宋"/>
                <w:color w:val="auto"/>
                <w:sz w:val="24"/>
                <w:highlight w:val="none"/>
              </w:rPr>
            </w:pPr>
          </w:p>
        </w:tc>
      </w:tr>
      <w:tr w14:paraId="1B726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03DD5270">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 xml:space="preserve">1.5.3 </w:t>
            </w:r>
          </w:p>
        </w:tc>
        <w:tc>
          <w:tcPr>
            <w:tcW w:w="7472" w:type="dxa"/>
            <w:vAlign w:val="center"/>
          </w:tcPr>
          <w:p w14:paraId="613EC130">
            <w:pPr>
              <w:spacing w:line="360" w:lineRule="auto"/>
              <w:outlineLvl w:val="9"/>
              <w:rPr>
                <w:rFonts w:ascii="仿宋" w:hAnsi="仿宋" w:cs="仿宋"/>
                <w:color w:val="auto"/>
                <w:sz w:val="24"/>
                <w:highlight w:val="none"/>
              </w:rPr>
            </w:pPr>
          </w:p>
        </w:tc>
      </w:tr>
      <w:tr w14:paraId="3CCBD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67C57010">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1.6.2</w:t>
            </w:r>
          </w:p>
        </w:tc>
        <w:tc>
          <w:tcPr>
            <w:tcW w:w="7472" w:type="dxa"/>
            <w:vAlign w:val="center"/>
          </w:tcPr>
          <w:p w14:paraId="622C8EA9">
            <w:pPr>
              <w:spacing w:line="360" w:lineRule="auto"/>
              <w:outlineLvl w:val="9"/>
              <w:rPr>
                <w:rFonts w:ascii="仿宋" w:hAnsi="仿宋" w:cs="仿宋"/>
                <w:color w:val="auto"/>
                <w:sz w:val="24"/>
                <w:highlight w:val="none"/>
              </w:rPr>
            </w:pPr>
          </w:p>
        </w:tc>
      </w:tr>
      <w:tr w14:paraId="141D1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7573765C">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1.7.1</w:t>
            </w:r>
          </w:p>
        </w:tc>
        <w:tc>
          <w:tcPr>
            <w:tcW w:w="7472" w:type="dxa"/>
            <w:vAlign w:val="center"/>
          </w:tcPr>
          <w:p w14:paraId="54FC3B3B">
            <w:pPr>
              <w:spacing w:line="360" w:lineRule="auto"/>
              <w:outlineLvl w:val="9"/>
              <w:rPr>
                <w:rFonts w:ascii="仿宋" w:hAnsi="仿宋" w:cs="仿宋"/>
                <w:color w:val="auto"/>
                <w:sz w:val="24"/>
                <w:highlight w:val="none"/>
              </w:rPr>
            </w:pPr>
          </w:p>
        </w:tc>
      </w:tr>
      <w:tr w14:paraId="77347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178ED9AA">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1.7.2</w:t>
            </w:r>
          </w:p>
        </w:tc>
        <w:tc>
          <w:tcPr>
            <w:tcW w:w="7472" w:type="dxa"/>
            <w:vAlign w:val="center"/>
          </w:tcPr>
          <w:p w14:paraId="0A373197">
            <w:pPr>
              <w:spacing w:line="360" w:lineRule="auto"/>
              <w:outlineLvl w:val="9"/>
              <w:rPr>
                <w:rFonts w:ascii="仿宋" w:hAnsi="仿宋" w:cs="仿宋"/>
                <w:color w:val="auto"/>
                <w:sz w:val="24"/>
                <w:highlight w:val="none"/>
              </w:rPr>
            </w:pPr>
          </w:p>
        </w:tc>
      </w:tr>
      <w:tr w14:paraId="05525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7AB17045">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1.7.3</w:t>
            </w:r>
          </w:p>
        </w:tc>
        <w:tc>
          <w:tcPr>
            <w:tcW w:w="7472" w:type="dxa"/>
            <w:vAlign w:val="center"/>
          </w:tcPr>
          <w:p w14:paraId="55A04BE4">
            <w:pPr>
              <w:spacing w:line="360" w:lineRule="auto"/>
              <w:outlineLvl w:val="9"/>
              <w:rPr>
                <w:rFonts w:ascii="仿宋" w:hAnsi="仿宋" w:cs="仿宋"/>
                <w:color w:val="auto"/>
                <w:sz w:val="24"/>
                <w:highlight w:val="none"/>
              </w:rPr>
            </w:pPr>
          </w:p>
        </w:tc>
      </w:tr>
      <w:tr w14:paraId="0352B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5637F7C5">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1.7.4.1</w:t>
            </w:r>
          </w:p>
        </w:tc>
        <w:tc>
          <w:tcPr>
            <w:tcW w:w="7472" w:type="dxa"/>
            <w:vAlign w:val="center"/>
          </w:tcPr>
          <w:p w14:paraId="7C3DB1D0">
            <w:pPr>
              <w:spacing w:line="360" w:lineRule="auto"/>
              <w:outlineLvl w:val="9"/>
              <w:rPr>
                <w:rFonts w:ascii="仿宋" w:hAnsi="仿宋" w:cs="仿宋"/>
                <w:color w:val="auto"/>
                <w:sz w:val="24"/>
                <w:highlight w:val="none"/>
              </w:rPr>
            </w:pPr>
          </w:p>
        </w:tc>
      </w:tr>
      <w:tr w14:paraId="42CA1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6104574E">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1.7.4.2</w:t>
            </w:r>
          </w:p>
        </w:tc>
        <w:tc>
          <w:tcPr>
            <w:tcW w:w="7472" w:type="dxa"/>
            <w:vAlign w:val="center"/>
          </w:tcPr>
          <w:p w14:paraId="6ABE3029">
            <w:pPr>
              <w:spacing w:line="360" w:lineRule="auto"/>
              <w:outlineLvl w:val="9"/>
              <w:rPr>
                <w:rFonts w:ascii="仿宋" w:hAnsi="仿宋" w:cs="仿宋"/>
                <w:color w:val="auto"/>
                <w:sz w:val="24"/>
                <w:highlight w:val="none"/>
              </w:rPr>
            </w:pPr>
          </w:p>
        </w:tc>
      </w:tr>
      <w:tr w14:paraId="17CA1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5BAB66C5">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1.7.4.3</w:t>
            </w:r>
          </w:p>
        </w:tc>
        <w:tc>
          <w:tcPr>
            <w:tcW w:w="7472" w:type="dxa"/>
            <w:vAlign w:val="center"/>
          </w:tcPr>
          <w:p w14:paraId="632A4E50">
            <w:pPr>
              <w:spacing w:line="360" w:lineRule="auto"/>
              <w:outlineLvl w:val="9"/>
              <w:rPr>
                <w:rFonts w:ascii="仿宋" w:hAnsi="仿宋" w:cs="仿宋"/>
                <w:color w:val="auto"/>
                <w:sz w:val="24"/>
                <w:highlight w:val="none"/>
              </w:rPr>
            </w:pPr>
          </w:p>
        </w:tc>
      </w:tr>
      <w:tr w14:paraId="15A14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32B5D588">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1.8.7</w:t>
            </w:r>
          </w:p>
        </w:tc>
        <w:tc>
          <w:tcPr>
            <w:tcW w:w="7472" w:type="dxa"/>
            <w:vAlign w:val="center"/>
          </w:tcPr>
          <w:p w14:paraId="7C02F623">
            <w:pPr>
              <w:spacing w:line="360" w:lineRule="auto"/>
              <w:outlineLvl w:val="9"/>
              <w:rPr>
                <w:rFonts w:ascii="仿宋" w:hAnsi="仿宋" w:cs="仿宋"/>
                <w:color w:val="auto"/>
                <w:sz w:val="24"/>
                <w:highlight w:val="none"/>
              </w:rPr>
            </w:pPr>
          </w:p>
        </w:tc>
      </w:tr>
      <w:tr w14:paraId="472FC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40E226F8">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1.9.1</w:t>
            </w:r>
          </w:p>
        </w:tc>
        <w:tc>
          <w:tcPr>
            <w:tcW w:w="7472" w:type="dxa"/>
            <w:vAlign w:val="center"/>
          </w:tcPr>
          <w:p w14:paraId="6D3F31FD">
            <w:pPr>
              <w:spacing w:line="360" w:lineRule="auto"/>
              <w:outlineLvl w:val="9"/>
              <w:rPr>
                <w:rFonts w:ascii="仿宋" w:hAnsi="仿宋" w:cs="仿宋"/>
                <w:color w:val="auto"/>
                <w:sz w:val="24"/>
                <w:highlight w:val="none"/>
              </w:rPr>
            </w:pPr>
          </w:p>
        </w:tc>
      </w:tr>
      <w:tr w14:paraId="13631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043D762C">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1.9.2</w:t>
            </w:r>
          </w:p>
        </w:tc>
        <w:tc>
          <w:tcPr>
            <w:tcW w:w="7472" w:type="dxa"/>
            <w:vAlign w:val="center"/>
          </w:tcPr>
          <w:p w14:paraId="7E516ACA">
            <w:pPr>
              <w:spacing w:line="360" w:lineRule="auto"/>
              <w:outlineLvl w:val="9"/>
              <w:rPr>
                <w:rFonts w:ascii="仿宋" w:hAnsi="仿宋" w:cs="仿宋"/>
                <w:color w:val="auto"/>
                <w:sz w:val="24"/>
                <w:highlight w:val="none"/>
              </w:rPr>
            </w:pPr>
          </w:p>
        </w:tc>
      </w:tr>
      <w:tr w14:paraId="24B0E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56750BF2">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2.3.2</w:t>
            </w:r>
          </w:p>
        </w:tc>
        <w:tc>
          <w:tcPr>
            <w:tcW w:w="7472" w:type="dxa"/>
            <w:vAlign w:val="center"/>
          </w:tcPr>
          <w:p w14:paraId="17138870">
            <w:pPr>
              <w:spacing w:line="360" w:lineRule="auto"/>
              <w:ind w:left="-420" w:leftChars="-200" w:right="-420" w:rightChars="-200" w:firstLine="480" w:firstLineChars="200"/>
              <w:outlineLvl w:val="9"/>
              <w:rPr>
                <w:rFonts w:ascii="仿宋" w:hAnsi="仿宋" w:cs="仿宋"/>
                <w:color w:val="auto"/>
                <w:sz w:val="24"/>
                <w:highlight w:val="none"/>
              </w:rPr>
            </w:pPr>
          </w:p>
        </w:tc>
      </w:tr>
      <w:tr w14:paraId="6E32E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6DC3A2C1">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2.5</w:t>
            </w:r>
          </w:p>
        </w:tc>
        <w:tc>
          <w:tcPr>
            <w:tcW w:w="7472" w:type="dxa"/>
            <w:vAlign w:val="center"/>
          </w:tcPr>
          <w:p w14:paraId="3FD302BF">
            <w:pPr>
              <w:spacing w:line="360" w:lineRule="auto"/>
              <w:ind w:left="-420" w:leftChars="-200" w:right="-420" w:rightChars="-200" w:firstLine="480" w:firstLineChars="200"/>
              <w:outlineLvl w:val="9"/>
              <w:rPr>
                <w:rFonts w:ascii="仿宋" w:hAnsi="仿宋" w:cs="仿宋"/>
                <w:color w:val="auto"/>
                <w:sz w:val="24"/>
                <w:highlight w:val="none"/>
              </w:rPr>
            </w:pPr>
          </w:p>
        </w:tc>
      </w:tr>
      <w:tr w14:paraId="0EAE1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63EEE38F">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2.11.2</w:t>
            </w:r>
          </w:p>
        </w:tc>
        <w:tc>
          <w:tcPr>
            <w:tcW w:w="7472" w:type="dxa"/>
            <w:vAlign w:val="center"/>
          </w:tcPr>
          <w:p w14:paraId="4EB1DAF3">
            <w:pPr>
              <w:spacing w:line="360" w:lineRule="auto"/>
              <w:outlineLvl w:val="9"/>
              <w:rPr>
                <w:rFonts w:ascii="仿宋" w:hAnsi="仿宋" w:cs="仿宋"/>
                <w:color w:val="auto"/>
                <w:sz w:val="24"/>
                <w:highlight w:val="none"/>
              </w:rPr>
            </w:pPr>
          </w:p>
        </w:tc>
      </w:tr>
      <w:tr w14:paraId="4CBC2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tcPr>
          <w:p w14:paraId="79C51C76">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 xml:space="preserve">2.11.4 </w:t>
            </w:r>
          </w:p>
        </w:tc>
        <w:tc>
          <w:tcPr>
            <w:tcW w:w="7472" w:type="dxa"/>
          </w:tcPr>
          <w:p w14:paraId="79B5567D">
            <w:pPr>
              <w:spacing w:line="360" w:lineRule="auto"/>
              <w:outlineLvl w:val="9"/>
              <w:rPr>
                <w:rFonts w:ascii="仿宋" w:hAnsi="仿宋" w:cs="仿宋"/>
                <w:color w:val="auto"/>
                <w:sz w:val="24"/>
                <w:highlight w:val="none"/>
              </w:rPr>
            </w:pPr>
          </w:p>
        </w:tc>
      </w:tr>
      <w:tr w14:paraId="7192C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2294E2B9">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2.15.1</w:t>
            </w:r>
          </w:p>
        </w:tc>
        <w:tc>
          <w:tcPr>
            <w:tcW w:w="7472" w:type="dxa"/>
            <w:vAlign w:val="center"/>
          </w:tcPr>
          <w:p w14:paraId="60DF046F">
            <w:pPr>
              <w:spacing w:line="360" w:lineRule="auto"/>
              <w:outlineLvl w:val="9"/>
              <w:rPr>
                <w:rFonts w:ascii="仿宋" w:hAnsi="仿宋" w:cs="仿宋"/>
                <w:color w:val="auto"/>
                <w:sz w:val="24"/>
                <w:highlight w:val="none"/>
              </w:rPr>
            </w:pPr>
          </w:p>
        </w:tc>
      </w:tr>
      <w:tr w14:paraId="153B7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02E7878A">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2.15.3</w:t>
            </w:r>
          </w:p>
        </w:tc>
        <w:tc>
          <w:tcPr>
            <w:tcW w:w="7472" w:type="dxa"/>
            <w:vAlign w:val="center"/>
          </w:tcPr>
          <w:p w14:paraId="5685FD08">
            <w:pPr>
              <w:spacing w:line="360" w:lineRule="auto"/>
              <w:outlineLvl w:val="9"/>
              <w:rPr>
                <w:rFonts w:ascii="仿宋" w:hAnsi="仿宋" w:cs="仿宋"/>
                <w:color w:val="auto"/>
                <w:sz w:val="24"/>
                <w:highlight w:val="none"/>
              </w:rPr>
            </w:pPr>
          </w:p>
        </w:tc>
      </w:tr>
      <w:tr w14:paraId="03169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96" w:type="dxa"/>
            <w:tcBorders>
              <w:left w:val="single" w:color="auto" w:sz="4" w:space="0"/>
            </w:tcBorders>
          </w:tcPr>
          <w:p w14:paraId="0ECAA4DF">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2.19</w:t>
            </w:r>
          </w:p>
        </w:tc>
        <w:tc>
          <w:tcPr>
            <w:tcW w:w="7472" w:type="dxa"/>
          </w:tcPr>
          <w:p w14:paraId="75E48EE6">
            <w:pPr>
              <w:spacing w:line="360" w:lineRule="auto"/>
              <w:outlineLvl w:val="9"/>
              <w:rPr>
                <w:rFonts w:ascii="仿宋" w:hAnsi="仿宋" w:cs="仿宋"/>
                <w:color w:val="auto"/>
                <w:sz w:val="24"/>
                <w:highlight w:val="none"/>
              </w:rPr>
            </w:pPr>
          </w:p>
        </w:tc>
      </w:tr>
    </w:tbl>
    <w:p w14:paraId="4EBCD842">
      <w:pPr>
        <w:pStyle w:val="39"/>
        <w:keepNext w:val="0"/>
        <w:keepLines w:val="0"/>
        <w:pageBreakBefore w:val="0"/>
        <w:kinsoku/>
        <w:wordWrap/>
        <w:overflowPunct/>
        <w:topLinePunct w:val="0"/>
        <w:autoSpaceDE/>
        <w:autoSpaceDN/>
        <w:bidi w:val="0"/>
        <w:adjustRightInd/>
        <w:snapToGrid/>
        <w:ind w:firstLine="482" w:firstLineChars="200"/>
        <w:jc w:val="center"/>
        <w:textAlignment w:val="auto"/>
        <w:outlineLvl w:val="0"/>
        <w:rPr>
          <w:rFonts w:hint="eastAsia" w:ascii="宋体" w:hAnsi="宋体" w:eastAsia="宋体" w:cs="宋体"/>
          <w:color w:val="auto"/>
          <w:sz w:val="32"/>
          <w:szCs w:val="32"/>
          <w:highlight w:val="none"/>
        </w:rPr>
      </w:pPr>
      <w:r>
        <w:rPr>
          <w:rFonts w:hint="eastAsia" w:ascii="宋体" w:hAnsi="宋体" w:eastAsia="宋体" w:cs="宋体"/>
          <w:b/>
          <w:bCs/>
          <w:snapToGrid/>
          <w:color w:val="auto"/>
          <w:kern w:val="2"/>
          <w:sz w:val="24"/>
          <w:szCs w:val="24"/>
          <w:highlight w:val="none"/>
          <w:lang w:val="en-US" w:eastAsia="zh-CN" w:bidi="ar-SA"/>
        </w:rPr>
        <w:br w:type="page"/>
      </w:r>
      <w:bookmarkStart w:id="347" w:name="_Toc20810"/>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eastAsia="zh-CN"/>
        </w:rPr>
        <w:t>六</w:t>
      </w:r>
      <w:r>
        <w:rPr>
          <w:rFonts w:hint="eastAsia" w:ascii="宋体" w:hAnsi="宋体" w:eastAsia="宋体" w:cs="宋体"/>
          <w:color w:val="auto"/>
          <w:sz w:val="32"/>
          <w:szCs w:val="32"/>
          <w:highlight w:val="none"/>
        </w:rPr>
        <w:t>部分</w:t>
      </w:r>
      <w:bookmarkEnd w:id="180"/>
      <w:bookmarkEnd w:id="181"/>
      <w:bookmarkEnd w:id="182"/>
      <w:r>
        <w:rPr>
          <w:rFonts w:hint="eastAsia" w:ascii="宋体" w:hAnsi="宋体" w:eastAsia="宋体" w:cs="宋体"/>
          <w:color w:val="auto"/>
          <w:sz w:val="32"/>
          <w:szCs w:val="32"/>
          <w:highlight w:val="none"/>
          <w:lang w:val="en-US" w:eastAsia="zh-CN"/>
        </w:rPr>
        <w:t xml:space="preserve"> </w:t>
      </w:r>
      <w:r>
        <w:rPr>
          <w:rFonts w:hint="eastAsia" w:ascii="宋体" w:hAnsi="宋体" w:cs="宋体"/>
          <w:color w:val="auto"/>
          <w:sz w:val="32"/>
          <w:szCs w:val="32"/>
          <w:highlight w:val="none"/>
          <w:lang w:val="en-US" w:eastAsia="zh-CN"/>
        </w:rPr>
        <w:t>投标文件</w:t>
      </w:r>
      <w:r>
        <w:rPr>
          <w:rFonts w:hint="eastAsia" w:ascii="宋体" w:hAnsi="宋体" w:eastAsia="宋体" w:cs="宋体"/>
          <w:color w:val="auto"/>
          <w:sz w:val="32"/>
          <w:szCs w:val="32"/>
          <w:highlight w:val="none"/>
        </w:rPr>
        <w:t>格式</w:t>
      </w:r>
      <w:bookmarkEnd w:id="183"/>
      <w:bookmarkEnd w:id="184"/>
      <w:bookmarkEnd w:id="347"/>
    </w:p>
    <w:p w14:paraId="52E09312">
      <w:pPr>
        <w:autoSpaceDE w:val="0"/>
        <w:autoSpaceDN w:val="0"/>
        <w:adjustRightInd w:val="0"/>
        <w:jc w:val="center"/>
        <w:outlineLvl w:val="9"/>
        <w:rPr>
          <w:rFonts w:hint="eastAsia" w:ascii="宋体" w:hAnsi="宋体" w:eastAsia="宋体" w:cs="宋体"/>
          <w:bCs/>
          <w:color w:val="auto"/>
          <w:kern w:val="0"/>
          <w:szCs w:val="21"/>
          <w:highlight w:val="none"/>
        </w:rPr>
      </w:pPr>
      <w:bookmarkStart w:id="348" w:name="_Toc3432"/>
      <w:bookmarkStart w:id="349" w:name="_Toc25864"/>
      <w:bookmarkStart w:id="350" w:name="_Toc19838"/>
      <w:r>
        <w:rPr>
          <w:rFonts w:hint="eastAsia" w:ascii="宋体" w:hAnsi="宋体" w:eastAsia="宋体" w:cs="宋体"/>
          <w:bCs/>
          <w:color w:val="auto"/>
          <w:kern w:val="0"/>
          <w:szCs w:val="21"/>
          <w:highlight w:val="none"/>
        </w:rPr>
        <w:t>（</w:t>
      </w:r>
      <w:r>
        <w:rPr>
          <w:rFonts w:hint="eastAsia" w:ascii="宋体" w:hAnsi="宋体" w:cs="宋体"/>
          <w:bCs/>
          <w:color w:val="auto"/>
          <w:kern w:val="0"/>
          <w:szCs w:val="21"/>
          <w:highlight w:val="none"/>
          <w:lang w:eastAsia="zh-CN"/>
        </w:rPr>
        <w:t>投标文件</w:t>
      </w:r>
      <w:r>
        <w:rPr>
          <w:rFonts w:hint="eastAsia" w:ascii="宋体" w:hAnsi="宋体" w:eastAsia="宋体" w:cs="宋体"/>
          <w:bCs/>
          <w:color w:val="auto"/>
          <w:kern w:val="0"/>
          <w:szCs w:val="21"/>
          <w:highlight w:val="none"/>
        </w:rPr>
        <w:t>制作格式，仅供参考）</w:t>
      </w:r>
    </w:p>
    <w:bookmarkEnd w:id="348"/>
    <w:bookmarkEnd w:id="349"/>
    <w:bookmarkEnd w:id="350"/>
    <w:p w14:paraId="0B773067">
      <w:pPr>
        <w:jc w:val="center"/>
        <w:outlineLvl w:val="1"/>
        <w:rPr>
          <w:rFonts w:hint="eastAsia" w:ascii="宋体" w:hAnsi="宋体" w:eastAsia="宋体" w:cs="宋体"/>
          <w:color w:val="auto"/>
          <w:sz w:val="24"/>
          <w:szCs w:val="24"/>
          <w:highlight w:val="none"/>
          <w:lang w:eastAsia="zh-CN"/>
        </w:rPr>
      </w:pPr>
      <w:bookmarkStart w:id="351" w:name="_Toc29984"/>
      <w:bookmarkStart w:id="352" w:name="_Toc17682"/>
      <w:bookmarkStart w:id="353" w:name="_Toc8526"/>
      <w:bookmarkStart w:id="354" w:name="_Toc21283"/>
      <w:bookmarkStart w:id="355" w:name="_Toc16640"/>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lang w:eastAsia="zh-CN"/>
        </w:rPr>
        <w:t>封面</w:t>
      </w:r>
      <w:bookmarkEnd w:id="351"/>
      <w:bookmarkEnd w:id="352"/>
    </w:p>
    <w:p w14:paraId="685B7008">
      <w:pPr>
        <w:autoSpaceDE w:val="0"/>
        <w:autoSpaceDN w:val="0"/>
        <w:adjustRightInd w:val="0"/>
        <w:jc w:val="right"/>
        <w:outlineLvl w:val="9"/>
        <w:rPr>
          <w:rFonts w:hint="eastAsia" w:ascii="宋体" w:hAnsi="宋体" w:eastAsia="宋体" w:cs="宋体"/>
          <w:b/>
          <w:color w:val="auto"/>
          <w:spacing w:val="-6"/>
          <w:kern w:val="0"/>
          <w:sz w:val="32"/>
          <w:szCs w:val="32"/>
          <w:highlight w:val="none"/>
          <w:bdr w:val="single" w:color="auto" w:sz="4" w:space="0"/>
          <w:lang w:eastAsia="zh-CN"/>
        </w:rPr>
      </w:pPr>
      <w:r>
        <w:rPr>
          <w:rFonts w:hint="eastAsia" w:ascii="宋体" w:hAnsi="宋体" w:eastAsia="宋体" w:cs="宋体"/>
          <w:b/>
          <w:color w:val="auto"/>
          <w:spacing w:val="-6"/>
          <w:kern w:val="0"/>
          <w:sz w:val="32"/>
          <w:szCs w:val="32"/>
          <w:highlight w:val="none"/>
          <w:bdr w:val="single" w:color="auto" w:sz="4" w:space="0"/>
        </w:rPr>
        <w:t>正本</w:t>
      </w:r>
      <w:r>
        <w:rPr>
          <w:rFonts w:hint="eastAsia" w:ascii="宋体" w:hAnsi="宋体" w:cs="宋体"/>
          <w:b/>
          <w:color w:val="auto"/>
          <w:spacing w:val="-6"/>
          <w:kern w:val="0"/>
          <w:sz w:val="32"/>
          <w:szCs w:val="32"/>
          <w:highlight w:val="none"/>
          <w:bdr w:val="single" w:color="auto" w:sz="4" w:space="0"/>
          <w:lang w:eastAsia="zh-CN"/>
        </w:rPr>
        <w:t>（</w:t>
      </w:r>
      <w:r>
        <w:rPr>
          <w:rFonts w:hint="eastAsia" w:ascii="宋体" w:hAnsi="宋体" w:eastAsia="宋体" w:cs="宋体"/>
          <w:b/>
          <w:color w:val="auto"/>
          <w:spacing w:val="-6"/>
          <w:kern w:val="0"/>
          <w:sz w:val="32"/>
          <w:szCs w:val="32"/>
          <w:highlight w:val="none"/>
          <w:bdr w:val="single" w:color="auto" w:sz="4" w:space="0"/>
        </w:rPr>
        <w:t>或副本</w:t>
      </w:r>
      <w:r>
        <w:rPr>
          <w:rFonts w:hint="eastAsia" w:ascii="宋体" w:hAnsi="宋体" w:cs="宋体"/>
          <w:b/>
          <w:color w:val="auto"/>
          <w:spacing w:val="-6"/>
          <w:kern w:val="0"/>
          <w:sz w:val="32"/>
          <w:szCs w:val="32"/>
          <w:highlight w:val="none"/>
          <w:bdr w:val="single" w:color="auto" w:sz="4" w:space="0"/>
          <w:lang w:eastAsia="zh-CN"/>
        </w:rPr>
        <w:t>）</w:t>
      </w:r>
    </w:p>
    <w:p w14:paraId="257782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color w:val="auto"/>
          <w:spacing w:val="-6"/>
          <w:kern w:val="0"/>
          <w:sz w:val="44"/>
          <w:szCs w:val="44"/>
          <w:highlight w:val="none"/>
          <w:lang w:val="en-US" w:eastAsia="zh-CN"/>
        </w:rPr>
      </w:pPr>
      <w:r>
        <w:rPr>
          <w:rFonts w:hint="eastAsia" w:ascii="宋体" w:hAnsi="宋体" w:cs="宋体"/>
          <w:b/>
          <w:color w:val="auto"/>
          <w:spacing w:val="-6"/>
          <w:kern w:val="0"/>
          <w:sz w:val="44"/>
          <w:szCs w:val="44"/>
          <w:highlight w:val="none"/>
          <w:lang w:val="en-US" w:eastAsia="zh-CN"/>
        </w:rPr>
        <w:t>新疆西昆仑金多金属矿成矿地质背景调查与找矿靶区优选服务项目</w:t>
      </w:r>
    </w:p>
    <w:p w14:paraId="25DC9A9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30"/>
          <w:highlight w:val="none"/>
          <w:lang w:val="en-US" w:eastAsia="zh-CN"/>
        </w:rPr>
      </w:pPr>
      <w:r>
        <w:rPr>
          <w:rFonts w:hint="eastAsia" w:ascii="宋体" w:hAnsi="宋体" w:eastAsia="宋体" w:cs="宋体"/>
          <w:color w:val="auto"/>
          <w:sz w:val="30"/>
          <w:highlight w:val="none"/>
          <w:lang w:eastAsia="zh-CN"/>
        </w:rPr>
        <w:t>（</w:t>
      </w:r>
      <w:r>
        <w:rPr>
          <w:rFonts w:hint="eastAsia" w:ascii="宋体" w:hAnsi="宋体" w:eastAsia="宋体" w:cs="宋体"/>
          <w:color w:val="auto"/>
          <w:sz w:val="30"/>
          <w:highlight w:val="none"/>
        </w:rPr>
        <w:t>项目编号：</w:t>
      </w:r>
      <w:r>
        <w:rPr>
          <w:rFonts w:hint="eastAsia" w:ascii="宋体" w:hAnsi="宋体" w:cs="宋体"/>
          <w:color w:val="auto"/>
          <w:sz w:val="30"/>
          <w:highlight w:val="none"/>
          <w:lang w:val="en-US" w:eastAsia="zh-CN"/>
        </w:rPr>
        <w:t>ZTQ-2026058</w:t>
      </w:r>
      <w:r>
        <w:rPr>
          <w:rFonts w:hint="eastAsia" w:ascii="宋体" w:hAnsi="宋体" w:eastAsia="宋体" w:cs="宋体"/>
          <w:color w:val="auto"/>
          <w:sz w:val="30"/>
          <w:highlight w:val="none"/>
          <w:lang w:val="en-US" w:eastAsia="zh-CN"/>
        </w:rPr>
        <w:t>）</w:t>
      </w:r>
    </w:p>
    <w:p w14:paraId="3817633E">
      <w:pPr>
        <w:spacing w:line="360" w:lineRule="auto"/>
        <w:jc w:val="center"/>
        <w:outlineLvl w:val="9"/>
        <w:rPr>
          <w:rFonts w:hint="eastAsia" w:ascii="宋体" w:hAnsi="宋体" w:eastAsia="宋体" w:cs="宋体"/>
          <w:b/>
          <w:color w:val="auto"/>
          <w:sz w:val="32"/>
          <w:szCs w:val="32"/>
          <w:highlight w:val="none"/>
        </w:rPr>
      </w:pPr>
    </w:p>
    <w:p w14:paraId="2DAD531A">
      <w:pPr>
        <w:spacing w:line="360" w:lineRule="auto"/>
        <w:jc w:val="center"/>
        <w:outlineLvl w:val="9"/>
        <w:rPr>
          <w:rFonts w:hint="eastAsia" w:ascii="宋体" w:hAnsi="宋体" w:eastAsia="宋体" w:cs="宋体"/>
          <w:b/>
          <w:color w:val="auto"/>
          <w:sz w:val="32"/>
          <w:szCs w:val="32"/>
          <w:highlight w:val="none"/>
        </w:rPr>
      </w:pPr>
    </w:p>
    <w:p w14:paraId="7CE9BDAB">
      <w:pPr>
        <w:spacing w:line="360" w:lineRule="auto"/>
        <w:jc w:val="center"/>
        <w:outlineLvl w:val="9"/>
        <w:rPr>
          <w:rFonts w:hint="eastAsia" w:ascii="宋体" w:hAnsi="宋体" w:eastAsia="宋体" w:cs="宋体"/>
          <w:b/>
          <w:color w:val="auto"/>
          <w:sz w:val="72"/>
          <w:szCs w:val="72"/>
          <w:highlight w:val="none"/>
          <w:lang w:eastAsia="zh-CN"/>
        </w:rPr>
      </w:pPr>
    </w:p>
    <w:p w14:paraId="685AC0A8">
      <w:pPr>
        <w:spacing w:line="360" w:lineRule="auto"/>
        <w:jc w:val="center"/>
        <w:outlineLvl w:val="9"/>
        <w:rPr>
          <w:rFonts w:hint="eastAsia" w:ascii="宋体" w:hAnsi="宋体" w:eastAsia="宋体" w:cs="宋体"/>
          <w:b/>
          <w:color w:val="auto"/>
          <w:sz w:val="72"/>
          <w:szCs w:val="72"/>
          <w:highlight w:val="none"/>
        </w:rPr>
      </w:pPr>
      <w:r>
        <w:rPr>
          <w:rFonts w:hint="eastAsia" w:ascii="宋体" w:hAnsi="宋体" w:cs="宋体"/>
          <w:b/>
          <w:color w:val="auto"/>
          <w:sz w:val="72"/>
          <w:szCs w:val="72"/>
          <w:highlight w:val="none"/>
          <w:lang w:val="en-US" w:eastAsia="zh-CN"/>
        </w:rPr>
        <w:t>投标</w:t>
      </w:r>
      <w:r>
        <w:rPr>
          <w:rFonts w:hint="eastAsia" w:ascii="宋体" w:hAnsi="宋体" w:eastAsia="宋体" w:cs="宋体"/>
          <w:b/>
          <w:color w:val="auto"/>
          <w:sz w:val="72"/>
          <w:szCs w:val="72"/>
          <w:highlight w:val="none"/>
        </w:rPr>
        <w:t>文件</w:t>
      </w:r>
    </w:p>
    <w:p w14:paraId="65E6A252">
      <w:pPr>
        <w:pStyle w:val="18"/>
        <w:tabs>
          <w:tab w:val="left" w:pos="924"/>
        </w:tabs>
        <w:outlineLvl w:val="9"/>
        <w:rPr>
          <w:rFonts w:hint="eastAsia" w:ascii="宋体" w:hAnsi="宋体" w:eastAsia="宋体" w:cs="宋体"/>
          <w:b/>
          <w:color w:val="auto"/>
          <w:szCs w:val="48"/>
          <w:highlight w:val="none"/>
        </w:rPr>
      </w:pPr>
    </w:p>
    <w:p w14:paraId="1A94822A">
      <w:pPr>
        <w:pStyle w:val="19"/>
        <w:rPr>
          <w:rFonts w:hint="eastAsia"/>
          <w:color w:val="auto"/>
          <w:highlight w:val="none"/>
        </w:rPr>
      </w:pPr>
    </w:p>
    <w:p w14:paraId="01A3DB92">
      <w:pPr>
        <w:pStyle w:val="20"/>
        <w:ind w:left="0" w:leftChars="0" w:firstLine="0" w:firstLineChars="0"/>
        <w:rPr>
          <w:rFonts w:hint="eastAsia"/>
          <w:color w:val="auto"/>
          <w:highlight w:val="none"/>
        </w:rPr>
      </w:pPr>
    </w:p>
    <w:p w14:paraId="5D31C1DA">
      <w:pPr>
        <w:spacing w:line="360" w:lineRule="auto"/>
        <w:ind w:firstLine="1500" w:firstLineChars="500"/>
        <w:jc w:val="both"/>
        <w:outlineLvl w:val="9"/>
        <w:rPr>
          <w:rFonts w:hint="default" w:ascii="宋体" w:hAnsi="宋体" w:eastAsia="宋体" w:cs="宋体"/>
          <w:color w:val="auto"/>
          <w:sz w:val="30"/>
          <w:highlight w:val="none"/>
          <w:lang w:val="en-US" w:eastAsia="zh-CN"/>
        </w:rPr>
      </w:pPr>
      <w:r>
        <w:rPr>
          <w:rFonts w:hint="eastAsia" w:ascii="宋体" w:hAnsi="宋体" w:eastAsia="宋体" w:cs="宋体"/>
          <w:color w:val="auto"/>
          <w:sz w:val="30"/>
          <w:highlight w:val="none"/>
        </w:rPr>
        <w:t>投标单位：</w:t>
      </w:r>
      <w:r>
        <w:rPr>
          <w:rFonts w:hint="eastAsia" w:ascii="宋体" w:hAnsi="宋体" w:eastAsia="宋体" w:cs="宋体"/>
          <w:color w:val="auto"/>
          <w:sz w:val="30"/>
          <w:highlight w:val="none"/>
          <w:u w:val="single"/>
        </w:rPr>
        <w:t xml:space="preserve">   （全称）</w:t>
      </w:r>
      <w:r>
        <w:rPr>
          <w:rFonts w:hint="eastAsia" w:ascii="宋体" w:hAnsi="宋体" w:eastAsia="宋体" w:cs="宋体"/>
          <w:color w:val="auto"/>
          <w:sz w:val="30"/>
          <w:highlight w:val="none"/>
          <w:u w:val="single"/>
          <w:lang w:val="en-US" w:eastAsia="zh-CN"/>
        </w:rPr>
        <w:t xml:space="preserve">  </w:t>
      </w:r>
      <w:r>
        <w:rPr>
          <w:rFonts w:hint="eastAsia" w:ascii="宋体" w:hAnsi="宋体" w:eastAsia="宋体" w:cs="宋体"/>
          <w:color w:val="auto"/>
          <w:sz w:val="30"/>
          <w:highlight w:val="none"/>
          <w:u w:val="single"/>
        </w:rPr>
        <w:t>（</w:t>
      </w:r>
      <w:r>
        <w:rPr>
          <w:rFonts w:hint="eastAsia" w:ascii="宋体" w:hAnsi="宋体" w:eastAsia="宋体" w:cs="宋体"/>
          <w:color w:val="auto"/>
          <w:sz w:val="30"/>
          <w:highlight w:val="none"/>
          <w:u w:val="single"/>
          <w:lang w:eastAsia="zh-CN"/>
        </w:rPr>
        <w:t>公章</w:t>
      </w:r>
      <w:r>
        <w:rPr>
          <w:rFonts w:hint="eastAsia" w:ascii="宋体" w:hAnsi="宋体" w:eastAsia="宋体" w:cs="宋体"/>
          <w:color w:val="auto"/>
          <w:sz w:val="30"/>
          <w:highlight w:val="none"/>
          <w:u w:val="single"/>
        </w:rPr>
        <w:t>）</w:t>
      </w:r>
      <w:r>
        <w:rPr>
          <w:rFonts w:hint="eastAsia" w:ascii="宋体" w:hAnsi="宋体" w:eastAsia="宋体" w:cs="宋体"/>
          <w:color w:val="auto"/>
          <w:sz w:val="30"/>
          <w:highlight w:val="none"/>
          <w:u w:val="single"/>
          <w:lang w:val="en-US" w:eastAsia="zh-CN"/>
        </w:rPr>
        <w:t xml:space="preserve">         </w:t>
      </w:r>
    </w:p>
    <w:p w14:paraId="303554EE">
      <w:pPr>
        <w:spacing w:line="360" w:lineRule="auto"/>
        <w:ind w:firstLine="1500" w:firstLineChars="500"/>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法人代表或授权代表</w:t>
      </w:r>
    </w:p>
    <w:p w14:paraId="522567E5">
      <w:pPr>
        <w:spacing w:line="360" w:lineRule="auto"/>
        <w:ind w:firstLine="1500" w:firstLineChars="500"/>
        <w:outlineLvl w:val="9"/>
        <w:rPr>
          <w:rFonts w:hint="eastAsia" w:ascii="宋体" w:hAnsi="宋体" w:eastAsia="宋体" w:cs="宋体"/>
          <w:color w:val="auto"/>
          <w:sz w:val="30"/>
          <w:highlight w:val="none"/>
          <w:lang w:val="en-US" w:eastAsia="zh-CN"/>
        </w:rPr>
      </w:pPr>
      <w:r>
        <w:rPr>
          <w:rFonts w:hint="eastAsia" w:ascii="宋体" w:hAnsi="宋体" w:eastAsia="宋体" w:cs="宋体"/>
          <w:color w:val="auto"/>
          <w:sz w:val="30"/>
          <w:highlight w:val="none"/>
          <w:lang w:val="en-US" w:eastAsia="zh-CN"/>
        </w:rPr>
        <w:t>（签字</w:t>
      </w:r>
      <w:r>
        <w:rPr>
          <w:rFonts w:hint="eastAsia" w:ascii="宋体" w:hAnsi="宋体" w:eastAsia="宋体" w:cs="宋体"/>
          <w:color w:val="auto"/>
          <w:sz w:val="30"/>
          <w:highlight w:val="none"/>
          <w:lang w:eastAsia="zh-CN"/>
        </w:rPr>
        <w:t>或盖章</w:t>
      </w:r>
      <w:r>
        <w:rPr>
          <w:rFonts w:hint="eastAsia" w:ascii="宋体" w:hAnsi="宋体" w:eastAsia="宋体" w:cs="宋体"/>
          <w:color w:val="auto"/>
          <w:sz w:val="30"/>
          <w:highlight w:val="none"/>
          <w:lang w:val="en-US" w:eastAsia="zh-CN"/>
        </w:rPr>
        <w:t>）</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lang w:val="en-US" w:eastAsia="zh-CN"/>
        </w:rPr>
        <w:t xml:space="preserve">               </w:t>
      </w:r>
    </w:p>
    <w:p w14:paraId="50FC8704">
      <w:pPr>
        <w:spacing w:line="360" w:lineRule="auto"/>
        <w:ind w:firstLine="1500" w:firstLineChars="500"/>
        <w:outlineLvl w:val="9"/>
        <w:rPr>
          <w:rFonts w:hint="eastAsia" w:ascii="宋体" w:hAnsi="宋体" w:eastAsia="宋体" w:cs="宋体"/>
          <w:color w:val="auto"/>
          <w:sz w:val="30"/>
          <w:highlight w:val="none"/>
          <w:u w:val="single"/>
          <w:lang w:val="en-US" w:eastAsia="zh-CN"/>
        </w:rPr>
      </w:pPr>
      <w:r>
        <w:rPr>
          <w:rFonts w:hint="eastAsia" w:ascii="宋体" w:hAnsi="宋体" w:eastAsia="宋体" w:cs="宋体"/>
          <w:color w:val="auto"/>
          <w:sz w:val="30"/>
          <w:highlight w:val="none"/>
        </w:rPr>
        <w:t>联系</w:t>
      </w:r>
      <w:r>
        <w:rPr>
          <w:rFonts w:hint="eastAsia" w:ascii="宋体" w:hAnsi="宋体" w:eastAsia="宋体" w:cs="宋体"/>
          <w:color w:val="auto"/>
          <w:sz w:val="30"/>
          <w:highlight w:val="none"/>
          <w:lang w:eastAsia="zh-CN"/>
        </w:rPr>
        <w:t>方式</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lang w:val="en-US" w:eastAsia="zh-CN"/>
        </w:rPr>
        <w:t xml:space="preserve">   （</w:t>
      </w:r>
      <w:r>
        <w:rPr>
          <w:rFonts w:hint="eastAsia" w:ascii="宋体" w:hAnsi="宋体" w:eastAsia="宋体" w:cs="宋体"/>
          <w:i/>
          <w:iCs/>
          <w:color w:val="auto"/>
          <w:sz w:val="30"/>
          <w:highlight w:val="none"/>
          <w:u w:val="single"/>
          <w:lang w:val="en-US" w:eastAsia="zh-CN"/>
        </w:rPr>
        <w:t>联系人及电话）</w:t>
      </w:r>
      <w:r>
        <w:rPr>
          <w:rFonts w:hint="eastAsia" w:ascii="宋体" w:hAnsi="宋体" w:eastAsia="宋体" w:cs="宋体"/>
          <w:color w:val="auto"/>
          <w:sz w:val="30"/>
          <w:highlight w:val="none"/>
          <w:u w:val="single"/>
          <w:lang w:val="en-US" w:eastAsia="zh-CN"/>
        </w:rPr>
        <w:t xml:space="preserve">          </w:t>
      </w:r>
    </w:p>
    <w:p w14:paraId="6509C30C">
      <w:pPr>
        <w:spacing w:line="360" w:lineRule="auto"/>
        <w:ind w:firstLine="1500" w:firstLineChars="500"/>
        <w:outlineLvl w:val="9"/>
        <w:rPr>
          <w:rFonts w:hint="eastAsia" w:ascii="宋体" w:hAnsi="宋体" w:eastAsia="宋体" w:cs="宋体"/>
          <w:color w:val="auto"/>
          <w:sz w:val="30"/>
          <w:highlight w:val="none"/>
          <w:lang w:val="en-US" w:eastAsia="zh-CN"/>
        </w:rPr>
      </w:pPr>
      <w:r>
        <w:rPr>
          <w:rFonts w:hint="eastAsia" w:ascii="宋体" w:hAnsi="宋体" w:eastAsia="宋体" w:cs="宋体"/>
          <w:color w:val="auto"/>
          <w:sz w:val="30"/>
          <w:highlight w:val="none"/>
        </w:rPr>
        <w:t>单位地址：</w:t>
      </w:r>
      <w:r>
        <w:rPr>
          <w:rFonts w:hint="eastAsia" w:ascii="宋体" w:hAnsi="宋体" w:eastAsia="宋体" w:cs="宋体"/>
          <w:color w:val="auto"/>
          <w:sz w:val="30"/>
          <w:highlight w:val="none"/>
          <w:u w:val="single"/>
          <w:lang w:val="en-US" w:eastAsia="zh-CN"/>
        </w:rPr>
        <w:t xml:space="preserve">                             </w:t>
      </w:r>
    </w:p>
    <w:p w14:paraId="74BA2B3A">
      <w:pPr>
        <w:spacing w:line="360" w:lineRule="auto"/>
        <w:ind w:firstLine="1500" w:firstLineChars="500"/>
        <w:outlineLvl w:val="9"/>
        <w:rPr>
          <w:rFonts w:hint="eastAsia" w:ascii="宋体" w:hAnsi="宋体" w:eastAsia="宋体" w:cs="宋体"/>
          <w:color w:val="auto"/>
          <w:sz w:val="30"/>
          <w:highlight w:val="none"/>
          <w:lang w:val="en-US" w:eastAsia="zh-CN"/>
        </w:rPr>
      </w:pPr>
      <w:r>
        <w:rPr>
          <w:rFonts w:hint="eastAsia" w:ascii="宋体" w:hAnsi="宋体" w:eastAsia="宋体" w:cs="宋体"/>
          <w:color w:val="auto"/>
          <w:sz w:val="30"/>
          <w:highlight w:val="none"/>
          <w:lang w:eastAsia="zh-CN"/>
        </w:rPr>
        <w:t>日</w:t>
      </w:r>
      <w:r>
        <w:rPr>
          <w:rFonts w:hint="eastAsia" w:ascii="宋体" w:hAnsi="宋体" w:eastAsia="宋体" w:cs="宋体"/>
          <w:color w:val="auto"/>
          <w:sz w:val="30"/>
          <w:highlight w:val="none"/>
          <w:lang w:val="en-US" w:eastAsia="zh-CN"/>
        </w:rPr>
        <w:t xml:space="preserve">    </w:t>
      </w:r>
      <w:r>
        <w:rPr>
          <w:rFonts w:hint="eastAsia" w:ascii="宋体" w:hAnsi="宋体" w:eastAsia="宋体" w:cs="宋体"/>
          <w:color w:val="auto"/>
          <w:sz w:val="30"/>
          <w:highlight w:val="none"/>
          <w:lang w:eastAsia="zh-CN"/>
        </w:rPr>
        <w:t>期</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lang w:val="en-US" w:eastAsia="zh-CN"/>
        </w:rPr>
        <w:t xml:space="preserve">                             </w:t>
      </w:r>
    </w:p>
    <w:p w14:paraId="5EB74270">
      <w:pPr>
        <w:pStyle w:val="143"/>
        <w:keepNext w:val="0"/>
        <w:keepLines w:val="0"/>
        <w:pageBreakBefore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sz w:val="24"/>
          <w:highlight w:val="none"/>
        </w:rPr>
      </w:pPr>
    </w:p>
    <w:p w14:paraId="468067F7">
      <w:pPr>
        <w:bidi w:val="0"/>
        <w:jc w:val="center"/>
        <w:outlineLvl w:val="9"/>
        <w:rPr>
          <w:rFonts w:hint="eastAsia" w:ascii="宋体" w:hAnsi="宋体" w:eastAsia="宋体" w:cs="宋体"/>
          <w:b/>
          <w:bCs/>
          <w:color w:val="auto"/>
          <w:sz w:val="24"/>
          <w:szCs w:val="24"/>
          <w:highlight w:val="none"/>
        </w:rPr>
      </w:pPr>
      <w:bookmarkStart w:id="356" w:name="_Toc31656"/>
      <w:bookmarkStart w:id="357" w:name="_Toc1719141"/>
      <w:bookmarkStart w:id="358" w:name="_Toc3891637"/>
      <w:bookmarkStart w:id="359" w:name="_Toc1721037"/>
      <w:bookmarkStart w:id="360" w:name="_Toc13820"/>
      <w:bookmarkStart w:id="361" w:name="_Toc1719142"/>
      <w:bookmarkStart w:id="362" w:name="_Toc1721038"/>
      <w:bookmarkStart w:id="363" w:name="_Toc30637"/>
      <w:bookmarkStart w:id="364" w:name="_Toc3891638"/>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目录</w:t>
      </w:r>
      <w:bookmarkEnd w:id="356"/>
      <w:bookmarkEnd w:id="357"/>
      <w:bookmarkEnd w:id="358"/>
      <w:bookmarkEnd w:id="359"/>
      <w:bookmarkEnd w:id="360"/>
    </w:p>
    <w:p w14:paraId="29E6F0BF">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（自行编制，</w:t>
      </w:r>
      <w:r>
        <w:rPr>
          <w:rFonts w:hint="eastAsia" w:ascii="宋体" w:hAnsi="宋体" w:eastAsia="宋体" w:cs="宋体"/>
          <w:bCs/>
          <w:color w:val="auto"/>
          <w:sz w:val="24"/>
          <w:szCs w:val="24"/>
          <w:highlight w:val="none"/>
        </w:rPr>
        <w:t>为便于查找，请标明页码</w:t>
      </w:r>
      <w:r>
        <w:rPr>
          <w:rFonts w:hint="eastAsia" w:ascii="宋体" w:hAnsi="宋体" w:eastAsia="宋体" w:cs="宋体"/>
          <w:color w:val="auto"/>
          <w:sz w:val="24"/>
          <w:szCs w:val="24"/>
          <w:highlight w:val="none"/>
        </w:rPr>
        <w:t>）</w:t>
      </w:r>
    </w:p>
    <w:bookmarkEnd w:id="361"/>
    <w:bookmarkEnd w:id="362"/>
    <w:bookmarkEnd w:id="363"/>
    <w:bookmarkEnd w:id="364"/>
    <w:p w14:paraId="3461DF8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r>
        <w:rPr>
          <w:rFonts w:hint="eastAsia" w:ascii="宋体" w:hAnsi="宋体" w:eastAsia="宋体" w:cs="宋体"/>
          <w:b/>
          <w:bCs/>
          <w:color w:val="auto"/>
          <w:sz w:val="24"/>
          <w:szCs w:val="24"/>
          <w:highlight w:val="none"/>
          <w:lang w:eastAsia="zh-CN"/>
        </w:rPr>
        <w:t>资格审查</w:t>
      </w:r>
      <w:r>
        <w:rPr>
          <w:rFonts w:hint="eastAsia" w:ascii="宋体" w:hAnsi="宋体" w:eastAsia="宋体" w:cs="宋体"/>
          <w:b/>
          <w:bCs/>
          <w:color w:val="auto"/>
          <w:sz w:val="24"/>
          <w:szCs w:val="24"/>
          <w:highlight w:val="none"/>
        </w:rPr>
        <w:t>索引</w:t>
      </w:r>
      <w:r>
        <w:rPr>
          <w:rFonts w:hint="eastAsia" w:ascii="宋体" w:hAnsi="宋体" w:eastAsia="宋体" w:cs="宋体"/>
          <w:b/>
          <w:bCs/>
          <w:color w:val="auto"/>
          <w:sz w:val="24"/>
          <w:szCs w:val="24"/>
          <w:highlight w:val="none"/>
          <w:lang w:eastAsia="zh-CN"/>
        </w:rPr>
        <w:t>表</w:t>
      </w:r>
    </w:p>
    <w:tbl>
      <w:tblPr>
        <w:tblStyle w:val="4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6"/>
        <w:gridCol w:w="6915"/>
        <w:gridCol w:w="1678"/>
      </w:tblGrid>
      <w:tr w14:paraId="3A100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jc w:val="center"/>
        </w:trPr>
        <w:tc>
          <w:tcPr>
            <w:tcW w:w="826" w:type="dxa"/>
            <w:noWrap w:val="0"/>
            <w:vAlign w:val="center"/>
          </w:tcPr>
          <w:p w14:paraId="0466123F">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915" w:type="dxa"/>
            <w:noWrap w:val="0"/>
            <w:vAlign w:val="center"/>
          </w:tcPr>
          <w:p w14:paraId="4604984A">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审</w:t>
            </w:r>
            <w:r>
              <w:rPr>
                <w:rFonts w:hint="eastAsia" w:ascii="宋体" w:hAnsi="宋体" w:eastAsia="宋体" w:cs="宋体"/>
                <w:b/>
                <w:bCs/>
                <w:color w:val="auto"/>
                <w:sz w:val="21"/>
                <w:szCs w:val="21"/>
                <w:highlight w:val="none"/>
                <w:lang w:eastAsia="zh-CN"/>
              </w:rPr>
              <w:t>查内容</w:t>
            </w:r>
          </w:p>
        </w:tc>
        <w:tc>
          <w:tcPr>
            <w:tcW w:w="1678" w:type="dxa"/>
            <w:noWrap w:val="0"/>
            <w:vAlign w:val="center"/>
          </w:tcPr>
          <w:p w14:paraId="7A6D7D2B">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详见投标文件</w:t>
            </w:r>
          </w:p>
        </w:tc>
      </w:tr>
      <w:tr w14:paraId="76FFA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26" w:type="dxa"/>
            <w:noWrap w:val="0"/>
            <w:vAlign w:val="center"/>
          </w:tcPr>
          <w:p w14:paraId="381578A4">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1</w:t>
            </w:r>
          </w:p>
        </w:tc>
        <w:tc>
          <w:tcPr>
            <w:tcW w:w="6915" w:type="dxa"/>
            <w:noWrap w:val="0"/>
            <w:vAlign w:val="center"/>
          </w:tcPr>
          <w:p w14:paraId="780ECB20">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提供有效的：</w:t>
            </w:r>
          </w:p>
          <w:p w14:paraId="40D6A2D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1、如供应商是企业（包括合伙企业），应提供在市场监督管理部门注册的有效 “企业法人营业执照”或“营业执照”；</w:t>
            </w:r>
          </w:p>
          <w:p w14:paraId="0AD523A5">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2、如供应商是事业单位，应提供有效的“事业单位法人证书”；</w:t>
            </w:r>
          </w:p>
          <w:p w14:paraId="5CE2D4A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3、如供应商是非企业专业服务机构的，应提供执业许可证等证明文件；</w:t>
            </w:r>
          </w:p>
          <w:p w14:paraId="242AB71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4、如供应商是个体工商户，应提供有效的“个体工商户营业执照”；</w:t>
            </w:r>
          </w:p>
          <w:p w14:paraId="73B04A1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5、如供应商是自然人，应提供有效的自然人身份证明。</w:t>
            </w:r>
          </w:p>
          <w:p w14:paraId="7C01AE8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default" w:ascii="宋体" w:hAnsi="宋体" w:eastAsia="宋体" w:cs="宋体"/>
                <w:b w:val="0"/>
                <w:bCs/>
                <w:color w:val="auto"/>
                <w:kern w:val="0"/>
                <w:sz w:val="24"/>
                <w:szCs w:val="24"/>
                <w:highlight w:val="none"/>
                <w:vertAlign w:val="baseline"/>
                <w:lang w:val="en-US" w:eastAsia="zh-CN" w:bidi="ar-SA"/>
              </w:rPr>
              <w:t>注：所有证明文件须在有效期</w:t>
            </w:r>
            <w:bookmarkStart w:id="495" w:name="_GoBack"/>
            <w:bookmarkEnd w:id="495"/>
            <w:r>
              <w:rPr>
                <w:rFonts w:hint="default" w:ascii="宋体" w:hAnsi="宋体" w:eastAsia="宋体" w:cs="宋体"/>
                <w:b w:val="0"/>
                <w:bCs/>
                <w:color w:val="auto"/>
                <w:kern w:val="0"/>
                <w:sz w:val="24"/>
                <w:szCs w:val="24"/>
                <w:highlight w:val="none"/>
                <w:vertAlign w:val="baseline"/>
                <w:lang w:val="en-US" w:eastAsia="zh-CN" w:bidi="ar-SA"/>
              </w:rPr>
              <w:t>内，且主体名称与投标人名称一致。</w:t>
            </w:r>
          </w:p>
        </w:tc>
        <w:tc>
          <w:tcPr>
            <w:tcW w:w="1678" w:type="dxa"/>
            <w:noWrap w:val="0"/>
            <w:vAlign w:val="center"/>
          </w:tcPr>
          <w:p w14:paraId="7FD530E5">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659AD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26" w:type="dxa"/>
            <w:noWrap w:val="0"/>
            <w:vAlign w:val="center"/>
          </w:tcPr>
          <w:p w14:paraId="7DC767F2">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6915" w:type="dxa"/>
            <w:noWrap w:val="0"/>
            <w:vAlign w:val="center"/>
          </w:tcPr>
          <w:p w14:paraId="6E4920E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bCs/>
                <w:color w:val="auto"/>
                <w:sz w:val="21"/>
                <w:szCs w:val="21"/>
                <w:highlight w:val="none"/>
              </w:rPr>
            </w:pPr>
            <w:r>
              <w:rPr>
                <w:rFonts w:hint="default" w:ascii="宋体" w:hAnsi="宋体" w:eastAsia="宋体" w:cs="宋体"/>
                <w:b w:val="0"/>
                <w:bCs/>
                <w:color w:val="auto"/>
                <w:kern w:val="0"/>
                <w:sz w:val="24"/>
                <w:szCs w:val="24"/>
                <w:highlight w:val="none"/>
                <w:vertAlign w:val="baseline"/>
                <w:lang w:val="en-US" w:eastAsia="zh-CN" w:bidi="ar-SA"/>
              </w:rPr>
              <w:t>提供</w:t>
            </w:r>
            <w:r>
              <w:rPr>
                <w:rFonts w:hint="eastAsia" w:ascii="宋体" w:hAnsi="宋体" w:cs="宋体"/>
                <w:b w:val="0"/>
                <w:bCs/>
                <w:color w:val="auto"/>
                <w:kern w:val="0"/>
                <w:sz w:val="24"/>
                <w:szCs w:val="24"/>
                <w:highlight w:val="none"/>
                <w:vertAlign w:val="baseline"/>
                <w:lang w:val="en-US" w:eastAsia="zh-CN" w:bidi="ar-SA"/>
              </w:rPr>
              <w:t>2024</w:t>
            </w:r>
            <w:r>
              <w:rPr>
                <w:rFonts w:hint="default" w:ascii="宋体" w:hAnsi="宋体" w:eastAsia="宋体" w:cs="宋体"/>
                <w:b w:val="0"/>
                <w:bCs/>
                <w:color w:val="auto"/>
                <w:kern w:val="0"/>
                <w:sz w:val="24"/>
                <w:szCs w:val="24"/>
                <w:highlight w:val="none"/>
                <w:vertAlign w:val="baseline"/>
                <w:lang w:val="en-US" w:eastAsia="zh-CN" w:bidi="ar-SA"/>
              </w:rPr>
              <w:t>年度</w:t>
            </w:r>
            <w:r>
              <w:rPr>
                <w:rFonts w:hint="eastAsia" w:ascii="宋体" w:hAnsi="宋体" w:cs="宋体"/>
                <w:b w:val="0"/>
                <w:bCs/>
                <w:color w:val="auto"/>
                <w:kern w:val="0"/>
                <w:sz w:val="24"/>
                <w:szCs w:val="24"/>
                <w:highlight w:val="none"/>
                <w:vertAlign w:val="baseline"/>
                <w:lang w:val="en-US" w:eastAsia="zh-CN" w:bidi="ar-SA"/>
              </w:rPr>
              <w:t>或2025年度</w:t>
            </w:r>
            <w:r>
              <w:rPr>
                <w:rFonts w:hint="default" w:ascii="宋体" w:hAnsi="宋体" w:eastAsia="宋体" w:cs="宋体"/>
                <w:b w:val="0"/>
                <w:bCs/>
                <w:color w:val="auto"/>
                <w:kern w:val="0"/>
                <w:sz w:val="24"/>
                <w:szCs w:val="24"/>
                <w:highlight w:val="none"/>
                <w:vertAlign w:val="baseline"/>
                <w:lang w:val="en-US" w:eastAsia="zh-CN" w:bidi="ar-SA"/>
              </w:rPr>
              <w:t>财务报表/财务审计报告或提供其基本开户银行在投标截止日前六个月内出具的银行资信证明加盖</w:t>
            </w:r>
            <w:r>
              <w:rPr>
                <w:rFonts w:hint="eastAsia" w:ascii="宋体" w:hAnsi="宋体" w:cs="宋体"/>
                <w:b w:val="0"/>
                <w:bCs/>
                <w:color w:val="auto"/>
                <w:kern w:val="0"/>
                <w:sz w:val="24"/>
                <w:szCs w:val="24"/>
                <w:highlight w:val="none"/>
                <w:vertAlign w:val="baseline"/>
                <w:lang w:val="en-US" w:eastAsia="zh-CN" w:bidi="ar-SA"/>
              </w:rPr>
              <w:t>投标人</w:t>
            </w:r>
            <w:r>
              <w:rPr>
                <w:rFonts w:hint="default" w:ascii="宋体" w:hAnsi="宋体" w:eastAsia="宋体" w:cs="宋体"/>
                <w:b w:val="0"/>
                <w:bCs/>
                <w:color w:val="auto"/>
                <w:kern w:val="0"/>
                <w:sz w:val="24"/>
                <w:szCs w:val="24"/>
                <w:highlight w:val="none"/>
                <w:vertAlign w:val="baseline"/>
                <w:lang w:val="en-US" w:eastAsia="zh-CN" w:bidi="ar-SA"/>
              </w:rPr>
              <w:t>公章；新成立不满1年的企业无需提供</w:t>
            </w:r>
          </w:p>
        </w:tc>
        <w:tc>
          <w:tcPr>
            <w:tcW w:w="1678" w:type="dxa"/>
            <w:noWrap w:val="0"/>
            <w:vAlign w:val="center"/>
          </w:tcPr>
          <w:p w14:paraId="4E04E1CD">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51568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26" w:type="dxa"/>
            <w:tcBorders>
              <w:top w:val="single" w:color="auto" w:sz="4" w:space="0"/>
              <w:bottom w:val="single" w:color="auto" w:sz="4" w:space="0"/>
            </w:tcBorders>
            <w:noWrap w:val="0"/>
            <w:vAlign w:val="center"/>
          </w:tcPr>
          <w:p w14:paraId="42EC3A1B">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w:t>
            </w:r>
          </w:p>
        </w:tc>
        <w:tc>
          <w:tcPr>
            <w:tcW w:w="6915" w:type="dxa"/>
            <w:noWrap w:val="0"/>
            <w:vAlign w:val="center"/>
          </w:tcPr>
          <w:p w14:paraId="64253B0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sz w:val="21"/>
                <w:szCs w:val="21"/>
                <w:highlight w:val="none"/>
              </w:rPr>
            </w:pPr>
            <w:r>
              <w:rPr>
                <w:rFonts w:hint="eastAsia" w:ascii="宋体" w:hAnsi="宋体" w:cs="宋体"/>
                <w:kern w:val="0"/>
                <w:sz w:val="24"/>
              </w:rPr>
              <w:t>按采购文件要求</w:t>
            </w:r>
            <w:r>
              <w:rPr>
                <w:rFonts w:hint="eastAsia" w:ascii="宋体" w:hAnsi="宋体" w:cs="宋体"/>
                <w:sz w:val="24"/>
                <w:szCs w:val="24"/>
              </w:rPr>
              <w:t>提供“具有履行合同所必需的设备和专业技术能力的声明函”</w:t>
            </w:r>
          </w:p>
        </w:tc>
        <w:tc>
          <w:tcPr>
            <w:tcW w:w="1678" w:type="dxa"/>
            <w:noWrap w:val="0"/>
            <w:vAlign w:val="center"/>
          </w:tcPr>
          <w:p w14:paraId="294EC823">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03FD2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26" w:type="dxa"/>
            <w:tcBorders>
              <w:top w:val="single" w:color="auto" w:sz="4" w:space="0"/>
              <w:bottom w:val="single" w:color="auto" w:sz="4" w:space="0"/>
            </w:tcBorders>
            <w:noWrap w:val="0"/>
            <w:vAlign w:val="center"/>
          </w:tcPr>
          <w:p w14:paraId="054933DF">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p>
        </w:tc>
        <w:tc>
          <w:tcPr>
            <w:tcW w:w="6915" w:type="dxa"/>
            <w:noWrap w:val="0"/>
            <w:vAlign w:val="center"/>
          </w:tcPr>
          <w:p w14:paraId="74F6E6CC">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cs="宋体"/>
                <w:sz w:val="24"/>
                <w:szCs w:val="24"/>
              </w:rPr>
              <w:t>提供近6个月内至少1个月的依法缴纳税收的完税证明和社保缴纳证明加盖供应商公章；供应商依法享受缓缴、免缴税收，免缴社会保障资金的提供证明材料加盖</w:t>
            </w:r>
            <w:r>
              <w:rPr>
                <w:rFonts w:hint="eastAsia" w:ascii="宋体" w:hAnsi="宋体" w:cs="宋体"/>
                <w:sz w:val="24"/>
                <w:szCs w:val="24"/>
                <w:lang w:val="en-US" w:eastAsia="zh-CN"/>
              </w:rPr>
              <w:t>投标人</w:t>
            </w:r>
            <w:r>
              <w:rPr>
                <w:rFonts w:hint="eastAsia" w:ascii="宋体" w:hAnsi="宋体" w:cs="宋体"/>
                <w:sz w:val="24"/>
                <w:szCs w:val="24"/>
              </w:rPr>
              <w:t>公章</w:t>
            </w:r>
          </w:p>
        </w:tc>
        <w:tc>
          <w:tcPr>
            <w:tcW w:w="1678" w:type="dxa"/>
            <w:noWrap w:val="0"/>
            <w:vAlign w:val="center"/>
          </w:tcPr>
          <w:p w14:paraId="039DBAF9">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3B2F0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26" w:type="dxa"/>
            <w:tcBorders>
              <w:top w:val="single" w:color="auto" w:sz="4" w:space="0"/>
              <w:bottom w:val="single" w:color="auto" w:sz="4" w:space="0"/>
            </w:tcBorders>
            <w:shd w:val="clear" w:color="auto" w:fill="auto"/>
            <w:noWrap w:val="0"/>
            <w:vAlign w:val="center"/>
          </w:tcPr>
          <w:p w14:paraId="687066EB">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w:t>
            </w:r>
          </w:p>
        </w:tc>
        <w:tc>
          <w:tcPr>
            <w:tcW w:w="6915" w:type="dxa"/>
            <w:noWrap w:val="0"/>
            <w:vAlign w:val="center"/>
          </w:tcPr>
          <w:p w14:paraId="2B527E30">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val="en-US" w:eastAsia="zh-CN" w:bidi="ar-SA"/>
              </w:rPr>
              <w:t>按采购文件要求提供“前三年内没有重大违法记录声明函”；</w:t>
            </w:r>
          </w:p>
          <w:p w14:paraId="06BF68F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bidi="ar-SA"/>
              </w:rPr>
              <w:t>投标（响应）文件开启日资格审查小组在“信用中国”、“中国政府采购网”查询：未被列入失信被执行人、重大税收违法案件当事人名单、政府采购严重违法失信行为记录名单的，有失信记录的将被拒绝其参与政府采购活动</w:t>
            </w:r>
          </w:p>
        </w:tc>
        <w:tc>
          <w:tcPr>
            <w:tcW w:w="1678" w:type="dxa"/>
            <w:noWrap w:val="0"/>
            <w:vAlign w:val="center"/>
          </w:tcPr>
          <w:p w14:paraId="3CE712D9">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bl>
    <w:p w14:paraId="33015B5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outlineLvl w:val="9"/>
        <w:rPr>
          <w:rFonts w:hint="eastAsia" w:ascii="宋体" w:hAnsi="宋体" w:eastAsia="宋体" w:cs="宋体"/>
          <w:b/>
          <w:bCs/>
          <w:color w:val="auto"/>
          <w:sz w:val="24"/>
          <w:szCs w:val="24"/>
          <w:highlight w:val="none"/>
        </w:rPr>
      </w:pPr>
    </w:p>
    <w:p w14:paraId="3B7FE51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lang w:eastAsia="zh-CN"/>
        </w:rPr>
        <w:t>符合性审查</w:t>
      </w:r>
      <w:r>
        <w:rPr>
          <w:rFonts w:hint="eastAsia" w:ascii="宋体" w:hAnsi="宋体" w:eastAsia="宋体" w:cs="宋体"/>
          <w:b/>
          <w:bCs/>
          <w:color w:val="auto"/>
          <w:sz w:val="24"/>
          <w:szCs w:val="24"/>
          <w:highlight w:val="none"/>
        </w:rPr>
        <w:t>索引</w:t>
      </w:r>
      <w:r>
        <w:rPr>
          <w:rFonts w:hint="eastAsia" w:ascii="宋体" w:hAnsi="宋体" w:eastAsia="宋体" w:cs="宋体"/>
          <w:b/>
          <w:bCs/>
          <w:color w:val="auto"/>
          <w:sz w:val="24"/>
          <w:szCs w:val="24"/>
          <w:highlight w:val="none"/>
          <w:lang w:eastAsia="zh-CN"/>
        </w:rPr>
        <w:t>表</w:t>
      </w:r>
    </w:p>
    <w:tbl>
      <w:tblPr>
        <w:tblStyle w:val="4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2"/>
        <w:gridCol w:w="6918"/>
        <w:gridCol w:w="1579"/>
      </w:tblGrid>
      <w:tr w14:paraId="03D13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noWrap w:val="0"/>
            <w:vAlign w:val="center"/>
          </w:tcPr>
          <w:p w14:paraId="2BEA1394">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918" w:type="dxa"/>
            <w:noWrap w:val="0"/>
            <w:vAlign w:val="center"/>
          </w:tcPr>
          <w:p w14:paraId="6C9233A0">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审</w:t>
            </w:r>
            <w:r>
              <w:rPr>
                <w:rFonts w:hint="eastAsia" w:ascii="宋体" w:hAnsi="宋体" w:eastAsia="宋体" w:cs="宋体"/>
                <w:b/>
                <w:bCs/>
                <w:color w:val="auto"/>
                <w:sz w:val="21"/>
                <w:szCs w:val="21"/>
                <w:highlight w:val="none"/>
                <w:lang w:eastAsia="zh-CN"/>
              </w:rPr>
              <w:t>查内容</w:t>
            </w:r>
          </w:p>
        </w:tc>
        <w:tc>
          <w:tcPr>
            <w:tcW w:w="1579" w:type="dxa"/>
            <w:noWrap w:val="0"/>
            <w:vAlign w:val="center"/>
          </w:tcPr>
          <w:p w14:paraId="579E22D7">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详见投标文件</w:t>
            </w:r>
          </w:p>
        </w:tc>
      </w:tr>
      <w:tr w14:paraId="10D1A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noWrap w:val="0"/>
            <w:vAlign w:val="center"/>
          </w:tcPr>
          <w:p w14:paraId="780F2E23">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6918" w:type="dxa"/>
            <w:noWrap w:val="0"/>
            <w:vAlign w:val="center"/>
          </w:tcPr>
          <w:p w14:paraId="20063ED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val="0"/>
                <w:bCs/>
                <w:color w:val="auto"/>
                <w:kern w:val="0"/>
                <w:sz w:val="24"/>
                <w:szCs w:val="24"/>
                <w:highlight w:val="none"/>
                <w:vertAlign w:val="baseline"/>
                <w:lang w:eastAsia="zh-CN"/>
              </w:rPr>
              <w:t>其投标报价未超过最高限价金额，且只有一个有效报价，</w:t>
            </w:r>
            <w:r>
              <w:rPr>
                <w:rFonts w:hint="eastAsia" w:ascii="宋体" w:hAnsi="宋体" w:eastAsia="宋体" w:cs="宋体"/>
                <w:b w:val="0"/>
                <w:bCs/>
                <w:color w:val="auto"/>
                <w:kern w:val="0"/>
                <w:sz w:val="24"/>
                <w:szCs w:val="24"/>
                <w:highlight w:val="none"/>
                <w:vertAlign w:val="baseline"/>
                <w:lang w:val="en-US" w:eastAsia="zh-CN"/>
              </w:rPr>
              <w:t>未</w:t>
            </w:r>
            <w:r>
              <w:rPr>
                <w:rFonts w:hint="eastAsia" w:ascii="宋体" w:hAnsi="宋体" w:eastAsia="宋体" w:cs="宋体"/>
                <w:b w:val="0"/>
                <w:bCs/>
                <w:color w:val="auto"/>
                <w:kern w:val="0"/>
                <w:sz w:val="24"/>
                <w:szCs w:val="24"/>
                <w:highlight w:val="none"/>
                <w:vertAlign w:val="baseline"/>
                <w:lang w:eastAsia="zh-CN"/>
              </w:rPr>
              <w:t>提交选择性报价</w:t>
            </w:r>
          </w:p>
        </w:tc>
        <w:tc>
          <w:tcPr>
            <w:tcW w:w="1579" w:type="dxa"/>
            <w:noWrap w:val="0"/>
            <w:vAlign w:val="center"/>
          </w:tcPr>
          <w:p w14:paraId="6661870A">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154E9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bottom w:val="single" w:color="auto" w:sz="4" w:space="0"/>
            </w:tcBorders>
            <w:noWrap w:val="0"/>
            <w:vAlign w:val="center"/>
          </w:tcPr>
          <w:p w14:paraId="0B953BC2">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6918" w:type="dxa"/>
            <w:noWrap w:val="0"/>
            <w:vAlign w:val="center"/>
          </w:tcPr>
          <w:p w14:paraId="59F9A95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sz w:val="21"/>
                <w:szCs w:val="21"/>
                <w:highlight w:val="none"/>
              </w:rPr>
            </w:pPr>
            <w:r>
              <w:rPr>
                <w:rFonts w:hint="eastAsia" w:ascii="宋体" w:hAnsi="宋体" w:cs="宋体"/>
                <w:b w:val="0"/>
                <w:bCs/>
                <w:color w:val="auto"/>
                <w:kern w:val="0"/>
                <w:sz w:val="24"/>
                <w:szCs w:val="24"/>
                <w:highlight w:val="none"/>
                <w:vertAlign w:val="baseline"/>
                <w:lang w:val="en-US" w:eastAsia="zh-CN"/>
              </w:rPr>
              <w:t>投标文件</w:t>
            </w:r>
            <w:r>
              <w:rPr>
                <w:rFonts w:hint="eastAsia" w:ascii="宋体" w:hAnsi="宋体" w:eastAsia="宋体" w:cs="宋体"/>
                <w:b w:val="0"/>
                <w:bCs/>
                <w:color w:val="auto"/>
                <w:kern w:val="0"/>
                <w:sz w:val="24"/>
                <w:szCs w:val="24"/>
                <w:highlight w:val="none"/>
                <w:vertAlign w:val="baseline"/>
                <w:lang w:eastAsia="zh-CN"/>
              </w:rPr>
              <w:t>提供</w:t>
            </w:r>
            <w:r>
              <w:rPr>
                <w:rFonts w:hint="eastAsia" w:ascii="宋体" w:hAnsi="宋体" w:eastAsia="宋体" w:cs="宋体"/>
                <w:b w:val="0"/>
                <w:bCs/>
                <w:color w:val="auto"/>
                <w:kern w:val="0"/>
                <w:sz w:val="24"/>
                <w:szCs w:val="24"/>
                <w:highlight w:val="none"/>
                <w:vertAlign w:val="baseline"/>
                <w:lang w:val="en-US" w:eastAsia="zh-CN"/>
              </w:rPr>
              <w:t>有效的</w:t>
            </w:r>
            <w:r>
              <w:rPr>
                <w:rFonts w:hint="eastAsia" w:ascii="宋体" w:hAnsi="宋体" w:eastAsia="宋体" w:cs="宋体"/>
                <w:b w:val="0"/>
                <w:bCs/>
                <w:color w:val="auto"/>
                <w:kern w:val="0"/>
                <w:sz w:val="24"/>
                <w:szCs w:val="24"/>
                <w:highlight w:val="none"/>
                <w:vertAlign w:val="baseline"/>
                <w:lang w:eastAsia="zh-CN"/>
              </w:rPr>
              <w:t>法定代表人授权委托书或提供法定代表人身份证明</w:t>
            </w:r>
          </w:p>
        </w:tc>
        <w:tc>
          <w:tcPr>
            <w:tcW w:w="1579" w:type="dxa"/>
            <w:noWrap w:val="0"/>
            <w:vAlign w:val="center"/>
          </w:tcPr>
          <w:p w14:paraId="3B76B055">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68AB4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noWrap w:val="0"/>
            <w:vAlign w:val="center"/>
          </w:tcPr>
          <w:p w14:paraId="137C57E4">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6918" w:type="dxa"/>
            <w:noWrap w:val="0"/>
            <w:vAlign w:val="center"/>
          </w:tcPr>
          <w:p w14:paraId="6C31250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sz w:val="21"/>
                <w:szCs w:val="21"/>
                <w:highlight w:val="none"/>
              </w:rPr>
            </w:pPr>
            <w:r>
              <w:rPr>
                <w:rFonts w:hint="eastAsia" w:ascii="宋体" w:hAnsi="宋体" w:cs="宋体"/>
                <w:b w:val="0"/>
                <w:bCs/>
                <w:color w:val="auto"/>
                <w:kern w:val="0"/>
                <w:sz w:val="24"/>
                <w:szCs w:val="24"/>
                <w:highlight w:val="none"/>
                <w:vertAlign w:val="baseline"/>
                <w:lang w:val="en-US" w:eastAsia="zh-CN"/>
              </w:rPr>
              <w:t>投标文件</w:t>
            </w:r>
            <w:r>
              <w:rPr>
                <w:rFonts w:hint="eastAsia" w:ascii="宋体" w:hAnsi="宋体" w:eastAsia="宋体" w:cs="宋体"/>
                <w:b w:val="0"/>
                <w:bCs/>
                <w:color w:val="auto"/>
                <w:kern w:val="0"/>
                <w:sz w:val="24"/>
                <w:szCs w:val="24"/>
                <w:highlight w:val="none"/>
                <w:vertAlign w:val="baseline"/>
                <w:lang w:eastAsia="zh-CN"/>
              </w:rPr>
              <w:t>上法定代表人或其授权代理人的签字、</w:t>
            </w:r>
            <w:r>
              <w:rPr>
                <w:rFonts w:hint="eastAsia" w:ascii="宋体" w:hAnsi="宋体" w:cs="宋体"/>
                <w:b w:val="0"/>
                <w:bCs/>
                <w:color w:val="auto"/>
                <w:kern w:val="0"/>
                <w:sz w:val="24"/>
                <w:szCs w:val="24"/>
                <w:highlight w:val="none"/>
                <w:vertAlign w:val="baseline"/>
                <w:lang w:val="en-US" w:eastAsia="zh-CN"/>
              </w:rPr>
              <w:t>投标人</w:t>
            </w:r>
            <w:r>
              <w:rPr>
                <w:rFonts w:hint="eastAsia" w:ascii="宋体" w:hAnsi="宋体" w:eastAsia="宋体" w:cs="宋体"/>
                <w:b w:val="0"/>
                <w:bCs/>
                <w:color w:val="auto"/>
                <w:kern w:val="0"/>
                <w:sz w:val="24"/>
                <w:szCs w:val="24"/>
                <w:highlight w:val="none"/>
                <w:vertAlign w:val="baseline"/>
                <w:lang w:eastAsia="zh-CN"/>
              </w:rPr>
              <w:t>的单位章齐全符合</w:t>
            </w:r>
            <w:r>
              <w:rPr>
                <w:rFonts w:hint="eastAsia" w:ascii="宋体" w:hAnsi="宋体" w:cs="宋体"/>
                <w:b w:val="0"/>
                <w:bCs/>
                <w:color w:val="auto"/>
                <w:kern w:val="0"/>
                <w:sz w:val="24"/>
                <w:szCs w:val="24"/>
                <w:highlight w:val="none"/>
                <w:vertAlign w:val="baseline"/>
                <w:lang w:val="en-US" w:eastAsia="zh-CN"/>
              </w:rPr>
              <w:t>招标</w:t>
            </w:r>
            <w:r>
              <w:rPr>
                <w:rFonts w:hint="eastAsia" w:ascii="宋体" w:hAnsi="宋体" w:eastAsia="宋体" w:cs="宋体"/>
                <w:b w:val="0"/>
                <w:bCs/>
                <w:color w:val="auto"/>
                <w:kern w:val="0"/>
                <w:sz w:val="24"/>
                <w:szCs w:val="24"/>
                <w:highlight w:val="none"/>
                <w:vertAlign w:val="baseline"/>
                <w:lang w:eastAsia="zh-CN"/>
              </w:rPr>
              <w:t>文件规定</w:t>
            </w:r>
          </w:p>
        </w:tc>
        <w:tc>
          <w:tcPr>
            <w:tcW w:w="1579" w:type="dxa"/>
            <w:noWrap w:val="0"/>
            <w:vAlign w:val="center"/>
          </w:tcPr>
          <w:p w14:paraId="4808390F">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5543E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noWrap w:val="0"/>
            <w:vAlign w:val="center"/>
          </w:tcPr>
          <w:p w14:paraId="66C6DBE0">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6918" w:type="dxa"/>
            <w:noWrap w:val="0"/>
            <w:vAlign w:val="center"/>
          </w:tcPr>
          <w:p w14:paraId="2327348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b w:val="0"/>
                <w:bCs/>
                <w:color w:val="auto"/>
                <w:kern w:val="0"/>
                <w:sz w:val="24"/>
                <w:szCs w:val="24"/>
                <w:highlight w:val="none"/>
                <w:vertAlign w:val="baseline"/>
                <w:lang w:eastAsia="zh-CN"/>
              </w:rPr>
              <w:t>按规定提交</w:t>
            </w:r>
            <w:r>
              <w:rPr>
                <w:rFonts w:hint="eastAsia" w:ascii="宋体" w:hAnsi="宋体" w:cs="宋体"/>
                <w:b w:val="0"/>
                <w:bCs/>
                <w:color w:val="auto"/>
                <w:kern w:val="0"/>
                <w:sz w:val="24"/>
                <w:szCs w:val="24"/>
                <w:highlight w:val="none"/>
                <w:vertAlign w:val="baseline"/>
                <w:lang w:val="en-US" w:eastAsia="zh-CN"/>
              </w:rPr>
              <w:t>投标</w:t>
            </w:r>
            <w:r>
              <w:rPr>
                <w:rFonts w:hint="eastAsia" w:ascii="宋体" w:hAnsi="宋体" w:eastAsia="宋体" w:cs="宋体"/>
                <w:b w:val="0"/>
                <w:bCs/>
                <w:color w:val="auto"/>
                <w:kern w:val="0"/>
                <w:sz w:val="24"/>
                <w:szCs w:val="24"/>
                <w:highlight w:val="none"/>
                <w:vertAlign w:val="baseline"/>
                <w:lang w:eastAsia="zh-CN"/>
              </w:rPr>
              <w:t>保证金或电子保函</w:t>
            </w:r>
          </w:p>
        </w:tc>
        <w:tc>
          <w:tcPr>
            <w:tcW w:w="1579" w:type="dxa"/>
            <w:noWrap w:val="0"/>
            <w:vAlign w:val="center"/>
          </w:tcPr>
          <w:p w14:paraId="1D120419">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44EAB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noWrap w:val="0"/>
            <w:vAlign w:val="center"/>
          </w:tcPr>
          <w:p w14:paraId="1291B27B">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6918" w:type="dxa"/>
            <w:noWrap w:val="0"/>
            <w:vAlign w:val="center"/>
          </w:tcPr>
          <w:p w14:paraId="05A188E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color w:val="auto"/>
                <w:sz w:val="21"/>
                <w:szCs w:val="21"/>
                <w:highlight w:val="none"/>
                <w:lang w:val="en-US"/>
              </w:rPr>
            </w:pPr>
            <w:r>
              <w:rPr>
                <w:rFonts w:hint="eastAsia" w:ascii="宋体" w:hAnsi="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lang w:eastAsia="zh-CN"/>
              </w:rPr>
              <w:t>有效期、</w:t>
            </w:r>
            <w:r>
              <w:rPr>
                <w:rFonts w:hint="eastAsia" w:ascii="宋体" w:hAnsi="宋体" w:cs="宋体"/>
                <w:color w:val="auto"/>
                <w:sz w:val="24"/>
                <w:szCs w:val="24"/>
                <w:highlight w:val="none"/>
                <w:lang w:val="en-US" w:eastAsia="zh-CN"/>
              </w:rPr>
              <w:t>合同履约期限</w:t>
            </w:r>
            <w:r>
              <w:rPr>
                <w:rFonts w:hint="default" w:ascii="宋体" w:hAnsi="宋体" w:eastAsia="宋体" w:cs="宋体"/>
                <w:b w:val="0"/>
                <w:bCs/>
                <w:color w:val="auto"/>
                <w:kern w:val="0"/>
                <w:sz w:val="24"/>
                <w:szCs w:val="24"/>
                <w:highlight w:val="none"/>
                <w:vertAlign w:val="baseline"/>
                <w:lang w:val="en-US" w:eastAsia="zh-CN"/>
              </w:rPr>
              <w:t>满足</w:t>
            </w:r>
            <w:r>
              <w:rPr>
                <w:rFonts w:hint="eastAsia" w:ascii="宋体" w:hAnsi="宋体" w:cs="宋体"/>
                <w:b w:val="0"/>
                <w:bCs/>
                <w:color w:val="auto"/>
                <w:kern w:val="0"/>
                <w:sz w:val="24"/>
                <w:szCs w:val="24"/>
                <w:highlight w:val="none"/>
                <w:vertAlign w:val="baseline"/>
                <w:lang w:val="en-US" w:eastAsia="zh-CN"/>
              </w:rPr>
              <w:t>招标</w:t>
            </w:r>
            <w:r>
              <w:rPr>
                <w:rFonts w:hint="default" w:ascii="宋体" w:hAnsi="宋体" w:eastAsia="宋体" w:cs="宋体"/>
                <w:b w:val="0"/>
                <w:bCs/>
                <w:color w:val="auto"/>
                <w:kern w:val="0"/>
                <w:sz w:val="24"/>
                <w:szCs w:val="24"/>
                <w:highlight w:val="none"/>
                <w:vertAlign w:val="baseline"/>
                <w:lang w:val="en-US" w:eastAsia="zh-CN"/>
              </w:rPr>
              <w:t>文件要求</w:t>
            </w:r>
          </w:p>
        </w:tc>
        <w:tc>
          <w:tcPr>
            <w:tcW w:w="1579" w:type="dxa"/>
            <w:noWrap w:val="0"/>
            <w:vAlign w:val="center"/>
          </w:tcPr>
          <w:p w14:paraId="290ADE85">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12B39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noWrap w:val="0"/>
            <w:vAlign w:val="center"/>
          </w:tcPr>
          <w:p w14:paraId="6D654B0F">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w:t>
            </w:r>
          </w:p>
        </w:tc>
        <w:tc>
          <w:tcPr>
            <w:tcW w:w="6918" w:type="dxa"/>
            <w:noWrap w:val="0"/>
            <w:vAlign w:val="center"/>
          </w:tcPr>
          <w:p w14:paraId="2177D52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eastAsia="zh-CN"/>
              </w:rPr>
              <w:t>投标文件的有效性、完整性是否响应采购文件要求，是否响应采购文件的实质性要求和条款</w:t>
            </w:r>
          </w:p>
        </w:tc>
        <w:tc>
          <w:tcPr>
            <w:tcW w:w="1579" w:type="dxa"/>
            <w:noWrap w:val="0"/>
            <w:vAlign w:val="center"/>
          </w:tcPr>
          <w:p w14:paraId="373EC644">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1FBE5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noWrap w:val="0"/>
            <w:vAlign w:val="center"/>
          </w:tcPr>
          <w:p w14:paraId="49532920">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6918" w:type="dxa"/>
            <w:noWrap w:val="0"/>
            <w:vAlign w:val="center"/>
          </w:tcPr>
          <w:p w14:paraId="13DCB60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投标文件</w:t>
            </w:r>
            <w:r>
              <w:rPr>
                <w:rFonts w:hint="eastAsia" w:ascii="宋体" w:hAnsi="宋体" w:eastAsia="宋体" w:cs="宋体"/>
                <w:color w:val="auto"/>
                <w:kern w:val="0"/>
                <w:sz w:val="24"/>
                <w:szCs w:val="24"/>
                <w:highlight w:val="none"/>
                <w:lang w:eastAsia="zh-CN"/>
              </w:rPr>
              <w:t>未附有采购人不能接受的附加条件及法律、法规和</w:t>
            </w:r>
            <w:r>
              <w:rPr>
                <w:rFonts w:hint="eastAsia" w:ascii="宋体" w:hAnsi="宋体" w:cs="宋体"/>
                <w:b w:val="0"/>
                <w:bCs/>
                <w:color w:val="auto"/>
                <w:kern w:val="0"/>
                <w:sz w:val="24"/>
                <w:szCs w:val="24"/>
                <w:highlight w:val="none"/>
                <w:vertAlign w:val="baseline"/>
                <w:lang w:val="en-US" w:eastAsia="zh-CN"/>
              </w:rPr>
              <w:t>招标</w:t>
            </w:r>
            <w:r>
              <w:rPr>
                <w:rFonts w:hint="eastAsia" w:ascii="宋体" w:hAnsi="宋体" w:eastAsia="宋体" w:cs="宋体"/>
                <w:color w:val="auto"/>
                <w:kern w:val="0"/>
                <w:sz w:val="24"/>
                <w:szCs w:val="24"/>
                <w:highlight w:val="none"/>
                <w:lang w:eastAsia="zh-CN"/>
              </w:rPr>
              <w:t>文件规定的其他无效情形</w:t>
            </w:r>
          </w:p>
        </w:tc>
        <w:tc>
          <w:tcPr>
            <w:tcW w:w="1579" w:type="dxa"/>
            <w:noWrap w:val="0"/>
            <w:vAlign w:val="center"/>
          </w:tcPr>
          <w:p w14:paraId="66224747">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bl>
    <w:p w14:paraId="12CEE4AE">
      <w:pPr>
        <w:pStyle w:val="18"/>
        <w:outlineLvl w:val="9"/>
        <w:rPr>
          <w:rFonts w:hint="eastAsia" w:ascii="宋体" w:hAnsi="宋体" w:eastAsia="宋体" w:cs="宋体"/>
          <w:color w:val="auto"/>
          <w:highlight w:val="none"/>
        </w:rPr>
      </w:pPr>
    </w:p>
    <w:p w14:paraId="6E32A786">
      <w:pPr>
        <w:spacing w:line="440" w:lineRule="exact"/>
        <w:jc w:val="both"/>
        <w:outlineLvl w:val="9"/>
        <w:rPr>
          <w:rFonts w:hint="eastAsia" w:ascii="宋体" w:hAnsi="宋体" w:eastAsia="宋体" w:cs="宋体"/>
          <w:b w:val="0"/>
          <w:bCs w:val="0"/>
          <w:color w:val="auto"/>
          <w:sz w:val="24"/>
          <w:szCs w:val="24"/>
          <w:highlight w:val="none"/>
        </w:rPr>
      </w:pPr>
    </w:p>
    <w:p w14:paraId="1026528A">
      <w:pPr>
        <w:keepNext w:val="0"/>
        <w:keepLines w:val="0"/>
        <w:pageBreakBefore w:val="0"/>
        <w:widowControl w:val="0"/>
        <w:kinsoku/>
        <w:wordWrap/>
        <w:overflowPunct/>
        <w:topLinePunct w:val="0"/>
        <w:autoSpaceDE/>
        <w:autoSpaceDN/>
        <w:bidi w:val="0"/>
        <w:adjustRightInd/>
        <w:snapToGrid/>
        <w:spacing w:line="360" w:lineRule="auto"/>
        <w:ind w:firstLine="149" w:firstLineChars="62"/>
        <w:jc w:val="center"/>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r>
        <w:rPr>
          <w:rFonts w:hint="eastAsia" w:ascii="宋体" w:hAnsi="宋体" w:eastAsia="宋体" w:cs="宋体"/>
          <w:b/>
          <w:bCs/>
          <w:color w:val="auto"/>
          <w:sz w:val="24"/>
          <w:szCs w:val="24"/>
          <w:highlight w:val="none"/>
          <w:lang w:eastAsia="zh-CN"/>
        </w:rPr>
        <w:t>商务技术评审索引表</w:t>
      </w:r>
    </w:p>
    <w:tbl>
      <w:tblPr>
        <w:tblStyle w:val="4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4"/>
        <w:gridCol w:w="1125"/>
        <w:gridCol w:w="6578"/>
        <w:gridCol w:w="1161"/>
      </w:tblGrid>
      <w:tr w14:paraId="3A697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jc w:val="center"/>
        </w:trPr>
        <w:tc>
          <w:tcPr>
            <w:tcW w:w="694" w:type="dxa"/>
            <w:noWrap w:val="0"/>
            <w:vAlign w:val="center"/>
          </w:tcPr>
          <w:p w14:paraId="4B374241">
            <w:pPr>
              <w:spacing w:line="240" w:lineRule="auto"/>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125" w:type="dxa"/>
            <w:tcBorders>
              <w:right w:val="single" w:color="auto" w:sz="4" w:space="0"/>
            </w:tcBorders>
            <w:noWrap w:val="0"/>
            <w:vAlign w:val="center"/>
          </w:tcPr>
          <w:p w14:paraId="21349789">
            <w:pPr>
              <w:spacing w:line="240" w:lineRule="auto"/>
              <w:jc w:val="center"/>
              <w:outlineLvl w:val="9"/>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评审</w:t>
            </w:r>
            <w:r>
              <w:rPr>
                <w:rFonts w:hint="eastAsia" w:ascii="宋体" w:hAnsi="宋体" w:eastAsia="宋体" w:cs="宋体"/>
                <w:b/>
                <w:bCs/>
                <w:color w:val="auto"/>
                <w:szCs w:val="21"/>
                <w:highlight w:val="none"/>
                <w:lang w:eastAsia="zh-CN"/>
              </w:rPr>
              <w:t>因素</w:t>
            </w:r>
          </w:p>
        </w:tc>
        <w:tc>
          <w:tcPr>
            <w:tcW w:w="6578" w:type="dxa"/>
            <w:noWrap w:val="0"/>
            <w:vAlign w:val="center"/>
          </w:tcPr>
          <w:p w14:paraId="4F6DD51D">
            <w:pPr>
              <w:spacing w:line="220" w:lineRule="exact"/>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评审标准</w:t>
            </w:r>
          </w:p>
        </w:tc>
        <w:tc>
          <w:tcPr>
            <w:tcW w:w="1161" w:type="dxa"/>
            <w:noWrap w:val="0"/>
            <w:vAlign w:val="center"/>
          </w:tcPr>
          <w:p w14:paraId="675F7CFD">
            <w:pPr>
              <w:spacing w:line="220" w:lineRule="exact"/>
              <w:jc w:val="center"/>
              <w:outlineLvl w:val="9"/>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详见投标文件</w:t>
            </w:r>
          </w:p>
        </w:tc>
      </w:tr>
      <w:tr w14:paraId="50530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jc w:val="center"/>
        </w:trPr>
        <w:tc>
          <w:tcPr>
            <w:tcW w:w="694" w:type="dxa"/>
            <w:tcBorders>
              <w:bottom w:val="single" w:color="auto" w:sz="4" w:space="0"/>
            </w:tcBorders>
            <w:noWrap w:val="0"/>
            <w:vAlign w:val="center"/>
          </w:tcPr>
          <w:p w14:paraId="6711C610">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25" w:type="dxa"/>
            <w:tcBorders>
              <w:bottom w:val="single" w:color="auto" w:sz="4" w:space="0"/>
              <w:right w:val="single" w:color="auto" w:sz="4" w:space="0"/>
            </w:tcBorders>
            <w:noWrap w:val="0"/>
            <w:vAlign w:val="center"/>
          </w:tcPr>
          <w:p w14:paraId="335B3CB0">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p>
        </w:tc>
        <w:tc>
          <w:tcPr>
            <w:tcW w:w="6578" w:type="dxa"/>
            <w:noWrap w:val="0"/>
            <w:vAlign w:val="center"/>
          </w:tcPr>
          <w:p w14:paraId="54802068">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p>
        </w:tc>
        <w:tc>
          <w:tcPr>
            <w:tcW w:w="1161" w:type="dxa"/>
            <w:noWrap w:val="0"/>
            <w:vAlign w:val="center"/>
          </w:tcPr>
          <w:p w14:paraId="0A23CA41">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highlight w:val="none"/>
                <w:vertAlign w:val="baseli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6BDEC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jc w:val="center"/>
        </w:trPr>
        <w:tc>
          <w:tcPr>
            <w:tcW w:w="694" w:type="dxa"/>
            <w:tcBorders>
              <w:top w:val="single" w:color="auto" w:sz="4" w:space="0"/>
              <w:bottom w:val="single" w:color="auto" w:sz="4" w:space="0"/>
            </w:tcBorders>
            <w:noWrap w:val="0"/>
            <w:vAlign w:val="center"/>
          </w:tcPr>
          <w:p w14:paraId="6C98A65F">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25" w:type="dxa"/>
            <w:tcBorders>
              <w:top w:val="single" w:color="auto" w:sz="4" w:space="0"/>
              <w:bottom w:val="single" w:color="auto" w:sz="4" w:space="0"/>
            </w:tcBorders>
            <w:noWrap w:val="0"/>
            <w:vAlign w:val="center"/>
          </w:tcPr>
          <w:p w14:paraId="7F872EBF">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p>
        </w:tc>
        <w:tc>
          <w:tcPr>
            <w:tcW w:w="6578" w:type="dxa"/>
            <w:noWrap w:val="0"/>
            <w:vAlign w:val="center"/>
          </w:tcPr>
          <w:p w14:paraId="6C09B5C7">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p>
        </w:tc>
        <w:tc>
          <w:tcPr>
            <w:tcW w:w="1161" w:type="dxa"/>
            <w:noWrap w:val="0"/>
            <w:vAlign w:val="center"/>
          </w:tcPr>
          <w:p w14:paraId="01154E0B">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highlight w:val="none"/>
                <w:vertAlign w:val="baseli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4820B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6" w:hRule="atLeast"/>
          <w:jc w:val="center"/>
        </w:trPr>
        <w:tc>
          <w:tcPr>
            <w:tcW w:w="694" w:type="dxa"/>
            <w:tcBorders>
              <w:top w:val="single" w:color="auto" w:sz="4" w:space="0"/>
            </w:tcBorders>
            <w:noWrap w:val="0"/>
            <w:vAlign w:val="center"/>
          </w:tcPr>
          <w:p w14:paraId="7EF3C89D">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125" w:type="dxa"/>
            <w:tcBorders>
              <w:top w:val="single" w:color="auto" w:sz="4" w:space="0"/>
            </w:tcBorders>
            <w:noWrap w:val="0"/>
            <w:vAlign w:val="center"/>
          </w:tcPr>
          <w:p w14:paraId="12525836">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p>
        </w:tc>
        <w:tc>
          <w:tcPr>
            <w:tcW w:w="6578" w:type="dxa"/>
            <w:noWrap w:val="0"/>
            <w:vAlign w:val="center"/>
          </w:tcPr>
          <w:p w14:paraId="60367B3E">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p>
        </w:tc>
        <w:tc>
          <w:tcPr>
            <w:tcW w:w="1161" w:type="dxa"/>
            <w:noWrap w:val="0"/>
            <w:vAlign w:val="center"/>
          </w:tcPr>
          <w:p w14:paraId="7C0AC7B0">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highlight w:val="none"/>
                <w:vertAlign w:val="baseli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bl>
    <w:p w14:paraId="5E1FDA28">
      <w:pPr>
        <w:keepNext w:val="0"/>
        <w:keepLines w:val="0"/>
        <w:pageBreakBefore w:val="0"/>
        <w:widowControl w:val="0"/>
        <w:kinsoku/>
        <w:wordWrap/>
        <w:overflowPunct/>
        <w:topLinePunct w:val="0"/>
        <w:bidi w:val="0"/>
        <w:adjustRightInd w:val="0"/>
        <w:snapToGrid w:val="0"/>
        <w:spacing w:line="400" w:lineRule="exact"/>
        <w:textAlignment w:val="auto"/>
        <w:outlineLvl w:val="9"/>
        <w:rPr>
          <w:rFonts w:hint="eastAsia" w:ascii="宋体" w:hAnsi="宋体" w:eastAsia="宋体" w:cs="宋体"/>
          <w:color w:val="auto"/>
          <w:sz w:val="24"/>
          <w:szCs w:val="24"/>
          <w:highlight w:val="none"/>
        </w:rPr>
      </w:pPr>
    </w:p>
    <w:p w14:paraId="765DE1EB">
      <w:pPr>
        <w:pageBreakBefore w:val="0"/>
        <w:kinsoku/>
        <w:wordWrap/>
        <w:overflowPunct/>
        <w:topLinePunct w:val="0"/>
        <w:autoSpaceDE/>
        <w:autoSpaceDN/>
        <w:bidi w:val="0"/>
        <w:spacing w:line="400" w:lineRule="exact"/>
        <w:jc w:val="center"/>
        <w:textAlignment w:val="auto"/>
        <w:outlineLvl w:val="1"/>
        <w:rPr>
          <w:rFonts w:hint="eastAsia" w:ascii="宋体" w:hAnsi="宋体" w:eastAsia="宋体" w:cs="宋体"/>
          <w:b/>
          <w:bCs/>
          <w:color w:val="auto"/>
          <w:sz w:val="24"/>
          <w:szCs w:val="24"/>
          <w:highlight w:val="none"/>
        </w:rPr>
      </w:pPr>
      <w:bookmarkStart w:id="365" w:name="_Toc16"/>
      <w:r>
        <w:rPr>
          <w:rFonts w:hint="eastAsia" w:ascii="宋体" w:hAnsi="宋体" w:eastAsia="宋体" w:cs="宋体"/>
          <w:color w:val="auto"/>
          <w:sz w:val="24"/>
          <w:szCs w:val="24"/>
          <w:highlight w:val="none"/>
          <w:lang w:eastAsia="zh-CN"/>
        </w:rPr>
        <w:br w:type="page"/>
      </w:r>
      <w:bookmarkStart w:id="366" w:name="_Toc10415"/>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、资</w:t>
      </w:r>
      <w:r>
        <w:rPr>
          <w:rFonts w:hint="eastAsia" w:ascii="宋体" w:hAnsi="宋体" w:eastAsia="宋体" w:cs="宋体"/>
          <w:b/>
          <w:bCs/>
          <w:color w:val="auto"/>
          <w:sz w:val="24"/>
          <w:szCs w:val="24"/>
          <w:highlight w:val="none"/>
          <w:lang w:eastAsia="zh-CN"/>
        </w:rPr>
        <w:t>格</w:t>
      </w:r>
      <w:r>
        <w:rPr>
          <w:rFonts w:hint="eastAsia" w:ascii="宋体" w:hAnsi="宋体" w:eastAsia="宋体" w:cs="宋体"/>
          <w:b/>
          <w:bCs/>
          <w:color w:val="auto"/>
          <w:sz w:val="24"/>
          <w:szCs w:val="24"/>
          <w:highlight w:val="none"/>
        </w:rPr>
        <w:t>文件</w:t>
      </w:r>
      <w:bookmarkEnd w:id="353"/>
      <w:bookmarkEnd w:id="354"/>
      <w:bookmarkEnd w:id="365"/>
      <w:bookmarkEnd w:id="366"/>
    </w:p>
    <w:p w14:paraId="6803800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2"/>
        <w:rPr>
          <w:rFonts w:hint="eastAsia" w:ascii="宋体" w:hAnsi="宋体" w:eastAsia="宋体" w:cs="宋体"/>
          <w:b/>
          <w:color w:val="auto"/>
          <w:sz w:val="24"/>
          <w:szCs w:val="24"/>
          <w:highlight w:val="none"/>
        </w:rPr>
      </w:pPr>
      <w:bookmarkStart w:id="367" w:name="_Toc31100"/>
      <w:bookmarkStart w:id="368" w:name="_Toc2816"/>
      <w:bookmarkStart w:id="369" w:name="_Toc20611"/>
      <w:bookmarkStart w:id="370" w:name="_Toc5330"/>
      <w:bookmarkStart w:id="371" w:name="_Toc10358"/>
      <w:bookmarkStart w:id="372" w:name="_Toc31104"/>
      <w:r>
        <w:rPr>
          <w:rFonts w:hint="eastAsia" w:ascii="宋体" w:hAnsi="宋体" w:eastAsia="宋体" w:cs="宋体"/>
          <w:b/>
          <w:color w:val="auto"/>
          <w:sz w:val="24"/>
          <w:szCs w:val="24"/>
          <w:highlight w:val="none"/>
          <w:lang w:val="en-US" w:eastAsia="zh-CN"/>
        </w:rPr>
        <w:t>（一）满足《中华人民共和国政府采购法》第二十二条规定</w:t>
      </w:r>
      <w:bookmarkEnd w:id="367"/>
      <w:bookmarkEnd w:id="368"/>
      <w:bookmarkEnd w:id="369"/>
    </w:p>
    <w:bookmarkEnd w:id="370"/>
    <w:p w14:paraId="1B681643">
      <w:pPr>
        <w:tabs>
          <w:tab w:val="left" w:pos="540"/>
        </w:tabs>
        <w:adjustRightInd w:val="0"/>
        <w:snapToGrid w:val="0"/>
        <w:spacing w:line="360" w:lineRule="auto"/>
        <w:jc w:val="center"/>
        <w:outlineLvl w:val="2"/>
        <w:rPr>
          <w:rFonts w:hint="eastAsia" w:asciiTheme="minorEastAsia" w:hAnsiTheme="minorEastAsia" w:eastAsiaTheme="minorEastAsia" w:cstheme="minorEastAsia"/>
          <w:b/>
          <w:bCs/>
          <w:sz w:val="24"/>
          <w:szCs w:val="24"/>
        </w:rPr>
      </w:pPr>
      <w:bookmarkStart w:id="373" w:name="_Toc2120"/>
      <w:bookmarkStart w:id="374" w:name="_Toc7810"/>
      <w:bookmarkStart w:id="375" w:name="_Toc18634"/>
      <w:bookmarkStart w:id="376" w:name="_Toc25434"/>
      <w:bookmarkStart w:id="377" w:name="_Toc27466"/>
      <w:bookmarkStart w:id="378" w:name="_Toc10014"/>
      <w:bookmarkStart w:id="379" w:name="_Toc26139"/>
      <w:bookmarkStart w:id="380" w:name="_Toc716"/>
      <w:bookmarkStart w:id="381" w:name="_Toc17522"/>
      <w:bookmarkStart w:id="382" w:name="_Toc5321"/>
      <w:bookmarkStart w:id="383" w:name="_Toc11591"/>
      <w:bookmarkStart w:id="384" w:name="_Toc19137"/>
      <w:bookmarkStart w:id="385" w:name="_Toc22804"/>
      <w:bookmarkStart w:id="386" w:name="_Toc18845"/>
      <w:bookmarkStart w:id="387" w:name="_Toc31522"/>
      <w:bookmarkStart w:id="388" w:name="_Toc29395"/>
      <w:r>
        <w:rPr>
          <w:rFonts w:hint="eastAsia" w:asciiTheme="minorEastAsia" w:hAnsiTheme="minorEastAsia" w:eastAsiaTheme="minorEastAsia" w:cstheme="minorEastAsia"/>
          <w:b/>
          <w:bCs/>
          <w:sz w:val="24"/>
          <w:szCs w:val="24"/>
        </w:rPr>
        <w:t>1.资格声明函</w:t>
      </w:r>
      <w:bookmarkEnd w:id="373"/>
      <w:bookmarkEnd w:id="374"/>
    </w:p>
    <w:p w14:paraId="158D5F85">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i/>
          <w:iCs/>
          <w:sz w:val="24"/>
          <w:u w:val="single"/>
        </w:rPr>
        <w:t>（采购人）</w:t>
      </w:r>
      <w:r>
        <w:rPr>
          <w:rFonts w:hint="eastAsia" w:asciiTheme="minorEastAsia" w:hAnsiTheme="minorEastAsia" w:eastAsiaTheme="minorEastAsia" w:cstheme="minorEastAsia"/>
          <w:sz w:val="24"/>
        </w:rPr>
        <w:t>：</w:t>
      </w:r>
    </w:p>
    <w:p w14:paraId="2C7556D6">
      <w:pPr>
        <w:pStyle w:val="27"/>
        <w:widowControl/>
        <w:adjustRightInd w:val="0"/>
        <w:snapToGrid w:val="0"/>
        <w:spacing w:line="360" w:lineRule="auto"/>
        <w:ind w:left="0" w:leftChars="0" w:firstLine="480" w:firstLineChars="200"/>
        <w:rPr>
          <w:rFonts w:hint="eastAsia" w:asciiTheme="minorEastAsia" w:hAnsiTheme="minorEastAsia" w:eastAsiaTheme="minorEastAsia" w:cstheme="minorEastAsia"/>
          <w:sz w:val="24"/>
        </w:rPr>
      </w:pPr>
      <w:r>
        <w:rPr>
          <w:rFonts w:hint="eastAsia" w:hAnsi="宋体" w:cs="宋体"/>
          <w:sz w:val="24"/>
          <w:szCs w:val="24"/>
        </w:rPr>
        <w:t>我单位自愿参加本次政府采购活动，严格遵守《中华人民共和国政府采购法》及相关法律法规，坚守公开、公平、公正和诚实信用等原则，依法诚信经营，并郑重承诺：</w:t>
      </w:r>
    </w:p>
    <w:p w14:paraId="68CD2B69">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w:t>
      </w:r>
      <w:r>
        <w:rPr>
          <w:rFonts w:hint="eastAsia" w:ascii="宋体" w:hAnsi="宋体" w:cs="宋体"/>
          <w:sz w:val="24"/>
          <w:szCs w:val="24"/>
        </w:rPr>
        <w:t>符合《中华人民共和国政府采购法》第二十二条规定</w:t>
      </w:r>
      <w:r>
        <w:rPr>
          <w:rFonts w:hint="eastAsia" w:asciiTheme="minorEastAsia" w:hAnsiTheme="minorEastAsia" w:eastAsiaTheme="minorEastAsia" w:cstheme="minorEastAsia"/>
          <w:sz w:val="24"/>
          <w:szCs w:val="24"/>
        </w:rPr>
        <w:t>：</w:t>
      </w:r>
    </w:p>
    <w:p w14:paraId="710CB14D">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1.具有独立承担民事责任的能力；</w:t>
      </w:r>
    </w:p>
    <w:p w14:paraId="1EB91308">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2.具有良好的商业信誉和健全的财务会计制度；</w:t>
      </w:r>
    </w:p>
    <w:p w14:paraId="64874E6A">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3.具有履行合同所必需的设备和专业技术能力；</w:t>
      </w:r>
    </w:p>
    <w:p w14:paraId="328FB5AF">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4.有依法缴纳税收和社会保障资金的良好记录；</w:t>
      </w:r>
    </w:p>
    <w:p w14:paraId="36F17B5D">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5.参加此项采购活动前三年内，在经营活动中没有重大违法记录；</w:t>
      </w:r>
    </w:p>
    <w:p w14:paraId="20E188D5">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6.法律、行政法规规定的其他条件。</w:t>
      </w:r>
    </w:p>
    <w:p w14:paraId="7B7D26BA">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（二）未被信用中国（www.creditchina.gov.cn)、中国政府采购网（www.ccgp.gov.cn）列入失信被执行人、重大税收违法失信主体、政府采购严重违法失信行为记录名单。</w:t>
      </w:r>
    </w:p>
    <w:p w14:paraId="45E85F0C">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（三）不存在以下情况：</w:t>
      </w:r>
    </w:p>
    <w:p w14:paraId="352D55DF">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1.单位负责人为同一人或者存在直接控股、管理关系的不同供应商参加同一合同项下的政府采购活动的；</w:t>
      </w:r>
    </w:p>
    <w:p w14:paraId="63D1F9FB">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2.为采购项目提供整体设计、规范编制或者项目管理、监理、检测等服务后再参加该采购项目的其他采购活动的。</w:t>
      </w:r>
    </w:p>
    <w:p w14:paraId="12EF887F">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本单位对上述声明的真实性负责，如有虚假将依法承担相应责任。</w:t>
      </w:r>
    </w:p>
    <w:p w14:paraId="31F0C75D">
      <w:pPr>
        <w:adjustRightInd w:val="0"/>
        <w:snapToGrid w:val="0"/>
        <w:spacing w:line="440" w:lineRule="exact"/>
        <w:ind w:firstLine="480" w:firstLineChars="200"/>
        <w:rPr>
          <w:rFonts w:hint="eastAsia" w:asciiTheme="minorEastAsia" w:hAnsiTheme="minorEastAsia" w:eastAsiaTheme="minorEastAsia" w:cstheme="minorEastAsia"/>
          <w:sz w:val="24"/>
          <w:szCs w:val="24"/>
        </w:rPr>
      </w:pPr>
    </w:p>
    <w:p w14:paraId="50A9BA18">
      <w:pPr>
        <w:adjustRightInd w:val="0"/>
        <w:snapToGrid w:val="0"/>
        <w:spacing w:line="400" w:lineRule="exact"/>
        <w:ind w:firstLine="480" w:firstLineChars="200"/>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lang w:val="en-US" w:eastAsia="zh-CN"/>
        </w:rPr>
        <w:t>投标人</w:t>
      </w:r>
      <w:r>
        <w:rPr>
          <w:rFonts w:hint="eastAsia" w:asciiTheme="minorEastAsia" w:hAnsiTheme="minorEastAsia" w:eastAsiaTheme="minorEastAsia" w:cstheme="minorEastAsia"/>
          <w:kern w:val="0"/>
          <w:sz w:val="24"/>
          <w:szCs w:val="24"/>
        </w:rPr>
        <w:t>名称（公章）：</w:t>
      </w:r>
      <w:r>
        <w:rPr>
          <w:rFonts w:hint="eastAsia" w:asciiTheme="minorEastAsia" w:hAnsiTheme="minorEastAsia" w:eastAsiaTheme="minorEastAsia" w:cstheme="minorEastAsia"/>
          <w:kern w:val="0"/>
          <w:sz w:val="24"/>
          <w:szCs w:val="24"/>
          <w:u w:val="single"/>
        </w:rPr>
        <w:t xml:space="preserve">                     </w:t>
      </w:r>
    </w:p>
    <w:p w14:paraId="2FC28088">
      <w:pPr>
        <w:pStyle w:val="39"/>
        <w:ind w:firstLine="210"/>
        <w:rPr>
          <w:rFonts w:hint="eastAsia" w:asciiTheme="minorEastAsia" w:hAnsiTheme="minorEastAsia" w:eastAsiaTheme="minorEastAsia" w:cstheme="minorEastAsia"/>
        </w:rPr>
      </w:pPr>
    </w:p>
    <w:p w14:paraId="0F835651">
      <w:pPr>
        <w:adjustRightInd w:val="0"/>
        <w:snapToGrid w:val="0"/>
        <w:spacing w:line="400" w:lineRule="exact"/>
        <w:ind w:firstLine="480" w:firstLineChars="200"/>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法定代表人或委托代理人（签字或盖章）：</w:t>
      </w:r>
      <w:r>
        <w:rPr>
          <w:rFonts w:hint="eastAsia" w:asciiTheme="minorEastAsia" w:hAnsiTheme="minorEastAsia" w:eastAsiaTheme="minorEastAsia" w:cstheme="minorEastAsia"/>
          <w:kern w:val="0"/>
          <w:sz w:val="24"/>
          <w:szCs w:val="24"/>
          <w:u w:val="single"/>
        </w:rPr>
        <w:t xml:space="preserve">                   </w:t>
      </w:r>
    </w:p>
    <w:p w14:paraId="683913E9">
      <w:pPr>
        <w:pStyle w:val="39"/>
        <w:ind w:firstLine="210"/>
        <w:rPr>
          <w:rFonts w:hint="eastAsia" w:asciiTheme="minorEastAsia" w:hAnsiTheme="minorEastAsia" w:eastAsiaTheme="minorEastAsia" w:cstheme="minorEastAsia"/>
        </w:rPr>
      </w:pPr>
    </w:p>
    <w:p w14:paraId="0AD5D565">
      <w:pPr>
        <w:adjustRightInd w:val="0"/>
        <w:snapToGrid w:val="0"/>
        <w:spacing w:line="4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日期：</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年</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月</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日</w:t>
      </w:r>
    </w:p>
    <w:p w14:paraId="126193D3">
      <w:pPr>
        <w:adjustRightInd w:val="0"/>
        <w:snapToGrid w:val="0"/>
        <w:spacing w:line="440" w:lineRule="exact"/>
        <w:ind w:firstLine="480" w:firstLineChars="200"/>
        <w:rPr>
          <w:rFonts w:hint="eastAsia" w:asciiTheme="minorEastAsia" w:hAnsiTheme="minorEastAsia" w:eastAsiaTheme="minorEastAsia" w:cstheme="minorEastAsia"/>
          <w:sz w:val="24"/>
          <w:szCs w:val="24"/>
        </w:rPr>
      </w:pPr>
    </w:p>
    <w:p w14:paraId="439A5C02">
      <w:pPr>
        <w:adjustRightInd w:val="0"/>
        <w:snapToGrid w:val="0"/>
        <w:spacing w:line="440" w:lineRule="exact"/>
        <w:ind w:firstLine="480" w:firstLineChars="200"/>
        <w:rPr>
          <w:rFonts w:hint="eastAsia" w:asciiTheme="minorEastAsia" w:hAnsiTheme="minorEastAsia" w:eastAsiaTheme="minorEastAsia" w:cstheme="minorEastAsia"/>
          <w:sz w:val="24"/>
          <w:szCs w:val="24"/>
        </w:rPr>
      </w:pPr>
    </w:p>
    <w:p w14:paraId="4850E4DC">
      <w:pPr>
        <w:adjustRightInd w:val="0"/>
        <w:snapToGrid w:val="0"/>
        <w:spacing w:line="440" w:lineRule="exact"/>
        <w:ind w:firstLine="482" w:firstLineChars="200"/>
        <w:rPr>
          <w:rFonts w:hint="default"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rPr>
        <w:t>备注：</w:t>
      </w:r>
      <w:r>
        <w:rPr>
          <w:rFonts w:hint="eastAsia" w:asciiTheme="minorEastAsia" w:hAnsiTheme="minorEastAsia" w:eastAsiaTheme="minorEastAsia" w:cstheme="minorEastAsia"/>
          <w:b/>
          <w:bCs/>
          <w:sz w:val="24"/>
          <w:szCs w:val="24"/>
          <w:highlight w:val="none"/>
          <w:lang w:val="en-US" w:eastAsia="zh-CN"/>
        </w:rPr>
        <w:t>按本格式和要求提供。</w:t>
      </w:r>
    </w:p>
    <w:p w14:paraId="5AE8A890">
      <w:pPr>
        <w:keepNext w:val="0"/>
        <w:keepLines w:val="0"/>
        <w:pageBreakBefore w:val="0"/>
        <w:widowControl w:val="0"/>
        <w:tabs>
          <w:tab w:val="left" w:pos="540"/>
        </w:tabs>
        <w:kinsoku/>
        <w:wordWrap/>
        <w:overflowPunct/>
        <w:topLinePunct w:val="0"/>
        <w:autoSpaceDE/>
        <w:autoSpaceDN/>
        <w:bidi w:val="0"/>
        <w:spacing w:line="360" w:lineRule="auto"/>
        <w:jc w:val="center"/>
        <w:textAlignment w:val="auto"/>
        <w:outlineLvl w:val="2"/>
        <w:rPr>
          <w:rStyle w:val="95"/>
          <w:rFonts w:hint="eastAsia" w:eastAsia="宋体" w:cs="宋体"/>
          <w:b/>
          <w:bCs/>
          <w:color w:val="auto"/>
          <w:sz w:val="24"/>
          <w:szCs w:val="24"/>
          <w:highlight w:val="none"/>
          <w:lang w:eastAsia="zh-CN"/>
        </w:rPr>
      </w:pPr>
      <w:r>
        <w:rPr>
          <w:rStyle w:val="95"/>
          <w:rFonts w:hint="eastAsia" w:cs="宋体"/>
          <w:b/>
          <w:bCs/>
          <w:color w:val="auto"/>
          <w:sz w:val="24"/>
          <w:szCs w:val="24"/>
          <w:highlight w:val="none"/>
          <w:lang w:val="en-US" w:eastAsia="zh-CN"/>
        </w:rPr>
        <w:br w:type="page"/>
      </w:r>
      <w:bookmarkStart w:id="389" w:name="_Toc24649"/>
      <w:r>
        <w:rPr>
          <w:rStyle w:val="95"/>
          <w:rFonts w:hint="eastAsia" w:cs="宋体"/>
          <w:b/>
          <w:bCs/>
          <w:color w:val="auto"/>
          <w:sz w:val="24"/>
          <w:szCs w:val="24"/>
          <w:highlight w:val="none"/>
          <w:lang w:val="en-US" w:eastAsia="zh-CN"/>
        </w:rPr>
        <w:t>2.</w:t>
      </w:r>
      <w:bookmarkEnd w:id="375"/>
      <w:r>
        <w:rPr>
          <w:rStyle w:val="95"/>
          <w:rFonts w:hint="eastAsia" w:cs="宋体"/>
          <w:b/>
          <w:bCs/>
          <w:color w:val="auto"/>
          <w:sz w:val="24"/>
          <w:szCs w:val="24"/>
          <w:highlight w:val="none"/>
          <w:lang w:eastAsia="zh-CN"/>
        </w:rPr>
        <w:t>法定代表人身份证明及</w:t>
      </w:r>
      <w:r>
        <w:rPr>
          <w:rFonts w:hint="eastAsia" w:cs="宋体"/>
          <w:b/>
          <w:bCs/>
          <w:color w:val="auto"/>
          <w:sz w:val="24"/>
          <w:szCs w:val="24"/>
          <w:highlight w:val="none"/>
        </w:rPr>
        <w:t>授权委托书</w:t>
      </w:r>
      <w:bookmarkEnd w:id="376"/>
      <w:bookmarkEnd w:id="377"/>
      <w:bookmarkEnd w:id="378"/>
      <w:bookmarkEnd w:id="379"/>
      <w:bookmarkEnd w:id="380"/>
      <w:bookmarkEnd w:id="381"/>
      <w:bookmarkEnd w:id="382"/>
      <w:bookmarkEnd w:id="389"/>
    </w:p>
    <w:p w14:paraId="1AC70F0C">
      <w:pPr>
        <w:keepNext w:val="0"/>
        <w:keepLines w:val="0"/>
        <w:pageBreakBefore w:val="0"/>
        <w:widowControl w:val="0"/>
        <w:kinsoku/>
        <w:wordWrap/>
        <w:overflowPunct/>
        <w:topLinePunct w:val="0"/>
        <w:autoSpaceDE/>
        <w:autoSpaceDN/>
        <w:bidi w:val="0"/>
        <w:spacing w:line="360" w:lineRule="auto"/>
        <w:jc w:val="center"/>
        <w:textAlignment w:val="auto"/>
        <w:outlineLvl w:val="9"/>
        <w:rPr>
          <w:rFonts w:hint="eastAsia" w:eastAsia="宋体"/>
          <w:b/>
          <w:bCs/>
          <w:color w:val="auto"/>
          <w:sz w:val="24"/>
          <w:szCs w:val="24"/>
          <w:highlight w:val="none"/>
          <w:lang w:eastAsia="zh-CN"/>
        </w:rPr>
      </w:pPr>
      <w:r>
        <w:rPr>
          <w:rFonts w:hint="eastAsia"/>
          <w:b/>
          <w:bCs/>
          <w:color w:val="auto"/>
          <w:sz w:val="24"/>
          <w:szCs w:val="24"/>
          <w:highlight w:val="none"/>
          <w:lang w:eastAsia="zh-CN"/>
        </w:rPr>
        <w:t>法定代表人身份证明</w:t>
      </w:r>
    </w:p>
    <w:p w14:paraId="47D5C45B">
      <w:pPr>
        <w:pStyle w:val="39"/>
        <w:keepNext w:val="0"/>
        <w:keepLines w:val="0"/>
        <w:pageBreakBefore w:val="0"/>
        <w:widowControl w:val="0"/>
        <w:kinsoku/>
        <w:wordWrap/>
        <w:overflowPunct/>
        <w:topLinePunct w:val="0"/>
        <w:autoSpaceDE/>
        <w:autoSpaceDN/>
        <w:bidi w:val="0"/>
        <w:spacing w:line="360" w:lineRule="auto"/>
        <w:textAlignment w:val="auto"/>
        <w:outlineLvl w:val="9"/>
        <w:rPr>
          <w:rFonts w:hint="eastAsia"/>
          <w:color w:val="auto"/>
          <w:highlight w:val="none"/>
        </w:rPr>
      </w:pPr>
    </w:p>
    <w:p w14:paraId="639970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宋体"/>
          <w:color w:val="auto"/>
          <w:sz w:val="24"/>
          <w:szCs w:val="24"/>
          <w:highlight w:val="none"/>
        </w:rPr>
      </w:pPr>
      <w:r>
        <w:rPr>
          <w:rFonts w:hint="eastAsia" w:cs="宋体"/>
          <w:color w:val="auto"/>
          <w:sz w:val="24"/>
          <w:szCs w:val="24"/>
          <w:highlight w:val="none"/>
        </w:rPr>
        <w:t>企业名称：</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38212B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宋体"/>
          <w:color w:val="auto"/>
          <w:sz w:val="24"/>
          <w:szCs w:val="24"/>
          <w:highlight w:val="none"/>
        </w:rPr>
      </w:pPr>
      <w:r>
        <w:rPr>
          <w:rFonts w:hint="eastAsia" w:cs="宋体"/>
          <w:color w:val="auto"/>
          <w:sz w:val="24"/>
          <w:szCs w:val="24"/>
          <w:highlight w:val="none"/>
        </w:rPr>
        <w:t>企业类型：</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5BD2A4D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宋体"/>
          <w:color w:val="auto"/>
          <w:sz w:val="24"/>
          <w:szCs w:val="24"/>
          <w:highlight w:val="none"/>
        </w:rPr>
      </w:pPr>
      <w:r>
        <w:rPr>
          <w:rFonts w:hint="eastAsia" w:cs="宋体"/>
          <w:color w:val="auto"/>
          <w:sz w:val="24"/>
          <w:szCs w:val="24"/>
          <w:highlight w:val="none"/>
        </w:rPr>
        <w:t>地    址：</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1FDBB3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宋体"/>
          <w:color w:val="auto"/>
          <w:sz w:val="24"/>
          <w:szCs w:val="24"/>
          <w:highlight w:val="none"/>
        </w:rPr>
      </w:pPr>
      <w:r>
        <w:rPr>
          <w:rFonts w:hint="eastAsia" w:cs="宋体"/>
          <w:color w:val="auto"/>
          <w:sz w:val="24"/>
          <w:szCs w:val="24"/>
          <w:highlight w:val="none"/>
        </w:rPr>
        <w:t>成立时间：</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16DFE8E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宋体"/>
          <w:color w:val="auto"/>
          <w:sz w:val="24"/>
          <w:szCs w:val="24"/>
          <w:highlight w:val="none"/>
        </w:rPr>
      </w:pPr>
      <w:r>
        <w:rPr>
          <w:rFonts w:hint="eastAsia" w:cs="宋体"/>
          <w:color w:val="auto"/>
          <w:sz w:val="24"/>
          <w:szCs w:val="24"/>
          <w:highlight w:val="none"/>
        </w:rPr>
        <w:t>营业期限：</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14B9D1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宋体"/>
          <w:color w:val="auto"/>
          <w:sz w:val="24"/>
          <w:szCs w:val="24"/>
          <w:highlight w:val="none"/>
        </w:rPr>
      </w:pPr>
      <w:r>
        <w:rPr>
          <w:rFonts w:hint="eastAsia" w:cs="宋体"/>
          <w:color w:val="auto"/>
          <w:sz w:val="24"/>
          <w:szCs w:val="24"/>
          <w:highlight w:val="none"/>
        </w:rPr>
        <w:t>姓名：</w:t>
      </w:r>
      <w:r>
        <w:rPr>
          <w:rFonts w:hint="eastAsia" w:cs="宋体"/>
          <w:color w:val="auto"/>
          <w:sz w:val="24"/>
          <w:szCs w:val="24"/>
          <w:highlight w:val="none"/>
          <w:u w:val="single"/>
        </w:rPr>
        <w:t xml:space="preserve">                  </w:t>
      </w:r>
      <w:r>
        <w:rPr>
          <w:rFonts w:hint="eastAsia" w:cs="宋体"/>
          <w:color w:val="auto"/>
          <w:sz w:val="24"/>
          <w:szCs w:val="24"/>
          <w:highlight w:val="none"/>
        </w:rPr>
        <w:t>性别：</w:t>
      </w:r>
      <w:r>
        <w:rPr>
          <w:rFonts w:hint="eastAsia" w:cs="宋体"/>
          <w:color w:val="auto"/>
          <w:sz w:val="24"/>
          <w:szCs w:val="24"/>
          <w:highlight w:val="none"/>
          <w:u w:val="single"/>
        </w:rPr>
        <w:t xml:space="preserve">            </w:t>
      </w:r>
      <w:r>
        <w:rPr>
          <w:rFonts w:hint="eastAsia" w:cs="宋体"/>
          <w:color w:val="auto"/>
          <w:sz w:val="24"/>
          <w:szCs w:val="24"/>
          <w:highlight w:val="none"/>
        </w:rPr>
        <w:t>年龄：</w:t>
      </w:r>
      <w:r>
        <w:rPr>
          <w:rFonts w:hint="eastAsia" w:cs="宋体"/>
          <w:color w:val="auto"/>
          <w:sz w:val="24"/>
          <w:szCs w:val="24"/>
          <w:highlight w:val="none"/>
          <w:u w:val="single"/>
        </w:rPr>
        <w:t xml:space="preserve">            </w:t>
      </w:r>
    </w:p>
    <w:p w14:paraId="625991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宋体"/>
          <w:color w:val="auto"/>
          <w:sz w:val="24"/>
          <w:szCs w:val="24"/>
          <w:highlight w:val="none"/>
        </w:rPr>
      </w:pPr>
      <w:r>
        <w:rPr>
          <w:rFonts w:hint="eastAsia" w:cs="宋体"/>
          <w:color w:val="auto"/>
          <w:sz w:val="24"/>
          <w:szCs w:val="24"/>
          <w:highlight w:val="none"/>
        </w:rPr>
        <w:t>职务：</w:t>
      </w:r>
      <w:r>
        <w:rPr>
          <w:rFonts w:hint="eastAsia" w:cs="宋体"/>
          <w:color w:val="auto"/>
          <w:sz w:val="24"/>
          <w:szCs w:val="24"/>
          <w:highlight w:val="none"/>
          <w:u w:val="single"/>
        </w:rPr>
        <w:t xml:space="preserve">                  </w:t>
      </w:r>
      <w:r>
        <w:rPr>
          <w:rFonts w:hint="eastAsia" w:cs="宋体"/>
          <w:color w:val="auto"/>
          <w:sz w:val="24"/>
          <w:szCs w:val="24"/>
          <w:highlight w:val="none"/>
        </w:rPr>
        <w:t xml:space="preserve">系 </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投标人</w:t>
      </w:r>
      <w:r>
        <w:rPr>
          <w:rFonts w:hint="eastAsia" w:cs="宋体"/>
          <w:color w:val="auto"/>
          <w:sz w:val="24"/>
          <w:szCs w:val="24"/>
          <w:highlight w:val="none"/>
          <w:u w:val="single"/>
        </w:rPr>
        <w:t xml:space="preserve">公司名称） </w:t>
      </w:r>
      <w:r>
        <w:rPr>
          <w:rFonts w:hint="eastAsia" w:cs="宋体"/>
          <w:color w:val="auto"/>
          <w:sz w:val="24"/>
          <w:szCs w:val="24"/>
          <w:highlight w:val="none"/>
        </w:rPr>
        <w:t>的法定代表人。</w:t>
      </w:r>
    </w:p>
    <w:p w14:paraId="3E013FD1">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特此证明。</w:t>
      </w:r>
    </w:p>
    <w:p w14:paraId="69BA87A8">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法定代表人身份证</w:t>
      </w:r>
      <w:r>
        <w:rPr>
          <w:rFonts w:hint="eastAsia" w:ascii="宋体" w:hAnsi="宋体" w:cs="宋体"/>
          <w:color w:val="auto"/>
          <w:sz w:val="24"/>
          <w:highlight w:val="none"/>
        </w:rPr>
        <w:t>扫描件</w:t>
      </w:r>
      <w:r>
        <w:rPr>
          <w:rFonts w:hint="eastAsia" w:cs="宋体"/>
          <w:color w:val="auto"/>
          <w:sz w:val="24"/>
          <w:szCs w:val="24"/>
          <w:highlight w:val="none"/>
        </w:rPr>
        <w:t>：</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9"/>
        <w:gridCol w:w="4070"/>
      </w:tblGrid>
      <w:tr w14:paraId="416B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9" w:hRule="atLeast"/>
          <w:jc w:val="center"/>
        </w:trPr>
        <w:tc>
          <w:tcPr>
            <w:tcW w:w="4069" w:type="dxa"/>
            <w:noWrap w:val="0"/>
            <w:vAlign w:val="center"/>
          </w:tcPr>
          <w:p w14:paraId="6400D0B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cs="宋体"/>
                <w:color w:val="auto"/>
                <w:sz w:val="24"/>
                <w:szCs w:val="24"/>
                <w:highlight w:val="none"/>
              </w:rPr>
            </w:pPr>
            <w:r>
              <w:rPr>
                <w:rFonts w:hint="eastAsia" w:cs="宋体"/>
                <w:color w:val="auto"/>
                <w:sz w:val="24"/>
                <w:szCs w:val="24"/>
                <w:highlight w:val="none"/>
              </w:rPr>
              <w:t>身份证正面</w:t>
            </w:r>
          </w:p>
        </w:tc>
        <w:tc>
          <w:tcPr>
            <w:tcW w:w="4070" w:type="dxa"/>
            <w:noWrap w:val="0"/>
            <w:vAlign w:val="center"/>
          </w:tcPr>
          <w:p w14:paraId="4321CC3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cs="宋体"/>
                <w:color w:val="auto"/>
                <w:sz w:val="24"/>
                <w:szCs w:val="24"/>
                <w:highlight w:val="none"/>
              </w:rPr>
            </w:pPr>
            <w:r>
              <w:rPr>
                <w:rFonts w:hint="eastAsia" w:cs="宋体"/>
                <w:color w:val="auto"/>
                <w:sz w:val="24"/>
                <w:szCs w:val="24"/>
                <w:highlight w:val="none"/>
              </w:rPr>
              <w:t>身份证背面</w:t>
            </w:r>
          </w:p>
        </w:tc>
      </w:tr>
    </w:tbl>
    <w:p w14:paraId="75C103A3">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highlight w:val="none"/>
        </w:rPr>
      </w:pPr>
    </w:p>
    <w:p w14:paraId="7188B523">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highlight w:val="none"/>
        </w:rPr>
      </w:pPr>
    </w:p>
    <w:p w14:paraId="640187BB">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u w:val="single"/>
        </w:rPr>
      </w:pPr>
      <w:r>
        <w:rPr>
          <w:rFonts w:hint="eastAsia" w:ascii="宋体" w:hAnsi="宋体" w:cs="宋体"/>
          <w:b w:val="0"/>
          <w:bCs w:val="0"/>
          <w:color w:val="auto"/>
          <w:kern w:val="0"/>
          <w:sz w:val="24"/>
          <w:szCs w:val="24"/>
          <w:highlight w:val="none"/>
          <w:lang w:eastAsia="zh-CN"/>
        </w:rPr>
        <w:t>投标人名称</w:t>
      </w:r>
      <w:r>
        <w:rPr>
          <w:rFonts w:hint="eastAsia" w:cs="宋体"/>
          <w:color w:val="auto"/>
          <w:sz w:val="24"/>
          <w:szCs w:val="24"/>
          <w:highlight w:val="none"/>
        </w:rPr>
        <w:t>（</w:t>
      </w:r>
      <w:r>
        <w:rPr>
          <w:rFonts w:hint="eastAsia" w:ascii="宋体" w:hAnsi="宋体" w:eastAsia="宋体" w:cs="宋体"/>
          <w:b w:val="0"/>
          <w:bCs w:val="0"/>
          <w:color w:val="auto"/>
          <w:kern w:val="0"/>
          <w:sz w:val="24"/>
          <w:szCs w:val="24"/>
          <w:highlight w:val="none"/>
          <w:lang w:eastAsia="zh-CN"/>
        </w:rPr>
        <w:t>公章</w:t>
      </w:r>
      <w:r>
        <w:rPr>
          <w:rFonts w:hint="eastAsia" w:cs="宋体"/>
          <w:color w:val="auto"/>
          <w:sz w:val="24"/>
          <w:szCs w:val="24"/>
          <w:highlight w:val="none"/>
        </w:rPr>
        <w:t>）：</w:t>
      </w:r>
      <w:r>
        <w:rPr>
          <w:rFonts w:hint="eastAsia" w:cs="宋体"/>
          <w:color w:val="auto"/>
          <w:sz w:val="24"/>
          <w:szCs w:val="24"/>
          <w:highlight w:val="none"/>
          <w:u w:val="single"/>
        </w:rPr>
        <w:t xml:space="preserve">                      </w:t>
      </w:r>
    </w:p>
    <w:p w14:paraId="731760E3">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日  期：</w:t>
      </w:r>
      <w:r>
        <w:rPr>
          <w:rFonts w:hint="eastAsia" w:cs="宋体"/>
          <w:color w:val="auto"/>
          <w:sz w:val="24"/>
          <w:szCs w:val="24"/>
          <w:highlight w:val="none"/>
          <w:u w:val="single"/>
        </w:rPr>
        <w:t xml:space="preserve">        </w:t>
      </w:r>
      <w:r>
        <w:rPr>
          <w:rFonts w:hint="eastAsia" w:cs="宋体"/>
          <w:color w:val="auto"/>
          <w:sz w:val="24"/>
          <w:szCs w:val="24"/>
          <w:highlight w:val="none"/>
        </w:rPr>
        <w:t xml:space="preserve">年 </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w:t>
      </w:r>
    </w:p>
    <w:p w14:paraId="749BA720">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p>
    <w:p w14:paraId="6DE966E8">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outlineLvl w:val="9"/>
        <w:rPr>
          <w:rFonts w:hint="eastAsia" w:cs="宋体"/>
          <w:b/>
          <w:bCs/>
          <w:color w:val="auto"/>
          <w:sz w:val="24"/>
          <w:szCs w:val="24"/>
          <w:highlight w:val="none"/>
        </w:rPr>
      </w:pPr>
      <w:r>
        <w:rPr>
          <w:rFonts w:hint="eastAsia" w:cs="宋体"/>
          <w:b/>
          <w:bCs/>
          <w:color w:val="auto"/>
          <w:sz w:val="24"/>
          <w:szCs w:val="24"/>
          <w:highlight w:val="none"/>
        </w:rPr>
        <w:t>注：本证明书为法定代表人本人作为公司代理人参与投标的，提供此项证明书。</w:t>
      </w:r>
    </w:p>
    <w:p w14:paraId="508B79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545371B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s="宋体"/>
          <w:b/>
          <w:bCs/>
          <w:color w:val="auto"/>
          <w:sz w:val="24"/>
          <w:szCs w:val="24"/>
          <w:highlight w:val="none"/>
        </w:rPr>
      </w:pPr>
      <w:r>
        <w:rPr>
          <w:rFonts w:hint="eastAsia" w:cs="宋体"/>
          <w:b/>
          <w:bCs/>
          <w:color w:val="auto"/>
          <w:sz w:val="24"/>
          <w:szCs w:val="24"/>
          <w:highlight w:val="none"/>
        </w:rPr>
        <w:br w:type="page"/>
      </w:r>
      <w:r>
        <w:rPr>
          <w:rFonts w:hint="eastAsia" w:cs="宋体"/>
          <w:b/>
          <w:bCs/>
          <w:color w:val="auto"/>
          <w:sz w:val="24"/>
          <w:szCs w:val="24"/>
          <w:highlight w:val="none"/>
        </w:rPr>
        <w:t>法定代表人授权委托书</w:t>
      </w:r>
    </w:p>
    <w:p w14:paraId="496E800E">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本授权委托书声明：我</w:t>
      </w:r>
      <w:r>
        <w:rPr>
          <w:rFonts w:hint="eastAsia" w:cs="宋体"/>
          <w:color w:val="auto"/>
          <w:sz w:val="24"/>
          <w:szCs w:val="24"/>
          <w:highlight w:val="none"/>
          <w:u w:val="single"/>
        </w:rPr>
        <w:t>（姓名）</w:t>
      </w:r>
      <w:r>
        <w:rPr>
          <w:rFonts w:hint="eastAsia" w:cs="宋体"/>
          <w:color w:val="auto"/>
          <w:sz w:val="24"/>
          <w:szCs w:val="24"/>
          <w:highlight w:val="none"/>
        </w:rPr>
        <w:t>系</w:t>
      </w:r>
      <w:r>
        <w:rPr>
          <w:rFonts w:hint="eastAsia" w:cs="宋体"/>
          <w:color w:val="auto"/>
          <w:sz w:val="24"/>
          <w:szCs w:val="24"/>
          <w:highlight w:val="none"/>
          <w:u w:val="single"/>
        </w:rPr>
        <w:t>（</w:t>
      </w:r>
      <w:r>
        <w:rPr>
          <w:rFonts w:hint="eastAsia" w:cs="宋体"/>
          <w:color w:val="auto"/>
          <w:sz w:val="24"/>
          <w:szCs w:val="24"/>
          <w:highlight w:val="none"/>
          <w:u w:val="single"/>
          <w:lang w:eastAsia="zh-CN"/>
        </w:rPr>
        <w:t>投标人名称</w:t>
      </w:r>
      <w:r>
        <w:rPr>
          <w:rFonts w:hint="eastAsia" w:cs="宋体"/>
          <w:color w:val="auto"/>
          <w:sz w:val="24"/>
          <w:szCs w:val="24"/>
          <w:highlight w:val="none"/>
          <w:u w:val="single"/>
        </w:rPr>
        <w:t>）</w:t>
      </w:r>
      <w:r>
        <w:rPr>
          <w:rFonts w:hint="eastAsia" w:cs="宋体"/>
          <w:color w:val="auto"/>
          <w:sz w:val="24"/>
          <w:szCs w:val="24"/>
          <w:highlight w:val="none"/>
        </w:rPr>
        <w:t>的法人代表人，现授权委托</w:t>
      </w:r>
      <w:r>
        <w:rPr>
          <w:rFonts w:hint="eastAsia" w:cs="宋体"/>
          <w:color w:val="auto"/>
          <w:sz w:val="24"/>
          <w:szCs w:val="24"/>
          <w:highlight w:val="none"/>
          <w:u w:val="none"/>
          <w:lang w:eastAsia="zh-CN"/>
        </w:rPr>
        <w:t>公司</w:t>
      </w:r>
      <w:r>
        <w:rPr>
          <w:rFonts w:hint="eastAsia" w:cs="宋体"/>
          <w:color w:val="auto"/>
          <w:sz w:val="24"/>
          <w:szCs w:val="24"/>
          <w:highlight w:val="none"/>
          <w:lang w:eastAsia="zh-CN"/>
        </w:rPr>
        <w:t>正式员工</w:t>
      </w:r>
      <w:r>
        <w:rPr>
          <w:rFonts w:hint="eastAsia" w:cs="宋体"/>
          <w:color w:val="auto"/>
          <w:sz w:val="24"/>
          <w:szCs w:val="24"/>
          <w:highlight w:val="none"/>
          <w:u w:val="single"/>
        </w:rPr>
        <w:t>（姓名）</w:t>
      </w:r>
      <w:r>
        <w:rPr>
          <w:rFonts w:hint="eastAsia" w:cs="宋体"/>
          <w:color w:val="auto"/>
          <w:sz w:val="24"/>
          <w:szCs w:val="24"/>
          <w:highlight w:val="none"/>
        </w:rPr>
        <w:t>为我公司代理人，以本公司的名义参加</w:t>
      </w:r>
      <w:r>
        <w:rPr>
          <w:rFonts w:hint="eastAsia" w:cs="宋体"/>
          <w:color w:val="auto"/>
          <w:sz w:val="24"/>
          <w:szCs w:val="24"/>
          <w:highlight w:val="none"/>
          <w:u w:val="single"/>
        </w:rPr>
        <w:t>（招标人）</w:t>
      </w:r>
      <w:r>
        <w:rPr>
          <w:rFonts w:hint="eastAsia" w:cs="宋体"/>
          <w:color w:val="auto"/>
          <w:sz w:val="24"/>
          <w:szCs w:val="24"/>
          <w:highlight w:val="none"/>
        </w:rPr>
        <w:t>的</w:t>
      </w:r>
      <w:r>
        <w:rPr>
          <w:rFonts w:hint="eastAsia" w:cs="宋体"/>
          <w:color w:val="auto"/>
          <w:sz w:val="24"/>
          <w:szCs w:val="24"/>
          <w:highlight w:val="none"/>
          <w:u w:val="single"/>
        </w:rPr>
        <w:t xml:space="preserve">  （项目名称）</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u w:val="single"/>
        </w:rPr>
        <w:t xml:space="preserve"> </w:t>
      </w:r>
      <w:r>
        <w:rPr>
          <w:rFonts w:hint="eastAsia" w:cs="宋体"/>
          <w:color w:val="auto"/>
          <w:sz w:val="24"/>
          <w:szCs w:val="24"/>
          <w:highlight w:val="none"/>
        </w:rPr>
        <w:t>的投标活动。代理人在参加整个项目招标响应活动、合同招标过程中所签署的一切文件和处理与之有关的一切事物，我均予以承认。</w:t>
      </w:r>
    </w:p>
    <w:p w14:paraId="6CC70422">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代理人：</w:t>
      </w:r>
      <w:r>
        <w:rPr>
          <w:rFonts w:hint="eastAsia" w:cs="宋体"/>
          <w:color w:val="auto"/>
          <w:sz w:val="24"/>
          <w:szCs w:val="24"/>
          <w:highlight w:val="none"/>
          <w:u w:val="single"/>
        </w:rPr>
        <w:t xml:space="preserve">              </w:t>
      </w:r>
      <w:r>
        <w:rPr>
          <w:rFonts w:hint="eastAsia" w:cs="宋体"/>
          <w:color w:val="auto"/>
          <w:sz w:val="24"/>
          <w:szCs w:val="24"/>
          <w:highlight w:val="none"/>
        </w:rPr>
        <w:t>性别：</w:t>
      </w:r>
      <w:r>
        <w:rPr>
          <w:rFonts w:hint="eastAsia" w:cs="宋体"/>
          <w:color w:val="auto"/>
          <w:sz w:val="24"/>
          <w:szCs w:val="24"/>
          <w:highlight w:val="none"/>
          <w:u w:val="single"/>
        </w:rPr>
        <w:t xml:space="preserve">      </w:t>
      </w:r>
      <w:r>
        <w:rPr>
          <w:rFonts w:hint="eastAsia" w:cs="宋体"/>
          <w:color w:val="auto"/>
          <w:sz w:val="24"/>
          <w:szCs w:val="24"/>
          <w:highlight w:val="none"/>
        </w:rPr>
        <w:t xml:space="preserve">   年龄：</w:t>
      </w:r>
      <w:r>
        <w:rPr>
          <w:rFonts w:hint="eastAsia" w:cs="宋体"/>
          <w:color w:val="auto"/>
          <w:sz w:val="24"/>
          <w:szCs w:val="24"/>
          <w:highlight w:val="none"/>
          <w:u w:val="single"/>
        </w:rPr>
        <w:t xml:space="preserve">       </w:t>
      </w:r>
    </w:p>
    <w:p w14:paraId="25A8548C">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单  位：</w:t>
      </w:r>
      <w:r>
        <w:rPr>
          <w:rFonts w:hint="eastAsia" w:cs="宋体"/>
          <w:color w:val="auto"/>
          <w:sz w:val="24"/>
          <w:szCs w:val="24"/>
          <w:highlight w:val="none"/>
          <w:u w:val="single"/>
        </w:rPr>
        <w:t xml:space="preserve">             </w:t>
      </w:r>
      <w:r>
        <w:rPr>
          <w:rFonts w:hint="eastAsia" w:cs="宋体"/>
          <w:color w:val="auto"/>
          <w:sz w:val="24"/>
          <w:szCs w:val="24"/>
          <w:highlight w:val="none"/>
        </w:rPr>
        <w:t xml:space="preserve"> 部门：</w:t>
      </w:r>
      <w:r>
        <w:rPr>
          <w:rFonts w:hint="eastAsia" w:cs="宋体"/>
          <w:color w:val="auto"/>
          <w:sz w:val="24"/>
          <w:szCs w:val="24"/>
          <w:highlight w:val="none"/>
          <w:u w:val="single"/>
        </w:rPr>
        <w:t xml:space="preserve">       </w:t>
      </w:r>
      <w:r>
        <w:rPr>
          <w:rFonts w:hint="eastAsia" w:cs="宋体"/>
          <w:color w:val="auto"/>
          <w:sz w:val="24"/>
          <w:szCs w:val="24"/>
          <w:highlight w:val="none"/>
        </w:rPr>
        <w:t xml:space="preserve">  职务：</w:t>
      </w:r>
      <w:r>
        <w:rPr>
          <w:rFonts w:hint="eastAsia" w:cs="宋体"/>
          <w:color w:val="auto"/>
          <w:sz w:val="24"/>
          <w:szCs w:val="24"/>
          <w:highlight w:val="none"/>
          <w:u w:val="single"/>
        </w:rPr>
        <w:t xml:space="preserve">       </w:t>
      </w:r>
    </w:p>
    <w:p w14:paraId="1328A87D">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联系电话：</w:t>
      </w:r>
      <w:r>
        <w:rPr>
          <w:rFonts w:hint="eastAsia" w:cs="宋体"/>
          <w:color w:val="auto"/>
          <w:sz w:val="24"/>
          <w:szCs w:val="24"/>
          <w:highlight w:val="none"/>
          <w:u w:val="single"/>
        </w:rPr>
        <w:t xml:space="preserve">            </w:t>
      </w:r>
      <w:r>
        <w:rPr>
          <w:rFonts w:hint="eastAsia" w:cs="宋体"/>
          <w:color w:val="auto"/>
          <w:sz w:val="24"/>
          <w:szCs w:val="24"/>
          <w:highlight w:val="none"/>
        </w:rPr>
        <w:t>邮箱：</w:t>
      </w:r>
      <w:r>
        <w:rPr>
          <w:rFonts w:hint="eastAsia" w:cs="宋体"/>
          <w:color w:val="auto"/>
          <w:sz w:val="24"/>
          <w:szCs w:val="24"/>
          <w:highlight w:val="none"/>
          <w:u w:val="single"/>
        </w:rPr>
        <w:t xml:space="preserve">                   </w:t>
      </w:r>
    </w:p>
    <w:p w14:paraId="3BE2A324">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代理人无转委托权。</w:t>
      </w:r>
    </w:p>
    <w:p w14:paraId="7464E20A">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授权人身份证</w:t>
      </w:r>
      <w:r>
        <w:rPr>
          <w:rFonts w:hint="eastAsia" w:ascii="宋体" w:hAnsi="宋体" w:cs="宋体"/>
          <w:color w:val="auto"/>
          <w:sz w:val="24"/>
          <w:highlight w:val="none"/>
        </w:rPr>
        <w:t>扫描件</w:t>
      </w:r>
      <w:r>
        <w:rPr>
          <w:rFonts w:hint="eastAsia" w:cs="宋体"/>
          <w:color w:val="auto"/>
          <w:sz w:val="24"/>
          <w:szCs w:val="24"/>
          <w:highlight w:val="none"/>
        </w:rPr>
        <w:t>：</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9"/>
        <w:gridCol w:w="4070"/>
      </w:tblGrid>
      <w:tr w14:paraId="7E82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4069" w:type="dxa"/>
            <w:noWrap w:val="0"/>
            <w:vAlign w:val="center"/>
          </w:tcPr>
          <w:p w14:paraId="5846EC3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s="宋体"/>
                <w:color w:val="auto"/>
                <w:sz w:val="24"/>
                <w:szCs w:val="24"/>
                <w:highlight w:val="none"/>
              </w:rPr>
            </w:pPr>
            <w:r>
              <w:rPr>
                <w:rFonts w:hint="eastAsia" w:cs="宋体"/>
                <w:color w:val="auto"/>
                <w:sz w:val="24"/>
                <w:szCs w:val="24"/>
                <w:highlight w:val="none"/>
              </w:rPr>
              <w:t>身份证正面</w:t>
            </w:r>
          </w:p>
        </w:tc>
        <w:tc>
          <w:tcPr>
            <w:tcW w:w="4070" w:type="dxa"/>
            <w:noWrap w:val="0"/>
            <w:vAlign w:val="center"/>
          </w:tcPr>
          <w:p w14:paraId="6001C7B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s="宋体"/>
                <w:color w:val="auto"/>
                <w:sz w:val="24"/>
                <w:szCs w:val="24"/>
                <w:highlight w:val="none"/>
              </w:rPr>
            </w:pPr>
            <w:r>
              <w:rPr>
                <w:rFonts w:hint="eastAsia" w:cs="宋体"/>
                <w:color w:val="auto"/>
                <w:sz w:val="24"/>
                <w:szCs w:val="24"/>
                <w:highlight w:val="none"/>
              </w:rPr>
              <w:t>身份证背面</w:t>
            </w:r>
          </w:p>
        </w:tc>
      </w:tr>
    </w:tbl>
    <w:p w14:paraId="6AAE0A2F">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被授权人身份证</w:t>
      </w:r>
      <w:r>
        <w:rPr>
          <w:rFonts w:hint="eastAsia" w:ascii="宋体" w:hAnsi="宋体" w:cs="宋体"/>
          <w:color w:val="auto"/>
          <w:sz w:val="24"/>
          <w:highlight w:val="none"/>
        </w:rPr>
        <w:t>扫描件</w:t>
      </w:r>
      <w:r>
        <w:rPr>
          <w:rFonts w:hint="eastAsia" w:cs="宋体"/>
          <w:color w:val="auto"/>
          <w:sz w:val="24"/>
          <w:szCs w:val="24"/>
          <w:highlight w:val="none"/>
        </w:rPr>
        <w:t>：</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9"/>
        <w:gridCol w:w="4070"/>
      </w:tblGrid>
      <w:tr w14:paraId="6B79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4069" w:type="dxa"/>
            <w:noWrap w:val="0"/>
            <w:vAlign w:val="center"/>
          </w:tcPr>
          <w:p w14:paraId="7652A12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s="宋体"/>
                <w:color w:val="auto"/>
                <w:sz w:val="24"/>
                <w:szCs w:val="24"/>
                <w:highlight w:val="none"/>
              </w:rPr>
            </w:pPr>
            <w:r>
              <w:rPr>
                <w:rFonts w:hint="eastAsia" w:cs="宋体"/>
                <w:color w:val="auto"/>
                <w:sz w:val="24"/>
                <w:szCs w:val="24"/>
                <w:highlight w:val="none"/>
              </w:rPr>
              <w:t>身份证正面</w:t>
            </w:r>
          </w:p>
        </w:tc>
        <w:tc>
          <w:tcPr>
            <w:tcW w:w="4070" w:type="dxa"/>
            <w:noWrap w:val="0"/>
            <w:vAlign w:val="center"/>
          </w:tcPr>
          <w:p w14:paraId="63829BA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s="宋体"/>
                <w:color w:val="auto"/>
                <w:sz w:val="24"/>
                <w:szCs w:val="24"/>
                <w:highlight w:val="none"/>
              </w:rPr>
            </w:pPr>
            <w:r>
              <w:rPr>
                <w:rFonts w:hint="eastAsia" w:cs="宋体"/>
                <w:color w:val="auto"/>
                <w:sz w:val="24"/>
                <w:szCs w:val="24"/>
                <w:highlight w:val="none"/>
              </w:rPr>
              <w:t>身份证背面</w:t>
            </w:r>
          </w:p>
        </w:tc>
      </w:tr>
    </w:tbl>
    <w:p w14:paraId="316A5765">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ascii="宋体" w:hAnsi="宋体" w:eastAsia="宋体" w:cs="宋体"/>
          <w:b w:val="0"/>
          <w:bCs w:val="0"/>
          <w:color w:val="auto"/>
          <w:kern w:val="0"/>
          <w:sz w:val="24"/>
          <w:szCs w:val="24"/>
          <w:highlight w:val="none"/>
        </w:rPr>
      </w:pPr>
    </w:p>
    <w:p w14:paraId="43F26B84">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ascii="宋体" w:hAnsi="宋体" w:cs="宋体"/>
          <w:b w:val="0"/>
          <w:bCs w:val="0"/>
          <w:color w:val="auto"/>
          <w:kern w:val="0"/>
          <w:sz w:val="24"/>
          <w:szCs w:val="24"/>
          <w:highlight w:val="none"/>
          <w:lang w:eastAsia="zh-CN"/>
        </w:rPr>
        <w:t>投标人名称</w:t>
      </w:r>
      <w:r>
        <w:rPr>
          <w:rFonts w:hint="eastAsia" w:cs="宋体"/>
          <w:color w:val="auto"/>
          <w:sz w:val="24"/>
          <w:szCs w:val="24"/>
          <w:highlight w:val="none"/>
        </w:rPr>
        <w:t>：（</w:t>
      </w:r>
      <w:r>
        <w:rPr>
          <w:rFonts w:hint="eastAsia" w:ascii="宋体" w:hAnsi="宋体" w:eastAsia="宋体" w:cs="宋体"/>
          <w:b w:val="0"/>
          <w:bCs w:val="0"/>
          <w:color w:val="auto"/>
          <w:kern w:val="0"/>
          <w:sz w:val="24"/>
          <w:szCs w:val="24"/>
          <w:highlight w:val="none"/>
          <w:lang w:eastAsia="zh-CN"/>
        </w:rPr>
        <w:t>公章</w:t>
      </w:r>
      <w:r>
        <w:rPr>
          <w:rFonts w:hint="eastAsia" w:cs="宋体"/>
          <w:color w:val="auto"/>
          <w:sz w:val="24"/>
          <w:szCs w:val="24"/>
          <w:highlight w:val="none"/>
        </w:rPr>
        <w:t>）</w:t>
      </w:r>
    </w:p>
    <w:p w14:paraId="24379502">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p>
    <w:p w14:paraId="26520560">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法定代表人：（</w:t>
      </w:r>
      <w:r>
        <w:rPr>
          <w:rFonts w:hint="eastAsia" w:ascii="宋体" w:hAnsi="宋体" w:eastAsia="宋体" w:cs="宋体"/>
          <w:b w:val="0"/>
          <w:bCs w:val="0"/>
          <w:color w:val="auto"/>
          <w:kern w:val="0"/>
          <w:sz w:val="24"/>
          <w:szCs w:val="24"/>
          <w:highlight w:val="none"/>
          <w:lang w:eastAsia="zh-CN"/>
        </w:rPr>
        <w:t>签字或盖章</w:t>
      </w:r>
      <w:r>
        <w:rPr>
          <w:rFonts w:hint="eastAsia" w:cs="宋体"/>
          <w:color w:val="auto"/>
          <w:sz w:val="24"/>
          <w:szCs w:val="24"/>
          <w:highlight w:val="none"/>
        </w:rPr>
        <w:t>）</w:t>
      </w:r>
    </w:p>
    <w:p w14:paraId="77EAB991">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日期：      年    月    日</w:t>
      </w:r>
    </w:p>
    <w:p w14:paraId="562E56DD">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outlineLvl w:val="9"/>
        <w:rPr>
          <w:rFonts w:hint="eastAsia" w:cs="宋体"/>
          <w:color w:val="auto"/>
          <w:sz w:val="24"/>
          <w:szCs w:val="24"/>
          <w:highlight w:val="none"/>
        </w:rPr>
      </w:pPr>
    </w:p>
    <w:p w14:paraId="18806867">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outlineLvl w:val="9"/>
        <w:rPr>
          <w:rFonts w:hint="eastAsia" w:cs="宋体"/>
          <w:b/>
          <w:bCs/>
          <w:color w:val="auto"/>
          <w:sz w:val="24"/>
          <w:szCs w:val="24"/>
          <w:highlight w:val="none"/>
        </w:rPr>
      </w:pPr>
      <w:r>
        <w:rPr>
          <w:rFonts w:hint="eastAsia" w:cs="宋体"/>
          <w:b/>
          <w:bCs/>
          <w:color w:val="auto"/>
          <w:sz w:val="24"/>
          <w:szCs w:val="24"/>
          <w:highlight w:val="none"/>
        </w:rPr>
        <w:t>注：1.法定代表人本人作为公司代理人前来参与投标的，不提供此项证明文件。</w:t>
      </w:r>
    </w:p>
    <w:p w14:paraId="27730E1B">
      <w:pPr>
        <w:keepNext w:val="0"/>
        <w:keepLines w:val="0"/>
        <w:pageBreakBefore w:val="0"/>
        <w:widowControl w:val="0"/>
        <w:kinsoku/>
        <w:wordWrap/>
        <w:overflowPunct/>
        <w:topLinePunct w:val="0"/>
        <w:autoSpaceDE/>
        <w:autoSpaceDN/>
        <w:bidi w:val="0"/>
        <w:adjustRightInd w:val="0"/>
        <w:snapToGrid w:val="0"/>
        <w:spacing w:line="240" w:lineRule="auto"/>
        <w:ind w:firstLine="964" w:firstLineChars="400"/>
        <w:textAlignment w:val="auto"/>
        <w:outlineLvl w:val="9"/>
        <w:rPr>
          <w:rFonts w:hint="eastAsia" w:cs="宋体"/>
          <w:b/>
          <w:bCs/>
          <w:color w:val="auto"/>
          <w:sz w:val="24"/>
          <w:szCs w:val="24"/>
          <w:highlight w:val="none"/>
        </w:rPr>
      </w:pPr>
      <w:r>
        <w:rPr>
          <w:rFonts w:hint="eastAsia" w:cs="宋体"/>
          <w:b/>
          <w:bCs/>
          <w:color w:val="auto"/>
          <w:sz w:val="24"/>
          <w:szCs w:val="24"/>
          <w:highlight w:val="none"/>
        </w:rPr>
        <w:t>2.授权书上应当附有授权人和被授权人的居民身份证</w:t>
      </w:r>
      <w:r>
        <w:rPr>
          <w:rFonts w:hint="eastAsia" w:ascii="宋体" w:hAnsi="宋体" w:cs="宋体"/>
          <w:b/>
          <w:bCs/>
          <w:color w:val="auto"/>
          <w:sz w:val="24"/>
          <w:highlight w:val="none"/>
        </w:rPr>
        <w:t>扫描件</w:t>
      </w:r>
      <w:r>
        <w:rPr>
          <w:rFonts w:hint="eastAsia" w:cs="宋体"/>
          <w:b/>
          <w:bCs/>
          <w:color w:val="auto"/>
          <w:sz w:val="24"/>
          <w:szCs w:val="24"/>
          <w:highlight w:val="none"/>
        </w:rPr>
        <w:t>。</w:t>
      </w:r>
      <w:bookmarkStart w:id="390" w:name="_Toc7141"/>
      <w:bookmarkStart w:id="391" w:name="_Toc11400"/>
      <w:bookmarkStart w:id="392" w:name="_Toc2433"/>
    </w:p>
    <w:p w14:paraId="5B55F8AF">
      <w:pPr>
        <w:keepNext w:val="0"/>
        <w:keepLines w:val="0"/>
        <w:pageBreakBefore w:val="0"/>
        <w:widowControl w:val="0"/>
        <w:tabs>
          <w:tab w:val="left" w:pos="540"/>
        </w:tabs>
        <w:kinsoku/>
        <w:wordWrap/>
        <w:overflowPunct/>
        <w:topLinePunct w:val="0"/>
        <w:autoSpaceDE/>
        <w:autoSpaceDN/>
        <w:bidi w:val="0"/>
        <w:spacing w:line="360" w:lineRule="auto"/>
        <w:jc w:val="center"/>
        <w:textAlignment w:val="auto"/>
        <w:outlineLvl w:val="2"/>
        <w:rPr>
          <w:rStyle w:val="95"/>
          <w:rFonts w:hint="eastAsia" w:eastAsia="宋体" w:cs="宋体"/>
          <w:b/>
          <w:bCs/>
          <w:color w:val="auto"/>
          <w:sz w:val="24"/>
          <w:szCs w:val="24"/>
          <w:highlight w:val="none"/>
          <w:lang w:eastAsia="zh-CN"/>
        </w:rPr>
      </w:pPr>
      <w:r>
        <w:rPr>
          <w:rFonts w:hint="eastAsia" w:cs="宋体"/>
          <w:color w:val="auto"/>
          <w:sz w:val="24"/>
          <w:szCs w:val="24"/>
          <w:highlight w:val="none"/>
        </w:rPr>
        <w:br w:type="page"/>
      </w:r>
      <w:bookmarkStart w:id="393" w:name="_Toc25349"/>
      <w:r>
        <w:rPr>
          <w:rFonts w:hint="eastAsia" w:cs="宋体"/>
          <w:b/>
          <w:bCs/>
          <w:color w:val="auto"/>
          <w:sz w:val="24"/>
          <w:szCs w:val="24"/>
          <w:highlight w:val="none"/>
          <w:lang w:val="en-US" w:eastAsia="zh-CN"/>
        </w:rPr>
        <w:t>3</w:t>
      </w:r>
      <w:r>
        <w:rPr>
          <w:rStyle w:val="95"/>
          <w:rFonts w:hint="eastAsia" w:cs="宋体"/>
          <w:b/>
          <w:bCs/>
          <w:color w:val="auto"/>
          <w:sz w:val="24"/>
          <w:szCs w:val="24"/>
          <w:highlight w:val="none"/>
          <w:lang w:val="en-US" w:eastAsia="zh-CN"/>
        </w:rPr>
        <w:t>.</w:t>
      </w:r>
      <w:r>
        <w:rPr>
          <w:rFonts w:hint="eastAsia" w:ascii="宋体" w:hAnsi="宋体" w:eastAsia="宋体" w:cs="宋体"/>
          <w:b/>
          <w:bCs/>
          <w:color w:val="auto"/>
          <w:sz w:val="24"/>
          <w:szCs w:val="24"/>
          <w:highlight w:val="none"/>
        </w:rPr>
        <w:t>具有独立承担民事责任的能力</w:t>
      </w:r>
      <w:bookmarkEnd w:id="393"/>
    </w:p>
    <w:bookmarkEnd w:id="383"/>
    <w:bookmarkEnd w:id="384"/>
    <w:bookmarkEnd w:id="385"/>
    <w:bookmarkEnd w:id="386"/>
    <w:bookmarkEnd w:id="390"/>
    <w:bookmarkEnd w:id="391"/>
    <w:bookmarkEnd w:id="392"/>
    <w:p w14:paraId="77ECD020">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outlineLvl w:val="9"/>
        <w:rPr>
          <w:rFonts w:hint="eastAsia" w:cs="宋体"/>
          <w:color w:val="auto"/>
          <w:sz w:val="24"/>
          <w:szCs w:val="24"/>
          <w:highlight w:val="none"/>
        </w:rPr>
      </w:pPr>
      <w:r>
        <w:rPr>
          <w:rFonts w:hint="eastAsia" w:cs="宋体"/>
          <w:color w:val="auto"/>
          <w:sz w:val="24"/>
          <w:szCs w:val="24"/>
          <w:highlight w:val="none"/>
        </w:rPr>
        <w:t>（1、如供应商是企业（包括合伙企业），应提供在市场监督管理部门注册的有效 “企业法人营业执照”或“营业执照”；</w:t>
      </w:r>
    </w:p>
    <w:p w14:paraId="48B63CAA">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outlineLvl w:val="9"/>
        <w:rPr>
          <w:rFonts w:hint="eastAsia" w:cs="宋体"/>
          <w:color w:val="auto"/>
          <w:sz w:val="24"/>
          <w:szCs w:val="24"/>
          <w:highlight w:val="none"/>
        </w:rPr>
      </w:pPr>
      <w:r>
        <w:rPr>
          <w:rFonts w:hint="eastAsia" w:cs="宋体"/>
          <w:color w:val="auto"/>
          <w:sz w:val="24"/>
          <w:szCs w:val="24"/>
          <w:highlight w:val="none"/>
        </w:rPr>
        <w:t>2、如供应商是事业单位，应提供有效的“事业单位法人证书”；</w:t>
      </w:r>
    </w:p>
    <w:p w14:paraId="3B31EA25">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outlineLvl w:val="9"/>
        <w:rPr>
          <w:rFonts w:hint="eastAsia" w:cs="宋体"/>
          <w:color w:val="auto"/>
          <w:sz w:val="24"/>
          <w:szCs w:val="24"/>
          <w:highlight w:val="none"/>
        </w:rPr>
      </w:pPr>
      <w:r>
        <w:rPr>
          <w:rFonts w:hint="eastAsia" w:cs="宋体"/>
          <w:color w:val="auto"/>
          <w:sz w:val="24"/>
          <w:szCs w:val="24"/>
          <w:highlight w:val="none"/>
        </w:rPr>
        <w:t>3、如供应商是非企业专业服务机构的，应提供执业许可证等证明文件；</w:t>
      </w:r>
    </w:p>
    <w:p w14:paraId="33BC1E47">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outlineLvl w:val="9"/>
        <w:rPr>
          <w:rFonts w:hint="eastAsia" w:cs="宋体"/>
          <w:color w:val="auto"/>
          <w:sz w:val="24"/>
          <w:szCs w:val="24"/>
          <w:highlight w:val="none"/>
        </w:rPr>
      </w:pPr>
      <w:r>
        <w:rPr>
          <w:rFonts w:hint="eastAsia" w:cs="宋体"/>
          <w:color w:val="auto"/>
          <w:sz w:val="24"/>
          <w:szCs w:val="24"/>
          <w:highlight w:val="none"/>
        </w:rPr>
        <w:t>4、如供应商是个体工商户，应提供有效的“个体工商户营业执照”；</w:t>
      </w:r>
    </w:p>
    <w:p w14:paraId="548EB1D5">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outlineLvl w:val="9"/>
        <w:rPr>
          <w:rFonts w:hint="eastAsia" w:cs="宋体"/>
          <w:color w:val="auto"/>
          <w:sz w:val="24"/>
          <w:szCs w:val="24"/>
          <w:highlight w:val="none"/>
        </w:rPr>
      </w:pPr>
      <w:r>
        <w:rPr>
          <w:rFonts w:hint="eastAsia" w:cs="宋体"/>
          <w:color w:val="auto"/>
          <w:sz w:val="24"/>
          <w:szCs w:val="24"/>
          <w:highlight w:val="none"/>
        </w:rPr>
        <w:t>5、如供应商是自然人，应提供有效的自然人身份证明。</w:t>
      </w:r>
    </w:p>
    <w:p w14:paraId="6801E44B">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outlineLvl w:val="9"/>
        <w:rPr>
          <w:rFonts w:hint="eastAsia" w:ascii="宋体" w:hAnsi="宋体" w:eastAsia="宋体" w:cs="宋体"/>
          <w:color w:val="auto"/>
          <w:sz w:val="24"/>
          <w:highlight w:val="none"/>
        </w:rPr>
      </w:pPr>
      <w:r>
        <w:rPr>
          <w:rFonts w:hint="eastAsia" w:cs="宋体"/>
          <w:color w:val="auto"/>
          <w:sz w:val="24"/>
          <w:szCs w:val="24"/>
          <w:highlight w:val="none"/>
        </w:rPr>
        <w:t>注：所有证明文件须在有效期内，且主体名称与投标人名称一致。）</w:t>
      </w:r>
    </w:p>
    <w:p w14:paraId="0113E8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286E2F9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20C53DE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3AA63249">
      <w:pPr>
        <w:keepNext w:val="0"/>
        <w:keepLines w:val="0"/>
        <w:pageBreakBefore w:val="0"/>
        <w:widowControl w:val="0"/>
        <w:tabs>
          <w:tab w:val="left" w:pos="540"/>
        </w:tabs>
        <w:kinsoku/>
        <w:wordWrap/>
        <w:overflowPunct/>
        <w:topLinePunct w:val="0"/>
        <w:autoSpaceDE/>
        <w:autoSpaceDN/>
        <w:bidi w:val="0"/>
        <w:spacing w:line="360" w:lineRule="auto"/>
        <w:jc w:val="center"/>
        <w:textAlignment w:val="auto"/>
        <w:outlineLvl w:val="2"/>
        <w:rPr>
          <w:rFonts w:hint="eastAsia" w:ascii="Times New Roman" w:hAnsi="Times New Roman" w:eastAsia="宋体" w:cs="宋体"/>
          <w:b/>
          <w:bCs/>
          <w:color w:val="auto"/>
          <w:sz w:val="24"/>
          <w:szCs w:val="24"/>
          <w:highlight w:val="none"/>
          <w:lang w:val="en-US" w:eastAsia="zh-CN"/>
        </w:rPr>
      </w:pPr>
      <w:bookmarkStart w:id="394" w:name="_Toc3023"/>
      <w:r>
        <w:rPr>
          <w:rFonts w:hint="eastAsia" w:ascii="Times New Roman" w:hAnsi="Times New Roman" w:eastAsia="宋体" w:cs="宋体"/>
          <w:b/>
          <w:bCs/>
          <w:color w:val="auto"/>
          <w:sz w:val="24"/>
          <w:szCs w:val="24"/>
          <w:highlight w:val="none"/>
          <w:lang w:val="en-US" w:eastAsia="zh-CN"/>
        </w:rPr>
        <w:t>4.具有良好的商业信誉和健全的财务会计制度</w:t>
      </w:r>
      <w:bookmarkEnd w:id="394"/>
    </w:p>
    <w:p w14:paraId="387A7A5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提供2024年度或2025年度财务报表/财务审计报告或提供其基本开户银行在投标截止日前六个月内出具的银行资信证明加盖投标人公章；新成立不满1年的企业无需提供</w:t>
      </w:r>
      <w:r>
        <w:rPr>
          <w:rFonts w:hint="eastAsia" w:ascii="宋体" w:hAnsi="宋体" w:eastAsia="宋体" w:cs="宋体"/>
          <w:b w:val="0"/>
          <w:bCs/>
          <w:color w:val="auto"/>
          <w:kern w:val="0"/>
          <w:sz w:val="24"/>
          <w:szCs w:val="24"/>
          <w:highlight w:val="none"/>
          <w:vertAlign w:val="baseline"/>
          <w:lang w:val="en-US" w:eastAsia="zh-CN" w:bidi="ar-SA"/>
        </w:rPr>
        <w:t>）</w:t>
      </w:r>
    </w:p>
    <w:p w14:paraId="1E236A2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p>
    <w:p w14:paraId="30D775F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p>
    <w:p w14:paraId="4001471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p>
    <w:p w14:paraId="19456B80">
      <w:pPr>
        <w:rPr>
          <w:rFonts w:hint="eastAsia" w:ascii="Times New Roman" w:hAnsi="Times New Roman" w:eastAsia="宋体" w:cs="宋体"/>
          <w:b/>
          <w:bCs/>
          <w:color w:val="auto"/>
          <w:sz w:val="24"/>
          <w:szCs w:val="24"/>
          <w:highlight w:val="none"/>
          <w:lang w:val="en-US" w:eastAsia="zh-CN"/>
        </w:rPr>
      </w:pPr>
      <w:r>
        <w:rPr>
          <w:rFonts w:hint="eastAsia" w:ascii="Times New Roman" w:hAnsi="Times New Roman" w:eastAsia="宋体" w:cs="宋体"/>
          <w:b/>
          <w:bCs/>
          <w:color w:val="auto"/>
          <w:sz w:val="24"/>
          <w:szCs w:val="24"/>
          <w:highlight w:val="none"/>
          <w:lang w:val="en-US" w:eastAsia="zh-CN"/>
        </w:rPr>
        <w:br w:type="page"/>
      </w:r>
    </w:p>
    <w:p w14:paraId="049F63E4">
      <w:pPr>
        <w:keepNext w:val="0"/>
        <w:keepLines w:val="0"/>
        <w:pageBreakBefore w:val="0"/>
        <w:widowControl w:val="0"/>
        <w:tabs>
          <w:tab w:val="left" w:pos="540"/>
        </w:tabs>
        <w:kinsoku/>
        <w:wordWrap/>
        <w:overflowPunct/>
        <w:topLinePunct w:val="0"/>
        <w:autoSpaceDE/>
        <w:autoSpaceDN/>
        <w:bidi w:val="0"/>
        <w:spacing w:line="360" w:lineRule="auto"/>
        <w:jc w:val="center"/>
        <w:textAlignment w:val="auto"/>
        <w:outlineLvl w:val="2"/>
        <w:rPr>
          <w:rFonts w:hint="eastAsia" w:ascii="Times New Roman" w:hAnsi="Times New Roman" w:eastAsia="宋体" w:cs="宋体"/>
          <w:b/>
          <w:bCs/>
          <w:color w:val="auto"/>
          <w:sz w:val="24"/>
          <w:szCs w:val="24"/>
          <w:highlight w:val="none"/>
          <w:lang w:val="en-US" w:eastAsia="zh-CN"/>
        </w:rPr>
      </w:pPr>
      <w:bookmarkStart w:id="395" w:name="_Toc8933"/>
      <w:bookmarkStart w:id="396" w:name="_Toc13302"/>
      <w:r>
        <w:rPr>
          <w:rFonts w:hint="eastAsia" w:ascii="Times New Roman" w:hAnsi="Times New Roman" w:eastAsia="宋体" w:cs="宋体"/>
          <w:b/>
          <w:bCs/>
          <w:color w:val="auto"/>
          <w:sz w:val="24"/>
          <w:szCs w:val="24"/>
          <w:highlight w:val="none"/>
          <w:lang w:val="en-US" w:eastAsia="zh-CN"/>
        </w:rPr>
        <w:t>5.具有履行合同所必需的设备和专业技术能力</w:t>
      </w:r>
      <w:bookmarkEnd w:id="395"/>
      <w:bookmarkEnd w:id="396"/>
    </w:p>
    <w:p w14:paraId="4A120223">
      <w:pPr>
        <w:adjustRightInd w:val="0"/>
        <w:snapToGrid w:val="0"/>
        <w:spacing w:line="360" w:lineRule="auto"/>
        <w:jc w:val="center"/>
        <w:outlineLvl w:val="9"/>
        <w:rPr>
          <w:rFonts w:hint="eastAsia" w:ascii="宋体" w:hAnsi="宋体" w:cs="宋体"/>
          <w:b/>
          <w:bCs/>
          <w:sz w:val="24"/>
          <w:szCs w:val="24"/>
        </w:rPr>
      </w:pPr>
    </w:p>
    <w:p w14:paraId="71C7C711">
      <w:pPr>
        <w:adjustRightInd w:val="0"/>
        <w:snapToGrid w:val="0"/>
        <w:spacing w:line="360" w:lineRule="auto"/>
        <w:jc w:val="center"/>
        <w:rPr>
          <w:rFonts w:hint="eastAsia" w:ascii="宋体" w:hAnsi="宋体" w:cs="宋体"/>
          <w:b/>
          <w:bCs/>
          <w:sz w:val="24"/>
          <w:szCs w:val="24"/>
          <w:lang w:val="zh-CN"/>
        </w:rPr>
      </w:pPr>
      <w:r>
        <w:rPr>
          <w:rFonts w:hint="eastAsia" w:ascii="宋体" w:hAnsi="宋体" w:cs="宋体"/>
          <w:b/>
          <w:bCs/>
          <w:sz w:val="24"/>
          <w:szCs w:val="24"/>
        </w:rPr>
        <w:t>具有履行合同所必需的设备和专业技术能力声明函</w:t>
      </w:r>
    </w:p>
    <w:p w14:paraId="182CBB95">
      <w:pPr>
        <w:adjustRightInd w:val="0"/>
        <w:snapToGrid w:val="0"/>
        <w:spacing w:line="480" w:lineRule="auto"/>
        <w:rPr>
          <w:rFonts w:hint="eastAsia" w:ascii="宋体" w:hAnsi="宋体" w:cs="宋体"/>
          <w:sz w:val="24"/>
        </w:rPr>
      </w:pPr>
      <w:r>
        <w:rPr>
          <w:rFonts w:hint="eastAsia" w:ascii="宋体" w:hAnsi="宋体" w:cs="宋体"/>
          <w:i/>
          <w:iCs/>
          <w:sz w:val="24"/>
          <w:u w:val="single"/>
        </w:rPr>
        <w:t>（采购人）</w:t>
      </w:r>
      <w:r>
        <w:rPr>
          <w:rFonts w:hint="eastAsia" w:ascii="宋体" w:hAnsi="宋体" w:cs="宋体"/>
          <w:sz w:val="24"/>
        </w:rPr>
        <w:t>：</w:t>
      </w:r>
    </w:p>
    <w:p w14:paraId="072505E5">
      <w:pPr>
        <w:autoSpaceDE w:val="0"/>
        <w:autoSpaceDN w:val="0"/>
        <w:adjustRightInd w:val="0"/>
        <w:snapToGrid w:val="0"/>
        <w:spacing w:line="480" w:lineRule="auto"/>
        <w:ind w:firstLine="480" w:firstLineChars="200"/>
        <w:rPr>
          <w:rFonts w:hint="eastAsia" w:ascii="宋体" w:hAnsi="宋体" w:cs="宋体"/>
          <w:sz w:val="24"/>
          <w:szCs w:val="24"/>
        </w:rPr>
      </w:pPr>
      <w:r>
        <w:rPr>
          <w:rFonts w:hint="eastAsia" w:ascii="宋体" w:hAnsi="宋体" w:cs="宋体"/>
          <w:sz w:val="24"/>
          <w:szCs w:val="24"/>
        </w:rPr>
        <w:t>我方参加贵单位组织的</w:t>
      </w:r>
      <w:r>
        <w:rPr>
          <w:rFonts w:hint="eastAsia" w:ascii="宋体" w:hAnsi="宋体" w:cs="宋体"/>
          <w:sz w:val="24"/>
          <w:szCs w:val="24"/>
          <w:u w:val="single"/>
        </w:rPr>
        <w:t xml:space="preserve"> </w:t>
      </w:r>
      <w:r>
        <w:rPr>
          <w:rFonts w:hint="eastAsia" w:cs="宋体"/>
          <w:i/>
          <w:iCs/>
          <w:sz w:val="24"/>
          <w:szCs w:val="24"/>
          <w:u w:val="single"/>
        </w:rPr>
        <w:t>（项目名称及项目编号）</w:t>
      </w:r>
      <w:r>
        <w:rPr>
          <w:rFonts w:hint="eastAsia" w:ascii="宋体" w:hAnsi="宋体" w:cs="宋体"/>
          <w:sz w:val="24"/>
          <w:szCs w:val="24"/>
          <w:u w:val="single"/>
        </w:rPr>
        <w:t xml:space="preserve"> </w:t>
      </w:r>
      <w:r>
        <w:rPr>
          <w:rFonts w:hint="eastAsia" w:ascii="宋体" w:hAnsi="宋体" w:cs="宋体"/>
          <w:sz w:val="24"/>
          <w:szCs w:val="24"/>
        </w:rPr>
        <w:t>采购活动，在此郑重声明：我公司具有履行合同所必需的设备和专业技术能力。如果我方违反上述声明内容，愿意承担由此导致的一切不利后果和法律责任。</w:t>
      </w:r>
    </w:p>
    <w:p w14:paraId="325FCF99">
      <w:pPr>
        <w:autoSpaceDE w:val="0"/>
        <w:autoSpaceDN w:val="0"/>
        <w:adjustRightInd w:val="0"/>
        <w:snapToGrid w:val="0"/>
        <w:spacing w:line="480" w:lineRule="auto"/>
        <w:ind w:firstLine="480" w:firstLineChars="200"/>
        <w:rPr>
          <w:rFonts w:hint="eastAsia" w:ascii="宋体" w:hAnsi="宋体" w:cs="宋体"/>
          <w:sz w:val="24"/>
          <w:szCs w:val="24"/>
        </w:rPr>
      </w:pPr>
      <w:r>
        <w:rPr>
          <w:rFonts w:hint="eastAsia" w:ascii="宋体" w:hAnsi="宋体" w:cs="宋体"/>
          <w:sz w:val="24"/>
          <w:szCs w:val="24"/>
        </w:rPr>
        <w:t>特此声明！</w:t>
      </w:r>
    </w:p>
    <w:p w14:paraId="604EFE0F">
      <w:pPr>
        <w:rPr>
          <w:rFonts w:hint="eastAsia" w:ascii="Times New Roman" w:hAnsi="Times New Roman" w:eastAsia="宋体" w:cs="宋体"/>
          <w:b/>
          <w:bCs/>
          <w:color w:val="auto"/>
          <w:sz w:val="24"/>
          <w:szCs w:val="24"/>
          <w:highlight w:val="none"/>
          <w:lang w:val="en-US" w:eastAsia="zh-CN"/>
        </w:rPr>
      </w:pPr>
    </w:p>
    <w:p w14:paraId="752E57DC">
      <w:pPr>
        <w:tabs>
          <w:tab w:val="left" w:pos="9135"/>
        </w:tabs>
        <w:spacing w:line="400" w:lineRule="atLeast"/>
        <w:outlineLvl w:val="9"/>
        <w:rPr>
          <w:rFonts w:hint="eastAsia" w:ascii="宋体" w:hAnsi="宋体" w:eastAsia="宋体" w:cs="宋体"/>
          <w:color w:val="auto"/>
          <w:sz w:val="24"/>
          <w:highlight w:val="none"/>
          <w:u w:val="single"/>
        </w:rPr>
      </w:pPr>
      <w:r>
        <w:rPr>
          <w:rFonts w:hint="eastAsia" w:ascii="宋体" w:hAnsi="宋体" w:cs="宋体"/>
          <w:b w:val="0"/>
          <w:bCs w:val="0"/>
          <w:color w:val="auto"/>
          <w:kern w:val="0"/>
          <w:sz w:val="24"/>
          <w:szCs w:val="24"/>
          <w:highlight w:val="none"/>
          <w:lang w:val="en-US" w:eastAsia="zh-CN"/>
        </w:rPr>
        <w:t>投标人名称</w:t>
      </w: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u w:val="single"/>
        </w:rPr>
        <w:t>　　　　　　　　　　</w:t>
      </w:r>
    </w:p>
    <w:p w14:paraId="0C46AF79">
      <w:pPr>
        <w:pStyle w:val="39"/>
        <w:ind w:firstLine="240"/>
        <w:outlineLvl w:val="9"/>
        <w:rPr>
          <w:rFonts w:hint="eastAsia" w:ascii="宋体" w:hAnsi="宋体" w:eastAsia="宋体" w:cs="宋体"/>
          <w:color w:val="auto"/>
          <w:highlight w:val="none"/>
        </w:rPr>
      </w:pPr>
    </w:p>
    <w:p w14:paraId="72C16AEC">
      <w:pPr>
        <w:tabs>
          <w:tab w:val="left" w:pos="9135"/>
        </w:tabs>
        <w:spacing w:line="400" w:lineRule="atLeast"/>
        <w:outlineLvl w:val="9"/>
        <w:rPr>
          <w:rFonts w:hint="eastAsia" w:ascii="宋体" w:hAnsi="宋体" w:eastAsia="宋体" w:cs="宋体"/>
          <w:color w:val="auto"/>
          <w:sz w:val="24"/>
          <w:highlight w:val="none"/>
          <w:u w:val="single"/>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签字或盖章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w:t>
      </w:r>
    </w:p>
    <w:p w14:paraId="6DEE5166">
      <w:pPr>
        <w:pStyle w:val="39"/>
        <w:ind w:firstLine="240"/>
        <w:outlineLvl w:val="9"/>
        <w:rPr>
          <w:rFonts w:hint="eastAsia" w:ascii="宋体" w:hAnsi="宋体" w:eastAsia="宋体" w:cs="宋体"/>
          <w:color w:val="auto"/>
          <w:highlight w:val="none"/>
        </w:rPr>
      </w:pPr>
    </w:p>
    <w:p w14:paraId="16D2DE20">
      <w:pPr>
        <w:pStyle w:val="39"/>
        <w:ind w:firstLine="0" w:firstLineChars="0"/>
        <w:outlineLvl w:val="9"/>
        <w:rPr>
          <w:rFonts w:hint="eastAsia" w:ascii="宋体" w:hAnsi="宋体" w:eastAsia="宋体" w:cs="宋体"/>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w:t>
      </w:r>
    </w:p>
    <w:p w14:paraId="5EF375B5">
      <w:pPr>
        <w:rPr>
          <w:rFonts w:hint="eastAsia" w:ascii="Times New Roman" w:hAnsi="Times New Roman" w:eastAsia="宋体" w:cs="宋体"/>
          <w:b/>
          <w:bCs/>
          <w:color w:val="auto"/>
          <w:sz w:val="24"/>
          <w:szCs w:val="24"/>
          <w:highlight w:val="none"/>
          <w:lang w:val="en-US" w:eastAsia="zh-CN"/>
        </w:rPr>
      </w:pPr>
    </w:p>
    <w:p w14:paraId="654816BE">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备注：没有提供此项声明函的，视为未实质性响应采购文件要求，将按无效响应处理。</w:t>
      </w:r>
    </w:p>
    <w:p w14:paraId="22B92CC6">
      <w:pPr>
        <w:rPr>
          <w:rFonts w:hint="eastAsia" w:ascii="Times New Roman" w:hAnsi="Times New Roman" w:eastAsia="宋体" w:cs="宋体"/>
          <w:b/>
          <w:bCs/>
          <w:color w:val="auto"/>
          <w:sz w:val="24"/>
          <w:szCs w:val="24"/>
          <w:highlight w:val="none"/>
          <w:lang w:val="en-US" w:eastAsia="zh-CN"/>
        </w:rPr>
      </w:pPr>
      <w:r>
        <w:rPr>
          <w:rFonts w:hint="eastAsia" w:ascii="Times New Roman" w:hAnsi="Times New Roman" w:eastAsia="宋体" w:cs="宋体"/>
          <w:b/>
          <w:bCs/>
          <w:color w:val="auto"/>
          <w:sz w:val="24"/>
          <w:szCs w:val="24"/>
          <w:highlight w:val="none"/>
          <w:lang w:val="en-US" w:eastAsia="zh-CN"/>
        </w:rPr>
        <w:br w:type="page"/>
      </w:r>
    </w:p>
    <w:p w14:paraId="48405BD1">
      <w:pPr>
        <w:keepNext w:val="0"/>
        <w:keepLines w:val="0"/>
        <w:pageBreakBefore w:val="0"/>
        <w:widowControl w:val="0"/>
        <w:tabs>
          <w:tab w:val="left" w:pos="540"/>
        </w:tabs>
        <w:kinsoku/>
        <w:wordWrap/>
        <w:overflowPunct/>
        <w:topLinePunct w:val="0"/>
        <w:autoSpaceDE/>
        <w:autoSpaceDN/>
        <w:bidi w:val="0"/>
        <w:spacing w:line="360" w:lineRule="auto"/>
        <w:jc w:val="center"/>
        <w:textAlignment w:val="auto"/>
        <w:outlineLvl w:val="2"/>
        <w:rPr>
          <w:rFonts w:hint="eastAsia" w:ascii="Times New Roman" w:hAnsi="Times New Roman" w:eastAsia="宋体" w:cs="宋体"/>
          <w:b/>
          <w:bCs/>
          <w:color w:val="auto"/>
          <w:sz w:val="24"/>
          <w:szCs w:val="24"/>
          <w:highlight w:val="none"/>
          <w:lang w:val="en-US" w:eastAsia="zh-CN"/>
        </w:rPr>
      </w:pPr>
      <w:bookmarkStart w:id="397" w:name="_Toc31731"/>
      <w:r>
        <w:rPr>
          <w:rFonts w:hint="eastAsia" w:cs="宋体"/>
          <w:b/>
          <w:bCs/>
          <w:color w:val="auto"/>
          <w:sz w:val="24"/>
          <w:szCs w:val="24"/>
          <w:highlight w:val="none"/>
          <w:lang w:val="en-US" w:eastAsia="zh-CN"/>
        </w:rPr>
        <w:t>6</w:t>
      </w:r>
      <w:r>
        <w:rPr>
          <w:rFonts w:hint="eastAsia" w:ascii="Times New Roman" w:hAnsi="Times New Roman" w:eastAsia="宋体" w:cs="宋体"/>
          <w:b/>
          <w:bCs/>
          <w:color w:val="auto"/>
          <w:sz w:val="24"/>
          <w:szCs w:val="24"/>
          <w:highlight w:val="none"/>
          <w:lang w:val="en-US" w:eastAsia="zh-CN"/>
        </w:rPr>
        <w:t>.有依法缴纳税收和社会保障资金的良好记录</w:t>
      </w:r>
      <w:bookmarkEnd w:id="397"/>
    </w:p>
    <w:p w14:paraId="45D50BA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lang w:val="en-US" w:eastAsia="zh-CN"/>
        </w:rPr>
        <w:t>（提供近6个月内任意1个月的依法缴纳税收的完税证明和社保缴纳证明加盖投标人公章；投标人依法享受缓缴、免缴税收，免缴社会保障资金的提供证明材料加盖投标人公章</w:t>
      </w:r>
      <w:r>
        <w:rPr>
          <w:rFonts w:hint="eastAsia" w:ascii="宋体" w:hAnsi="宋体" w:eastAsia="宋体" w:cs="宋体"/>
          <w:b w:val="0"/>
          <w:bCs/>
          <w:color w:val="auto"/>
          <w:kern w:val="0"/>
          <w:sz w:val="24"/>
          <w:szCs w:val="24"/>
          <w:highlight w:val="none"/>
          <w:vertAlign w:val="baseline"/>
          <w:lang w:val="en-US" w:eastAsia="zh-CN" w:bidi="ar-SA"/>
        </w:rPr>
        <w:t>）</w:t>
      </w:r>
    </w:p>
    <w:p w14:paraId="5E450EC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p>
    <w:p w14:paraId="07BC857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p>
    <w:p w14:paraId="7F0745A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p>
    <w:p w14:paraId="4377D537">
      <w:pPr>
        <w:rPr>
          <w:rFonts w:hint="eastAsia" w:ascii="Times New Roman" w:hAnsi="Times New Roman" w:eastAsia="宋体" w:cs="宋体"/>
          <w:b/>
          <w:bCs/>
          <w:color w:val="auto"/>
          <w:sz w:val="24"/>
          <w:szCs w:val="24"/>
          <w:highlight w:val="none"/>
          <w:lang w:val="en-US" w:eastAsia="zh-CN"/>
        </w:rPr>
      </w:pPr>
      <w:r>
        <w:rPr>
          <w:rFonts w:hint="eastAsia" w:ascii="Times New Roman" w:hAnsi="Times New Roman" w:eastAsia="宋体" w:cs="宋体"/>
          <w:b/>
          <w:bCs/>
          <w:color w:val="auto"/>
          <w:sz w:val="24"/>
          <w:szCs w:val="24"/>
          <w:highlight w:val="none"/>
          <w:lang w:val="en-US" w:eastAsia="zh-CN"/>
        </w:rPr>
        <w:br w:type="page"/>
      </w:r>
    </w:p>
    <w:p w14:paraId="43E4B0CE">
      <w:pPr>
        <w:pStyle w:val="4"/>
        <w:tabs>
          <w:tab w:val="left" w:pos="540"/>
        </w:tabs>
        <w:spacing w:line="360" w:lineRule="auto"/>
        <w:ind w:left="0" w:leftChars="0"/>
        <w:jc w:val="center"/>
        <w:rPr>
          <w:rFonts w:hint="eastAsia" w:cs="宋体"/>
          <w:sz w:val="24"/>
          <w:szCs w:val="24"/>
        </w:rPr>
      </w:pPr>
      <w:bookmarkStart w:id="398" w:name="_Toc24006"/>
      <w:bookmarkStart w:id="399" w:name="_Toc22858"/>
      <w:bookmarkStart w:id="400" w:name="_Toc22493"/>
      <w:bookmarkStart w:id="401" w:name="_Toc15767"/>
      <w:bookmarkStart w:id="402" w:name="_Toc11814"/>
      <w:bookmarkStart w:id="403" w:name="_Toc6771"/>
      <w:bookmarkStart w:id="404" w:name="_Toc19446"/>
      <w:bookmarkStart w:id="405" w:name="_Toc1547"/>
      <w:bookmarkStart w:id="406" w:name="_Toc20960"/>
      <w:bookmarkStart w:id="407" w:name="_Toc30856"/>
      <w:r>
        <w:rPr>
          <w:rFonts w:hint="eastAsia" w:cs="宋体"/>
          <w:sz w:val="24"/>
          <w:szCs w:val="24"/>
        </w:rPr>
        <w:t>7.参加政府采购活动前三年内，在经营活动中没有重大违法记录</w:t>
      </w:r>
      <w:bookmarkEnd w:id="398"/>
      <w:bookmarkEnd w:id="399"/>
      <w:bookmarkEnd w:id="400"/>
      <w:bookmarkEnd w:id="401"/>
      <w:bookmarkEnd w:id="402"/>
      <w:bookmarkEnd w:id="403"/>
      <w:bookmarkEnd w:id="404"/>
      <w:bookmarkEnd w:id="405"/>
      <w:bookmarkEnd w:id="406"/>
      <w:bookmarkEnd w:id="407"/>
    </w:p>
    <w:p w14:paraId="375FAC33">
      <w:pPr>
        <w:adjustRightInd w:val="0"/>
        <w:snapToGrid w:val="0"/>
        <w:spacing w:line="360" w:lineRule="auto"/>
        <w:jc w:val="center"/>
        <w:rPr>
          <w:rFonts w:hint="eastAsia" w:ascii="宋体" w:hAnsi="宋体" w:cs="宋体"/>
          <w:b/>
          <w:bCs/>
          <w:sz w:val="24"/>
          <w:szCs w:val="24"/>
          <w:lang w:val="zh-CN"/>
        </w:rPr>
      </w:pPr>
      <w:r>
        <w:rPr>
          <w:rFonts w:hint="eastAsia" w:ascii="宋体" w:hAnsi="宋体" w:cs="宋体"/>
          <w:b/>
          <w:bCs/>
          <w:sz w:val="24"/>
          <w:szCs w:val="24"/>
        </w:rPr>
        <w:t>前三年内没有重大违法记录声明函</w:t>
      </w:r>
    </w:p>
    <w:p w14:paraId="6C5DE070">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i/>
          <w:iCs/>
          <w:sz w:val="24"/>
          <w:u w:val="single"/>
        </w:rPr>
        <w:t>（采购人）</w:t>
      </w:r>
      <w:r>
        <w:rPr>
          <w:rFonts w:hint="eastAsia" w:asciiTheme="minorEastAsia" w:hAnsiTheme="minorEastAsia" w:eastAsiaTheme="minorEastAsia" w:cstheme="minorEastAsia"/>
          <w:sz w:val="24"/>
        </w:rPr>
        <w:t>：</w:t>
      </w:r>
    </w:p>
    <w:p w14:paraId="68782691">
      <w:pPr>
        <w:adjustRightInd w:val="0"/>
        <w:snapToGrid w:val="0"/>
        <w:spacing w:line="360" w:lineRule="auto"/>
        <w:ind w:firstLine="480" w:firstLineChars="200"/>
        <w:rPr>
          <w:rFonts w:hint="eastAsia" w:asciiTheme="minorEastAsia" w:hAnsiTheme="minorEastAsia" w:eastAsiaTheme="minorEastAsia" w:cstheme="minorEastAsia"/>
          <w:kern w:val="0"/>
          <w:sz w:val="24"/>
          <w:szCs w:val="24"/>
          <w:shd w:val="clear" w:color="auto" w:fill="FFFFFF" w:themeFill="background1"/>
        </w:rPr>
      </w:pPr>
      <w:r>
        <w:rPr>
          <w:rFonts w:hint="eastAsia" w:asciiTheme="minorEastAsia" w:hAnsiTheme="minorEastAsia" w:eastAsiaTheme="minorEastAsia" w:cstheme="minorEastAsia"/>
          <w:kern w:val="0"/>
          <w:sz w:val="24"/>
          <w:szCs w:val="24"/>
          <w:shd w:val="clear" w:color="auto" w:fill="FFFFFF" w:themeFill="background1"/>
        </w:rPr>
        <w:t>我方参加贵单位组织的</w:t>
      </w:r>
      <w:r>
        <w:rPr>
          <w:rFonts w:hint="eastAsia" w:asciiTheme="minorEastAsia" w:hAnsiTheme="minorEastAsia" w:eastAsiaTheme="minorEastAsia" w:cstheme="minorEastAsia"/>
          <w:kern w:val="0"/>
          <w:sz w:val="24"/>
          <w:szCs w:val="24"/>
          <w:u w:val="single"/>
          <w:shd w:val="clear" w:color="auto" w:fill="FFFFFF" w:themeFill="background1"/>
        </w:rPr>
        <w:t xml:space="preserve">            </w:t>
      </w:r>
      <w:r>
        <w:rPr>
          <w:rFonts w:hint="eastAsia" w:asciiTheme="minorEastAsia" w:hAnsiTheme="minorEastAsia" w:eastAsiaTheme="minorEastAsia" w:cstheme="minorEastAsia"/>
          <w:sz w:val="24"/>
          <w:szCs w:val="24"/>
          <w:shd w:val="clear" w:color="auto" w:fill="FFFFFF" w:themeFill="background1"/>
        </w:rPr>
        <w:t>（</w:t>
      </w:r>
      <w:r>
        <w:rPr>
          <w:rFonts w:hint="eastAsia" w:asciiTheme="minorEastAsia" w:hAnsiTheme="minorEastAsia" w:eastAsiaTheme="minorEastAsia" w:cstheme="minorEastAsia"/>
          <w:kern w:val="0"/>
          <w:sz w:val="24"/>
          <w:szCs w:val="24"/>
          <w:shd w:val="clear" w:color="auto" w:fill="FFFFFF" w:themeFill="background1"/>
        </w:rPr>
        <w:t>项目名称及项目编号</w:t>
      </w:r>
      <w:r>
        <w:rPr>
          <w:rFonts w:hint="eastAsia" w:asciiTheme="minorEastAsia" w:hAnsiTheme="minorEastAsia" w:eastAsiaTheme="minorEastAsia" w:cstheme="minorEastAsia"/>
          <w:sz w:val="24"/>
          <w:szCs w:val="24"/>
          <w:shd w:val="clear" w:color="auto" w:fill="FFFFFF" w:themeFill="background1"/>
        </w:rPr>
        <w:t>）采购活动，</w:t>
      </w:r>
      <w:r>
        <w:rPr>
          <w:rFonts w:hint="eastAsia" w:asciiTheme="minorEastAsia" w:hAnsiTheme="minorEastAsia" w:eastAsiaTheme="minorEastAsia" w:cstheme="minorEastAsia"/>
          <w:kern w:val="0"/>
          <w:sz w:val="24"/>
          <w:szCs w:val="24"/>
          <w:shd w:val="clear" w:color="auto" w:fill="FFFFFF" w:themeFill="background1"/>
        </w:rPr>
        <w:t>前三年内（以</w:t>
      </w:r>
      <w:r>
        <w:rPr>
          <w:rFonts w:hint="eastAsia" w:asciiTheme="minorEastAsia" w:hAnsiTheme="minorEastAsia" w:eastAsiaTheme="minorEastAsia" w:cstheme="minorEastAsia"/>
          <w:sz w:val="24"/>
          <w:szCs w:val="24"/>
          <w:shd w:val="clear" w:color="auto" w:fill="FFFFFF" w:themeFill="background1"/>
        </w:rPr>
        <w:t>投标文件递交截止之日为期限</w:t>
      </w:r>
      <w:r>
        <w:rPr>
          <w:rFonts w:hint="eastAsia" w:asciiTheme="minorEastAsia" w:hAnsiTheme="minorEastAsia" w:eastAsiaTheme="minorEastAsia" w:cstheme="minorEastAsia"/>
          <w:kern w:val="0"/>
          <w:sz w:val="24"/>
          <w:szCs w:val="24"/>
          <w:shd w:val="clear" w:color="auto" w:fill="FFFFFF" w:themeFill="background1"/>
        </w:rPr>
        <w:t>）在经营活动中没有重大违法记录。</w:t>
      </w:r>
    </w:p>
    <w:p w14:paraId="646C6882">
      <w:pPr>
        <w:adjustRightInd w:val="0"/>
        <w:snapToGrid w:val="0"/>
        <w:spacing w:line="360" w:lineRule="auto"/>
        <w:ind w:firstLine="480" w:firstLineChars="200"/>
        <w:rPr>
          <w:rFonts w:hint="eastAsia" w:asciiTheme="minorEastAsia" w:hAnsiTheme="minorEastAsia" w:eastAsiaTheme="minorEastAsia" w:cstheme="minorEastAsia"/>
          <w:sz w:val="24"/>
          <w:szCs w:val="24"/>
          <w:shd w:val="clear" w:color="auto" w:fill="FFFFFF" w:themeFill="background1"/>
        </w:rPr>
      </w:pPr>
      <w:r>
        <w:rPr>
          <w:rFonts w:hint="eastAsia" w:asciiTheme="minorEastAsia" w:hAnsiTheme="minorEastAsia" w:eastAsiaTheme="minorEastAsia" w:cstheme="minorEastAsia"/>
          <w:sz w:val="24"/>
          <w:szCs w:val="24"/>
          <w:shd w:val="clear" w:color="auto" w:fill="FFFFFF" w:themeFill="background1"/>
        </w:rPr>
        <w:t>若贵方在本项目采购过程中发现我方参加政府采购活动前三年内有重大违法记录；</w:t>
      </w:r>
      <w:r>
        <w:rPr>
          <w:rFonts w:hint="eastAsia" w:asciiTheme="minorEastAsia" w:hAnsiTheme="minorEastAsia" w:eastAsiaTheme="minorEastAsia" w:cstheme="minorEastAsia"/>
          <w:kern w:val="0"/>
          <w:sz w:val="24"/>
          <w:szCs w:val="24"/>
          <w:shd w:val="clear" w:color="auto" w:fill="FFFFFF" w:themeFill="background1"/>
        </w:rPr>
        <w:t>我单位</w:t>
      </w:r>
      <w:r>
        <w:rPr>
          <w:rFonts w:hint="eastAsia" w:asciiTheme="minorEastAsia" w:hAnsiTheme="minorEastAsia" w:eastAsiaTheme="minorEastAsia" w:cstheme="minorEastAsia"/>
          <w:sz w:val="24"/>
          <w:szCs w:val="24"/>
          <w:shd w:val="clear" w:color="auto" w:fill="FFFFFF" w:themeFill="background1"/>
        </w:rPr>
        <w:t>将无条件退出本项目的投标，并承担因此引起的一切后果。我方对此声明负全部法律责任。</w:t>
      </w:r>
    </w:p>
    <w:p w14:paraId="2DF22948">
      <w:pPr>
        <w:adjustRightInd w:val="0"/>
        <w:snapToGrid w:val="0"/>
        <w:spacing w:line="360" w:lineRule="auto"/>
        <w:ind w:firstLine="480" w:firstLineChars="200"/>
        <w:rPr>
          <w:rFonts w:hint="eastAsia" w:asciiTheme="minorEastAsia" w:hAnsiTheme="minorEastAsia" w:eastAsiaTheme="minorEastAsia" w:cstheme="minorEastAsia"/>
          <w:sz w:val="24"/>
          <w:szCs w:val="24"/>
          <w:shd w:val="clear" w:color="auto" w:fill="FFFFFF" w:themeFill="background1"/>
        </w:rPr>
      </w:pPr>
      <w:r>
        <w:rPr>
          <w:rFonts w:hint="eastAsia" w:asciiTheme="minorEastAsia" w:hAnsiTheme="minorEastAsia" w:eastAsiaTheme="minorEastAsia" w:cstheme="minorEastAsia"/>
          <w:sz w:val="24"/>
          <w:szCs w:val="24"/>
          <w:shd w:val="clear" w:color="auto" w:fill="FFFFFF" w:themeFill="background1"/>
        </w:rPr>
        <w:t>特此声明！</w:t>
      </w:r>
    </w:p>
    <w:p w14:paraId="3E2671C5">
      <w:pPr>
        <w:adjustRightInd w:val="0"/>
        <w:snapToGrid w:val="0"/>
        <w:spacing w:line="360" w:lineRule="auto"/>
        <w:ind w:firstLine="480" w:firstLineChars="200"/>
        <w:rPr>
          <w:rFonts w:hint="eastAsia" w:asciiTheme="minorEastAsia" w:hAnsiTheme="minorEastAsia" w:eastAsiaTheme="minorEastAsia" w:cstheme="minorEastAsia"/>
          <w:sz w:val="24"/>
          <w:szCs w:val="24"/>
          <w:shd w:val="clear" w:color="auto" w:fill="FFFFFF" w:themeFill="background1"/>
        </w:rPr>
      </w:pPr>
    </w:p>
    <w:p w14:paraId="63E75866">
      <w:pPr>
        <w:adjustRightInd w:val="0"/>
        <w:snapToGrid w:val="0"/>
        <w:spacing w:line="360" w:lineRule="auto"/>
        <w:ind w:firstLine="480" w:firstLineChars="200"/>
        <w:rPr>
          <w:rFonts w:hint="eastAsia" w:asciiTheme="minorEastAsia" w:hAnsiTheme="minorEastAsia" w:eastAsiaTheme="minorEastAsia" w:cstheme="minorEastAsia"/>
          <w:sz w:val="24"/>
          <w:szCs w:val="24"/>
          <w:shd w:val="clear" w:color="auto" w:fill="FFFFFF" w:themeFill="background1"/>
        </w:rPr>
      </w:pPr>
    </w:p>
    <w:p w14:paraId="3D3725FC">
      <w:pPr>
        <w:adjustRightInd w:val="0"/>
        <w:snapToGrid w:val="0"/>
        <w:spacing w:line="360" w:lineRule="auto"/>
        <w:ind w:firstLine="420" w:firstLineChars="200"/>
        <w:rPr>
          <w:rFonts w:hint="eastAsia" w:asciiTheme="minorEastAsia" w:hAnsiTheme="minorEastAsia" w:eastAsiaTheme="minorEastAsia" w:cstheme="minorEastAsia"/>
          <w:sz w:val="24"/>
          <w:szCs w:val="24"/>
          <w:shd w:val="clear" w:color="auto" w:fill="FFFFFF" w:themeFill="background1"/>
        </w:rPr>
      </w:pPr>
      <w:r>
        <w:rPr>
          <w:rFonts w:hint="eastAsia" w:asciiTheme="minorEastAsia" w:hAnsiTheme="minorEastAsia" w:eastAsiaTheme="minorEastAsia" w:cstheme="minorEastAsia"/>
          <w:szCs w:val="24"/>
          <w:shd w:val="clear" w:color="auto" w:fill="FFFFFF" w:themeFill="background1"/>
        </w:rPr>
        <w:t>备注：若投标人在投标文件递交截止之日成立时间不足三年，以自成立以来的时间计取。</w:t>
      </w:r>
    </w:p>
    <w:p w14:paraId="07B901BA">
      <w:pPr>
        <w:pStyle w:val="15"/>
        <w:rPr>
          <w:rFonts w:hint="eastAsia" w:asciiTheme="minorEastAsia" w:hAnsiTheme="minorEastAsia" w:eastAsiaTheme="minorEastAsia" w:cstheme="minorEastAsia"/>
        </w:rPr>
      </w:pPr>
    </w:p>
    <w:p w14:paraId="5F83F37E">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sz w:val="24"/>
          <w:szCs w:val="24"/>
        </w:rPr>
      </w:pPr>
    </w:p>
    <w:p w14:paraId="64210815">
      <w:pPr>
        <w:adjustRightInd w:val="0"/>
        <w:snapToGrid w:val="0"/>
        <w:spacing w:line="360" w:lineRule="auto"/>
        <w:ind w:firstLine="480" w:firstLineChars="200"/>
        <w:rPr>
          <w:rFonts w:hint="eastAsia" w:asciiTheme="minorEastAsia" w:hAnsiTheme="minorEastAsia" w:eastAsiaTheme="minorEastAsia" w:cstheme="minorEastAsia"/>
          <w:sz w:val="24"/>
          <w:szCs w:val="24"/>
        </w:rPr>
      </w:pPr>
    </w:p>
    <w:p w14:paraId="623FE944">
      <w:pPr>
        <w:adjustRightInd w:val="0"/>
        <w:snapToGrid w:val="0"/>
        <w:spacing w:line="360" w:lineRule="auto"/>
        <w:ind w:firstLine="480" w:firstLineChars="200"/>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lang w:val="en-US" w:eastAsia="zh-CN"/>
        </w:rPr>
        <w:t>投标人</w:t>
      </w:r>
      <w:r>
        <w:rPr>
          <w:rFonts w:hint="eastAsia" w:asciiTheme="minorEastAsia" w:hAnsiTheme="minorEastAsia" w:eastAsiaTheme="minorEastAsia" w:cstheme="minorEastAsia"/>
          <w:kern w:val="0"/>
          <w:sz w:val="24"/>
          <w:szCs w:val="24"/>
        </w:rPr>
        <w:t>名称（公章）：</w:t>
      </w:r>
      <w:r>
        <w:rPr>
          <w:rFonts w:hint="eastAsia" w:asciiTheme="minorEastAsia" w:hAnsiTheme="minorEastAsia" w:eastAsiaTheme="minorEastAsia" w:cstheme="minorEastAsia"/>
          <w:kern w:val="0"/>
          <w:sz w:val="24"/>
          <w:szCs w:val="24"/>
          <w:u w:val="single"/>
        </w:rPr>
        <w:t xml:space="preserve">                     </w:t>
      </w:r>
    </w:p>
    <w:p w14:paraId="48E4B529">
      <w:pPr>
        <w:pStyle w:val="39"/>
        <w:adjustRightInd w:val="0"/>
        <w:snapToGrid w:val="0"/>
        <w:spacing w:after="0" w:line="360" w:lineRule="auto"/>
        <w:ind w:firstLine="210"/>
        <w:rPr>
          <w:rFonts w:hint="eastAsia" w:asciiTheme="minorEastAsia" w:hAnsiTheme="minorEastAsia" w:eastAsiaTheme="minorEastAsia" w:cstheme="minorEastAsia"/>
        </w:rPr>
      </w:pPr>
    </w:p>
    <w:p w14:paraId="0906CF79">
      <w:pPr>
        <w:adjustRightInd w:val="0"/>
        <w:snapToGrid w:val="0"/>
        <w:spacing w:line="360" w:lineRule="auto"/>
        <w:ind w:firstLine="480" w:firstLineChars="200"/>
        <w:rPr>
          <w:rFonts w:hint="eastAsia" w:ascii="宋体" w:hAnsi="宋体" w:cs="宋体"/>
          <w:kern w:val="0"/>
          <w:sz w:val="24"/>
          <w:szCs w:val="24"/>
          <w:u w:val="single"/>
        </w:rPr>
      </w:pPr>
      <w:r>
        <w:rPr>
          <w:rFonts w:hint="eastAsia" w:asciiTheme="minorEastAsia" w:hAnsiTheme="minorEastAsia" w:eastAsiaTheme="minorEastAsia" w:cstheme="minorEastAsia"/>
          <w:kern w:val="0"/>
          <w:sz w:val="24"/>
          <w:szCs w:val="24"/>
        </w:rPr>
        <w:t>法定代表人或委托代理人（</w:t>
      </w:r>
      <w:r>
        <w:rPr>
          <w:rFonts w:hint="eastAsia" w:asciiTheme="minorEastAsia" w:hAnsiTheme="minorEastAsia" w:eastAsiaTheme="minorEastAsia" w:cstheme="minorEastAsia"/>
          <w:kern w:val="0"/>
          <w:sz w:val="24"/>
          <w:szCs w:val="24"/>
          <w:lang w:eastAsia="zh-CN"/>
        </w:rPr>
        <w:t>签字</w:t>
      </w:r>
      <w:r>
        <w:rPr>
          <w:rFonts w:hint="eastAsia" w:asciiTheme="minorEastAsia" w:hAnsiTheme="minorEastAsia" w:eastAsiaTheme="minorEastAsia" w:cstheme="minorEastAsia"/>
          <w:kern w:val="0"/>
          <w:sz w:val="24"/>
          <w:szCs w:val="24"/>
        </w:rPr>
        <w:t>或盖章</w:t>
      </w:r>
      <w:r>
        <w:rPr>
          <w:rFonts w:hint="eastAsia" w:ascii="宋体" w:hAnsi="宋体" w:cs="宋体"/>
          <w:kern w:val="0"/>
          <w:sz w:val="24"/>
          <w:szCs w:val="24"/>
        </w:rPr>
        <w:t>）：</w:t>
      </w:r>
      <w:r>
        <w:rPr>
          <w:rFonts w:hint="eastAsia" w:ascii="宋体" w:hAnsi="宋体" w:cs="宋体"/>
          <w:kern w:val="0"/>
          <w:sz w:val="24"/>
          <w:szCs w:val="24"/>
          <w:u w:val="single"/>
        </w:rPr>
        <w:t xml:space="preserve">                   </w:t>
      </w:r>
    </w:p>
    <w:p w14:paraId="655205CF">
      <w:pPr>
        <w:pStyle w:val="39"/>
        <w:adjustRightInd w:val="0"/>
        <w:snapToGrid w:val="0"/>
        <w:spacing w:after="0" w:line="360" w:lineRule="auto"/>
        <w:ind w:firstLine="210"/>
      </w:pPr>
    </w:p>
    <w:p w14:paraId="16B5C086">
      <w:pPr>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55A7A4DA">
      <w:pPr>
        <w:adjustRightInd w:val="0"/>
        <w:snapToGrid w:val="0"/>
        <w:spacing w:line="360" w:lineRule="auto"/>
        <w:ind w:firstLine="480" w:firstLineChars="200"/>
        <w:rPr>
          <w:rFonts w:hint="eastAsia" w:ascii="宋体" w:hAnsi="宋体" w:cs="宋体"/>
          <w:sz w:val="24"/>
          <w:szCs w:val="24"/>
        </w:rPr>
      </w:pPr>
    </w:p>
    <w:p w14:paraId="1B6C26AD">
      <w:pPr>
        <w:adjustRightInd w:val="0"/>
        <w:snapToGrid w:val="0"/>
        <w:spacing w:line="360" w:lineRule="auto"/>
        <w:ind w:firstLine="480" w:firstLineChars="200"/>
        <w:rPr>
          <w:rFonts w:hint="eastAsia" w:ascii="宋体" w:hAnsi="宋体" w:cs="宋体"/>
          <w:sz w:val="24"/>
          <w:szCs w:val="24"/>
        </w:rPr>
      </w:pPr>
    </w:p>
    <w:p w14:paraId="1F146868">
      <w:pPr>
        <w:adjustRightInd w:val="0"/>
        <w:snapToGrid w:val="0"/>
        <w:spacing w:line="360" w:lineRule="auto"/>
        <w:ind w:firstLine="480" w:firstLineChars="200"/>
        <w:rPr>
          <w:rFonts w:hint="eastAsia" w:ascii="宋体" w:hAnsi="宋体" w:cs="宋体"/>
          <w:sz w:val="24"/>
          <w:szCs w:val="24"/>
        </w:rPr>
      </w:pPr>
    </w:p>
    <w:p w14:paraId="6CF6220A">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备注：没有提供此项声明函的，视为未实质性响应采购文件要求，将按无效响应处理。</w:t>
      </w:r>
    </w:p>
    <w:p w14:paraId="3984C5AE">
      <w:pPr>
        <w:adjustRightInd w:val="0"/>
        <w:snapToGrid w:val="0"/>
        <w:spacing w:line="360" w:lineRule="auto"/>
        <w:ind w:firstLine="480" w:firstLineChars="200"/>
        <w:rPr>
          <w:rFonts w:hint="eastAsia" w:ascii="宋体" w:hAnsi="宋体" w:cs="宋体"/>
          <w:sz w:val="24"/>
          <w:szCs w:val="24"/>
        </w:rPr>
      </w:pPr>
    </w:p>
    <w:p w14:paraId="1E78231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p>
    <w:p w14:paraId="2553BE22">
      <w:pPr>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auto"/>
        <w:outlineLvl w:val="2"/>
        <w:rPr>
          <w:rFonts w:hint="eastAsia" w:ascii="宋体" w:hAnsi="宋体" w:eastAsia="宋体" w:cs="宋体"/>
          <w:b/>
          <w:bCs/>
          <w:color w:val="auto"/>
          <w:sz w:val="24"/>
          <w:szCs w:val="24"/>
          <w:highlight w:val="none"/>
          <w:lang w:val="en-US" w:eastAsia="zh-CN"/>
        </w:rPr>
      </w:pPr>
      <w:bookmarkStart w:id="408" w:name="_Toc1490"/>
      <w:r>
        <w:rPr>
          <w:rFonts w:hint="eastAsia" w:ascii="宋体" w:hAnsi="宋体" w:eastAsia="宋体" w:cs="宋体"/>
          <w:color w:val="auto"/>
          <w:sz w:val="24"/>
          <w:szCs w:val="24"/>
          <w:highlight w:val="none"/>
          <w:lang w:val="en-US" w:eastAsia="zh-CN"/>
        </w:rPr>
        <w:br w:type="page"/>
      </w:r>
      <w:bookmarkStart w:id="409" w:name="_Toc22919"/>
      <w:r>
        <w:rPr>
          <w:rFonts w:hint="eastAsia" w:ascii="宋体" w:hAnsi="宋体" w:eastAsia="宋体" w:cs="宋体"/>
          <w:b/>
          <w:bCs/>
          <w:color w:val="auto"/>
          <w:sz w:val="24"/>
          <w:szCs w:val="24"/>
          <w:highlight w:val="none"/>
          <w:lang w:val="en-US" w:eastAsia="zh-CN"/>
        </w:rPr>
        <w:t>（二）落实政府采购政策需满足的资格要求</w:t>
      </w:r>
      <w:bookmarkEnd w:id="387"/>
      <w:bookmarkEnd w:id="408"/>
      <w:bookmarkEnd w:id="409"/>
    </w:p>
    <w:bookmarkEnd w:id="388"/>
    <w:p w14:paraId="32DA9C74">
      <w:pPr>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auto"/>
        <w:outlineLvl w:val="2"/>
        <w:rPr>
          <w:rFonts w:hint="eastAsia" w:ascii="宋体" w:hAnsi="宋体" w:eastAsia="宋体" w:cs="宋体"/>
          <w:color w:val="auto"/>
          <w:sz w:val="24"/>
          <w:szCs w:val="24"/>
          <w:highlight w:val="none"/>
        </w:rPr>
      </w:pPr>
      <w:bookmarkStart w:id="410" w:name="_Toc25529"/>
      <w:bookmarkStart w:id="411" w:name="_Toc22504"/>
      <w:bookmarkStart w:id="412" w:name="_Toc1546"/>
      <w:bookmarkStart w:id="413" w:name="_Toc18369"/>
      <w:bookmarkStart w:id="414" w:name="_Toc2564"/>
      <w:bookmarkStart w:id="415" w:name="_Toc9271"/>
      <w:r>
        <w:rPr>
          <w:rFonts w:hint="eastAsia" w:ascii="宋体" w:hAnsi="宋体" w:eastAsia="宋体" w:cs="宋体"/>
          <w:color w:val="auto"/>
          <w:sz w:val="24"/>
          <w:szCs w:val="24"/>
          <w:highlight w:val="none"/>
        </w:rPr>
        <w:t>中小企业声明函</w:t>
      </w:r>
      <w:bookmarkEnd w:id="410"/>
      <w:bookmarkEnd w:id="411"/>
      <w:bookmarkEnd w:id="412"/>
      <w:bookmarkEnd w:id="413"/>
      <w:bookmarkEnd w:id="414"/>
      <w:bookmarkEnd w:id="415"/>
    </w:p>
    <w:p w14:paraId="1093C878">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本公司（联合体）郑重声明，根据《政府采购促进中小企业发展管理办法》（财库</w:t>
      </w:r>
      <w:r>
        <w:rPr>
          <w:rFonts w:hint="eastAsia" w:ascii="宋体" w:hAnsi="宋体" w:eastAsia="宋体" w:cs="宋体"/>
          <w:color w:val="auto"/>
          <w:sz w:val="24"/>
          <w:szCs w:val="24"/>
          <w:highlight w:val="none"/>
        </w:rPr>
        <w:t>〔2020〕</w:t>
      </w:r>
      <w:r>
        <w:rPr>
          <w:rFonts w:hint="eastAsia" w:ascii="宋体" w:hAnsi="宋体" w:eastAsia="宋体" w:cs="宋体"/>
          <w:color w:val="auto"/>
          <w:kern w:val="0"/>
          <w:sz w:val="24"/>
          <w:szCs w:val="24"/>
          <w:highlight w:val="none"/>
          <w:lang w:bidi="ar"/>
        </w:rPr>
        <w:t>46号）的规定，本公司（联合体）参加</w:t>
      </w:r>
      <w:r>
        <w:rPr>
          <w:rFonts w:hint="eastAsia" w:ascii="宋体" w:hAnsi="宋体" w:eastAsia="宋体" w:cs="宋体"/>
          <w:i/>
          <w:iCs/>
          <w:color w:val="auto"/>
          <w:sz w:val="24"/>
          <w:szCs w:val="24"/>
          <w:highlight w:val="none"/>
          <w:u w:val="single"/>
        </w:rPr>
        <w:t>（</w:t>
      </w:r>
      <w:r>
        <w:rPr>
          <w:rFonts w:hint="eastAsia" w:ascii="宋体" w:hAnsi="宋体" w:eastAsia="宋体" w:cs="宋体"/>
          <w:i/>
          <w:iCs/>
          <w:color w:val="auto"/>
          <w:sz w:val="24"/>
          <w:szCs w:val="24"/>
          <w:highlight w:val="none"/>
          <w:u w:val="single"/>
          <w:lang w:eastAsia="zh-CN"/>
        </w:rPr>
        <w:t>采购人</w:t>
      </w:r>
      <w:r>
        <w:rPr>
          <w:rFonts w:hint="eastAsia" w:ascii="宋体" w:hAnsi="宋体" w:eastAsia="宋体" w:cs="宋体"/>
          <w:i/>
          <w:iCs/>
          <w:color w:val="auto"/>
          <w:sz w:val="24"/>
          <w:szCs w:val="24"/>
          <w:highlight w:val="none"/>
          <w:u w:val="single"/>
        </w:rPr>
        <w:t>名称）</w:t>
      </w:r>
      <w:r>
        <w:rPr>
          <w:rFonts w:hint="eastAsia" w:ascii="宋体" w:hAnsi="宋体" w:eastAsia="宋体" w:cs="宋体"/>
          <w:i w:val="0"/>
          <w:iCs w:val="0"/>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的</w:t>
      </w:r>
      <w:r>
        <w:rPr>
          <w:rFonts w:hint="eastAsia" w:ascii="宋体" w:hAnsi="宋体" w:eastAsia="宋体" w:cs="宋体"/>
          <w:i/>
          <w:iCs/>
          <w:color w:val="auto"/>
          <w:sz w:val="24"/>
          <w:szCs w:val="24"/>
          <w:highlight w:val="none"/>
          <w:u w:val="single"/>
        </w:rPr>
        <w:t>（项目名称</w:t>
      </w:r>
      <w:r>
        <w:rPr>
          <w:rFonts w:hint="eastAsia" w:ascii="宋体" w:hAnsi="宋体" w:eastAsia="宋体" w:cs="宋体"/>
          <w:i/>
          <w:iCs/>
          <w:color w:val="auto"/>
          <w:sz w:val="24"/>
          <w:szCs w:val="24"/>
          <w:highlight w:val="none"/>
          <w:u w:val="single"/>
          <w:lang w:eastAsia="zh-CN"/>
        </w:rPr>
        <w:t>及</w:t>
      </w:r>
      <w:r>
        <w:rPr>
          <w:rFonts w:hint="eastAsia" w:ascii="宋体" w:hAnsi="宋体" w:eastAsia="宋体" w:cs="宋体"/>
          <w:i/>
          <w:iCs/>
          <w:color w:val="auto"/>
          <w:sz w:val="24"/>
          <w:szCs w:val="24"/>
          <w:highlight w:val="none"/>
          <w:u w:val="single"/>
        </w:rPr>
        <w:t>编号</w:t>
      </w:r>
      <w:r>
        <w:rPr>
          <w:rFonts w:hint="eastAsia" w:ascii="宋体" w:hAnsi="宋体" w:eastAsia="宋体" w:cs="宋体"/>
          <w:i/>
          <w:iCs/>
          <w:color w:val="auto"/>
          <w:sz w:val="24"/>
          <w:szCs w:val="24"/>
          <w:highlight w:val="none"/>
          <w:u w:val="single"/>
          <w:lang w:eastAsia="zh-CN"/>
        </w:rPr>
        <w:t>）</w:t>
      </w:r>
      <w:r>
        <w:rPr>
          <w:rFonts w:hint="eastAsia" w:ascii="宋体" w:hAnsi="宋体" w:eastAsia="宋体" w:cs="宋体"/>
          <w:i/>
          <w:iCs/>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采购活动，</w:t>
      </w:r>
      <w:r>
        <w:rPr>
          <w:rFonts w:hint="eastAsia" w:ascii="宋体" w:hAnsi="宋体" w:cs="宋体"/>
          <w:color w:val="auto"/>
          <w:kern w:val="0"/>
          <w:sz w:val="24"/>
          <w:szCs w:val="24"/>
          <w:highlight w:val="none"/>
          <w:lang w:val="en-US" w:eastAsia="zh-CN" w:bidi="ar"/>
        </w:rPr>
        <w:t>服务全部由</w:t>
      </w:r>
      <w:r>
        <w:rPr>
          <w:rFonts w:hint="eastAsia" w:ascii="宋体" w:hAnsi="宋体" w:eastAsia="宋体" w:cs="宋体"/>
          <w:color w:val="auto"/>
          <w:kern w:val="0"/>
          <w:sz w:val="24"/>
          <w:szCs w:val="24"/>
          <w:highlight w:val="none"/>
          <w:lang w:bidi="ar"/>
        </w:rPr>
        <w:t>符合政策要求的中小企业</w:t>
      </w:r>
      <w:r>
        <w:rPr>
          <w:rFonts w:hint="eastAsia" w:ascii="宋体" w:hAnsi="宋体" w:eastAsia="宋体" w:cs="宋体"/>
          <w:color w:val="auto"/>
          <w:kern w:val="0"/>
          <w:sz w:val="24"/>
          <w:szCs w:val="24"/>
          <w:highlight w:val="none"/>
          <w:lang w:val="en-US" w:eastAsia="zh-CN" w:bidi="ar"/>
        </w:rPr>
        <w:t>承接</w:t>
      </w:r>
      <w:r>
        <w:rPr>
          <w:rFonts w:hint="eastAsia" w:ascii="宋体" w:hAnsi="宋体" w:eastAsia="宋体" w:cs="宋体"/>
          <w:color w:val="auto"/>
          <w:kern w:val="0"/>
          <w:sz w:val="24"/>
          <w:szCs w:val="24"/>
          <w:highlight w:val="none"/>
          <w:lang w:bidi="ar"/>
        </w:rPr>
        <w:t>。相关企业（含联合体中的中小企业、签订分包意向协议的中小企业）的具体情况如下：</w:t>
      </w:r>
    </w:p>
    <w:p w14:paraId="27FEC63F">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w:t>
      </w:r>
      <w:r>
        <w:rPr>
          <w:rFonts w:hint="eastAsia" w:ascii="宋体" w:hAnsi="宋体" w:eastAsia="宋体" w:cs="宋体"/>
          <w:i/>
          <w:color w:val="auto"/>
          <w:kern w:val="0"/>
          <w:sz w:val="24"/>
          <w:szCs w:val="24"/>
          <w:highlight w:val="none"/>
          <w:u w:val="single"/>
          <w:lang w:bidi="ar"/>
        </w:rPr>
        <w:t>（</w:t>
      </w:r>
      <w:r>
        <w:rPr>
          <w:rFonts w:hint="eastAsia" w:ascii="宋体" w:hAnsi="宋体" w:eastAsia="宋体" w:cs="宋体"/>
          <w:i/>
          <w:color w:val="auto"/>
          <w:kern w:val="0"/>
          <w:sz w:val="24"/>
          <w:szCs w:val="24"/>
          <w:highlight w:val="none"/>
          <w:u w:val="single"/>
          <w:lang w:eastAsia="zh-CN" w:bidi="ar"/>
        </w:rPr>
        <w:t>标的名称</w:t>
      </w:r>
      <w:r>
        <w:rPr>
          <w:rFonts w:hint="eastAsia" w:ascii="宋体" w:hAnsi="宋体" w:eastAsia="宋体" w:cs="宋体"/>
          <w:i/>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，属于</w:t>
      </w:r>
      <w:r>
        <w:rPr>
          <w:rFonts w:hint="eastAsia" w:ascii="宋体" w:hAnsi="宋体" w:eastAsia="宋体" w:cs="宋体"/>
          <w:i w:val="0"/>
          <w:iCs/>
          <w:color w:val="auto"/>
          <w:kern w:val="0"/>
          <w:sz w:val="24"/>
          <w:szCs w:val="24"/>
          <w:highlight w:val="none"/>
          <w:u w:val="single"/>
          <w:lang w:bidi="ar"/>
        </w:rPr>
        <w:t xml:space="preserve"> （</w:t>
      </w:r>
      <w:r>
        <w:rPr>
          <w:rFonts w:hint="eastAsia" w:ascii="宋体" w:hAnsi="宋体" w:eastAsia="宋体" w:cs="宋体"/>
          <w:i w:val="0"/>
          <w:iCs/>
          <w:color w:val="auto"/>
          <w:kern w:val="0"/>
          <w:sz w:val="24"/>
          <w:szCs w:val="24"/>
          <w:highlight w:val="none"/>
          <w:u w:val="single"/>
          <w:lang w:eastAsia="zh-CN" w:bidi="ar"/>
        </w:rPr>
        <w:t>招标文件中明确的所属行业</w:t>
      </w:r>
      <w:r>
        <w:rPr>
          <w:rFonts w:hint="eastAsia" w:ascii="宋体" w:hAnsi="宋体" w:eastAsia="宋体" w:cs="宋体"/>
          <w:i w:val="0"/>
          <w:iCs/>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行业；</w:t>
      </w:r>
      <w:r>
        <w:rPr>
          <w:rFonts w:hint="eastAsia" w:ascii="宋体" w:hAnsi="宋体" w:cs="宋体"/>
          <w:color w:val="auto"/>
          <w:kern w:val="0"/>
          <w:sz w:val="24"/>
          <w:szCs w:val="24"/>
          <w:highlight w:val="none"/>
          <w:lang w:val="en-US" w:eastAsia="zh-CN" w:bidi="ar"/>
        </w:rPr>
        <w:t>承接企业为</w:t>
      </w:r>
      <w:r>
        <w:rPr>
          <w:rFonts w:hint="eastAsia" w:ascii="宋体" w:hAnsi="宋体" w:eastAsia="宋体" w:cs="宋体"/>
          <w:i/>
          <w:color w:val="auto"/>
          <w:kern w:val="0"/>
          <w:sz w:val="24"/>
          <w:szCs w:val="24"/>
          <w:highlight w:val="none"/>
          <w:u w:val="single"/>
          <w:lang w:bidi="ar"/>
        </w:rPr>
        <w:t>（企业名称）</w:t>
      </w:r>
      <w:r>
        <w:rPr>
          <w:rFonts w:hint="eastAsia" w:ascii="宋体" w:hAnsi="宋体" w:eastAsia="宋体" w:cs="宋体"/>
          <w:color w:val="auto"/>
          <w:kern w:val="0"/>
          <w:sz w:val="24"/>
          <w:szCs w:val="24"/>
          <w:highlight w:val="none"/>
          <w:lang w:bidi="ar"/>
        </w:rPr>
        <w:t>，从业人员</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人，营业收入为</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万元，资产总额为</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万元，属于</w:t>
      </w:r>
      <w:r>
        <w:rPr>
          <w:rFonts w:hint="eastAsia" w:ascii="宋体" w:hAnsi="宋体" w:eastAsia="宋体" w:cs="宋体"/>
          <w:i/>
          <w:color w:val="auto"/>
          <w:kern w:val="0"/>
          <w:sz w:val="24"/>
          <w:szCs w:val="24"/>
          <w:highlight w:val="none"/>
          <w:u w:val="single"/>
          <w:lang w:bidi="ar"/>
        </w:rPr>
        <w:t>（中型企业、小型企业、微型企业）</w:t>
      </w:r>
      <w:r>
        <w:rPr>
          <w:rFonts w:hint="eastAsia" w:ascii="宋体" w:hAnsi="宋体" w:eastAsia="宋体" w:cs="宋体"/>
          <w:color w:val="auto"/>
          <w:kern w:val="0"/>
          <w:sz w:val="24"/>
          <w:szCs w:val="24"/>
          <w:highlight w:val="none"/>
          <w:lang w:bidi="ar"/>
        </w:rPr>
        <w:t>；</w:t>
      </w:r>
    </w:p>
    <w:p w14:paraId="0DB629C9">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rPr>
        <w:t>.</w:t>
      </w:r>
      <w:r>
        <w:rPr>
          <w:rFonts w:hint="eastAsia" w:ascii="宋体" w:hAnsi="宋体" w:eastAsia="宋体" w:cs="宋体"/>
          <w:i/>
          <w:color w:val="auto"/>
          <w:kern w:val="0"/>
          <w:sz w:val="24"/>
          <w:szCs w:val="24"/>
          <w:highlight w:val="none"/>
          <w:u w:val="single"/>
          <w:lang w:bidi="ar"/>
        </w:rPr>
        <w:t>（</w:t>
      </w:r>
      <w:r>
        <w:rPr>
          <w:rFonts w:hint="eastAsia" w:ascii="宋体" w:hAnsi="宋体" w:eastAsia="宋体" w:cs="宋体"/>
          <w:i/>
          <w:color w:val="auto"/>
          <w:kern w:val="0"/>
          <w:sz w:val="24"/>
          <w:szCs w:val="24"/>
          <w:highlight w:val="none"/>
          <w:u w:val="single"/>
          <w:lang w:eastAsia="zh-CN" w:bidi="ar"/>
        </w:rPr>
        <w:t>标的名称</w:t>
      </w:r>
      <w:r>
        <w:rPr>
          <w:rFonts w:hint="eastAsia" w:ascii="宋体" w:hAnsi="宋体" w:eastAsia="宋体" w:cs="宋体"/>
          <w:i/>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，属于</w:t>
      </w:r>
      <w:r>
        <w:rPr>
          <w:rFonts w:hint="eastAsia" w:ascii="宋体" w:hAnsi="宋体" w:eastAsia="宋体" w:cs="宋体"/>
          <w:i w:val="0"/>
          <w:iCs/>
          <w:color w:val="auto"/>
          <w:kern w:val="0"/>
          <w:sz w:val="24"/>
          <w:szCs w:val="24"/>
          <w:highlight w:val="none"/>
          <w:u w:val="single"/>
          <w:lang w:bidi="ar"/>
        </w:rPr>
        <w:t xml:space="preserve"> （</w:t>
      </w:r>
      <w:r>
        <w:rPr>
          <w:rFonts w:hint="eastAsia" w:ascii="宋体" w:hAnsi="宋体" w:eastAsia="宋体" w:cs="宋体"/>
          <w:i w:val="0"/>
          <w:iCs/>
          <w:color w:val="auto"/>
          <w:kern w:val="0"/>
          <w:sz w:val="24"/>
          <w:szCs w:val="24"/>
          <w:highlight w:val="none"/>
          <w:u w:val="single"/>
          <w:lang w:eastAsia="zh-CN" w:bidi="ar"/>
        </w:rPr>
        <w:t>招标文件中明确的所属行业</w:t>
      </w:r>
      <w:r>
        <w:rPr>
          <w:rFonts w:hint="eastAsia" w:ascii="宋体" w:hAnsi="宋体" w:eastAsia="宋体" w:cs="宋体"/>
          <w:i w:val="0"/>
          <w:iCs/>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行业；</w:t>
      </w:r>
      <w:r>
        <w:rPr>
          <w:rFonts w:hint="eastAsia" w:ascii="宋体" w:hAnsi="宋体" w:cs="宋体"/>
          <w:color w:val="auto"/>
          <w:kern w:val="0"/>
          <w:sz w:val="24"/>
          <w:szCs w:val="24"/>
          <w:highlight w:val="none"/>
          <w:lang w:val="en-US" w:eastAsia="zh-CN" w:bidi="ar"/>
        </w:rPr>
        <w:t>承接企业为</w:t>
      </w:r>
      <w:r>
        <w:rPr>
          <w:rFonts w:hint="eastAsia" w:ascii="宋体" w:hAnsi="宋体" w:eastAsia="宋体" w:cs="宋体"/>
          <w:i/>
          <w:color w:val="auto"/>
          <w:kern w:val="0"/>
          <w:sz w:val="24"/>
          <w:szCs w:val="24"/>
          <w:highlight w:val="none"/>
          <w:u w:val="single"/>
          <w:lang w:bidi="ar"/>
        </w:rPr>
        <w:t>（企业名称）</w:t>
      </w:r>
      <w:r>
        <w:rPr>
          <w:rFonts w:hint="eastAsia" w:ascii="宋体" w:hAnsi="宋体" w:eastAsia="宋体" w:cs="宋体"/>
          <w:color w:val="auto"/>
          <w:kern w:val="0"/>
          <w:sz w:val="24"/>
          <w:szCs w:val="24"/>
          <w:highlight w:val="none"/>
          <w:lang w:bidi="ar"/>
        </w:rPr>
        <w:t>，从业人员</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人，营业收入为</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万元，资产总额为</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万元，属于</w:t>
      </w:r>
      <w:r>
        <w:rPr>
          <w:rFonts w:hint="eastAsia" w:ascii="宋体" w:hAnsi="宋体" w:eastAsia="宋体" w:cs="宋体"/>
          <w:i/>
          <w:color w:val="auto"/>
          <w:kern w:val="0"/>
          <w:sz w:val="24"/>
          <w:szCs w:val="24"/>
          <w:highlight w:val="none"/>
          <w:u w:val="single"/>
          <w:lang w:bidi="ar"/>
        </w:rPr>
        <w:t>（中型企业、小型企业、微型企业）</w:t>
      </w:r>
      <w:r>
        <w:rPr>
          <w:rFonts w:hint="eastAsia" w:ascii="宋体" w:hAnsi="宋体" w:eastAsia="宋体" w:cs="宋体"/>
          <w:color w:val="auto"/>
          <w:kern w:val="0"/>
          <w:sz w:val="24"/>
          <w:szCs w:val="24"/>
          <w:highlight w:val="none"/>
          <w:lang w:bidi="ar"/>
        </w:rPr>
        <w:t>；</w:t>
      </w:r>
    </w:p>
    <w:p w14:paraId="692F09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highlight w:val="none"/>
        </w:rPr>
      </w:pPr>
      <w:r>
        <w:rPr>
          <w:rFonts w:hint="eastAsia" w:ascii="宋体" w:hAnsi="宋体" w:eastAsia="宋体" w:cs="宋体"/>
          <w:color w:val="auto"/>
          <w:sz w:val="24"/>
          <w:szCs w:val="24"/>
          <w:highlight w:val="none"/>
        </w:rPr>
        <w:t>……</w:t>
      </w:r>
    </w:p>
    <w:p w14:paraId="1874F080">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以上企业，不属于大企业的分支机构，不存在控股股东为大企业的情形，也不存在与大企业的负责人为同一人的情形。</w:t>
      </w:r>
    </w:p>
    <w:p w14:paraId="24DFF003">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本企业对上述声明内容的真实性负责。如有虚假，将依法承担相应责任。</w:t>
      </w:r>
    </w:p>
    <w:p w14:paraId="402436C9">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p>
    <w:p w14:paraId="151DF08D">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p>
    <w:p w14:paraId="074BAB29">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p>
    <w:p w14:paraId="05E2B2B2">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企业名称（盖章）：</w:t>
      </w:r>
    </w:p>
    <w:p w14:paraId="7BF015FE">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b/>
          <w:color w:val="auto"/>
          <w:kern w:val="0"/>
          <w:sz w:val="24"/>
          <w:szCs w:val="24"/>
          <w:highlight w:val="none"/>
          <w:lang w:bidi="ar"/>
        </w:rPr>
      </w:pPr>
      <w:r>
        <w:rPr>
          <w:rFonts w:hint="eastAsia" w:ascii="宋体" w:hAnsi="宋体" w:eastAsia="宋体" w:cs="宋体"/>
          <w:color w:val="auto"/>
          <w:kern w:val="0"/>
          <w:sz w:val="24"/>
          <w:szCs w:val="24"/>
          <w:highlight w:val="none"/>
          <w:lang w:bidi="ar"/>
        </w:rPr>
        <w:t>日 期：</w:t>
      </w:r>
    </w:p>
    <w:p w14:paraId="2A9E15B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b/>
          <w:bCs/>
          <w:color w:val="auto"/>
          <w:sz w:val="24"/>
          <w:szCs w:val="24"/>
          <w:highlight w:val="none"/>
        </w:rPr>
      </w:pPr>
    </w:p>
    <w:p w14:paraId="02DBD37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b/>
          <w:bCs/>
          <w:color w:val="auto"/>
          <w:sz w:val="24"/>
          <w:szCs w:val="24"/>
          <w:highlight w:val="none"/>
          <w:lang w:val="en-US" w:eastAsia="zh-CN"/>
        </w:rPr>
      </w:pPr>
      <w:r>
        <w:rPr>
          <w:rFonts w:hint="eastAsia"/>
          <w:b/>
          <w:bCs/>
          <w:color w:val="auto"/>
          <w:sz w:val="24"/>
          <w:szCs w:val="24"/>
          <w:highlight w:val="none"/>
          <w:lang w:val="en-US" w:eastAsia="zh-CN"/>
        </w:rPr>
        <w:t>备注：从业人员、营业收入、资产总额填报上一年度数据，无上一年度数据的新成立企业可不填报。</w:t>
      </w:r>
    </w:p>
    <w:p w14:paraId="431EC2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p>
    <w:p w14:paraId="6A8CBDCB">
      <w:pPr>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outlineLvl w:val="2"/>
        <w:rPr>
          <w:rFonts w:hint="eastAsia" w:ascii="宋体" w:hAnsi="宋体" w:eastAsia="宋体" w:cs="宋体"/>
          <w:color w:val="auto"/>
          <w:sz w:val="24"/>
          <w:szCs w:val="24"/>
          <w:highlight w:val="none"/>
          <w:lang w:eastAsia="zh-CN"/>
        </w:rPr>
      </w:pPr>
      <w:bookmarkStart w:id="416" w:name="_Toc15161"/>
      <w:bookmarkStart w:id="417" w:name="_Toc32475"/>
      <w:bookmarkStart w:id="418" w:name="_Toc5057"/>
      <w:bookmarkStart w:id="419" w:name="_Toc26247"/>
      <w:bookmarkStart w:id="420" w:name="_Toc10136"/>
      <w:bookmarkStart w:id="421" w:name="_Toc28323"/>
      <w:r>
        <w:rPr>
          <w:rFonts w:hint="eastAsia" w:ascii="宋体" w:hAnsi="宋体" w:eastAsia="宋体" w:cs="宋体"/>
          <w:color w:val="auto"/>
          <w:sz w:val="24"/>
          <w:szCs w:val="24"/>
          <w:highlight w:val="none"/>
          <w:lang w:eastAsia="zh-CN"/>
        </w:rPr>
        <w:br w:type="page"/>
      </w:r>
      <w:bookmarkStart w:id="422" w:name="_Toc14082"/>
      <w:r>
        <w:rPr>
          <w:rFonts w:hint="eastAsia" w:ascii="宋体" w:hAnsi="宋体" w:eastAsia="宋体" w:cs="宋体"/>
          <w:color w:val="auto"/>
          <w:sz w:val="24"/>
          <w:szCs w:val="24"/>
          <w:highlight w:val="none"/>
          <w:lang w:eastAsia="zh-CN"/>
        </w:rPr>
        <w:t>监狱企业声明函</w:t>
      </w:r>
      <w:bookmarkEnd w:id="416"/>
      <w:bookmarkEnd w:id="417"/>
      <w:bookmarkEnd w:id="418"/>
      <w:bookmarkEnd w:id="419"/>
      <w:bookmarkEnd w:id="420"/>
      <w:bookmarkEnd w:id="421"/>
      <w:bookmarkEnd w:id="422"/>
    </w:p>
    <w:p w14:paraId="5FB33B9C">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leftChars="0" w:firstLine="0" w:firstLineChars="0"/>
        <w:jc w:val="center"/>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（监狱企业适用）</w:t>
      </w:r>
    </w:p>
    <w:p w14:paraId="63B922C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本公司郑重声明，根据《关于政府采购支持监狱企业发展有关问题的通知》（财库[2014]68号）的规定</w:t>
      </w:r>
      <w:r>
        <w:rPr>
          <w:rFonts w:hint="eastAsia" w:ascii="宋体" w:hAnsi="宋体" w:eastAsia="宋体" w:cs="宋体"/>
          <w:color w:val="auto"/>
          <w:kern w:val="0"/>
          <w:sz w:val="24"/>
          <w:highlight w:val="none"/>
          <w:lang w:eastAsia="zh-CN"/>
        </w:rPr>
        <w:t>：</w:t>
      </w:r>
      <w:r>
        <w:rPr>
          <w:rFonts w:hint="eastAsia" w:ascii="宋体" w:hAnsi="宋体" w:eastAsia="宋体" w:cs="宋体"/>
          <w:b/>
          <w:bCs/>
          <w:color w:val="auto"/>
          <w:kern w:val="0"/>
          <w:sz w:val="24"/>
          <w:szCs w:val="24"/>
          <w:highlight w:val="none"/>
          <w:lang w:val="en-US" w:eastAsia="zh-CN" w:bidi="ar"/>
        </w:rPr>
        <w:t>（请进行勾选）</w:t>
      </w:r>
    </w:p>
    <w:p w14:paraId="7940043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lang w:eastAsia="zh-CN"/>
        </w:rPr>
        <w:t>本公司是监狱企业，且</w:t>
      </w:r>
      <w:r>
        <w:rPr>
          <w:rFonts w:hint="eastAsia" w:ascii="宋体" w:hAnsi="宋体" w:eastAsia="宋体" w:cs="宋体"/>
          <w:color w:val="auto"/>
          <w:kern w:val="0"/>
          <w:sz w:val="24"/>
          <w:szCs w:val="24"/>
          <w:highlight w:val="none"/>
          <w:lang w:val="en-US" w:eastAsia="zh-CN" w:bidi="ar"/>
        </w:rPr>
        <w:t>本公司参加</w:t>
      </w:r>
      <w:r>
        <w:rPr>
          <w:rFonts w:hint="eastAsia" w:ascii="宋体" w:hAnsi="宋体" w:eastAsia="宋体" w:cs="宋体"/>
          <w:i/>
          <w:iCs/>
          <w:color w:val="auto"/>
          <w:sz w:val="24"/>
          <w:szCs w:val="24"/>
          <w:highlight w:val="none"/>
          <w:u w:val="single"/>
        </w:rPr>
        <w:t>（</w:t>
      </w:r>
      <w:r>
        <w:rPr>
          <w:rFonts w:hint="eastAsia" w:ascii="宋体" w:hAnsi="宋体" w:eastAsia="宋体" w:cs="宋体"/>
          <w:i/>
          <w:iCs/>
          <w:color w:val="auto"/>
          <w:sz w:val="24"/>
          <w:szCs w:val="24"/>
          <w:highlight w:val="none"/>
          <w:u w:val="single"/>
          <w:lang w:eastAsia="zh-CN"/>
        </w:rPr>
        <w:t>采购人</w:t>
      </w:r>
      <w:r>
        <w:rPr>
          <w:rFonts w:hint="eastAsia" w:ascii="宋体" w:hAnsi="宋体" w:eastAsia="宋体" w:cs="宋体"/>
          <w:i/>
          <w:iCs/>
          <w:color w:val="auto"/>
          <w:sz w:val="24"/>
          <w:szCs w:val="24"/>
          <w:highlight w:val="none"/>
          <w:u w:val="single"/>
        </w:rPr>
        <w:t>名称）</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i/>
          <w:iCs/>
          <w:color w:val="auto"/>
          <w:sz w:val="24"/>
          <w:szCs w:val="24"/>
          <w:highlight w:val="none"/>
          <w:u w:val="single"/>
        </w:rPr>
        <w:t>（项目名称</w:t>
      </w:r>
      <w:r>
        <w:rPr>
          <w:rFonts w:hint="eastAsia" w:ascii="宋体" w:hAnsi="宋体" w:eastAsia="宋体" w:cs="宋体"/>
          <w:i/>
          <w:iCs/>
          <w:color w:val="auto"/>
          <w:sz w:val="24"/>
          <w:szCs w:val="24"/>
          <w:highlight w:val="none"/>
          <w:u w:val="single"/>
          <w:lang w:eastAsia="zh-CN"/>
        </w:rPr>
        <w:t>及</w:t>
      </w:r>
      <w:r>
        <w:rPr>
          <w:rFonts w:hint="eastAsia" w:ascii="宋体" w:hAnsi="宋体" w:eastAsia="宋体" w:cs="宋体"/>
          <w:i/>
          <w:iCs/>
          <w:color w:val="auto"/>
          <w:sz w:val="24"/>
          <w:szCs w:val="24"/>
          <w:highlight w:val="none"/>
          <w:u w:val="single"/>
        </w:rPr>
        <w:t>编号）</w:t>
      </w:r>
      <w:r>
        <w:rPr>
          <w:rFonts w:hint="eastAsia" w:ascii="宋体" w:hAnsi="宋体" w:eastAsia="宋体" w:cs="宋体"/>
          <w:color w:val="auto"/>
          <w:kern w:val="0"/>
          <w:sz w:val="24"/>
          <w:szCs w:val="24"/>
          <w:highlight w:val="none"/>
          <w:lang w:val="en-US" w:eastAsia="zh-CN" w:bidi="ar"/>
        </w:rPr>
        <w:t>采购活动提供本公司制造的货物（由本公司承担工程/提供服务）；</w:t>
      </w:r>
    </w:p>
    <w:p w14:paraId="2785823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lang w:eastAsia="zh-CN"/>
        </w:rPr>
        <w:t>本公司不是监狱企业，但本</w:t>
      </w:r>
      <w:r>
        <w:rPr>
          <w:rFonts w:hint="eastAsia" w:ascii="宋体" w:hAnsi="宋体" w:eastAsia="宋体" w:cs="宋体"/>
          <w:color w:val="auto"/>
          <w:kern w:val="0"/>
          <w:sz w:val="24"/>
          <w:szCs w:val="24"/>
          <w:highlight w:val="none"/>
          <w:lang w:val="en-US" w:eastAsia="zh-CN" w:bidi="ar"/>
        </w:rPr>
        <w:t>公司参加</w:t>
      </w:r>
      <w:r>
        <w:rPr>
          <w:rFonts w:hint="eastAsia" w:ascii="宋体" w:hAnsi="宋体" w:eastAsia="宋体" w:cs="宋体"/>
          <w:i/>
          <w:iCs/>
          <w:color w:val="auto"/>
          <w:sz w:val="24"/>
          <w:szCs w:val="24"/>
          <w:highlight w:val="none"/>
          <w:u w:val="single"/>
        </w:rPr>
        <w:t>（</w:t>
      </w:r>
      <w:r>
        <w:rPr>
          <w:rFonts w:hint="eastAsia" w:ascii="宋体" w:hAnsi="宋体" w:eastAsia="宋体" w:cs="宋体"/>
          <w:i/>
          <w:iCs/>
          <w:color w:val="auto"/>
          <w:sz w:val="24"/>
          <w:szCs w:val="24"/>
          <w:highlight w:val="none"/>
          <w:u w:val="single"/>
          <w:lang w:eastAsia="zh-CN"/>
        </w:rPr>
        <w:t>采购人</w:t>
      </w:r>
      <w:r>
        <w:rPr>
          <w:rFonts w:hint="eastAsia" w:ascii="宋体" w:hAnsi="宋体" w:eastAsia="宋体" w:cs="宋体"/>
          <w:i/>
          <w:iCs/>
          <w:color w:val="auto"/>
          <w:sz w:val="24"/>
          <w:szCs w:val="24"/>
          <w:highlight w:val="none"/>
          <w:u w:val="single"/>
        </w:rPr>
        <w:t>名称）</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i/>
          <w:iCs/>
          <w:color w:val="auto"/>
          <w:sz w:val="24"/>
          <w:szCs w:val="24"/>
          <w:highlight w:val="none"/>
          <w:u w:val="single"/>
        </w:rPr>
        <w:t>（项目名称</w:t>
      </w:r>
      <w:r>
        <w:rPr>
          <w:rFonts w:hint="eastAsia" w:ascii="宋体" w:hAnsi="宋体" w:eastAsia="宋体" w:cs="宋体"/>
          <w:i/>
          <w:iCs/>
          <w:color w:val="auto"/>
          <w:sz w:val="24"/>
          <w:szCs w:val="24"/>
          <w:highlight w:val="none"/>
          <w:u w:val="single"/>
          <w:lang w:eastAsia="zh-CN"/>
        </w:rPr>
        <w:t>及</w:t>
      </w:r>
      <w:r>
        <w:rPr>
          <w:rFonts w:hint="eastAsia" w:ascii="宋体" w:hAnsi="宋体" w:eastAsia="宋体" w:cs="宋体"/>
          <w:i/>
          <w:iCs/>
          <w:color w:val="auto"/>
          <w:sz w:val="24"/>
          <w:szCs w:val="24"/>
          <w:highlight w:val="none"/>
          <w:u w:val="single"/>
        </w:rPr>
        <w:t>编号）</w:t>
      </w:r>
      <w:r>
        <w:rPr>
          <w:rFonts w:hint="eastAsia" w:ascii="宋体" w:hAnsi="宋体" w:eastAsia="宋体" w:cs="宋体"/>
          <w:color w:val="auto"/>
          <w:kern w:val="0"/>
          <w:sz w:val="24"/>
          <w:szCs w:val="24"/>
          <w:highlight w:val="none"/>
          <w:lang w:val="en-US" w:eastAsia="zh-CN" w:bidi="ar"/>
        </w:rPr>
        <w:t>采购活动提供的货物均为监狱企业制造（不包括使用监狱企业注册商标的货物）。</w:t>
      </w:r>
    </w:p>
    <w:p w14:paraId="71E554F4">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highlight w:val="none"/>
        </w:rPr>
        <w:t>本公司对上述声明的真实性负责。如有虚假，将依法承担相应责任。</w:t>
      </w:r>
    </w:p>
    <w:p w14:paraId="308989C9">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kern w:val="0"/>
          <w:sz w:val="24"/>
          <w:szCs w:val="24"/>
          <w:highlight w:val="none"/>
          <w:lang w:bidi="ar"/>
        </w:rPr>
      </w:pPr>
    </w:p>
    <w:p w14:paraId="1B6EC257">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kern w:val="0"/>
          <w:sz w:val="24"/>
          <w:szCs w:val="24"/>
          <w:highlight w:val="none"/>
          <w:lang w:bidi="ar"/>
        </w:rPr>
      </w:pPr>
    </w:p>
    <w:p w14:paraId="7BB58D06">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企业名称（盖章）：</w:t>
      </w:r>
    </w:p>
    <w:p w14:paraId="4D59DF4A">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b/>
          <w:color w:val="auto"/>
          <w:kern w:val="0"/>
          <w:sz w:val="24"/>
          <w:szCs w:val="24"/>
          <w:highlight w:val="none"/>
          <w:lang w:bidi="ar"/>
        </w:rPr>
      </w:pPr>
      <w:r>
        <w:rPr>
          <w:rFonts w:hint="eastAsia" w:ascii="宋体" w:hAnsi="宋体" w:eastAsia="宋体" w:cs="宋体"/>
          <w:color w:val="auto"/>
          <w:kern w:val="0"/>
          <w:sz w:val="24"/>
          <w:szCs w:val="24"/>
          <w:highlight w:val="none"/>
          <w:lang w:bidi="ar"/>
        </w:rPr>
        <w:t>日 期：</w:t>
      </w:r>
    </w:p>
    <w:p w14:paraId="410D3213">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kern w:val="0"/>
          <w:sz w:val="24"/>
          <w:szCs w:val="24"/>
          <w:highlight w:val="none"/>
          <w:lang w:bidi="ar"/>
        </w:rPr>
      </w:pPr>
    </w:p>
    <w:p w14:paraId="56D65CFD">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kern w:val="0"/>
          <w:sz w:val="24"/>
          <w:szCs w:val="24"/>
          <w:highlight w:val="none"/>
          <w:lang w:bidi="ar"/>
        </w:rPr>
      </w:pPr>
    </w:p>
    <w:p w14:paraId="29A1B141">
      <w:pPr>
        <w:pageBreakBefore w:val="0"/>
        <w:tabs>
          <w:tab w:val="left" w:pos="2880"/>
        </w:tabs>
        <w:kinsoku/>
        <w:wordWrap/>
        <w:overflowPunct/>
        <w:topLinePunct w:val="0"/>
        <w:autoSpaceDE/>
        <w:autoSpaceDN/>
        <w:bidi w:val="0"/>
        <w:spacing w:line="360" w:lineRule="auto"/>
        <w:ind w:firstLine="569" w:firstLineChars="236"/>
        <w:jc w:val="left"/>
        <w:textAlignment w:val="auto"/>
        <w:outlineLvl w:val="9"/>
        <w:rPr>
          <w:rFonts w:hint="eastAsia" w:ascii="宋体" w:hAnsi="宋体" w:eastAsia="宋体" w:cs="宋体"/>
          <w:color w:val="auto"/>
          <w:kern w:val="0"/>
          <w:sz w:val="24"/>
          <w:szCs w:val="24"/>
          <w:highlight w:val="none"/>
          <w:lang w:bidi="ar"/>
        </w:rPr>
      </w:pPr>
      <w:r>
        <w:rPr>
          <w:rFonts w:hint="eastAsia" w:ascii="宋体" w:hAnsi="宋体" w:eastAsia="宋体" w:cs="宋体"/>
          <w:b/>
          <w:bCs/>
          <w:color w:val="auto"/>
          <w:sz w:val="24"/>
          <w:highlight w:val="none"/>
          <w:lang w:eastAsia="zh-CN"/>
        </w:rPr>
        <w:t>备注</w:t>
      </w:r>
      <w:r>
        <w:rPr>
          <w:rFonts w:hint="eastAsia" w:ascii="宋体" w:hAnsi="宋体" w:eastAsia="宋体" w:cs="宋体"/>
          <w:b/>
          <w:bCs/>
          <w:color w:val="auto"/>
          <w:sz w:val="24"/>
          <w:highlight w:val="none"/>
        </w:rPr>
        <w:t>：不符合上述情形的</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无须提供上述声明函。</w:t>
      </w:r>
    </w:p>
    <w:p w14:paraId="475E9F58">
      <w:pPr>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outlineLvl w:val="2"/>
        <w:rPr>
          <w:rFonts w:hint="eastAsia" w:ascii="宋体" w:hAnsi="宋体" w:eastAsia="宋体" w:cs="宋体"/>
          <w:color w:val="auto"/>
          <w:sz w:val="24"/>
          <w:szCs w:val="24"/>
          <w:highlight w:val="none"/>
        </w:rPr>
      </w:pPr>
      <w:bookmarkStart w:id="423" w:name="_Toc23744"/>
      <w:bookmarkStart w:id="424" w:name="_Toc24927"/>
      <w:bookmarkStart w:id="425" w:name="_Toc16600"/>
      <w:bookmarkStart w:id="426" w:name="_Toc13689"/>
      <w:bookmarkStart w:id="427" w:name="_Toc1541"/>
      <w:bookmarkStart w:id="428" w:name="_Toc28887"/>
      <w:bookmarkStart w:id="429" w:name="_Toc18784"/>
      <w:bookmarkStart w:id="430" w:name="_Toc31769"/>
      <w:r>
        <w:rPr>
          <w:rFonts w:hint="eastAsia" w:ascii="宋体" w:hAnsi="宋体" w:eastAsia="宋体" w:cs="宋体"/>
          <w:color w:val="auto"/>
          <w:sz w:val="24"/>
          <w:szCs w:val="24"/>
          <w:highlight w:val="none"/>
        </w:rPr>
        <w:br w:type="page"/>
      </w:r>
      <w:bookmarkStart w:id="431" w:name="_Toc14236"/>
      <w:r>
        <w:rPr>
          <w:rFonts w:hint="eastAsia" w:ascii="宋体" w:hAnsi="宋体" w:eastAsia="宋体" w:cs="宋体"/>
          <w:color w:val="auto"/>
          <w:sz w:val="24"/>
          <w:szCs w:val="24"/>
          <w:highlight w:val="none"/>
        </w:rPr>
        <w:t>残疾人福利性单位声明函</w:t>
      </w:r>
      <w:bookmarkEnd w:id="423"/>
      <w:bookmarkEnd w:id="424"/>
      <w:bookmarkEnd w:id="425"/>
      <w:bookmarkEnd w:id="426"/>
      <w:bookmarkEnd w:id="427"/>
      <w:bookmarkEnd w:id="428"/>
      <w:bookmarkEnd w:id="431"/>
    </w:p>
    <w:p w14:paraId="16F1EB79">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sz w:val="24"/>
          <w:szCs w:val="24"/>
          <w:highlight w:val="none"/>
        </w:rPr>
        <w:t>残疾人福利性单位</w:t>
      </w:r>
      <w:r>
        <w:rPr>
          <w:rFonts w:hint="eastAsia" w:ascii="宋体" w:hAnsi="宋体" w:eastAsia="宋体" w:cs="宋体"/>
          <w:color w:val="auto"/>
          <w:kern w:val="0"/>
          <w:sz w:val="24"/>
          <w:highlight w:val="none"/>
        </w:rPr>
        <w:t>适用）</w:t>
      </w:r>
    </w:p>
    <w:p w14:paraId="73BAD5A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本单位郑重声明，根据《财政部 民政部 中国残疾人联合会 关于促进残疾人就业政府采购政策的通知》（财库〔2017〕141号）的规定，本单位为符合条件的残疾人福利性单位，且本单位参加</w:t>
      </w:r>
      <w:r>
        <w:rPr>
          <w:rFonts w:hint="eastAsia" w:ascii="宋体" w:hAnsi="宋体" w:eastAsia="宋体" w:cs="宋体"/>
          <w:i/>
          <w:iCs/>
          <w:color w:val="auto"/>
          <w:sz w:val="24"/>
          <w:szCs w:val="24"/>
          <w:highlight w:val="none"/>
          <w:u w:val="single"/>
        </w:rPr>
        <w:t>（</w:t>
      </w:r>
      <w:r>
        <w:rPr>
          <w:rFonts w:hint="eastAsia" w:ascii="宋体" w:hAnsi="宋体" w:eastAsia="宋体" w:cs="宋体"/>
          <w:i/>
          <w:iCs/>
          <w:color w:val="auto"/>
          <w:sz w:val="24"/>
          <w:szCs w:val="24"/>
          <w:highlight w:val="none"/>
          <w:u w:val="single"/>
          <w:lang w:eastAsia="zh-CN"/>
        </w:rPr>
        <w:t>采购人</w:t>
      </w:r>
      <w:r>
        <w:rPr>
          <w:rFonts w:hint="eastAsia" w:ascii="宋体" w:hAnsi="宋体" w:eastAsia="宋体" w:cs="宋体"/>
          <w:i/>
          <w:iCs/>
          <w:color w:val="auto"/>
          <w:sz w:val="24"/>
          <w:szCs w:val="24"/>
          <w:highlight w:val="none"/>
          <w:u w:val="single"/>
        </w:rPr>
        <w:t>名称）</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i/>
          <w:iCs/>
          <w:color w:val="auto"/>
          <w:sz w:val="24"/>
          <w:szCs w:val="24"/>
          <w:highlight w:val="none"/>
          <w:u w:val="single"/>
        </w:rPr>
        <w:t>（项目名称</w:t>
      </w:r>
      <w:r>
        <w:rPr>
          <w:rFonts w:hint="eastAsia" w:ascii="宋体" w:hAnsi="宋体" w:eastAsia="宋体" w:cs="宋体"/>
          <w:i/>
          <w:iCs/>
          <w:color w:val="auto"/>
          <w:sz w:val="24"/>
          <w:szCs w:val="24"/>
          <w:highlight w:val="none"/>
          <w:u w:val="single"/>
          <w:lang w:eastAsia="zh-CN"/>
        </w:rPr>
        <w:t>及</w:t>
      </w:r>
      <w:r>
        <w:rPr>
          <w:rFonts w:hint="eastAsia" w:ascii="宋体" w:hAnsi="宋体" w:eastAsia="宋体" w:cs="宋体"/>
          <w:i/>
          <w:iCs/>
          <w:color w:val="auto"/>
          <w:sz w:val="24"/>
          <w:szCs w:val="24"/>
          <w:highlight w:val="none"/>
          <w:u w:val="single"/>
        </w:rPr>
        <w:t>编号）</w:t>
      </w:r>
      <w:r>
        <w:rPr>
          <w:rFonts w:hint="eastAsia" w:ascii="宋体" w:hAnsi="宋体" w:eastAsia="宋体" w:cs="宋体"/>
          <w:color w:val="auto"/>
          <w:kern w:val="0"/>
          <w:sz w:val="24"/>
          <w:szCs w:val="24"/>
          <w:highlight w:val="none"/>
          <w:lang w:val="en-US" w:eastAsia="zh-CN" w:bidi="ar"/>
        </w:rPr>
        <w:t>采购活动提供本单位制造的货物（由本单位承担工程/提供服务），或者提供其他残疾人福利性单位制造的货物（不包括使用非残疾人福利性单位注册商标的货物）。</w:t>
      </w:r>
    </w:p>
    <w:p w14:paraId="08AA5A3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本单位对上述声明的真实性负责。如有虚假，将依法承担相应责任。 </w:t>
      </w:r>
    </w:p>
    <w:p w14:paraId="6F863342">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color w:val="auto"/>
          <w:kern w:val="0"/>
          <w:sz w:val="24"/>
          <w:szCs w:val="24"/>
          <w:highlight w:val="none"/>
          <w:lang w:bidi="ar"/>
        </w:rPr>
      </w:pPr>
    </w:p>
    <w:p w14:paraId="01228FF7">
      <w:pPr>
        <w:pStyle w:val="39"/>
        <w:keepNext w:val="0"/>
        <w:keepLines w:val="0"/>
        <w:pageBreakBefore w:val="0"/>
        <w:kinsoku/>
        <w:wordWrap/>
        <w:overflowPunct/>
        <w:topLinePunct w:val="0"/>
        <w:autoSpaceDE/>
        <w:autoSpaceDN/>
        <w:bidi w:val="0"/>
        <w:adjustRightInd w:val="0"/>
        <w:snapToGrid w:val="0"/>
        <w:spacing w:after="0" w:line="360" w:lineRule="auto"/>
        <w:textAlignment w:val="auto"/>
        <w:outlineLvl w:val="9"/>
        <w:rPr>
          <w:rFonts w:hint="eastAsia" w:ascii="宋体" w:hAnsi="宋体" w:eastAsia="宋体" w:cs="宋体"/>
          <w:color w:val="auto"/>
          <w:highlight w:val="none"/>
        </w:rPr>
      </w:pPr>
    </w:p>
    <w:p w14:paraId="7816BAF1">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color w:val="auto"/>
          <w:kern w:val="0"/>
          <w:sz w:val="24"/>
          <w:szCs w:val="24"/>
          <w:highlight w:val="none"/>
          <w:lang w:bidi="ar"/>
        </w:rPr>
      </w:pPr>
    </w:p>
    <w:p w14:paraId="51791953">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bidi="ar"/>
        </w:rPr>
        <w:t>单位</w:t>
      </w:r>
      <w:r>
        <w:rPr>
          <w:rFonts w:hint="eastAsia" w:ascii="宋体" w:hAnsi="宋体" w:eastAsia="宋体" w:cs="宋体"/>
          <w:color w:val="auto"/>
          <w:kern w:val="0"/>
          <w:sz w:val="24"/>
          <w:szCs w:val="24"/>
          <w:highlight w:val="none"/>
          <w:lang w:bidi="ar"/>
        </w:rPr>
        <w:t>名称（盖章）：</w:t>
      </w:r>
    </w:p>
    <w:p w14:paraId="00FB89A3">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b/>
          <w:color w:val="auto"/>
          <w:kern w:val="0"/>
          <w:sz w:val="24"/>
          <w:szCs w:val="24"/>
          <w:highlight w:val="none"/>
          <w:lang w:bidi="ar"/>
        </w:rPr>
      </w:pPr>
      <w:r>
        <w:rPr>
          <w:rFonts w:hint="eastAsia" w:ascii="宋体" w:hAnsi="宋体" w:eastAsia="宋体" w:cs="宋体"/>
          <w:color w:val="auto"/>
          <w:kern w:val="0"/>
          <w:sz w:val="24"/>
          <w:szCs w:val="24"/>
          <w:highlight w:val="none"/>
          <w:lang w:bidi="ar"/>
        </w:rPr>
        <w:t>日 期：</w:t>
      </w:r>
    </w:p>
    <w:p w14:paraId="2144A9F6">
      <w:pPr>
        <w:keepNext w:val="0"/>
        <w:keepLines w:val="0"/>
        <w:pageBreakBefore w:val="0"/>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color w:val="auto"/>
          <w:sz w:val="30"/>
          <w:szCs w:val="30"/>
          <w:highlight w:val="none"/>
        </w:rPr>
      </w:pPr>
    </w:p>
    <w:p w14:paraId="0A096AAA">
      <w:pPr>
        <w:pageBreakBefore w:val="0"/>
        <w:kinsoku/>
        <w:wordWrap/>
        <w:overflowPunct/>
        <w:topLinePunct w:val="0"/>
        <w:autoSpaceDE/>
        <w:autoSpaceDN/>
        <w:bidi w:val="0"/>
        <w:spacing w:line="360" w:lineRule="auto"/>
        <w:ind w:firstLine="482" w:firstLineChars="200"/>
        <w:textAlignment w:val="auto"/>
        <w:outlineLvl w:val="9"/>
        <w:rPr>
          <w:rFonts w:hint="eastAsia" w:ascii="宋体" w:hAnsi="宋体" w:eastAsia="宋体" w:cs="宋体"/>
          <w:color w:val="auto"/>
          <w:kern w:val="0"/>
          <w:sz w:val="24"/>
          <w:szCs w:val="24"/>
          <w:highlight w:val="none"/>
          <w:lang w:bidi="ar"/>
        </w:rPr>
      </w:pPr>
      <w:r>
        <w:rPr>
          <w:rFonts w:hint="eastAsia" w:ascii="宋体" w:hAnsi="宋体" w:eastAsia="宋体" w:cs="宋体"/>
          <w:b/>
          <w:bCs/>
          <w:color w:val="auto"/>
          <w:sz w:val="24"/>
          <w:highlight w:val="none"/>
          <w:lang w:eastAsia="zh-CN"/>
        </w:rPr>
        <w:t>备注</w:t>
      </w:r>
      <w:r>
        <w:rPr>
          <w:rFonts w:hint="eastAsia" w:ascii="宋体" w:hAnsi="宋体" w:eastAsia="宋体" w:cs="宋体"/>
          <w:b/>
          <w:bCs/>
          <w:color w:val="auto"/>
          <w:sz w:val="24"/>
          <w:highlight w:val="none"/>
        </w:rPr>
        <w:t>：不符合上述情形的</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无须提供上述声明函。</w:t>
      </w:r>
    </w:p>
    <w:p w14:paraId="330973C8">
      <w:pPr>
        <w:pageBreakBefore w:val="0"/>
        <w:kinsoku/>
        <w:wordWrap/>
        <w:overflowPunct/>
        <w:topLinePunct w:val="0"/>
        <w:autoSpaceDE/>
        <w:autoSpaceDN/>
        <w:bidi w:val="0"/>
        <w:spacing w:line="400" w:lineRule="exact"/>
        <w:jc w:val="center"/>
        <w:textAlignment w:val="auto"/>
        <w:outlineLvl w:val="2"/>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br w:type="page"/>
      </w:r>
      <w:bookmarkStart w:id="432" w:name="_Toc5697"/>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w:t>
      </w:r>
      <w:bookmarkEnd w:id="429"/>
      <w:bookmarkEnd w:id="430"/>
      <w:r>
        <w:rPr>
          <w:rFonts w:hint="eastAsia" w:ascii="宋体" w:hAnsi="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lang w:eastAsia="zh-CN"/>
        </w:rPr>
        <w:t>保证金</w:t>
      </w:r>
      <w:bookmarkEnd w:id="432"/>
    </w:p>
    <w:p w14:paraId="7894857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eastAsia="zh-CN"/>
        </w:rPr>
        <w:t>保证金</w:t>
      </w:r>
      <w:r>
        <w:rPr>
          <w:rFonts w:hint="eastAsia" w:ascii="宋体" w:hAnsi="宋体" w:eastAsia="宋体" w:cs="宋体"/>
          <w:color w:val="auto"/>
          <w:sz w:val="24"/>
          <w:highlight w:val="none"/>
        </w:rPr>
        <w:t>缴纳凭证截图</w:t>
      </w:r>
      <w:r>
        <w:rPr>
          <w:rFonts w:hint="eastAsia" w:ascii="宋体" w:hAnsi="宋体" w:eastAsia="宋体" w:cs="宋体"/>
          <w:color w:val="auto"/>
          <w:sz w:val="24"/>
          <w:highlight w:val="none"/>
          <w:lang w:eastAsia="zh-CN"/>
        </w:rPr>
        <w:t>或回单</w:t>
      </w:r>
      <w:r>
        <w:rPr>
          <w:rFonts w:hint="eastAsia" w:ascii="宋体" w:hAnsi="宋体" w:eastAsia="宋体" w:cs="宋体"/>
          <w:color w:val="auto"/>
          <w:sz w:val="24"/>
          <w:highlight w:val="none"/>
        </w:rPr>
        <w:t>并加盖</w:t>
      </w:r>
      <w:r>
        <w:rPr>
          <w:rFonts w:hint="eastAsia" w:ascii="宋体" w:hAnsi="宋体" w:cs="宋体"/>
          <w:b w:val="0"/>
          <w:bCs w:val="0"/>
          <w:color w:val="auto"/>
          <w:kern w:val="0"/>
          <w:sz w:val="24"/>
          <w:szCs w:val="24"/>
          <w:highlight w:val="none"/>
          <w:lang w:val="en-US" w:eastAsia="zh-CN"/>
        </w:rPr>
        <w:t>投标人</w:t>
      </w:r>
      <w:r>
        <w:rPr>
          <w:rFonts w:hint="eastAsia" w:ascii="宋体" w:hAnsi="宋体" w:eastAsia="宋体" w:cs="宋体"/>
          <w:color w:val="auto"/>
          <w:sz w:val="24"/>
          <w:highlight w:val="none"/>
        </w:rPr>
        <w:t>公章）</w:t>
      </w:r>
    </w:p>
    <w:p w14:paraId="2DE7902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bookmarkStart w:id="433" w:name="_Toc6661"/>
      <w:bookmarkStart w:id="434" w:name="_Toc13335"/>
    </w:p>
    <w:p w14:paraId="7CBACBE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74DF47E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0128E29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3C302B0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0F4C93A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4B1357E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6A2E4A0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137CAE2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5300B0B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4401294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67D764F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33A24DD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3AE5563D">
      <w:pPr>
        <w:pageBreakBefore w:val="0"/>
        <w:kinsoku/>
        <w:wordWrap/>
        <w:overflowPunct/>
        <w:topLinePunct w:val="0"/>
        <w:autoSpaceDE/>
        <w:autoSpaceDN/>
        <w:bidi w:val="0"/>
        <w:spacing w:line="400" w:lineRule="exact"/>
        <w:jc w:val="center"/>
        <w:textAlignment w:val="auto"/>
        <w:outlineLvl w:val="2"/>
        <w:rPr>
          <w:rFonts w:hint="default" w:ascii="宋体" w:hAnsi="宋体" w:eastAsia="宋体" w:cs="宋体"/>
          <w:b/>
          <w:bCs/>
          <w:color w:val="auto"/>
          <w:sz w:val="24"/>
          <w:szCs w:val="24"/>
          <w:highlight w:val="none"/>
          <w:lang w:val="en-US" w:eastAsia="zh-CN"/>
        </w:rPr>
      </w:pPr>
      <w:bookmarkStart w:id="435" w:name="_Toc13159"/>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本项目特定资格要求</w:t>
      </w:r>
      <w:bookmarkEnd w:id="435"/>
    </w:p>
    <w:p w14:paraId="6B72134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center"/>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highlight w:val="none"/>
        </w:rPr>
        <w:t>（提供相关资质证明材料并加盖</w:t>
      </w:r>
      <w:r>
        <w:rPr>
          <w:rFonts w:hint="eastAsia" w:ascii="宋体" w:hAnsi="宋体" w:cs="宋体"/>
          <w:b w:val="0"/>
          <w:bCs w:val="0"/>
          <w:color w:val="auto"/>
          <w:kern w:val="0"/>
          <w:sz w:val="24"/>
          <w:szCs w:val="24"/>
          <w:highlight w:val="none"/>
          <w:lang w:val="en-US" w:eastAsia="zh-CN"/>
        </w:rPr>
        <w:t>投标人</w:t>
      </w:r>
      <w:r>
        <w:rPr>
          <w:rFonts w:hint="eastAsia" w:ascii="宋体" w:hAnsi="宋体" w:cs="宋体"/>
          <w:color w:val="auto"/>
          <w:sz w:val="24"/>
          <w:highlight w:val="none"/>
        </w:rPr>
        <w:t>公章）</w:t>
      </w:r>
    </w:p>
    <w:p w14:paraId="3F793FD9">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br w:type="page"/>
      </w:r>
      <w:bookmarkEnd w:id="433"/>
      <w:bookmarkEnd w:id="434"/>
      <w:bookmarkStart w:id="436" w:name="_Toc24934"/>
      <w:bookmarkStart w:id="437" w:name="_Toc11027"/>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报价文件</w:t>
      </w:r>
      <w:bookmarkEnd w:id="355"/>
      <w:bookmarkEnd w:id="371"/>
      <w:bookmarkEnd w:id="372"/>
      <w:bookmarkEnd w:id="436"/>
      <w:bookmarkEnd w:id="437"/>
      <w:bookmarkStart w:id="438" w:name="_Toc29193"/>
      <w:bookmarkStart w:id="439" w:name="_Toc19064"/>
      <w:bookmarkStart w:id="440" w:name="_Toc29772"/>
    </w:p>
    <w:p w14:paraId="41E01BD2">
      <w:pPr>
        <w:jc w:val="center"/>
        <w:outlineLvl w:val="2"/>
        <w:rPr>
          <w:rFonts w:hint="eastAsia" w:ascii="宋体" w:hAnsi="宋体" w:eastAsia="宋体" w:cs="宋体"/>
          <w:color w:val="auto"/>
          <w:sz w:val="24"/>
          <w:szCs w:val="24"/>
          <w:highlight w:val="none"/>
          <w:lang w:eastAsia="zh-CN"/>
        </w:rPr>
      </w:pPr>
      <w:bookmarkStart w:id="441" w:name="_Toc9625"/>
      <w:bookmarkStart w:id="442" w:name="_Toc10625"/>
      <w:bookmarkStart w:id="443" w:name="_Toc29955"/>
      <w:r>
        <w:rPr>
          <w:rFonts w:hint="eastAsia" w:ascii="宋体" w:hAnsi="宋体" w:eastAsia="宋体" w:cs="宋体"/>
          <w:color w:val="auto"/>
          <w:sz w:val="24"/>
          <w:szCs w:val="24"/>
          <w:highlight w:val="none"/>
          <w:lang w:eastAsia="zh-CN"/>
        </w:rPr>
        <w:t>（一）</w:t>
      </w:r>
      <w:r>
        <w:rPr>
          <w:rFonts w:hint="eastAsia" w:ascii="宋体" w:hAnsi="宋体" w:cs="宋体"/>
          <w:color w:val="auto"/>
          <w:sz w:val="24"/>
          <w:szCs w:val="24"/>
          <w:highlight w:val="none"/>
          <w:lang w:val="en-US" w:eastAsia="zh-CN"/>
        </w:rPr>
        <w:t>开标</w:t>
      </w:r>
      <w:r>
        <w:rPr>
          <w:rFonts w:hint="eastAsia" w:ascii="宋体" w:hAnsi="宋体" w:eastAsia="宋体" w:cs="宋体"/>
          <w:color w:val="auto"/>
          <w:sz w:val="24"/>
          <w:szCs w:val="24"/>
          <w:highlight w:val="none"/>
          <w:lang w:eastAsia="zh-CN"/>
        </w:rPr>
        <w:t>一览表</w:t>
      </w:r>
      <w:bookmarkEnd w:id="441"/>
      <w:bookmarkEnd w:id="442"/>
      <w:bookmarkEnd w:id="443"/>
    </w:p>
    <w:p w14:paraId="556A0887">
      <w:pPr>
        <w:spacing w:line="400" w:lineRule="atLeast"/>
        <w:ind w:left="2880" w:hanging="2880"/>
        <w:outlineLvl w:val="9"/>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2C412BBD">
      <w:pPr>
        <w:tabs>
          <w:tab w:val="center" w:pos="4252"/>
        </w:tabs>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u w:val="single"/>
          <w:lang w:val="en-US" w:eastAsia="zh-CN"/>
        </w:rPr>
        <w:t xml:space="preserve">                  </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7599"/>
      </w:tblGrid>
      <w:tr w14:paraId="02E6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1940" w:type="dxa"/>
            <w:noWrap w:val="0"/>
            <w:vAlign w:val="center"/>
          </w:tcPr>
          <w:p w14:paraId="13486D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投标报价</w:t>
            </w:r>
          </w:p>
          <w:p w14:paraId="7EB8B4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p>
        </w:tc>
        <w:tc>
          <w:tcPr>
            <w:tcW w:w="7599" w:type="dxa"/>
            <w:noWrap w:val="0"/>
            <w:vAlign w:val="center"/>
          </w:tcPr>
          <w:p w14:paraId="7AFE859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textAlignment w:val="auto"/>
              <w:outlineLvl w:val="9"/>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小写：</w:t>
            </w:r>
            <w:r>
              <w:rPr>
                <w:rFonts w:hint="eastAsia" w:ascii="宋体" w:hAnsi="宋体" w:eastAsia="宋体" w:cs="宋体"/>
                <w:color w:val="auto"/>
                <w:sz w:val="24"/>
                <w:highlight w:val="none"/>
                <w:u w:val="single"/>
                <w:lang w:val="en-US" w:eastAsia="zh-CN"/>
              </w:rPr>
              <w:t xml:space="preserve">                              </w:t>
            </w:r>
          </w:p>
          <w:p w14:paraId="3E6284C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大写：</w:t>
            </w:r>
            <w:r>
              <w:rPr>
                <w:rFonts w:hint="eastAsia" w:ascii="宋体" w:hAnsi="宋体" w:eastAsia="宋体" w:cs="宋体"/>
                <w:color w:val="auto"/>
                <w:sz w:val="24"/>
                <w:highlight w:val="none"/>
                <w:u w:val="single"/>
                <w:lang w:val="en-US" w:eastAsia="zh-CN"/>
              </w:rPr>
              <w:t xml:space="preserve">                              </w:t>
            </w:r>
          </w:p>
        </w:tc>
      </w:tr>
      <w:tr w14:paraId="523E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940" w:type="dxa"/>
            <w:noWrap w:val="0"/>
            <w:vAlign w:val="center"/>
          </w:tcPr>
          <w:p w14:paraId="18AEB3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24"/>
                <w:highlight w:val="none"/>
                <w:lang w:val="en-US" w:eastAsia="zh-CN"/>
              </w:rPr>
            </w:pPr>
            <w:r>
              <w:rPr>
                <w:rFonts w:hint="eastAsia" w:ascii="宋体" w:hAnsi="宋体" w:cs="宋体"/>
                <w:color w:val="auto"/>
                <w:sz w:val="24"/>
                <w:szCs w:val="24"/>
                <w:highlight w:val="none"/>
                <w:lang w:val="en-US" w:eastAsia="zh-CN"/>
              </w:rPr>
              <w:t>合同履约期限</w:t>
            </w:r>
          </w:p>
        </w:tc>
        <w:tc>
          <w:tcPr>
            <w:tcW w:w="7599" w:type="dxa"/>
            <w:noWrap w:val="0"/>
            <w:vAlign w:val="center"/>
          </w:tcPr>
          <w:p w14:paraId="6EA852D2">
            <w:pPr>
              <w:keepNext w:val="0"/>
              <w:keepLines w:val="0"/>
              <w:pageBreakBefore w:val="0"/>
              <w:widowControl w:val="0"/>
              <w:tabs>
                <w:tab w:val="left" w:pos="9135"/>
              </w:tabs>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color w:val="auto"/>
                <w:sz w:val="21"/>
                <w:szCs w:val="22"/>
                <w:highlight w:val="none"/>
                <w:lang w:val="en-US" w:eastAsia="zh-CN"/>
              </w:rPr>
            </w:pPr>
            <w:r>
              <w:rPr>
                <w:rFonts w:hint="eastAsia" w:ascii="宋体" w:hAnsi="宋体" w:cs="宋体"/>
                <w:color w:val="auto"/>
                <w:sz w:val="24"/>
                <w:highlight w:val="none"/>
                <w:lang w:val="en-US" w:eastAsia="zh-CN"/>
              </w:rPr>
              <w:t>自签订合同之日起至2026年12月止</w:t>
            </w:r>
          </w:p>
        </w:tc>
      </w:tr>
      <w:tr w14:paraId="78ED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940" w:type="dxa"/>
            <w:noWrap w:val="0"/>
            <w:vAlign w:val="center"/>
          </w:tcPr>
          <w:p w14:paraId="78E613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lang w:eastAsia="zh-CN"/>
              </w:rPr>
            </w:pPr>
            <w:r>
              <w:rPr>
                <w:rFonts w:hint="default" w:ascii="宋体" w:hAnsi="宋体" w:eastAsia="宋体" w:cs="宋体"/>
                <w:color w:val="auto"/>
                <w:kern w:val="2"/>
                <w:sz w:val="24"/>
                <w:szCs w:val="24"/>
                <w:highlight w:val="none"/>
                <w:lang w:val="en-US" w:eastAsia="zh-CN" w:bidi="ar-SA"/>
              </w:rPr>
              <w:t>质量等级标准</w:t>
            </w:r>
          </w:p>
        </w:tc>
        <w:tc>
          <w:tcPr>
            <w:tcW w:w="7599" w:type="dxa"/>
            <w:noWrap w:val="0"/>
            <w:vAlign w:val="center"/>
          </w:tcPr>
          <w:p w14:paraId="2E065FE5">
            <w:pPr>
              <w:pStyle w:val="3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outlineLvl w:val="9"/>
              <w:rPr>
                <w:rFonts w:hint="default" w:ascii="宋体" w:hAnsi="宋体" w:eastAsia="宋体" w:cs="宋体"/>
                <w:color w:val="auto"/>
                <w:kern w:val="2"/>
                <w:sz w:val="24"/>
                <w:highlight w:val="none"/>
                <w:lang w:val="en-US" w:eastAsia="zh-CN" w:bidi="ar-SA"/>
              </w:rPr>
            </w:pPr>
            <w:r>
              <w:rPr>
                <w:rFonts w:hint="eastAsia" w:ascii="宋体" w:hAnsi="宋体" w:cs="宋体"/>
                <w:color w:val="auto"/>
                <w:kern w:val="2"/>
                <w:sz w:val="24"/>
                <w:szCs w:val="24"/>
                <w:highlight w:val="none"/>
                <w:lang w:val="en-US" w:eastAsia="zh-CN" w:bidi="ar-SA"/>
              </w:rPr>
              <w:t>符合国家及行业标准</w:t>
            </w:r>
          </w:p>
        </w:tc>
      </w:tr>
      <w:tr w14:paraId="0067C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940" w:type="dxa"/>
            <w:noWrap w:val="0"/>
            <w:vAlign w:val="center"/>
          </w:tcPr>
          <w:p w14:paraId="514317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备注</w:t>
            </w:r>
          </w:p>
        </w:tc>
        <w:tc>
          <w:tcPr>
            <w:tcW w:w="7599" w:type="dxa"/>
            <w:noWrap w:val="0"/>
            <w:vAlign w:val="center"/>
          </w:tcPr>
          <w:p w14:paraId="1AF4479E">
            <w:pPr>
              <w:pStyle w:val="39"/>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hint="eastAsia"/>
                <w:color w:val="auto"/>
                <w:highlight w:val="none"/>
                <w:lang w:eastAsia="zh-CN"/>
              </w:rPr>
            </w:pPr>
          </w:p>
        </w:tc>
      </w:tr>
    </w:tbl>
    <w:p w14:paraId="50C67689">
      <w:pPr>
        <w:tabs>
          <w:tab w:val="left" w:pos="9135"/>
        </w:tabs>
        <w:spacing w:line="400" w:lineRule="atLeast"/>
        <w:outlineLvl w:val="9"/>
        <w:rPr>
          <w:rFonts w:hint="eastAsia" w:ascii="宋体" w:hAnsi="宋体" w:eastAsia="宋体" w:cs="宋体"/>
          <w:color w:val="auto"/>
          <w:sz w:val="24"/>
          <w:highlight w:val="none"/>
        </w:rPr>
      </w:pPr>
    </w:p>
    <w:p w14:paraId="63A47D54">
      <w:pPr>
        <w:tabs>
          <w:tab w:val="left" w:pos="9135"/>
        </w:tabs>
        <w:spacing w:line="400" w:lineRule="atLeas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报价一经涂改，应在涂改处加盖单位公章或者由法定代表人或授权委托人签字或盖章，否则其</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作无效处理。</w:t>
      </w:r>
    </w:p>
    <w:p w14:paraId="522EE7AE">
      <w:pPr>
        <w:tabs>
          <w:tab w:val="left" w:pos="9135"/>
        </w:tabs>
        <w:spacing w:line="400" w:lineRule="atLeast"/>
        <w:ind w:firstLine="480" w:firstLineChars="200"/>
        <w:outlineLvl w:val="9"/>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投标价格应包括投标人履行本项目合同（如果成交）所必须的所有成本费用和成交投标人应承担的一切费用，包括但不仅限于必要资料、交通、保险、人工费、税费等一切费用。未列和没有填写的项目费用，采购人将视为已包括在投标价格中。</w:t>
      </w:r>
    </w:p>
    <w:p w14:paraId="01D8B4D5">
      <w:pPr>
        <w:tabs>
          <w:tab w:val="left" w:pos="9135"/>
        </w:tabs>
        <w:spacing w:line="400" w:lineRule="atLeast"/>
        <w:ind w:firstLine="480" w:firstLineChars="200"/>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2.“投标报价”为投标总价。</w:t>
      </w:r>
    </w:p>
    <w:p w14:paraId="164A7A13">
      <w:pPr>
        <w:tabs>
          <w:tab w:val="left" w:pos="9135"/>
        </w:tabs>
        <w:spacing w:line="400" w:lineRule="atLeast"/>
        <w:outlineLvl w:val="9"/>
        <w:rPr>
          <w:rFonts w:hint="eastAsia" w:ascii="宋体" w:hAnsi="宋体" w:eastAsia="宋体" w:cs="宋体"/>
          <w:color w:val="auto"/>
          <w:sz w:val="24"/>
          <w:highlight w:val="none"/>
        </w:rPr>
      </w:pPr>
    </w:p>
    <w:p w14:paraId="0CD8FE59">
      <w:pPr>
        <w:tabs>
          <w:tab w:val="left" w:pos="9135"/>
        </w:tabs>
        <w:spacing w:line="400" w:lineRule="atLeast"/>
        <w:outlineLvl w:val="9"/>
        <w:rPr>
          <w:rFonts w:hint="eastAsia" w:ascii="宋体" w:hAnsi="宋体" w:eastAsia="宋体" w:cs="宋体"/>
          <w:color w:val="auto"/>
          <w:sz w:val="24"/>
          <w:highlight w:val="none"/>
        </w:rPr>
      </w:pPr>
    </w:p>
    <w:p w14:paraId="2378E1E4">
      <w:pPr>
        <w:tabs>
          <w:tab w:val="left" w:pos="9135"/>
        </w:tabs>
        <w:spacing w:line="400" w:lineRule="atLeast"/>
        <w:outlineLvl w:val="9"/>
        <w:rPr>
          <w:rFonts w:hint="eastAsia" w:ascii="宋体" w:hAnsi="宋体" w:eastAsia="宋体" w:cs="宋体"/>
          <w:color w:val="auto"/>
          <w:sz w:val="24"/>
          <w:highlight w:val="none"/>
        </w:rPr>
      </w:pPr>
    </w:p>
    <w:p w14:paraId="48CA531A">
      <w:pPr>
        <w:tabs>
          <w:tab w:val="left" w:pos="9135"/>
        </w:tabs>
        <w:spacing w:line="400" w:lineRule="atLeast"/>
        <w:outlineLvl w:val="9"/>
        <w:rPr>
          <w:rFonts w:hint="eastAsia" w:ascii="宋体" w:hAnsi="宋体" w:eastAsia="宋体" w:cs="宋体"/>
          <w:color w:val="auto"/>
          <w:sz w:val="24"/>
          <w:highlight w:val="none"/>
          <w:u w:val="single"/>
        </w:rPr>
      </w:pPr>
      <w:r>
        <w:rPr>
          <w:rFonts w:hint="eastAsia" w:ascii="宋体" w:hAnsi="宋体" w:cs="宋体"/>
          <w:b w:val="0"/>
          <w:bCs w:val="0"/>
          <w:color w:val="auto"/>
          <w:kern w:val="0"/>
          <w:sz w:val="24"/>
          <w:szCs w:val="24"/>
          <w:highlight w:val="none"/>
          <w:lang w:val="en-US" w:eastAsia="zh-CN"/>
        </w:rPr>
        <w:t>投标人名称</w:t>
      </w: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u w:val="single"/>
        </w:rPr>
        <w:t>　　　　　　　　　　</w:t>
      </w:r>
    </w:p>
    <w:p w14:paraId="40A25571">
      <w:pPr>
        <w:pStyle w:val="39"/>
        <w:ind w:firstLine="240"/>
        <w:outlineLvl w:val="9"/>
        <w:rPr>
          <w:rFonts w:hint="eastAsia" w:ascii="宋体" w:hAnsi="宋体" w:eastAsia="宋体" w:cs="宋体"/>
          <w:color w:val="auto"/>
          <w:highlight w:val="none"/>
        </w:rPr>
      </w:pPr>
    </w:p>
    <w:p w14:paraId="554A0924">
      <w:pPr>
        <w:tabs>
          <w:tab w:val="left" w:pos="9135"/>
        </w:tabs>
        <w:spacing w:line="400" w:lineRule="atLeast"/>
        <w:outlineLvl w:val="9"/>
        <w:rPr>
          <w:rFonts w:hint="eastAsia" w:ascii="宋体" w:hAnsi="宋体" w:eastAsia="宋体" w:cs="宋体"/>
          <w:color w:val="auto"/>
          <w:sz w:val="24"/>
          <w:highlight w:val="none"/>
          <w:u w:val="single"/>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签字或盖章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w:t>
      </w:r>
    </w:p>
    <w:p w14:paraId="6C639C3A">
      <w:pPr>
        <w:pStyle w:val="39"/>
        <w:ind w:firstLine="240"/>
        <w:outlineLvl w:val="9"/>
        <w:rPr>
          <w:rFonts w:hint="eastAsia" w:ascii="宋体" w:hAnsi="宋体" w:eastAsia="宋体" w:cs="宋体"/>
          <w:color w:val="auto"/>
          <w:highlight w:val="none"/>
        </w:rPr>
      </w:pPr>
    </w:p>
    <w:p w14:paraId="48E68E67">
      <w:pPr>
        <w:pStyle w:val="39"/>
        <w:ind w:firstLine="0" w:firstLineChars="0"/>
        <w:outlineLvl w:val="9"/>
        <w:rPr>
          <w:rFonts w:hint="eastAsia" w:ascii="宋体" w:hAnsi="宋体" w:eastAsia="宋体" w:cs="宋体"/>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w:t>
      </w:r>
    </w:p>
    <w:p w14:paraId="10C81D82">
      <w:pPr>
        <w:rPr>
          <w:rFonts w:hint="eastAsia" w:eastAsia="宋体"/>
          <w:color w:val="auto"/>
          <w:sz w:val="24"/>
          <w:szCs w:val="24"/>
          <w:highlight w:val="none"/>
          <w:lang w:eastAsia="zh-CN"/>
        </w:rPr>
      </w:pPr>
      <w:bookmarkStart w:id="444" w:name="_Toc30248"/>
      <w:bookmarkStart w:id="445" w:name="_Toc12415"/>
      <w:bookmarkStart w:id="446" w:name="_Toc20633"/>
      <w:r>
        <w:rPr>
          <w:rFonts w:hint="eastAsia" w:eastAsia="宋体"/>
          <w:color w:val="auto"/>
          <w:sz w:val="24"/>
          <w:szCs w:val="24"/>
          <w:highlight w:val="none"/>
          <w:lang w:eastAsia="zh-CN"/>
        </w:rPr>
        <w:br w:type="page"/>
      </w:r>
    </w:p>
    <w:bookmarkEnd w:id="444"/>
    <w:bookmarkEnd w:id="445"/>
    <w:bookmarkEnd w:id="446"/>
    <w:p w14:paraId="33D2706F">
      <w:pPr>
        <w:jc w:val="center"/>
        <w:outlineLvl w:val="1"/>
        <w:rPr>
          <w:rFonts w:hint="eastAsia" w:ascii="宋体" w:hAnsi="宋体" w:eastAsia="宋体" w:cs="宋体"/>
          <w:b/>
          <w:bCs/>
          <w:color w:val="auto"/>
          <w:sz w:val="24"/>
          <w:szCs w:val="24"/>
          <w:highlight w:val="none"/>
          <w:lang w:eastAsia="zh-CN"/>
        </w:rPr>
      </w:pPr>
      <w:bookmarkStart w:id="447" w:name="_Toc6035"/>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商务技术文件</w:t>
      </w:r>
      <w:bookmarkEnd w:id="438"/>
      <w:bookmarkEnd w:id="439"/>
      <w:bookmarkEnd w:id="440"/>
      <w:bookmarkEnd w:id="447"/>
    </w:p>
    <w:p w14:paraId="151E1622">
      <w:pPr>
        <w:keepNext/>
        <w:keepLines/>
        <w:pageBreakBefore w:val="0"/>
        <w:widowControl w:val="0"/>
        <w:kinsoku/>
        <w:wordWrap/>
        <w:overflowPunct/>
        <w:topLinePunct w:val="0"/>
        <w:autoSpaceDE/>
        <w:autoSpaceDN/>
        <w:bidi w:val="0"/>
        <w:adjustRightInd w:val="0"/>
        <w:snapToGrid w:val="0"/>
        <w:spacing w:before="0" w:after="0" w:line="400" w:lineRule="exact"/>
        <w:jc w:val="center"/>
        <w:textAlignment w:val="auto"/>
        <w:outlineLvl w:val="2"/>
        <w:rPr>
          <w:rFonts w:hint="eastAsia" w:ascii="宋体" w:hAnsi="宋体" w:eastAsia="宋体" w:cs="宋体"/>
          <w:color w:val="auto"/>
          <w:sz w:val="24"/>
          <w:szCs w:val="24"/>
          <w:highlight w:val="none"/>
        </w:rPr>
      </w:pPr>
      <w:bookmarkStart w:id="448" w:name="_Toc13594"/>
      <w:bookmarkStart w:id="449" w:name="_Toc1523"/>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投标函</w:t>
      </w:r>
      <w:bookmarkEnd w:id="448"/>
      <w:bookmarkEnd w:id="449"/>
    </w:p>
    <w:p w14:paraId="6BC95782">
      <w:pPr>
        <w:keepNext w:val="0"/>
        <w:keepLines w:val="0"/>
        <w:pageBreakBefore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Theme="minorEastAsia" w:hAnsiTheme="minorEastAsia" w:eastAsiaTheme="minorEastAsia" w:cstheme="minorEastAsia"/>
          <w:i/>
          <w:iCs/>
          <w:sz w:val="24"/>
          <w:u w:val="single"/>
        </w:rPr>
        <w:t>（采购人）</w:t>
      </w:r>
      <w:r>
        <w:rPr>
          <w:rFonts w:hint="eastAsia" w:ascii="宋体" w:hAnsi="宋体" w:eastAsia="宋体" w:cs="宋体"/>
          <w:color w:val="auto"/>
          <w:sz w:val="24"/>
          <w:highlight w:val="none"/>
        </w:rPr>
        <w:t>：</w:t>
      </w:r>
    </w:p>
    <w:p w14:paraId="1EE6C557">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投标人名称</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授权代理人姓名</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职务、职称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为我方代表，参加贵方组织的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w:t>
      </w:r>
      <w:r>
        <w:rPr>
          <w:rFonts w:hint="eastAsia" w:ascii="宋体" w:hAnsi="宋体" w:eastAsia="宋体" w:cs="宋体"/>
          <w:i w:val="0"/>
          <w:iCs w:val="0"/>
          <w:color w:val="auto"/>
          <w:sz w:val="24"/>
          <w:highlight w:val="none"/>
          <w:u w:val="none"/>
        </w:rPr>
        <w:t>项目名称、项目编号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招标的有关活动，并对此项目进行投标。为此：</w:t>
      </w:r>
    </w:p>
    <w:p w14:paraId="05096864">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1、我方同意在本项目招标文件中规定的</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eastAsia="zh-CN"/>
        </w:rPr>
        <w:t>有效期</w:t>
      </w:r>
      <w:r>
        <w:rPr>
          <w:rFonts w:hint="eastAsia" w:ascii="宋体" w:hAnsi="宋体" w:eastAsia="宋体" w:cs="宋体"/>
          <w:color w:val="auto"/>
          <w:sz w:val="24"/>
          <w:highlight w:val="none"/>
        </w:rPr>
        <w:t>内遵守本</w:t>
      </w:r>
      <w:r>
        <w:rPr>
          <w:rFonts w:hint="eastAsia" w:ascii="宋体" w:hAnsi="宋体" w:cs="宋体"/>
          <w:color w:val="auto"/>
          <w:sz w:val="24"/>
          <w:highlight w:val="none"/>
          <w:lang w:eastAsia="zh-CN"/>
        </w:rPr>
        <w:t>投标文件</w:t>
      </w:r>
      <w:r>
        <w:rPr>
          <w:rFonts w:hint="eastAsia" w:ascii="宋体" w:hAnsi="宋体" w:eastAsia="宋体" w:cs="宋体"/>
          <w:color w:val="auto"/>
          <w:sz w:val="24"/>
          <w:highlight w:val="none"/>
        </w:rPr>
        <w:t>中的承诺且在此期限期满之前均具有约束力。</w:t>
      </w:r>
    </w:p>
    <w:p w14:paraId="5CAD4011">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2、提供投标人须知规定的全部</w:t>
      </w:r>
      <w:r>
        <w:rPr>
          <w:rFonts w:hint="eastAsia" w:ascii="宋体" w:hAnsi="宋体" w:cs="宋体"/>
          <w:color w:val="auto"/>
          <w:sz w:val="24"/>
          <w:highlight w:val="none"/>
          <w:lang w:eastAsia="zh-CN"/>
        </w:rPr>
        <w:t>投标文件</w:t>
      </w:r>
      <w:r>
        <w:rPr>
          <w:rFonts w:hint="eastAsia" w:ascii="宋体" w:hAnsi="宋体" w:eastAsia="宋体" w:cs="宋体"/>
          <w:color w:val="auto"/>
          <w:sz w:val="24"/>
          <w:highlight w:val="none"/>
        </w:rPr>
        <w:t>。</w:t>
      </w:r>
    </w:p>
    <w:p w14:paraId="3E7BB78C">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、按招标文件要求提供和交付的货物及相关服务的投标报价详见</w:t>
      </w:r>
      <w:r>
        <w:rPr>
          <w:rFonts w:hint="eastAsia" w:ascii="宋体" w:hAnsi="宋体" w:cs="宋体"/>
          <w:color w:val="auto"/>
          <w:sz w:val="24"/>
          <w:highlight w:val="none"/>
          <w:lang w:val="en-US" w:eastAsia="zh-CN"/>
        </w:rPr>
        <w:t>开标</w:t>
      </w:r>
      <w:r>
        <w:rPr>
          <w:rFonts w:hint="eastAsia" w:ascii="宋体" w:hAnsi="宋体" w:eastAsia="宋体" w:cs="宋体"/>
          <w:color w:val="auto"/>
          <w:sz w:val="24"/>
          <w:highlight w:val="none"/>
          <w:lang w:eastAsia="zh-CN"/>
        </w:rPr>
        <w:t>一览表</w:t>
      </w:r>
      <w:r>
        <w:rPr>
          <w:rFonts w:hint="eastAsia" w:ascii="宋体" w:hAnsi="宋体" w:eastAsia="宋体" w:cs="宋体"/>
          <w:color w:val="auto"/>
          <w:sz w:val="24"/>
          <w:highlight w:val="none"/>
        </w:rPr>
        <w:t>。</w:t>
      </w:r>
    </w:p>
    <w:p w14:paraId="7DCE8D49">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、保证忠实地执行双方所签订的合同，并承担合同规定的责任和义务。</w:t>
      </w:r>
    </w:p>
    <w:p w14:paraId="794EB689">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、我方承诺完全满足和响应招标文件中的各项技术和服务要求，若有偏差，已在</w:t>
      </w:r>
      <w:r>
        <w:rPr>
          <w:rFonts w:hint="eastAsia" w:ascii="宋体" w:hAnsi="宋体" w:cs="宋体"/>
          <w:color w:val="auto"/>
          <w:sz w:val="24"/>
          <w:highlight w:val="none"/>
          <w:lang w:eastAsia="zh-CN"/>
        </w:rPr>
        <w:t>投标文件</w:t>
      </w:r>
      <w:r>
        <w:rPr>
          <w:rFonts w:hint="eastAsia" w:ascii="宋体" w:hAnsi="宋体" w:eastAsia="宋体" w:cs="宋体"/>
          <w:color w:val="auto"/>
          <w:sz w:val="24"/>
          <w:highlight w:val="none"/>
        </w:rPr>
        <w:t>偏离表中予以明确特别说明。</w:t>
      </w:r>
    </w:p>
    <w:p w14:paraId="427B9762">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、我方承诺：完全理解投标报价若超过项目预算时，投标将被拒绝。</w:t>
      </w:r>
    </w:p>
    <w:p w14:paraId="182BB3BA">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、我方承诺：与在本项目中设计编制技术规格的机构及其附属机构无任何直接隶属关系和利益关联。</w:t>
      </w:r>
    </w:p>
    <w:p w14:paraId="0FE150B7">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、我方承诺：</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lang w:eastAsia="zh-CN"/>
        </w:rPr>
        <w:t>有效期为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天，</w:t>
      </w:r>
      <w:r>
        <w:rPr>
          <w:rFonts w:hint="eastAsia" w:ascii="宋体" w:hAnsi="宋体" w:eastAsia="宋体" w:cs="宋体"/>
          <w:color w:val="auto"/>
          <w:sz w:val="24"/>
          <w:highlight w:val="none"/>
        </w:rPr>
        <w:t>如果在开标后规定的</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lang w:eastAsia="zh-CN"/>
        </w:rPr>
        <w:t>有效期</w:t>
      </w:r>
      <w:r>
        <w:rPr>
          <w:rFonts w:hint="eastAsia" w:ascii="宋体" w:hAnsi="宋体" w:eastAsia="宋体" w:cs="宋体"/>
          <w:color w:val="auto"/>
          <w:sz w:val="24"/>
          <w:highlight w:val="none"/>
        </w:rPr>
        <w:t>内撤回投标，我方的</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保证金可被贵方没收。</w:t>
      </w:r>
    </w:p>
    <w:p w14:paraId="19F63687">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、我方完全理解贵方不一定接受最低价的投标或收到的任何投标。</w:t>
      </w:r>
    </w:p>
    <w:p w14:paraId="4FAC4CA6">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、我方承诺：</w:t>
      </w:r>
      <w:r>
        <w:rPr>
          <w:rFonts w:hint="eastAsia" w:ascii="宋体" w:hAnsi="宋体" w:cs="宋体"/>
          <w:color w:val="auto"/>
          <w:sz w:val="24"/>
          <w:highlight w:val="none"/>
          <w:lang w:eastAsia="zh-CN"/>
        </w:rPr>
        <w:t>投标文件</w:t>
      </w:r>
      <w:r>
        <w:rPr>
          <w:rFonts w:hint="eastAsia" w:ascii="宋体" w:hAnsi="宋体" w:eastAsia="宋体" w:cs="宋体"/>
          <w:color w:val="auto"/>
          <w:sz w:val="24"/>
          <w:highlight w:val="none"/>
        </w:rPr>
        <w:t>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61185EEE">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、我方已详细审核全部</w:t>
      </w:r>
      <w:r>
        <w:rPr>
          <w:rFonts w:hint="eastAsia" w:ascii="宋体" w:hAnsi="宋体" w:cs="宋体"/>
          <w:color w:val="auto"/>
          <w:sz w:val="24"/>
          <w:highlight w:val="none"/>
          <w:lang w:eastAsia="zh-CN"/>
        </w:rPr>
        <w:t>投标文件</w:t>
      </w:r>
      <w:r>
        <w:rPr>
          <w:rFonts w:hint="eastAsia" w:ascii="宋体" w:hAnsi="宋体" w:eastAsia="宋体" w:cs="宋体"/>
          <w:color w:val="auto"/>
          <w:sz w:val="24"/>
          <w:highlight w:val="none"/>
        </w:rPr>
        <w:t>，包括</w:t>
      </w:r>
      <w:r>
        <w:rPr>
          <w:rFonts w:hint="eastAsia" w:ascii="宋体" w:hAnsi="宋体" w:cs="宋体"/>
          <w:color w:val="auto"/>
          <w:sz w:val="24"/>
          <w:highlight w:val="none"/>
          <w:lang w:eastAsia="zh-CN"/>
        </w:rPr>
        <w:t>投标文件</w:t>
      </w:r>
      <w:r>
        <w:rPr>
          <w:rFonts w:hint="eastAsia" w:ascii="宋体" w:hAnsi="宋体" w:eastAsia="宋体" w:cs="宋体"/>
          <w:color w:val="auto"/>
          <w:sz w:val="24"/>
          <w:highlight w:val="none"/>
        </w:rPr>
        <w:t>修改书（如有的话）、参考资料及有关附件，确认无误。</w:t>
      </w:r>
    </w:p>
    <w:p w14:paraId="0EC04382">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、我方承诺：采购人若需追加采购本项目招标文件所列货物及相关服务的，在不改变合同其他实质性条款的前提下，按相同或更优惠的折扣率保证供货。</w:t>
      </w:r>
    </w:p>
    <w:p w14:paraId="025F2F92">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、我方承诺：如所报货物属国家强制认证产品的，均已通过认证且在有效期内，否则，由此产生的一切法律责任由我方承担。</w:t>
      </w:r>
    </w:p>
    <w:p w14:paraId="6796F310">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、我方承诺：接受招标文件中的全部条款且无任何异议，保证遵守招标文件的规定。</w:t>
      </w:r>
    </w:p>
    <w:p w14:paraId="2B0A2F9C">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B38317B">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1）提供虚假材料谋取中标、成交的；</w:t>
      </w:r>
    </w:p>
    <w:p w14:paraId="29CC69FD">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2）采取不正当手段诋毁、排挤其他供应商的；</w:t>
      </w:r>
    </w:p>
    <w:p w14:paraId="3A4BF35F">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3）与采购人、其他供应商或者采购代理机构工作人员恶意串通的；</w:t>
      </w:r>
    </w:p>
    <w:p w14:paraId="47419737">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4）向采购人、采购代理机构工作人员行贿或者提供其他不正当利益的；</w:t>
      </w:r>
    </w:p>
    <w:p w14:paraId="379D8416">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5）在采购过程中与采购人进行协商谈判的；</w:t>
      </w:r>
    </w:p>
    <w:p w14:paraId="7C703240">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6）拒绝有关部门监督检查或提供虚假情况的。</w:t>
      </w:r>
    </w:p>
    <w:p w14:paraId="3C284876">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highlight w:val="none"/>
        </w:rPr>
      </w:pPr>
    </w:p>
    <w:p w14:paraId="56AEF633">
      <w:pPr>
        <w:pageBreakBefore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highlight w:val="none"/>
        </w:rPr>
      </w:pPr>
    </w:p>
    <w:p w14:paraId="55FAA169">
      <w:pPr>
        <w:pStyle w:val="27"/>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b w:val="0"/>
          <w:bCs w:val="0"/>
          <w:color w:val="auto"/>
          <w:sz w:val="24"/>
          <w:szCs w:val="24"/>
          <w:highlight w:val="none"/>
        </w:rPr>
      </w:pPr>
    </w:p>
    <w:p w14:paraId="153E8ACE">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u w:val="single"/>
          <w:lang w:val="en-US" w:eastAsia="zh-CN"/>
        </w:rPr>
      </w:pPr>
      <w:r>
        <w:rPr>
          <w:rFonts w:hint="eastAsia" w:ascii="宋体" w:hAnsi="宋体" w:cs="宋体"/>
          <w:color w:val="auto"/>
          <w:sz w:val="24"/>
          <w:highlight w:val="none"/>
          <w:lang w:val="en-US" w:eastAsia="zh-CN"/>
        </w:rPr>
        <w:t>投标人名称</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公章</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u w:val="single"/>
          <w:lang w:val="en-US" w:eastAsia="zh-CN"/>
        </w:rPr>
        <w:t xml:space="preserve">                     </w:t>
      </w:r>
    </w:p>
    <w:p w14:paraId="3E701D9D">
      <w:pPr>
        <w:pStyle w:val="39"/>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highlight w:val="none"/>
          <w:lang w:val="en-US" w:eastAsia="zh-CN"/>
        </w:rPr>
      </w:pPr>
    </w:p>
    <w:p w14:paraId="4D1CE346">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签字或盖章</w:t>
      </w:r>
      <w:r>
        <w:rPr>
          <w:rFonts w:hint="eastAsia" w:ascii="宋体" w:hAnsi="宋体" w:eastAsia="宋体" w:cs="宋体"/>
          <w:color w:val="auto"/>
          <w:sz w:val="24"/>
          <w:highlight w:val="none"/>
        </w:rPr>
        <w:t>）</w:t>
      </w:r>
      <w:r>
        <w:rPr>
          <w:rFonts w:hint="eastAsia" w:ascii="宋体" w:hAnsi="宋体" w:eastAsia="宋体" w:cs="宋体"/>
          <w:b w:val="0"/>
          <w:bCs w:val="0"/>
          <w:color w:val="auto"/>
          <w:kern w:val="0"/>
          <w:sz w:val="24"/>
          <w:szCs w:val="24"/>
          <w:highlight w:val="none"/>
          <w:u w:val="single"/>
          <w:lang w:val="en-US" w:eastAsia="zh-CN"/>
        </w:rPr>
        <w:t xml:space="preserve">                   </w:t>
      </w:r>
    </w:p>
    <w:p w14:paraId="6E017C75">
      <w:pPr>
        <w:pStyle w:val="39"/>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highlight w:val="none"/>
        </w:rPr>
      </w:pPr>
    </w:p>
    <w:p w14:paraId="38E234CC">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14:paraId="69BEED2B">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rPr>
      </w:pPr>
    </w:p>
    <w:p w14:paraId="51925FA9">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rPr>
      </w:pPr>
    </w:p>
    <w:p w14:paraId="496CE1E7">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b/>
          <w:color w:val="auto"/>
          <w:sz w:val="24"/>
          <w:highlight w:val="none"/>
        </w:rPr>
        <w:t>说明：除可填报项目外，对本投标函的任何修改将被视为非实质性响应投标，从而导致该投标被拒绝。</w:t>
      </w:r>
    </w:p>
    <w:p w14:paraId="18C4FB6C">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rPr>
      </w:pPr>
    </w:p>
    <w:p w14:paraId="7AC98FD4">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eastAsia" w:ascii="宋体" w:hAnsi="宋体" w:eastAsia="宋体" w:cs="宋体"/>
          <w:color w:val="auto"/>
          <w:sz w:val="24"/>
          <w:szCs w:val="24"/>
          <w:highlight w:val="none"/>
          <w:lang w:eastAsia="zh-CN"/>
        </w:rPr>
      </w:pPr>
      <w:bookmarkStart w:id="450" w:name="_Toc24301"/>
      <w:bookmarkStart w:id="451" w:name="_Toc217446088"/>
      <w:r>
        <w:rPr>
          <w:rFonts w:hint="eastAsia" w:ascii="宋体" w:hAnsi="宋体" w:eastAsia="宋体" w:cs="宋体"/>
          <w:color w:val="auto"/>
          <w:sz w:val="24"/>
          <w:szCs w:val="24"/>
          <w:highlight w:val="none"/>
          <w:lang w:eastAsia="zh-CN"/>
        </w:rPr>
        <w:br w:type="page"/>
      </w:r>
      <w:bookmarkStart w:id="452" w:name="_Toc13458"/>
      <w:r>
        <w:rPr>
          <w:rFonts w:hint="eastAsia" w:ascii="宋体" w:hAnsi="宋体" w:eastAsia="宋体" w:cs="宋体"/>
          <w:color w:val="auto"/>
          <w:sz w:val="24"/>
          <w:szCs w:val="24"/>
          <w:highlight w:val="none"/>
          <w:lang w:eastAsia="zh-CN"/>
        </w:rPr>
        <w:t>（二）</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基本情况表</w:t>
      </w:r>
      <w:bookmarkEnd w:id="450"/>
      <w:bookmarkEnd w:id="451"/>
      <w:bookmarkEnd w:id="452"/>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1120"/>
        <w:gridCol w:w="1192"/>
        <w:gridCol w:w="1306"/>
        <w:gridCol w:w="1792"/>
        <w:gridCol w:w="1030"/>
        <w:gridCol w:w="1388"/>
      </w:tblGrid>
      <w:tr w14:paraId="3703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75A87C5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投标人名称</w:t>
            </w:r>
          </w:p>
        </w:tc>
        <w:tc>
          <w:tcPr>
            <w:tcW w:w="7828" w:type="dxa"/>
            <w:gridSpan w:val="6"/>
            <w:noWrap w:val="0"/>
            <w:vAlign w:val="center"/>
          </w:tcPr>
          <w:p w14:paraId="10AE7CF2">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宋体" w:hAnsi="宋体" w:eastAsia="宋体" w:cs="宋体"/>
                <w:color w:val="auto"/>
                <w:kern w:val="0"/>
                <w:sz w:val="24"/>
                <w:szCs w:val="24"/>
                <w:highlight w:val="none"/>
              </w:rPr>
            </w:pPr>
          </w:p>
        </w:tc>
      </w:tr>
      <w:tr w14:paraId="0DFD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644530F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是否为联合体</w:t>
            </w:r>
          </w:p>
        </w:tc>
        <w:tc>
          <w:tcPr>
            <w:tcW w:w="7828" w:type="dxa"/>
            <w:gridSpan w:val="6"/>
            <w:noWrap w:val="0"/>
            <w:vAlign w:val="center"/>
          </w:tcPr>
          <w:p w14:paraId="727974EF">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tc>
      </w:tr>
      <w:tr w14:paraId="284E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3D5CC91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注册地址</w:t>
            </w:r>
          </w:p>
        </w:tc>
        <w:tc>
          <w:tcPr>
            <w:tcW w:w="3618" w:type="dxa"/>
            <w:gridSpan w:val="3"/>
            <w:noWrap w:val="0"/>
            <w:vAlign w:val="center"/>
          </w:tcPr>
          <w:p w14:paraId="164086B3">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宋体" w:hAnsi="宋体" w:eastAsia="宋体" w:cs="宋体"/>
                <w:color w:val="auto"/>
                <w:kern w:val="0"/>
                <w:sz w:val="24"/>
                <w:szCs w:val="24"/>
                <w:highlight w:val="none"/>
              </w:rPr>
            </w:pPr>
          </w:p>
        </w:tc>
        <w:tc>
          <w:tcPr>
            <w:tcW w:w="1792" w:type="dxa"/>
            <w:noWrap w:val="0"/>
            <w:vAlign w:val="center"/>
          </w:tcPr>
          <w:p w14:paraId="4814E82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邮政编码</w:t>
            </w:r>
          </w:p>
        </w:tc>
        <w:tc>
          <w:tcPr>
            <w:tcW w:w="2418" w:type="dxa"/>
            <w:gridSpan w:val="2"/>
            <w:noWrap w:val="0"/>
            <w:vAlign w:val="center"/>
          </w:tcPr>
          <w:p w14:paraId="6EB33F6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r>
      <w:tr w14:paraId="06F8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vMerge w:val="restart"/>
            <w:noWrap w:val="0"/>
            <w:vAlign w:val="center"/>
          </w:tcPr>
          <w:p w14:paraId="75377F2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联系方式</w:t>
            </w:r>
          </w:p>
        </w:tc>
        <w:tc>
          <w:tcPr>
            <w:tcW w:w="1120" w:type="dxa"/>
            <w:noWrap w:val="0"/>
            <w:vAlign w:val="center"/>
          </w:tcPr>
          <w:p w14:paraId="5BA34CA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w:t>
            </w:r>
          </w:p>
        </w:tc>
        <w:tc>
          <w:tcPr>
            <w:tcW w:w="2498" w:type="dxa"/>
            <w:gridSpan w:val="2"/>
            <w:noWrap w:val="0"/>
            <w:vAlign w:val="center"/>
          </w:tcPr>
          <w:p w14:paraId="214898D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792" w:type="dxa"/>
            <w:noWrap w:val="0"/>
            <w:vAlign w:val="center"/>
          </w:tcPr>
          <w:p w14:paraId="283BEDA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tc>
        <w:tc>
          <w:tcPr>
            <w:tcW w:w="2418" w:type="dxa"/>
            <w:gridSpan w:val="2"/>
            <w:noWrap w:val="0"/>
            <w:vAlign w:val="center"/>
          </w:tcPr>
          <w:p w14:paraId="6EBF2C7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r>
      <w:tr w14:paraId="77B88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vMerge w:val="continue"/>
            <w:noWrap w:val="0"/>
            <w:vAlign w:val="center"/>
          </w:tcPr>
          <w:p w14:paraId="545EF50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120" w:type="dxa"/>
            <w:noWrap w:val="0"/>
            <w:vAlign w:val="center"/>
          </w:tcPr>
          <w:p w14:paraId="176FD85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传真</w:t>
            </w:r>
          </w:p>
        </w:tc>
        <w:tc>
          <w:tcPr>
            <w:tcW w:w="2498" w:type="dxa"/>
            <w:gridSpan w:val="2"/>
            <w:noWrap w:val="0"/>
            <w:vAlign w:val="center"/>
          </w:tcPr>
          <w:p w14:paraId="13917BE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792" w:type="dxa"/>
            <w:noWrap w:val="0"/>
            <w:vAlign w:val="center"/>
          </w:tcPr>
          <w:p w14:paraId="2AA8503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网址</w:t>
            </w:r>
          </w:p>
        </w:tc>
        <w:tc>
          <w:tcPr>
            <w:tcW w:w="2418" w:type="dxa"/>
            <w:gridSpan w:val="2"/>
            <w:noWrap w:val="0"/>
            <w:vAlign w:val="center"/>
          </w:tcPr>
          <w:p w14:paraId="7F86E31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r>
      <w:tr w14:paraId="5F8D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4576500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组织结构</w:t>
            </w:r>
          </w:p>
        </w:tc>
        <w:tc>
          <w:tcPr>
            <w:tcW w:w="7828" w:type="dxa"/>
            <w:gridSpan w:val="6"/>
            <w:noWrap w:val="0"/>
            <w:vAlign w:val="center"/>
          </w:tcPr>
          <w:p w14:paraId="00106937">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宋体" w:hAnsi="宋体" w:eastAsia="宋体" w:cs="宋体"/>
                <w:color w:val="auto"/>
                <w:kern w:val="0"/>
                <w:sz w:val="24"/>
                <w:szCs w:val="24"/>
                <w:highlight w:val="none"/>
              </w:rPr>
            </w:pPr>
          </w:p>
        </w:tc>
      </w:tr>
      <w:tr w14:paraId="42AD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830" w:type="dxa"/>
            <w:noWrap w:val="0"/>
            <w:vAlign w:val="center"/>
          </w:tcPr>
          <w:p w14:paraId="03FF646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p>
        </w:tc>
        <w:tc>
          <w:tcPr>
            <w:tcW w:w="1120" w:type="dxa"/>
            <w:noWrap w:val="0"/>
            <w:vAlign w:val="center"/>
          </w:tcPr>
          <w:p w14:paraId="3CB4255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1192" w:type="dxa"/>
            <w:noWrap w:val="0"/>
            <w:vAlign w:val="center"/>
          </w:tcPr>
          <w:p w14:paraId="6CDABE6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306" w:type="dxa"/>
            <w:noWrap w:val="0"/>
            <w:vAlign w:val="center"/>
          </w:tcPr>
          <w:p w14:paraId="54BAC26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技术职称</w:t>
            </w:r>
          </w:p>
        </w:tc>
        <w:tc>
          <w:tcPr>
            <w:tcW w:w="1792" w:type="dxa"/>
            <w:noWrap w:val="0"/>
            <w:vAlign w:val="center"/>
          </w:tcPr>
          <w:p w14:paraId="0CDBBB5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030" w:type="dxa"/>
            <w:noWrap w:val="0"/>
            <w:vAlign w:val="center"/>
          </w:tcPr>
          <w:p w14:paraId="73CEE44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tc>
        <w:tc>
          <w:tcPr>
            <w:tcW w:w="1388" w:type="dxa"/>
            <w:noWrap w:val="0"/>
            <w:vAlign w:val="center"/>
          </w:tcPr>
          <w:p w14:paraId="398FD9A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b/>
                <w:bCs/>
                <w:color w:val="auto"/>
                <w:kern w:val="0"/>
                <w:sz w:val="24"/>
                <w:szCs w:val="24"/>
                <w:highlight w:val="none"/>
              </w:rPr>
            </w:pPr>
          </w:p>
        </w:tc>
      </w:tr>
      <w:tr w14:paraId="571A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830" w:type="dxa"/>
            <w:noWrap w:val="0"/>
            <w:vAlign w:val="center"/>
          </w:tcPr>
          <w:p w14:paraId="00D5D7C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技术负责人</w:t>
            </w:r>
          </w:p>
        </w:tc>
        <w:tc>
          <w:tcPr>
            <w:tcW w:w="1120" w:type="dxa"/>
            <w:noWrap w:val="0"/>
            <w:vAlign w:val="center"/>
          </w:tcPr>
          <w:p w14:paraId="178120A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1192" w:type="dxa"/>
            <w:noWrap w:val="0"/>
            <w:vAlign w:val="center"/>
          </w:tcPr>
          <w:p w14:paraId="463CF70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306" w:type="dxa"/>
            <w:noWrap w:val="0"/>
            <w:vAlign w:val="center"/>
          </w:tcPr>
          <w:p w14:paraId="0DE91C1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技术职称</w:t>
            </w:r>
          </w:p>
        </w:tc>
        <w:tc>
          <w:tcPr>
            <w:tcW w:w="1792" w:type="dxa"/>
            <w:noWrap w:val="0"/>
            <w:vAlign w:val="center"/>
          </w:tcPr>
          <w:p w14:paraId="0A9A4CF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030" w:type="dxa"/>
            <w:noWrap w:val="0"/>
            <w:vAlign w:val="center"/>
          </w:tcPr>
          <w:p w14:paraId="1879FAA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tc>
        <w:tc>
          <w:tcPr>
            <w:tcW w:w="1388" w:type="dxa"/>
            <w:noWrap w:val="0"/>
            <w:vAlign w:val="center"/>
          </w:tcPr>
          <w:p w14:paraId="4918740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b/>
                <w:bCs/>
                <w:color w:val="auto"/>
                <w:kern w:val="0"/>
                <w:sz w:val="24"/>
                <w:szCs w:val="24"/>
                <w:highlight w:val="none"/>
              </w:rPr>
            </w:pPr>
          </w:p>
        </w:tc>
      </w:tr>
      <w:tr w14:paraId="5843E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5DFC373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成立时间</w:t>
            </w:r>
          </w:p>
        </w:tc>
        <w:tc>
          <w:tcPr>
            <w:tcW w:w="2312" w:type="dxa"/>
            <w:gridSpan w:val="2"/>
            <w:noWrap w:val="0"/>
            <w:vAlign w:val="center"/>
          </w:tcPr>
          <w:p w14:paraId="7D3FAA5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5516" w:type="dxa"/>
            <w:gridSpan w:val="4"/>
            <w:noWrap w:val="0"/>
            <w:vAlign w:val="center"/>
          </w:tcPr>
          <w:p w14:paraId="34C24E7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员工总人数：</w:t>
            </w:r>
          </w:p>
        </w:tc>
      </w:tr>
      <w:tr w14:paraId="7C6DA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67D3A9F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企业资质等级</w:t>
            </w:r>
          </w:p>
        </w:tc>
        <w:tc>
          <w:tcPr>
            <w:tcW w:w="2312" w:type="dxa"/>
            <w:gridSpan w:val="2"/>
            <w:noWrap w:val="0"/>
            <w:vAlign w:val="center"/>
          </w:tcPr>
          <w:p w14:paraId="6CA17BC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306" w:type="dxa"/>
            <w:vMerge w:val="restart"/>
            <w:noWrap w:val="0"/>
            <w:vAlign w:val="center"/>
          </w:tcPr>
          <w:p w14:paraId="32B10A2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其中</w:t>
            </w:r>
          </w:p>
        </w:tc>
        <w:tc>
          <w:tcPr>
            <w:tcW w:w="1792" w:type="dxa"/>
            <w:noWrap w:val="0"/>
            <w:vAlign w:val="center"/>
          </w:tcPr>
          <w:p w14:paraId="6D15DD0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项目</w:t>
            </w:r>
            <w:r>
              <w:rPr>
                <w:rFonts w:hint="eastAsia" w:ascii="宋体" w:hAnsi="宋体" w:cs="宋体"/>
                <w:color w:val="auto"/>
                <w:kern w:val="0"/>
                <w:sz w:val="24"/>
                <w:szCs w:val="24"/>
                <w:highlight w:val="none"/>
                <w:lang w:val="en-US" w:eastAsia="zh-CN"/>
              </w:rPr>
              <w:t>负责人</w:t>
            </w:r>
          </w:p>
        </w:tc>
        <w:tc>
          <w:tcPr>
            <w:tcW w:w="2418" w:type="dxa"/>
            <w:gridSpan w:val="2"/>
            <w:noWrap w:val="0"/>
            <w:vAlign w:val="center"/>
          </w:tcPr>
          <w:p w14:paraId="521EC6B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b/>
                <w:bCs/>
                <w:color w:val="auto"/>
                <w:kern w:val="0"/>
                <w:sz w:val="24"/>
                <w:szCs w:val="24"/>
                <w:highlight w:val="none"/>
              </w:rPr>
            </w:pPr>
          </w:p>
        </w:tc>
      </w:tr>
      <w:tr w14:paraId="7F1F0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705B345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营业执照号</w:t>
            </w:r>
          </w:p>
        </w:tc>
        <w:tc>
          <w:tcPr>
            <w:tcW w:w="2312" w:type="dxa"/>
            <w:gridSpan w:val="2"/>
            <w:noWrap w:val="0"/>
            <w:vAlign w:val="center"/>
          </w:tcPr>
          <w:p w14:paraId="184FC33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306" w:type="dxa"/>
            <w:vMerge w:val="continue"/>
            <w:noWrap w:val="0"/>
            <w:vAlign w:val="center"/>
          </w:tcPr>
          <w:p w14:paraId="6168108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792" w:type="dxa"/>
            <w:noWrap w:val="0"/>
            <w:vAlign w:val="center"/>
          </w:tcPr>
          <w:p w14:paraId="05BA30A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高级职称人员</w:t>
            </w:r>
          </w:p>
        </w:tc>
        <w:tc>
          <w:tcPr>
            <w:tcW w:w="2418" w:type="dxa"/>
            <w:gridSpan w:val="2"/>
            <w:noWrap w:val="0"/>
            <w:vAlign w:val="center"/>
          </w:tcPr>
          <w:p w14:paraId="63F3F48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b/>
                <w:bCs/>
                <w:color w:val="auto"/>
                <w:kern w:val="0"/>
                <w:sz w:val="24"/>
                <w:szCs w:val="24"/>
                <w:highlight w:val="none"/>
              </w:rPr>
            </w:pPr>
          </w:p>
        </w:tc>
      </w:tr>
      <w:tr w14:paraId="70464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6C380F6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注册资金</w:t>
            </w:r>
          </w:p>
        </w:tc>
        <w:tc>
          <w:tcPr>
            <w:tcW w:w="2312" w:type="dxa"/>
            <w:gridSpan w:val="2"/>
            <w:noWrap w:val="0"/>
            <w:vAlign w:val="center"/>
          </w:tcPr>
          <w:p w14:paraId="6A6C47C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306" w:type="dxa"/>
            <w:vMerge w:val="continue"/>
            <w:noWrap w:val="0"/>
            <w:vAlign w:val="center"/>
          </w:tcPr>
          <w:p w14:paraId="4727ECB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792" w:type="dxa"/>
            <w:noWrap w:val="0"/>
            <w:vAlign w:val="center"/>
          </w:tcPr>
          <w:p w14:paraId="75989CC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中级职称人员</w:t>
            </w:r>
          </w:p>
        </w:tc>
        <w:tc>
          <w:tcPr>
            <w:tcW w:w="2418" w:type="dxa"/>
            <w:gridSpan w:val="2"/>
            <w:noWrap w:val="0"/>
            <w:vAlign w:val="center"/>
          </w:tcPr>
          <w:p w14:paraId="3229EC8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b/>
                <w:bCs/>
                <w:color w:val="auto"/>
                <w:kern w:val="0"/>
                <w:sz w:val="24"/>
                <w:szCs w:val="24"/>
                <w:highlight w:val="none"/>
              </w:rPr>
            </w:pPr>
          </w:p>
        </w:tc>
      </w:tr>
      <w:tr w14:paraId="59CB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473004E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w:t>
            </w:r>
          </w:p>
        </w:tc>
        <w:tc>
          <w:tcPr>
            <w:tcW w:w="2312" w:type="dxa"/>
            <w:gridSpan w:val="2"/>
            <w:noWrap w:val="0"/>
            <w:vAlign w:val="center"/>
          </w:tcPr>
          <w:p w14:paraId="5185AE2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306" w:type="dxa"/>
            <w:vMerge w:val="continue"/>
            <w:noWrap w:val="0"/>
            <w:vAlign w:val="center"/>
          </w:tcPr>
          <w:p w14:paraId="5C8A917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792" w:type="dxa"/>
            <w:noWrap w:val="0"/>
            <w:vAlign w:val="center"/>
          </w:tcPr>
          <w:p w14:paraId="4DA8E76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初级职称人员</w:t>
            </w:r>
          </w:p>
        </w:tc>
        <w:tc>
          <w:tcPr>
            <w:tcW w:w="2418" w:type="dxa"/>
            <w:gridSpan w:val="2"/>
            <w:noWrap w:val="0"/>
            <w:vAlign w:val="center"/>
          </w:tcPr>
          <w:p w14:paraId="76AAE5B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b/>
                <w:bCs/>
                <w:color w:val="auto"/>
                <w:kern w:val="0"/>
                <w:sz w:val="24"/>
                <w:szCs w:val="24"/>
                <w:highlight w:val="none"/>
              </w:rPr>
            </w:pPr>
          </w:p>
        </w:tc>
      </w:tr>
      <w:tr w14:paraId="565A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45F5C72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账号</w:t>
            </w:r>
          </w:p>
        </w:tc>
        <w:tc>
          <w:tcPr>
            <w:tcW w:w="2312" w:type="dxa"/>
            <w:gridSpan w:val="2"/>
            <w:noWrap w:val="0"/>
            <w:vAlign w:val="center"/>
          </w:tcPr>
          <w:p w14:paraId="10BBE42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306" w:type="dxa"/>
            <w:vMerge w:val="continue"/>
            <w:noWrap w:val="0"/>
            <w:vAlign w:val="center"/>
          </w:tcPr>
          <w:p w14:paraId="65E3279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792" w:type="dxa"/>
            <w:noWrap w:val="0"/>
            <w:vAlign w:val="center"/>
          </w:tcPr>
          <w:p w14:paraId="713FD66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技工</w:t>
            </w:r>
          </w:p>
        </w:tc>
        <w:tc>
          <w:tcPr>
            <w:tcW w:w="2418" w:type="dxa"/>
            <w:gridSpan w:val="2"/>
            <w:noWrap w:val="0"/>
            <w:vAlign w:val="center"/>
          </w:tcPr>
          <w:p w14:paraId="6226955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b/>
                <w:bCs/>
                <w:color w:val="auto"/>
                <w:kern w:val="0"/>
                <w:sz w:val="24"/>
                <w:szCs w:val="24"/>
                <w:highlight w:val="none"/>
              </w:rPr>
            </w:pPr>
          </w:p>
        </w:tc>
      </w:tr>
      <w:tr w14:paraId="55AC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atLeast"/>
          <w:jc w:val="center"/>
        </w:trPr>
        <w:tc>
          <w:tcPr>
            <w:tcW w:w="1830" w:type="dxa"/>
            <w:noWrap w:val="0"/>
            <w:vAlign w:val="center"/>
          </w:tcPr>
          <w:p w14:paraId="3056377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经营范围</w:t>
            </w:r>
          </w:p>
        </w:tc>
        <w:tc>
          <w:tcPr>
            <w:tcW w:w="7828" w:type="dxa"/>
            <w:gridSpan w:val="6"/>
            <w:noWrap w:val="0"/>
            <w:vAlign w:val="center"/>
          </w:tcPr>
          <w:p w14:paraId="0B818821">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宋体" w:hAnsi="宋体" w:eastAsia="宋体" w:cs="宋体"/>
                <w:b/>
                <w:bCs/>
                <w:color w:val="auto"/>
                <w:kern w:val="0"/>
                <w:sz w:val="24"/>
                <w:szCs w:val="24"/>
                <w:highlight w:val="none"/>
              </w:rPr>
            </w:pPr>
          </w:p>
        </w:tc>
      </w:tr>
      <w:tr w14:paraId="1134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1830" w:type="dxa"/>
            <w:noWrap w:val="0"/>
            <w:vAlign w:val="center"/>
          </w:tcPr>
          <w:p w14:paraId="73E54D8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c>
          <w:tcPr>
            <w:tcW w:w="7828" w:type="dxa"/>
            <w:gridSpan w:val="6"/>
            <w:noWrap w:val="0"/>
            <w:vAlign w:val="center"/>
          </w:tcPr>
          <w:p w14:paraId="504E0F38">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宋体" w:hAnsi="宋体" w:eastAsia="宋体" w:cs="宋体"/>
                <w:color w:val="auto"/>
                <w:kern w:val="0"/>
                <w:sz w:val="24"/>
                <w:szCs w:val="24"/>
                <w:highlight w:val="none"/>
              </w:rPr>
            </w:pPr>
          </w:p>
        </w:tc>
      </w:tr>
    </w:tbl>
    <w:p w14:paraId="24361874">
      <w:pPr>
        <w:pStyle w:val="39"/>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outlineLvl w:val="9"/>
        <w:rPr>
          <w:rFonts w:hint="eastAsia" w:ascii="宋体" w:hAnsi="宋体" w:eastAsia="宋体" w:cs="宋体"/>
          <w:color w:val="auto"/>
          <w:sz w:val="24"/>
          <w:szCs w:val="24"/>
          <w:highlight w:val="none"/>
        </w:rPr>
      </w:pPr>
    </w:p>
    <w:p w14:paraId="088E37D6">
      <w:pPr>
        <w:pStyle w:val="39"/>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outlineLvl w:val="9"/>
        <w:rPr>
          <w:rFonts w:hint="eastAsia" w:ascii="宋体" w:hAnsi="宋体" w:eastAsia="宋体" w:cs="宋体"/>
          <w:color w:val="auto"/>
          <w:sz w:val="24"/>
          <w:szCs w:val="24"/>
          <w:highlight w:val="none"/>
        </w:rPr>
      </w:pPr>
    </w:p>
    <w:p w14:paraId="24C9F040">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u w:val="single"/>
          <w:lang w:val="en-US" w:eastAsia="zh-CN"/>
        </w:rPr>
      </w:pPr>
      <w:r>
        <w:rPr>
          <w:rFonts w:hint="eastAsia" w:ascii="宋体" w:hAnsi="宋体" w:cs="宋体"/>
          <w:color w:val="auto"/>
          <w:sz w:val="24"/>
          <w:highlight w:val="none"/>
          <w:lang w:val="en-US" w:eastAsia="zh-CN"/>
        </w:rPr>
        <w:t>投标人名称</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公章</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u w:val="single"/>
          <w:lang w:val="en-US" w:eastAsia="zh-CN"/>
        </w:rPr>
        <w:t xml:space="preserve">                     </w:t>
      </w:r>
    </w:p>
    <w:p w14:paraId="47FACCA8">
      <w:pPr>
        <w:pStyle w:val="39"/>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p>
    <w:p w14:paraId="1768615D">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w:t>
      </w:r>
      <w:r>
        <w:rPr>
          <w:rFonts w:hint="eastAsia" w:ascii="宋体" w:hAnsi="宋体" w:eastAsia="宋体" w:cs="宋体"/>
          <w:b w:val="0"/>
          <w:bCs w:val="0"/>
          <w:color w:val="auto"/>
          <w:kern w:val="0"/>
          <w:sz w:val="24"/>
          <w:szCs w:val="24"/>
          <w:highlight w:val="none"/>
          <w:lang w:eastAsia="zh-CN"/>
        </w:rPr>
        <w:t>签字或盖章</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u w:val="single"/>
          <w:lang w:val="en-US" w:eastAsia="zh-CN"/>
        </w:rPr>
        <w:t xml:space="preserve">                   </w:t>
      </w:r>
    </w:p>
    <w:p w14:paraId="6D2485A2">
      <w:pPr>
        <w:pStyle w:val="39"/>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outlineLvl w:val="9"/>
        <w:rPr>
          <w:rFonts w:hint="eastAsia" w:ascii="宋体" w:hAnsi="宋体" w:eastAsia="宋体" w:cs="宋体"/>
          <w:color w:val="auto"/>
          <w:sz w:val="24"/>
          <w:szCs w:val="24"/>
          <w:highlight w:val="none"/>
        </w:rPr>
      </w:pPr>
    </w:p>
    <w:p w14:paraId="277D1D7F">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bookmarkStart w:id="453" w:name="_Toc14521"/>
      <w:bookmarkStart w:id="454" w:name="_Toc4383"/>
    </w:p>
    <w:p w14:paraId="5A464CAB">
      <w:pPr>
        <w:keepNext/>
        <w:keepLines/>
        <w:pageBreakBefore w:val="0"/>
        <w:widowControl w:val="0"/>
        <w:numPr>
          <w:ilvl w:val="0"/>
          <w:numId w:val="2"/>
        </w:numPr>
        <w:kinsoku/>
        <w:wordWrap/>
        <w:overflowPunct/>
        <w:topLinePunct w:val="0"/>
        <w:autoSpaceDE/>
        <w:autoSpaceDN/>
        <w:bidi w:val="0"/>
        <w:adjustRightInd/>
        <w:snapToGrid/>
        <w:spacing w:before="0" w:after="0" w:line="360" w:lineRule="auto"/>
        <w:jc w:val="center"/>
        <w:textAlignment w:val="auto"/>
        <w:outlineLvl w:val="2"/>
        <w:rPr>
          <w:rFonts w:hint="eastAsia" w:ascii="Times New Roman" w:hAnsi="Times New Roman" w:eastAsia="宋体" w:cs="Times New Roman"/>
          <w:color w:val="auto"/>
          <w:sz w:val="24"/>
          <w:szCs w:val="24"/>
          <w:highlight w:val="none"/>
          <w:lang w:eastAsia="zh-CN"/>
        </w:rPr>
      </w:pPr>
      <w:r>
        <w:rPr>
          <w:rFonts w:hint="eastAsia" w:ascii="宋体" w:hAnsi="宋体" w:eastAsia="宋体" w:cs="宋体"/>
          <w:b w:val="0"/>
          <w:bCs w:val="0"/>
          <w:color w:val="auto"/>
          <w:kern w:val="0"/>
          <w:sz w:val="24"/>
          <w:szCs w:val="24"/>
          <w:highlight w:val="none"/>
        </w:rPr>
        <w:br w:type="page"/>
      </w:r>
      <w:bookmarkEnd w:id="453"/>
      <w:bookmarkEnd w:id="454"/>
      <w:bookmarkStart w:id="455" w:name="_Toc28097"/>
      <w:bookmarkStart w:id="456" w:name="_Toc14066"/>
      <w:bookmarkStart w:id="457" w:name="_Toc15668"/>
      <w:r>
        <w:rPr>
          <w:rFonts w:hint="eastAsia" w:ascii="Times New Roman" w:hAnsi="Times New Roman" w:eastAsia="宋体" w:cs="Times New Roman"/>
          <w:color w:val="auto"/>
          <w:sz w:val="24"/>
          <w:szCs w:val="24"/>
          <w:highlight w:val="none"/>
          <w:lang w:eastAsia="zh-CN"/>
        </w:rPr>
        <w:t>技术参数偏离表</w:t>
      </w:r>
      <w:bookmarkEnd w:id="455"/>
      <w:bookmarkEnd w:id="456"/>
      <w:bookmarkEnd w:id="457"/>
    </w:p>
    <w:p w14:paraId="79E195AC">
      <w:pPr>
        <w:spacing w:line="400" w:lineRule="atLeast"/>
        <w:ind w:left="2880" w:hanging="2880"/>
        <w:outlineLvl w:val="9"/>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51151FE8">
      <w:pPr>
        <w:tabs>
          <w:tab w:val="center" w:pos="4252"/>
        </w:tabs>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u w:val="single"/>
          <w:lang w:val="en-US" w:eastAsia="zh-CN"/>
        </w:rPr>
        <w:t xml:space="preserve">                  </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2578"/>
        <w:gridCol w:w="2476"/>
        <w:gridCol w:w="1993"/>
        <w:gridCol w:w="1993"/>
      </w:tblGrid>
      <w:tr w14:paraId="0083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vAlign w:val="center"/>
          </w:tcPr>
          <w:p w14:paraId="61685D7A">
            <w:pPr>
              <w:spacing w:line="400" w:lineRule="atLeast"/>
              <w:jc w:val="center"/>
              <w:outlineLvl w:val="9"/>
              <w:rPr>
                <w:rFonts w:ascii="Arial"/>
                <w:color w:val="auto"/>
                <w:sz w:val="21"/>
                <w:highlight w:val="none"/>
                <w:vertAlign w:val="baseline"/>
              </w:rPr>
            </w:pPr>
            <w:bookmarkStart w:id="458" w:name="_Toc12504"/>
            <w:bookmarkStart w:id="459" w:name="_Toc27822"/>
            <w:r>
              <w:rPr>
                <w:rFonts w:hint="eastAsia" w:ascii="宋体" w:hAnsi="宋体" w:eastAsia="宋体" w:cs="宋体"/>
                <w:color w:val="auto"/>
                <w:sz w:val="24"/>
                <w:highlight w:val="none"/>
              </w:rPr>
              <w:t>序号</w:t>
            </w:r>
          </w:p>
        </w:tc>
        <w:tc>
          <w:tcPr>
            <w:tcW w:w="2578" w:type="dxa"/>
            <w:vAlign w:val="center"/>
          </w:tcPr>
          <w:p w14:paraId="0534E762">
            <w:pPr>
              <w:spacing w:line="400" w:lineRule="atLeast"/>
              <w:jc w:val="center"/>
              <w:outlineLvl w:val="9"/>
              <w:rPr>
                <w:rFonts w:ascii="Arial"/>
                <w:color w:val="auto"/>
                <w:sz w:val="21"/>
                <w:highlight w:val="none"/>
                <w:vertAlign w:val="baseline"/>
              </w:rPr>
            </w:pPr>
            <w:r>
              <w:rPr>
                <w:rFonts w:hint="eastAsia" w:ascii="宋体" w:hAnsi="宋体" w:eastAsia="宋体" w:cs="宋体"/>
                <w:color w:val="auto"/>
                <w:sz w:val="24"/>
                <w:highlight w:val="none"/>
              </w:rPr>
              <w:t>招标文件技术条款</w:t>
            </w:r>
          </w:p>
        </w:tc>
        <w:tc>
          <w:tcPr>
            <w:tcW w:w="2476" w:type="dxa"/>
            <w:vAlign w:val="center"/>
          </w:tcPr>
          <w:p w14:paraId="3C626573">
            <w:pPr>
              <w:spacing w:line="400" w:lineRule="atLeast"/>
              <w:jc w:val="center"/>
              <w:outlineLvl w:val="9"/>
              <w:rPr>
                <w:rFonts w:ascii="Arial"/>
                <w:color w:val="auto"/>
                <w:sz w:val="21"/>
                <w:highlight w:val="none"/>
                <w:vertAlign w:val="baseline"/>
              </w:rPr>
            </w:pPr>
            <w:r>
              <w:rPr>
                <w:rFonts w:hint="eastAsia" w:ascii="宋体" w:hAnsi="宋体" w:eastAsia="宋体" w:cs="宋体"/>
                <w:color w:val="auto"/>
                <w:sz w:val="24"/>
                <w:highlight w:val="none"/>
              </w:rPr>
              <w:t>投标文件技术条款</w:t>
            </w:r>
          </w:p>
        </w:tc>
        <w:tc>
          <w:tcPr>
            <w:tcW w:w="1993" w:type="dxa"/>
            <w:vAlign w:val="center"/>
          </w:tcPr>
          <w:p w14:paraId="5361B98B">
            <w:pPr>
              <w:spacing w:line="400" w:lineRule="atLeast"/>
              <w:jc w:val="center"/>
              <w:outlineLvl w:val="9"/>
              <w:rPr>
                <w:rFonts w:ascii="Arial"/>
                <w:color w:val="auto"/>
                <w:sz w:val="21"/>
                <w:highlight w:val="none"/>
                <w:vertAlign w:val="baseline"/>
              </w:rPr>
            </w:pPr>
            <w:r>
              <w:rPr>
                <w:rFonts w:hint="eastAsia" w:ascii="宋体" w:hAnsi="宋体" w:cs="宋体"/>
                <w:color w:val="auto"/>
                <w:sz w:val="24"/>
                <w:highlight w:val="none"/>
                <w:lang w:eastAsia="zh-CN"/>
              </w:rPr>
              <w:t>偏离情况</w:t>
            </w:r>
          </w:p>
        </w:tc>
        <w:tc>
          <w:tcPr>
            <w:tcW w:w="1993" w:type="dxa"/>
            <w:vAlign w:val="center"/>
          </w:tcPr>
          <w:p w14:paraId="18F43066">
            <w:pPr>
              <w:spacing w:line="400" w:lineRule="atLeast"/>
              <w:jc w:val="center"/>
              <w:outlineLvl w:val="9"/>
              <w:rPr>
                <w:rFonts w:ascii="Arial"/>
                <w:color w:val="auto"/>
                <w:sz w:val="21"/>
                <w:highlight w:val="none"/>
                <w:vertAlign w:val="baseline"/>
              </w:rPr>
            </w:pPr>
            <w:r>
              <w:rPr>
                <w:rFonts w:hint="eastAsia" w:ascii="宋体" w:hAnsi="宋体" w:cs="宋体"/>
                <w:color w:val="auto"/>
                <w:sz w:val="24"/>
                <w:highlight w:val="none"/>
                <w:lang w:val="en-US" w:eastAsia="zh-CN"/>
              </w:rPr>
              <w:t>说明</w:t>
            </w:r>
          </w:p>
        </w:tc>
      </w:tr>
      <w:tr w14:paraId="42960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2" w:type="dxa"/>
            <w:vAlign w:val="top"/>
          </w:tcPr>
          <w:p w14:paraId="39601EB0">
            <w:pPr>
              <w:spacing w:line="272" w:lineRule="auto"/>
              <w:rPr>
                <w:rFonts w:ascii="Arial"/>
                <w:color w:val="auto"/>
                <w:sz w:val="21"/>
                <w:highlight w:val="none"/>
                <w:vertAlign w:val="baseline"/>
              </w:rPr>
            </w:pPr>
          </w:p>
        </w:tc>
        <w:tc>
          <w:tcPr>
            <w:tcW w:w="2578" w:type="dxa"/>
            <w:vAlign w:val="top"/>
          </w:tcPr>
          <w:p w14:paraId="259283AC">
            <w:pPr>
              <w:spacing w:line="272" w:lineRule="auto"/>
              <w:rPr>
                <w:rFonts w:ascii="Arial"/>
                <w:color w:val="auto"/>
                <w:sz w:val="21"/>
                <w:highlight w:val="none"/>
                <w:vertAlign w:val="baseline"/>
              </w:rPr>
            </w:pPr>
          </w:p>
        </w:tc>
        <w:tc>
          <w:tcPr>
            <w:tcW w:w="2476" w:type="dxa"/>
            <w:vAlign w:val="top"/>
          </w:tcPr>
          <w:p w14:paraId="553159EF">
            <w:pPr>
              <w:spacing w:line="272" w:lineRule="auto"/>
              <w:rPr>
                <w:rFonts w:ascii="Arial"/>
                <w:color w:val="auto"/>
                <w:sz w:val="21"/>
                <w:highlight w:val="none"/>
                <w:vertAlign w:val="baseline"/>
              </w:rPr>
            </w:pPr>
          </w:p>
        </w:tc>
        <w:tc>
          <w:tcPr>
            <w:tcW w:w="1993" w:type="dxa"/>
            <w:vAlign w:val="top"/>
          </w:tcPr>
          <w:p w14:paraId="3C6A4D0B">
            <w:pPr>
              <w:spacing w:line="272" w:lineRule="auto"/>
              <w:rPr>
                <w:rFonts w:ascii="Arial"/>
                <w:color w:val="auto"/>
                <w:sz w:val="21"/>
                <w:highlight w:val="none"/>
                <w:vertAlign w:val="baseline"/>
              </w:rPr>
            </w:pPr>
          </w:p>
        </w:tc>
        <w:tc>
          <w:tcPr>
            <w:tcW w:w="1993" w:type="dxa"/>
            <w:vAlign w:val="top"/>
          </w:tcPr>
          <w:p w14:paraId="31B98365">
            <w:pPr>
              <w:spacing w:line="272" w:lineRule="auto"/>
              <w:rPr>
                <w:rFonts w:ascii="Arial"/>
                <w:color w:val="auto"/>
                <w:sz w:val="21"/>
                <w:highlight w:val="none"/>
                <w:vertAlign w:val="baseline"/>
              </w:rPr>
            </w:pPr>
          </w:p>
        </w:tc>
      </w:tr>
      <w:tr w14:paraId="1DAE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2" w:type="dxa"/>
            <w:vAlign w:val="top"/>
          </w:tcPr>
          <w:p w14:paraId="515C020F">
            <w:pPr>
              <w:spacing w:line="272" w:lineRule="auto"/>
              <w:rPr>
                <w:rFonts w:ascii="Arial"/>
                <w:color w:val="auto"/>
                <w:sz w:val="21"/>
                <w:highlight w:val="none"/>
                <w:vertAlign w:val="baseline"/>
              </w:rPr>
            </w:pPr>
          </w:p>
        </w:tc>
        <w:tc>
          <w:tcPr>
            <w:tcW w:w="2578" w:type="dxa"/>
            <w:vAlign w:val="top"/>
          </w:tcPr>
          <w:p w14:paraId="7A9592AB">
            <w:pPr>
              <w:spacing w:line="272" w:lineRule="auto"/>
              <w:rPr>
                <w:rFonts w:ascii="Arial"/>
                <w:color w:val="auto"/>
                <w:sz w:val="21"/>
                <w:highlight w:val="none"/>
                <w:vertAlign w:val="baseline"/>
              </w:rPr>
            </w:pPr>
          </w:p>
        </w:tc>
        <w:tc>
          <w:tcPr>
            <w:tcW w:w="2476" w:type="dxa"/>
            <w:vAlign w:val="top"/>
          </w:tcPr>
          <w:p w14:paraId="65AABE82">
            <w:pPr>
              <w:spacing w:line="272" w:lineRule="auto"/>
              <w:rPr>
                <w:rFonts w:ascii="Arial"/>
                <w:color w:val="auto"/>
                <w:sz w:val="21"/>
                <w:highlight w:val="none"/>
                <w:vertAlign w:val="baseline"/>
              </w:rPr>
            </w:pPr>
          </w:p>
        </w:tc>
        <w:tc>
          <w:tcPr>
            <w:tcW w:w="1993" w:type="dxa"/>
            <w:vAlign w:val="top"/>
          </w:tcPr>
          <w:p w14:paraId="250800CC">
            <w:pPr>
              <w:spacing w:line="272" w:lineRule="auto"/>
              <w:rPr>
                <w:rFonts w:ascii="Arial"/>
                <w:color w:val="auto"/>
                <w:sz w:val="21"/>
                <w:highlight w:val="none"/>
                <w:vertAlign w:val="baseline"/>
              </w:rPr>
            </w:pPr>
          </w:p>
        </w:tc>
        <w:tc>
          <w:tcPr>
            <w:tcW w:w="1993" w:type="dxa"/>
            <w:vAlign w:val="top"/>
          </w:tcPr>
          <w:p w14:paraId="2FAD69E6">
            <w:pPr>
              <w:spacing w:line="272" w:lineRule="auto"/>
              <w:rPr>
                <w:rFonts w:ascii="Arial"/>
                <w:color w:val="auto"/>
                <w:sz w:val="21"/>
                <w:highlight w:val="none"/>
                <w:vertAlign w:val="baseline"/>
              </w:rPr>
            </w:pPr>
          </w:p>
        </w:tc>
      </w:tr>
      <w:tr w14:paraId="05D8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2" w:type="dxa"/>
            <w:vAlign w:val="top"/>
          </w:tcPr>
          <w:p w14:paraId="2584372E">
            <w:pPr>
              <w:spacing w:line="272" w:lineRule="auto"/>
              <w:rPr>
                <w:rFonts w:ascii="Arial"/>
                <w:color w:val="auto"/>
                <w:sz w:val="21"/>
                <w:highlight w:val="none"/>
                <w:vertAlign w:val="baseline"/>
              </w:rPr>
            </w:pPr>
          </w:p>
        </w:tc>
        <w:tc>
          <w:tcPr>
            <w:tcW w:w="2578" w:type="dxa"/>
            <w:vAlign w:val="top"/>
          </w:tcPr>
          <w:p w14:paraId="057CFDE4">
            <w:pPr>
              <w:spacing w:line="272" w:lineRule="auto"/>
              <w:rPr>
                <w:rFonts w:ascii="Arial"/>
                <w:color w:val="auto"/>
                <w:sz w:val="21"/>
                <w:highlight w:val="none"/>
                <w:vertAlign w:val="baseline"/>
              </w:rPr>
            </w:pPr>
          </w:p>
        </w:tc>
        <w:tc>
          <w:tcPr>
            <w:tcW w:w="2476" w:type="dxa"/>
            <w:vAlign w:val="top"/>
          </w:tcPr>
          <w:p w14:paraId="3F82FD19">
            <w:pPr>
              <w:spacing w:line="272" w:lineRule="auto"/>
              <w:rPr>
                <w:rFonts w:ascii="Arial"/>
                <w:color w:val="auto"/>
                <w:sz w:val="21"/>
                <w:highlight w:val="none"/>
                <w:vertAlign w:val="baseline"/>
              </w:rPr>
            </w:pPr>
          </w:p>
        </w:tc>
        <w:tc>
          <w:tcPr>
            <w:tcW w:w="1993" w:type="dxa"/>
            <w:vAlign w:val="top"/>
          </w:tcPr>
          <w:p w14:paraId="16E53B59">
            <w:pPr>
              <w:spacing w:line="272" w:lineRule="auto"/>
              <w:rPr>
                <w:rFonts w:ascii="Arial"/>
                <w:color w:val="auto"/>
                <w:sz w:val="21"/>
                <w:highlight w:val="none"/>
                <w:vertAlign w:val="baseline"/>
              </w:rPr>
            </w:pPr>
          </w:p>
        </w:tc>
        <w:tc>
          <w:tcPr>
            <w:tcW w:w="1993" w:type="dxa"/>
            <w:vAlign w:val="top"/>
          </w:tcPr>
          <w:p w14:paraId="6FCAD5B1">
            <w:pPr>
              <w:spacing w:line="272" w:lineRule="auto"/>
              <w:rPr>
                <w:rFonts w:ascii="Arial"/>
                <w:color w:val="auto"/>
                <w:sz w:val="21"/>
                <w:highlight w:val="none"/>
                <w:vertAlign w:val="baseline"/>
              </w:rPr>
            </w:pPr>
          </w:p>
        </w:tc>
      </w:tr>
      <w:tr w14:paraId="3413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2" w:type="dxa"/>
            <w:vAlign w:val="top"/>
          </w:tcPr>
          <w:p w14:paraId="7E45B87D">
            <w:pPr>
              <w:spacing w:line="272" w:lineRule="auto"/>
              <w:rPr>
                <w:rFonts w:ascii="Arial"/>
                <w:color w:val="auto"/>
                <w:sz w:val="21"/>
                <w:highlight w:val="none"/>
                <w:vertAlign w:val="baseline"/>
              </w:rPr>
            </w:pPr>
          </w:p>
        </w:tc>
        <w:tc>
          <w:tcPr>
            <w:tcW w:w="2578" w:type="dxa"/>
            <w:vAlign w:val="top"/>
          </w:tcPr>
          <w:p w14:paraId="760AA62B">
            <w:pPr>
              <w:spacing w:line="272" w:lineRule="auto"/>
              <w:rPr>
                <w:rFonts w:ascii="Arial"/>
                <w:color w:val="auto"/>
                <w:sz w:val="21"/>
                <w:highlight w:val="none"/>
                <w:vertAlign w:val="baseline"/>
              </w:rPr>
            </w:pPr>
          </w:p>
        </w:tc>
        <w:tc>
          <w:tcPr>
            <w:tcW w:w="2476" w:type="dxa"/>
            <w:vAlign w:val="top"/>
          </w:tcPr>
          <w:p w14:paraId="4823D8EA">
            <w:pPr>
              <w:spacing w:line="272" w:lineRule="auto"/>
              <w:rPr>
                <w:rFonts w:ascii="Arial"/>
                <w:color w:val="auto"/>
                <w:sz w:val="21"/>
                <w:highlight w:val="none"/>
                <w:vertAlign w:val="baseline"/>
              </w:rPr>
            </w:pPr>
          </w:p>
        </w:tc>
        <w:tc>
          <w:tcPr>
            <w:tcW w:w="1993" w:type="dxa"/>
            <w:vAlign w:val="top"/>
          </w:tcPr>
          <w:p w14:paraId="3DE05AD5">
            <w:pPr>
              <w:spacing w:line="272" w:lineRule="auto"/>
              <w:rPr>
                <w:rFonts w:ascii="Arial"/>
                <w:color w:val="auto"/>
                <w:sz w:val="21"/>
                <w:highlight w:val="none"/>
                <w:vertAlign w:val="baseline"/>
              </w:rPr>
            </w:pPr>
          </w:p>
        </w:tc>
        <w:tc>
          <w:tcPr>
            <w:tcW w:w="1993" w:type="dxa"/>
            <w:vAlign w:val="top"/>
          </w:tcPr>
          <w:p w14:paraId="0FA02B6C">
            <w:pPr>
              <w:spacing w:line="272" w:lineRule="auto"/>
              <w:rPr>
                <w:rFonts w:ascii="Arial"/>
                <w:color w:val="auto"/>
                <w:sz w:val="21"/>
                <w:highlight w:val="none"/>
                <w:vertAlign w:val="baseline"/>
              </w:rPr>
            </w:pPr>
          </w:p>
        </w:tc>
      </w:tr>
      <w:tr w14:paraId="5D17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2" w:type="dxa"/>
            <w:vAlign w:val="top"/>
          </w:tcPr>
          <w:p w14:paraId="36CD84F6">
            <w:pPr>
              <w:spacing w:line="272" w:lineRule="auto"/>
              <w:rPr>
                <w:rFonts w:ascii="Arial"/>
                <w:color w:val="auto"/>
                <w:sz w:val="21"/>
                <w:highlight w:val="none"/>
                <w:vertAlign w:val="baseline"/>
              </w:rPr>
            </w:pPr>
          </w:p>
        </w:tc>
        <w:tc>
          <w:tcPr>
            <w:tcW w:w="2578" w:type="dxa"/>
            <w:vAlign w:val="top"/>
          </w:tcPr>
          <w:p w14:paraId="72E85151">
            <w:pPr>
              <w:spacing w:line="272" w:lineRule="auto"/>
              <w:rPr>
                <w:rFonts w:ascii="Arial"/>
                <w:color w:val="auto"/>
                <w:sz w:val="21"/>
                <w:highlight w:val="none"/>
                <w:vertAlign w:val="baseline"/>
              </w:rPr>
            </w:pPr>
          </w:p>
        </w:tc>
        <w:tc>
          <w:tcPr>
            <w:tcW w:w="2476" w:type="dxa"/>
            <w:vAlign w:val="top"/>
          </w:tcPr>
          <w:p w14:paraId="63ED2E6A">
            <w:pPr>
              <w:spacing w:line="272" w:lineRule="auto"/>
              <w:rPr>
                <w:rFonts w:ascii="Arial"/>
                <w:color w:val="auto"/>
                <w:sz w:val="21"/>
                <w:highlight w:val="none"/>
                <w:vertAlign w:val="baseline"/>
              </w:rPr>
            </w:pPr>
          </w:p>
        </w:tc>
        <w:tc>
          <w:tcPr>
            <w:tcW w:w="1993" w:type="dxa"/>
            <w:vAlign w:val="top"/>
          </w:tcPr>
          <w:p w14:paraId="2B0083A5">
            <w:pPr>
              <w:spacing w:line="272" w:lineRule="auto"/>
              <w:rPr>
                <w:rFonts w:ascii="Arial"/>
                <w:color w:val="auto"/>
                <w:sz w:val="21"/>
                <w:highlight w:val="none"/>
                <w:vertAlign w:val="baseline"/>
              </w:rPr>
            </w:pPr>
          </w:p>
        </w:tc>
        <w:tc>
          <w:tcPr>
            <w:tcW w:w="1993" w:type="dxa"/>
            <w:vAlign w:val="top"/>
          </w:tcPr>
          <w:p w14:paraId="43739884">
            <w:pPr>
              <w:spacing w:line="272" w:lineRule="auto"/>
              <w:rPr>
                <w:rFonts w:ascii="Arial"/>
                <w:color w:val="auto"/>
                <w:sz w:val="21"/>
                <w:highlight w:val="none"/>
                <w:vertAlign w:val="baseline"/>
              </w:rPr>
            </w:pPr>
          </w:p>
        </w:tc>
      </w:tr>
      <w:tr w14:paraId="34F4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2" w:type="dxa"/>
            <w:vAlign w:val="top"/>
          </w:tcPr>
          <w:p w14:paraId="2B5E60AA">
            <w:pPr>
              <w:spacing w:line="272" w:lineRule="auto"/>
              <w:rPr>
                <w:rFonts w:ascii="Arial"/>
                <w:color w:val="auto"/>
                <w:sz w:val="21"/>
                <w:highlight w:val="none"/>
                <w:vertAlign w:val="baseline"/>
              </w:rPr>
            </w:pPr>
          </w:p>
        </w:tc>
        <w:tc>
          <w:tcPr>
            <w:tcW w:w="2578" w:type="dxa"/>
            <w:vAlign w:val="top"/>
          </w:tcPr>
          <w:p w14:paraId="55A4532E">
            <w:pPr>
              <w:spacing w:line="272" w:lineRule="auto"/>
              <w:rPr>
                <w:rFonts w:ascii="Arial"/>
                <w:color w:val="auto"/>
                <w:sz w:val="21"/>
                <w:highlight w:val="none"/>
                <w:vertAlign w:val="baseline"/>
              </w:rPr>
            </w:pPr>
          </w:p>
        </w:tc>
        <w:tc>
          <w:tcPr>
            <w:tcW w:w="2476" w:type="dxa"/>
            <w:vAlign w:val="top"/>
          </w:tcPr>
          <w:p w14:paraId="2B79AF5E">
            <w:pPr>
              <w:spacing w:line="272" w:lineRule="auto"/>
              <w:rPr>
                <w:rFonts w:ascii="Arial"/>
                <w:color w:val="auto"/>
                <w:sz w:val="21"/>
                <w:highlight w:val="none"/>
                <w:vertAlign w:val="baseline"/>
              </w:rPr>
            </w:pPr>
          </w:p>
        </w:tc>
        <w:tc>
          <w:tcPr>
            <w:tcW w:w="1993" w:type="dxa"/>
            <w:vAlign w:val="top"/>
          </w:tcPr>
          <w:p w14:paraId="696AB92F">
            <w:pPr>
              <w:spacing w:line="272" w:lineRule="auto"/>
              <w:rPr>
                <w:rFonts w:ascii="Arial"/>
                <w:color w:val="auto"/>
                <w:sz w:val="21"/>
                <w:highlight w:val="none"/>
                <w:vertAlign w:val="baseline"/>
              </w:rPr>
            </w:pPr>
          </w:p>
        </w:tc>
        <w:tc>
          <w:tcPr>
            <w:tcW w:w="1993" w:type="dxa"/>
            <w:vAlign w:val="top"/>
          </w:tcPr>
          <w:p w14:paraId="07716A63">
            <w:pPr>
              <w:spacing w:line="272" w:lineRule="auto"/>
              <w:rPr>
                <w:rFonts w:ascii="Arial"/>
                <w:color w:val="auto"/>
                <w:sz w:val="21"/>
                <w:highlight w:val="none"/>
                <w:vertAlign w:val="baseline"/>
              </w:rPr>
            </w:pPr>
          </w:p>
        </w:tc>
      </w:tr>
      <w:tr w14:paraId="7486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2" w:type="dxa"/>
            <w:vAlign w:val="top"/>
          </w:tcPr>
          <w:p w14:paraId="7188C1F1">
            <w:pPr>
              <w:spacing w:line="272" w:lineRule="auto"/>
              <w:rPr>
                <w:rFonts w:ascii="Arial"/>
                <w:color w:val="auto"/>
                <w:sz w:val="21"/>
                <w:highlight w:val="none"/>
                <w:vertAlign w:val="baseline"/>
              </w:rPr>
            </w:pPr>
          </w:p>
        </w:tc>
        <w:tc>
          <w:tcPr>
            <w:tcW w:w="2578" w:type="dxa"/>
            <w:vAlign w:val="top"/>
          </w:tcPr>
          <w:p w14:paraId="19417C4F">
            <w:pPr>
              <w:spacing w:line="272" w:lineRule="auto"/>
              <w:rPr>
                <w:rFonts w:ascii="Arial"/>
                <w:color w:val="auto"/>
                <w:sz w:val="21"/>
                <w:highlight w:val="none"/>
                <w:vertAlign w:val="baseline"/>
              </w:rPr>
            </w:pPr>
          </w:p>
        </w:tc>
        <w:tc>
          <w:tcPr>
            <w:tcW w:w="2476" w:type="dxa"/>
            <w:vAlign w:val="top"/>
          </w:tcPr>
          <w:p w14:paraId="4AD621F8">
            <w:pPr>
              <w:spacing w:line="272" w:lineRule="auto"/>
              <w:rPr>
                <w:rFonts w:ascii="Arial"/>
                <w:color w:val="auto"/>
                <w:sz w:val="21"/>
                <w:highlight w:val="none"/>
                <w:vertAlign w:val="baseline"/>
              </w:rPr>
            </w:pPr>
          </w:p>
        </w:tc>
        <w:tc>
          <w:tcPr>
            <w:tcW w:w="1993" w:type="dxa"/>
            <w:vAlign w:val="top"/>
          </w:tcPr>
          <w:p w14:paraId="29505AA0">
            <w:pPr>
              <w:spacing w:line="272" w:lineRule="auto"/>
              <w:rPr>
                <w:rFonts w:ascii="Arial"/>
                <w:color w:val="auto"/>
                <w:sz w:val="21"/>
                <w:highlight w:val="none"/>
                <w:vertAlign w:val="baseline"/>
              </w:rPr>
            </w:pPr>
          </w:p>
        </w:tc>
        <w:tc>
          <w:tcPr>
            <w:tcW w:w="1993" w:type="dxa"/>
            <w:vAlign w:val="top"/>
          </w:tcPr>
          <w:p w14:paraId="60050B8C">
            <w:pPr>
              <w:spacing w:line="272" w:lineRule="auto"/>
              <w:rPr>
                <w:rFonts w:ascii="Arial"/>
                <w:color w:val="auto"/>
                <w:sz w:val="21"/>
                <w:highlight w:val="none"/>
                <w:vertAlign w:val="baseline"/>
              </w:rPr>
            </w:pPr>
          </w:p>
        </w:tc>
      </w:tr>
      <w:tr w14:paraId="3959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2" w:type="dxa"/>
            <w:vAlign w:val="top"/>
          </w:tcPr>
          <w:p w14:paraId="348AC5FD">
            <w:pPr>
              <w:spacing w:line="272" w:lineRule="auto"/>
              <w:rPr>
                <w:rFonts w:ascii="Arial"/>
                <w:color w:val="auto"/>
                <w:sz w:val="21"/>
                <w:highlight w:val="none"/>
                <w:vertAlign w:val="baseline"/>
              </w:rPr>
            </w:pPr>
          </w:p>
        </w:tc>
        <w:tc>
          <w:tcPr>
            <w:tcW w:w="2578" w:type="dxa"/>
            <w:vAlign w:val="top"/>
          </w:tcPr>
          <w:p w14:paraId="12D8A733">
            <w:pPr>
              <w:spacing w:line="272" w:lineRule="auto"/>
              <w:rPr>
                <w:rFonts w:ascii="Arial"/>
                <w:color w:val="auto"/>
                <w:sz w:val="21"/>
                <w:highlight w:val="none"/>
                <w:vertAlign w:val="baseline"/>
              </w:rPr>
            </w:pPr>
          </w:p>
        </w:tc>
        <w:tc>
          <w:tcPr>
            <w:tcW w:w="2476" w:type="dxa"/>
            <w:vAlign w:val="top"/>
          </w:tcPr>
          <w:p w14:paraId="315A898C">
            <w:pPr>
              <w:spacing w:line="272" w:lineRule="auto"/>
              <w:rPr>
                <w:rFonts w:ascii="Arial"/>
                <w:color w:val="auto"/>
                <w:sz w:val="21"/>
                <w:highlight w:val="none"/>
                <w:vertAlign w:val="baseline"/>
              </w:rPr>
            </w:pPr>
          </w:p>
        </w:tc>
        <w:tc>
          <w:tcPr>
            <w:tcW w:w="1993" w:type="dxa"/>
            <w:vAlign w:val="top"/>
          </w:tcPr>
          <w:p w14:paraId="021B3C6E">
            <w:pPr>
              <w:spacing w:line="272" w:lineRule="auto"/>
              <w:rPr>
                <w:rFonts w:ascii="Arial"/>
                <w:color w:val="auto"/>
                <w:sz w:val="21"/>
                <w:highlight w:val="none"/>
                <w:vertAlign w:val="baseline"/>
              </w:rPr>
            </w:pPr>
          </w:p>
        </w:tc>
        <w:tc>
          <w:tcPr>
            <w:tcW w:w="1993" w:type="dxa"/>
            <w:vAlign w:val="top"/>
          </w:tcPr>
          <w:p w14:paraId="7EEBC830">
            <w:pPr>
              <w:spacing w:line="272" w:lineRule="auto"/>
              <w:rPr>
                <w:rFonts w:ascii="Arial"/>
                <w:color w:val="auto"/>
                <w:sz w:val="21"/>
                <w:highlight w:val="none"/>
                <w:vertAlign w:val="baseline"/>
              </w:rPr>
            </w:pPr>
          </w:p>
        </w:tc>
      </w:tr>
      <w:tr w14:paraId="1A35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2" w:type="dxa"/>
            <w:vAlign w:val="top"/>
          </w:tcPr>
          <w:p w14:paraId="7106ABD8">
            <w:pPr>
              <w:spacing w:line="272" w:lineRule="auto"/>
              <w:rPr>
                <w:rFonts w:ascii="Arial"/>
                <w:color w:val="auto"/>
                <w:sz w:val="21"/>
                <w:highlight w:val="none"/>
                <w:vertAlign w:val="baseline"/>
              </w:rPr>
            </w:pPr>
          </w:p>
        </w:tc>
        <w:tc>
          <w:tcPr>
            <w:tcW w:w="2578" w:type="dxa"/>
            <w:vAlign w:val="top"/>
          </w:tcPr>
          <w:p w14:paraId="36C44BA3">
            <w:pPr>
              <w:spacing w:line="272" w:lineRule="auto"/>
              <w:rPr>
                <w:rFonts w:ascii="Arial"/>
                <w:color w:val="auto"/>
                <w:sz w:val="21"/>
                <w:highlight w:val="none"/>
                <w:vertAlign w:val="baseline"/>
              </w:rPr>
            </w:pPr>
          </w:p>
        </w:tc>
        <w:tc>
          <w:tcPr>
            <w:tcW w:w="2476" w:type="dxa"/>
            <w:vAlign w:val="top"/>
          </w:tcPr>
          <w:p w14:paraId="1542798E">
            <w:pPr>
              <w:spacing w:line="272" w:lineRule="auto"/>
              <w:rPr>
                <w:rFonts w:ascii="Arial"/>
                <w:color w:val="auto"/>
                <w:sz w:val="21"/>
                <w:highlight w:val="none"/>
                <w:vertAlign w:val="baseline"/>
              </w:rPr>
            </w:pPr>
          </w:p>
        </w:tc>
        <w:tc>
          <w:tcPr>
            <w:tcW w:w="1993" w:type="dxa"/>
            <w:vAlign w:val="top"/>
          </w:tcPr>
          <w:p w14:paraId="7B186021">
            <w:pPr>
              <w:spacing w:line="272" w:lineRule="auto"/>
              <w:rPr>
                <w:rFonts w:ascii="Arial"/>
                <w:color w:val="auto"/>
                <w:sz w:val="21"/>
                <w:highlight w:val="none"/>
                <w:vertAlign w:val="baseline"/>
              </w:rPr>
            </w:pPr>
          </w:p>
        </w:tc>
        <w:tc>
          <w:tcPr>
            <w:tcW w:w="1993" w:type="dxa"/>
            <w:vAlign w:val="top"/>
          </w:tcPr>
          <w:p w14:paraId="68E2F717">
            <w:pPr>
              <w:spacing w:line="272" w:lineRule="auto"/>
              <w:rPr>
                <w:rFonts w:ascii="Arial"/>
                <w:color w:val="auto"/>
                <w:sz w:val="21"/>
                <w:highlight w:val="none"/>
                <w:vertAlign w:val="baseline"/>
              </w:rPr>
            </w:pPr>
          </w:p>
        </w:tc>
      </w:tr>
    </w:tbl>
    <w:p w14:paraId="42EF78F4">
      <w:pPr>
        <w:adjustRightInd w:val="0"/>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注：与采购文件中“第三部分 服务标准和要求”逐条对应填写，“偏离情况”填写“正偏离”或“负偏离”或“无偏离”。</w:t>
      </w:r>
    </w:p>
    <w:p w14:paraId="69B3B9AA">
      <w:pPr>
        <w:spacing w:line="277" w:lineRule="auto"/>
        <w:rPr>
          <w:rFonts w:ascii="Arial"/>
          <w:color w:val="auto"/>
          <w:sz w:val="21"/>
          <w:highlight w:val="none"/>
        </w:rPr>
      </w:pPr>
    </w:p>
    <w:p w14:paraId="7119E818">
      <w:pPr>
        <w:tabs>
          <w:tab w:val="left" w:pos="146"/>
        </w:tabs>
        <w:spacing w:before="184" w:line="360" w:lineRule="auto"/>
        <w:ind w:left="11" w:right="48" w:firstLine="493"/>
        <w:rPr>
          <w:rFonts w:ascii="宋体" w:hAnsi="宋体" w:eastAsia="宋体" w:cs="宋体"/>
          <w:color w:val="auto"/>
          <w:spacing w:val="8"/>
          <w:sz w:val="24"/>
          <w:szCs w:val="24"/>
          <w:highlight w:val="none"/>
        </w:rPr>
      </w:pPr>
      <w:r>
        <w:rPr>
          <w:rFonts w:hint="eastAsia" w:ascii="宋体" w:hAnsi="宋体" w:cs="宋体"/>
          <w:color w:val="auto"/>
          <w:sz w:val="24"/>
          <w:highlight w:val="none"/>
          <w:lang w:val="en-US" w:eastAsia="zh-CN"/>
        </w:rPr>
        <w:t>投标人名称</w:t>
      </w:r>
      <w:r>
        <w:rPr>
          <w:rFonts w:hint="eastAsia" w:ascii="宋体" w:hAnsi="宋体" w:eastAsia="宋体" w:cs="宋体"/>
          <w:b w:val="0"/>
          <w:bCs w:val="0"/>
          <w:color w:val="auto"/>
          <w:kern w:val="0"/>
          <w:sz w:val="24"/>
          <w:szCs w:val="24"/>
          <w:highlight w:val="none"/>
        </w:rPr>
        <w:t>（公章）：</w:t>
      </w:r>
      <w:r>
        <w:rPr>
          <w:rFonts w:ascii="宋体" w:hAnsi="宋体" w:eastAsia="宋体" w:cs="宋体"/>
          <w:color w:val="auto"/>
          <w:spacing w:val="8"/>
          <w:sz w:val="24"/>
          <w:szCs w:val="24"/>
          <w:highlight w:val="none"/>
          <w:u w:val="single"/>
        </w:rPr>
        <w:t xml:space="preserve">                           </w:t>
      </w:r>
    </w:p>
    <w:p w14:paraId="3D7F8B95">
      <w:pPr>
        <w:tabs>
          <w:tab w:val="left" w:pos="146"/>
        </w:tabs>
        <w:spacing w:before="184" w:line="360" w:lineRule="auto"/>
        <w:ind w:left="11" w:right="48" w:firstLine="493"/>
        <w:rPr>
          <w:rFonts w:hint="eastAsia" w:ascii="宋体" w:hAnsi="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委托代理人（签字或盖章）：</w:t>
      </w:r>
      <w:r>
        <w:rPr>
          <w:rFonts w:hint="eastAsia" w:ascii="宋体" w:hAnsi="宋体" w:cs="宋体"/>
          <w:b w:val="0"/>
          <w:bCs w:val="0"/>
          <w:color w:val="auto"/>
          <w:kern w:val="0"/>
          <w:sz w:val="24"/>
          <w:szCs w:val="24"/>
          <w:highlight w:val="none"/>
          <w:u w:val="single"/>
          <w:lang w:val="en-US" w:eastAsia="zh-CN"/>
        </w:rPr>
        <w:t xml:space="preserve">                   </w:t>
      </w:r>
    </w:p>
    <w:p w14:paraId="33CD92DE">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b w:val="0"/>
          <w:bCs w:val="0"/>
          <w:color w:val="auto"/>
          <w:kern w:val="0"/>
          <w:sz w:val="24"/>
          <w:szCs w:val="24"/>
          <w:highlight w:val="none"/>
        </w:rPr>
      </w:pPr>
    </w:p>
    <w:p w14:paraId="248AF5A1">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14:paraId="25BA823F">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br w:type="page"/>
      </w:r>
      <w:bookmarkStart w:id="460" w:name="_Toc21161"/>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四</w:t>
      </w:r>
      <w:r>
        <w:rPr>
          <w:rFonts w:hint="eastAsia" w:ascii="Times New Roman" w:hAnsi="Times New Roman" w:eastAsia="宋体" w:cs="Times New Roman"/>
          <w:color w:val="auto"/>
          <w:sz w:val="24"/>
          <w:szCs w:val="24"/>
          <w:highlight w:val="none"/>
          <w:lang w:eastAsia="zh-CN"/>
        </w:rPr>
        <w:t>）商务条款偏离表</w:t>
      </w:r>
      <w:bookmarkEnd w:id="458"/>
      <w:bookmarkEnd w:id="459"/>
      <w:bookmarkEnd w:id="460"/>
    </w:p>
    <w:p w14:paraId="619A09F9">
      <w:pPr>
        <w:spacing w:line="400" w:lineRule="atLeast"/>
        <w:ind w:left="2880" w:hanging="2880"/>
        <w:outlineLvl w:val="9"/>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72F92F0C">
      <w:pPr>
        <w:tabs>
          <w:tab w:val="center" w:pos="4252"/>
        </w:tabs>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u w:val="single"/>
          <w:lang w:val="en-US" w:eastAsia="zh-CN"/>
        </w:rPr>
        <w:t xml:space="preserve">                  </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938"/>
        <w:gridCol w:w="3028"/>
        <w:gridCol w:w="2598"/>
      </w:tblGrid>
      <w:tr w14:paraId="2326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797" w:type="dxa"/>
            <w:noWrap w:val="0"/>
            <w:vAlign w:val="center"/>
          </w:tcPr>
          <w:p w14:paraId="6041C3AA">
            <w:pPr>
              <w:spacing w:line="400" w:lineRule="atLeast"/>
              <w:jc w:val="center"/>
              <w:outlineLvl w:val="9"/>
              <w:rPr>
                <w:rFonts w:hint="eastAsia" w:ascii="宋体" w:hAnsi="宋体" w:cs="宋体"/>
                <w:color w:val="auto"/>
                <w:sz w:val="24"/>
                <w:highlight w:val="none"/>
              </w:rPr>
            </w:pPr>
            <w:r>
              <w:rPr>
                <w:rFonts w:hint="eastAsia" w:ascii="宋体" w:hAnsi="宋体" w:cs="宋体"/>
                <w:color w:val="auto"/>
                <w:sz w:val="24"/>
                <w:highlight w:val="none"/>
              </w:rPr>
              <w:t>序号</w:t>
            </w:r>
          </w:p>
        </w:tc>
        <w:tc>
          <w:tcPr>
            <w:tcW w:w="2938" w:type="dxa"/>
            <w:noWrap w:val="0"/>
            <w:vAlign w:val="center"/>
          </w:tcPr>
          <w:p w14:paraId="26A10BFD">
            <w:pPr>
              <w:spacing w:line="400" w:lineRule="atLeast"/>
              <w:jc w:val="center"/>
              <w:outlineLvl w:val="9"/>
              <w:rPr>
                <w:rFonts w:hint="eastAsia" w:ascii="宋体" w:hAnsi="宋体" w:cs="宋体"/>
                <w:color w:val="auto"/>
                <w:sz w:val="24"/>
                <w:highlight w:val="none"/>
              </w:rPr>
            </w:pPr>
            <w:r>
              <w:rPr>
                <w:rFonts w:hint="eastAsia" w:ascii="宋体" w:hAnsi="宋体" w:cs="宋体"/>
                <w:color w:val="auto"/>
                <w:sz w:val="24"/>
                <w:highlight w:val="none"/>
              </w:rPr>
              <w:t>招标文件的商务条款</w:t>
            </w:r>
          </w:p>
        </w:tc>
        <w:tc>
          <w:tcPr>
            <w:tcW w:w="3028" w:type="dxa"/>
            <w:noWrap w:val="0"/>
            <w:vAlign w:val="center"/>
          </w:tcPr>
          <w:p w14:paraId="3FE68176">
            <w:pPr>
              <w:spacing w:line="400" w:lineRule="atLeast"/>
              <w:jc w:val="center"/>
              <w:outlineLvl w:val="9"/>
              <w:rPr>
                <w:rFonts w:hint="eastAsia" w:ascii="宋体" w:hAnsi="宋体" w:cs="宋体"/>
                <w:color w:val="auto"/>
                <w:sz w:val="24"/>
                <w:highlight w:val="none"/>
              </w:rPr>
            </w:pP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的商务条款</w:t>
            </w:r>
          </w:p>
        </w:tc>
        <w:tc>
          <w:tcPr>
            <w:tcW w:w="2598" w:type="dxa"/>
            <w:noWrap w:val="0"/>
            <w:vAlign w:val="center"/>
          </w:tcPr>
          <w:p w14:paraId="47F6B3B0">
            <w:pPr>
              <w:spacing w:line="400" w:lineRule="atLeast"/>
              <w:jc w:val="center"/>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偏离情况</w:t>
            </w:r>
          </w:p>
        </w:tc>
      </w:tr>
      <w:tr w14:paraId="1C85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3C6A7874">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04B6FEA6">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46C0B71C">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20711040">
            <w:pPr>
              <w:spacing w:line="400" w:lineRule="atLeast"/>
              <w:jc w:val="center"/>
              <w:outlineLvl w:val="9"/>
              <w:rPr>
                <w:rFonts w:hint="eastAsia" w:ascii="宋体" w:hAnsi="宋体" w:cs="宋体"/>
                <w:color w:val="auto"/>
                <w:sz w:val="24"/>
                <w:highlight w:val="none"/>
              </w:rPr>
            </w:pPr>
          </w:p>
        </w:tc>
      </w:tr>
      <w:tr w14:paraId="2957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40F327E6">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134AFA3D">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343451D3">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7ED6C4A2">
            <w:pPr>
              <w:spacing w:line="400" w:lineRule="atLeast"/>
              <w:jc w:val="center"/>
              <w:outlineLvl w:val="9"/>
              <w:rPr>
                <w:rFonts w:hint="eastAsia" w:ascii="宋体" w:hAnsi="宋体" w:cs="宋体"/>
                <w:color w:val="auto"/>
                <w:sz w:val="24"/>
                <w:highlight w:val="none"/>
              </w:rPr>
            </w:pPr>
          </w:p>
        </w:tc>
      </w:tr>
      <w:tr w14:paraId="0325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72CF7C98">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275CAC52">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0ABB7632">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043227F6">
            <w:pPr>
              <w:spacing w:line="400" w:lineRule="atLeast"/>
              <w:jc w:val="center"/>
              <w:outlineLvl w:val="9"/>
              <w:rPr>
                <w:rFonts w:hint="eastAsia" w:ascii="宋体" w:hAnsi="宋体" w:cs="宋体"/>
                <w:color w:val="auto"/>
                <w:sz w:val="24"/>
                <w:highlight w:val="none"/>
              </w:rPr>
            </w:pPr>
          </w:p>
        </w:tc>
      </w:tr>
      <w:tr w14:paraId="3244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7749DC78">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2EF91C7F">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3C31A1FA">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40A38AED">
            <w:pPr>
              <w:spacing w:line="400" w:lineRule="atLeast"/>
              <w:jc w:val="center"/>
              <w:outlineLvl w:val="9"/>
              <w:rPr>
                <w:rFonts w:hint="eastAsia" w:ascii="宋体" w:hAnsi="宋体" w:cs="宋体"/>
                <w:color w:val="auto"/>
                <w:sz w:val="24"/>
                <w:highlight w:val="none"/>
              </w:rPr>
            </w:pPr>
          </w:p>
        </w:tc>
      </w:tr>
      <w:tr w14:paraId="2C63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229B03CE">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7A2968F3">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41EE297E">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32FB7355">
            <w:pPr>
              <w:spacing w:line="400" w:lineRule="atLeast"/>
              <w:jc w:val="center"/>
              <w:outlineLvl w:val="9"/>
              <w:rPr>
                <w:rFonts w:hint="eastAsia" w:ascii="宋体" w:hAnsi="宋体" w:cs="宋体"/>
                <w:color w:val="auto"/>
                <w:sz w:val="24"/>
                <w:highlight w:val="none"/>
              </w:rPr>
            </w:pPr>
          </w:p>
        </w:tc>
      </w:tr>
      <w:tr w14:paraId="64B2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3795E087">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5A942BA4">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434C1F29">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1D010CC8">
            <w:pPr>
              <w:spacing w:line="400" w:lineRule="atLeast"/>
              <w:jc w:val="center"/>
              <w:outlineLvl w:val="9"/>
              <w:rPr>
                <w:rFonts w:hint="eastAsia" w:ascii="宋体" w:hAnsi="宋体" w:cs="宋体"/>
                <w:color w:val="auto"/>
                <w:sz w:val="24"/>
                <w:highlight w:val="none"/>
              </w:rPr>
            </w:pPr>
          </w:p>
        </w:tc>
      </w:tr>
      <w:tr w14:paraId="722D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3298144B">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31252C81">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7F942EFE">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1906875C">
            <w:pPr>
              <w:spacing w:line="400" w:lineRule="atLeast"/>
              <w:jc w:val="center"/>
              <w:outlineLvl w:val="9"/>
              <w:rPr>
                <w:rFonts w:hint="eastAsia" w:ascii="宋体" w:hAnsi="宋体" w:cs="宋体"/>
                <w:color w:val="auto"/>
                <w:sz w:val="24"/>
                <w:highlight w:val="none"/>
              </w:rPr>
            </w:pPr>
          </w:p>
        </w:tc>
      </w:tr>
      <w:tr w14:paraId="5E11F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06B53474">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0A288852">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6DE11BEC">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02108CD6">
            <w:pPr>
              <w:spacing w:line="400" w:lineRule="atLeast"/>
              <w:jc w:val="center"/>
              <w:outlineLvl w:val="9"/>
              <w:rPr>
                <w:rFonts w:hint="eastAsia" w:ascii="宋体" w:hAnsi="宋体" w:cs="宋体"/>
                <w:color w:val="auto"/>
                <w:sz w:val="24"/>
                <w:highlight w:val="none"/>
              </w:rPr>
            </w:pPr>
          </w:p>
        </w:tc>
      </w:tr>
      <w:tr w14:paraId="59B9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0AAF4297">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20CA0A55">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10ED00F7">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2F2E288E">
            <w:pPr>
              <w:spacing w:line="400" w:lineRule="atLeast"/>
              <w:jc w:val="center"/>
              <w:outlineLvl w:val="9"/>
              <w:rPr>
                <w:rFonts w:hint="eastAsia" w:ascii="宋体" w:hAnsi="宋体" w:cs="宋体"/>
                <w:color w:val="auto"/>
                <w:sz w:val="24"/>
                <w:highlight w:val="none"/>
              </w:rPr>
            </w:pPr>
          </w:p>
        </w:tc>
      </w:tr>
      <w:tr w14:paraId="6875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666FCB78">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7F40CB90">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4043003E">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6D202C08">
            <w:pPr>
              <w:spacing w:line="400" w:lineRule="atLeast"/>
              <w:jc w:val="center"/>
              <w:outlineLvl w:val="9"/>
              <w:rPr>
                <w:rFonts w:hint="eastAsia" w:ascii="宋体" w:hAnsi="宋体" w:cs="宋体"/>
                <w:color w:val="auto"/>
                <w:sz w:val="24"/>
                <w:highlight w:val="none"/>
              </w:rPr>
            </w:pPr>
          </w:p>
        </w:tc>
      </w:tr>
      <w:tr w14:paraId="7EC5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0EE0873C">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454D2704">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13234499">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169A1138">
            <w:pPr>
              <w:spacing w:line="400" w:lineRule="atLeast"/>
              <w:jc w:val="center"/>
              <w:outlineLvl w:val="9"/>
              <w:rPr>
                <w:rFonts w:hint="eastAsia" w:ascii="宋体" w:hAnsi="宋体" w:cs="宋体"/>
                <w:color w:val="auto"/>
                <w:sz w:val="24"/>
                <w:highlight w:val="none"/>
              </w:rPr>
            </w:pPr>
          </w:p>
        </w:tc>
      </w:tr>
      <w:tr w14:paraId="3C944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4C2153B4">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3C64DB73">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4473DAFC">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5E9E0FAB">
            <w:pPr>
              <w:spacing w:line="400" w:lineRule="atLeast"/>
              <w:jc w:val="center"/>
              <w:outlineLvl w:val="9"/>
              <w:rPr>
                <w:rFonts w:hint="eastAsia" w:ascii="宋体" w:hAnsi="宋体" w:cs="宋体"/>
                <w:color w:val="auto"/>
                <w:sz w:val="24"/>
                <w:highlight w:val="none"/>
              </w:rPr>
            </w:pPr>
          </w:p>
        </w:tc>
      </w:tr>
      <w:tr w14:paraId="6A97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797" w:type="dxa"/>
            <w:noWrap w:val="0"/>
            <w:vAlign w:val="top"/>
          </w:tcPr>
          <w:p w14:paraId="244480C8">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0085CF14">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632ABA04">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090FA42F">
            <w:pPr>
              <w:spacing w:line="400" w:lineRule="atLeast"/>
              <w:jc w:val="center"/>
              <w:outlineLvl w:val="9"/>
              <w:rPr>
                <w:rFonts w:hint="eastAsia" w:ascii="宋体" w:hAnsi="宋体" w:cs="宋体"/>
                <w:color w:val="auto"/>
                <w:sz w:val="24"/>
                <w:highlight w:val="none"/>
              </w:rPr>
            </w:pPr>
          </w:p>
        </w:tc>
      </w:tr>
    </w:tbl>
    <w:p w14:paraId="17C04FEF">
      <w:pPr>
        <w:spacing w:line="40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投标人对“第二部分”</w:t>
      </w:r>
      <w:r>
        <w:rPr>
          <w:rFonts w:hint="eastAsia" w:asciiTheme="minorEastAsia" w:hAnsiTheme="minorEastAsia" w:eastAsiaTheme="minorEastAsia" w:cstheme="minorEastAsia"/>
          <w:sz w:val="24"/>
          <w:lang w:val="en-US" w:eastAsia="zh-CN"/>
        </w:rPr>
        <w:t>投标人</w:t>
      </w:r>
      <w:r>
        <w:rPr>
          <w:rFonts w:hint="eastAsia" w:asciiTheme="minorEastAsia" w:hAnsiTheme="minorEastAsia" w:eastAsiaTheme="minorEastAsia" w:cstheme="minorEastAsia"/>
          <w:sz w:val="24"/>
        </w:rPr>
        <w:t>须知中的合同履约限期、服务地点、服务标准、付款方式、</w:t>
      </w:r>
      <w:r>
        <w:rPr>
          <w:rFonts w:hint="eastAsia" w:asciiTheme="minorEastAsia" w:hAnsiTheme="minorEastAsia" w:eastAsiaTheme="minorEastAsia" w:cstheme="minorEastAsia"/>
          <w:sz w:val="24"/>
          <w:lang w:val="en-US" w:eastAsia="zh-CN"/>
        </w:rPr>
        <w:t>投标</w:t>
      </w:r>
      <w:r>
        <w:rPr>
          <w:rFonts w:hint="eastAsia" w:asciiTheme="minorEastAsia" w:hAnsiTheme="minorEastAsia" w:eastAsiaTheme="minorEastAsia" w:cstheme="minorEastAsia"/>
          <w:sz w:val="24"/>
        </w:rPr>
        <w:t>有效期等相关在内的条款，进行响应，有任何偏离（正偏离/负偏离），请在本表中详细填写，“偏离情况”填写“正偏离”或“负偏离”或“无偏 离”。</w:t>
      </w:r>
    </w:p>
    <w:p w14:paraId="5052DE8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p>
    <w:p w14:paraId="08BE188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p>
    <w:p w14:paraId="40F5DDCA">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cs="宋体"/>
          <w:b w:val="0"/>
          <w:bCs w:val="0"/>
          <w:color w:val="auto"/>
          <w:kern w:val="0"/>
          <w:sz w:val="24"/>
          <w:szCs w:val="24"/>
          <w:highlight w:val="none"/>
          <w:u w:val="single"/>
          <w:lang w:val="en-US" w:eastAsia="zh-CN"/>
        </w:rPr>
      </w:pPr>
      <w:r>
        <w:rPr>
          <w:rFonts w:hint="eastAsia" w:ascii="宋体" w:hAnsi="宋体" w:cs="宋体"/>
          <w:color w:val="auto"/>
          <w:sz w:val="24"/>
          <w:highlight w:val="none"/>
          <w:lang w:val="en-US" w:eastAsia="zh-CN"/>
        </w:rPr>
        <w:t>投标人名称</w:t>
      </w:r>
      <w:r>
        <w:rPr>
          <w:rFonts w:hint="eastAsia" w:ascii="宋体" w:hAnsi="宋体" w:eastAsia="宋体" w:cs="宋体"/>
          <w:b w:val="0"/>
          <w:bCs w:val="0"/>
          <w:color w:val="auto"/>
          <w:kern w:val="0"/>
          <w:sz w:val="24"/>
          <w:szCs w:val="24"/>
          <w:highlight w:val="none"/>
        </w:rPr>
        <w:t>（公章）：</w:t>
      </w:r>
      <w:r>
        <w:rPr>
          <w:rFonts w:hint="eastAsia" w:ascii="宋体" w:hAnsi="宋体" w:cs="宋体"/>
          <w:b w:val="0"/>
          <w:bCs w:val="0"/>
          <w:color w:val="auto"/>
          <w:kern w:val="0"/>
          <w:sz w:val="24"/>
          <w:szCs w:val="24"/>
          <w:highlight w:val="none"/>
          <w:u w:val="single"/>
          <w:lang w:val="en-US" w:eastAsia="zh-CN"/>
        </w:rPr>
        <w:t xml:space="preserve">                     </w:t>
      </w:r>
    </w:p>
    <w:p w14:paraId="3427D41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default"/>
          <w:color w:val="auto"/>
          <w:sz w:val="24"/>
          <w:szCs w:val="24"/>
          <w:highlight w:val="none"/>
          <w:lang w:val="en-US" w:eastAsia="zh-CN"/>
        </w:rPr>
      </w:pPr>
    </w:p>
    <w:p w14:paraId="0C636819">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委托代理人（签字或盖章）：</w:t>
      </w:r>
      <w:r>
        <w:rPr>
          <w:rFonts w:hint="eastAsia" w:ascii="宋体" w:hAnsi="宋体" w:cs="宋体"/>
          <w:b w:val="0"/>
          <w:bCs w:val="0"/>
          <w:color w:val="auto"/>
          <w:kern w:val="0"/>
          <w:sz w:val="24"/>
          <w:szCs w:val="24"/>
          <w:highlight w:val="none"/>
          <w:u w:val="single"/>
          <w:lang w:val="en-US" w:eastAsia="zh-CN"/>
        </w:rPr>
        <w:t xml:space="preserve">                   </w:t>
      </w:r>
    </w:p>
    <w:p w14:paraId="33ABEF6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color w:val="auto"/>
          <w:sz w:val="24"/>
          <w:szCs w:val="24"/>
          <w:highlight w:val="none"/>
        </w:rPr>
      </w:pPr>
    </w:p>
    <w:p w14:paraId="3987E3D5">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14:paraId="41B943A5">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color w:val="auto"/>
          <w:sz w:val="24"/>
          <w:szCs w:val="24"/>
          <w:highlight w:val="none"/>
          <w:lang w:val="en-US" w:eastAsia="zh-CN"/>
        </w:rPr>
      </w:pPr>
      <w:bookmarkStart w:id="461" w:name="_Toc17737"/>
      <w:bookmarkStart w:id="462" w:name="_Toc27634"/>
      <w:r>
        <w:rPr>
          <w:rFonts w:hint="eastAsia" w:ascii="Times New Roman" w:hAnsi="Times New Roman" w:eastAsia="宋体" w:cs="Times New Roman"/>
          <w:color w:val="auto"/>
          <w:sz w:val="24"/>
          <w:szCs w:val="24"/>
          <w:highlight w:val="none"/>
          <w:lang w:eastAsia="zh-CN"/>
        </w:rPr>
        <w:br w:type="page"/>
      </w:r>
    </w:p>
    <w:p w14:paraId="03547606">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default" w:ascii="Times New Roman" w:hAnsi="Times New Roman" w:eastAsia="宋体" w:cs="Times New Roman"/>
          <w:color w:val="auto"/>
          <w:sz w:val="24"/>
          <w:szCs w:val="24"/>
          <w:highlight w:val="none"/>
          <w:lang w:val="en-US" w:eastAsia="zh-CN"/>
        </w:rPr>
      </w:pPr>
      <w:bookmarkStart w:id="463" w:name="_Toc26473"/>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五</w:t>
      </w:r>
      <w:r>
        <w:rPr>
          <w:rFonts w:hint="eastAsia" w:ascii="Times New Roman" w:hAnsi="Times New Roman" w:eastAsia="宋体" w:cs="Times New Roman"/>
          <w:color w:val="auto"/>
          <w:sz w:val="24"/>
          <w:szCs w:val="24"/>
          <w:highlight w:val="none"/>
          <w:lang w:eastAsia="zh-CN"/>
        </w:rPr>
        <w:t>）</w:t>
      </w:r>
      <w:r>
        <w:rPr>
          <w:rFonts w:hint="eastAsia" w:ascii="宋体" w:hAnsi="宋体" w:cs="宋体"/>
          <w:color w:val="auto"/>
          <w:sz w:val="24"/>
          <w:highlight w:val="none"/>
          <w:lang w:val="en-US" w:eastAsia="zh-CN"/>
        </w:rPr>
        <w:t>投标人</w:t>
      </w:r>
      <w:r>
        <w:rPr>
          <w:rFonts w:hint="eastAsia" w:ascii="Times New Roman" w:hAnsi="Times New Roman" w:eastAsia="宋体" w:cs="Times New Roman"/>
          <w:color w:val="auto"/>
          <w:sz w:val="24"/>
          <w:szCs w:val="24"/>
          <w:highlight w:val="none"/>
          <w:lang w:eastAsia="zh-CN"/>
        </w:rPr>
        <w:t>近三年类似</w:t>
      </w:r>
      <w:r>
        <w:rPr>
          <w:rFonts w:hint="eastAsia" w:cs="Times New Roman"/>
          <w:color w:val="auto"/>
          <w:sz w:val="24"/>
          <w:szCs w:val="24"/>
          <w:highlight w:val="none"/>
          <w:lang w:val="en-US" w:eastAsia="zh-CN"/>
        </w:rPr>
        <w:t>项目</w:t>
      </w:r>
      <w:r>
        <w:rPr>
          <w:rFonts w:hint="eastAsia" w:ascii="Times New Roman" w:hAnsi="Times New Roman" w:eastAsia="宋体" w:cs="Times New Roman"/>
          <w:color w:val="auto"/>
          <w:sz w:val="24"/>
          <w:szCs w:val="24"/>
          <w:highlight w:val="none"/>
          <w:lang w:eastAsia="zh-CN"/>
        </w:rPr>
        <w:t>业绩</w:t>
      </w:r>
      <w:bookmarkEnd w:id="461"/>
      <w:bookmarkEnd w:id="462"/>
      <w:bookmarkEnd w:id="463"/>
    </w:p>
    <w:p w14:paraId="1FF9835D">
      <w:pPr>
        <w:spacing w:line="400" w:lineRule="atLeast"/>
        <w:ind w:left="2880" w:hanging="2880"/>
        <w:outlineLvl w:val="9"/>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57DA43FB">
      <w:pPr>
        <w:tabs>
          <w:tab w:val="center" w:pos="4252"/>
        </w:tabs>
        <w:outlineLvl w:val="9"/>
        <w:rPr>
          <w:rFonts w:hint="eastAsia" w:ascii="宋体" w:hAnsi="宋体" w:cs="宋体"/>
          <w:color w:val="auto"/>
          <w:sz w:val="24"/>
          <w:highlight w:val="none"/>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u w:val="single"/>
          <w:lang w:val="en-US" w:eastAsia="zh-CN"/>
        </w:rPr>
        <w:t xml:space="preserve">                  </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04"/>
        <w:gridCol w:w="1619"/>
        <w:gridCol w:w="1485"/>
        <w:gridCol w:w="1306"/>
        <w:gridCol w:w="1429"/>
        <w:gridCol w:w="1546"/>
        <w:gridCol w:w="1546"/>
      </w:tblGrid>
      <w:tr w14:paraId="769008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tcBorders>
              <w:top w:val="single" w:color="auto" w:sz="4" w:space="0"/>
            </w:tcBorders>
            <w:noWrap w:val="0"/>
            <w:vAlign w:val="center"/>
          </w:tcPr>
          <w:p w14:paraId="35C587F8">
            <w:pPr>
              <w:keepNext w:val="0"/>
              <w:keepLines w:val="0"/>
              <w:pageBreakBefore w:val="0"/>
              <w:widowControl w:val="0"/>
              <w:kinsoku/>
              <w:wordWrap/>
              <w:overflowPunct/>
              <w:topLinePunct w:val="0"/>
              <w:autoSpaceDE/>
              <w:autoSpaceDN/>
              <w:bidi w:val="0"/>
              <w:adjustRightInd w:val="0"/>
              <w:snapToGrid w:val="0"/>
              <w:spacing w:line="400" w:lineRule="exact"/>
              <w:ind w:firstLine="120" w:firstLineChars="5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619" w:type="dxa"/>
            <w:noWrap w:val="0"/>
            <w:vAlign w:val="center"/>
          </w:tcPr>
          <w:p w14:paraId="7411A0D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tc>
        <w:tc>
          <w:tcPr>
            <w:tcW w:w="1485" w:type="dxa"/>
            <w:noWrap w:val="0"/>
            <w:vAlign w:val="center"/>
          </w:tcPr>
          <w:p w14:paraId="348E51B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完成时间</w:t>
            </w:r>
          </w:p>
        </w:tc>
        <w:tc>
          <w:tcPr>
            <w:tcW w:w="1306" w:type="dxa"/>
            <w:noWrap w:val="0"/>
            <w:vAlign w:val="center"/>
          </w:tcPr>
          <w:p w14:paraId="2DACEEC3">
            <w:pPr>
              <w:keepNext w:val="0"/>
              <w:keepLines w:val="0"/>
              <w:pageBreakBefore w:val="0"/>
              <w:widowControl w:val="0"/>
              <w:kinsoku/>
              <w:wordWrap/>
              <w:overflowPunct/>
              <w:topLinePunct w:val="0"/>
              <w:autoSpaceDE/>
              <w:autoSpaceDN/>
              <w:bidi w:val="0"/>
              <w:adjustRightInd w:val="0"/>
              <w:snapToGrid w:val="0"/>
              <w:spacing w:line="400" w:lineRule="exact"/>
              <w:ind w:firstLine="120" w:firstLineChars="50"/>
              <w:textAlignment w:val="auto"/>
              <w:outlineLvl w:val="9"/>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合同金额</w:t>
            </w:r>
          </w:p>
        </w:tc>
        <w:tc>
          <w:tcPr>
            <w:tcW w:w="1429" w:type="dxa"/>
            <w:noWrap w:val="0"/>
            <w:vAlign w:val="center"/>
          </w:tcPr>
          <w:p w14:paraId="3BC4C41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项目描述</w:t>
            </w:r>
          </w:p>
        </w:tc>
        <w:tc>
          <w:tcPr>
            <w:tcW w:w="1546" w:type="dxa"/>
            <w:tcBorders>
              <w:right w:val="single" w:color="auto" w:sz="4" w:space="0"/>
            </w:tcBorders>
            <w:noWrap w:val="0"/>
            <w:vAlign w:val="center"/>
          </w:tcPr>
          <w:p w14:paraId="785487B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采购人</w:t>
            </w:r>
          </w:p>
        </w:tc>
        <w:tc>
          <w:tcPr>
            <w:tcW w:w="1546" w:type="dxa"/>
            <w:tcBorders>
              <w:right w:val="single" w:color="auto" w:sz="4" w:space="0"/>
            </w:tcBorders>
            <w:noWrap w:val="0"/>
            <w:vAlign w:val="center"/>
          </w:tcPr>
          <w:p w14:paraId="5A59AA6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采购人联系方式</w:t>
            </w:r>
          </w:p>
        </w:tc>
      </w:tr>
      <w:tr w14:paraId="797639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noWrap w:val="0"/>
            <w:vAlign w:val="center"/>
          </w:tcPr>
          <w:p w14:paraId="7641983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619" w:type="dxa"/>
            <w:noWrap w:val="0"/>
            <w:vAlign w:val="center"/>
          </w:tcPr>
          <w:p w14:paraId="76255F6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noWrap w:val="0"/>
            <w:vAlign w:val="center"/>
          </w:tcPr>
          <w:p w14:paraId="5556915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noWrap w:val="0"/>
            <w:vAlign w:val="center"/>
          </w:tcPr>
          <w:p w14:paraId="3CE4F7E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noWrap w:val="0"/>
            <w:vAlign w:val="center"/>
          </w:tcPr>
          <w:p w14:paraId="151588A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67C5B7A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171FC87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r w14:paraId="55A92E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noWrap w:val="0"/>
            <w:vAlign w:val="center"/>
          </w:tcPr>
          <w:p w14:paraId="0540CC0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1619" w:type="dxa"/>
            <w:noWrap w:val="0"/>
            <w:vAlign w:val="center"/>
          </w:tcPr>
          <w:p w14:paraId="566FDB5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noWrap w:val="0"/>
            <w:vAlign w:val="center"/>
          </w:tcPr>
          <w:p w14:paraId="767A9EA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noWrap w:val="0"/>
            <w:vAlign w:val="center"/>
          </w:tcPr>
          <w:p w14:paraId="6A4B7C1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noWrap w:val="0"/>
            <w:vAlign w:val="center"/>
          </w:tcPr>
          <w:p w14:paraId="0B136ED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4168180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6DE2C5A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r w14:paraId="1500E8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noWrap w:val="0"/>
            <w:vAlign w:val="center"/>
          </w:tcPr>
          <w:p w14:paraId="69F5590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p>
        </w:tc>
        <w:tc>
          <w:tcPr>
            <w:tcW w:w="1619" w:type="dxa"/>
            <w:noWrap w:val="0"/>
            <w:vAlign w:val="center"/>
          </w:tcPr>
          <w:p w14:paraId="6BDFD64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noWrap w:val="0"/>
            <w:vAlign w:val="center"/>
          </w:tcPr>
          <w:p w14:paraId="3FEB3CA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noWrap w:val="0"/>
            <w:vAlign w:val="center"/>
          </w:tcPr>
          <w:p w14:paraId="4E8C5BA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noWrap w:val="0"/>
            <w:vAlign w:val="center"/>
          </w:tcPr>
          <w:p w14:paraId="10232E7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48BAF1A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6025E61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r w14:paraId="5236A4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noWrap w:val="0"/>
            <w:vAlign w:val="center"/>
          </w:tcPr>
          <w:p w14:paraId="5F708D8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619" w:type="dxa"/>
            <w:tcBorders>
              <w:right w:val="single" w:color="auto" w:sz="4" w:space="0"/>
            </w:tcBorders>
            <w:noWrap w:val="0"/>
            <w:vAlign w:val="center"/>
          </w:tcPr>
          <w:p w14:paraId="4B440BA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tcBorders>
              <w:left w:val="single" w:color="auto" w:sz="4" w:space="0"/>
            </w:tcBorders>
            <w:noWrap w:val="0"/>
            <w:vAlign w:val="center"/>
          </w:tcPr>
          <w:p w14:paraId="509CC7E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noWrap w:val="0"/>
            <w:vAlign w:val="center"/>
          </w:tcPr>
          <w:p w14:paraId="1F360FF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noWrap w:val="0"/>
            <w:vAlign w:val="center"/>
          </w:tcPr>
          <w:p w14:paraId="4EEE781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5EDD715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6C023D5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r w14:paraId="70D3E0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tcBorders>
              <w:right w:val="single" w:color="auto" w:sz="4" w:space="0"/>
            </w:tcBorders>
            <w:noWrap w:val="0"/>
            <w:vAlign w:val="center"/>
          </w:tcPr>
          <w:p w14:paraId="291F53B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619" w:type="dxa"/>
            <w:tcBorders>
              <w:left w:val="single" w:color="auto" w:sz="4" w:space="0"/>
              <w:right w:val="single" w:color="auto" w:sz="4" w:space="0"/>
            </w:tcBorders>
            <w:noWrap w:val="0"/>
            <w:vAlign w:val="center"/>
          </w:tcPr>
          <w:p w14:paraId="30751EB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tcBorders>
              <w:left w:val="single" w:color="auto" w:sz="4" w:space="0"/>
              <w:right w:val="single" w:color="auto" w:sz="4" w:space="0"/>
            </w:tcBorders>
            <w:noWrap w:val="0"/>
            <w:vAlign w:val="center"/>
          </w:tcPr>
          <w:p w14:paraId="1D4FB86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tcBorders>
              <w:left w:val="single" w:color="auto" w:sz="4" w:space="0"/>
              <w:right w:val="single" w:color="auto" w:sz="4" w:space="0"/>
            </w:tcBorders>
            <w:noWrap w:val="0"/>
            <w:vAlign w:val="center"/>
          </w:tcPr>
          <w:p w14:paraId="55FC7D7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tcBorders>
              <w:left w:val="single" w:color="auto" w:sz="4" w:space="0"/>
              <w:right w:val="single" w:color="auto" w:sz="4" w:space="0"/>
            </w:tcBorders>
            <w:noWrap w:val="0"/>
            <w:vAlign w:val="center"/>
          </w:tcPr>
          <w:p w14:paraId="5EABEC0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24DB66A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0EC3A97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r w14:paraId="08137C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noWrap w:val="0"/>
            <w:vAlign w:val="center"/>
          </w:tcPr>
          <w:p w14:paraId="10890CA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619" w:type="dxa"/>
            <w:noWrap w:val="0"/>
            <w:vAlign w:val="center"/>
          </w:tcPr>
          <w:p w14:paraId="66FE1CC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noWrap w:val="0"/>
            <w:vAlign w:val="center"/>
          </w:tcPr>
          <w:p w14:paraId="4C6D3D1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noWrap w:val="0"/>
            <w:vAlign w:val="center"/>
          </w:tcPr>
          <w:p w14:paraId="7B9F1E2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tcBorders>
              <w:right w:val="single" w:color="auto" w:sz="4" w:space="0"/>
            </w:tcBorders>
            <w:noWrap w:val="0"/>
            <w:vAlign w:val="center"/>
          </w:tcPr>
          <w:p w14:paraId="52A33D2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1EDCC4A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17C5385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r w14:paraId="6242B3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noWrap w:val="0"/>
            <w:vAlign w:val="center"/>
          </w:tcPr>
          <w:p w14:paraId="0DD7803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619" w:type="dxa"/>
            <w:noWrap w:val="0"/>
            <w:vAlign w:val="center"/>
          </w:tcPr>
          <w:p w14:paraId="15A61D9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noWrap w:val="0"/>
            <w:vAlign w:val="center"/>
          </w:tcPr>
          <w:p w14:paraId="0A26892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noWrap w:val="0"/>
            <w:vAlign w:val="center"/>
          </w:tcPr>
          <w:p w14:paraId="73833D2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tcBorders>
              <w:right w:val="single" w:color="auto" w:sz="4" w:space="0"/>
            </w:tcBorders>
            <w:noWrap w:val="0"/>
            <w:vAlign w:val="center"/>
          </w:tcPr>
          <w:p w14:paraId="0A4C56A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04CC1E5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1634632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r w14:paraId="28525C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noWrap w:val="0"/>
            <w:vAlign w:val="center"/>
          </w:tcPr>
          <w:p w14:paraId="6AEFAF7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619" w:type="dxa"/>
            <w:noWrap w:val="0"/>
            <w:vAlign w:val="center"/>
          </w:tcPr>
          <w:p w14:paraId="74CB120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noWrap w:val="0"/>
            <w:vAlign w:val="center"/>
          </w:tcPr>
          <w:p w14:paraId="718D91D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noWrap w:val="0"/>
            <w:vAlign w:val="center"/>
          </w:tcPr>
          <w:p w14:paraId="74AECCC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tcBorders>
              <w:right w:val="single" w:color="auto" w:sz="4" w:space="0"/>
            </w:tcBorders>
            <w:noWrap w:val="0"/>
            <w:vAlign w:val="center"/>
          </w:tcPr>
          <w:p w14:paraId="3962FB1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58EA8FA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4AE9B47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bl>
    <w:p w14:paraId="691F488F">
      <w:pPr>
        <w:spacing w:line="400" w:lineRule="atLeast"/>
        <w:outlineLvl w:val="9"/>
        <w:rPr>
          <w:rFonts w:hint="eastAsia" w:ascii="宋体" w:hAnsi="宋体" w:cs="宋体"/>
          <w:color w:val="auto"/>
          <w:sz w:val="24"/>
          <w:highlight w:val="none"/>
        </w:rPr>
      </w:pPr>
    </w:p>
    <w:p w14:paraId="6AB2D689">
      <w:pPr>
        <w:outlineLvl w:val="9"/>
        <w:rPr>
          <w:rFonts w:hint="eastAsia" w:ascii="宋体" w:hAnsi="宋体" w:cs="宋体"/>
          <w:b/>
          <w:color w:val="auto"/>
          <w:szCs w:val="21"/>
          <w:highlight w:val="none"/>
          <w:lang w:eastAsia="zh-CN"/>
        </w:rPr>
      </w:pPr>
      <w:r>
        <w:rPr>
          <w:rFonts w:hint="eastAsia" w:ascii="宋体" w:hAnsi="宋体" w:cs="宋体"/>
          <w:b/>
          <w:color w:val="auto"/>
          <w:szCs w:val="21"/>
          <w:highlight w:val="none"/>
        </w:rPr>
        <w:t>注：</w:t>
      </w:r>
      <w:bookmarkStart w:id="464" w:name="_Toc361398097"/>
      <w:bookmarkStart w:id="465" w:name="_Toc7097287"/>
      <w:r>
        <w:rPr>
          <w:rFonts w:hint="eastAsia" w:ascii="宋体" w:hAnsi="宋体" w:cs="宋体"/>
          <w:b/>
          <w:color w:val="auto"/>
          <w:szCs w:val="21"/>
          <w:highlight w:val="none"/>
        </w:rPr>
        <w:t>本表后需提供招标文件要求的有关书面证明材料。</w:t>
      </w:r>
    </w:p>
    <w:p w14:paraId="70AA2A5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093E1EBA">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3B5D6DC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782ECAF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548A63CF">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cs="宋体"/>
          <w:b w:val="0"/>
          <w:bCs w:val="0"/>
          <w:color w:val="auto"/>
          <w:kern w:val="0"/>
          <w:sz w:val="24"/>
          <w:szCs w:val="24"/>
          <w:highlight w:val="none"/>
          <w:u w:val="single"/>
          <w:lang w:val="en-US" w:eastAsia="zh-CN"/>
        </w:rPr>
      </w:pPr>
      <w:r>
        <w:rPr>
          <w:rFonts w:hint="eastAsia" w:ascii="宋体" w:hAnsi="宋体" w:cs="宋体"/>
          <w:color w:val="auto"/>
          <w:sz w:val="24"/>
          <w:highlight w:val="none"/>
          <w:lang w:val="en-US" w:eastAsia="zh-CN"/>
        </w:rPr>
        <w:t>投标人名称</w:t>
      </w:r>
      <w:r>
        <w:rPr>
          <w:rFonts w:hint="eastAsia" w:ascii="宋体" w:hAnsi="宋体" w:eastAsia="宋体" w:cs="宋体"/>
          <w:b w:val="0"/>
          <w:bCs w:val="0"/>
          <w:color w:val="auto"/>
          <w:kern w:val="0"/>
          <w:sz w:val="24"/>
          <w:szCs w:val="24"/>
          <w:highlight w:val="none"/>
        </w:rPr>
        <w:t>（公章）：</w:t>
      </w:r>
      <w:r>
        <w:rPr>
          <w:rFonts w:hint="eastAsia" w:ascii="宋体" w:hAnsi="宋体" w:cs="宋体"/>
          <w:b w:val="0"/>
          <w:bCs w:val="0"/>
          <w:color w:val="auto"/>
          <w:kern w:val="0"/>
          <w:sz w:val="24"/>
          <w:szCs w:val="24"/>
          <w:highlight w:val="none"/>
          <w:u w:val="single"/>
          <w:lang w:val="en-US" w:eastAsia="zh-CN"/>
        </w:rPr>
        <w:t xml:space="preserve">                     </w:t>
      </w:r>
    </w:p>
    <w:p w14:paraId="7C1F685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default"/>
          <w:color w:val="auto"/>
          <w:sz w:val="24"/>
          <w:szCs w:val="24"/>
          <w:highlight w:val="none"/>
          <w:lang w:val="en-US" w:eastAsia="zh-CN"/>
        </w:rPr>
      </w:pPr>
    </w:p>
    <w:p w14:paraId="7EEB1756">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委托代理人（签字或盖章）：</w:t>
      </w:r>
      <w:r>
        <w:rPr>
          <w:rFonts w:hint="eastAsia" w:ascii="宋体" w:hAnsi="宋体" w:cs="宋体"/>
          <w:b w:val="0"/>
          <w:bCs w:val="0"/>
          <w:color w:val="auto"/>
          <w:kern w:val="0"/>
          <w:sz w:val="24"/>
          <w:szCs w:val="24"/>
          <w:highlight w:val="none"/>
          <w:u w:val="single"/>
          <w:lang w:val="en-US" w:eastAsia="zh-CN"/>
        </w:rPr>
        <w:t xml:space="preserve">                   </w:t>
      </w:r>
    </w:p>
    <w:p w14:paraId="335897D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color w:val="auto"/>
          <w:sz w:val="24"/>
          <w:szCs w:val="24"/>
          <w:highlight w:val="none"/>
        </w:rPr>
      </w:pPr>
    </w:p>
    <w:p w14:paraId="49FB944A">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14:paraId="4254136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4984DA88">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Times New Roman" w:hAnsi="Times New Roman" w:eastAsia="宋体" w:cs="Times New Roman"/>
          <w:color w:val="auto"/>
          <w:sz w:val="24"/>
          <w:szCs w:val="24"/>
          <w:highlight w:val="none"/>
          <w:lang w:eastAsia="zh-CN"/>
        </w:rPr>
      </w:pPr>
      <w:bookmarkStart w:id="466" w:name="_Toc27910"/>
      <w:bookmarkStart w:id="467" w:name="_Toc7097293"/>
      <w:bookmarkStart w:id="468" w:name="_Toc16259"/>
      <w:r>
        <w:rPr>
          <w:rFonts w:hint="eastAsia" w:ascii="Times New Roman" w:hAnsi="Times New Roman" w:eastAsia="宋体" w:cs="Times New Roman"/>
          <w:color w:val="auto"/>
          <w:sz w:val="24"/>
          <w:szCs w:val="24"/>
          <w:highlight w:val="none"/>
          <w:lang w:eastAsia="zh-CN"/>
        </w:rPr>
        <w:br w:type="page"/>
      </w:r>
      <w:bookmarkEnd w:id="466"/>
      <w:bookmarkEnd w:id="467"/>
      <w:bookmarkEnd w:id="468"/>
      <w:bookmarkStart w:id="469" w:name="_Toc20518"/>
      <w:bookmarkStart w:id="470" w:name="_Toc25751"/>
      <w:bookmarkStart w:id="471" w:name="_Toc11084"/>
    </w:p>
    <w:p w14:paraId="3C5739AB">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eastAsia" w:ascii="宋体" w:hAnsi="宋体" w:eastAsia="宋体" w:cs="宋体"/>
          <w:color w:val="auto"/>
          <w:szCs w:val="21"/>
          <w:highlight w:val="none"/>
          <w:lang w:val="en-US" w:eastAsia="zh-CN"/>
        </w:rPr>
      </w:pPr>
      <w:bookmarkStart w:id="472" w:name="_Toc16431"/>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六</w:t>
      </w:r>
      <w:r>
        <w:rPr>
          <w:rFonts w:hint="eastAsia" w:ascii="Times New Roman" w:hAnsi="Times New Roman" w:eastAsia="宋体" w:cs="Times New Roman"/>
          <w:color w:val="auto"/>
          <w:sz w:val="24"/>
          <w:szCs w:val="24"/>
          <w:highlight w:val="none"/>
          <w:lang w:eastAsia="zh-CN"/>
        </w:rPr>
        <w:t>）企业实力</w:t>
      </w:r>
      <w:bookmarkEnd w:id="472"/>
    </w:p>
    <w:p w14:paraId="5EADFEBE">
      <w:pPr>
        <w:jc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注：提供招标文件要求的有关书面证明材料。</w:t>
      </w:r>
      <w:r>
        <w:rPr>
          <w:rFonts w:hint="eastAsia" w:ascii="宋体" w:hAnsi="宋体" w:eastAsia="宋体" w:cs="宋体"/>
          <w:color w:val="auto"/>
          <w:sz w:val="24"/>
          <w:szCs w:val="24"/>
          <w:highlight w:val="none"/>
          <w:lang w:eastAsia="zh-CN"/>
        </w:rPr>
        <w:br w:type="page"/>
      </w:r>
    </w:p>
    <w:p w14:paraId="6B789873">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default" w:ascii="宋体" w:hAnsi="宋体" w:eastAsia="宋体" w:cs="宋体"/>
          <w:color w:val="auto"/>
          <w:sz w:val="24"/>
          <w:szCs w:val="24"/>
          <w:highlight w:val="none"/>
          <w:lang w:val="en-US" w:eastAsia="zh-CN"/>
        </w:rPr>
      </w:pPr>
      <w:bookmarkStart w:id="473" w:name="_Toc17598"/>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项目负责人基本情况表</w:t>
      </w:r>
      <w:bookmarkEnd w:id="469"/>
      <w:bookmarkEnd w:id="473"/>
    </w:p>
    <w:tbl>
      <w:tblPr>
        <w:tblStyle w:val="40"/>
        <w:tblW w:w="0" w:type="auto"/>
        <w:tblInd w:w="2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7"/>
        <w:gridCol w:w="520"/>
        <w:gridCol w:w="1274"/>
        <w:gridCol w:w="988"/>
        <w:gridCol w:w="830"/>
        <w:gridCol w:w="505"/>
        <w:gridCol w:w="1180"/>
        <w:gridCol w:w="693"/>
        <w:gridCol w:w="2495"/>
      </w:tblGrid>
      <w:tr w14:paraId="799CE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60" w:type="pct"/>
            <w:gridSpan w:val="2"/>
            <w:tcBorders>
              <w:top w:val="single" w:color="000000" w:sz="4" w:space="0"/>
              <w:left w:val="single" w:color="000000" w:sz="4" w:space="0"/>
              <w:bottom w:val="single" w:color="000000" w:sz="4" w:space="0"/>
              <w:right w:val="single" w:color="000000" w:sz="4" w:space="0"/>
            </w:tcBorders>
            <w:noWrap w:val="0"/>
            <w:vAlign w:val="center"/>
          </w:tcPr>
          <w:p w14:paraId="0E43F01D">
            <w:pPr>
              <w:keepNext w:val="0"/>
              <w:keepLines w:val="0"/>
              <w:widowControl/>
              <w:suppressLineNumbers w:val="0"/>
              <w:jc w:val="center"/>
              <w:textAlignment w:val="top"/>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姓名</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496B1461">
            <w:pPr>
              <w:jc w:val="center"/>
              <w:rPr>
                <w:rFonts w:hint="default" w:ascii="Arial" w:hAnsi="Arial" w:cs="Arial"/>
                <w:i w:val="0"/>
                <w:iCs w:val="0"/>
                <w:color w:val="auto"/>
                <w:sz w:val="24"/>
                <w:szCs w:val="24"/>
                <w:highlight w:val="none"/>
                <w:u w:val="none"/>
              </w:rPr>
            </w:pP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E339281">
            <w:pPr>
              <w:keepNext w:val="0"/>
              <w:keepLines w:val="0"/>
              <w:widowControl/>
              <w:suppressLineNumbers w:val="0"/>
              <w:jc w:val="center"/>
              <w:textAlignment w:val="top"/>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年龄</w:t>
            </w:r>
          </w:p>
        </w:tc>
        <w:tc>
          <w:tcPr>
            <w:tcW w:w="709" w:type="pct"/>
            <w:gridSpan w:val="2"/>
            <w:tcBorders>
              <w:top w:val="single" w:color="000000" w:sz="4" w:space="0"/>
              <w:left w:val="single" w:color="000000" w:sz="4" w:space="0"/>
              <w:bottom w:val="single" w:color="000000" w:sz="4" w:space="0"/>
              <w:right w:val="single" w:color="000000" w:sz="4" w:space="0"/>
            </w:tcBorders>
            <w:noWrap w:val="0"/>
            <w:vAlign w:val="center"/>
          </w:tcPr>
          <w:p w14:paraId="0EF8EA25">
            <w:pPr>
              <w:jc w:val="center"/>
              <w:rPr>
                <w:rFonts w:hint="default" w:ascii="Arial" w:hAnsi="Arial" w:cs="Arial"/>
                <w:i w:val="0"/>
                <w:iCs w:val="0"/>
                <w:color w:val="auto"/>
                <w:sz w:val="24"/>
                <w:szCs w:val="24"/>
                <w:highlight w:val="none"/>
                <w:u w:val="none"/>
              </w:rPr>
            </w:pPr>
          </w:p>
        </w:tc>
        <w:tc>
          <w:tcPr>
            <w:tcW w:w="997" w:type="pct"/>
            <w:gridSpan w:val="2"/>
            <w:tcBorders>
              <w:top w:val="single" w:color="000000" w:sz="4" w:space="0"/>
              <w:left w:val="single" w:color="000000" w:sz="4" w:space="0"/>
              <w:bottom w:val="single" w:color="000000" w:sz="4" w:space="0"/>
              <w:right w:val="single" w:color="000000" w:sz="4" w:space="0"/>
            </w:tcBorders>
            <w:noWrap w:val="0"/>
            <w:vAlign w:val="center"/>
          </w:tcPr>
          <w:p w14:paraId="726F50BD">
            <w:pPr>
              <w:keepNext w:val="0"/>
              <w:keepLines w:val="0"/>
              <w:widowControl/>
              <w:suppressLineNumbers w:val="0"/>
              <w:jc w:val="center"/>
              <w:textAlignment w:val="top"/>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学历</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4760377D">
            <w:pPr>
              <w:jc w:val="center"/>
              <w:rPr>
                <w:rFonts w:hint="default" w:ascii="Arial" w:hAnsi="Arial" w:cs="Arial"/>
                <w:i w:val="0"/>
                <w:iCs w:val="0"/>
                <w:color w:val="auto"/>
                <w:sz w:val="24"/>
                <w:szCs w:val="24"/>
                <w:highlight w:val="none"/>
                <w:u w:val="none"/>
              </w:rPr>
            </w:pPr>
          </w:p>
        </w:tc>
      </w:tr>
      <w:tr w14:paraId="75C37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60" w:type="pct"/>
            <w:gridSpan w:val="2"/>
            <w:tcBorders>
              <w:top w:val="single" w:color="000000" w:sz="4" w:space="0"/>
              <w:left w:val="single" w:color="000000" w:sz="4" w:space="0"/>
              <w:bottom w:val="single" w:color="000000" w:sz="4" w:space="0"/>
              <w:right w:val="single" w:color="000000" w:sz="4" w:space="0"/>
            </w:tcBorders>
            <w:noWrap w:val="0"/>
            <w:vAlign w:val="center"/>
          </w:tcPr>
          <w:p w14:paraId="3B2310CB">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毕业学校</w:t>
            </w:r>
          </w:p>
        </w:tc>
        <w:tc>
          <w:tcPr>
            <w:tcW w:w="4239" w:type="pct"/>
            <w:gridSpan w:val="7"/>
            <w:tcBorders>
              <w:top w:val="single" w:color="000000" w:sz="4" w:space="0"/>
              <w:left w:val="single" w:color="000000" w:sz="4" w:space="0"/>
              <w:bottom w:val="single" w:color="000000" w:sz="4" w:space="0"/>
              <w:right w:val="single" w:color="000000" w:sz="4" w:space="0"/>
            </w:tcBorders>
            <w:noWrap w:val="0"/>
            <w:vAlign w:val="center"/>
          </w:tcPr>
          <w:p w14:paraId="68B14F73">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年毕业于                学校         专业</w:t>
            </w:r>
          </w:p>
        </w:tc>
      </w:tr>
      <w:tr w14:paraId="37DC0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760" w:type="pct"/>
            <w:gridSpan w:val="2"/>
            <w:tcBorders>
              <w:top w:val="single" w:color="000000" w:sz="4" w:space="0"/>
              <w:left w:val="single" w:color="000000" w:sz="4" w:space="0"/>
              <w:bottom w:val="single" w:color="000000" w:sz="4" w:space="0"/>
              <w:right w:val="single" w:color="000000" w:sz="4" w:space="0"/>
            </w:tcBorders>
            <w:noWrap w:val="0"/>
            <w:vAlign w:val="center"/>
          </w:tcPr>
          <w:p w14:paraId="2CD79B07">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从事本专业时间</w:t>
            </w:r>
          </w:p>
        </w:tc>
        <w:tc>
          <w:tcPr>
            <w:tcW w:w="1915" w:type="pct"/>
            <w:gridSpan w:val="4"/>
            <w:tcBorders>
              <w:top w:val="single" w:color="000000" w:sz="4" w:space="0"/>
              <w:left w:val="single" w:color="000000" w:sz="4" w:space="0"/>
              <w:bottom w:val="single" w:color="000000" w:sz="4" w:space="0"/>
              <w:right w:val="single" w:color="000000" w:sz="4" w:space="0"/>
            </w:tcBorders>
            <w:noWrap w:val="0"/>
            <w:vAlign w:val="center"/>
          </w:tcPr>
          <w:p w14:paraId="59BB7023">
            <w:pPr>
              <w:jc w:val="center"/>
              <w:rPr>
                <w:rFonts w:hint="default" w:ascii="Arial" w:hAnsi="Arial" w:cs="Arial"/>
                <w:i w:val="0"/>
                <w:iCs w:val="0"/>
                <w:color w:val="auto"/>
                <w:sz w:val="24"/>
                <w:szCs w:val="24"/>
                <w:highlight w:val="none"/>
                <w:u w:val="none"/>
              </w:rPr>
            </w:pPr>
          </w:p>
        </w:tc>
        <w:tc>
          <w:tcPr>
            <w:tcW w:w="997" w:type="pct"/>
            <w:gridSpan w:val="2"/>
            <w:tcBorders>
              <w:top w:val="single" w:color="000000" w:sz="4" w:space="0"/>
              <w:left w:val="single" w:color="000000" w:sz="4" w:space="0"/>
              <w:bottom w:val="single" w:color="000000" w:sz="4" w:space="0"/>
              <w:right w:val="single" w:color="000000" w:sz="4" w:space="0"/>
            </w:tcBorders>
            <w:noWrap w:val="0"/>
            <w:vAlign w:val="center"/>
          </w:tcPr>
          <w:p w14:paraId="10524334">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职称</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3AC1499C">
            <w:pPr>
              <w:jc w:val="center"/>
              <w:rPr>
                <w:rFonts w:hint="default" w:ascii="Arial" w:hAnsi="Arial" w:cs="Arial"/>
                <w:i w:val="0"/>
                <w:iCs w:val="0"/>
                <w:color w:val="auto"/>
                <w:sz w:val="24"/>
                <w:szCs w:val="24"/>
                <w:highlight w:val="none"/>
                <w:u w:val="none"/>
              </w:rPr>
            </w:pPr>
          </w:p>
        </w:tc>
      </w:tr>
      <w:tr w14:paraId="33E13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760" w:type="pct"/>
            <w:gridSpan w:val="2"/>
            <w:tcBorders>
              <w:top w:val="single" w:color="000000" w:sz="4" w:space="0"/>
              <w:left w:val="single" w:color="000000" w:sz="4" w:space="0"/>
              <w:bottom w:val="single" w:color="000000" w:sz="4" w:space="0"/>
              <w:right w:val="single" w:color="000000" w:sz="4" w:space="0"/>
            </w:tcBorders>
            <w:noWrap w:val="0"/>
            <w:vAlign w:val="center"/>
          </w:tcPr>
          <w:p w14:paraId="3E0D18DC">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在本项目中担任任务</w:t>
            </w:r>
          </w:p>
        </w:tc>
        <w:tc>
          <w:tcPr>
            <w:tcW w:w="4239" w:type="pct"/>
            <w:gridSpan w:val="7"/>
            <w:tcBorders>
              <w:top w:val="single" w:color="000000" w:sz="4" w:space="0"/>
              <w:left w:val="single" w:color="000000" w:sz="4" w:space="0"/>
              <w:bottom w:val="single" w:color="000000" w:sz="4" w:space="0"/>
              <w:right w:val="single" w:color="000000" w:sz="4" w:space="0"/>
            </w:tcBorders>
            <w:noWrap w:val="0"/>
            <w:vAlign w:val="center"/>
          </w:tcPr>
          <w:p w14:paraId="7C161457">
            <w:pPr>
              <w:jc w:val="center"/>
              <w:rPr>
                <w:rFonts w:hint="default" w:ascii="Arial" w:hAnsi="Arial" w:cs="Arial"/>
                <w:i w:val="0"/>
                <w:iCs w:val="0"/>
                <w:color w:val="auto"/>
                <w:sz w:val="24"/>
                <w:szCs w:val="24"/>
                <w:highlight w:val="none"/>
                <w:u w:val="none"/>
              </w:rPr>
            </w:pPr>
          </w:p>
        </w:tc>
      </w:tr>
      <w:tr w14:paraId="595FC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5000" w:type="pct"/>
            <w:gridSpan w:val="9"/>
            <w:tcBorders>
              <w:top w:val="single" w:color="000000" w:sz="4" w:space="0"/>
              <w:left w:val="single" w:color="000000" w:sz="4" w:space="0"/>
              <w:bottom w:val="single" w:color="000000" w:sz="4" w:space="0"/>
              <w:right w:val="single" w:color="000000" w:sz="4" w:space="0"/>
            </w:tcBorders>
            <w:noWrap w:val="0"/>
            <w:vAlign w:val="center"/>
          </w:tcPr>
          <w:p w14:paraId="1B70FD63">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本人主要成果</w:t>
            </w:r>
          </w:p>
        </w:tc>
      </w:tr>
      <w:tr w14:paraId="4DBC0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1FF55335">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时间</w:t>
            </w: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5479CD81">
            <w:pPr>
              <w:keepNext w:val="0"/>
              <w:keepLines w:val="0"/>
              <w:widowControl/>
              <w:suppressLineNumbers w:val="0"/>
              <w:jc w:val="center"/>
              <w:textAlignment w:val="center"/>
              <w:rPr>
                <w:rFonts w:hint="default" w:ascii="Arial" w:hAnsi="Arial" w:cs="Arial"/>
                <w:i w:val="0"/>
                <w:iCs w:val="0"/>
                <w:color w:val="auto"/>
                <w:sz w:val="24"/>
                <w:szCs w:val="24"/>
                <w:highlight w:val="none"/>
                <w:u w:val="none"/>
                <w:lang w:val="en-US"/>
              </w:rPr>
            </w:pPr>
            <w:r>
              <w:rPr>
                <w:rFonts w:ascii="宋体" w:hAnsi="宋体" w:eastAsia="宋体" w:cs="宋体"/>
                <w:i w:val="0"/>
                <w:iCs w:val="0"/>
                <w:color w:val="auto"/>
                <w:kern w:val="0"/>
                <w:sz w:val="24"/>
                <w:szCs w:val="24"/>
                <w:highlight w:val="none"/>
                <w:u w:val="none"/>
                <w:lang w:val="en-US" w:eastAsia="zh-CN" w:bidi="ar"/>
              </w:rPr>
              <w:t>项目</w:t>
            </w:r>
            <w:r>
              <w:rPr>
                <w:rFonts w:hint="eastAsia" w:ascii="宋体" w:hAnsi="宋体" w:cs="宋体"/>
                <w:i w:val="0"/>
                <w:iCs w:val="0"/>
                <w:color w:val="auto"/>
                <w:kern w:val="0"/>
                <w:sz w:val="24"/>
                <w:szCs w:val="24"/>
                <w:highlight w:val="none"/>
                <w:u w:val="none"/>
                <w:lang w:val="en-US" w:eastAsia="zh-CN" w:bidi="ar"/>
              </w:rPr>
              <w:t>业绩</w:t>
            </w: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22F6E97D">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担任职务</w:t>
            </w: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2A4BFCC9">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采购人及联系电话</w:t>
            </w:r>
          </w:p>
        </w:tc>
      </w:tr>
      <w:tr w14:paraId="4DDD0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1E93600C">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52AFF388">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1ABF0096">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02EB4B0D">
            <w:pPr>
              <w:jc w:val="center"/>
              <w:rPr>
                <w:rFonts w:hint="default" w:ascii="Arial" w:hAnsi="Arial" w:cs="Arial"/>
                <w:i w:val="0"/>
                <w:iCs w:val="0"/>
                <w:color w:val="auto"/>
                <w:sz w:val="24"/>
                <w:szCs w:val="24"/>
                <w:highlight w:val="none"/>
                <w:u w:val="none"/>
              </w:rPr>
            </w:pPr>
          </w:p>
        </w:tc>
      </w:tr>
      <w:tr w14:paraId="32C80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314E702E">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482BFBB9">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0A642155">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5BACE055">
            <w:pPr>
              <w:jc w:val="center"/>
              <w:rPr>
                <w:rFonts w:hint="default" w:ascii="Arial" w:hAnsi="Arial" w:cs="Arial"/>
                <w:i w:val="0"/>
                <w:iCs w:val="0"/>
                <w:color w:val="auto"/>
                <w:sz w:val="24"/>
                <w:szCs w:val="24"/>
                <w:highlight w:val="none"/>
                <w:u w:val="none"/>
              </w:rPr>
            </w:pPr>
          </w:p>
        </w:tc>
      </w:tr>
      <w:tr w14:paraId="0C0D1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3A4DED32">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7E55C345">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70B8DE99">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262AD256">
            <w:pPr>
              <w:jc w:val="center"/>
              <w:rPr>
                <w:rFonts w:hint="default" w:ascii="Arial" w:hAnsi="Arial" w:cs="Arial"/>
                <w:i w:val="0"/>
                <w:iCs w:val="0"/>
                <w:color w:val="auto"/>
                <w:sz w:val="24"/>
                <w:szCs w:val="24"/>
                <w:highlight w:val="none"/>
                <w:u w:val="none"/>
              </w:rPr>
            </w:pPr>
          </w:p>
        </w:tc>
      </w:tr>
      <w:tr w14:paraId="06A40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1548AE02">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76B7472C">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687BDB92">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12CF0D20">
            <w:pPr>
              <w:jc w:val="center"/>
              <w:rPr>
                <w:rFonts w:hint="default" w:ascii="Arial" w:hAnsi="Arial" w:cs="Arial"/>
                <w:i w:val="0"/>
                <w:iCs w:val="0"/>
                <w:color w:val="auto"/>
                <w:sz w:val="24"/>
                <w:szCs w:val="24"/>
                <w:highlight w:val="none"/>
                <w:u w:val="none"/>
              </w:rPr>
            </w:pPr>
          </w:p>
        </w:tc>
      </w:tr>
      <w:tr w14:paraId="7E9E8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0BFC09AF">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3282CFD3">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38EA2D7D">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55B6809B">
            <w:pPr>
              <w:jc w:val="center"/>
              <w:rPr>
                <w:rFonts w:hint="default" w:ascii="Arial" w:hAnsi="Arial" w:cs="Arial"/>
                <w:i w:val="0"/>
                <w:iCs w:val="0"/>
                <w:color w:val="auto"/>
                <w:sz w:val="24"/>
                <w:szCs w:val="24"/>
                <w:highlight w:val="none"/>
                <w:u w:val="none"/>
              </w:rPr>
            </w:pPr>
          </w:p>
        </w:tc>
      </w:tr>
      <w:tr w14:paraId="1D5B7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6DBC1329">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7220E2A0">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7C346E88">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093BE03F">
            <w:pPr>
              <w:jc w:val="center"/>
              <w:rPr>
                <w:rFonts w:hint="default" w:ascii="Arial" w:hAnsi="Arial" w:cs="Arial"/>
                <w:i w:val="0"/>
                <w:iCs w:val="0"/>
                <w:color w:val="auto"/>
                <w:sz w:val="24"/>
                <w:szCs w:val="24"/>
                <w:highlight w:val="none"/>
                <w:u w:val="none"/>
              </w:rPr>
            </w:pPr>
          </w:p>
        </w:tc>
      </w:tr>
      <w:tr w14:paraId="551A7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58E643E1">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65BED18A">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4EB48908">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197E9FF4">
            <w:pPr>
              <w:jc w:val="center"/>
              <w:rPr>
                <w:rFonts w:hint="default" w:ascii="Arial" w:hAnsi="Arial" w:cs="Arial"/>
                <w:i w:val="0"/>
                <w:iCs w:val="0"/>
                <w:color w:val="auto"/>
                <w:sz w:val="24"/>
                <w:szCs w:val="24"/>
                <w:highlight w:val="none"/>
                <w:u w:val="none"/>
              </w:rPr>
            </w:pPr>
          </w:p>
        </w:tc>
      </w:tr>
      <w:tr w14:paraId="145BE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50FD0283">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0EDB4D45">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1466A0CC">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008D4BFA">
            <w:pPr>
              <w:jc w:val="center"/>
              <w:rPr>
                <w:rFonts w:hint="default" w:ascii="Arial" w:hAnsi="Arial" w:cs="Arial"/>
                <w:i w:val="0"/>
                <w:iCs w:val="0"/>
                <w:color w:val="auto"/>
                <w:sz w:val="24"/>
                <w:szCs w:val="24"/>
                <w:highlight w:val="none"/>
                <w:u w:val="none"/>
              </w:rPr>
            </w:pPr>
          </w:p>
        </w:tc>
      </w:tr>
      <w:tr w14:paraId="6C9E6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00CAB77B">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44019D93">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68442973">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03C0FA38">
            <w:pPr>
              <w:jc w:val="center"/>
              <w:rPr>
                <w:rFonts w:hint="default" w:ascii="Arial" w:hAnsi="Arial" w:cs="Arial"/>
                <w:i w:val="0"/>
                <w:iCs w:val="0"/>
                <w:color w:val="auto"/>
                <w:sz w:val="24"/>
                <w:szCs w:val="24"/>
                <w:highlight w:val="none"/>
                <w:u w:val="none"/>
              </w:rPr>
            </w:pPr>
          </w:p>
        </w:tc>
      </w:tr>
      <w:tr w14:paraId="451FF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4DFCF625">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05F00741">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375E66F2">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417725B5">
            <w:pPr>
              <w:jc w:val="center"/>
              <w:rPr>
                <w:rFonts w:hint="default" w:ascii="Arial" w:hAnsi="Arial" w:cs="Arial"/>
                <w:i w:val="0"/>
                <w:iCs w:val="0"/>
                <w:color w:val="auto"/>
                <w:sz w:val="24"/>
                <w:szCs w:val="24"/>
                <w:highlight w:val="none"/>
                <w:u w:val="none"/>
              </w:rPr>
            </w:pPr>
          </w:p>
        </w:tc>
      </w:tr>
      <w:tr w14:paraId="66BAE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000" w:type="pct"/>
            <w:gridSpan w:val="9"/>
            <w:tcBorders>
              <w:top w:val="nil"/>
              <w:left w:val="nil"/>
              <w:bottom w:val="nil"/>
              <w:right w:val="nil"/>
            </w:tcBorders>
            <w:noWrap w:val="0"/>
            <w:vAlign w:val="center"/>
          </w:tcPr>
          <w:p w14:paraId="0FBA06DC">
            <w:pPr>
              <w:keepNext w:val="0"/>
              <w:keepLines w:val="0"/>
              <w:widowControl/>
              <w:suppressLineNumbers w:val="0"/>
              <w:jc w:val="both"/>
              <w:textAlignment w:val="center"/>
              <w:rPr>
                <w:rFonts w:ascii="宋体" w:hAnsi="宋体" w:eastAsia="宋体" w:cs="宋体"/>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说明：</w:t>
            </w:r>
            <w:r>
              <w:rPr>
                <w:rFonts w:hint="eastAsia" w:ascii="宋体" w:hAnsi="宋体" w:eastAsia="宋体" w:cs="宋体"/>
                <w:i w:val="0"/>
                <w:iCs w:val="0"/>
                <w:color w:val="auto"/>
                <w:kern w:val="0"/>
                <w:sz w:val="24"/>
                <w:szCs w:val="24"/>
                <w:highlight w:val="none"/>
                <w:u w:val="none"/>
                <w:lang w:val="en-US" w:eastAsia="zh-CN" w:bidi="ar"/>
              </w:rPr>
              <w:t>本表后需提供招标文件要求的有关书面证明材料。</w:t>
            </w:r>
          </w:p>
        </w:tc>
      </w:tr>
    </w:tbl>
    <w:p w14:paraId="640A8A5A">
      <w:pPr>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br w:type="page"/>
      </w:r>
    </w:p>
    <w:p w14:paraId="1AAE897F">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default" w:ascii="Times New Roman" w:hAnsi="Times New Roman" w:eastAsia="宋体" w:cs="Times New Roman"/>
          <w:color w:val="auto"/>
          <w:sz w:val="24"/>
          <w:szCs w:val="24"/>
          <w:highlight w:val="none"/>
          <w:lang w:val="en-US" w:eastAsia="zh-CN"/>
        </w:rPr>
      </w:pPr>
      <w:bookmarkStart w:id="474" w:name="_Toc20120"/>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八</w:t>
      </w:r>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拟投入项目人员配置表</w:t>
      </w:r>
      <w:bookmarkEnd w:id="474"/>
    </w:p>
    <w:p w14:paraId="39325C59">
      <w:pPr>
        <w:tabs>
          <w:tab w:val="center" w:pos="4252"/>
        </w:tabs>
        <w:outlineLvl w:val="9"/>
        <w:rPr>
          <w:rFonts w:hint="eastAsia" w:ascii="宋体" w:hAnsi="宋体" w:cs="宋体"/>
          <w:color w:val="auto"/>
          <w:szCs w:val="21"/>
          <w:highlight w:val="none"/>
        </w:rPr>
      </w:pPr>
    </w:p>
    <w:p w14:paraId="715B331C">
      <w:pPr>
        <w:spacing w:line="400" w:lineRule="atLeast"/>
        <w:ind w:left="2880" w:hanging="2880"/>
        <w:outlineLvl w:val="9"/>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4A152EEC">
      <w:pPr>
        <w:tabs>
          <w:tab w:val="center" w:pos="4252"/>
        </w:tabs>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u w:val="single"/>
          <w:lang w:val="en-US" w:eastAsia="zh-CN"/>
        </w:rPr>
        <w:t xml:space="preserve">                  </w:t>
      </w:r>
    </w:p>
    <w:tbl>
      <w:tblPr>
        <w:tblStyle w:val="4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367"/>
        <w:gridCol w:w="1810"/>
        <w:gridCol w:w="1137"/>
        <w:gridCol w:w="3331"/>
        <w:gridCol w:w="1077"/>
      </w:tblGrid>
      <w:tr w14:paraId="4C4F2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846" w:type="dxa"/>
            <w:noWrap w:val="0"/>
            <w:vAlign w:val="center"/>
          </w:tcPr>
          <w:p w14:paraId="01D2C09E">
            <w:pPr>
              <w:jc w:val="center"/>
              <w:rPr>
                <w:rFonts w:hint="eastAsia" w:ascii="宋体" w:hAnsi="宋体" w:eastAsia="宋体"/>
                <w:color w:val="auto"/>
                <w:highlight w:val="none"/>
                <w:lang w:eastAsia="zh-CN"/>
              </w:rPr>
            </w:pPr>
            <w:r>
              <w:rPr>
                <w:rFonts w:hint="eastAsia" w:ascii="宋体" w:hAnsi="宋体"/>
                <w:color w:val="auto"/>
                <w:highlight w:val="none"/>
                <w:lang w:val="en-US" w:eastAsia="zh-CN"/>
              </w:rPr>
              <w:t>序号</w:t>
            </w:r>
          </w:p>
        </w:tc>
        <w:tc>
          <w:tcPr>
            <w:tcW w:w="1367" w:type="dxa"/>
            <w:noWrap w:val="0"/>
            <w:vAlign w:val="center"/>
          </w:tcPr>
          <w:p w14:paraId="5F34377C">
            <w:pPr>
              <w:jc w:val="center"/>
              <w:rPr>
                <w:rFonts w:hint="eastAsia" w:ascii="宋体" w:hAnsi="宋体"/>
                <w:color w:val="auto"/>
                <w:highlight w:val="none"/>
              </w:rPr>
            </w:pPr>
            <w:r>
              <w:rPr>
                <w:rFonts w:hint="eastAsia" w:ascii="宋体" w:hAnsi="宋体"/>
                <w:color w:val="auto"/>
                <w:highlight w:val="none"/>
              </w:rPr>
              <w:t>姓名</w:t>
            </w:r>
          </w:p>
        </w:tc>
        <w:tc>
          <w:tcPr>
            <w:tcW w:w="1810" w:type="dxa"/>
            <w:noWrap w:val="0"/>
            <w:vAlign w:val="center"/>
          </w:tcPr>
          <w:p w14:paraId="755EEC0E">
            <w:pPr>
              <w:jc w:val="center"/>
              <w:rPr>
                <w:rFonts w:hint="default" w:ascii="宋体" w:hAnsi="宋体" w:eastAsia="宋体"/>
                <w:color w:val="auto"/>
                <w:highlight w:val="none"/>
                <w:lang w:val="en-US" w:eastAsia="zh-CN"/>
              </w:rPr>
            </w:pPr>
            <w:r>
              <w:rPr>
                <w:rFonts w:hint="default" w:ascii="宋体" w:hAnsi="宋体" w:eastAsia="宋体"/>
                <w:color w:val="auto"/>
                <w:highlight w:val="none"/>
                <w:lang w:val="en-US" w:eastAsia="zh-CN"/>
              </w:rPr>
              <w:t>在本项目中担任的岗位</w:t>
            </w:r>
          </w:p>
        </w:tc>
        <w:tc>
          <w:tcPr>
            <w:tcW w:w="1137" w:type="dxa"/>
            <w:noWrap w:val="0"/>
            <w:vAlign w:val="center"/>
          </w:tcPr>
          <w:p w14:paraId="6B475A67">
            <w:pPr>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联系电话</w:t>
            </w:r>
          </w:p>
        </w:tc>
        <w:tc>
          <w:tcPr>
            <w:tcW w:w="3331" w:type="dxa"/>
            <w:noWrap w:val="0"/>
            <w:vAlign w:val="center"/>
          </w:tcPr>
          <w:p w14:paraId="55AACA38">
            <w:pPr>
              <w:ind w:firstLine="12"/>
              <w:jc w:val="center"/>
              <w:rPr>
                <w:rFonts w:hint="eastAsia" w:ascii="宋体" w:hAnsi="宋体" w:eastAsia="宋体"/>
                <w:color w:val="auto"/>
                <w:highlight w:val="none"/>
                <w:lang w:eastAsia="zh-CN"/>
              </w:rPr>
            </w:pPr>
            <w:r>
              <w:rPr>
                <w:rFonts w:hint="eastAsia" w:ascii="宋体" w:hAnsi="宋体"/>
                <w:color w:val="auto"/>
                <w:highlight w:val="none"/>
              </w:rPr>
              <w:t>主要资历、经验</w:t>
            </w:r>
          </w:p>
        </w:tc>
        <w:tc>
          <w:tcPr>
            <w:tcW w:w="1077" w:type="dxa"/>
            <w:noWrap w:val="0"/>
            <w:vAlign w:val="center"/>
          </w:tcPr>
          <w:p w14:paraId="3ABFAABC">
            <w:pPr>
              <w:ind w:firstLine="12"/>
              <w:jc w:val="center"/>
              <w:rPr>
                <w:rFonts w:hint="eastAsia" w:ascii="宋体" w:hAnsi="宋体"/>
                <w:color w:val="auto"/>
                <w:highlight w:val="none"/>
              </w:rPr>
            </w:pPr>
            <w:r>
              <w:rPr>
                <w:rFonts w:hint="eastAsia" w:ascii="宋体" w:hAnsi="宋体"/>
                <w:color w:val="auto"/>
                <w:highlight w:val="none"/>
              </w:rPr>
              <w:t>备注</w:t>
            </w:r>
          </w:p>
        </w:tc>
      </w:tr>
      <w:tr w14:paraId="5B495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46" w:type="dxa"/>
            <w:noWrap w:val="0"/>
            <w:vAlign w:val="center"/>
          </w:tcPr>
          <w:p w14:paraId="00DFF3C7">
            <w:pPr>
              <w:jc w:val="center"/>
              <w:rPr>
                <w:rFonts w:hint="eastAsia" w:ascii="宋体" w:hAnsi="宋体"/>
                <w:color w:val="auto"/>
                <w:highlight w:val="none"/>
              </w:rPr>
            </w:pPr>
          </w:p>
        </w:tc>
        <w:tc>
          <w:tcPr>
            <w:tcW w:w="1367" w:type="dxa"/>
            <w:noWrap w:val="0"/>
            <w:vAlign w:val="center"/>
          </w:tcPr>
          <w:p w14:paraId="617B1553">
            <w:pPr>
              <w:jc w:val="center"/>
              <w:rPr>
                <w:rFonts w:hint="eastAsia" w:ascii="宋体" w:hAnsi="宋体"/>
                <w:color w:val="auto"/>
                <w:highlight w:val="none"/>
              </w:rPr>
            </w:pPr>
          </w:p>
        </w:tc>
        <w:tc>
          <w:tcPr>
            <w:tcW w:w="1810" w:type="dxa"/>
            <w:noWrap w:val="0"/>
            <w:vAlign w:val="center"/>
          </w:tcPr>
          <w:p w14:paraId="782100B3">
            <w:pPr>
              <w:jc w:val="center"/>
              <w:rPr>
                <w:rFonts w:hint="eastAsia" w:ascii="宋体" w:hAnsi="宋体"/>
                <w:color w:val="auto"/>
                <w:highlight w:val="none"/>
              </w:rPr>
            </w:pPr>
          </w:p>
        </w:tc>
        <w:tc>
          <w:tcPr>
            <w:tcW w:w="1137" w:type="dxa"/>
            <w:noWrap w:val="0"/>
            <w:vAlign w:val="center"/>
          </w:tcPr>
          <w:p w14:paraId="2B4CA672">
            <w:pPr>
              <w:jc w:val="center"/>
              <w:rPr>
                <w:rFonts w:hint="eastAsia" w:ascii="宋体" w:hAnsi="宋体"/>
                <w:color w:val="auto"/>
                <w:highlight w:val="none"/>
              </w:rPr>
            </w:pPr>
          </w:p>
        </w:tc>
        <w:tc>
          <w:tcPr>
            <w:tcW w:w="3331" w:type="dxa"/>
            <w:noWrap w:val="0"/>
            <w:vAlign w:val="center"/>
          </w:tcPr>
          <w:p w14:paraId="1DF28AA2">
            <w:pPr>
              <w:jc w:val="center"/>
              <w:rPr>
                <w:rFonts w:hint="eastAsia" w:ascii="宋体" w:hAnsi="宋体"/>
                <w:color w:val="auto"/>
                <w:highlight w:val="none"/>
              </w:rPr>
            </w:pPr>
          </w:p>
        </w:tc>
        <w:tc>
          <w:tcPr>
            <w:tcW w:w="1077" w:type="dxa"/>
            <w:noWrap w:val="0"/>
            <w:vAlign w:val="center"/>
          </w:tcPr>
          <w:p w14:paraId="10AFD1BF">
            <w:pPr>
              <w:jc w:val="center"/>
              <w:rPr>
                <w:rFonts w:hint="eastAsia" w:ascii="宋体" w:hAnsi="宋体"/>
                <w:color w:val="auto"/>
                <w:highlight w:val="none"/>
              </w:rPr>
            </w:pPr>
          </w:p>
        </w:tc>
      </w:tr>
      <w:tr w14:paraId="3745E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46" w:type="dxa"/>
            <w:noWrap w:val="0"/>
            <w:vAlign w:val="center"/>
          </w:tcPr>
          <w:p w14:paraId="313EF2EC">
            <w:pPr>
              <w:jc w:val="center"/>
              <w:rPr>
                <w:rFonts w:hint="eastAsia" w:ascii="宋体" w:hAnsi="宋体"/>
                <w:color w:val="auto"/>
                <w:highlight w:val="none"/>
              </w:rPr>
            </w:pPr>
          </w:p>
        </w:tc>
        <w:tc>
          <w:tcPr>
            <w:tcW w:w="1367" w:type="dxa"/>
            <w:noWrap w:val="0"/>
            <w:vAlign w:val="center"/>
          </w:tcPr>
          <w:p w14:paraId="0EA8A848">
            <w:pPr>
              <w:jc w:val="center"/>
              <w:rPr>
                <w:rFonts w:hint="eastAsia" w:ascii="宋体" w:hAnsi="宋体"/>
                <w:color w:val="auto"/>
                <w:highlight w:val="none"/>
              </w:rPr>
            </w:pPr>
          </w:p>
        </w:tc>
        <w:tc>
          <w:tcPr>
            <w:tcW w:w="1810" w:type="dxa"/>
            <w:noWrap w:val="0"/>
            <w:vAlign w:val="center"/>
          </w:tcPr>
          <w:p w14:paraId="1801C8AD">
            <w:pPr>
              <w:jc w:val="center"/>
              <w:rPr>
                <w:rFonts w:hint="eastAsia" w:ascii="宋体" w:hAnsi="宋体"/>
                <w:color w:val="auto"/>
                <w:highlight w:val="none"/>
              </w:rPr>
            </w:pPr>
          </w:p>
        </w:tc>
        <w:tc>
          <w:tcPr>
            <w:tcW w:w="1137" w:type="dxa"/>
            <w:noWrap w:val="0"/>
            <w:vAlign w:val="center"/>
          </w:tcPr>
          <w:p w14:paraId="798A8B0A">
            <w:pPr>
              <w:jc w:val="center"/>
              <w:rPr>
                <w:rFonts w:hint="eastAsia" w:ascii="宋体" w:hAnsi="宋体"/>
                <w:color w:val="auto"/>
                <w:highlight w:val="none"/>
              </w:rPr>
            </w:pPr>
          </w:p>
        </w:tc>
        <w:tc>
          <w:tcPr>
            <w:tcW w:w="3331" w:type="dxa"/>
            <w:noWrap w:val="0"/>
            <w:vAlign w:val="center"/>
          </w:tcPr>
          <w:p w14:paraId="0511A77E">
            <w:pPr>
              <w:jc w:val="center"/>
              <w:rPr>
                <w:rFonts w:hint="eastAsia" w:ascii="宋体" w:hAnsi="宋体"/>
                <w:color w:val="auto"/>
                <w:highlight w:val="none"/>
              </w:rPr>
            </w:pPr>
          </w:p>
        </w:tc>
        <w:tc>
          <w:tcPr>
            <w:tcW w:w="1077" w:type="dxa"/>
            <w:noWrap w:val="0"/>
            <w:vAlign w:val="center"/>
          </w:tcPr>
          <w:p w14:paraId="480FCD93">
            <w:pPr>
              <w:jc w:val="center"/>
              <w:rPr>
                <w:rFonts w:hint="eastAsia" w:ascii="宋体" w:hAnsi="宋体"/>
                <w:color w:val="auto"/>
                <w:highlight w:val="none"/>
              </w:rPr>
            </w:pPr>
          </w:p>
        </w:tc>
      </w:tr>
      <w:tr w14:paraId="75D8A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46" w:type="dxa"/>
            <w:noWrap w:val="0"/>
            <w:vAlign w:val="center"/>
          </w:tcPr>
          <w:p w14:paraId="1F52FFF4">
            <w:pPr>
              <w:jc w:val="center"/>
              <w:rPr>
                <w:rFonts w:hint="eastAsia" w:ascii="宋体" w:hAnsi="宋体"/>
                <w:color w:val="auto"/>
                <w:highlight w:val="none"/>
              </w:rPr>
            </w:pPr>
          </w:p>
        </w:tc>
        <w:tc>
          <w:tcPr>
            <w:tcW w:w="1367" w:type="dxa"/>
            <w:noWrap w:val="0"/>
            <w:vAlign w:val="center"/>
          </w:tcPr>
          <w:p w14:paraId="65A55085">
            <w:pPr>
              <w:jc w:val="center"/>
              <w:rPr>
                <w:rFonts w:hint="eastAsia" w:ascii="宋体" w:hAnsi="宋体"/>
                <w:color w:val="auto"/>
                <w:highlight w:val="none"/>
              </w:rPr>
            </w:pPr>
          </w:p>
        </w:tc>
        <w:tc>
          <w:tcPr>
            <w:tcW w:w="1810" w:type="dxa"/>
            <w:noWrap w:val="0"/>
            <w:vAlign w:val="center"/>
          </w:tcPr>
          <w:p w14:paraId="2A42D175">
            <w:pPr>
              <w:jc w:val="center"/>
              <w:rPr>
                <w:rFonts w:hint="eastAsia" w:ascii="宋体" w:hAnsi="宋体"/>
                <w:color w:val="auto"/>
                <w:highlight w:val="none"/>
              </w:rPr>
            </w:pPr>
          </w:p>
        </w:tc>
        <w:tc>
          <w:tcPr>
            <w:tcW w:w="1137" w:type="dxa"/>
            <w:noWrap w:val="0"/>
            <w:vAlign w:val="center"/>
          </w:tcPr>
          <w:p w14:paraId="430D9FA6">
            <w:pPr>
              <w:jc w:val="center"/>
              <w:rPr>
                <w:rFonts w:hint="eastAsia" w:ascii="宋体" w:hAnsi="宋体"/>
                <w:color w:val="auto"/>
                <w:highlight w:val="none"/>
              </w:rPr>
            </w:pPr>
          </w:p>
        </w:tc>
        <w:tc>
          <w:tcPr>
            <w:tcW w:w="3331" w:type="dxa"/>
            <w:noWrap w:val="0"/>
            <w:vAlign w:val="center"/>
          </w:tcPr>
          <w:p w14:paraId="75347949">
            <w:pPr>
              <w:jc w:val="center"/>
              <w:rPr>
                <w:rFonts w:hint="eastAsia" w:ascii="宋体" w:hAnsi="宋体"/>
                <w:color w:val="auto"/>
                <w:highlight w:val="none"/>
              </w:rPr>
            </w:pPr>
          </w:p>
        </w:tc>
        <w:tc>
          <w:tcPr>
            <w:tcW w:w="1077" w:type="dxa"/>
            <w:noWrap w:val="0"/>
            <w:vAlign w:val="center"/>
          </w:tcPr>
          <w:p w14:paraId="2B08B60D">
            <w:pPr>
              <w:jc w:val="center"/>
              <w:rPr>
                <w:rFonts w:hint="eastAsia" w:ascii="宋体" w:hAnsi="宋体"/>
                <w:color w:val="auto"/>
                <w:highlight w:val="none"/>
              </w:rPr>
            </w:pPr>
          </w:p>
        </w:tc>
      </w:tr>
      <w:tr w14:paraId="08125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46" w:type="dxa"/>
            <w:noWrap w:val="0"/>
            <w:vAlign w:val="center"/>
          </w:tcPr>
          <w:p w14:paraId="3D126320">
            <w:pPr>
              <w:jc w:val="center"/>
              <w:rPr>
                <w:rFonts w:hint="eastAsia" w:ascii="宋体" w:hAnsi="宋体"/>
                <w:color w:val="auto"/>
                <w:highlight w:val="none"/>
              </w:rPr>
            </w:pPr>
          </w:p>
        </w:tc>
        <w:tc>
          <w:tcPr>
            <w:tcW w:w="1367" w:type="dxa"/>
            <w:noWrap w:val="0"/>
            <w:vAlign w:val="center"/>
          </w:tcPr>
          <w:p w14:paraId="1513B60E">
            <w:pPr>
              <w:jc w:val="center"/>
              <w:rPr>
                <w:rFonts w:hint="eastAsia" w:ascii="宋体" w:hAnsi="宋体"/>
                <w:color w:val="auto"/>
                <w:highlight w:val="none"/>
              </w:rPr>
            </w:pPr>
          </w:p>
        </w:tc>
        <w:tc>
          <w:tcPr>
            <w:tcW w:w="1810" w:type="dxa"/>
            <w:noWrap w:val="0"/>
            <w:vAlign w:val="center"/>
          </w:tcPr>
          <w:p w14:paraId="0989F1FA">
            <w:pPr>
              <w:jc w:val="center"/>
              <w:rPr>
                <w:rFonts w:hint="eastAsia" w:ascii="宋体" w:hAnsi="宋体"/>
                <w:color w:val="auto"/>
                <w:highlight w:val="none"/>
              </w:rPr>
            </w:pPr>
          </w:p>
        </w:tc>
        <w:tc>
          <w:tcPr>
            <w:tcW w:w="1137" w:type="dxa"/>
            <w:noWrap w:val="0"/>
            <w:vAlign w:val="center"/>
          </w:tcPr>
          <w:p w14:paraId="65A4E1D6">
            <w:pPr>
              <w:jc w:val="center"/>
              <w:rPr>
                <w:rFonts w:hint="eastAsia" w:ascii="宋体" w:hAnsi="宋体"/>
                <w:color w:val="auto"/>
                <w:highlight w:val="none"/>
              </w:rPr>
            </w:pPr>
          </w:p>
        </w:tc>
        <w:tc>
          <w:tcPr>
            <w:tcW w:w="3331" w:type="dxa"/>
            <w:noWrap w:val="0"/>
            <w:vAlign w:val="center"/>
          </w:tcPr>
          <w:p w14:paraId="3D3EB547">
            <w:pPr>
              <w:jc w:val="center"/>
              <w:rPr>
                <w:rFonts w:hint="eastAsia" w:ascii="宋体" w:hAnsi="宋体"/>
                <w:color w:val="auto"/>
                <w:highlight w:val="none"/>
              </w:rPr>
            </w:pPr>
          </w:p>
        </w:tc>
        <w:tc>
          <w:tcPr>
            <w:tcW w:w="1077" w:type="dxa"/>
            <w:noWrap w:val="0"/>
            <w:vAlign w:val="center"/>
          </w:tcPr>
          <w:p w14:paraId="550379B9">
            <w:pPr>
              <w:jc w:val="center"/>
              <w:rPr>
                <w:rFonts w:hint="eastAsia" w:ascii="宋体" w:hAnsi="宋体"/>
                <w:color w:val="auto"/>
                <w:highlight w:val="none"/>
              </w:rPr>
            </w:pPr>
          </w:p>
        </w:tc>
      </w:tr>
      <w:tr w14:paraId="4B8D3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46" w:type="dxa"/>
            <w:noWrap w:val="0"/>
            <w:vAlign w:val="center"/>
          </w:tcPr>
          <w:p w14:paraId="1C898BC1">
            <w:pPr>
              <w:jc w:val="center"/>
              <w:rPr>
                <w:rFonts w:hint="eastAsia" w:ascii="宋体" w:hAnsi="宋体" w:eastAsia="宋体"/>
                <w:color w:val="auto"/>
                <w:highlight w:val="none"/>
                <w:lang w:eastAsia="zh-CN"/>
              </w:rPr>
            </w:pPr>
            <w:r>
              <w:rPr>
                <w:rFonts w:hint="eastAsia" w:ascii="宋体" w:hAnsi="宋体"/>
                <w:color w:val="auto"/>
                <w:highlight w:val="none"/>
                <w:lang w:eastAsia="zh-CN"/>
              </w:rPr>
              <w:t>……</w:t>
            </w:r>
          </w:p>
        </w:tc>
        <w:tc>
          <w:tcPr>
            <w:tcW w:w="1367" w:type="dxa"/>
            <w:noWrap w:val="0"/>
            <w:vAlign w:val="center"/>
          </w:tcPr>
          <w:p w14:paraId="0340E5B5">
            <w:pPr>
              <w:jc w:val="center"/>
              <w:rPr>
                <w:rFonts w:hint="eastAsia" w:ascii="宋体" w:hAnsi="宋体"/>
                <w:color w:val="auto"/>
                <w:highlight w:val="none"/>
              </w:rPr>
            </w:pPr>
          </w:p>
        </w:tc>
        <w:tc>
          <w:tcPr>
            <w:tcW w:w="1810" w:type="dxa"/>
            <w:noWrap w:val="0"/>
            <w:vAlign w:val="center"/>
          </w:tcPr>
          <w:p w14:paraId="1C8D1C4B">
            <w:pPr>
              <w:jc w:val="center"/>
              <w:rPr>
                <w:rFonts w:hint="eastAsia" w:ascii="宋体" w:hAnsi="宋体"/>
                <w:color w:val="auto"/>
                <w:highlight w:val="none"/>
              </w:rPr>
            </w:pPr>
          </w:p>
        </w:tc>
        <w:tc>
          <w:tcPr>
            <w:tcW w:w="1137" w:type="dxa"/>
            <w:noWrap w:val="0"/>
            <w:vAlign w:val="center"/>
          </w:tcPr>
          <w:p w14:paraId="53D3FA2D">
            <w:pPr>
              <w:jc w:val="center"/>
              <w:rPr>
                <w:rFonts w:hint="eastAsia" w:ascii="宋体" w:hAnsi="宋体"/>
                <w:color w:val="auto"/>
                <w:highlight w:val="none"/>
              </w:rPr>
            </w:pPr>
          </w:p>
        </w:tc>
        <w:tc>
          <w:tcPr>
            <w:tcW w:w="3331" w:type="dxa"/>
            <w:noWrap w:val="0"/>
            <w:vAlign w:val="center"/>
          </w:tcPr>
          <w:p w14:paraId="1FAF6E46">
            <w:pPr>
              <w:jc w:val="center"/>
              <w:rPr>
                <w:rFonts w:hint="eastAsia" w:ascii="宋体" w:hAnsi="宋体"/>
                <w:color w:val="auto"/>
                <w:highlight w:val="none"/>
              </w:rPr>
            </w:pPr>
          </w:p>
        </w:tc>
        <w:tc>
          <w:tcPr>
            <w:tcW w:w="1077" w:type="dxa"/>
            <w:noWrap w:val="0"/>
            <w:vAlign w:val="center"/>
          </w:tcPr>
          <w:p w14:paraId="2FD6DFEA">
            <w:pPr>
              <w:jc w:val="center"/>
              <w:rPr>
                <w:rFonts w:hint="eastAsia" w:ascii="宋体" w:hAnsi="宋体"/>
                <w:color w:val="auto"/>
                <w:highlight w:val="none"/>
              </w:rPr>
            </w:pPr>
          </w:p>
        </w:tc>
      </w:tr>
    </w:tbl>
    <w:p w14:paraId="5EEDF0FB">
      <w:pPr>
        <w:keepNext w:val="0"/>
        <w:keepLines w:val="0"/>
        <w:pageBreakBefore w:val="0"/>
        <w:widowControl w:val="0"/>
        <w:tabs>
          <w:tab w:val="left" w:pos="9135"/>
        </w:tabs>
        <w:kinsoku/>
        <w:wordWrap/>
        <w:overflowPunct/>
        <w:topLinePunct w:val="0"/>
        <w:autoSpaceDE/>
        <w:autoSpaceDN/>
        <w:bidi w:val="0"/>
        <w:adjustRightInd w:val="0"/>
        <w:snapToGrid w:val="0"/>
        <w:spacing w:before="418" w:beforeLines="100" w:line="360" w:lineRule="auto"/>
        <w:ind w:firstLine="630" w:firstLineChars="300"/>
        <w:textAlignment w:val="auto"/>
        <w:outlineLvl w:val="9"/>
        <w:rPr>
          <w:rFonts w:hint="eastAsia" w:ascii="宋体" w:hAnsi="宋体" w:eastAsia="宋体" w:cs="宋体"/>
          <w:color w:val="auto"/>
          <w:sz w:val="24"/>
          <w:highlight w:val="none"/>
          <w:lang w:eastAsia="zh-CN"/>
        </w:rPr>
      </w:pPr>
      <w:r>
        <w:rPr>
          <w:rFonts w:hint="eastAsia" w:ascii="宋体" w:hAnsi="宋体"/>
          <w:color w:val="auto"/>
          <w:highlight w:val="none"/>
        </w:rPr>
        <w:t>注：本表后需提供招标文件要求的有关书面证明材料。</w:t>
      </w:r>
    </w:p>
    <w:p w14:paraId="6E48FAE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lang w:eastAsia="zh-CN"/>
        </w:rPr>
      </w:pPr>
    </w:p>
    <w:p w14:paraId="35DECB6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lang w:eastAsia="zh-CN"/>
        </w:rPr>
      </w:pPr>
    </w:p>
    <w:p w14:paraId="60042CE1">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cs="宋体"/>
          <w:b w:val="0"/>
          <w:bCs w:val="0"/>
          <w:color w:val="auto"/>
          <w:kern w:val="0"/>
          <w:sz w:val="24"/>
          <w:szCs w:val="24"/>
          <w:highlight w:val="none"/>
          <w:u w:val="single"/>
          <w:lang w:val="en-US" w:eastAsia="zh-CN"/>
        </w:rPr>
      </w:pPr>
      <w:r>
        <w:rPr>
          <w:rFonts w:hint="eastAsia" w:ascii="宋体" w:hAnsi="宋体" w:cs="宋体"/>
          <w:color w:val="auto"/>
          <w:sz w:val="24"/>
          <w:highlight w:val="none"/>
          <w:lang w:val="en-US" w:eastAsia="zh-CN"/>
        </w:rPr>
        <w:t>投标人名称</w:t>
      </w:r>
      <w:r>
        <w:rPr>
          <w:rFonts w:hint="eastAsia" w:ascii="宋体" w:hAnsi="宋体" w:eastAsia="宋体" w:cs="宋体"/>
          <w:b w:val="0"/>
          <w:bCs w:val="0"/>
          <w:color w:val="auto"/>
          <w:kern w:val="0"/>
          <w:sz w:val="24"/>
          <w:szCs w:val="24"/>
          <w:highlight w:val="none"/>
        </w:rPr>
        <w:t>（公章）：</w:t>
      </w:r>
      <w:r>
        <w:rPr>
          <w:rFonts w:hint="eastAsia" w:ascii="宋体" w:hAnsi="宋体" w:cs="宋体"/>
          <w:b w:val="0"/>
          <w:bCs w:val="0"/>
          <w:color w:val="auto"/>
          <w:kern w:val="0"/>
          <w:sz w:val="24"/>
          <w:szCs w:val="24"/>
          <w:highlight w:val="none"/>
          <w:u w:val="single"/>
          <w:lang w:val="en-US" w:eastAsia="zh-CN"/>
        </w:rPr>
        <w:t xml:space="preserve">                     </w:t>
      </w:r>
    </w:p>
    <w:p w14:paraId="4EAAC0A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default"/>
          <w:color w:val="auto"/>
          <w:sz w:val="24"/>
          <w:szCs w:val="24"/>
          <w:highlight w:val="none"/>
          <w:lang w:val="en-US" w:eastAsia="zh-CN"/>
        </w:rPr>
      </w:pPr>
    </w:p>
    <w:p w14:paraId="3D4062F8">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color w:val="auto"/>
          <w:sz w:val="24"/>
          <w:szCs w:val="24"/>
          <w:highlight w:val="none"/>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委托代理人（签字或盖章）：</w:t>
      </w:r>
      <w:r>
        <w:rPr>
          <w:rFonts w:hint="eastAsia" w:ascii="宋体" w:hAnsi="宋体" w:cs="宋体"/>
          <w:b w:val="0"/>
          <w:bCs w:val="0"/>
          <w:color w:val="auto"/>
          <w:kern w:val="0"/>
          <w:sz w:val="24"/>
          <w:szCs w:val="24"/>
          <w:highlight w:val="none"/>
          <w:u w:val="single"/>
          <w:lang w:val="en-US" w:eastAsia="zh-CN"/>
        </w:rPr>
        <w:t xml:space="preserve">                   </w:t>
      </w:r>
    </w:p>
    <w:p w14:paraId="53A488CC">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b w:val="0"/>
          <w:bCs w:val="0"/>
          <w:color w:val="auto"/>
          <w:kern w:val="0"/>
          <w:sz w:val="24"/>
          <w:szCs w:val="24"/>
          <w:highlight w:val="none"/>
        </w:rPr>
      </w:pPr>
    </w:p>
    <w:p w14:paraId="37828597">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14:paraId="4C000191">
      <w:pPr>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br w:type="page"/>
      </w:r>
    </w:p>
    <w:p w14:paraId="75305F5E">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default" w:ascii="Times New Roman" w:hAnsi="Times New Roman" w:eastAsia="宋体" w:cs="Times New Roman"/>
          <w:color w:val="auto"/>
          <w:sz w:val="24"/>
          <w:szCs w:val="24"/>
          <w:highlight w:val="none"/>
          <w:lang w:val="en-US" w:eastAsia="zh-CN"/>
        </w:rPr>
      </w:pPr>
      <w:bookmarkStart w:id="475" w:name="_Toc24039"/>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九</w:t>
      </w:r>
      <w:r>
        <w:rPr>
          <w:rFonts w:hint="eastAsia" w:ascii="Times New Roman" w:hAnsi="Times New Roman" w:eastAsia="宋体" w:cs="Times New Roman"/>
          <w:color w:val="auto"/>
          <w:sz w:val="24"/>
          <w:szCs w:val="24"/>
          <w:highlight w:val="none"/>
          <w:lang w:eastAsia="zh-CN"/>
        </w:rPr>
        <w:t>）实施（服务）方案</w:t>
      </w:r>
      <w:bookmarkEnd w:id="475"/>
    </w:p>
    <w:p w14:paraId="3B8EBFE1">
      <w:pPr>
        <w:jc w:val="center"/>
        <w:rPr>
          <w:rFonts w:hint="eastAsia"/>
          <w:color w:val="auto"/>
          <w:highlight w:val="none"/>
        </w:rPr>
      </w:pPr>
      <w:r>
        <w:rPr>
          <w:rFonts w:hint="eastAsia"/>
          <w:color w:val="auto"/>
          <w:highlight w:val="none"/>
        </w:rPr>
        <w:t>（格式自拟）</w:t>
      </w:r>
    </w:p>
    <w:p w14:paraId="5DE003CA">
      <w:pPr>
        <w:pStyle w:val="49"/>
        <w:rPr>
          <w:rFonts w:hint="eastAsia" w:eastAsia="宋体" w:cs="Times New Roman"/>
          <w:color w:val="auto"/>
          <w:highlight w:val="none"/>
          <w:lang w:eastAsia="zh-CN"/>
        </w:rPr>
      </w:pPr>
    </w:p>
    <w:p w14:paraId="1D21EDFF">
      <w:pPr>
        <w:pStyle w:val="49"/>
        <w:rPr>
          <w:rFonts w:hint="eastAsia" w:eastAsia="宋体" w:cs="Times New Roman"/>
          <w:color w:val="auto"/>
          <w:highlight w:val="none"/>
          <w:lang w:eastAsia="zh-CN"/>
        </w:rPr>
      </w:pPr>
    </w:p>
    <w:p w14:paraId="4FD17AF4">
      <w:pPr>
        <w:rPr>
          <w:rFonts w:hint="eastAsia"/>
          <w:color w:val="auto"/>
          <w:highlight w:val="none"/>
          <w:lang w:eastAsia="zh-CN"/>
        </w:rPr>
      </w:pPr>
    </w:p>
    <w:p w14:paraId="5A285584">
      <w:pPr>
        <w:pStyle w:val="21"/>
        <w:ind w:left="0" w:leftChars="0" w:firstLine="0" w:firstLineChars="0"/>
        <w:rPr>
          <w:rFonts w:hint="eastAsia"/>
          <w:color w:val="auto"/>
          <w:highlight w:val="none"/>
          <w:lang w:eastAsia="zh-CN"/>
        </w:rPr>
      </w:pPr>
    </w:p>
    <w:p w14:paraId="30DEB7C8">
      <w:pPr>
        <w:pStyle w:val="49"/>
        <w:rPr>
          <w:rFonts w:hint="eastAsia" w:eastAsia="宋体" w:cs="Times New Roman"/>
          <w:color w:val="auto"/>
          <w:highlight w:val="none"/>
          <w:lang w:eastAsia="zh-CN"/>
        </w:rPr>
      </w:pPr>
    </w:p>
    <w:p w14:paraId="590D737F">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eastAsia" w:ascii="Times New Roman" w:hAnsi="Times New Roman" w:eastAsia="宋体" w:cs="Times New Roman"/>
          <w:color w:val="auto"/>
          <w:sz w:val="24"/>
          <w:szCs w:val="24"/>
          <w:highlight w:val="none"/>
          <w:lang w:eastAsia="zh-CN"/>
        </w:rPr>
      </w:pPr>
      <w:bookmarkStart w:id="476" w:name="_Toc3858"/>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十</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进度计划保障措施</w:t>
      </w:r>
      <w:bookmarkEnd w:id="476"/>
    </w:p>
    <w:p w14:paraId="3189E24A">
      <w:pPr>
        <w:jc w:val="center"/>
        <w:rPr>
          <w:rFonts w:hint="eastAsia"/>
          <w:color w:val="auto"/>
          <w:highlight w:val="none"/>
        </w:rPr>
      </w:pPr>
      <w:r>
        <w:rPr>
          <w:rFonts w:hint="eastAsia"/>
          <w:color w:val="auto"/>
          <w:highlight w:val="none"/>
        </w:rPr>
        <w:t>（格式自拟）</w:t>
      </w:r>
    </w:p>
    <w:p w14:paraId="578DC968">
      <w:pPr>
        <w:pStyle w:val="49"/>
        <w:rPr>
          <w:rFonts w:hint="eastAsia" w:eastAsia="宋体" w:cs="Times New Roman"/>
          <w:color w:val="auto"/>
          <w:highlight w:val="none"/>
          <w:lang w:eastAsia="zh-CN"/>
        </w:rPr>
      </w:pPr>
    </w:p>
    <w:p w14:paraId="0F313DE8">
      <w:pPr>
        <w:pStyle w:val="49"/>
        <w:rPr>
          <w:rFonts w:hint="eastAsia" w:eastAsia="宋体" w:cs="Times New Roman"/>
          <w:color w:val="auto"/>
          <w:highlight w:val="none"/>
          <w:lang w:eastAsia="zh-CN"/>
        </w:rPr>
      </w:pPr>
    </w:p>
    <w:p w14:paraId="58930C5B">
      <w:pPr>
        <w:rPr>
          <w:rFonts w:hint="eastAsia"/>
          <w:color w:val="auto"/>
          <w:highlight w:val="none"/>
          <w:lang w:eastAsia="zh-CN"/>
        </w:rPr>
      </w:pPr>
    </w:p>
    <w:p w14:paraId="3C77CDBC">
      <w:pPr>
        <w:rPr>
          <w:rFonts w:hint="eastAsia"/>
          <w:color w:val="auto"/>
          <w:highlight w:val="none"/>
          <w:lang w:eastAsia="zh-CN"/>
        </w:rPr>
      </w:pPr>
    </w:p>
    <w:p w14:paraId="6541FA08">
      <w:pPr>
        <w:pStyle w:val="49"/>
        <w:rPr>
          <w:rFonts w:hint="eastAsia" w:eastAsia="宋体" w:cs="Times New Roman"/>
          <w:color w:val="auto"/>
          <w:highlight w:val="none"/>
          <w:lang w:eastAsia="zh-CN"/>
        </w:rPr>
      </w:pPr>
    </w:p>
    <w:p w14:paraId="60D434DC">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eastAsia" w:ascii="Times New Roman" w:hAnsi="Times New Roman" w:eastAsia="宋体" w:cs="Times New Roman"/>
          <w:color w:val="auto"/>
          <w:sz w:val="24"/>
          <w:szCs w:val="24"/>
          <w:highlight w:val="none"/>
          <w:lang w:eastAsia="zh-CN"/>
        </w:rPr>
      </w:pPr>
      <w:bookmarkStart w:id="477" w:name="_Toc27963"/>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kern w:val="2"/>
          <w:sz w:val="24"/>
          <w:szCs w:val="24"/>
          <w:highlight w:val="none"/>
          <w:lang w:val="en-US" w:eastAsia="zh-CN" w:bidi="ar-SA"/>
        </w:rPr>
        <w:t>十</w:t>
      </w:r>
      <w:r>
        <w:rPr>
          <w:rFonts w:hint="eastAsia" w:cs="Times New Roman"/>
          <w:color w:val="auto"/>
          <w:kern w:val="2"/>
          <w:sz w:val="24"/>
          <w:szCs w:val="24"/>
          <w:highlight w:val="none"/>
          <w:lang w:val="en-US" w:eastAsia="zh-CN" w:bidi="ar-SA"/>
        </w:rPr>
        <w:t>一</w:t>
      </w:r>
      <w:r>
        <w:rPr>
          <w:rFonts w:hint="eastAsia" w:ascii="Times New Roman" w:hAnsi="Times New Roman" w:eastAsia="宋体" w:cs="Times New Roman"/>
          <w:color w:val="auto"/>
          <w:sz w:val="24"/>
          <w:szCs w:val="24"/>
          <w:highlight w:val="none"/>
          <w:lang w:eastAsia="zh-CN"/>
        </w:rPr>
        <w:t>）服务质量控制措施</w:t>
      </w:r>
      <w:bookmarkEnd w:id="477"/>
    </w:p>
    <w:p w14:paraId="0831ED6B">
      <w:pPr>
        <w:jc w:val="center"/>
        <w:rPr>
          <w:rFonts w:hint="eastAsia"/>
          <w:color w:val="auto"/>
          <w:highlight w:val="none"/>
        </w:rPr>
      </w:pPr>
      <w:r>
        <w:rPr>
          <w:rFonts w:hint="eastAsia"/>
          <w:color w:val="auto"/>
          <w:highlight w:val="none"/>
        </w:rPr>
        <w:t>（格式自拟）</w:t>
      </w:r>
    </w:p>
    <w:p w14:paraId="30689B36">
      <w:pPr>
        <w:pStyle w:val="49"/>
        <w:rPr>
          <w:rFonts w:hint="eastAsia" w:eastAsia="宋体" w:cs="Times New Roman"/>
          <w:color w:val="auto"/>
          <w:highlight w:val="none"/>
          <w:lang w:eastAsia="zh-CN"/>
        </w:rPr>
      </w:pPr>
    </w:p>
    <w:p w14:paraId="21640067">
      <w:pPr>
        <w:pStyle w:val="49"/>
        <w:rPr>
          <w:rFonts w:hint="eastAsia" w:eastAsia="宋体" w:cs="Times New Roman"/>
          <w:color w:val="auto"/>
          <w:highlight w:val="none"/>
          <w:lang w:eastAsia="zh-CN"/>
        </w:rPr>
      </w:pPr>
    </w:p>
    <w:p w14:paraId="5AE4D764">
      <w:pPr>
        <w:rPr>
          <w:rFonts w:hint="eastAsia"/>
          <w:color w:val="auto"/>
          <w:highlight w:val="none"/>
          <w:lang w:eastAsia="zh-CN"/>
        </w:rPr>
      </w:pPr>
    </w:p>
    <w:p w14:paraId="188E6EEC">
      <w:pPr>
        <w:pStyle w:val="21"/>
        <w:ind w:left="0" w:leftChars="0" w:firstLine="0" w:firstLineChars="0"/>
        <w:rPr>
          <w:rFonts w:hint="eastAsia"/>
          <w:color w:val="auto"/>
          <w:highlight w:val="none"/>
          <w:lang w:eastAsia="zh-CN"/>
        </w:rPr>
      </w:pPr>
    </w:p>
    <w:p w14:paraId="4C7210F1">
      <w:pPr>
        <w:pStyle w:val="49"/>
        <w:rPr>
          <w:rFonts w:hint="eastAsia" w:eastAsia="宋体" w:cs="Times New Roman"/>
          <w:color w:val="auto"/>
          <w:highlight w:val="none"/>
          <w:lang w:eastAsia="zh-CN"/>
        </w:rPr>
      </w:pPr>
    </w:p>
    <w:p w14:paraId="73FAFF58">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2"/>
        <w:rPr>
          <w:rFonts w:hint="eastAsia" w:cs="Times New Roman"/>
          <w:color w:val="auto"/>
          <w:sz w:val="24"/>
          <w:szCs w:val="24"/>
          <w:highlight w:val="none"/>
          <w:lang w:val="en-US" w:eastAsia="zh-CN"/>
        </w:rPr>
      </w:pPr>
      <w:bookmarkStart w:id="478" w:name="_Toc4336"/>
      <w:r>
        <w:rPr>
          <w:rFonts w:hint="eastAsia" w:ascii="Times New Roman" w:hAnsi="Times New Roman" w:eastAsia="宋体" w:cs="Times New Roman"/>
          <w:color w:val="auto"/>
          <w:kern w:val="2"/>
          <w:sz w:val="24"/>
          <w:szCs w:val="24"/>
          <w:highlight w:val="none"/>
          <w:lang w:val="en-US" w:eastAsia="zh-CN" w:bidi="ar-SA"/>
        </w:rPr>
        <w:t>（十</w:t>
      </w:r>
      <w:r>
        <w:rPr>
          <w:rFonts w:hint="eastAsia" w:cs="Times New Roman"/>
          <w:color w:val="auto"/>
          <w:kern w:val="2"/>
          <w:sz w:val="24"/>
          <w:szCs w:val="24"/>
          <w:highlight w:val="none"/>
          <w:lang w:val="en-US" w:eastAsia="zh-CN" w:bidi="ar-SA"/>
        </w:rPr>
        <w:t>二</w:t>
      </w:r>
      <w:r>
        <w:rPr>
          <w:rFonts w:hint="eastAsia" w:ascii="Times New Roman" w:hAnsi="Times New Roman" w:eastAsia="宋体" w:cs="Times New Roman"/>
          <w:color w:val="auto"/>
          <w:kern w:val="2"/>
          <w:sz w:val="24"/>
          <w:szCs w:val="24"/>
          <w:highlight w:val="none"/>
          <w:lang w:val="en-US" w:eastAsia="zh-CN" w:bidi="ar-SA"/>
        </w:rPr>
        <w:t>）内控制度措施</w:t>
      </w:r>
      <w:bookmarkEnd w:id="478"/>
    </w:p>
    <w:p w14:paraId="5F8ECC70">
      <w:pPr>
        <w:jc w:val="center"/>
        <w:rPr>
          <w:rFonts w:hint="eastAsia"/>
          <w:color w:val="auto"/>
          <w:highlight w:val="none"/>
        </w:rPr>
      </w:pPr>
      <w:r>
        <w:rPr>
          <w:rFonts w:hint="eastAsia"/>
          <w:color w:val="auto"/>
          <w:highlight w:val="none"/>
        </w:rPr>
        <w:t>（格式自拟）</w:t>
      </w:r>
    </w:p>
    <w:p w14:paraId="5A77F85B">
      <w:pPr>
        <w:pStyle w:val="49"/>
        <w:rPr>
          <w:rFonts w:hint="eastAsia" w:eastAsia="宋体" w:cs="Times New Roman"/>
          <w:color w:val="auto"/>
          <w:highlight w:val="none"/>
          <w:lang w:val="en-US" w:eastAsia="zh-CN"/>
        </w:rPr>
      </w:pPr>
    </w:p>
    <w:p w14:paraId="52AE1E91">
      <w:pPr>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br w:type="page"/>
      </w:r>
    </w:p>
    <w:bookmarkEnd w:id="464"/>
    <w:bookmarkEnd w:id="465"/>
    <w:bookmarkEnd w:id="470"/>
    <w:bookmarkEnd w:id="471"/>
    <w:p w14:paraId="3F399344">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eastAsia" w:ascii="Times New Roman" w:hAnsi="Times New Roman" w:eastAsia="宋体" w:cs="Times New Roman"/>
          <w:color w:val="auto"/>
          <w:sz w:val="24"/>
          <w:szCs w:val="24"/>
          <w:highlight w:val="none"/>
          <w:lang w:eastAsia="zh-CN"/>
        </w:rPr>
      </w:pPr>
      <w:bookmarkStart w:id="479" w:name="_Toc29109"/>
      <w:r>
        <w:rPr>
          <w:rFonts w:hint="eastAsia" w:ascii="Times New Roman" w:hAnsi="Times New Roman" w:eastAsia="宋体" w:cs="Times New Roman"/>
          <w:color w:val="auto"/>
          <w:sz w:val="24"/>
          <w:szCs w:val="24"/>
          <w:highlight w:val="none"/>
          <w:lang w:eastAsia="zh-CN"/>
        </w:rPr>
        <w:t>（十</w:t>
      </w:r>
      <w:r>
        <w:rPr>
          <w:rFonts w:hint="eastAsia" w:cs="Times New Roman"/>
          <w:color w:val="auto"/>
          <w:sz w:val="24"/>
          <w:szCs w:val="24"/>
          <w:highlight w:val="none"/>
          <w:lang w:val="en-US" w:eastAsia="zh-CN"/>
        </w:rPr>
        <w:t>三</w:t>
      </w:r>
      <w:r>
        <w:rPr>
          <w:rFonts w:hint="eastAsia" w:ascii="Times New Roman" w:hAnsi="Times New Roman" w:eastAsia="宋体" w:cs="Times New Roman"/>
          <w:color w:val="auto"/>
          <w:sz w:val="24"/>
          <w:szCs w:val="24"/>
          <w:highlight w:val="none"/>
          <w:lang w:eastAsia="zh-CN"/>
        </w:rPr>
        <w:t>）其他有利于投标的资料及证明文件等</w:t>
      </w:r>
      <w:bookmarkEnd w:id="479"/>
    </w:p>
    <w:p w14:paraId="0D745884">
      <w:pPr>
        <w:jc w:val="center"/>
        <w:outlineLvl w:val="9"/>
        <w:rPr>
          <w:rFonts w:hint="eastAsia"/>
          <w:color w:val="auto"/>
          <w:highlight w:val="none"/>
        </w:rPr>
      </w:pPr>
      <w:r>
        <w:rPr>
          <w:rFonts w:hint="eastAsia"/>
          <w:color w:val="auto"/>
          <w:highlight w:val="none"/>
        </w:rPr>
        <w:t>（如有）</w:t>
      </w:r>
    </w:p>
    <w:p w14:paraId="7DB5AAFF">
      <w:pPr>
        <w:keepNext/>
        <w:keepLines w:val="0"/>
        <w:pageBreakBefore w:val="0"/>
        <w:widowControl w:val="0"/>
        <w:numPr>
          <w:ilvl w:val="0"/>
          <w:numId w:val="0"/>
        </w:numPr>
        <w:tabs>
          <w:tab w:val="left" w:pos="360"/>
        </w:tabs>
        <w:kinsoku/>
        <w:wordWrap/>
        <w:overflowPunct/>
        <w:topLinePunct w:val="0"/>
        <w:autoSpaceDE/>
        <w:autoSpaceDN/>
        <w:bidi w:val="0"/>
        <w:adjustRightInd w:val="0"/>
        <w:snapToGrid w:val="0"/>
        <w:spacing w:line="400" w:lineRule="exact"/>
        <w:jc w:val="center"/>
        <w:textAlignment w:val="auto"/>
        <w:outlineLvl w:val="0"/>
        <w:rPr>
          <w:rFonts w:hint="eastAsia" w:ascii="宋体" w:hAnsi="宋体" w:eastAsia="宋体" w:cs="宋体"/>
          <w:color w:val="auto"/>
          <w:sz w:val="32"/>
          <w:szCs w:val="32"/>
          <w:highlight w:val="none"/>
        </w:rPr>
      </w:pPr>
      <w:bookmarkStart w:id="480" w:name="_Toc14960"/>
      <w:bookmarkStart w:id="481" w:name="_Toc25313"/>
      <w:bookmarkStart w:id="482" w:name="_Toc23651"/>
      <w:bookmarkStart w:id="483" w:name="_Toc32300"/>
      <w:r>
        <w:rPr>
          <w:rFonts w:hint="eastAsia" w:ascii="宋体" w:hAnsi="宋体" w:eastAsia="宋体" w:cs="宋体"/>
          <w:color w:val="auto"/>
          <w:sz w:val="32"/>
          <w:szCs w:val="32"/>
          <w:highlight w:val="none"/>
        </w:rPr>
        <w:br w:type="page"/>
      </w:r>
      <w:bookmarkStart w:id="484" w:name="_Toc6252"/>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eastAsia="zh-CN"/>
        </w:rPr>
        <w:t>七</w:t>
      </w:r>
      <w:r>
        <w:rPr>
          <w:rFonts w:hint="eastAsia" w:ascii="宋体" w:hAnsi="宋体" w:eastAsia="宋体" w:cs="宋体"/>
          <w:color w:val="auto"/>
          <w:sz w:val="32"/>
          <w:szCs w:val="32"/>
          <w:highlight w:val="none"/>
        </w:rPr>
        <w:t>部分 附件</w:t>
      </w:r>
      <w:bookmarkEnd w:id="480"/>
      <w:bookmarkEnd w:id="481"/>
      <w:bookmarkEnd w:id="482"/>
      <w:bookmarkEnd w:id="483"/>
      <w:bookmarkEnd w:id="484"/>
    </w:p>
    <w:p w14:paraId="1EBA16BD">
      <w:pPr>
        <w:jc w:val="left"/>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附件</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p>
    <w:p w14:paraId="7DE7AC8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outlineLvl w:val="9"/>
        <w:rPr>
          <w:rFonts w:hint="eastAsia" w:ascii="宋体" w:hAnsi="宋体" w:eastAsia="宋体" w:cs="宋体"/>
          <w:b/>
          <w:bCs/>
          <w:color w:val="auto"/>
          <w:kern w:val="0"/>
          <w:sz w:val="28"/>
          <w:szCs w:val="28"/>
          <w:highlight w:val="none"/>
        </w:rPr>
      </w:pPr>
      <w:bookmarkStart w:id="485" w:name="_Toc27300"/>
      <w:bookmarkStart w:id="486" w:name="_Toc24974"/>
      <w:bookmarkStart w:id="487" w:name="_Toc32270"/>
      <w:bookmarkStart w:id="488" w:name="_Toc5355"/>
      <w:r>
        <w:rPr>
          <w:rFonts w:hint="eastAsia" w:ascii="宋体" w:hAnsi="宋体" w:eastAsia="宋体" w:cs="宋体"/>
          <w:b/>
          <w:bCs/>
          <w:color w:val="auto"/>
          <w:kern w:val="0"/>
          <w:sz w:val="28"/>
          <w:szCs w:val="28"/>
          <w:highlight w:val="none"/>
        </w:rPr>
        <w:t>中小企业划型标准规定</w:t>
      </w:r>
      <w:bookmarkEnd w:id="485"/>
      <w:bookmarkEnd w:id="486"/>
      <w:bookmarkEnd w:id="487"/>
      <w:bookmarkEnd w:id="488"/>
    </w:p>
    <w:p w14:paraId="764931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p>
    <w:p w14:paraId="2C2F85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一、根据《中华人民共和国中小企业促进法》和《国务院关于进一步促进中小企业发展的若干意见》（国发〔2009〕36号），制定本规定。</w:t>
      </w:r>
    </w:p>
    <w:p w14:paraId="0C292B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二、中小企业划分为中型、小型、微型三种类型，具体标准根据企业从业人员、营业收入、资产总额等指标，结合行业特点制定。</w:t>
      </w:r>
    </w:p>
    <w:p w14:paraId="17D359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76708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489" w:name="_Toc9986"/>
      <w:bookmarkStart w:id="490" w:name="_Toc25663"/>
      <w:r>
        <w:rPr>
          <w:rFonts w:hint="eastAsia" w:ascii="宋体" w:hAnsi="宋体" w:eastAsia="宋体" w:cs="宋体"/>
          <w:color w:val="auto"/>
          <w:sz w:val="24"/>
          <w:szCs w:val="24"/>
          <w:highlight w:val="none"/>
          <w:lang w:eastAsia="zh-CN"/>
        </w:rPr>
        <w:t>四、各行业划型标准为：</w:t>
      </w:r>
      <w:bookmarkEnd w:id="489"/>
      <w:bookmarkEnd w:id="490"/>
    </w:p>
    <w:p w14:paraId="49881EF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（一）农、林、牧、渔业。</w:t>
      </w:r>
      <w:r>
        <w:rPr>
          <w:rFonts w:hint="eastAsia" w:ascii="宋体" w:hAnsi="宋体" w:eastAsia="宋体" w:cs="宋体"/>
          <w:color w:val="auto"/>
          <w:sz w:val="24"/>
          <w:szCs w:val="24"/>
          <w:highlight w:val="none"/>
          <w:lang w:eastAsia="zh-CN"/>
        </w:rPr>
        <w:t>营业收入20000万元以下的为中小微型企业。其中，营业收入500万元及以上的为中型企业，营业收入50万元及以上的为小型企业，营业收入50万元以下的为微型企业。</w:t>
      </w:r>
    </w:p>
    <w:p w14:paraId="7789904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（二）工业。</w:t>
      </w:r>
      <w:r>
        <w:rPr>
          <w:rFonts w:hint="eastAsia" w:ascii="宋体" w:hAnsi="宋体" w:eastAsia="宋体" w:cs="宋体"/>
          <w:color w:val="auto"/>
          <w:sz w:val="24"/>
          <w:szCs w:val="24"/>
          <w:highlight w:val="none"/>
          <w:lang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C6ED7D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（三）建筑业。</w:t>
      </w:r>
      <w:r>
        <w:rPr>
          <w:rFonts w:hint="eastAsia" w:ascii="宋体" w:hAnsi="宋体" w:eastAsia="宋体" w:cs="宋体"/>
          <w:color w:val="auto"/>
          <w:sz w:val="24"/>
          <w:szCs w:val="24"/>
          <w:highlight w:val="none"/>
          <w:lang w:eastAsia="zh-CN"/>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2D93DF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（四）批发业。</w:t>
      </w:r>
      <w:r>
        <w:rPr>
          <w:rFonts w:hint="eastAsia" w:ascii="宋体" w:hAnsi="宋体" w:eastAsia="宋体" w:cs="宋体"/>
          <w:color w:val="auto"/>
          <w:sz w:val="24"/>
          <w:szCs w:val="24"/>
          <w:highlight w:val="none"/>
          <w:lang w:eastAsia="zh-CN"/>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BBD5A0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（五）零售业。</w:t>
      </w:r>
      <w:r>
        <w:rPr>
          <w:rFonts w:hint="eastAsia" w:ascii="宋体" w:hAnsi="宋体" w:eastAsia="宋体" w:cs="宋体"/>
          <w:color w:val="auto"/>
          <w:sz w:val="24"/>
          <w:szCs w:val="24"/>
          <w:highlight w:val="none"/>
          <w:lang w:eastAsia="zh-CN"/>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2E91D3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（六）交通运输业。</w:t>
      </w:r>
      <w:r>
        <w:rPr>
          <w:rFonts w:hint="eastAsia" w:ascii="宋体" w:hAnsi="宋体" w:eastAsia="宋体" w:cs="宋体"/>
          <w:color w:val="auto"/>
          <w:sz w:val="24"/>
          <w:szCs w:val="24"/>
          <w:highlight w:val="none"/>
          <w:lang w:eastAsia="zh-CN"/>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B6C578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（七）仓储业。</w:t>
      </w:r>
      <w:r>
        <w:rPr>
          <w:rFonts w:hint="eastAsia" w:ascii="宋体" w:hAnsi="宋体" w:eastAsia="宋体" w:cs="宋体"/>
          <w:color w:val="auto"/>
          <w:sz w:val="24"/>
          <w:szCs w:val="24"/>
          <w:highlight w:val="none"/>
          <w:lang w:eastAsia="zh-CN"/>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43260F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（八）邮政业。</w:t>
      </w:r>
      <w:r>
        <w:rPr>
          <w:rFonts w:hint="eastAsia" w:ascii="宋体" w:hAnsi="宋体" w:eastAsia="宋体" w:cs="宋体"/>
          <w:color w:val="auto"/>
          <w:sz w:val="24"/>
          <w:szCs w:val="24"/>
          <w:highlight w:val="none"/>
          <w:lang w:eastAsia="zh-CN"/>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BADC17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（九）住宿业。</w:t>
      </w:r>
      <w:r>
        <w:rPr>
          <w:rFonts w:hint="eastAsia" w:ascii="宋体" w:hAnsi="宋体" w:eastAsia="宋体" w:cs="宋体"/>
          <w:color w:val="auto"/>
          <w:sz w:val="24"/>
          <w:szCs w:val="24"/>
          <w:highlight w:val="none"/>
          <w:lang w:eastAsia="zh-CN"/>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23A1A5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（十）餐饮业。</w:t>
      </w:r>
      <w:r>
        <w:rPr>
          <w:rFonts w:hint="eastAsia" w:ascii="宋体" w:hAnsi="宋体" w:eastAsia="宋体" w:cs="宋体"/>
          <w:color w:val="auto"/>
          <w:sz w:val="24"/>
          <w:szCs w:val="24"/>
          <w:highlight w:val="none"/>
          <w:lang w:eastAsia="zh-CN"/>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06025C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（十一）信息传输业。</w:t>
      </w:r>
      <w:r>
        <w:rPr>
          <w:rFonts w:hint="eastAsia" w:ascii="宋体" w:hAnsi="宋体" w:eastAsia="宋体" w:cs="宋体"/>
          <w:color w:val="auto"/>
          <w:sz w:val="24"/>
          <w:szCs w:val="24"/>
          <w:highlight w:val="none"/>
          <w:lang w:eastAsia="zh-CN"/>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525FFA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（十二）软件和信息技术服务业。</w:t>
      </w:r>
      <w:r>
        <w:rPr>
          <w:rFonts w:hint="eastAsia" w:ascii="宋体" w:hAnsi="宋体" w:eastAsia="宋体" w:cs="宋体"/>
          <w:color w:val="auto"/>
          <w:sz w:val="24"/>
          <w:szCs w:val="24"/>
          <w:highlight w:val="none"/>
          <w:lang w:eastAsia="zh-CN"/>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5928A6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（十三）房地产开发经营。</w:t>
      </w:r>
      <w:r>
        <w:rPr>
          <w:rFonts w:hint="eastAsia" w:ascii="宋体" w:hAnsi="宋体" w:eastAsia="宋体" w:cs="宋体"/>
          <w:color w:val="auto"/>
          <w:sz w:val="24"/>
          <w:szCs w:val="24"/>
          <w:highlight w:val="none"/>
          <w:lang w:eastAsia="zh-CN"/>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F1C20B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（十四）物业管理。</w:t>
      </w:r>
      <w:r>
        <w:rPr>
          <w:rFonts w:hint="eastAsia" w:ascii="宋体" w:hAnsi="宋体" w:eastAsia="宋体" w:cs="宋体"/>
          <w:color w:val="auto"/>
          <w:sz w:val="24"/>
          <w:szCs w:val="24"/>
          <w:highlight w:val="none"/>
          <w:lang w:eastAsia="zh-CN"/>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6F515B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（十五）租赁和商务服务业。</w:t>
      </w:r>
      <w:r>
        <w:rPr>
          <w:rFonts w:hint="eastAsia" w:ascii="宋体" w:hAnsi="宋体" w:eastAsia="宋体" w:cs="宋体"/>
          <w:color w:val="auto"/>
          <w:sz w:val="24"/>
          <w:szCs w:val="24"/>
          <w:highlight w:val="none"/>
          <w:lang w:eastAsia="zh-CN"/>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F100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（十六）其他未列明行业。</w:t>
      </w:r>
      <w:r>
        <w:rPr>
          <w:rFonts w:hint="eastAsia" w:ascii="宋体" w:hAnsi="宋体" w:eastAsia="宋体" w:cs="宋体"/>
          <w:color w:val="auto"/>
          <w:sz w:val="24"/>
          <w:szCs w:val="24"/>
          <w:highlight w:val="none"/>
          <w:lang w:eastAsia="zh-CN"/>
        </w:rPr>
        <w:t>从业人员300人以下的为中小微型企业。其中，从业人员100人及以上的为中型企业；从业人员10人及以上的为小型企业；从业人员10人以下的为微型企业。</w:t>
      </w:r>
    </w:p>
    <w:p w14:paraId="5BE437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491" w:name="_Toc21537"/>
      <w:bookmarkStart w:id="492" w:name="_Toc2331"/>
      <w:r>
        <w:rPr>
          <w:rFonts w:hint="eastAsia" w:ascii="宋体" w:hAnsi="宋体" w:eastAsia="宋体" w:cs="宋体"/>
          <w:color w:val="auto"/>
          <w:sz w:val="24"/>
          <w:szCs w:val="24"/>
          <w:highlight w:val="none"/>
          <w:lang w:eastAsia="zh-CN"/>
        </w:rPr>
        <w:t>五、企业类型的划分以统计部门的统计数据为依据。</w:t>
      </w:r>
      <w:bookmarkEnd w:id="491"/>
      <w:bookmarkEnd w:id="492"/>
    </w:p>
    <w:p w14:paraId="07B38D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六、本规定适用于在中华人民共和国境内依法设立的各类所有制和各种组织形式的企业。个体工商户和本规定以外的行业，参照本规定进行划型。</w:t>
      </w:r>
    </w:p>
    <w:p w14:paraId="791D09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七、本规定的中型企业标准上限即为大型企业标准的下限，国家统计部门据此制定大中小微型企业的统计分类。国务院有关部门据此进行相关数据分析，不得制定与本规定不一致的企业划型标准。</w:t>
      </w:r>
    </w:p>
    <w:p w14:paraId="1868AE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八、本规定由工业和信息化部、国家统计局会同有关部门根据《国民经济行业分类》修订情况和企业发展变化情况适时修订。</w:t>
      </w:r>
    </w:p>
    <w:p w14:paraId="2347AFD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493" w:name="_Toc13903"/>
      <w:bookmarkStart w:id="494" w:name="_Toc21643"/>
      <w:r>
        <w:rPr>
          <w:rFonts w:hint="eastAsia" w:ascii="宋体" w:hAnsi="宋体" w:eastAsia="宋体" w:cs="宋体"/>
          <w:color w:val="auto"/>
          <w:sz w:val="24"/>
          <w:szCs w:val="24"/>
          <w:highlight w:val="none"/>
          <w:lang w:eastAsia="zh-CN"/>
        </w:rPr>
        <w:t>九、本规定由工业和信息化部、国家统计局会同有关部门负责解释。</w:t>
      </w:r>
      <w:bookmarkEnd w:id="493"/>
      <w:bookmarkEnd w:id="494"/>
    </w:p>
    <w:p w14:paraId="6341E8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十、本规定自发布之日起执行，原国家经贸委、原国家计委、财政部和国家统计局2003年颁布的《中小企业标准暂行规定》同时废止。</w:t>
      </w:r>
    </w:p>
    <w:sectPr>
      <w:headerReference r:id="rId4" w:type="default"/>
      <w:footerReference r:id="rId5" w:type="default"/>
      <w:pgSz w:w="11906" w:h="16838"/>
      <w:pgMar w:top="1440" w:right="1080" w:bottom="1440" w:left="1080" w:header="850" w:footer="992" w:gutter="0"/>
      <w:pgBorders>
        <w:top w:val="none" w:sz="0" w:space="0"/>
        <w:left w:val="none" w:sz="0" w:space="0"/>
        <w:bottom w:val="none" w:sz="0" w:space="0"/>
        <w:right w:val="none" w:sz="0" w:space="0"/>
      </w:pgBorders>
      <w:pgNumType w:fmt="decimal" w:start="1"/>
      <w:cols w:space="720" w:num="1"/>
      <w:rtlGutter w:val="1"/>
      <w:docGrid w:type="lines" w:linePitch="4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00"/>
    <w:family w:val="roman"/>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00"/>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ms Rmn">
    <w:altName w:val="Segoe Print"/>
    <w:panose1 w:val="020206030400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CF801">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DACE27">
                          <w:pPr>
                            <w:pStyle w:val="29"/>
                          </w:pPr>
                          <w:r>
                            <w:fldChar w:fldCharType="begin"/>
                          </w:r>
                          <w:r>
                            <w:instrText xml:space="preserve"> PAGE  \* MERGEFORMAT </w:instrText>
                          </w:r>
                          <w:r>
                            <w:fldChar w:fldCharType="separate"/>
                          </w:r>
                          <w:r>
                            <w:t>57</w:t>
                          </w:r>
                          <w:r>
                            <w:fldChar w:fldCharType="end"/>
                          </w:r>
                        </w:p>
                      </w:txbxContent>
                    </wps:txbx>
                    <wps:bodyPr vert="horz" wrap="none" lIns="0" tIns="0" rIns="0" bIns="0" anchor="t" anchorCtr="0" upright="0">
                      <a:spAutoFit/>
                    </wps:bodyPr>
                  </wps:wsp>
                </a:graphicData>
              </a:graphic>
            </wp:anchor>
          </w:drawing>
        </mc:Choice>
        <mc:Fallback>
          <w:pict>
            <v:shape id="文本框 4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4nWJr3gEAAL8DAAAOAAAAAAAA&#10;AAEAIAAAAB4BAABkcnMvZTJvRG9jLnhtbFBLBQYAAAAABgAGAFkBAABuBQAAAAA=&#10;">
              <v:fill on="f" focussize="0,0"/>
              <v:stroke on="f"/>
              <v:imagedata o:title=""/>
              <o:lock v:ext="edit" aspectratio="f"/>
              <v:textbox inset="0mm,0mm,0mm,0mm" style="mso-fit-shape-to-text:t;">
                <w:txbxContent>
                  <w:p w14:paraId="30DACE27">
                    <w:pPr>
                      <w:pStyle w:val="2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BF72A">
    <w:pPr>
      <w:jc w:val="center"/>
      <w:rPr>
        <w:rFonts w:hint="eastAsia"/>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16805">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b/>
        <w:bCs/>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12A10"/>
    <w:multiLevelType w:val="multilevel"/>
    <w:tmpl w:val="15812A10"/>
    <w:lvl w:ilvl="0" w:tentative="0">
      <w:start w:val="1"/>
      <w:numFmt w:val="upperLetter"/>
      <w:pStyle w:val="2"/>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6F13E4F1"/>
    <w:multiLevelType w:val="singleLevel"/>
    <w:tmpl w:val="6F13E4F1"/>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208"/>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MTUwNTVjMjM3YzNkNTI2MDk5ODFhODc1YzA1NjkifQ=="/>
  </w:docVars>
  <w:rsids>
    <w:rsidRoot w:val="00172A27"/>
    <w:rsid w:val="003C468C"/>
    <w:rsid w:val="009C06DD"/>
    <w:rsid w:val="00D53A36"/>
    <w:rsid w:val="00F34D5A"/>
    <w:rsid w:val="00FE4037"/>
    <w:rsid w:val="015F6F09"/>
    <w:rsid w:val="02502671"/>
    <w:rsid w:val="02627AD5"/>
    <w:rsid w:val="02FF4DF8"/>
    <w:rsid w:val="032E370E"/>
    <w:rsid w:val="03B24CA9"/>
    <w:rsid w:val="03D42E2E"/>
    <w:rsid w:val="03F37758"/>
    <w:rsid w:val="0417248F"/>
    <w:rsid w:val="04883D0D"/>
    <w:rsid w:val="050C2932"/>
    <w:rsid w:val="053718C6"/>
    <w:rsid w:val="055B42DF"/>
    <w:rsid w:val="055F2BCB"/>
    <w:rsid w:val="059223A8"/>
    <w:rsid w:val="05A45BE0"/>
    <w:rsid w:val="05D2339D"/>
    <w:rsid w:val="05E05ABA"/>
    <w:rsid w:val="05F17CC7"/>
    <w:rsid w:val="05FE0636"/>
    <w:rsid w:val="06001F5B"/>
    <w:rsid w:val="06652463"/>
    <w:rsid w:val="0701218C"/>
    <w:rsid w:val="070501F1"/>
    <w:rsid w:val="071977C4"/>
    <w:rsid w:val="07317B7D"/>
    <w:rsid w:val="078801B7"/>
    <w:rsid w:val="080C490E"/>
    <w:rsid w:val="08514A4D"/>
    <w:rsid w:val="085D7896"/>
    <w:rsid w:val="086B479E"/>
    <w:rsid w:val="088809B1"/>
    <w:rsid w:val="089B746D"/>
    <w:rsid w:val="08D31906"/>
    <w:rsid w:val="09000221"/>
    <w:rsid w:val="09063A89"/>
    <w:rsid w:val="09385C0D"/>
    <w:rsid w:val="095E1336"/>
    <w:rsid w:val="09B74448"/>
    <w:rsid w:val="0A0124A3"/>
    <w:rsid w:val="0A0F4BBF"/>
    <w:rsid w:val="0A1411B5"/>
    <w:rsid w:val="0A2166A1"/>
    <w:rsid w:val="0A682522"/>
    <w:rsid w:val="0AB2719C"/>
    <w:rsid w:val="0B3F3282"/>
    <w:rsid w:val="0BB772BD"/>
    <w:rsid w:val="0BE04A65"/>
    <w:rsid w:val="0BFA6646"/>
    <w:rsid w:val="0C0149DC"/>
    <w:rsid w:val="0C4112ED"/>
    <w:rsid w:val="0C811679"/>
    <w:rsid w:val="0C851169"/>
    <w:rsid w:val="0C880C59"/>
    <w:rsid w:val="0CD65E68"/>
    <w:rsid w:val="0CDD0FA5"/>
    <w:rsid w:val="0D466B4A"/>
    <w:rsid w:val="0DB22432"/>
    <w:rsid w:val="0DD82567"/>
    <w:rsid w:val="0DFA5EB4"/>
    <w:rsid w:val="0E3848BD"/>
    <w:rsid w:val="0E4F12E3"/>
    <w:rsid w:val="0E5F3AC2"/>
    <w:rsid w:val="0F4F4989"/>
    <w:rsid w:val="0F543075"/>
    <w:rsid w:val="0F933B9D"/>
    <w:rsid w:val="0FB81889"/>
    <w:rsid w:val="0FF509EA"/>
    <w:rsid w:val="10484987"/>
    <w:rsid w:val="106B1EF6"/>
    <w:rsid w:val="10861954"/>
    <w:rsid w:val="11210B01"/>
    <w:rsid w:val="11643A43"/>
    <w:rsid w:val="116D739A"/>
    <w:rsid w:val="11B524F0"/>
    <w:rsid w:val="11F748B7"/>
    <w:rsid w:val="121A0B3B"/>
    <w:rsid w:val="124B69B1"/>
    <w:rsid w:val="12E666D9"/>
    <w:rsid w:val="13051255"/>
    <w:rsid w:val="1356560D"/>
    <w:rsid w:val="13ED41C3"/>
    <w:rsid w:val="13EF364E"/>
    <w:rsid w:val="141554C8"/>
    <w:rsid w:val="154C19E7"/>
    <w:rsid w:val="156A1844"/>
    <w:rsid w:val="15836462"/>
    <w:rsid w:val="159F6FD7"/>
    <w:rsid w:val="15AC3C0A"/>
    <w:rsid w:val="15D67B9E"/>
    <w:rsid w:val="171F21BA"/>
    <w:rsid w:val="17255A22"/>
    <w:rsid w:val="17263548"/>
    <w:rsid w:val="17465999"/>
    <w:rsid w:val="17D44903"/>
    <w:rsid w:val="188A36AA"/>
    <w:rsid w:val="18D47700"/>
    <w:rsid w:val="18EA42D2"/>
    <w:rsid w:val="19762565"/>
    <w:rsid w:val="1A514D80"/>
    <w:rsid w:val="1B446693"/>
    <w:rsid w:val="1B46240B"/>
    <w:rsid w:val="1B8D1DE8"/>
    <w:rsid w:val="1BA709B7"/>
    <w:rsid w:val="1BD9502D"/>
    <w:rsid w:val="1BF61F6A"/>
    <w:rsid w:val="1C136791"/>
    <w:rsid w:val="1C177904"/>
    <w:rsid w:val="1D44260C"/>
    <w:rsid w:val="1D9A259A"/>
    <w:rsid w:val="1D9E208B"/>
    <w:rsid w:val="1DDF07A3"/>
    <w:rsid w:val="1E0122EB"/>
    <w:rsid w:val="1E0A7720"/>
    <w:rsid w:val="1E592455"/>
    <w:rsid w:val="1E7D5ADD"/>
    <w:rsid w:val="1E9148E4"/>
    <w:rsid w:val="1E952AE0"/>
    <w:rsid w:val="1ED6022A"/>
    <w:rsid w:val="1EE241F9"/>
    <w:rsid w:val="1F6D0118"/>
    <w:rsid w:val="1FA12982"/>
    <w:rsid w:val="1FBE07C2"/>
    <w:rsid w:val="1FE16016"/>
    <w:rsid w:val="1FEA7809"/>
    <w:rsid w:val="1FF4058F"/>
    <w:rsid w:val="20256A93"/>
    <w:rsid w:val="2027280B"/>
    <w:rsid w:val="20382251"/>
    <w:rsid w:val="20BD316F"/>
    <w:rsid w:val="20C75D9C"/>
    <w:rsid w:val="21282395"/>
    <w:rsid w:val="212C3E51"/>
    <w:rsid w:val="215E2E47"/>
    <w:rsid w:val="218C669E"/>
    <w:rsid w:val="21920158"/>
    <w:rsid w:val="21E87AF3"/>
    <w:rsid w:val="2270095D"/>
    <w:rsid w:val="227E0B09"/>
    <w:rsid w:val="23B0363D"/>
    <w:rsid w:val="23B4085A"/>
    <w:rsid w:val="23F073B8"/>
    <w:rsid w:val="24AD5E59"/>
    <w:rsid w:val="24B77ED6"/>
    <w:rsid w:val="253D03DB"/>
    <w:rsid w:val="256A4DBA"/>
    <w:rsid w:val="25E60A73"/>
    <w:rsid w:val="26FE1DEC"/>
    <w:rsid w:val="270843E4"/>
    <w:rsid w:val="275C0D8F"/>
    <w:rsid w:val="278D4EE0"/>
    <w:rsid w:val="27C93585"/>
    <w:rsid w:val="27D019DA"/>
    <w:rsid w:val="280D6789"/>
    <w:rsid w:val="28634CAF"/>
    <w:rsid w:val="28B5297E"/>
    <w:rsid w:val="28C17575"/>
    <w:rsid w:val="295F5CE3"/>
    <w:rsid w:val="296E10DD"/>
    <w:rsid w:val="29A30A29"/>
    <w:rsid w:val="2A6428AE"/>
    <w:rsid w:val="2AA8279A"/>
    <w:rsid w:val="2AAB228B"/>
    <w:rsid w:val="2AB32EED"/>
    <w:rsid w:val="2AF577E1"/>
    <w:rsid w:val="2B026F48"/>
    <w:rsid w:val="2B442D09"/>
    <w:rsid w:val="2B543EB8"/>
    <w:rsid w:val="2BC35FF1"/>
    <w:rsid w:val="2BD414DD"/>
    <w:rsid w:val="2C0766EB"/>
    <w:rsid w:val="2C40058E"/>
    <w:rsid w:val="2C554425"/>
    <w:rsid w:val="2C7F39CF"/>
    <w:rsid w:val="2CA64AB8"/>
    <w:rsid w:val="2D4A5D8B"/>
    <w:rsid w:val="2D7626DC"/>
    <w:rsid w:val="2D917516"/>
    <w:rsid w:val="2DC5241E"/>
    <w:rsid w:val="2DD83397"/>
    <w:rsid w:val="2DFF7E04"/>
    <w:rsid w:val="2E0B376C"/>
    <w:rsid w:val="2E526506"/>
    <w:rsid w:val="2E642E7C"/>
    <w:rsid w:val="2E6C1134"/>
    <w:rsid w:val="2E9765A5"/>
    <w:rsid w:val="2ED51197"/>
    <w:rsid w:val="2EE43FBD"/>
    <w:rsid w:val="2F067A90"/>
    <w:rsid w:val="2FD14541"/>
    <w:rsid w:val="2FDB009D"/>
    <w:rsid w:val="30165AB5"/>
    <w:rsid w:val="304F36B8"/>
    <w:rsid w:val="30D96B4E"/>
    <w:rsid w:val="30DC319E"/>
    <w:rsid w:val="30E75833"/>
    <w:rsid w:val="3110753A"/>
    <w:rsid w:val="31336B36"/>
    <w:rsid w:val="31927D00"/>
    <w:rsid w:val="31B934DF"/>
    <w:rsid w:val="31DA4F39"/>
    <w:rsid w:val="321150C9"/>
    <w:rsid w:val="32690A61"/>
    <w:rsid w:val="328533C1"/>
    <w:rsid w:val="32941177"/>
    <w:rsid w:val="32E93522"/>
    <w:rsid w:val="334119DE"/>
    <w:rsid w:val="33550FE6"/>
    <w:rsid w:val="339353FD"/>
    <w:rsid w:val="33C12703"/>
    <w:rsid w:val="33EF4F96"/>
    <w:rsid w:val="34EE34A0"/>
    <w:rsid w:val="34FF745B"/>
    <w:rsid w:val="352C5D76"/>
    <w:rsid w:val="3578720D"/>
    <w:rsid w:val="35B43348"/>
    <w:rsid w:val="35F53F30"/>
    <w:rsid w:val="365612FD"/>
    <w:rsid w:val="3694521E"/>
    <w:rsid w:val="36DF1167"/>
    <w:rsid w:val="36F0585D"/>
    <w:rsid w:val="36F823B4"/>
    <w:rsid w:val="37B564F7"/>
    <w:rsid w:val="3820263F"/>
    <w:rsid w:val="3842422E"/>
    <w:rsid w:val="38726196"/>
    <w:rsid w:val="38F17A02"/>
    <w:rsid w:val="39930ABA"/>
    <w:rsid w:val="3A256F8B"/>
    <w:rsid w:val="3A9B5E78"/>
    <w:rsid w:val="3BAF1162"/>
    <w:rsid w:val="3C2C7480"/>
    <w:rsid w:val="3C41317A"/>
    <w:rsid w:val="3C951AAB"/>
    <w:rsid w:val="3CE21E78"/>
    <w:rsid w:val="3E4800C5"/>
    <w:rsid w:val="3E5D51F2"/>
    <w:rsid w:val="3E611186"/>
    <w:rsid w:val="3F185CE9"/>
    <w:rsid w:val="3F4563B2"/>
    <w:rsid w:val="3F5221D0"/>
    <w:rsid w:val="3F732F1F"/>
    <w:rsid w:val="3F8E7D59"/>
    <w:rsid w:val="3FBB6674"/>
    <w:rsid w:val="406D5BC1"/>
    <w:rsid w:val="408D0011"/>
    <w:rsid w:val="412133EB"/>
    <w:rsid w:val="41852523"/>
    <w:rsid w:val="418C0847"/>
    <w:rsid w:val="428C42F8"/>
    <w:rsid w:val="42CD2946"/>
    <w:rsid w:val="42D71A17"/>
    <w:rsid w:val="430F2A5C"/>
    <w:rsid w:val="43447317"/>
    <w:rsid w:val="43E96900"/>
    <w:rsid w:val="442347E8"/>
    <w:rsid w:val="44337121"/>
    <w:rsid w:val="445C6678"/>
    <w:rsid w:val="44922631"/>
    <w:rsid w:val="44AF4BBA"/>
    <w:rsid w:val="459B6062"/>
    <w:rsid w:val="45AB2CE7"/>
    <w:rsid w:val="45CA7B86"/>
    <w:rsid w:val="45E701C3"/>
    <w:rsid w:val="45E85145"/>
    <w:rsid w:val="4670130D"/>
    <w:rsid w:val="46845A12"/>
    <w:rsid w:val="46DC75FC"/>
    <w:rsid w:val="46E97F6B"/>
    <w:rsid w:val="46EB3CE3"/>
    <w:rsid w:val="46FB7DC6"/>
    <w:rsid w:val="47097A44"/>
    <w:rsid w:val="47185450"/>
    <w:rsid w:val="478E57EB"/>
    <w:rsid w:val="48390A7E"/>
    <w:rsid w:val="485458B8"/>
    <w:rsid w:val="48F055E1"/>
    <w:rsid w:val="490966A2"/>
    <w:rsid w:val="49321B1E"/>
    <w:rsid w:val="49830203"/>
    <w:rsid w:val="49DC3DB7"/>
    <w:rsid w:val="4A7933B4"/>
    <w:rsid w:val="4B163B35"/>
    <w:rsid w:val="4B26353C"/>
    <w:rsid w:val="4C982217"/>
    <w:rsid w:val="4CF3744D"/>
    <w:rsid w:val="4CF85112"/>
    <w:rsid w:val="4D113D78"/>
    <w:rsid w:val="4D550BBE"/>
    <w:rsid w:val="4D8D1626"/>
    <w:rsid w:val="4D9053D6"/>
    <w:rsid w:val="4DC41D28"/>
    <w:rsid w:val="4DDF214F"/>
    <w:rsid w:val="4E7E6867"/>
    <w:rsid w:val="4EB64BD7"/>
    <w:rsid w:val="4F3029E4"/>
    <w:rsid w:val="4F327F56"/>
    <w:rsid w:val="4F3B50DC"/>
    <w:rsid w:val="4F696075"/>
    <w:rsid w:val="4F8D5534"/>
    <w:rsid w:val="4FC472C9"/>
    <w:rsid w:val="4FF57980"/>
    <w:rsid w:val="506C3F7C"/>
    <w:rsid w:val="50D8625D"/>
    <w:rsid w:val="50DE0415"/>
    <w:rsid w:val="51323F2C"/>
    <w:rsid w:val="51A127A5"/>
    <w:rsid w:val="51C25640"/>
    <w:rsid w:val="521B41DE"/>
    <w:rsid w:val="522A2E11"/>
    <w:rsid w:val="52AB07CA"/>
    <w:rsid w:val="52AF2069"/>
    <w:rsid w:val="52BC29D7"/>
    <w:rsid w:val="52F61A46"/>
    <w:rsid w:val="534D3630"/>
    <w:rsid w:val="54E35FFA"/>
    <w:rsid w:val="54F5777E"/>
    <w:rsid w:val="54F621D1"/>
    <w:rsid w:val="553B62BE"/>
    <w:rsid w:val="55456CB4"/>
    <w:rsid w:val="55654C60"/>
    <w:rsid w:val="557430F6"/>
    <w:rsid w:val="55BB2AD2"/>
    <w:rsid w:val="55BD4A9D"/>
    <w:rsid w:val="561C5C67"/>
    <w:rsid w:val="56890E23"/>
    <w:rsid w:val="56BA722E"/>
    <w:rsid w:val="57004BF9"/>
    <w:rsid w:val="577B52CD"/>
    <w:rsid w:val="579637F7"/>
    <w:rsid w:val="57A557E8"/>
    <w:rsid w:val="57D8796C"/>
    <w:rsid w:val="585216EC"/>
    <w:rsid w:val="586D09FC"/>
    <w:rsid w:val="58C6010C"/>
    <w:rsid w:val="58D215CC"/>
    <w:rsid w:val="58E42340"/>
    <w:rsid w:val="59484FC5"/>
    <w:rsid w:val="59CA3C2C"/>
    <w:rsid w:val="5A4E2167"/>
    <w:rsid w:val="5AF2343A"/>
    <w:rsid w:val="5B305D11"/>
    <w:rsid w:val="5B37709F"/>
    <w:rsid w:val="5B991B08"/>
    <w:rsid w:val="5BA069F2"/>
    <w:rsid w:val="5BA26E73"/>
    <w:rsid w:val="5BC76675"/>
    <w:rsid w:val="5C2C64D8"/>
    <w:rsid w:val="5D11008D"/>
    <w:rsid w:val="5D42178E"/>
    <w:rsid w:val="5D6B1282"/>
    <w:rsid w:val="5DFA3BC0"/>
    <w:rsid w:val="5EC92704"/>
    <w:rsid w:val="5F0C439F"/>
    <w:rsid w:val="5F204C4E"/>
    <w:rsid w:val="5F361765"/>
    <w:rsid w:val="5F5024DD"/>
    <w:rsid w:val="5FF05552"/>
    <w:rsid w:val="605536C8"/>
    <w:rsid w:val="607655E8"/>
    <w:rsid w:val="607E12CC"/>
    <w:rsid w:val="609E54CA"/>
    <w:rsid w:val="60F01AF5"/>
    <w:rsid w:val="60FE1642"/>
    <w:rsid w:val="611C5F5F"/>
    <w:rsid w:val="619831E5"/>
    <w:rsid w:val="61AB4343"/>
    <w:rsid w:val="620128BF"/>
    <w:rsid w:val="62F21BC4"/>
    <w:rsid w:val="63574FB5"/>
    <w:rsid w:val="63C74D38"/>
    <w:rsid w:val="63C95F28"/>
    <w:rsid w:val="63F975E8"/>
    <w:rsid w:val="643E149E"/>
    <w:rsid w:val="6461518D"/>
    <w:rsid w:val="65A336D4"/>
    <w:rsid w:val="65B732B6"/>
    <w:rsid w:val="66134265"/>
    <w:rsid w:val="66BB0471"/>
    <w:rsid w:val="671464E6"/>
    <w:rsid w:val="6717678D"/>
    <w:rsid w:val="677B6565"/>
    <w:rsid w:val="67860E67"/>
    <w:rsid w:val="68E370D3"/>
    <w:rsid w:val="698A2A90"/>
    <w:rsid w:val="6A184540"/>
    <w:rsid w:val="6ACA583A"/>
    <w:rsid w:val="6AF24D91"/>
    <w:rsid w:val="6B6C68F1"/>
    <w:rsid w:val="6B7A0EB2"/>
    <w:rsid w:val="6C054650"/>
    <w:rsid w:val="6C627CF4"/>
    <w:rsid w:val="6CA125CA"/>
    <w:rsid w:val="6CE00A86"/>
    <w:rsid w:val="6D5B35A8"/>
    <w:rsid w:val="6D91263F"/>
    <w:rsid w:val="6DA00AD4"/>
    <w:rsid w:val="6DB4632D"/>
    <w:rsid w:val="6DDB599F"/>
    <w:rsid w:val="6E0948CB"/>
    <w:rsid w:val="6E6D20C6"/>
    <w:rsid w:val="6E9E2A32"/>
    <w:rsid w:val="6EA254B9"/>
    <w:rsid w:val="6EB32A89"/>
    <w:rsid w:val="6FF13F65"/>
    <w:rsid w:val="700D682A"/>
    <w:rsid w:val="701021F8"/>
    <w:rsid w:val="70E40830"/>
    <w:rsid w:val="70FA04FB"/>
    <w:rsid w:val="71494FDF"/>
    <w:rsid w:val="71573B9F"/>
    <w:rsid w:val="71597917"/>
    <w:rsid w:val="71A072F4"/>
    <w:rsid w:val="71B63E66"/>
    <w:rsid w:val="71F25676"/>
    <w:rsid w:val="7218332F"/>
    <w:rsid w:val="72457E9C"/>
    <w:rsid w:val="729E4247"/>
    <w:rsid w:val="72B10E52"/>
    <w:rsid w:val="72FB055A"/>
    <w:rsid w:val="7370432D"/>
    <w:rsid w:val="74220495"/>
    <w:rsid w:val="743106D8"/>
    <w:rsid w:val="750951B1"/>
    <w:rsid w:val="751A116C"/>
    <w:rsid w:val="75267B11"/>
    <w:rsid w:val="75AB6268"/>
    <w:rsid w:val="76A96C4B"/>
    <w:rsid w:val="76C70E7F"/>
    <w:rsid w:val="7758332B"/>
    <w:rsid w:val="775A6197"/>
    <w:rsid w:val="77935DDC"/>
    <w:rsid w:val="77B3567D"/>
    <w:rsid w:val="77B969BE"/>
    <w:rsid w:val="77C33D3D"/>
    <w:rsid w:val="77C71351"/>
    <w:rsid w:val="77E617D9"/>
    <w:rsid w:val="77F263D0"/>
    <w:rsid w:val="781203E2"/>
    <w:rsid w:val="78547B29"/>
    <w:rsid w:val="78AE679B"/>
    <w:rsid w:val="78E201F2"/>
    <w:rsid w:val="7A3251AA"/>
    <w:rsid w:val="7A956CB9"/>
    <w:rsid w:val="7B4707E1"/>
    <w:rsid w:val="7B641393"/>
    <w:rsid w:val="7B767318"/>
    <w:rsid w:val="7BE2731E"/>
    <w:rsid w:val="7BEE3352"/>
    <w:rsid w:val="7C653614"/>
    <w:rsid w:val="7CDC31AB"/>
    <w:rsid w:val="7CE02C9B"/>
    <w:rsid w:val="7D0F532E"/>
    <w:rsid w:val="7D344D95"/>
    <w:rsid w:val="7DD56578"/>
    <w:rsid w:val="7E22523F"/>
    <w:rsid w:val="7E8D3214"/>
    <w:rsid w:val="7EED78F1"/>
    <w:rsid w:val="7F0945F7"/>
    <w:rsid w:val="7F1D01D6"/>
    <w:rsid w:val="7FEE56CF"/>
    <w:rsid w:val="7FFB70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1" w:name="index 1" w:locked="1"/>
    <w:lsdException w:uiPriority="1" w:name="index 2" w:locked="1"/>
    <w:lsdException w:uiPriority="1" w:name="index 3" w:locked="1"/>
    <w:lsdException w:uiPriority="1" w:name="index 4" w:locked="1"/>
    <w:lsdException w:uiPriority="1" w:name="index 5" w:locked="1"/>
    <w:lsdException w:qFormat="1" w:unhideWhenUsed="0" w:uiPriority="99" w:semiHidden="0" w:name="index 6" w:locked="1"/>
    <w:lsdException w:uiPriority="1" w:name="index 7" w:locked="1"/>
    <w:lsdException w:uiPriority="1" w:name="index 8" w:locked="1"/>
    <w:lsdException w:uiPriority="1"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1" w:name="toc 4" w:locked="1"/>
    <w:lsdException w:uiPriority="1" w:name="toc 5" w:locked="1"/>
    <w:lsdException w:uiPriority="1" w:name="toc 6" w:locked="1"/>
    <w:lsdException w:uiPriority="1" w:name="toc 7" w:locked="1"/>
    <w:lsdException w:uiPriority="1" w:name="toc 8" w:locked="1"/>
    <w:lsdException w:uiPriority="1" w:name="toc 9" w:locked="1"/>
    <w:lsdException w:qFormat="1" w:unhideWhenUsed="0" w:uiPriority="99" w:semiHidden="0" w:name="Normal Indent"/>
    <w:lsdException w:uiPriority="1" w:name="footnote text" w:locked="1"/>
    <w:lsdException w:qFormat="1" w:uiPriority="1" w:name="annotation text" w:locked="1"/>
    <w:lsdException w:qFormat="1" w:unhideWhenUsed="0" w:uiPriority="99" w:semiHidden="0" w:name="header"/>
    <w:lsdException w:qFormat="1" w:unhideWhenUsed="0" w:uiPriority="99" w:semiHidden="0" w:name="footer"/>
    <w:lsdException w:uiPriority="1" w:name="index heading" w:locked="1"/>
    <w:lsdException w:qFormat="1" w:uiPriority="1" w:name="caption" w:locked="1"/>
    <w:lsdException w:uiPriority="1" w:name="table of figures" w:locked="1"/>
    <w:lsdException w:uiPriority="1" w:name="envelope address" w:locked="1"/>
    <w:lsdException w:qFormat="1" w:unhideWhenUsed="0" w:uiPriority="99" w:semiHidden="0" w:name="envelope return" w:locked="1"/>
    <w:lsdException w:uiPriority="1" w:name="footnote reference" w:locked="1"/>
    <w:lsdException w:uiPriority="1" w:name="annotation reference" w:locked="1"/>
    <w:lsdException w:uiPriority="1" w:name="line number" w:locked="1"/>
    <w:lsdException w:qFormat="1" w:unhideWhenUsed="0" w:uiPriority="99" w:semiHidden="0" w:name="page number"/>
    <w:lsdException w:uiPriority="1" w:name="endnote reference" w:locked="1"/>
    <w:lsdException w:uiPriority="1" w:name="endnote text" w:locked="1"/>
    <w:lsdException w:uiPriority="1" w:name="table of authorities" w:locked="1"/>
    <w:lsdException w:uiPriority="1" w:name="macro" w:locked="1"/>
    <w:lsdException w:qFormat="1" w:unhideWhenUsed="0" w:uiPriority="0" w:semiHidden="0" w:name="toa heading" w:locked="1"/>
    <w:lsdException w:qFormat="1" w:uiPriority="0" w:semiHidden="0" w:name="List" w:locked="1"/>
    <w:lsdException w:uiPriority="1" w:name="List Bullet" w:locked="1"/>
    <w:lsdException w:uiPriority="1" w:name="List Number" w:locked="1"/>
    <w:lsdException w:qFormat="1" w:unhideWhenUsed="0" w:uiPriority="0" w:semiHidden="0" w:name="List 2" w:locked="1"/>
    <w:lsdException w:uiPriority="1" w:name="List 3" w:locked="1"/>
    <w:lsdException w:uiPriority="1" w:name="List 4" w:locked="1"/>
    <w:lsdException w:uiPriority="1" w:name="List 5" w:locked="1"/>
    <w:lsdException w:uiPriority="1" w:name="List Bullet 2" w:locked="1"/>
    <w:lsdException w:uiPriority="1" w:name="List Bullet 3" w:locked="1"/>
    <w:lsdException w:uiPriority="1" w:name="List Bullet 4" w:locked="1"/>
    <w:lsdException w:uiPriority="1" w:name="List Bullet 5" w:locked="1"/>
    <w:lsdException w:uiPriority="1" w:name="List Number 2" w:locked="1"/>
    <w:lsdException w:uiPriority="1" w:name="List Number 3" w:locked="1"/>
    <w:lsdException w:uiPriority="1" w:name="List Number 4" w:locked="1"/>
    <w:lsdException w:uiPriority="1" w:name="List Number 5" w:locked="1"/>
    <w:lsdException w:qFormat="1" w:unhideWhenUsed="0" w:uiPriority="1" w:semiHidden="0" w:name="Title" w:locked="1"/>
    <w:lsdException w:uiPriority="1" w:name="Closing" w:locked="1"/>
    <w:lsdException w:uiPriority="1"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1" w:name="List Continue" w:locked="1"/>
    <w:lsdException w:uiPriority="1" w:name="List Continue 2" w:locked="1"/>
    <w:lsdException w:uiPriority="1" w:name="List Continue 3" w:locked="1"/>
    <w:lsdException w:uiPriority="1" w:name="List Continue 4" w:locked="1"/>
    <w:lsdException w:uiPriority="1" w:name="List Continue 5" w:locked="1"/>
    <w:lsdException w:qFormat="1" w:unhideWhenUsed="0" w:uiPriority="0" w:semiHidden="0"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ocked="1"/>
    <w:lsdException w:uiPriority="1" w:name="Note Heading" w:locked="1"/>
    <w:lsdException w:qFormat="1" w:unhideWhenUsed="0" w:uiPriority="99" w:semiHidden="0" w:name="Body Text 2"/>
    <w:lsdException w:uiPriority="1" w:name="Body Text 3" w:locked="1"/>
    <w:lsdException w:qFormat="1" w:unhideWhenUsed="0" w:uiPriority="99" w:semiHidden="0" w:name="Body Text Indent 2"/>
    <w:lsdException w:qFormat="1" w:unhideWhenUsed="0" w:uiPriority="99" w:semiHidden="0" w:name="Body Text Indent 3"/>
    <w:lsdException w:uiPriority="1"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1" w:name="E-mail Signature" w:locked="1"/>
    <w:lsdException w:qFormat="1" w:unhideWhenUsed="0" w:uiPriority="99" w:semiHidden="0" w:name="Normal (Web)"/>
    <w:lsdException w:uiPriority="1" w:name="HTML Acronym" w:locked="1"/>
    <w:lsdException w:uiPriority="1" w:name="HTML Address" w:locked="1"/>
    <w:lsdException w:uiPriority="1" w:name="HTML Cite" w:locked="1"/>
    <w:lsdException w:uiPriority="1" w:name="HTML Code" w:locked="1"/>
    <w:lsdException w:uiPriority="1" w:name="HTML Definition" w:locked="1"/>
    <w:lsdException w:uiPriority="1" w:name="HTML Keyboard" w:locked="1"/>
    <w:lsdException w:uiPriority="1" w:name="HTML Preformatted" w:locked="1"/>
    <w:lsdException w:qFormat="1" w:unhideWhenUsed="0" w:uiPriority="0" w:semiHidden="0" w:name="HTML Sample" w:locked="1"/>
    <w:lsdException w:uiPriority="1" w:name="HTML Typewriter" w:locked="1"/>
    <w:lsdException w:uiPriority="1" w:name="HTML Variable" w:locked="1"/>
    <w:lsdException w:qFormat="1" w:uiPriority="99" w:semiHidden="0" w:name="Normal Table"/>
    <w:lsdException w:uiPriority="1" w:name="annotation subject" w:locked="1"/>
    <w:lsdException w:uiPriority="1" w:name="Table Simple 1" w:locked="1"/>
    <w:lsdException w:uiPriority="1" w:name="Table Simple 2" w:locked="1"/>
    <w:lsdException w:uiPriority="1" w:name="Table Simple 3" w:locked="1"/>
    <w:lsdException w:uiPriority="1" w:name="Table Classic 1" w:locked="1"/>
    <w:lsdException w:uiPriority="1" w:name="Table Classic 2" w:locked="1"/>
    <w:lsdException w:uiPriority="1" w:name="Table Classic 3" w:locked="1"/>
    <w:lsdException w:uiPriority="1" w:name="Table Classic 4" w:locked="1"/>
    <w:lsdException w:uiPriority="1" w:name="Table Colorful 1" w:locked="1"/>
    <w:lsdException w:uiPriority="1" w:name="Table Colorful 2" w:locked="1"/>
    <w:lsdException w:uiPriority="1" w:name="Table Colorful 3" w:locked="1"/>
    <w:lsdException w:uiPriority="1" w:name="Table Columns 1" w:locked="1"/>
    <w:lsdException w:uiPriority="1" w:name="Table Columns 2" w:locked="1"/>
    <w:lsdException w:uiPriority="1" w:name="Table Columns 3" w:locked="1"/>
    <w:lsdException w:uiPriority="1" w:name="Table Columns 4" w:locked="1"/>
    <w:lsdException w:uiPriority="1" w:name="Table Columns 5" w:locked="1"/>
    <w:lsdException w:uiPriority="1" w:name="Table Grid 1" w:locked="1"/>
    <w:lsdException w:uiPriority="1" w:name="Table Grid 2" w:locked="1"/>
    <w:lsdException w:uiPriority="1" w:name="Table Grid 3" w:locked="1"/>
    <w:lsdException w:uiPriority="1" w:name="Table Grid 4" w:locked="1"/>
    <w:lsdException w:uiPriority="1" w:name="Table Grid 5" w:locked="1"/>
    <w:lsdException w:uiPriority="1" w:name="Table Grid 6" w:locked="1"/>
    <w:lsdException w:uiPriority="1" w:name="Table Grid 7" w:locked="1"/>
    <w:lsdException w:uiPriority="1" w:name="Table Grid 8" w:locked="1"/>
    <w:lsdException w:uiPriority="1" w:name="Table List 1" w:locked="1"/>
    <w:lsdException w:uiPriority="1" w:name="Table List 2" w:locked="1"/>
    <w:lsdException w:uiPriority="1" w:name="Table List 3" w:locked="1"/>
    <w:lsdException w:uiPriority="1" w:name="Table List 4" w:locked="1"/>
    <w:lsdException w:uiPriority="1" w:name="Table List 5" w:locked="1"/>
    <w:lsdException w:uiPriority="1" w:name="Table List 6" w:locked="1"/>
    <w:lsdException w:uiPriority="1" w:name="Table List 7" w:locked="1"/>
    <w:lsdException w:uiPriority="1" w:name="Table List 8" w:locked="1"/>
    <w:lsdException w:uiPriority="1" w:name="Table 3D effects 1" w:locked="1"/>
    <w:lsdException w:uiPriority="1" w:name="Table 3D effects 2" w:locked="1"/>
    <w:lsdException w:uiPriority="1" w:name="Table 3D effects 3" w:locked="1"/>
    <w:lsdException w:uiPriority="1" w:name="Table Contemporary" w:locked="1"/>
    <w:lsdException w:uiPriority="1" w:name="Table Elegant" w:locked="1"/>
    <w:lsdException w:uiPriority="1" w:name="Table Professional" w:locked="1"/>
    <w:lsdException w:uiPriority="1" w:name="Table Subtle 1" w:locked="1"/>
    <w:lsdException w:uiPriority="1" w:name="Table Subtle 2" w:locked="1"/>
    <w:lsdException w:uiPriority="1" w:name="Table Web 1" w:locked="1"/>
    <w:lsdException w:uiPriority="1" w:name="Table Web 2" w:locked="1"/>
    <w:lsdException w:uiPriority="1" w:name="Table Web 3" w:locked="1"/>
    <w:lsdException w:qFormat="1" w:unhideWhenUsed="0" w:uiPriority="99" w:name="Balloon Text"/>
    <w:lsdException w:qFormat="1" w:unhideWhenUsed="0" w:uiPriority="99" w:semiHidden="0" w:name="Table Grid"/>
    <w:lsdException w:uiPriority="1"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6"/>
    <w:qFormat/>
    <w:uiPriority w:val="99"/>
    <w:pPr>
      <w:keepNext/>
      <w:numPr>
        <w:ilvl w:val="0"/>
        <w:numId w:val="1"/>
      </w:numPr>
      <w:outlineLvl w:val="0"/>
    </w:pPr>
    <w:rPr>
      <w:b/>
    </w:rPr>
  </w:style>
  <w:style w:type="paragraph" w:styleId="3">
    <w:name w:val="heading 2"/>
    <w:basedOn w:val="1"/>
    <w:next w:val="1"/>
    <w:link w:val="100"/>
    <w:qFormat/>
    <w:uiPriority w:val="99"/>
    <w:pPr>
      <w:keepNext/>
      <w:keepLines/>
      <w:spacing w:before="260" w:after="260" w:line="416" w:lineRule="auto"/>
      <w:outlineLvl w:val="1"/>
    </w:pPr>
    <w:rPr>
      <w:rFonts w:ascii="Arial" w:hAnsi="Arial" w:eastAsia="黑体"/>
      <w:b/>
      <w:sz w:val="32"/>
    </w:rPr>
  </w:style>
  <w:style w:type="paragraph" w:styleId="4">
    <w:name w:val="heading 3"/>
    <w:basedOn w:val="1"/>
    <w:next w:val="1"/>
    <w:link w:val="95"/>
    <w:qFormat/>
    <w:uiPriority w:val="99"/>
    <w:pPr>
      <w:keepNext/>
      <w:keepLines/>
      <w:spacing w:before="260" w:after="260" w:line="416" w:lineRule="auto"/>
      <w:outlineLvl w:val="2"/>
    </w:pPr>
    <w:rPr>
      <w:b/>
      <w:bCs/>
      <w:sz w:val="32"/>
      <w:szCs w:val="32"/>
    </w:rPr>
  </w:style>
  <w:style w:type="paragraph" w:styleId="5">
    <w:name w:val="heading 4"/>
    <w:basedOn w:val="1"/>
    <w:next w:val="1"/>
    <w:link w:val="102"/>
    <w:qFormat/>
    <w:uiPriority w:val="9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1"/>
    <w:qFormat/>
    <w:uiPriority w:val="99"/>
    <w:pPr>
      <w:keepNext/>
      <w:keepLines/>
      <w:tabs>
        <w:tab w:val="left" w:pos="1440"/>
      </w:tabs>
      <w:spacing w:before="280" w:after="290" w:line="372" w:lineRule="auto"/>
      <w:ind w:left="1440" w:hanging="900"/>
      <w:outlineLvl w:val="4"/>
    </w:pPr>
    <w:rPr>
      <w:b/>
      <w:sz w:val="28"/>
    </w:rPr>
  </w:style>
  <w:style w:type="paragraph" w:styleId="7">
    <w:name w:val="heading 6"/>
    <w:basedOn w:val="1"/>
    <w:next w:val="1"/>
    <w:link w:val="93"/>
    <w:qFormat/>
    <w:uiPriority w:val="99"/>
    <w:pPr>
      <w:keepNext/>
      <w:keepLines/>
      <w:tabs>
        <w:tab w:val="left" w:pos="1440"/>
      </w:tabs>
      <w:spacing w:before="240" w:after="64" w:line="317" w:lineRule="auto"/>
      <w:ind w:left="1440" w:hanging="900"/>
      <w:outlineLvl w:val="5"/>
    </w:pPr>
    <w:rPr>
      <w:rFonts w:ascii="Arial" w:hAnsi="Arial" w:eastAsia="黑体"/>
      <w:b/>
      <w:sz w:val="24"/>
    </w:rPr>
  </w:style>
  <w:style w:type="paragraph" w:styleId="8">
    <w:name w:val="heading 7"/>
    <w:basedOn w:val="1"/>
    <w:next w:val="1"/>
    <w:link w:val="91"/>
    <w:qFormat/>
    <w:uiPriority w:val="99"/>
    <w:pPr>
      <w:keepNext/>
      <w:keepLines/>
      <w:tabs>
        <w:tab w:val="left" w:pos="1440"/>
      </w:tabs>
      <w:spacing w:before="240" w:after="64" w:line="317" w:lineRule="auto"/>
      <w:ind w:left="1440" w:hanging="900"/>
      <w:outlineLvl w:val="6"/>
    </w:pPr>
    <w:rPr>
      <w:b/>
      <w:sz w:val="24"/>
    </w:rPr>
  </w:style>
  <w:style w:type="paragraph" w:styleId="9">
    <w:name w:val="heading 8"/>
    <w:basedOn w:val="1"/>
    <w:next w:val="1"/>
    <w:link w:val="104"/>
    <w:qFormat/>
    <w:uiPriority w:val="99"/>
    <w:pPr>
      <w:keepNext/>
      <w:keepLines/>
      <w:tabs>
        <w:tab w:val="left" w:pos="1440"/>
      </w:tabs>
      <w:spacing w:before="240" w:after="64" w:line="317" w:lineRule="auto"/>
      <w:ind w:left="1440" w:hanging="900"/>
      <w:outlineLvl w:val="7"/>
    </w:pPr>
    <w:rPr>
      <w:rFonts w:ascii="Arial" w:hAnsi="Arial" w:eastAsia="黑体"/>
      <w:sz w:val="24"/>
    </w:rPr>
  </w:style>
  <w:style w:type="paragraph" w:styleId="10">
    <w:name w:val="heading 9"/>
    <w:basedOn w:val="1"/>
    <w:next w:val="1"/>
    <w:link w:val="89"/>
    <w:qFormat/>
    <w:uiPriority w:val="99"/>
    <w:pPr>
      <w:keepNext/>
      <w:keepLines/>
      <w:tabs>
        <w:tab w:val="left" w:pos="1440"/>
      </w:tabs>
      <w:spacing w:before="240" w:after="64" w:line="317" w:lineRule="auto"/>
      <w:ind w:left="1440" w:hanging="900"/>
      <w:outlineLvl w:val="8"/>
    </w:pPr>
    <w:rPr>
      <w:rFonts w:ascii="Arial" w:hAnsi="Arial" w:eastAsia="黑体"/>
    </w:r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11">
    <w:name w:val="Normal Indent"/>
    <w:basedOn w:val="1"/>
    <w:next w:val="1"/>
    <w:qFormat/>
    <w:uiPriority w:val="99"/>
    <w:pPr>
      <w:ind w:firstLine="420" w:firstLineChars="200"/>
    </w:pPr>
    <w:rPr>
      <w:szCs w:val="24"/>
    </w:rPr>
  </w:style>
  <w:style w:type="paragraph" w:styleId="12">
    <w:name w:val="Document Map"/>
    <w:basedOn w:val="1"/>
    <w:link w:val="88"/>
    <w:qFormat/>
    <w:uiPriority w:val="99"/>
    <w:pPr>
      <w:shd w:val="clear" w:color="auto" w:fill="000080"/>
    </w:pPr>
  </w:style>
  <w:style w:type="paragraph" w:styleId="13">
    <w:name w:val="toa heading"/>
    <w:basedOn w:val="1"/>
    <w:next w:val="1"/>
    <w:qFormat/>
    <w:locked/>
    <w:uiPriority w:val="0"/>
    <w:pPr>
      <w:spacing w:before="120"/>
    </w:pPr>
    <w:rPr>
      <w:rFonts w:ascii="Arial" w:hAnsi="Arial"/>
      <w:sz w:val="24"/>
      <w:szCs w:val="21"/>
    </w:rPr>
  </w:style>
  <w:style w:type="paragraph" w:styleId="14">
    <w:name w:val="annotation text"/>
    <w:basedOn w:val="1"/>
    <w:semiHidden/>
    <w:unhideWhenUsed/>
    <w:qFormat/>
    <w:locked/>
    <w:uiPriority w:val="1"/>
    <w:pPr>
      <w:jc w:val="left"/>
    </w:pPr>
  </w:style>
  <w:style w:type="paragraph" w:styleId="15">
    <w:name w:val="index 6"/>
    <w:basedOn w:val="1"/>
    <w:next w:val="1"/>
    <w:qFormat/>
    <w:locked/>
    <w:uiPriority w:val="99"/>
    <w:pPr>
      <w:ind w:left="2100"/>
    </w:pPr>
  </w:style>
  <w:style w:type="paragraph" w:styleId="16">
    <w:name w:val="Salutation"/>
    <w:basedOn w:val="1"/>
    <w:next w:val="1"/>
    <w:link w:val="87"/>
    <w:qFormat/>
    <w:uiPriority w:val="99"/>
    <w:rPr>
      <w:rFonts w:ascii="宋体"/>
      <w:b/>
      <w:sz w:val="28"/>
    </w:rPr>
  </w:style>
  <w:style w:type="paragraph" w:styleId="17">
    <w:name w:val="Body Text"/>
    <w:basedOn w:val="1"/>
    <w:next w:val="18"/>
    <w:link w:val="85"/>
    <w:qFormat/>
    <w:uiPriority w:val="99"/>
    <w:rPr>
      <w:rFonts w:ascii="Arial" w:hAnsi="Arial"/>
      <w:sz w:val="24"/>
    </w:rPr>
  </w:style>
  <w:style w:type="paragraph" w:customStyle="1" w:styleId="18">
    <w:name w:val="Default"/>
    <w:next w:val="19"/>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大标题"/>
    <w:basedOn w:val="1"/>
    <w:next w:val="20"/>
    <w:qFormat/>
    <w:uiPriority w:val="0"/>
    <w:pPr>
      <w:jc w:val="center"/>
    </w:pPr>
    <w:rPr>
      <w:rFonts w:ascii="Arial" w:hAnsi="Arial" w:eastAsia="宋体" w:cs="Times New Roman"/>
      <w:b/>
      <w:sz w:val="28"/>
      <w:szCs w:val="24"/>
    </w:rPr>
  </w:style>
  <w:style w:type="paragraph" w:styleId="20">
    <w:name w:val="Body Text First Indent 2"/>
    <w:basedOn w:val="21"/>
    <w:next w:val="23"/>
    <w:qFormat/>
    <w:locked/>
    <w:uiPriority w:val="0"/>
    <w:pPr>
      <w:spacing w:after="120" w:line="240" w:lineRule="auto"/>
      <w:ind w:left="420" w:leftChars="200"/>
    </w:pPr>
    <w:rPr>
      <w:rFonts w:ascii="Times New Roman" w:hAnsi="Times New Roman"/>
      <w:szCs w:val="24"/>
    </w:rPr>
  </w:style>
  <w:style w:type="paragraph" w:styleId="21">
    <w:name w:val="Body Text Indent"/>
    <w:basedOn w:val="1"/>
    <w:next w:val="22"/>
    <w:link w:val="98"/>
    <w:qFormat/>
    <w:uiPriority w:val="99"/>
    <w:pPr>
      <w:ind w:firstLine="480"/>
    </w:pPr>
    <w:rPr>
      <w:rFonts w:ascii="宋体" w:hAnsi="宋体"/>
      <w:sz w:val="24"/>
    </w:rPr>
  </w:style>
  <w:style w:type="paragraph" w:styleId="22">
    <w:name w:val="Body Text Indent 2"/>
    <w:basedOn w:val="1"/>
    <w:link w:val="81"/>
    <w:qFormat/>
    <w:uiPriority w:val="99"/>
    <w:pPr>
      <w:ind w:firstLine="435"/>
    </w:pPr>
    <w:rPr>
      <w:rFonts w:ascii="宋体" w:hAnsi="宋体"/>
      <w:sz w:val="24"/>
    </w:rPr>
  </w:style>
  <w:style w:type="paragraph" w:styleId="23">
    <w:name w:val="Normal (Web)"/>
    <w:basedOn w:val="1"/>
    <w:qFormat/>
    <w:uiPriority w:val="99"/>
    <w:pPr>
      <w:widowControl/>
      <w:spacing w:before="100" w:beforeAutospacing="1" w:after="100" w:afterAutospacing="1"/>
      <w:jc w:val="left"/>
    </w:pPr>
    <w:rPr>
      <w:rFonts w:ascii="Arial Unicode MS" w:hAnsi="Arial Unicode MS" w:cs="Arial Unicode MS"/>
      <w:kern w:val="0"/>
      <w:sz w:val="24"/>
      <w:szCs w:val="24"/>
    </w:rPr>
  </w:style>
  <w:style w:type="paragraph" w:styleId="24">
    <w:name w:val="List 2"/>
    <w:basedOn w:val="1"/>
    <w:next w:val="25"/>
    <w:qFormat/>
    <w:locked/>
    <w:uiPriority w:val="0"/>
    <w:pPr>
      <w:ind w:left="100" w:leftChars="200" w:hanging="200" w:hangingChars="200"/>
    </w:pPr>
  </w:style>
  <w:style w:type="paragraph" w:styleId="25">
    <w:name w:val="Plain Text"/>
    <w:basedOn w:val="1"/>
    <w:link w:val="83"/>
    <w:qFormat/>
    <w:uiPriority w:val="99"/>
    <w:rPr>
      <w:rFonts w:ascii="宋体" w:hAnsi="Courier New"/>
    </w:rPr>
  </w:style>
  <w:style w:type="paragraph" w:styleId="26">
    <w:name w:val="toc 3"/>
    <w:basedOn w:val="1"/>
    <w:next w:val="1"/>
    <w:qFormat/>
    <w:uiPriority w:val="99"/>
    <w:pPr>
      <w:ind w:left="840" w:leftChars="400"/>
    </w:pPr>
  </w:style>
  <w:style w:type="paragraph" w:styleId="27">
    <w:name w:val="Date"/>
    <w:basedOn w:val="1"/>
    <w:next w:val="1"/>
    <w:link w:val="82"/>
    <w:qFormat/>
    <w:uiPriority w:val="99"/>
    <w:pPr>
      <w:ind w:left="100"/>
    </w:pPr>
    <w:rPr>
      <w:sz w:val="24"/>
    </w:rPr>
  </w:style>
  <w:style w:type="paragraph" w:styleId="28">
    <w:name w:val="Balloon Text"/>
    <w:basedOn w:val="1"/>
    <w:link w:val="94"/>
    <w:semiHidden/>
    <w:qFormat/>
    <w:uiPriority w:val="99"/>
    <w:rPr>
      <w:sz w:val="18"/>
      <w:szCs w:val="18"/>
    </w:rPr>
  </w:style>
  <w:style w:type="paragraph" w:styleId="29">
    <w:name w:val="footer"/>
    <w:basedOn w:val="1"/>
    <w:link w:val="80"/>
    <w:qFormat/>
    <w:uiPriority w:val="99"/>
    <w:pPr>
      <w:tabs>
        <w:tab w:val="center" w:pos="4153"/>
        <w:tab w:val="right" w:pos="8306"/>
      </w:tabs>
      <w:snapToGrid w:val="0"/>
      <w:jc w:val="left"/>
    </w:pPr>
    <w:rPr>
      <w:sz w:val="18"/>
    </w:rPr>
  </w:style>
  <w:style w:type="paragraph" w:styleId="30">
    <w:name w:val="envelope return"/>
    <w:basedOn w:val="1"/>
    <w:qFormat/>
    <w:locked/>
    <w:uiPriority w:val="99"/>
    <w:pPr>
      <w:snapToGrid w:val="0"/>
    </w:pPr>
    <w:rPr>
      <w:rFonts w:ascii="Arial" w:hAnsi="Arial" w:cs="Arial"/>
    </w:rPr>
  </w:style>
  <w:style w:type="paragraph" w:styleId="31">
    <w:name w:val="header"/>
    <w:basedOn w:val="1"/>
    <w:link w:val="112"/>
    <w:qFormat/>
    <w:uiPriority w:val="99"/>
    <w:pPr>
      <w:pBdr>
        <w:bottom w:val="single" w:color="auto" w:sz="6" w:space="1"/>
      </w:pBdr>
      <w:tabs>
        <w:tab w:val="center" w:pos="4153"/>
        <w:tab w:val="right" w:pos="8306"/>
      </w:tabs>
      <w:snapToGrid w:val="0"/>
      <w:jc w:val="center"/>
    </w:pPr>
    <w:rPr>
      <w:sz w:val="18"/>
    </w:rPr>
  </w:style>
  <w:style w:type="paragraph" w:styleId="32">
    <w:name w:val="toc 1"/>
    <w:basedOn w:val="1"/>
    <w:next w:val="1"/>
    <w:qFormat/>
    <w:uiPriority w:val="99"/>
  </w:style>
  <w:style w:type="paragraph" w:styleId="33">
    <w:name w:val="Subtitle"/>
    <w:basedOn w:val="1"/>
    <w:next w:val="1"/>
    <w:link w:val="90"/>
    <w:qFormat/>
    <w:uiPriority w:val="99"/>
    <w:pPr>
      <w:spacing w:before="240" w:after="60" w:line="312" w:lineRule="auto"/>
      <w:jc w:val="center"/>
      <w:outlineLvl w:val="1"/>
    </w:pPr>
    <w:rPr>
      <w:rFonts w:ascii="Cambria" w:hAnsi="Cambria"/>
      <w:b/>
      <w:bCs/>
      <w:kern w:val="28"/>
      <w:sz w:val="32"/>
      <w:szCs w:val="32"/>
    </w:rPr>
  </w:style>
  <w:style w:type="paragraph" w:styleId="34">
    <w:name w:val="List"/>
    <w:basedOn w:val="1"/>
    <w:unhideWhenUsed/>
    <w:qFormat/>
    <w:locked/>
    <w:uiPriority w:val="0"/>
    <w:pPr>
      <w:ind w:left="200" w:hanging="200" w:hangingChars="200"/>
    </w:pPr>
    <w:rPr>
      <w:rFonts w:ascii="Calibri" w:hAnsi="Calibri"/>
    </w:rPr>
  </w:style>
  <w:style w:type="paragraph" w:styleId="35">
    <w:name w:val="Body Text Indent 3"/>
    <w:basedOn w:val="1"/>
    <w:link w:val="79"/>
    <w:qFormat/>
    <w:uiPriority w:val="99"/>
    <w:pPr>
      <w:ind w:left="471" w:hanging="471" w:hangingChars="200"/>
    </w:pPr>
    <w:rPr>
      <w:rFonts w:ascii="Arial" w:hAnsi="Arial" w:cs="Arial"/>
      <w:b/>
      <w:bCs/>
      <w:sz w:val="24"/>
    </w:rPr>
  </w:style>
  <w:style w:type="paragraph" w:styleId="36">
    <w:name w:val="toc 2"/>
    <w:basedOn w:val="1"/>
    <w:next w:val="1"/>
    <w:qFormat/>
    <w:uiPriority w:val="99"/>
    <w:pPr>
      <w:ind w:left="420" w:leftChars="200"/>
    </w:pPr>
  </w:style>
  <w:style w:type="paragraph" w:styleId="37">
    <w:name w:val="Body Text 2"/>
    <w:basedOn w:val="1"/>
    <w:link w:val="115"/>
    <w:qFormat/>
    <w:uiPriority w:val="99"/>
    <w:pPr>
      <w:spacing w:line="360" w:lineRule="auto"/>
    </w:pPr>
    <w:rPr>
      <w:b/>
      <w:sz w:val="28"/>
      <w:szCs w:val="21"/>
    </w:rPr>
  </w:style>
  <w:style w:type="paragraph" w:styleId="38">
    <w:name w:val="Message Header"/>
    <w:basedOn w:val="1"/>
    <w:next w:val="1"/>
    <w:qFormat/>
    <w:locked/>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39">
    <w:name w:val="Body Text First Indent"/>
    <w:basedOn w:val="17"/>
    <w:next w:val="1"/>
    <w:link w:val="118"/>
    <w:qFormat/>
    <w:uiPriority w:val="99"/>
    <w:pPr>
      <w:spacing w:after="120"/>
      <w:ind w:firstLine="420" w:firstLineChars="100"/>
    </w:pPr>
  </w:style>
  <w:style w:type="table" w:styleId="41">
    <w:name w:val="Table Grid"/>
    <w:basedOn w:val="4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basedOn w:val="42"/>
    <w:qFormat/>
    <w:uiPriority w:val="99"/>
    <w:rPr>
      <w:rFonts w:cs="Times New Roman"/>
      <w:b/>
    </w:rPr>
  </w:style>
  <w:style w:type="character" w:styleId="44">
    <w:name w:val="page number"/>
    <w:qFormat/>
    <w:uiPriority w:val="99"/>
    <w:rPr>
      <w:rFonts w:cs="Times New Roman"/>
    </w:rPr>
  </w:style>
  <w:style w:type="character" w:styleId="45">
    <w:name w:val="FollowedHyperlink"/>
    <w:qFormat/>
    <w:uiPriority w:val="99"/>
    <w:rPr>
      <w:rFonts w:cs="Times New Roman"/>
      <w:color w:val="800080"/>
      <w:u w:val="single"/>
    </w:rPr>
  </w:style>
  <w:style w:type="character" w:styleId="46">
    <w:name w:val="Emphasis"/>
    <w:basedOn w:val="42"/>
    <w:qFormat/>
    <w:uiPriority w:val="99"/>
    <w:rPr>
      <w:rFonts w:cs="Times New Roman"/>
      <w:color w:val="CC0033"/>
    </w:rPr>
  </w:style>
  <w:style w:type="character" w:styleId="47">
    <w:name w:val="Hyperlink"/>
    <w:qFormat/>
    <w:uiPriority w:val="99"/>
    <w:rPr>
      <w:rFonts w:cs="Times New Roman"/>
      <w:color w:val="0000FF"/>
      <w:u w:val="single"/>
    </w:rPr>
  </w:style>
  <w:style w:type="character" w:styleId="48">
    <w:name w:val="HTML Sample"/>
    <w:qFormat/>
    <w:locked/>
    <w:uiPriority w:val="0"/>
    <w:rPr>
      <w:rFonts w:ascii="Courier New" w:hAnsi="Courier New"/>
    </w:rPr>
  </w:style>
  <w:style w:type="paragraph" w:customStyle="1" w:styleId="49">
    <w:name w:val="TOAHeading"/>
    <w:basedOn w:val="1"/>
    <w:next w:val="1"/>
    <w:qFormat/>
    <w:uiPriority w:val="0"/>
    <w:pPr>
      <w:spacing w:before="120"/>
      <w:jc w:val="both"/>
      <w:textAlignment w:val="baseline"/>
    </w:pPr>
    <w:rPr>
      <w:rFonts w:ascii="Arial" w:hAnsi="Arial" w:eastAsia="宋体"/>
      <w:kern w:val="2"/>
      <w:sz w:val="24"/>
      <w:szCs w:val="22"/>
      <w:lang w:val="en-US" w:eastAsia="zh-CN" w:bidi="ar-SA"/>
    </w:rPr>
  </w:style>
  <w:style w:type="character" w:customStyle="1" w:styleId="50">
    <w:name w:val="font51"/>
    <w:basedOn w:val="42"/>
    <w:qFormat/>
    <w:uiPriority w:val="0"/>
    <w:rPr>
      <w:rFonts w:hint="default" w:ascii="Arial" w:hAnsi="Arial" w:cs="Arial"/>
      <w:color w:val="000000"/>
      <w:sz w:val="18"/>
      <w:szCs w:val="18"/>
      <w:u w:val="none"/>
    </w:rPr>
  </w:style>
  <w:style w:type="character" w:customStyle="1" w:styleId="51">
    <w:name w:val="ca-4"/>
    <w:qFormat/>
    <w:uiPriority w:val="99"/>
    <w:rPr>
      <w:rFonts w:cs="Times New Roman"/>
    </w:rPr>
  </w:style>
  <w:style w:type="character" w:customStyle="1" w:styleId="52">
    <w:name w:val="marklong"/>
    <w:qFormat/>
    <w:uiPriority w:val="99"/>
    <w:rPr>
      <w:rFonts w:cs="Times New Roman"/>
    </w:rPr>
  </w:style>
  <w:style w:type="character" w:customStyle="1" w:styleId="53">
    <w:name w:val="Char Char"/>
    <w:qFormat/>
    <w:uiPriority w:val="99"/>
    <w:rPr>
      <w:kern w:val="2"/>
      <w:sz w:val="18"/>
    </w:rPr>
  </w:style>
  <w:style w:type="character" w:customStyle="1" w:styleId="54">
    <w:name w:val="纯文本 Char Char Char Char Char Char"/>
    <w:qFormat/>
    <w:locked/>
    <w:uiPriority w:val="99"/>
    <w:rPr>
      <w:rFonts w:ascii="宋体" w:hAnsi="Courier New" w:eastAsia="宋体"/>
      <w:kern w:val="2"/>
      <w:sz w:val="21"/>
      <w:lang w:val="en-US" w:eastAsia="zh-CN"/>
    </w:rPr>
  </w:style>
  <w:style w:type="character" w:customStyle="1" w:styleId="55">
    <w:name w:val="font21"/>
    <w:qFormat/>
    <w:uiPriority w:val="99"/>
    <w:rPr>
      <w:rFonts w:ascii="宋体" w:hAnsi="宋体" w:eastAsia="宋体"/>
      <w:color w:val="000000"/>
      <w:sz w:val="21"/>
      <w:u w:val="none"/>
    </w:rPr>
  </w:style>
  <w:style w:type="character" w:customStyle="1" w:styleId="56">
    <w:name w:val="Document Map Char"/>
    <w:qFormat/>
    <w:locked/>
    <w:uiPriority w:val="99"/>
    <w:rPr>
      <w:kern w:val="2"/>
      <w:sz w:val="21"/>
      <w:shd w:val="clear" w:color="auto" w:fill="000080"/>
    </w:rPr>
  </w:style>
  <w:style w:type="character" w:customStyle="1" w:styleId="57">
    <w:name w:val="无"/>
    <w:qFormat/>
    <w:uiPriority w:val="99"/>
  </w:style>
  <w:style w:type="character" w:customStyle="1" w:styleId="58">
    <w:name w:val="样式 仿宋"/>
    <w:qFormat/>
    <w:uiPriority w:val="99"/>
    <w:rPr>
      <w:rFonts w:ascii="仿宋" w:hAnsi="仿宋" w:eastAsia="仿宋"/>
      <w:kern w:val="1"/>
    </w:rPr>
  </w:style>
  <w:style w:type="character" w:customStyle="1" w:styleId="59">
    <w:name w:val="grame"/>
    <w:qFormat/>
    <w:uiPriority w:val="99"/>
    <w:rPr>
      <w:rFonts w:cs="Times New Roman"/>
    </w:rPr>
  </w:style>
  <w:style w:type="character" w:customStyle="1" w:styleId="60">
    <w:name w:val="NormalCharacter"/>
    <w:link w:val="61"/>
    <w:semiHidden/>
    <w:qFormat/>
    <w:uiPriority w:val="0"/>
  </w:style>
  <w:style w:type="paragraph" w:customStyle="1" w:styleId="61">
    <w:name w:val="UserStyle_5"/>
    <w:basedOn w:val="1"/>
    <w:link w:val="60"/>
    <w:qFormat/>
    <w:uiPriority w:val="0"/>
    <w:pPr>
      <w:widowControl/>
      <w:spacing w:after="160" w:line="240" w:lineRule="exact"/>
      <w:jc w:val="left"/>
      <w:textAlignment w:val="baseline"/>
    </w:pPr>
  </w:style>
  <w:style w:type="character" w:customStyle="1" w:styleId="62">
    <w:name w:val="样式 正文缩进 + 首行缩进:  2 字符 Char"/>
    <w:link w:val="63"/>
    <w:qFormat/>
    <w:locked/>
    <w:uiPriority w:val="99"/>
    <w:rPr>
      <w:sz w:val="24"/>
    </w:rPr>
  </w:style>
  <w:style w:type="paragraph" w:customStyle="1" w:styleId="63">
    <w:name w:val="样式 正文缩进 + 首行缩进:  2 字符"/>
    <w:basedOn w:val="11"/>
    <w:link w:val="62"/>
    <w:qFormat/>
    <w:uiPriority w:val="99"/>
    <w:pPr>
      <w:spacing w:line="360" w:lineRule="auto"/>
      <w:ind w:firstLine="200"/>
    </w:pPr>
    <w:rPr>
      <w:kern w:val="0"/>
      <w:sz w:val="24"/>
      <w:szCs w:val="20"/>
    </w:rPr>
  </w:style>
  <w:style w:type="character" w:customStyle="1" w:styleId="64">
    <w:name w:val="Body Text Char"/>
    <w:qFormat/>
    <w:locked/>
    <w:uiPriority w:val="99"/>
    <w:rPr>
      <w:rFonts w:ascii="Arial" w:hAnsi="Arial"/>
      <w:kern w:val="2"/>
      <w:sz w:val="24"/>
    </w:rPr>
  </w:style>
  <w:style w:type="character" w:customStyle="1" w:styleId="65">
    <w:name w:val="正文文字 Char1"/>
    <w:link w:val="66"/>
    <w:qFormat/>
    <w:locked/>
    <w:uiPriority w:val="99"/>
    <w:rPr>
      <w:rFonts w:ascii="宋体" w:eastAsia="宋体"/>
      <w:color w:val="000000"/>
      <w:sz w:val="28"/>
      <w:lang w:val="en-US" w:eastAsia="zh-CN"/>
    </w:rPr>
  </w:style>
  <w:style w:type="paragraph" w:customStyle="1" w:styleId="66">
    <w:name w:val="正文文字"/>
    <w:basedOn w:val="1"/>
    <w:link w:val="65"/>
    <w:qFormat/>
    <w:uiPriority w:val="99"/>
    <w:pPr>
      <w:widowControl/>
      <w:spacing w:line="2375" w:lineRule="atLeast"/>
      <w:ind w:firstLine="419"/>
      <w:textAlignment w:val="baseline"/>
    </w:pPr>
    <w:rPr>
      <w:rFonts w:ascii="宋体"/>
      <w:color w:val="000000"/>
      <w:kern w:val="0"/>
      <w:sz w:val="28"/>
    </w:rPr>
  </w:style>
  <w:style w:type="character" w:customStyle="1" w:styleId="67">
    <w:name w:val="正文文字 Char"/>
    <w:qFormat/>
    <w:uiPriority w:val="99"/>
    <w:rPr>
      <w:rFonts w:ascii="Arial" w:hAnsi="Arial" w:eastAsia="宋体"/>
      <w:kern w:val="2"/>
      <w:sz w:val="24"/>
      <w:lang w:val="en-US" w:eastAsia="zh-CN"/>
    </w:rPr>
  </w:style>
  <w:style w:type="character" w:customStyle="1" w:styleId="68">
    <w:name w:val="ca-12"/>
    <w:qFormat/>
    <w:uiPriority w:val="99"/>
  </w:style>
  <w:style w:type="character" w:customStyle="1" w:styleId="69">
    <w:name w:val="unnamed1"/>
    <w:qFormat/>
    <w:uiPriority w:val="99"/>
    <w:rPr>
      <w:rFonts w:cs="Times New Roman"/>
    </w:rPr>
  </w:style>
  <w:style w:type="character" w:customStyle="1" w:styleId="70">
    <w:name w:val="apple-converted-space"/>
    <w:qFormat/>
    <w:uiPriority w:val="99"/>
    <w:rPr>
      <w:rFonts w:cs="Times New Roman"/>
    </w:rPr>
  </w:style>
  <w:style w:type="character" w:customStyle="1" w:styleId="71">
    <w:name w:val="标题 1 Char Char"/>
    <w:qFormat/>
    <w:uiPriority w:val="0"/>
    <w:rPr>
      <w:rFonts w:hint="eastAsia" w:ascii="宋体" w:hAnsi="宋体" w:eastAsia="宋体"/>
      <w:b/>
      <w:spacing w:val="-2"/>
      <w:sz w:val="24"/>
      <w:lang w:val="en-US" w:eastAsia="zh-CN" w:bidi="ar-SA"/>
    </w:rPr>
  </w:style>
  <w:style w:type="character" w:customStyle="1" w:styleId="72">
    <w:name w:val="Char Char2"/>
    <w:qFormat/>
    <w:uiPriority w:val="99"/>
    <w:rPr>
      <w:kern w:val="2"/>
      <w:sz w:val="18"/>
    </w:rPr>
  </w:style>
  <w:style w:type="character" w:customStyle="1" w:styleId="73">
    <w:name w:val="css21"/>
    <w:qFormat/>
    <w:uiPriority w:val="99"/>
    <w:rPr>
      <w:sz w:val="18"/>
    </w:rPr>
  </w:style>
  <w:style w:type="character" w:customStyle="1" w:styleId="74">
    <w:name w:val="Footer Char"/>
    <w:qFormat/>
    <w:locked/>
    <w:uiPriority w:val="99"/>
    <w:rPr>
      <w:kern w:val="2"/>
      <w:sz w:val="18"/>
    </w:rPr>
  </w:style>
  <w:style w:type="character" w:customStyle="1" w:styleId="75">
    <w:name w:val="z-窗体顶端 Char"/>
    <w:link w:val="76"/>
    <w:semiHidden/>
    <w:qFormat/>
    <w:locked/>
    <w:uiPriority w:val="99"/>
    <w:rPr>
      <w:rFonts w:ascii="Arial" w:hAnsi="Arial" w:cs="Arial"/>
      <w:vanish/>
      <w:sz w:val="16"/>
      <w:szCs w:val="16"/>
    </w:rPr>
  </w:style>
  <w:style w:type="paragraph" w:customStyle="1" w:styleId="76">
    <w:name w:val="HTML Top of Form"/>
    <w:basedOn w:val="1"/>
    <w:link w:val="75"/>
    <w:qFormat/>
    <w:uiPriority w:val="99"/>
    <w:pPr>
      <w:ind w:firstLine="420" w:firstLineChars="200"/>
    </w:pPr>
  </w:style>
  <w:style w:type="character" w:customStyle="1" w:styleId="77">
    <w:name w:val="font11"/>
    <w:qFormat/>
    <w:uiPriority w:val="99"/>
    <w:rPr>
      <w:rFonts w:ascii="宋体" w:hAnsi="宋体" w:eastAsia="宋体"/>
      <w:color w:val="000000"/>
      <w:sz w:val="21"/>
      <w:u w:val="none"/>
    </w:rPr>
  </w:style>
  <w:style w:type="character" w:customStyle="1" w:styleId="78">
    <w:name w:val="15"/>
    <w:qFormat/>
    <w:uiPriority w:val="99"/>
    <w:rPr>
      <w:rFonts w:ascii="Times New Roman" w:hAnsi="Times New Roman" w:cs="Times New Roman"/>
      <w:b/>
      <w:bCs/>
    </w:rPr>
  </w:style>
  <w:style w:type="character" w:customStyle="1" w:styleId="79">
    <w:name w:val="正文文本缩进 3 字符"/>
    <w:link w:val="35"/>
    <w:semiHidden/>
    <w:qFormat/>
    <w:locked/>
    <w:uiPriority w:val="99"/>
    <w:rPr>
      <w:rFonts w:cs="Times New Roman"/>
      <w:sz w:val="16"/>
      <w:szCs w:val="16"/>
    </w:rPr>
  </w:style>
  <w:style w:type="character" w:customStyle="1" w:styleId="80">
    <w:name w:val="页脚 字符"/>
    <w:link w:val="29"/>
    <w:semiHidden/>
    <w:qFormat/>
    <w:locked/>
    <w:uiPriority w:val="99"/>
    <w:rPr>
      <w:rFonts w:cs="Times New Roman"/>
      <w:sz w:val="18"/>
      <w:szCs w:val="18"/>
    </w:rPr>
  </w:style>
  <w:style w:type="character" w:customStyle="1" w:styleId="81">
    <w:name w:val="正文文本缩进 2 字符"/>
    <w:link w:val="22"/>
    <w:semiHidden/>
    <w:qFormat/>
    <w:locked/>
    <w:uiPriority w:val="99"/>
    <w:rPr>
      <w:rFonts w:cs="Times New Roman"/>
      <w:sz w:val="20"/>
      <w:szCs w:val="20"/>
    </w:rPr>
  </w:style>
  <w:style w:type="character" w:customStyle="1" w:styleId="82">
    <w:name w:val="日期 字符"/>
    <w:link w:val="27"/>
    <w:semiHidden/>
    <w:qFormat/>
    <w:locked/>
    <w:uiPriority w:val="99"/>
    <w:rPr>
      <w:rFonts w:cs="Times New Roman"/>
      <w:sz w:val="20"/>
      <w:szCs w:val="20"/>
    </w:rPr>
  </w:style>
  <w:style w:type="character" w:customStyle="1" w:styleId="83">
    <w:name w:val="纯文本 字符"/>
    <w:link w:val="25"/>
    <w:semiHidden/>
    <w:qFormat/>
    <w:locked/>
    <w:uiPriority w:val="99"/>
    <w:rPr>
      <w:rFonts w:ascii="宋体" w:hAnsi="Courier New" w:cs="Courier New"/>
      <w:sz w:val="21"/>
      <w:szCs w:val="21"/>
    </w:rPr>
  </w:style>
  <w:style w:type="character" w:customStyle="1" w:styleId="84">
    <w:name w:val="ca-2"/>
    <w:qFormat/>
    <w:uiPriority w:val="99"/>
    <w:rPr>
      <w:rFonts w:cs="Times New Roman"/>
    </w:rPr>
  </w:style>
  <w:style w:type="character" w:customStyle="1" w:styleId="85">
    <w:name w:val="正文文本 字符"/>
    <w:link w:val="17"/>
    <w:semiHidden/>
    <w:qFormat/>
    <w:locked/>
    <w:uiPriority w:val="99"/>
    <w:rPr>
      <w:rFonts w:cs="Times New Roman"/>
      <w:sz w:val="20"/>
      <w:szCs w:val="20"/>
    </w:rPr>
  </w:style>
  <w:style w:type="character" w:customStyle="1" w:styleId="86">
    <w:name w:val="ca-1"/>
    <w:qFormat/>
    <w:uiPriority w:val="99"/>
    <w:rPr>
      <w:rFonts w:cs="Times New Roman"/>
    </w:rPr>
  </w:style>
  <w:style w:type="character" w:customStyle="1" w:styleId="87">
    <w:name w:val="称呼 字符"/>
    <w:link w:val="16"/>
    <w:semiHidden/>
    <w:qFormat/>
    <w:locked/>
    <w:uiPriority w:val="99"/>
    <w:rPr>
      <w:rFonts w:cs="Times New Roman"/>
      <w:sz w:val="20"/>
      <w:szCs w:val="20"/>
    </w:rPr>
  </w:style>
  <w:style w:type="character" w:customStyle="1" w:styleId="88">
    <w:name w:val="文档结构图 字符"/>
    <w:link w:val="12"/>
    <w:semiHidden/>
    <w:qFormat/>
    <w:locked/>
    <w:uiPriority w:val="99"/>
    <w:rPr>
      <w:rFonts w:cs="Times New Roman"/>
      <w:sz w:val="2"/>
    </w:rPr>
  </w:style>
  <w:style w:type="character" w:customStyle="1" w:styleId="89">
    <w:name w:val="标题 9 字符"/>
    <w:link w:val="10"/>
    <w:qFormat/>
    <w:locked/>
    <w:uiPriority w:val="99"/>
    <w:rPr>
      <w:rFonts w:ascii="Arial" w:hAnsi="Arial" w:eastAsia="黑体" w:cs="Times New Roman"/>
      <w:kern w:val="2"/>
      <w:sz w:val="21"/>
    </w:rPr>
  </w:style>
  <w:style w:type="character" w:customStyle="1" w:styleId="90">
    <w:name w:val="副标题 字符"/>
    <w:link w:val="33"/>
    <w:qFormat/>
    <w:locked/>
    <w:uiPriority w:val="99"/>
    <w:rPr>
      <w:rFonts w:ascii="Cambria" w:hAnsi="Cambria" w:eastAsia="宋体" w:cs="Times New Roman"/>
      <w:b/>
      <w:bCs/>
      <w:kern w:val="28"/>
      <w:sz w:val="32"/>
      <w:szCs w:val="32"/>
      <w:lang w:val="en-US" w:eastAsia="zh-CN" w:bidi="ar-SA"/>
    </w:rPr>
  </w:style>
  <w:style w:type="character" w:customStyle="1" w:styleId="91">
    <w:name w:val="标题 7 字符"/>
    <w:link w:val="8"/>
    <w:qFormat/>
    <w:locked/>
    <w:uiPriority w:val="99"/>
    <w:rPr>
      <w:rFonts w:cs="Times New Roman"/>
      <w:b/>
      <w:kern w:val="2"/>
      <w:sz w:val="24"/>
    </w:rPr>
  </w:style>
  <w:style w:type="character" w:customStyle="1" w:styleId="92">
    <w:name w:val="style25"/>
    <w:qFormat/>
    <w:uiPriority w:val="99"/>
  </w:style>
  <w:style w:type="character" w:customStyle="1" w:styleId="93">
    <w:name w:val="标题 6 字符"/>
    <w:link w:val="7"/>
    <w:qFormat/>
    <w:locked/>
    <w:uiPriority w:val="99"/>
    <w:rPr>
      <w:rFonts w:ascii="Arial" w:hAnsi="Arial" w:eastAsia="黑体" w:cs="Times New Roman"/>
      <w:b/>
      <w:kern w:val="2"/>
      <w:sz w:val="24"/>
    </w:rPr>
  </w:style>
  <w:style w:type="character" w:customStyle="1" w:styleId="94">
    <w:name w:val="批注框文本 字符"/>
    <w:link w:val="28"/>
    <w:semiHidden/>
    <w:qFormat/>
    <w:locked/>
    <w:uiPriority w:val="99"/>
    <w:rPr>
      <w:rFonts w:cs="Times New Roman"/>
      <w:sz w:val="2"/>
    </w:rPr>
  </w:style>
  <w:style w:type="character" w:customStyle="1" w:styleId="95">
    <w:name w:val="标题 3 字符"/>
    <w:link w:val="4"/>
    <w:semiHidden/>
    <w:qFormat/>
    <w:locked/>
    <w:uiPriority w:val="99"/>
    <w:rPr>
      <w:rFonts w:cs="Times New Roman"/>
      <w:b/>
      <w:bCs/>
      <w:sz w:val="32"/>
      <w:szCs w:val="32"/>
    </w:rPr>
  </w:style>
  <w:style w:type="character" w:customStyle="1" w:styleId="96">
    <w:name w:val="标题 1 字符"/>
    <w:link w:val="2"/>
    <w:qFormat/>
    <w:locked/>
    <w:uiPriority w:val="99"/>
    <w:rPr>
      <w:rFonts w:cs="Times New Roman"/>
      <w:b/>
      <w:kern w:val="2"/>
      <w:sz w:val="21"/>
    </w:rPr>
  </w:style>
  <w:style w:type="character" w:customStyle="1" w:styleId="97">
    <w:name w:val="ca-5"/>
    <w:qFormat/>
    <w:uiPriority w:val="99"/>
    <w:rPr>
      <w:rFonts w:cs="Times New Roman"/>
    </w:rPr>
  </w:style>
  <w:style w:type="character" w:customStyle="1" w:styleId="98">
    <w:name w:val="正文文本缩进 字符"/>
    <w:link w:val="21"/>
    <w:semiHidden/>
    <w:qFormat/>
    <w:locked/>
    <w:uiPriority w:val="99"/>
    <w:rPr>
      <w:rFonts w:cs="Times New Roman"/>
      <w:sz w:val="20"/>
      <w:szCs w:val="20"/>
    </w:rPr>
  </w:style>
  <w:style w:type="character" w:customStyle="1" w:styleId="99">
    <w:name w:val="Plain Text Char"/>
    <w:qFormat/>
    <w:locked/>
    <w:uiPriority w:val="99"/>
    <w:rPr>
      <w:rFonts w:ascii="宋体" w:hAnsi="Courier New" w:eastAsia="宋体"/>
      <w:kern w:val="2"/>
      <w:sz w:val="21"/>
      <w:lang w:val="en-US" w:eastAsia="zh-CN"/>
    </w:rPr>
  </w:style>
  <w:style w:type="character" w:customStyle="1" w:styleId="100">
    <w:name w:val="标题 2 字符"/>
    <w:link w:val="3"/>
    <w:qFormat/>
    <w:locked/>
    <w:uiPriority w:val="99"/>
    <w:rPr>
      <w:rFonts w:ascii="Arial" w:hAnsi="Arial" w:eastAsia="黑体" w:cs="Times New Roman"/>
      <w:b/>
      <w:kern w:val="2"/>
      <w:sz w:val="32"/>
    </w:rPr>
  </w:style>
  <w:style w:type="character" w:customStyle="1" w:styleId="101">
    <w:name w:val="标题 5 字符"/>
    <w:link w:val="6"/>
    <w:qFormat/>
    <w:locked/>
    <w:uiPriority w:val="99"/>
    <w:rPr>
      <w:rFonts w:cs="Times New Roman"/>
      <w:b/>
      <w:kern w:val="2"/>
      <w:sz w:val="28"/>
    </w:rPr>
  </w:style>
  <w:style w:type="character" w:customStyle="1" w:styleId="102">
    <w:name w:val="标题 4 字符"/>
    <w:link w:val="5"/>
    <w:semiHidden/>
    <w:qFormat/>
    <w:locked/>
    <w:uiPriority w:val="99"/>
    <w:rPr>
      <w:rFonts w:ascii="Cambria" w:hAnsi="Cambria" w:eastAsia="宋体" w:cs="Times New Roman"/>
      <w:b/>
      <w:bCs/>
      <w:sz w:val="28"/>
      <w:szCs w:val="28"/>
    </w:rPr>
  </w:style>
  <w:style w:type="character" w:customStyle="1" w:styleId="103">
    <w:name w:val="font01"/>
    <w:basedOn w:val="42"/>
    <w:qFormat/>
    <w:uiPriority w:val="0"/>
    <w:rPr>
      <w:rFonts w:hint="eastAsia" w:ascii="宋体" w:hAnsi="宋体" w:eastAsia="宋体" w:cs="宋体"/>
      <w:color w:val="000000"/>
      <w:sz w:val="22"/>
      <w:szCs w:val="22"/>
      <w:u w:val="none"/>
    </w:rPr>
  </w:style>
  <w:style w:type="character" w:customStyle="1" w:styleId="104">
    <w:name w:val="标题 8 字符"/>
    <w:link w:val="9"/>
    <w:qFormat/>
    <w:locked/>
    <w:uiPriority w:val="99"/>
    <w:rPr>
      <w:rFonts w:ascii="Arial" w:hAnsi="Arial" w:eastAsia="黑体" w:cs="Times New Roman"/>
      <w:kern w:val="2"/>
      <w:sz w:val="24"/>
    </w:rPr>
  </w:style>
  <w:style w:type="character" w:customStyle="1" w:styleId="105">
    <w:name w:val="p21"/>
    <w:qFormat/>
    <w:uiPriority w:val="99"/>
    <w:rPr>
      <w:rFonts w:ascii="Arial" w:hAnsi="Arial"/>
      <w:color w:val="333333"/>
      <w:sz w:val="18"/>
      <w:u w:val="none"/>
    </w:rPr>
  </w:style>
  <w:style w:type="character" w:customStyle="1" w:styleId="106">
    <w:name w:val="font31"/>
    <w:qFormat/>
    <w:uiPriority w:val="99"/>
    <w:rPr>
      <w:rFonts w:ascii="Arial" w:hAnsi="Arial"/>
      <w:color w:val="000000"/>
      <w:sz w:val="21"/>
      <w:u w:val="none"/>
    </w:rPr>
  </w:style>
  <w:style w:type="character" w:customStyle="1" w:styleId="107">
    <w:name w:val="ca-3"/>
    <w:qFormat/>
    <w:uiPriority w:val="99"/>
    <w:rPr>
      <w:rFonts w:cs="Times New Roman"/>
    </w:rPr>
  </w:style>
  <w:style w:type="character" w:customStyle="1" w:styleId="108">
    <w:name w:val="font41"/>
    <w:basedOn w:val="42"/>
    <w:qFormat/>
    <w:uiPriority w:val="0"/>
    <w:rPr>
      <w:rFonts w:hint="default" w:ascii="Arial" w:hAnsi="Arial" w:cs="Arial"/>
      <w:color w:val="000000"/>
      <w:sz w:val="16"/>
      <w:szCs w:val="16"/>
      <w:u w:val="none"/>
    </w:rPr>
  </w:style>
  <w:style w:type="character" w:customStyle="1" w:styleId="109">
    <w:name w:val="正文文本1"/>
    <w:qFormat/>
    <w:uiPriority w:val="0"/>
    <w:rPr>
      <w:rFonts w:hint="eastAsia" w:ascii="MingLiU" w:hAnsi="MingLiU" w:eastAsia="MingLiU" w:cs="MingLiU"/>
      <w:color w:val="000000"/>
      <w:spacing w:val="9"/>
      <w:w w:val="100"/>
      <w:position w:val="0"/>
      <w:sz w:val="18"/>
      <w:szCs w:val="18"/>
      <w:u w:val="none"/>
      <w:lang w:val="zh-CN"/>
    </w:rPr>
  </w:style>
  <w:style w:type="character" w:customStyle="1" w:styleId="110">
    <w:name w:val="Header Char"/>
    <w:qFormat/>
    <w:locked/>
    <w:uiPriority w:val="99"/>
    <w:rPr>
      <w:kern w:val="2"/>
      <w:sz w:val="18"/>
    </w:rPr>
  </w:style>
  <w:style w:type="character" w:customStyle="1" w:styleId="111">
    <w:name w:val="明显参考1"/>
    <w:qFormat/>
    <w:uiPriority w:val="99"/>
    <w:rPr>
      <w:b/>
      <w:smallCaps/>
      <w:color w:val="C0504D"/>
      <w:spacing w:val="5"/>
      <w:u w:val="single"/>
    </w:rPr>
  </w:style>
  <w:style w:type="character" w:customStyle="1" w:styleId="112">
    <w:name w:val="页眉 字符"/>
    <w:link w:val="31"/>
    <w:semiHidden/>
    <w:qFormat/>
    <w:locked/>
    <w:uiPriority w:val="99"/>
    <w:rPr>
      <w:rFonts w:cs="Times New Roman"/>
      <w:sz w:val="18"/>
      <w:szCs w:val="18"/>
    </w:rPr>
  </w:style>
  <w:style w:type="character" w:customStyle="1" w:styleId="113">
    <w:name w:val="Char Char1"/>
    <w:qFormat/>
    <w:uiPriority w:val="99"/>
    <w:rPr>
      <w:kern w:val="2"/>
      <w:sz w:val="18"/>
    </w:rPr>
  </w:style>
  <w:style w:type="character" w:customStyle="1" w:styleId="114">
    <w:name w:val="Body Text First Indent Char"/>
    <w:qFormat/>
    <w:locked/>
    <w:uiPriority w:val="99"/>
    <w:rPr>
      <w:rFonts w:ascii="Arial" w:hAnsi="Arial"/>
      <w:kern w:val="2"/>
      <w:sz w:val="24"/>
    </w:rPr>
  </w:style>
  <w:style w:type="character" w:customStyle="1" w:styleId="115">
    <w:name w:val="正文文本 2 字符"/>
    <w:link w:val="37"/>
    <w:semiHidden/>
    <w:qFormat/>
    <w:locked/>
    <w:uiPriority w:val="99"/>
    <w:rPr>
      <w:rFonts w:cs="Times New Roman"/>
      <w:sz w:val="20"/>
      <w:szCs w:val="20"/>
    </w:rPr>
  </w:style>
  <w:style w:type="character" w:customStyle="1" w:styleId="116">
    <w:name w:val="H3 Char1"/>
    <w:qFormat/>
    <w:uiPriority w:val="99"/>
    <w:rPr>
      <w:rFonts w:eastAsia="宋体" w:cs="Times New Roman"/>
      <w:b/>
      <w:bCs/>
      <w:kern w:val="2"/>
      <w:sz w:val="24"/>
      <w:szCs w:val="24"/>
      <w:lang w:val="en-US" w:eastAsia="zh-CN" w:bidi="ar-SA"/>
    </w:rPr>
  </w:style>
  <w:style w:type="character" w:customStyle="1" w:styleId="117">
    <w:name w:val="书籍标题1"/>
    <w:qFormat/>
    <w:uiPriority w:val="99"/>
    <w:rPr>
      <w:b/>
      <w:smallCaps/>
      <w:spacing w:val="5"/>
    </w:rPr>
  </w:style>
  <w:style w:type="character" w:customStyle="1" w:styleId="118">
    <w:name w:val="正文文本首行缩进 字符"/>
    <w:link w:val="39"/>
    <w:semiHidden/>
    <w:qFormat/>
    <w:locked/>
    <w:uiPriority w:val="99"/>
    <w:rPr>
      <w:rFonts w:cs="Times New Roman"/>
      <w:sz w:val="20"/>
      <w:szCs w:val="20"/>
    </w:rPr>
  </w:style>
  <w:style w:type="paragraph" w:customStyle="1" w:styleId="11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20">
    <w:name w:val="Body text|1"/>
    <w:basedOn w:val="1"/>
    <w:qFormat/>
    <w:uiPriority w:val="0"/>
    <w:pPr>
      <w:widowControl w:val="0"/>
      <w:shd w:val="clear" w:color="auto" w:fill="auto"/>
      <w:spacing w:line="290" w:lineRule="auto"/>
      <w:ind w:firstLine="400"/>
    </w:pPr>
    <w:rPr>
      <w:rFonts w:ascii="宋体" w:hAnsi="宋体" w:eastAsia="宋体" w:cs="宋体"/>
      <w:sz w:val="22"/>
      <w:szCs w:val="22"/>
      <w:u w:val="none"/>
      <w:shd w:val="clear" w:color="auto" w:fill="auto"/>
      <w:lang w:val="zh-CN" w:eastAsia="zh-CN" w:bidi="zh-CN"/>
    </w:rPr>
  </w:style>
  <w:style w:type="paragraph" w:customStyle="1" w:styleId="121">
    <w:name w:val="WPSOffice手动目录 1"/>
    <w:qFormat/>
    <w:uiPriority w:val="0"/>
    <w:pPr>
      <w:ind w:leftChars="0"/>
    </w:pPr>
    <w:rPr>
      <w:rFonts w:ascii="Times New Roman" w:hAnsi="Times New Roman" w:eastAsia="宋体" w:cs="Times New Roman"/>
      <w:sz w:val="20"/>
      <w:szCs w:val="20"/>
    </w:rPr>
  </w:style>
  <w:style w:type="paragraph" w:customStyle="1" w:styleId="122">
    <w:name w:val="答复表头"/>
    <w:basedOn w:val="123"/>
    <w:next w:val="1"/>
    <w:qFormat/>
    <w:uiPriority w:val="0"/>
    <w:pPr>
      <w:tabs>
        <w:tab w:val="left" w:pos="480"/>
      </w:tabs>
    </w:pPr>
    <w:rPr>
      <w:rFonts w:ascii="Calibri" w:hAnsi="Calibri" w:eastAsia="宋体" w:cs="Times New Roman"/>
      <w:b/>
    </w:rPr>
  </w:style>
  <w:style w:type="paragraph" w:customStyle="1" w:styleId="123">
    <w:name w:val="正表头"/>
    <w:basedOn w:val="1"/>
    <w:qFormat/>
    <w:uiPriority w:val="0"/>
    <w:pPr>
      <w:tabs>
        <w:tab w:val="left" w:pos="480"/>
      </w:tabs>
      <w:autoSpaceDE w:val="0"/>
      <w:autoSpaceDN w:val="0"/>
      <w:adjustRightInd w:val="0"/>
      <w:jc w:val="center"/>
      <w:textAlignment w:val="baseline"/>
    </w:pPr>
    <w:rPr>
      <w:rFonts w:ascii="宋体" w:hAnsi="Tms Rmn" w:eastAsia="宋体" w:cs="Times New Roman"/>
      <w:color w:val="000000"/>
      <w:kern w:val="0"/>
    </w:rPr>
  </w:style>
  <w:style w:type="paragraph" w:customStyle="1" w:styleId="124">
    <w:name w:val="正文文本3"/>
    <w:basedOn w:val="1"/>
    <w:qFormat/>
    <w:uiPriority w:val="0"/>
    <w:pPr>
      <w:shd w:val="clear" w:color="auto" w:fill="FFFFFF"/>
      <w:spacing w:after="120" w:line="0" w:lineRule="atLeast"/>
      <w:jc w:val="left"/>
    </w:pPr>
    <w:rPr>
      <w:rFonts w:ascii="MingLiU" w:hAnsi="MingLiU" w:eastAsia="MingLiU"/>
      <w:spacing w:val="9"/>
      <w:sz w:val="18"/>
      <w:szCs w:val="18"/>
      <w:lang w:bidi="ug-CN"/>
    </w:rPr>
  </w:style>
  <w:style w:type="paragraph" w:customStyle="1" w:styleId="125">
    <w:name w:val="正文_0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188"/>
    <w:basedOn w:val="1"/>
    <w:qFormat/>
    <w:uiPriority w:val="0"/>
    <w:pPr>
      <w:widowControl/>
      <w:spacing w:line="240" w:lineRule="auto"/>
      <w:ind w:left="720"/>
      <w:contextualSpacing/>
      <w:jc w:val="left"/>
      <w:textAlignment w:val="auto"/>
    </w:pPr>
    <w:rPr>
      <w:rFonts w:ascii="Calibri" w:hAnsi="Calibri" w:eastAsia="宋体"/>
      <w:sz w:val="24"/>
      <w:szCs w:val="24"/>
      <w:lang w:val="en-US" w:eastAsia="en-US" w:bidi="ar-SA"/>
    </w:rPr>
  </w:style>
  <w:style w:type="paragraph" w:customStyle="1" w:styleId="127">
    <w:name w:val="ecxmsolistparagraph"/>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8">
    <w:name w:val="标书正文"/>
    <w:basedOn w:val="1"/>
    <w:qFormat/>
    <w:uiPriority w:val="99"/>
    <w:pPr>
      <w:spacing w:line="560" w:lineRule="exact"/>
      <w:ind w:firstLine="723" w:firstLineChars="200"/>
      <w:jc w:val="center"/>
    </w:pPr>
    <w:rPr>
      <w:rFonts w:ascii="仿宋_GB2312" w:eastAsia="仿宋_GB2312"/>
      <w:b/>
      <w:sz w:val="36"/>
    </w:rPr>
  </w:style>
  <w:style w:type="paragraph" w:customStyle="1" w:styleId="129">
    <w:name w:val="我们红色"/>
    <w:basedOn w:val="1"/>
    <w:qFormat/>
    <w:uiPriority w:val="99"/>
    <w:pPr>
      <w:spacing w:line="360" w:lineRule="auto"/>
    </w:pPr>
    <w:rPr>
      <w:rFonts w:ascii="宋体" w:hAnsi="宋体" w:cs="宋体"/>
      <w:color w:val="FF0000"/>
      <w:kern w:val="0"/>
      <w:szCs w:val="21"/>
    </w:rPr>
  </w:style>
  <w:style w:type="paragraph" w:customStyle="1" w:styleId="130">
    <w:name w:val="1 Char Char Char Char"/>
    <w:basedOn w:val="1"/>
    <w:qFormat/>
    <w:uiPriority w:val="99"/>
    <w:rPr>
      <w:rFonts w:ascii="Tahoma" w:hAnsi="Tahoma"/>
      <w:sz w:val="24"/>
    </w:rPr>
  </w:style>
  <w:style w:type="paragraph" w:customStyle="1" w:styleId="131">
    <w:name w:val="pa-6"/>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32">
    <w:name w:val="正文 A"/>
    <w:qFormat/>
    <w:uiPriority w:val="99"/>
    <w:pPr>
      <w:widowControl w:val="0"/>
      <w:jc w:val="both"/>
    </w:pPr>
    <w:rPr>
      <w:rFonts w:ascii="Calibri" w:hAnsi="Calibri" w:eastAsia="宋体" w:cs="Calibri"/>
      <w:color w:val="000000"/>
      <w:kern w:val="2"/>
      <w:sz w:val="21"/>
      <w:szCs w:val="21"/>
      <w:lang w:val="en-US" w:eastAsia="zh-CN" w:bidi="ar-SA"/>
    </w:rPr>
  </w:style>
  <w:style w:type="paragraph" w:customStyle="1" w:styleId="133">
    <w:name w:val="WPSOffice手动目录 2"/>
    <w:qFormat/>
    <w:uiPriority w:val="0"/>
    <w:pPr>
      <w:ind w:leftChars="200"/>
    </w:pPr>
    <w:rPr>
      <w:rFonts w:ascii="Times New Roman" w:hAnsi="Times New Roman" w:eastAsia="宋体" w:cs="Times New Roman"/>
      <w:sz w:val="20"/>
      <w:szCs w:val="20"/>
    </w:rPr>
  </w:style>
  <w:style w:type="paragraph" w:customStyle="1" w:styleId="134">
    <w:name w:val="无间隔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6">
    <w:name w:val="中等深浅网格 21"/>
    <w:qFormat/>
    <w:uiPriority w:val="1"/>
    <w:rPr>
      <w:rFonts w:ascii="Calibri" w:hAnsi="Calibri" w:eastAsia="宋体" w:cs="Times New Roman"/>
      <w:sz w:val="22"/>
      <w:szCs w:val="22"/>
      <w:lang w:val="en-US" w:eastAsia="zh-CN" w:bidi="ar-SA"/>
    </w:rPr>
  </w:style>
  <w:style w:type="paragraph" w:customStyle="1" w:styleId="137">
    <w:name w:val="正文缩进1"/>
    <w:basedOn w:val="1"/>
    <w:next w:val="21"/>
    <w:qFormat/>
    <w:uiPriority w:val="99"/>
    <w:pPr>
      <w:ind w:firstLine="420" w:firstLineChars="200"/>
    </w:pPr>
    <w:rPr>
      <w:rFonts w:ascii="Calibri" w:hAnsi="Calibri"/>
    </w:rPr>
  </w:style>
  <w:style w:type="paragraph" w:customStyle="1" w:styleId="138">
    <w:name w:val="列出段落1"/>
    <w:basedOn w:val="1"/>
    <w:qFormat/>
    <w:uiPriority w:val="99"/>
    <w:pPr>
      <w:ind w:firstLine="420" w:firstLineChars="200"/>
    </w:pPr>
  </w:style>
  <w:style w:type="paragraph" w:customStyle="1" w:styleId="139">
    <w:name w:val="_Style 70"/>
    <w:basedOn w:val="1"/>
    <w:next w:val="140"/>
    <w:qFormat/>
    <w:uiPriority w:val="99"/>
    <w:pPr>
      <w:ind w:firstLine="420" w:firstLineChars="200"/>
    </w:pPr>
    <w:rPr>
      <w:rFonts w:ascii="Calibri" w:hAnsi="Calibri"/>
      <w:szCs w:val="22"/>
    </w:rPr>
  </w:style>
  <w:style w:type="paragraph" w:styleId="140">
    <w:name w:val="List Paragraph"/>
    <w:basedOn w:val="1"/>
    <w:qFormat/>
    <w:uiPriority w:val="99"/>
    <w:pPr>
      <w:ind w:firstLine="420" w:firstLineChars="200"/>
    </w:pPr>
    <w:rPr>
      <w:rFonts w:ascii="Calibri" w:hAnsi="Calibri"/>
      <w:szCs w:val="22"/>
    </w:rPr>
  </w:style>
  <w:style w:type="paragraph" w:customStyle="1" w:styleId="141">
    <w:name w:val="List Paragraph1"/>
    <w:basedOn w:val="1"/>
    <w:qFormat/>
    <w:uiPriority w:val="99"/>
    <w:pPr>
      <w:ind w:firstLine="420" w:firstLineChars="200"/>
    </w:pPr>
    <w:rPr>
      <w:rFonts w:ascii="Calibri" w:hAnsi="Calibri" w:cs="Calibri"/>
      <w:szCs w:val="21"/>
    </w:rPr>
  </w:style>
  <w:style w:type="paragraph" w:customStyle="1" w:styleId="142">
    <w:name w:val="style16"/>
    <w:basedOn w:val="1"/>
    <w:qFormat/>
    <w:uiPriority w:val="99"/>
    <w:pPr>
      <w:widowControl/>
      <w:spacing w:before="100" w:beforeAutospacing="1" w:after="100" w:afterAutospacing="1"/>
      <w:jc w:val="left"/>
    </w:pPr>
    <w:rPr>
      <w:rFonts w:ascii="宋体" w:hAnsi="宋体" w:cs="宋体"/>
      <w:kern w:val="0"/>
      <w:sz w:val="24"/>
    </w:rPr>
  </w:style>
  <w:style w:type="paragraph" w:customStyle="1" w:styleId="14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4">
    <w:name w:val="正文文本_0"/>
    <w:basedOn w:val="143"/>
    <w:qFormat/>
    <w:uiPriority w:val="0"/>
    <w:pPr>
      <w:spacing w:after="120"/>
    </w:pPr>
    <w:rPr>
      <w:kern w:val="0"/>
      <w:sz w:val="20"/>
    </w:rPr>
  </w:style>
  <w:style w:type="paragraph" w:customStyle="1" w:styleId="145">
    <w:name w:val="ecx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6">
    <w:name w:val="我们蓝色"/>
    <w:basedOn w:val="1"/>
    <w:qFormat/>
    <w:uiPriority w:val="99"/>
    <w:pPr>
      <w:spacing w:line="360" w:lineRule="auto"/>
    </w:pPr>
    <w:rPr>
      <w:color w:val="00B0F0"/>
      <w:szCs w:val="24"/>
    </w:rPr>
  </w:style>
  <w:style w:type="paragraph" w:customStyle="1" w:styleId="147">
    <w:name w:val="WPSOffice手动目录 3"/>
    <w:qFormat/>
    <w:uiPriority w:val="0"/>
    <w:pPr>
      <w:ind w:leftChars="400"/>
    </w:pPr>
    <w:rPr>
      <w:rFonts w:ascii="Times New Roman" w:hAnsi="Times New Roman" w:eastAsia="宋体" w:cs="Times New Roman"/>
      <w:sz w:val="20"/>
      <w:szCs w:val="20"/>
    </w:rPr>
  </w:style>
  <w:style w:type="paragraph" w:customStyle="1" w:styleId="148">
    <w:name w:val="p0"/>
    <w:basedOn w:val="1"/>
    <w:qFormat/>
    <w:uiPriority w:val="99"/>
    <w:pPr>
      <w:widowControl/>
    </w:pPr>
    <w:rPr>
      <w:kern w:val="0"/>
      <w:szCs w:val="21"/>
    </w:rPr>
  </w:style>
  <w:style w:type="paragraph" w:customStyle="1" w:styleId="149">
    <w:name w:val="条目3"/>
    <w:basedOn w:val="25"/>
    <w:qFormat/>
    <w:uiPriority w:val="99"/>
    <w:pPr>
      <w:tabs>
        <w:tab w:val="left" w:pos="960"/>
        <w:tab w:val="left" w:pos="2940"/>
      </w:tabs>
      <w:spacing w:line="360" w:lineRule="auto"/>
      <w:ind w:left="2940" w:hanging="420"/>
    </w:pPr>
    <w:rPr>
      <w:color w:val="000000"/>
      <w:sz w:val="30"/>
    </w:rPr>
  </w:style>
  <w:style w:type="paragraph" w:customStyle="1" w:styleId="150">
    <w:name w:val="列出段落2"/>
    <w:basedOn w:val="1"/>
    <w:qFormat/>
    <w:uiPriority w:val="99"/>
    <w:pPr>
      <w:ind w:firstLine="420" w:firstLineChars="200"/>
    </w:pPr>
    <w:rPr>
      <w:rFonts w:ascii="宋体" w:hAnsi="Courier New"/>
    </w:rPr>
  </w:style>
  <w:style w:type="paragraph" w:customStyle="1" w:styleId="151">
    <w:name w:val="普通 (Web)"/>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152">
    <w:name w:val="pa-4"/>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3">
    <w:name w:val="style9"/>
    <w:basedOn w:val="1"/>
    <w:qFormat/>
    <w:uiPriority w:val="99"/>
    <w:pPr>
      <w:widowControl/>
      <w:spacing w:line="300" w:lineRule="atLeast"/>
      <w:jc w:val="left"/>
    </w:pPr>
    <w:rPr>
      <w:rFonts w:ascii="宋体" w:hAnsi="宋体" w:cs="宋体"/>
      <w:kern w:val="0"/>
      <w:sz w:val="24"/>
      <w:szCs w:val="24"/>
    </w:rPr>
  </w:style>
  <w:style w:type="paragraph" w:customStyle="1" w:styleId="154">
    <w:name w:val="无间隔1"/>
    <w:qFormat/>
    <w:uiPriority w:val="99"/>
    <w:rPr>
      <w:rFonts w:ascii="Calibri" w:hAnsi="Calibri" w:eastAsia="宋体" w:cs="Times New Roman"/>
      <w:sz w:val="22"/>
      <w:szCs w:val="22"/>
      <w:lang w:val="en-US" w:eastAsia="zh-CN" w:bidi="ar-SA"/>
    </w:rPr>
  </w:style>
  <w:style w:type="paragraph" w:customStyle="1" w:styleId="155">
    <w:name w:val="pa-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6">
    <w:name w:val="pa-8"/>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7">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9">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Body 1"/>
    <w:qFormat/>
    <w:uiPriority w:val="99"/>
    <w:pPr>
      <w:outlineLvl w:val="0"/>
    </w:pPr>
    <w:rPr>
      <w:rFonts w:ascii="Calibri" w:hAnsi="Calibri" w:eastAsia="宋体" w:cs="Times New Roman"/>
      <w:color w:val="000000"/>
      <w:sz w:val="24"/>
      <w:szCs w:val="22"/>
      <w:lang w:val="en-US" w:eastAsia="zh-CN" w:bidi="ar-SA"/>
    </w:rPr>
  </w:style>
  <w:style w:type="paragraph" w:customStyle="1" w:styleId="161">
    <w:name w:val="宋体加黑"/>
    <w:basedOn w:val="1"/>
    <w:qFormat/>
    <w:uiPriority w:val="99"/>
    <w:pPr>
      <w:spacing w:line="360" w:lineRule="auto"/>
      <w:jc w:val="center"/>
    </w:pPr>
    <w:rPr>
      <w:rFonts w:ascii="宋体" w:hAnsi="宋体"/>
      <w:b/>
      <w:szCs w:val="24"/>
    </w:rPr>
  </w:style>
  <w:style w:type="paragraph" w:customStyle="1" w:styleId="162">
    <w:name w:val="条目2"/>
    <w:basedOn w:val="25"/>
    <w:qFormat/>
    <w:uiPriority w:val="99"/>
    <w:pPr>
      <w:tabs>
        <w:tab w:val="left" w:pos="420"/>
      </w:tabs>
      <w:spacing w:line="360" w:lineRule="auto"/>
      <w:ind w:left="420" w:hanging="420"/>
    </w:pPr>
    <w:rPr>
      <w:color w:val="000000"/>
      <w:sz w:val="30"/>
    </w:rPr>
  </w:style>
  <w:style w:type="paragraph" w:customStyle="1" w:styleId="163">
    <w:name w:val="pa-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4">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Char1"/>
    <w:basedOn w:val="1"/>
    <w:qFormat/>
    <w:uiPriority w:val="99"/>
    <w:pPr>
      <w:widowControl/>
      <w:spacing w:after="160" w:line="240" w:lineRule="exact"/>
      <w:jc w:val="left"/>
    </w:pPr>
    <w:rPr>
      <w:rFonts w:ascii="Verdana" w:hAnsi="Verdana"/>
      <w:kern w:val="0"/>
      <w:sz w:val="20"/>
      <w:lang w:eastAsia="en-US"/>
    </w:rPr>
  </w:style>
  <w:style w:type="paragraph" w:customStyle="1" w:styleId="166">
    <w:name w:val="_Style 2"/>
    <w:basedOn w:val="1"/>
    <w:qFormat/>
    <w:uiPriority w:val="99"/>
    <w:pPr>
      <w:ind w:firstLine="420" w:firstLineChars="200"/>
    </w:pPr>
  </w:style>
  <w:style w:type="paragraph" w:customStyle="1" w:styleId="167">
    <w:name w:val="pa-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8">
    <w:name w:val="style6"/>
    <w:basedOn w:val="1"/>
    <w:qFormat/>
    <w:uiPriority w:val="99"/>
    <w:pPr>
      <w:widowControl/>
      <w:spacing w:line="300" w:lineRule="atLeast"/>
      <w:jc w:val="left"/>
    </w:pPr>
    <w:rPr>
      <w:rFonts w:ascii="宋体" w:hAnsi="宋体" w:cs="宋体"/>
      <w:kern w:val="0"/>
      <w:sz w:val="24"/>
      <w:szCs w:val="24"/>
    </w:rPr>
  </w:style>
  <w:style w:type="paragraph" w:customStyle="1" w:styleId="169">
    <w:name w:val="pa-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0">
    <w:name w:val="WPS Plain"/>
    <w:basedOn w:val="1"/>
    <w:qFormat/>
    <w:uiPriority w:val="0"/>
    <w:pPr>
      <w:widowControl/>
      <w:adjustRightInd/>
      <w:spacing w:line="240" w:lineRule="auto"/>
      <w:jc w:val="left"/>
      <w:textAlignment w:val="auto"/>
    </w:pPr>
    <w:rPr>
      <w:rFonts w:ascii="Times New Roman" w:hAnsi="Calibri" w:eastAsia="宋体" w:cs="Times New Roman"/>
      <w:sz w:val="24"/>
      <w:szCs w:val="24"/>
    </w:rPr>
  </w:style>
  <w:style w:type="paragraph" w:customStyle="1" w:styleId="171">
    <w:name w:val="pa-7"/>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2">
    <w:name w:val="Char"/>
    <w:basedOn w:val="1"/>
    <w:qFormat/>
    <w:uiPriority w:val="99"/>
    <w:rPr>
      <w:rFonts w:ascii="Tahoma" w:hAnsi="Tahoma" w:cs="仿宋_GB2312"/>
      <w:sz w:val="24"/>
      <w:szCs w:val="28"/>
    </w:rPr>
  </w:style>
  <w:style w:type="table" w:customStyle="1" w:styleId="173">
    <w:name w:val="Table Normal"/>
    <w:unhideWhenUsed/>
    <w:qFormat/>
    <w:uiPriority w:val="0"/>
    <w:tblPr>
      <w:tblCellMar>
        <w:top w:w="0" w:type="dxa"/>
        <w:left w:w="0" w:type="dxa"/>
        <w:bottom w:w="0" w:type="dxa"/>
        <w:right w:w="0" w:type="dxa"/>
      </w:tblCellMar>
    </w:tblPr>
  </w:style>
  <w:style w:type="paragraph" w:customStyle="1" w:styleId="174">
    <w:name w:val="BodyText"/>
    <w:basedOn w:val="1"/>
    <w:next w:val="175"/>
    <w:qFormat/>
    <w:uiPriority w:val="0"/>
    <w:pPr>
      <w:spacing w:line="600" w:lineRule="exact"/>
      <w:jc w:val="both"/>
      <w:textAlignment w:val="baseline"/>
    </w:pPr>
    <w:rPr>
      <w:rFonts w:ascii="Times New Roman" w:hAnsi="Times New Roman" w:eastAsia="方正仿宋_GBK"/>
      <w:kern w:val="2"/>
      <w:sz w:val="32"/>
      <w:szCs w:val="24"/>
      <w:lang w:val="en-US" w:eastAsia="zh-CN" w:bidi="ar-SA"/>
    </w:rPr>
  </w:style>
  <w:style w:type="paragraph" w:customStyle="1" w:styleId="175">
    <w:name w:val="180"/>
    <w:basedOn w:val="1"/>
    <w:next w:val="1"/>
    <w:qFormat/>
    <w:uiPriority w:val="0"/>
    <w:pPr>
      <w:spacing w:line="600" w:lineRule="exact"/>
      <w:jc w:val="both"/>
      <w:textAlignment w:val="baseline"/>
    </w:pPr>
    <w:rPr>
      <w:rFonts w:eastAsia="方正仿宋_GBK"/>
      <w:i/>
      <w:iCs/>
      <w:color w:val="000000"/>
      <w:kern w:val="2"/>
      <w:sz w:val="32"/>
      <w:szCs w:val="24"/>
      <w:lang w:val="en-US" w:eastAsia="zh-CN" w:bidi="ar-SA"/>
    </w:rPr>
  </w:style>
  <w:style w:type="paragraph" w:customStyle="1" w:styleId="176">
    <w:name w:val="矿商正文"/>
    <w:basedOn w:val="177"/>
    <w:qFormat/>
    <w:uiPriority w:val="0"/>
    <w:pPr>
      <w:outlineLvl w:val="9"/>
    </w:pPr>
    <w:rPr>
      <w:b w:val="0"/>
      <w:kern w:val="0"/>
      <w:sz w:val="28"/>
    </w:rPr>
  </w:style>
  <w:style w:type="paragraph" w:customStyle="1" w:styleId="177">
    <w:name w:val="矿商3级"/>
    <w:basedOn w:val="1"/>
    <w:qFormat/>
    <w:uiPriority w:val="0"/>
    <w:pPr>
      <w:adjustRightInd/>
      <w:snapToGrid/>
      <w:outlineLvl w:val="2"/>
    </w:pPr>
    <w:rPr>
      <w:b/>
      <w:kern w:val="2"/>
      <w:sz w:val="30"/>
      <w:szCs w:val="30"/>
    </w:rPr>
  </w:style>
  <w:style w:type="paragraph" w:customStyle="1" w:styleId="178">
    <w:name w:val="索引 11"/>
    <w:basedOn w:val="1"/>
    <w:next w:val="1"/>
    <w:qFormat/>
    <w:uiPriority w:val="99"/>
    <w:pPr>
      <w:spacing w:line="360" w:lineRule="auto"/>
    </w:pPr>
    <w:rPr>
      <w:rFonts w:ascii="仿宋_GB2312" w:eastAsia="仿宋_GB2312"/>
      <w:sz w:val="24"/>
      <w:szCs w:val="20"/>
    </w:rPr>
  </w:style>
  <w:style w:type="paragraph" w:customStyle="1" w:styleId="179">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180">
    <w:name w:val="纯文本1"/>
    <w:basedOn w:val="1"/>
    <w:qFormat/>
    <w:uiPriority w:val="0"/>
    <w:rPr>
      <w:rFonts w:ascii="宋体" w:hAnsi="Courier New"/>
      <w:kern w:val="0"/>
      <w:sz w:val="20"/>
      <w:szCs w:val="20"/>
    </w:rPr>
  </w:style>
  <w:style w:type="paragraph" w:customStyle="1" w:styleId="181">
    <w:name w:val="正文报告"/>
    <w:basedOn w:val="1"/>
    <w:qFormat/>
    <w:uiPriority w:val="0"/>
    <w:pPr>
      <w:adjustRightInd w:val="0"/>
      <w:snapToGrid w:val="0"/>
      <w:spacing w:after="160" w:line="360" w:lineRule="auto"/>
      <w:ind w:firstLine="880" w:firstLineChars="200"/>
      <w:jc w:val="left"/>
    </w:pPr>
    <w:rPr>
      <w:rFonts w:eastAsia="仿宋_GB2312"/>
      <w:sz w:val="24"/>
      <w:szCs w:val="22"/>
    </w:rPr>
  </w:style>
  <w:style w:type="paragraph" w:customStyle="1" w:styleId="182">
    <w:name w:val="样式 正文文本首行缩进 + 小四 首行缩进:  1 字符 段后: 0 磅 行距: 固定值 24 磅"/>
    <w:qFormat/>
    <w:uiPriority w:val="0"/>
    <w:pPr>
      <w:widowControl w:val="0"/>
      <w:spacing w:line="480" w:lineRule="exact"/>
      <w:ind w:firstLine="200" w:firstLineChars="200"/>
      <w:jc w:val="both"/>
    </w:pPr>
    <w:rPr>
      <w:rFonts w:ascii="华文中宋" w:hAnsi="华文中宋" w:eastAsia="华文中宋" w:cs="宋体"/>
      <w:vanish/>
      <w:color w:val="000000"/>
      <w:kern w:val="2"/>
      <w:sz w:val="24"/>
      <w:lang w:val="en-US" w:eastAsia="zh-CN" w:bidi="ar-SA"/>
    </w:rPr>
  </w:style>
  <w:style w:type="paragraph" w:customStyle="1" w:styleId="183">
    <w:name w:val="06_插图"/>
    <w:basedOn w:val="1"/>
    <w:qFormat/>
    <w:uiPriority w:val="0"/>
    <w:pPr>
      <w:spacing w:beforeLines="50"/>
      <w:jc w:val="center"/>
    </w:pPr>
  </w:style>
  <w:style w:type="paragraph" w:customStyle="1" w:styleId="184">
    <w:name w:val="09_表格文字"/>
    <w:basedOn w:val="1"/>
    <w:qFormat/>
    <w:uiPriority w:val="0"/>
    <w:pPr>
      <w:widowControl/>
      <w:spacing w:line="20" w:lineRule="atLeast"/>
      <w:jc w:val="center"/>
    </w:pPr>
    <w:rPr>
      <w:rFonts w:cs="宋体"/>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xjtc</Company>
  <Pages>77</Pages>
  <Words>21560</Words>
  <Characters>23468</Characters>
  <Lines>383</Lines>
  <Paragraphs>107</Paragraphs>
  <TotalTime>12</TotalTime>
  <ScaleCrop>false</ScaleCrop>
  <LinksUpToDate>false</LinksUpToDate>
  <CharactersWithSpaces>23803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2021-07-26T14:44:00Z</dcterms:created>
  <dc:creator>xt</dc:creator>
  <cp:lastModifiedBy>Echo-7s</cp:lastModifiedBy>
  <cp:lastPrinted>2026-04-24T04:49:00Z</cp:lastPrinted>
  <dcterms:modified xsi:type="dcterms:W3CDTF">2026-04-24T09:10:35Z</dcterms:modified>
  <dc:title>第一部份 投标邀请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3BC503B89AEA43CD86E12F6CDD28787E_13</vt:lpwstr>
  </property>
  <property fmtid="{D5CDD505-2E9C-101B-9397-08002B2CF9AE}" pid="4" name="KSOTemplateDocerSaveRecord">
    <vt:lpwstr>eyJoZGlkIjoiNGQ5MzRkNWEwNWQ3NzdiMGY5MmE4OWE2NjMxYzdjMjIiLCJ1c2VySWQiOiIxMjYzMzQ4OTY2In0=</vt:lpwstr>
  </property>
</Properties>
</file>