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1D8AF">
      <w:pPr>
        <w:bidi w:val="0"/>
        <w:spacing w:line="360" w:lineRule="auto"/>
        <w:rPr>
          <w:rFonts w:hint="eastAsia" w:ascii="宋体" w:hAnsi="宋体" w:eastAsia="宋体" w:cs="宋体"/>
          <w:sz w:val="24"/>
          <w:szCs w:val="24"/>
          <w:highlight w:val="none"/>
        </w:rPr>
      </w:pPr>
    </w:p>
    <w:p w14:paraId="765D83D3">
      <w:pPr>
        <w:pStyle w:val="12"/>
        <w:rPr>
          <w:rFonts w:hint="eastAsia" w:ascii="宋体" w:hAnsi="宋体" w:eastAsia="宋体" w:cs="宋体"/>
          <w:sz w:val="24"/>
          <w:szCs w:val="24"/>
          <w:highlight w:val="none"/>
        </w:rPr>
      </w:pPr>
    </w:p>
    <w:p w14:paraId="78B85A55">
      <w:pPr>
        <w:pStyle w:val="43"/>
        <w:rPr>
          <w:rFonts w:hint="eastAsia" w:ascii="宋体" w:hAnsi="宋体" w:eastAsia="宋体" w:cs="宋体"/>
        </w:rPr>
      </w:pPr>
    </w:p>
    <w:p w14:paraId="0EEF38C4">
      <w:pPr>
        <w:bidi w:val="0"/>
        <w:spacing w:line="360" w:lineRule="auto"/>
        <w:rPr>
          <w:rFonts w:hint="eastAsia" w:ascii="宋体" w:hAnsi="宋体" w:eastAsia="宋体" w:cs="宋体"/>
          <w:sz w:val="24"/>
          <w:szCs w:val="24"/>
          <w:highlight w:val="none"/>
        </w:rPr>
      </w:pPr>
    </w:p>
    <w:p w14:paraId="30513BCB">
      <w:pPr>
        <w:bidi w:val="0"/>
        <w:spacing w:line="360" w:lineRule="auto"/>
        <w:jc w:val="center"/>
        <w:rPr>
          <w:rFonts w:hint="eastAsia" w:ascii="宋体" w:hAnsi="宋体" w:eastAsia="宋体" w:cs="宋体"/>
          <w:b/>
          <w:bCs/>
          <w:sz w:val="48"/>
          <w:szCs w:val="48"/>
          <w:highlight w:val="none"/>
          <w:lang w:val="en-US" w:eastAsia="zh-CN"/>
        </w:rPr>
      </w:pPr>
      <w:r>
        <w:rPr>
          <w:rFonts w:hint="eastAsia" w:ascii="宋体" w:hAnsi="宋体" w:eastAsia="宋体" w:cs="宋体"/>
          <w:b/>
          <w:bCs/>
          <w:sz w:val="48"/>
          <w:szCs w:val="48"/>
          <w:highlight w:val="none"/>
          <w:lang w:val="en-US" w:eastAsia="zh-CN"/>
        </w:rPr>
        <w:t>祁县2026年农村供水工程中央</w:t>
      </w:r>
    </w:p>
    <w:p w14:paraId="74D828C5">
      <w:pPr>
        <w:bidi w:val="0"/>
        <w:spacing w:line="360" w:lineRule="auto"/>
        <w:jc w:val="center"/>
        <w:rPr>
          <w:rFonts w:hint="eastAsia" w:ascii="宋体" w:hAnsi="宋体" w:eastAsia="宋体" w:cs="宋体"/>
          <w:b/>
          <w:bCs/>
          <w:sz w:val="48"/>
          <w:szCs w:val="48"/>
          <w:highlight w:val="none"/>
          <w:lang w:val="en-US" w:eastAsia="zh-CN"/>
        </w:rPr>
      </w:pPr>
      <w:r>
        <w:rPr>
          <w:rFonts w:hint="eastAsia" w:ascii="宋体" w:hAnsi="宋体" w:eastAsia="宋体" w:cs="宋体"/>
          <w:b/>
          <w:bCs/>
          <w:sz w:val="48"/>
          <w:szCs w:val="48"/>
          <w:highlight w:val="none"/>
          <w:lang w:val="en-US" w:eastAsia="zh-CN"/>
        </w:rPr>
        <w:t>维修养护项目</w:t>
      </w:r>
    </w:p>
    <w:p w14:paraId="00615796">
      <w:pPr>
        <w:bidi w:val="0"/>
        <w:spacing w:line="360" w:lineRule="auto"/>
        <w:jc w:val="center"/>
        <w:outlineLvl w:val="9"/>
        <w:rPr>
          <w:rFonts w:hint="eastAsia" w:ascii="宋体" w:hAnsi="宋体" w:eastAsia="宋体" w:cs="宋体"/>
          <w:b/>
          <w:bCs/>
          <w:sz w:val="40"/>
          <w:szCs w:val="40"/>
          <w:highlight w:val="none"/>
          <w:lang w:val="en-US" w:eastAsia="zh-CN"/>
        </w:rPr>
      </w:pPr>
      <w:r>
        <w:rPr>
          <w:rFonts w:hint="eastAsia" w:ascii="宋体" w:hAnsi="宋体" w:eastAsia="宋体" w:cs="宋体"/>
          <w:b/>
          <w:bCs/>
          <w:sz w:val="40"/>
          <w:szCs w:val="40"/>
          <w:highlight w:val="none"/>
          <w:lang w:val="en-US" w:eastAsia="zh-CN"/>
        </w:rPr>
        <w:tab/>
      </w:r>
    </w:p>
    <w:p w14:paraId="6586DD29">
      <w:pPr>
        <w:bidi w:val="0"/>
        <w:spacing w:line="360" w:lineRule="auto"/>
        <w:jc w:val="center"/>
        <w:outlineLvl w:val="9"/>
        <w:rPr>
          <w:rFonts w:hint="eastAsia" w:ascii="宋体" w:hAnsi="宋体" w:eastAsia="宋体" w:cs="宋体"/>
          <w:b/>
          <w:bCs/>
          <w:sz w:val="56"/>
          <w:szCs w:val="56"/>
          <w:highlight w:val="none"/>
          <w:lang w:eastAsia="zh-CN"/>
        </w:rPr>
      </w:pPr>
    </w:p>
    <w:p w14:paraId="72BBC55C">
      <w:pPr>
        <w:bidi w:val="0"/>
        <w:spacing w:line="360" w:lineRule="auto"/>
        <w:jc w:val="center"/>
        <w:outlineLvl w:val="9"/>
        <w:rPr>
          <w:rFonts w:hint="eastAsia" w:ascii="宋体" w:hAnsi="宋体" w:eastAsia="宋体" w:cs="宋体"/>
          <w:b/>
          <w:bCs/>
          <w:sz w:val="56"/>
          <w:szCs w:val="56"/>
          <w:highlight w:val="none"/>
        </w:rPr>
      </w:pPr>
      <w:r>
        <w:rPr>
          <w:rFonts w:hint="eastAsia" w:ascii="宋体" w:hAnsi="宋体" w:eastAsia="宋体" w:cs="宋体"/>
          <w:b/>
          <w:bCs/>
          <w:sz w:val="56"/>
          <w:szCs w:val="56"/>
          <w:highlight w:val="none"/>
          <w:lang w:eastAsia="zh-CN"/>
        </w:rPr>
        <w:t>采购文件</w:t>
      </w:r>
    </w:p>
    <w:p w14:paraId="041B1AE1">
      <w:pPr>
        <w:bidi w:val="0"/>
        <w:spacing w:line="360" w:lineRule="auto"/>
        <w:rPr>
          <w:rFonts w:hint="eastAsia" w:ascii="宋体" w:hAnsi="宋体" w:eastAsia="宋体" w:cs="宋体"/>
          <w:sz w:val="28"/>
          <w:szCs w:val="28"/>
          <w:highlight w:val="none"/>
        </w:rPr>
      </w:pPr>
    </w:p>
    <w:p w14:paraId="72E2465F">
      <w:pPr>
        <w:bidi w:val="0"/>
        <w:spacing w:line="360" w:lineRule="auto"/>
        <w:rPr>
          <w:rFonts w:hint="eastAsia" w:ascii="宋体" w:hAnsi="宋体" w:eastAsia="宋体" w:cs="宋体"/>
          <w:sz w:val="28"/>
          <w:szCs w:val="28"/>
          <w:highlight w:val="none"/>
        </w:rPr>
      </w:pPr>
    </w:p>
    <w:p w14:paraId="1E7579BA">
      <w:pPr>
        <w:bidi w:val="0"/>
        <w:spacing w:line="360" w:lineRule="auto"/>
        <w:rPr>
          <w:rFonts w:hint="eastAsia" w:ascii="宋体" w:hAnsi="宋体" w:eastAsia="宋体" w:cs="宋体"/>
          <w:sz w:val="28"/>
          <w:szCs w:val="28"/>
          <w:highlight w:val="none"/>
        </w:rPr>
      </w:pPr>
    </w:p>
    <w:p w14:paraId="4DED221F">
      <w:pPr>
        <w:shd w:val="clear"/>
        <w:bidi w:val="0"/>
        <w:spacing w:line="360" w:lineRule="auto"/>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项目编号： 1407272026BCS00016</w:t>
      </w:r>
    </w:p>
    <w:p w14:paraId="1A53DC9A">
      <w:pPr>
        <w:shd w:val="clear"/>
        <w:bidi w:val="0"/>
        <w:spacing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w:t>
      </w:r>
    </w:p>
    <w:p w14:paraId="1C1B3157">
      <w:pPr>
        <w:bidi w:val="0"/>
        <w:spacing w:line="360" w:lineRule="auto"/>
        <w:rPr>
          <w:rFonts w:hint="eastAsia" w:ascii="宋体" w:hAnsi="宋体" w:eastAsia="宋体" w:cs="宋体"/>
          <w:sz w:val="24"/>
          <w:szCs w:val="24"/>
          <w:highlight w:val="none"/>
        </w:rPr>
      </w:pPr>
    </w:p>
    <w:p w14:paraId="3FCC767F">
      <w:pPr>
        <w:bidi w:val="0"/>
        <w:spacing w:line="360" w:lineRule="auto"/>
        <w:rPr>
          <w:rFonts w:hint="eastAsia" w:ascii="宋体" w:hAnsi="宋体" w:eastAsia="宋体" w:cs="宋体"/>
          <w:sz w:val="24"/>
          <w:szCs w:val="24"/>
          <w:highlight w:val="none"/>
        </w:rPr>
      </w:pPr>
    </w:p>
    <w:p w14:paraId="5F2DC6DB">
      <w:pPr>
        <w:pStyle w:val="42"/>
        <w:rPr>
          <w:rFonts w:hint="eastAsia" w:ascii="宋体" w:hAnsi="宋体" w:eastAsia="宋体" w:cs="宋体"/>
          <w:highlight w:val="none"/>
        </w:rPr>
      </w:pPr>
    </w:p>
    <w:p w14:paraId="115881E3">
      <w:pPr>
        <w:bidi w:val="0"/>
        <w:spacing w:line="360" w:lineRule="auto"/>
        <w:ind w:left="0" w:leftChars="0" w:firstLine="1898" w:firstLineChars="791"/>
        <w:jc w:val="left"/>
        <w:outlineLvl w:val="9"/>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采   购   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eastAsia="zh-CN"/>
        </w:rPr>
        <w:t>祁县水利局</w:t>
      </w:r>
    </w:p>
    <w:p w14:paraId="692F95F8">
      <w:pPr>
        <w:bidi w:val="0"/>
        <w:spacing w:line="360" w:lineRule="auto"/>
        <w:ind w:left="0" w:leftChars="0" w:firstLine="1898" w:firstLineChars="791"/>
        <w:jc w:val="left"/>
        <w:rPr>
          <w:rFonts w:hint="eastAsia" w:ascii="宋体" w:hAnsi="宋体" w:eastAsia="宋体" w:cs="宋体"/>
          <w:sz w:val="24"/>
          <w:szCs w:val="24"/>
          <w:highlight w:val="none"/>
        </w:rPr>
      </w:pPr>
    </w:p>
    <w:p w14:paraId="5ACFF517">
      <w:pPr>
        <w:bidi w:val="0"/>
        <w:spacing w:line="360" w:lineRule="auto"/>
        <w:ind w:left="0" w:leftChars="0" w:firstLine="1898" w:firstLineChars="791"/>
        <w:jc w:val="left"/>
        <w:rPr>
          <w:rFonts w:hint="eastAsia" w:ascii="宋体" w:hAnsi="宋体" w:eastAsia="宋体" w:cs="宋体"/>
          <w:sz w:val="24"/>
          <w:szCs w:val="24"/>
          <w:highlight w:val="none"/>
        </w:rPr>
      </w:pPr>
    </w:p>
    <w:p w14:paraId="18ABDEE8">
      <w:pPr>
        <w:bidi w:val="0"/>
        <w:spacing w:line="360" w:lineRule="auto"/>
        <w:ind w:left="0" w:leftChars="0" w:firstLine="1898" w:firstLineChars="791"/>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采购代理机构： </w:t>
      </w:r>
      <w:r>
        <w:rPr>
          <w:rFonts w:hint="eastAsia" w:ascii="宋体" w:hAnsi="宋体" w:eastAsia="宋体" w:cs="宋体"/>
          <w:sz w:val="24"/>
          <w:szCs w:val="24"/>
          <w:highlight w:val="none"/>
          <w:u w:val="single"/>
          <w:lang w:eastAsia="zh-CN"/>
        </w:rPr>
        <w:t>卓信工程咨询有限公司</w:t>
      </w:r>
    </w:p>
    <w:p w14:paraId="09927014">
      <w:pPr>
        <w:bidi w:val="0"/>
        <w:spacing w:line="360" w:lineRule="auto"/>
        <w:jc w:val="center"/>
        <w:rPr>
          <w:rFonts w:hint="eastAsia" w:ascii="宋体" w:hAnsi="宋体" w:eastAsia="宋体" w:cs="宋体"/>
          <w:sz w:val="24"/>
          <w:szCs w:val="24"/>
          <w:highlight w:val="none"/>
        </w:rPr>
      </w:pPr>
    </w:p>
    <w:p w14:paraId="760F2E91">
      <w:pPr>
        <w:bidi w:val="0"/>
        <w:spacing w:line="360" w:lineRule="auto"/>
        <w:jc w:val="center"/>
        <w:rPr>
          <w:rFonts w:hint="eastAsia" w:ascii="宋体" w:hAnsi="宋体" w:eastAsia="宋体" w:cs="宋体"/>
          <w:sz w:val="24"/>
          <w:szCs w:val="24"/>
          <w:highlight w:val="none"/>
        </w:rPr>
      </w:pPr>
    </w:p>
    <w:p w14:paraId="7F595FB0">
      <w:pPr>
        <w:bidi w:val="0"/>
        <w:spacing w:line="360" w:lineRule="auto"/>
        <w:jc w:val="both"/>
        <w:rPr>
          <w:rFonts w:hint="eastAsia" w:ascii="宋体" w:hAnsi="宋体" w:eastAsia="宋体" w:cs="宋体"/>
          <w:sz w:val="24"/>
          <w:szCs w:val="24"/>
          <w:highlight w:val="none"/>
        </w:rPr>
      </w:pPr>
    </w:p>
    <w:p w14:paraId="07E84908">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  期：   </w:t>
      </w:r>
      <w:r>
        <w:rPr>
          <w:rFonts w:hint="eastAsia" w:ascii="宋体" w:hAnsi="宋体" w:eastAsia="宋体" w:cs="宋体"/>
          <w:sz w:val="24"/>
          <w:szCs w:val="24"/>
          <w:highlight w:val="none"/>
          <w:lang w:eastAsia="zh-CN"/>
        </w:rPr>
        <w:t>2026</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　月</w:t>
      </w:r>
    </w:p>
    <w:p w14:paraId="4370B27D">
      <w:pPr>
        <w:bidi w:val="0"/>
        <w:spacing w:line="360" w:lineRule="auto"/>
        <w:jc w:val="center"/>
        <w:rPr>
          <w:rFonts w:hint="eastAsia" w:ascii="宋体" w:hAnsi="宋体" w:eastAsia="宋体" w:cs="宋体"/>
          <w:sz w:val="24"/>
          <w:szCs w:val="24"/>
          <w:highlight w:val="none"/>
          <w:lang w:val="zh-CN"/>
        </w:rPr>
        <w:sectPr>
          <w:headerReference r:id="rId3" w:type="first"/>
          <w:footerReference r:id="rId4" w:type="first"/>
          <w:pgSz w:w="11906" w:h="16838"/>
          <w:pgMar w:top="1417" w:right="1247" w:bottom="1417" w:left="124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516AD3E4">
      <w:pPr>
        <w:pStyle w:val="49"/>
        <w:keepNext/>
        <w:keepLines/>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32"/>
          <w:szCs w:val="32"/>
          <w:highlight w:val="none"/>
          <w:lang w:val="zh-CN"/>
        </w:rPr>
      </w:pPr>
      <w:bookmarkStart w:id="0" w:name="_Toc15929"/>
      <w:bookmarkStart w:id="1" w:name="_Toc11433"/>
      <w:bookmarkStart w:id="2" w:name="_Toc6048"/>
      <w:bookmarkStart w:id="3" w:name="_Toc3137"/>
      <w:bookmarkStart w:id="4" w:name="_Toc20245"/>
      <w:bookmarkStart w:id="5" w:name="_Toc18090"/>
      <w:bookmarkStart w:id="6" w:name="_Toc19047"/>
      <w:bookmarkStart w:id="7" w:name="_Toc29750"/>
      <w:bookmarkStart w:id="8" w:name="_Toc26566"/>
      <w:r>
        <w:rPr>
          <w:rFonts w:hint="eastAsia" w:ascii="宋体" w:hAnsi="宋体" w:eastAsia="宋体" w:cs="宋体"/>
          <w:color w:val="auto"/>
          <w:sz w:val="32"/>
          <w:szCs w:val="32"/>
          <w:highlight w:val="none"/>
          <w:lang w:val="zh-CN"/>
        </w:rPr>
        <w:t>目</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val="zh-CN"/>
        </w:rPr>
        <w:t>录</w:t>
      </w:r>
      <w:bookmarkEnd w:id="0"/>
      <w:bookmarkEnd w:id="1"/>
      <w:bookmarkEnd w:id="2"/>
      <w:bookmarkEnd w:id="3"/>
      <w:bookmarkEnd w:id="4"/>
      <w:bookmarkEnd w:id="5"/>
      <w:bookmarkEnd w:id="6"/>
      <w:bookmarkEnd w:id="7"/>
      <w:bookmarkEnd w:id="8"/>
    </w:p>
    <w:sdt>
      <w:sdtPr>
        <w:rPr>
          <w:rFonts w:ascii="宋体" w:hAnsi="宋体" w:eastAsia="宋体" w:cs="Times New Roman"/>
          <w:kern w:val="2"/>
          <w:sz w:val="21"/>
          <w:szCs w:val="24"/>
          <w:lang w:val="en-US" w:eastAsia="zh-CN" w:bidi="ar-SA"/>
        </w:rPr>
        <w:id w:val="147452304"/>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65D9E45B">
          <w:pPr>
            <w:spacing w:before="0" w:beforeLines="0" w:after="0" w:afterLines="0" w:line="240" w:lineRule="auto"/>
            <w:ind w:left="0" w:leftChars="0" w:right="0" w:rightChars="0" w:firstLine="0" w:firstLineChars="0"/>
            <w:jc w:val="center"/>
          </w:pPr>
          <w:bookmarkStart w:id="9" w:name="_Toc21277"/>
        </w:p>
        <w:p w14:paraId="3025EADC">
          <w:pPr>
            <w:pStyle w:val="23"/>
            <w:tabs>
              <w:tab w:val="right" w:leader="dot" w:pos="9412"/>
            </w:tabs>
            <w:rPr>
              <w:sz w:val="28"/>
              <w:szCs w:val="36"/>
            </w:rPr>
          </w:pPr>
          <w:r>
            <w:rPr>
              <w:sz w:val="28"/>
              <w:szCs w:val="36"/>
            </w:rPr>
            <w:fldChar w:fldCharType="begin"/>
          </w:r>
          <w:r>
            <w:rPr>
              <w:sz w:val="28"/>
              <w:szCs w:val="36"/>
            </w:rPr>
            <w:instrText xml:space="preserve">TOC \o "1-1" \h \u </w:instrText>
          </w:r>
          <w:r>
            <w:rPr>
              <w:sz w:val="28"/>
              <w:szCs w:val="36"/>
            </w:rPr>
            <w:fldChar w:fldCharType="separate"/>
          </w:r>
          <w:r>
            <w:rPr>
              <w:sz w:val="28"/>
              <w:szCs w:val="36"/>
            </w:rPr>
            <w:fldChar w:fldCharType="begin"/>
          </w:r>
          <w:r>
            <w:rPr>
              <w:sz w:val="28"/>
              <w:szCs w:val="36"/>
            </w:rPr>
            <w:instrText xml:space="preserve"> HYPERLINK \l _Toc1224 </w:instrText>
          </w:r>
          <w:r>
            <w:rPr>
              <w:sz w:val="28"/>
              <w:szCs w:val="36"/>
            </w:rPr>
            <w:fldChar w:fldCharType="separate"/>
          </w:r>
          <w:r>
            <w:rPr>
              <w:rFonts w:hint="eastAsia" w:ascii="宋体" w:hAnsi="宋体" w:eastAsia="宋体" w:cs="宋体"/>
              <w:bCs/>
              <w:sz w:val="28"/>
              <w:szCs w:val="36"/>
              <w:highlight w:val="none"/>
            </w:rPr>
            <w:t xml:space="preserve">第一部分  </w:t>
          </w:r>
          <w:r>
            <w:rPr>
              <w:rFonts w:hint="eastAsia" w:ascii="宋体" w:hAnsi="宋体" w:eastAsia="宋体" w:cs="宋体"/>
              <w:bCs/>
              <w:sz w:val="28"/>
              <w:szCs w:val="36"/>
              <w:highlight w:val="none"/>
              <w:lang w:eastAsia="zh-CN"/>
            </w:rPr>
            <w:t>采购公告</w:t>
          </w:r>
          <w:r>
            <w:rPr>
              <w:sz w:val="28"/>
              <w:szCs w:val="36"/>
            </w:rPr>
            <w:tab/>
          </w:r>
          <w:r>
            <w:rPr>
              <w:sz w:val="28"/>
              <w:szCs w:val="36"/>
            </w:rPr>
            <w:fldChar w:fldCharType="begin"/>
          </w:r>
          <w:r>
            <w:rPr>
              <w:sz w:val="28"/>
              <w:szCs w:val="36"/>
            </w:rPr>
            <w:instrText xml:space="preserve"> PAGEREF _Toc1224 \h </w:instrText>
          </w:r>
          <w:r>
            <w:rPr>
              <w:sz w:val="28"/>
              <w:szCs w:val="36"/>
            </w:rPr>
            <w:fldChar w:fldCharType="separate"/>
          </w:r>
          <w:r>
            <w:rPr>
              <w:sz w:val="28"/>
              <w:szCs w:val="36"/>
            </w:rPr>
            <w:t>1</w:t>
          </w:r>
          <w:r>
            <w:rPr>
              <w:sz w:val="28"/>
              <w:szCs w:val="36"/>
            </w:rPr>
            <w:fldChar w:fldCharType="end"/>
          </w:r>
          <w:r>
            <w:rPr>
              <w:sz w:val="28"/>
              <w:szCs w:val="36"/>
            </w:rPr>
            <w:fldChar w:fldCharType="end"/>
          </w:r>
        </w:p>
        <w:p w14:paraId="1EBF1521">
          <w:pPr>
            <w:pStyle w:val="23"/>
            <w:tabs>
              <w:tab w:val="right" w:leader="dot" w:pos="9412"/>
            </w:tabs>
            <w:rPr>
              <w:sz w:val="28"/>
              <w:szCs w:val="36"/>
            </w:rPr>
          </w:pPr>
          <w:r>
            <w:rPr>
              <w:sz w:val="28"/>
              <w:szCs w:val="36"/>
            </w:rPr>
            <w:fldChar w:fldCharType="begin"/>
          </w:r>
          <w:r>
            <w:rPr>
              <w:sz w:val="28"/>
              <w:szCs w:val="36"/>
            </w:rPr>
            <w:instrText xml:space="preserve"> HYPERLINK \l _Toc32726 </w:instrText>
          </w:r>
          <w:r>
            <w:rPr>
              <w:sz w:val="28"/>
              <w:szCs w:val="36"/>
            </w:rPr>
            <w:fldChar w:fldCharType="separate"/>
          </w:r>
          <w:r>
            <w:rPr>
              <w:rFonts w:hint="eastAsia" w:ascii="宋体" w:hAnsi="宋体" w:eastAsia="宋体" w:cs="宋体"/>
              <w:bCs/>
              <w:sz w:val="28"/>
              <w:szCs w:val="36"/>
              <w:highlight w:val="none"/>
            </w:rPr>
            <w:t>第</w:t>
          </w:r>
          <w:r>
            <w:rPr>
              <w:rFonts w:hint="eastAsia" w:ascii="宋体" w:hAnsi="宋体" w:eastAsia="宋体" w:cs="宋体"/>
              <w:bCs/>
              <w:sz w:val="28"/>
              <w:szCs w:val="36"/>
              <w:highlight w:val="none"/>
              <w:lang w:val="en-US" w:eastAsia="zh-CN"/>
            </w:rPr>
            <w:t>二</w:t>
          </w:r>
          <w:r>
            <w:rPr>
              <w:rFonts w:hint="eastAsia" w:ascii="宋体" w:hAnsi="宋体" w:eastAsia="宋体" w:cs="宋体"/>
              <w:bCs/>
              <w:sz w:val="28"/>
              <w:szCs w:val="36"/>
              <w:highlight w:val="none"/>
            </w:rPr>
            <w:t xml:space="preserve">部分  </w:t>
          </w:r>
          <w:r>
            <w:rPr>
              <w:rFonts w:hint="eastAsia" w:ascii="宋体" w:hAnsi="宋体" w:eastAsia="宋体" w:cs="宋体"/>
              <w:bCs/>
              <w:sz w:val="28"/>
              <w:szCs w:val="36"/>
              <w:highlight w:val="none"/>
              <w:lang w:eastAsia="zh-CN"/>
            </w:rPr>
            <w:t>供应商</w:t>
          </w:r>
          <w:r>
            <w:rPr>
              <w:rFonts w:hint="eastAsia" w:ascii="宋体" w:hAnsi="宋体" w:eastAsia="宋体" w:cs="宋体"/>
              <w:bCs/>
              <w:sz w:val="28"/>
              <w:szCs w:val="36"/>
              <w:highlight w:val="none"/>
            </w:rPr>
            <w:t>须知前附表</w:t>
          </w:r>
          <w:r>
            <w:rPr>
              <w:sz w:val="28"/>
              <w:szCs w:val="36"/>
            </w:rPr>
            <w:tab/>
          </w:r>
          <w:r>
            <w:rPr>
              <w:sz w:val="28"/>
              <w:szCs w:val="36"/>
            </w:rPr>
            <w:fldChar w:fldCharType="begin"/>
          </w:r>
          <w:r>
            <w:rPr>
              <w:sz w:val="28"/>
              <w:szCs w:val="36"/>
            </w:rPr>
            <w:instrText xml:space="preserve"> PAGEREF _Toc32726 \h </w:instrText>
          </w:r>
          <w:r>
            <w:rPr>
              <w:sz w:val="28"/>
              <w:szCs w:val="36"/>
            </w:rPr>
            <w:fldChar w:fldCharType="separate"/>
          </w:r>
          <w:r>
            <w:rPr>
              <w:sz w:val="28"/>
              <w:szCs w:val="36"/>
            </w:rPr>
            <w:t>4</w:t>
          </w:r>
          <w:r>
            <w:rPr>
              <w:sz w:val="28"/>
              <w:szCs w:val="36"/>
            </w:rPr>
            <w:fldChar w:fldCharType="end"/>
          </w:r>
          <w:r>
            <w:rPr>
              <w:sz w:val="28"/>
              <w:szCs w:val="36"/>
            </w:rPr>
            <w:fldChar w:fldCharType="end"/>
          </w:r>
        </w:p>
        <w:p w14:paraId="489E2A46">
          <w:pPr>
            <w:pStyle w:val="23"/>
            <w:tabs>
              <w:tab w:val="right" w:leader="dot" w:pos="9412"/>
            </w:tabs>
            <w:rPr>
              <w:sz w:val="28"/>
              <w:szCs w:val="36"/>
            </w:rPr>
          </w:pPr>
          <w:r>
            <w:rPr>
              <w:sz w:val="28"/>
              <w:szCs w:val="36"/>
            </w:rPr>
            <w:fldChar w:fldCharType="begin"/>
          </w:r>
          <w:r>
            <w:rPr>
              <w:sz w:val="28"/>
              <w:szCs w:val="36"/>
            </w:rPr>
            <w:instrText xml:space="preserve"> HYPERLINK \l _Toc27454 </w:instrText>
          </w:r>
          <w:r>
            <w:rPr>
              <w:sz w:val="28"/>
              <w:szCs w:val="36"/>
            </w:rPr>
            <w:fldChar w:fldCharType="separate"/>
          </w:r>
          <w:r>
            <w:rPr>
              <w:rFonts w:hint="eastAsia" w:ascii="宋体" w:hAnsi="宋体" w:eastAsia="宋体" w:cs="宋体"/>
              <w:bCs/>
              <w:sz w:val="28"/>
              <w:szCs w:val="36"/>
              <w:highlight w:val="none"/>
            </w:rPr>
            <w:t xml:space="preserve">第三部分  </w:t>
          </w:r>
          <w:r>
            <w:rPr>
              <w:rFonts w:hint="eastAsia" w:ascii="宋体" w:hAnsi="宋体" w:eastAsia="宋体" w:cs="宋体"/>
              <w:bCs/>
              <w:sz w:val="28"/>
              <w:szCs w:val="36"/>
              <w:highlight w:val="none"/>
              <w:lang w:eastAsia="zh-CN"/>
            </w:rPr>
            <w:t>供应商</w:t>
          </w:r>
          <w:r>
            <w:rPr>
              <w:rFonts w:hint="eastAsia" w:ascii="宋体" w:hAnsi="宋体" w:eastAsia="宋体" w:cs="宋体"/>
              <w:bCs/>
              <w:sz w:val="28"/>
              <w:szCs w:val="36"/>
              <w:highlight w:val="none"/>
            </w:rPr>
            <w:t>须知</w:t>
          </w:r>
          <w:r>
            <w:rPr>
              <w:sz w:val="28"/>
              <w:szCs w:val="36"/>
            </w:rPr>
            <w:tab/>
          </w:r>
          <w:r>
            <w:rPr>
              <w:sz w:val="28"/>
              <w:szCs w:val="36"/>
            </w:rPr>
            <w:fldChar w:fldCharType="begin"/>
          </w:r>
          <w:r>
            <w:rPr>
              <w:sz w:val="28"/>
              <w:szCs w:val="36"/>
            </w:rPr>
            <w:instrText xml:space="preserve"> PAGEREF _Toc27454 \h </w:instrText>
          </w:r>
          <w:r>
            <w:rPr>
              <w:sz w:val="28"/>
              <w:szCs w:val="36"/>
            </w:rPr>
            <w:fldChar w:fldCharType="separate"/>
          </w:r>
          <w:r>
            <w:rPr>
              <w:sz w:val="28"/>
              <w:szCs w:val="36"/>
            </w:rPr>
            <w:t>13</w:t>
          </w:r>
          <w:r>
            <w:rPr>
              <w:sz w:val="28"/>
              <w:szCs w:val="36"/>
            </w:rPr>
            <w:fldChar w:fldCharType="end"/>
          </w:r>
          <w:r>
            <w:rPr>
              <w:sz w:val="28"/>
              <w:szCs w:val="36"/>
            </w:rPr>
            <w:fldChar w:fldCharType="end"/>
          </w:r>
        </w:p>
        <w:p w14:paraId="368B0A3C">
          <w:pPr>
            <w:pStyle w:val="23"/>
            <w:tabs>
              <w:tab w:val="right" w:leader="dot" w:pos="9412"/>
            </w:tabs>
            <w:rPr>
              <w:sz w:val="28"/>
              <w:szCs w:val="36"/>
            </w:rPr>
          </w:pPr>
          <w:r>
            <w:rPr>
              <w:sz w:val="28"/>
              <w:szCs w:val="36"/>
            </w:rPr>
            <w:fldChar w:fldCharType="begin"/>
          </w:r>
          <w:r>
            <w:rPr>
              <w:sz w:val="28"/>
              <w:szCs w:val="36"/>
            </w:rPr>
            <w:instrText xml:space="preserve"> HYPERLINK \l _Toc9341 </w:instrText>
          </w:r>
          <w:r>
            <w:rPr>
              <w:sz w:val="28"/>
              <w:szCs w:val="36"/>
            </w:rPr>
            <w:fldChar w:fldCharType="separate"/>
          </w:r>
          <w:r>
            <w:rPr>
              <w:rFonts w:hint="eastAsia" w:ascii="宋体" w:hAnsi="宋体" w:eastAsia="宋体" w:cs="宋体"/>
              <w:bCs/>
              <w:sz w:val="28"/>
              <w:szCs w:val="36"/>
              <w:highlight w:val="none"/>
              <w:lang w:val="en-US" w:eastAsia="zh-CN"/>
            </w:rPr>
            <w:t>第四部分  评审方法和评分细则</w:t>
          </w:r>
          <w:r>
            <w:rPr>
              <w:sz w:val="28"/>
              <w:szCs w:val="36"/>
            </w:rPr>
            <w:tab/>
          </w:r>
          <w:r>
            <w:rPr>
              <w:sz w:val="28"/>
              <w:szCs w:val="36"/>
            </w:rPr>
            <w:fldChar w:fldCharType="begin"/>
          </w:r>
          <w:r>
            <w:rPr>
              <w:sz w:val="28"/>
              <w:szCs w:val="36"/>
            </w:rPr>
            <w:instrText xml:space="preserve"> PAGEREF _Toc9341 \h </w:instrText>
          </w:r>
          <w:r>
            <w:rPr>
              <w:sz w:val="28"/>
              <w:szCs w:val="36"/>
            </w:rPr>
            <w:fldChar w:fldCharType="separate"/>
          </w:r>
          <w:r>
            <w:rPr>
              <w:sz w:val="28"/>
              <w:szCs w:val="36"/>
            </w:rPr>
            <w:t>25</w:t>
          </w:r>
          <w:r>
            <w:rPr>
              <w:sz w:val="28"/>
              <w:szCs w:val="36"/>
            </w:rPr>
            <w:fldChar w:fldCharType="end"/>
          </w:r>
          <w:r>
            <w:rPr>
              <w:sz w:val="28"/>
              <w:szCs w:val="36"/>
            </w:rPr>
            <w:fldChar w:fldCharType="end"/>
          </w:r>
        </w:p>
        <w:p w14:paraId="7F606434">
          <w:pPr>
            <w:pStyle w:val="23"/>
            <w:tabs>
              <w:tab w:val="right" w:leader="dot" w:pos="9412"/>
            </w:tabs>
            <w:rPr>
              <w:sz w:val="28"/>
              <w:szCs w:val="36"/>
            </w:rPr>
          </w:pPr>
          <w:r>
            <w:rPr>
              <w:sz w:val="28"/>
              <w:szCs w:val="36"/>
            </w:rPr>
            <w:fldChar w:fldCharType="begin"/>
          </w:r>
          <w:r>
            <w:rPr>
              <w:sz w:val="28"/>
              <w:szCs w:val="36"/>
            </w:rPr>
            <w:instrText xml:space="preserve"> HYPERLINK \l _Toc4807 </w:instrText>
          </w:r>
          <w:r>
            <w:rPr>
              <w:sz w:val="28"/>
              <w:szCs w:val="36"/>
            </w:rPr>
            <w:fldChar w:fldCharType="separate"/>
          </w:r>
          <w:r>
            <w:rPr>
              <w:rFonts w:hint="eastAsia" w:ascii="宋体" w:hAnsi="宋体" w:eastAsia="宋体" w:cs="宋体"/>
              <w:bCs/>
              <w:sz w:val="28"/>
              <w:szCs w:val="36"/>
              <w:highlight w:val="none"/>
              <w:lang w:val="en-US" w:eastAsia="zh-CN"/>
            </w:rPr>
            <w:t xml:space="preserve">第五部分  </w:t>
          </w:r>
          <w:r>
            <w:rPr>
              <w:rFonts w:hint="eastAsia" w:ascii="宋体" w:hAnsi="宋体" w:eastAsia="宋体" w:cs="宋体"/>
              <w:bCs/>
              <w:sz w:val="28"/>
              <w:szCs w:val="36"/>
              <w:highlight w:val="none"/>
            </w:rPr>
            <w:t>商务、技术要求</w:t>
          </w:r>
          <w:r>
            <w:rPr>
              <w:sz w:val="28"/>
              <w:szCs w:val="36"/>
            </w:rPr>
            <w:tab/>
          </w:r>
          <w:r>
            <w:rPr>
              <w:sz w:val="28"/>
              <w:szCs w:val="36"/>
            </w:rPr>
            <w:fldChar w:fldCharType="begin"/>
          </w:r>
          <w:r>
            <w:rPr>
              <w:sz w:val="28"/>
              <w:szCs w:val="36"/>
            </w:rPr>
            <w:instrText xml:space="preserve"> PAGEREF _Toc4807 \h </w:instrText>
          </w:r>
          <w:r>
            <w:rPr>
              <w:sz w:val="28"/>
              <w:szCs w:val="36"/>
            </w:rPr>
            <w:fldChar w:fldCharType="separate"/>
          </w:r>
          <w:r>
            <w:rPr>
              <w:sz w:val="28"/>
              <w:szCs w:val="36"/>
            </w:rPr>
            <w:t>33</w:t>
          </w:r>
          <w:r>
            <w:rPr>
              <w:sz w:val="28"/>
              <w:szCs w:val="36"/>
            </w:rPr>
            <w:fldChar w:fldCharType="end"/>
          </w:r>
          <w:r>
            <w:rPr>
              <w:sz w:val="28"/>
              <w:szCs w:val="36"/>
            </w:rPr>
            <w:fldChar w:fldCharType="end"/>
          </w:r>
        </w:p>
        <w:p w14:paraId="7871BB71">
          <w:pPr>
            <w:pStyle w:val="23"/>
            <w:tabs>
              <w:tab w:val="right" w:leader="dot" w:pos="9412"/>
            </w:tabs>
            <w:rPr>
              <w:sz w:val="28"/>
              <w:szCs w:val="36"/>
            </w:rPr>
          </w:pPr>
          <w:r>
            <w:rPr>
              <w:sz w:val="28"/>
              <w:szCs w:val="36"/>
            </w:rPr>
            <w:fldChar w:fldCharType="begin"/>
          </w:r>
          <w:r>
            <w:rPr>
              <w:sz w:val="28"/>
              <w:szCs w:val="36"/>
            </w:rPr>
            <w:instrText xml:space="preserve"> HYPERLINK \l _Toc5253 </w:instrText>
          </w:r>
          <w:r>
            <w:rPr>
              <w:sz w:val="28"/>
              <w:szCs w:val="36"/>
            </w:rPr>
            <w:fldChar w:fldCharType="separate"/>
          </w:r>
          <w:r>
            <w:rPr>
              <w:rFonts w:hint="eastAsia" w:ascii="宋体" w:hAnsi="宋体" w:eastAsia="宋体" w:cs="宋体"/>
              <w:bCs/>
              <w:sz w:val="28"/>
              <w:szCs w:val="36"/>
              <w:highlight w:val="none"/>
              <w:lang w:eastAsia="zh-CN"/>
            </w:rPr>
            <w:t>第六部分</w:t>
          </w:r>
          <w:r>
            <w:rPr>
              <w:rFonts w:hint="eastAsia" w:ascii="宋体" w:hAnsi="宋体" w:eastAsia="宋体" w:cs="宋体"/>
              <w:bCs/>
              <w:sz w:val="28"/>
              <w:szCs w:val="36"/>
              <w:highlight w:val="none"/>
            </w:rPr>
            <w:t xml:space="preserve"> 合同</w:t>
          </w:r>
          <w:r>
            <w:rPr>
              <w:rFonts w:hint="eastAsia" w:ascii="宋体" w:hAnsi="宋体" w:eastAsia="宋体" w:cs="宋体"/>
              <w:bCs/>
              <w:sz w:val="28"/>
              <w:szCs w:val="36"/>
              <w:highlight w:val="none"/>
              <w:lang w:eastAsia="zh-CN"/>
            </w:rPr>
            <w:t>条款及格式（样本）</w:t>
          </w:r>
          <w:r>
            <w:rPr>
              <w:sz w:val="28"/>
              <w:szCs w:val="36"/>
            </w:rPr>
            <w:tab/>
          </w:r>
          <w:r>
            <w:rPr>
              <w:sz w:val="28"/>
              <w:szCs w:val="36"/>
            </w:rPr>
            <w:fldChar w:fldCharType="begin"/>
          </w:r>
          <w:r>
            <w:rPr>
              <w:sz w:val="28"/>
              <w:szCs w:val="36"/>
            </w:rPr>
            <w:instrText xml:space="preserve"> PAGEREF _Toc5253 \h </w:instrText>
          </w:r>
          <w:r>
            <w:rPr>
              <w:sz w:val="28"/>
              <w:szCs w:val="36"/>
            </w:rPr>
            <w:fldChar w:fldCharType="separate"/>
          </w:r>
          <w:r>
            <w:rPr>
              <w:sz w:val="28"/>
              <w:szCs w:val="36"/>
            </w:rPr>
            <w:t>35</w:t>
          </w:r>
          <w:r>
            <w:rPr>
              <w:sz w:val="28"/>
              <w:szCs w:val="36"/>
            </w:rPr>
            <w:fldChar w:fldCharType="end"/>
          </w:r>
          <w:r>
            <w:rPr>
              <w:sz w:val="28"/>
              <w:szCs w:val="36"/>
            </w:rPr>
            <w:fldChar w:fldCharType="end"/>
          </w:r>
        </w:p>
        <w:p w14:paraId="4C2A80FE">
          <w:pPr>
            <w:pStyle w:val="23"/>
            <w:tabs>
              <w:tab w:val="right" w:leader="dot" w:pos="9412"/>
            </w:tabs>
            <w:rPr>
              <w:sz w:val="28"/>
              <w:szCs w:val="36"/>
            </w:rPr>
          </w:pPr>
          <w:r>
            <w:rPr>
              <w:sz w:val="28"/>
              <w:szCs w:val="36"/>
            </w:rPr>
            <w:fldChar w:fldCharType="begin"/>
          </w:r>
          <w:r>
            <w:rPr>
              <w:sz w:val="28"/>
              <w:szCs w:val="36"/>
            </w:rPr>
            <w:instrText xml:space="preserve"> HYPERLINK \l _Toc6504 </w:instrText>
          </w:r>
          <w:r>
            <w:rPr>
              <w:sz w:val="28"/>
              <w:szCs w:val="36"/>
            </w:rPr>
            <w:fldChar w:fldCharType="separate"/>
          </w:r>
          <w:r>
            <w:rPr>
              <w:rFonts w:hint="eastAsia" w:ascii="宋体" w:hAnsi="宋体" w:eastAsia="宋体" w:cs="宋体"/>
              <w:bCs/>
              <w:sz w:val="28"/>
              <w:szCs w:val="36"/>
              <w:highlight w:val="none"/>
            </w:rPr>
            <w:t xml:space="preserve">第七部分  </w:t>
          </w:r>
          <w:r>
            <w:rPr>
              <w:rFonts w:hint="eastAsia" w:ascii="宋体" w:hAnsi="宋体" w:eastAsia="宋体" w:cs="宋体"/>
              <w:bCs/>
              <w:sz w:val="28"/>
              <w:szCs w:val="36"/>
              <w:highlight w:val="none"/>
              <w:lang w:eastAsia="zh-CN"/>
            </w:rPr>
            <w:t>响应文件</w:t>
          </w:r>
          <w:r>
            <w:rPr>
              <w:rFonts w:hint="eastAsia" w:ascii="宋体" w:hAnsi="宋体" w:eastAsia="宋体" w:cs="宋体"/>
              <w:bCs/>
              <w:sz w:val="28"/>
              <w:szCs w:val="36"/>
              <w:highlight w:val="none"/>
            </w:rPr>
            <w:t>格式</w:t>
          </w:r>
          <w:r>
            <w:rPr>
              <w:sz w:val="28"/>
              <w:szCs w:val="36"/>
            </w:rPr>
            <w:tab/>
          </w:r>
          <w:r>
            <w:rPr>
              <w:sz w:val="28"/>
              <w:szCs w:val="36"/>
            </w:rPr>
            <w:fldChar w:fldCharType="begin"/>
          </w:r>
          <w:r>
            <w:rPr>
              <w:sz w:val="28"/>
              <w:szCs w:val="36"/>
            </w:rPr>
            <w:instrText xml:space="preserve"> PAGEREF _Toc6504 \h </w:instrText>
          </w:r>
          <w:r>
            <w:rPr>
              <w:sz w:val="28"/>
              <w:szCs w:val="36"/>
            </w:rPr>
            <w:fldChar w:fldCharType="separate"/>
          </w:r>
          <w:r>
            <w:rPr>
              <w:sz w:val="28"/>
              <w:szCs w:val="36"/>
            </w:rPr>
            <w:t>90</w:t>
          </w:r>
          <w:r>
            <w:rPr>
              <w:sz w:val="28"/>
              <w:szCs w:val="36"/>
            </w:rPr>
            <w:fldChar w:fldCharType="end"/>
          </w:r>
          <w:r>
            <w:rPr>
              <w:sz w:val="28"/>
              <w:szCs w:val="36"/>
            </w:rPr>
            <w:fldChar w:fldCharType="end"/>
          </w:r>
        </w:p>
        <w:p w14:paraId="5E756C80">
          <w:r>
            <w:rPr>
              <w:sz w:val="28"/>
              <w:szCs w:val="36"/>
            </w:rPr>
            <w:fldChar w:fldCharType="end"/>
          </w:r>
        </w:p>
      </w:sdtContent>
    </w:sdt>
    <w:p w14:paraId="55A22200"/>
    <w:p w14:paraId="3B64D27A">
      <w:pPr>
        <w:bidi w:val="0"/>
        <w:spacing w:line="360" w:lineRule="auto"/>
        <w:jc w:val="center"/>
        <w:outlineLvl w:val="0"/>
        <w:rPr>
          <w:rFonts w:hint="eastAsia" w:ascii="宋体" w:hAnsi="宋体" w:eastAsia="宋体" w:cs="宋体"/>
          <w:b/>
          <w:bCs/>
          <w:sz w:val="24"/>
          <w:szCs w:val="24"/>
          <w:highlight w:val="none"/>
        </w:rPr>
        <w:sectPr>
          <w:footerReference r:id="rId5" w:type="default"/>
          <w:pgSz w:w="11906" w:h="16838"/>
          <w:pgMar w:top="1417" w:right="1247" w:bottom="1417" w:left="1247" w:header="851" w:footer="850"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10" w:name="_Toc1224"/>
    </w:p>
    <w:p w14:paraId="33899450">
      <w:pPr>
        <w:bidi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第一部分  </w:t>
      </w:r>
      <w:r>
        <w:rPr>
          <w:rFonts w:hint="eastAsia" w:ascii="宋体" w:hAnsi="宋体" w:eastAsia="宋体" w:cs="宋体"/>
          <w:b/>
          <w:bCs/>
          <w:sz w:val="24"/>
          <w:szCs w:val="24"/>
          <w:highlight w:val="none"/>
          <w:lang w:eastAsia="zh-CN"/>
        </w:rPr>
        <w:t>采购公告</w:t>
      </w:r>
      <w:bookmarkEnd w:id="9"/>
      <w:bookmarkEnd w:id="10"/>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14:paraId="7382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36" w:type="dxa"/>
          </w:tcPr>
          <w:p w14:paraId="1EB28AD8">
            <w:pPr>
              <w:keepNext w:val="0"/>
              <w:keepLines w:val="0"/>
              <w:suppressLineNumbers w:val="0"/>
              <w:bidi w:val="0"/>
              <w:spacing w:before="0" w:beforeAutospacing="0" w:after="0" w:afterAutospacing="0" w:line="360" w:lineRule="auto"/>
              <w:ind w:left="0" w:leftChars="0" w:right="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项目概况                                                                </w:t>
            </w:r>
          </w:p>
          <w:p w14:paraId="05C5997D">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宋体" w:hAnsi="宋体" w:eastAsia="宋体" w:cs="宋体"/>
                <w:b/>
                <w:bCs/>
                <w:sz w:val="24"/>
                <w:szCs w:val="24"/>
                <w:highlight w:val="none"/>
                <w:vertAlign w:val="baseline"/>
              </w:rPr>
            </w:pPr>
            <w:r>
              <w:rPr>
                <w:rFonts w:hint="eastAsia" w:ascii="宋体" w:hAnsi="宋体" w:eastAsia="宋体" w:cs="宋体"/>
                <w:sz w:val="24"/>
                <w:szCs w:val="24"/>
                <w:highlight w:val="none"/>
                <w:u w:val="single"/>
              </w:rPr>
              <w:t>祁县2026年农村供水工程中央维修养护项目</w:t>
            </w:r>
            <w:r>
              <w:rPr>
                <w:rFonts w:hint="eastAsia" w:ascii="宋体" w:hAnsi="宋体" w:eastAsia="宋体" w:cs="宋体"/>
                <w:sz w:val="24"/>
                <w:szCs w:val="24"/>
                <w:highlight w:val="none"/>
              </w:rPr>
              <w:t>的潜在供应商应在政采云平台线上获取采购文件，并</w:t>
            </w:r>
            <w:r>
              <w:rPr>
                <w:rFonts w:hint="eastAsia" w:ascii="宋体" w:hAnsi="宋体" w:eastAsia="宋体" w:cs="宋体"/>
                <w:sz w:val="24"/>
                <w:szCs w:val="24"/>
                <w:highlight w:val="none"/>
                <w:shd w:val="clear"/>
              </w:rPr>
              <w:t>于</w:t>
            </w:r>
            <w:r>
              <w:rPr>
                <w:rFonts w:hint="eastAsia" w:ascii="宋体" w:hAnsi="宋体" w:eastAsia="宋体" w:cs="宋体"/>
                <w:sz w:val="24"/>
                <w:szCs w:val="24"/>
                <w:highlight w:val="none"/>
                <w:shd w:val="clear"/>
                <w:lang w:eastAsia="zh-CN"/>
              </w:rPr>
              <w:t>2026</w:t>
            </w:r>
            <w:r>
              <w:rPr>
                <w:rFonts w:hint="eastAsia" w:ascii="宋体" w:hAnsi="宋体" w:eastAsia="宋体" w:cs="宋体"/>
                <w:sz w:val="24"/>
                <w:szCs w:val="24"/>
                <w:highlight w:val="none"/>
                <w:shd w:val="clear"/>
              </w:rPr>
              <w:t>年</w:t>
            </w:r>
            <w:r>
              <w:rPr>
                <w:rFonts w:hint="eastAsia" w:ascii="宋体" w:hAnsi="宋体" w:eastAsia="宋体" w:cs="宋体"/>
                <w:sz w:val="24"/>
                <w:szCs w:val="24"/>
                <w:highlight w:val="none"/>
                <w:shd w:val="clear"/>
                <w:lang w:val="en-US" w:eastAsia="zh-CN"/>
              </w:rPr>
              <w:t>05</w:t>
            </w:r>
            <w:r>
              <w:rPr>
                <w:rFonts w:hint="eastAsia" w:ascii="宋体" w:hAnsi="宋体" w:eastAsia="宋体" w:cs="宋体"/>
                <w:sz w:val="24"/>
                <w:szCs w:val="24"/>
                <w:highlight w:val="none"/>
              </w:rPr>
              <w:t>月</w:t>
            </w:r>
            <w:r>
              <w:rPr>
                <w:rFonts w:hint="eastAsia" w:ascii="宋体" w:hAnsi="宋体" w:eastAsia="宋体" w:cs="宋体"/>
                <w:sz w:val="24"/>
                <w:szCs w:val="24"/>
                <w:highlight w:val="none"/>
                <w:shd w:val="clear"/>
                <w:lang w:val="en-US" w:eastAsia="zh-CN"/>
              </w:rPr>
              <w:t>29</w:t>
            </w:r>
            <w:r>
              <w:rPr>
                <w:rFonts w:hint="eastAsia" w:ascii="宋体" w:hAnsi="宋体" w:eastAsia="宋体" w:cs="宋体"/>
                <w:sz w:val="24"/>
                <w:szCs w:val="24"/>
                <w:highlight w:val="none"/>
              </w:rPr>
              <w:t>日</w:t>
            </w:r>
            <w:r>
              <w:rPr>
                <w:rFonts w:hint="eastAsia" w:ascii="宋体" w:hAnsi="宋体" w:eastAsia="宋体" w:cs="宋体"/>
                <w:sz w:val="24"/>
                <w:szCs w:val="24"/>
                <w:highlight w:val="none"/>
                <w:shd w:val="clear"/>
              </w:rPr>
              <w:t xml:space="preserve"> </w:t>
            </w:r>
            <w:r>
              <w:rPr>
                <w:rFonts w:hint="eastAsia" w:ascii="宋体" w:hAnsi="宋体" w:eastAsia="宋体" w:cs="宋体"/>
                <w:sz w:val="24"/>
                <w:szCs w:val="24"/>
                <w:highlight w:val="none"/>
                <w:shd w:val="clear"/>
                <w:lang w:val="en-US" w:eastAsia="zh-CN"/>
              </w:rPr>
              <w:t>15</w:t>
            </w:r>
            <w:r>
              <w:rPr>
                <w:rFonts w:hint="eastAsia" w:ascii="宋体" w:hAnsi="宋体" w:eastAsia="宋体" w:cs="宋体"/>
                <w:sz w:val="24"/>
                <w:szCs w:val="24"/>
                <w:highlight w:val="none"/>
                <w:shd w:val="clear"/>
              </w:rPr>
              <w:t>:00（</w:t>
            </w:r>
            <w:r>
              <w:rPr>
                <w:rFonts w:hint="eastAsia" w:ascii="宋体" w:hAnsi="宋体" w:eastAsia="宋体" w:cs="宋体"/>
                <w:sz w:val="24"/>
                <w:szCs w:val="24"/>
                <w:highlight w:val="none"/>
              </w:rPr>
              <w:t xml:space="preserve">北京时间）前提交响应文件。 </w:t>
            </w:r>
          </w:p>
        </w:tc>
      </w:tr>
    </w:tbl>
    <w:p w14:paraId="16F52672">
      <w:pPr>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A038818">
      <w:pPr>
        <w:bidi w:val="0"/>
        <w:spacing w:line="360" w:lineRule="auto"/>
        <w:ind w:left="0" w:leftChars="0" w:firstLine="422" w:firstLineChars="175"/>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14:paraId="77757B8E">
      <w:pPr>
        <w:shd w:val="clear"/>
        <w:bidi w:val="0"/>
        <w:spacing w:line="360" w:lineRule="auto"/>
        <w:ind w:left="0" w:leftChars="0" w:firstLine="420" w:firstLineChars="17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1407272026BCS00016</w:t>
      </w:r>
    </w:p>
    <w:p w14:paraId="5D651EF6">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祁县2026年农村供水工程中央维修养护项目</w:t>
      </w:r>
      <w:r>
        <w:rPr>
          <w:rFonts w:hint="eastAsia" w:ascii="宋体" w:hAnsi="宋体" w:eastAsia="宋体" w:cs="宋体"/>
          <w:sz w:val="24"/>
          <w:szCs w:val="24"/>
          <w:highlight w:val="none"/>
        </w:rPr>
        <w:t xml:space="preserve">    </w:t>
      </w:r>
    </w:p>
    <w:p w14:paraId="66CC787A">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采购方式：竞争性磋商    </w:t>
      </w:r>
    </w:p>
    <w:p w14:paraId="7DB2C817">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预算金额（元）：</w:t>
      </w:r>
      <w:r>
        <w:rPr>
          <w:rFonts w:hint="eastAsia" w:ascii="宋体" w:hAnsi="宋体" w:eastAsia="宋体" w:cs="宋体"/>
          <w:sz w:val="24"/>
          <w:szCs w:val="24"/>
          <w:highlight w:val="none"/>
          <w:lang w:eastAsia="zh-CN"/>
        </w:rPr>
        <w:t>646000.00</w:t>
      </w:r>
      <w:r>
        <w:rPr>
          <w:rFonts w:hint="eastAsia" w:ascii="宋体" w:hAnsi="宋体" w:eastAsia="宋体" w:cs="宋体"/>
          <w:sz w:val="24"/>
          <w:szCs w:val="24"/>
          <w:highlight w:val="none"/>
        </w:rPr>
        <w:t xml:space="preserve">     </w:t>
      </w:r>
    </w:p>
    <w:p w14:paraId="42F2949F">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最高限价（元）：</w:t>
      </w:r>
      <w:r>
        <w:rPr>
          <w:rFonts w:hint="eastAsia" w:ascii="宋体" w:hAnsi="宋体" w:eastAsia="宋体" w:cs="宋体"/>
          <w:sz w:val="24"/>
          <w:szCs w:val="24"/>
          <w:highlight w:val="none"/>
          <w:lang w:eastAsia="zh-CN"/>
        </w:rPr>
        <w:t>646000.00</w:t>
      </w:r>
      <w:r>
        <w:rPr>
          <w:rFonts w:hint="eastAsia" w:ascii="宋体" w:hAnsi="宋体" w:eastAsia="宋体" w:cs="宋体"/>
          <w:sz w:val="24"/>
          <w:szCs w:val="24"/>
          <w:highlight w:val="none"/>
        </w:rPr>
        <w:t xml:space="preserve">       </w:t>
      </w:r>
    </w:p>
    <w:p w14:paraId="2D879390">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p w14:paraId="75EEA60D">
      <w:pPr>
        <w:bidi w:val="0"/>
        <w:spacing w:line="360" w:lineRule="auto"/>
        <w:ind w:left="0" w:leftChars="0" w:firstLine="900" w:firstLineChars="37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标项一 </w:t>
      </w:r>
      <w:r>
        <w:rPr>
          <w:rFonts w:hint="eastAsia" w:ascii="宋体" w:hAnsi="宋体" w:eastAsia="宋体" w:cs="宋体"/>
          <w:sz w:val="24"/>
          <w:szCs w:val="24"/>
          <w:highlight w:val="none"/>
        </w:rPr>
        <w:t xml:space="preserve">        </w:t>
      </w:r>
    </w:p>
    <w:p w14:paraId="65D01338">
      <w:pPr>
        <w:bidi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标项名称：</w:t>
      </w:r>
      <w:r>
        <w:rPr>
          <w:rFonts w:hint="eastAsia" w:ascii="宋体" w:hAnsi="宋体" w:eastAsia="宋体" w:cs="宋体"/>
          <w:sz w:val="24"/>
          <w:szCs w:val="24"/>
          <w:highlight w:val="none"/>
          <w:lang w:eastAsia="zh-CN"/>
        </w:rPr>
        <w:t>祁县2026年农村供水工程中央维修养护项目</w:t>
      </w:r>
      <w:r>
        <w:rPr>
          <w:rFonts w:hint="eastAsia" w:ascii="宋体" w:hAnsi="宋体" w:eastAsia="宋体" w:cs="宋体"/>
          <w:sz w:val="24"/>
          <w:szCs w:val="24"/>
          <w:highlight w:val="none"/>
        </w:rPr>
        <w:t xml:space="preserve"> </w:t>
      </w:r>
    </w:p>
    <w:p w14:paraId="4F777F77">
      <w:pPr>
        <w:bidi w:val="0"/>
        <w:spacing w:line="360" w:lineRule="auto"/>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w:t>
      </w:r>
    </w:p>
    <w:p w14:paraId="0AD38552">
      <w:pPr>
        <w:bidi w:val="0"/>
        <w:spacing w:line="360" w:lineRule="auto"/>
        <w:ind w:firstLine="960" w:firstLineChars="400"/>
        <w:rPr>
          <w:rFonts w:hint="eastAsia" w:ascii="宋体" w:hAnsi="宋体" w:eastAsia="宋体" w:cs="宋体"/>
          <w:lang w:val="en-US"/>
        </w:rPr>
      </w:pPr>
      <w:r>
        <w:rPr>
          <w:rFonts w:hint="eastAsia" w:ascii="宋体" w:hAnsi="宋体" w:eastAsia="宋体" w:cs="宋体"/>
          <w:sz w:val="24"/>
          <w:szCs w:val="24"/>
          <w:highlight w:val="none"/>
        </w:rPr>
        <w:t>预算金额（元）：</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646000.00</w:t>
      </w:r>
    </w:p>
    <w:p w14:paraId="48B3FA69">
      <w:pPr>
        <w:bidi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单位：</w:t>
      </w:r>
    </w:p>
    <w:p w14:paraId="6B39CA32">
      <w:pPr>
        <w:bidi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简要规格描述：</w:t>
      </w:r>
      <w:r>
        <w:rPr>
          <w:rFonts w:hint="eastAsia" w:ascii="宋体" w:hAnsi="宋体" w:eastAsia="宋体" w:cs="宋体"/>
          <w:sz w:val="24"/>
          <w:szCs w:val="24"/>
          <w:highlight w:val="none"/>
          <w:lang w:eastAsia="zh-CN"/>
        </w:rPr>
        <w:t xml:space="preserve">祁县2026年农村供水工程中央维修养护项目。具体内容详见工程量清单。 </w:t>
      </w:r>
    </w:p>
    <w:p w14:paraId="14E24423">
      <w:pPr>
        <w:bidi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备注：</w:t>
      </w:r>
      <w:r>
        <w:rPr>
          <w:rFonts w:hint="eastAsia" w:ascii="宋体" w:hAnsi="宋体" w:eastAsia="宋体" w:cs="宋体"/>
          <w:sz w:val="24"/>
          <w:szCs w:val="24"/>
          <w:highlight w:val="none"/>
        </w:rPr>
        <w:t xml:space="preserve">  </w:t>
      </w:r>
    </w:p>
    <w:p w14:paraId="49B11471">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合同履约期限：包 1，</w:t>
      </w:r>
      <w:r>
        <w:rPr>
          <w:rFonts w:hint="eastAsia" w:ascii="宋体" w:hAnsi="宋体" w:eastAsia="宋体" w:cs="宋体"/>
          <w:sz w:val="24"/>
          <w:szCs w:val="24"/>
          <w:highlight w:val="none"/>
          <w:lang w:val="en-US" w:eastAsia="zh-CN"/>
        </w:rPr>
        <w:t>60日历天</w:t>
      </w:r>
      <w:r>
        <w:rPr>
          <w:rFonts w:hint="eastAsia" w:ascii="宋体" w:hAnsi="宋体" w:eastAsia="宋体" w:cs="宋体"/>
          <w:sz w:val="24"/>
          <w:szCs w:val="24"/>
          <w:highlight w:val="none"/>
        </w:rPr>
        <w:t xml:space="preserve">        </w:t>
      </w:r>
    </w:p>
    <w:p w14:paraId="58CC9F21">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本项目（否）接受联合体投标。        </w:t>
      </w:r>
    </w:p>
    <w:p w14:paraId="467FA4C8">
      <w:pPr>
        <w:bidi w:val="0"/>
        <w:spacing w:line="360" w:lineRule="auto"/>
        <w:ind w:left="0" w:leftChars="0" w:firstLine="422" w:firstLineChars="175"/>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二、申请人的资格要求：    </w:t>
      </w:r>
    </w:p>
    <w:p w14:paraId="5FB9EE6F">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1.满足《中华人民共和国政府采购法》第二十二条规定；        </w:t>
      </w:r>
    </w:p>
    <w:p w14:paraId="70079664">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2.落实政府采购政策需满足的资格要求：供应商应为中小企业。        </w:t>
      </w:r>
    </w:p>
    <w:p w14:paraId="1B5F853D">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51E1BE67">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shd w:val="clear"/>
          <w:lang w:eastAsia="zh-CN"/>
        </w:rPr>
        <w:t>具有行政主管部门颁发的水利水电工程施工总承包叁级及以上资质，且具有有效的安全生产许可证。</w:t>
      </w:r>
      <w:r>
        <w:rPr>
          <w:rFonts w:hint="eastAsia" w:ascii="宋体" w:hAnsi="宋体" w:eastAsia="宋体" w:cs="宋体"/>
          <w:sz w:val="24"/>
          <w:szCs w:val="24"/>
          <w:highlight w:val="none"/>
        </w:rPr>
        <w:t xml:space="preserve">        </w:t>
      </w:r>
    </w:p>
    <w:p w14:paraId="6534C7AE">
      <w:pPr>
        <w:bidi w:val="0"/>
        <w:spacing w:line="360" w:lineRule="auto"/>
        <w:ind w:left="0" w:leftChars="0" w:firstLine="422" w:firstLineChars="175"/>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三、获取采购文件    </w:t>
      </w:r>
    </w:p>
    <w:p w14:paraId="00CA7A83">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2026年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lang w:eastAsia="zh-CN"/>
        </w:rPr>
        <w:t>日至2026年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6</w:t>
      </w:r>
      <w:bookmarkStart w:id="290" w:name="_GoBack"/>
      <w:bookmarkEnd w:id="290"/>
      <w:r>
        <w:rPr>
          <w:rFonts w:hint="eastAsia" w:ascii="宋体" w:hAnsi="宋体" w:eastAsia="宋体" w:cs="宋体"/>
          <w:sz w:val="24"/>
          <w:szCs w:val="24"/>
          <w:highlight w:val="none"/>
        </w:rPr>
        <w:t xml:space="preserve">日，每天上午00:00至12:00，下午12:00至23:59（北京时间，法定节假日除外）        </w:t>
      </w:r>
    </w:p>
    <w:p w14:paraId="0D992618">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地点：政采云平台线上获取      </w:t>
      </w:r>
    </w:p>
    <w:p w14:paraId="24E4A3E5">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方式：在线获取       </w:t>
      </w:r>
    </w:p>
    <w:p w14:paraId="10D3460E">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售价（元）：0      </w:t>
      </w:r>
    </w:p>
    <w:p w14:paraId="6AF3BB45">
      <w:pPr>
        <w:bidi w:val="0"/>
        <w:spacing w:line="360" w:lineRule="auto"/>
        <w:ind w:left="0" w:leftChars="0" w:firstLine="422" w:firstLineChars="175"/>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四、响应文件提交    </w:t>
      </w:r>
    </w:p>
    <w:p w14:paraId="52683F59">
      <w:pPr>
        <w:shd w:val="clea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lang w:eastAsia="zh-CN"/>
        </w:rPr>
        <w:t>2026</w:t>
      </w:r>
      <w:r>
        <w:rPr>
          <w:rFonts w:hint="eastAsia" w:ascii="宋体" w:hAnsi="宋体" w:eastAsia="宋体" w:cs="宋体"/>
          <w:sz w:val="24"/>
          <w:szCs w:val="24"/>
          <w:highlight w:val="none"/>
        </w:rPr>
        <w:t>年</w:t>
      </w:r>
      <w:r>
        <w:rPr>
          <w:rFonts w:hint="eastAsia" w:ascii="宋体" w:hAnsi="宋体" w:eastAsia="宋体" w:cs="宋体"/>
          <w:sz w:val="24"/>
          <w:szCs w:val="24"/>
          <w:highlight w:val="none"/>
          <w:shd w:val="clear"/>
          <w:lang w:val="en-US" w:eastAsia="zh-CN"/>
        </w:rPr>
        <w:t>05</w:t>
      </w:r>
      <w:r>
        <w:rPr>
          <w:rFonts w:hint="eastAsia" w:ascii="宋体" w:hAnsi="宋体" w:eastAsia="宋体" w:cs="宋体"/>
          <w:sz w:val="24"/>
          <w:szCs w:val="24"/>
          <w:highlight w:val="none"/>
        </w:rPr>
        <w:t>月</w:t>
      </w:r>
      <w:r>
        <w:rPr>
          <w:rFonts w:hint="eastAsia" w:ascii="宋体" w:hAnsi="宋体" w:eastAsia="宋体" w:cs="宋体"/>
          <w:sz w:val="24"/>
          <w:szCs w:val="24"/>
          <w:highlight w:val="none"/>
          <w:shd w:val="clear"/>
          <w:lang w:val="en-US" w:eastAsia="zh-CN"/>
        </w:rPr>
        <w:t>29</w:t>
      </w: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 xml:space="preserve">:00（北京时间）        </w:t>
      </w:r>
    </w:p>
    <w:p w14:paraId="21A47155">
      <w:pPr>
        <w:shd w:val="clea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地点：请登录政采云投标客户端投标     </w:t>
      </w:r>
    </w:p>
    <w:p w14:paraId="74D3E99C">
      <w:pPr>
        <w:shd w:val="clear"/>
        <w:bidi w:val="0"/>
        <w:spacing w:line="360" w:lineRule="auto"/>
        <w:ind w:left="0" w:leftChars="0" w:firstLine="422" w:firstLineChars="175"/>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五、响应文件开启    </w:t>
      </w:r>
    </w:p>
    <w:p w14:paraId="45F28D4A">
      <w:pPr>
        <w:shd w:val="clea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开启时间：</w:t>
      </w:r>
      <w:r>
        <w:rPr>
          <w:rFonts w:hint="eastAsia" w:ascii="宋体" w:hAnsi="宋体" w:eastAsia="宋体" w:cs="宋体"/>
          <w:sz w:val="24"/>
          <w:szCs w:val="24"/>
          <w:highlight w:val="none"/>
          <w:lang w:eastAsia="zh-CN"/>
        </w:rPr>
        <w:t>2026</w:t>
      </w:r>
      <w:r>
        <w:rPr>
          <w:rFonts w:hint="eastAsia" w:ascii="宋体" w:hAnsi="宋体" w:eastAsia="宋体" w:cs="宋体"/>
          <w:sz w:val="24"/>
          <w:szCs w:val="24"/>
          <w:highlight w:val="none"/>
        </w:rPr>
        <w:t>年</w:t>
      </w:r>
      <w:r>
        <w:rPr>
          <w:rFonts w:hint="eastAsia" w:ascii="宋体" w:hAnsi="宋体" w:eastAsia="宋体" w:cs="宋体"/>
          <w:sz w:val="24"/>
          <w:szCs w:val="24"/>
          <w:highlight w:val="none"/>
          <w:shd w:val="clear"/>
          <w:lang w:val="en-US" w:eastAsia="zh-CN"/>
        </w:rPr>
        <w:t>05</w:t>
      </w:r>
      <w:r>
        <w:rPr>
          <w:rFonts w:hint="eastAsia" w:ascii="宋体" w:hAnsi="宋体" w:eastAsia="宋体" w:cs="宋体"/>
          <w:sz w:val="24"/>
          <w:szCs w:val="24"/>
          <w:highlight w:val="none"/>
        </w:rPr>
        <w:t>月</w:t>
      </w:r>
      <w:r>
        <w:rPr>
          <w:rFonts w:hint="eastAsia" w:ascii="宋体" w:hAnsi="宋体" w:eastAsia="宋体" w:cs="宋体"/>
          <w:sz w:val="24"/>
          <w:szCs w:val="24"/>
          <w:highlight w:val="none"/>
          <w:shd w:val="clear"/>
          <w:lang w:val="en-US" w:eastAsia="zh-CN"/>
        </w:rPr>
        <w:t>29</w:t>
      </w: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 xml:space="preserve">:00（北京时间）        </w:t>
      </w:r>
    </w:p>
    <w:p w14:paraId="7BDE8B6B">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地点：山西省晋中市介休市山西省晋中市介休市史公路盛华丽园B区3号楼（三层东西21-31轴号）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(以两地间公共交通为基准据实报销)      </w:t>
      </w:r>
    </w:p>
    <w:p w14:paraId="1A6DED52">
      <w:pPr>
        <w:bidi w:val="0"/>
        <w:spacing w:line="360" w:lineRule="auto"/>
        <w:ind w:left="0" w:leftChars="0" w:firstLine="422" w:firstLineChars="175"/>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六、公告期限    </w:t>
      </w:r>
    </w:p>
    <w:p w14:paraId="776B46D0">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自本公告发布之日起3个工作日。    </w:t>
      </w:r>
    </w:p>
    <w:p w14:paraId="1A65D89F">
      <w:pPr>
        <w:bidi w:val="0"/>
        <w:spacing w:line="360" w:lineRule="auto"/>
        <w:ind w:left="0" w:leftChars="0" w:firstLine="422" w:firstLineChars="175"/>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七、其他补充事宜    </w:t>
      </w:r>
    </w:p>
    <w:p w14:paraId="6C859FD7">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1.本项目采用电子化交易：电子化交易流程操作指南在“山西省政府采购网&gt;办事指南&gt;下载专区”获取；本次采购公告在《中国山西政府采购网》（http://www.ccgp-shanxi.gov.cn）上发布。</w:t>
      </w:r>
    </w:p>
    <w:p w14:paraId="3CE057CB">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2.供应商应在提交响应文件前完成CA数字证书办理。（办理事项详见“山西省政府采购网&gt;办事指南&gt;下载专区”)；</w:t>
      </w:r>
    </w:p>
    <w:p w14:paraId="356F2725">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3.供应商应安装“山西政府采购平台电子投标客户端”请供应商自行前往“山西省政府采购网&gt;办事指南&gt;下载专区”获取并安装；</w:t>
      </w:r>
    </w:p>
    <w:p w14:paraId="1C9F0C7C">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4.如有疑问，可致电技术支持热线95763； </w:t>
      </w:r>
    </w:p>
    <w:p w14:paraId="2EAE0D38">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5.针对本项目的质疑需一次性提出，多次提出将不予受理。    </w:t>
      </w:r>
    </w:p>
    <w:p w14:paraId="1FE6DB91">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代理费支付方式：供应商支付 </w:t>
      </w:r>
    </w:p>
    <w:p w14:paraId="55F533D7">
      <w:pPr>
        <w:bidi w:val="0"/>
        <w:spacing w:line="360" w:lineRule="auto"/>
        <w:ind w:left="0" w:leftChars="0" w:firstLine="420" w:firstLineChars="175"/>
        <w:rPr>
          <w:rFonts w:hint="eastAsia" w:ascii="宋体" w:hAnsi="宋体" w:eastAsia="宋体" w:cs="宋体"/>
          <w:sz w:val="24"/>
          <w:szCs w:val="24"/>
          <w:highlight w:val="none"/>
          <w:shd w:val="clear" w:fill="FFFF00"/>
        </w:rPr>
      </w:pPr>
      <w:r>
        <w:rPr>
          <w:rFonts w:hint="eastAsia" w:ascii="宋体" w:hAnsi="宋体" w:eastAsia="宋体" w:cs="宋体"/>
          <w:sz w:val="24"/>
          <w:szCs w:val="24"/>
          <w:highlight w:val="none"/>
        </w:rPr>
        <w:t xml:space="preserve">代理费收费标准：代理服务费金额参照计价格[2002]1980号和发改办价格[2003]857号文计取。 </w:t>
      </w:r>
    </w:p>
    <w:p w14:paraId="1FF7952D">
      <w:pPr>
        <w:bidi w:val="0"/>
        <w:spacing w:line="360" w:lineRule="auto"/>
        <w:ind w:left="0" w:leftChars="0" w:firstLine="422" w:firstLineChars="175"/>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八、凡对本次</w:t>
      </w:r>
      <w:r>
        <w:rPr>
          <w:rFonts w:hint="eastAsia" w:ascii="宋体" w:hAnsi="宋体" w:eastAsia="宋体" w:cs="宋体"/>
          <w:b/>
          <w:bCs/>
          <w:sz w:val="24"/>
          <w:szCs w:val="24"/>
          <w:highlight w:val="none"/>
          <w:lang w:eastAsia="zh-CN"/>
        </w:rPr>
        <w:t>采购</w:t>
      </w:r>
      <w:r>
        <w:rPr>
          <w:rFonts w:hint="eastAsia" w:ascii="宋体" w:hAnsi="宋体" w:eastAsia="宋体" w:cs="宋体"/>
          <w:b/>
          <w:bCs/>
          <w:sz w:val="24"/>
          <w:szCs w:val="24"/>
          <w:highlight w:val="none"/>
        </w:rPr>
        <w:t xml:space="preserve">提出询问，请按以下方式联系    </w:t>
      </w:r>
    </w:p>
    <w:p w14:paraId="166683D1">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1.采购人信息            </w:t>
      </w:r>
    </w:p>
    <w:p w14:paraId="10F9F006">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名 称：祁县水利局          </w:t>
      </w:r>
    </w:p>
    <w:p w14:paraId="4FF57B01">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 址：山西省晋中市祁县丹枫东路金地源         </w:t>
      </w:r>
    </w:p>
    <w:p w14:paraId="6F066C50">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联系方式：0354-5222103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7D8AE282">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2.采购代理机构信息            </w:t>
      </w:r>
    </w:p>
    <w:p w14:paraId="221CBBF7">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名 称：卓信工程咨询有限公司         </w:t>
      </w:r>
    </w:p>
    <w:p w14:paraId="4B4F9C74">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地 址：郑州市金水区黄河路1号院1幢10层1001-1003号</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rPr>
        <w:t xml:space="preserve">          </w:t>
      </w:r>
    </w:p>
    <w:p w14:paraId="44538308">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联系方式：15503500069            </w:t>
      </w:r>
    </w:p>
    <w:p w14:paraId="10002753">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5507003A">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eastAsia="zh-CN"/>
        </w:rPr>
        <w:t>王女士</w:t>
      </w:r>
      <w:r>
        <w:rPr>
          <w:rFonts w:hint="eastAsia" w:ascii="宋体" w:hAnsi="宋体" w:eastAsia="宋体" w:cs="宋体"/>
          <w:sz w:val="24"/>
          <w:szCs w:val="24"/>
          <w:highlight w:val="none"/>
        </w:rPr>
        <w:t xml:space="preserve">   </w:t>
      </w:r>
    </w:p>
    <w:p w14:paraId="7A0BE83E">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电 话：15503500069    </w:t>
      </w:r>
    </w:p>
    <w:p w14:paraId="373953DF">
      <w:pPr>
        <w:rPr>
          <w:rFonts w:hint="eastAsia" w:ascii="宋体" w:hAnsi="宋体" w:eastAsia="宋体" w:cs="宋体"/>
          <w:sz w:val="24"/>
          <w:szCs w:val="24"/>
          <w:highlight w:val="none"/>
        </w:rPr>
      </w:pPr>
    </w:p>
    <w:p w14:paraId="55A48313">
      <w:pPr>
        <w:pStyle w:val="2"/>
        <w:rPr>
          <w:rFonts w:hint="eastAsia" w:ascii="宋体" w:hAnsi="宋体" w:eastAsia="宋体" w:cs="宋体"/>
          <w:sz w:val="24"/>
          <w:szCs w:val="24"/>
          <w:highlight w:val="none"/>
        </w:rPr>
      </w:pPr>
    </w:p>
    <w:p w14:paraId="4A78FEEC">
      <w:pPr>
        <w:rPr>
          <w:rFonts w:hint="eastAsia" w:ascii="宋体" w:hAnsi="宋体" w:eastAsia="宋体" w:cs="宋体"/>
          <w:sz w:val="24"/>
          <w:szCs w:val="24"/>
          <w:highlight w:val="none"/>
        </w:rPr>
      </w:pPr>
    </w:p>
    <w:p w14:paraId="22AF3915">
      <w:pPr>
        <w:pStyle w:val="2"/>
        <w:rPr>
          <w:rFonts w:hint="eastAsia" w:ascii="宋体" w:hAnsi="宋体" w:eastAsia="宋体" w:cs="宋体"/>
          <w:sz w:val="24"/>
          <w:szCs w:val="24"/>
          <w:highlight w:val="none"/>
        </w:rPr>
      </w:pPr>
    </w:p>
    <w:p w14:paraId="0A1BB1FA">
      <w:pPr>
        <w:rPr>
          <w:rFonts w:hint="eastAsia" w:ascii="宋体" w:hAnsi="宋体" w:eastAsia="宋体" w:cs="宋体"/>
          <w:sz w:val="24"/>
          <w:szCs w:val="24"/>
          <w:highlight w:val="none"/>
        </w:rPr>
      </w:pPr>
    </w:p>
    <w:p w14:paraId="3DE0D382">
      <w:pPr>
        <w:pStyle w:val="2"/>
        <w:rPr>
          <w:rFonts w:hint="eastAsia" w:ascii="宋体" w:hAnsi="宋体" w:eastAsia="宋体" w:cs="宋体"/>
          <w:sz w:val="24"/>
          <w:szCs w:val="24"/>
          <w:highlight w:val="none"/>
        </w:rPr>
      </w:pPr>
    </w:p>
    <w:p w14:paraId="62964A4D">
      <w:pPr>
        <w:rPr>
          <w:rFonts w:hint="eastAsia" w:ascii="宋体" w:hAnsi="宋体" w:eastAsia="宋体" w:cs="宋体"/>
          <w:sz w:val="24"/>
          <w:szCs w:val="24"/>
          <w:highlight w:val="none"/>
        </w:rPr>
      </w:pPr>
    </w:p>
    <w:p w14:paraId="78D8A9E2">
      <w:pPr>
        <w:pStyle w:val="2"/>
        <w:rPr>
          <w:rFonts w:hint="eastAsia" w:ascii="宋体" w:hAnsi="宋体" w:eastAsia="宋体" w:cs="宋体"/>
          <w:sz w:val="24"/>
          <w:szCs w:val="24"/>
          <w:highlight w:val="none"/>
        </w:rPr>
      </w:pPr>
    </w:p>
    <w:p w14:paraId="3ED21A08">
      <w:pPr>
        <w:rPr>
          <w:rFonts w:hint="eastAsia" w:ascii="宋体" w:hAnsi="宋体" w:eastAsia="宋体" w:cs="宋体"/>
          <w:sz w:val="24"/>
          <w:szCs w:val="24"/>
          <w:highlight w:val="none"/>
        </w:rPr>
      </w:pPr>
    </w:p>
    <w:p w14:paraId="6FD6399D">
      <w:pPr>
        <w:pStyle w:val="2"/>
        <w:rPr>
          <w:rFonts w:hint="eastAsia" w:ascii="宋体" w:hAnsi="宋体" w:eastAsia="宋体" w:cs="宋体"/>
          <w:sz w:val="24"/>
          <w:szCs w:val="24"/>
          <w:highlight w:val="none"/>
        </w:rPr>
      </w:pPr>
    </w:p>
    <w:p w14:paraId="407C334F">
      <w:pPr>
        <w:rPr>
          <w:rFonts w:hint="eastAsia" w:ascii="宋体" w:hAnsi="宋体" w:eastAsia="宋体" w:cs="宋体"/>
          <w:sz w:val="24"/>
          <w:szCs w:val="24"/>
          <w:highlight w:val="none"/>
        </w:rPr>
      </w:pPr>
    </w:p>
    <w:p w14:paraId="6F0F7824">
      <w:pPr>
        <w:pStyle w:val="2"/>
        <w:rPr>
          <w:rFonts w:hint="eastAsia" w:ascii="宋体" w:hAnsi="宋体" w:eastAsia="宋体" w:cs="宋体"/>
          <w:sz w:val="24"/>
          <w:szCs w:val="24"/>
          <w:highlight w:val="none"/>
        </w:rPr>
      </w:pPr>
    </w:p>
    <w:p w14:paraId="7E6260E9">
      <w:pPr>
        <w:rPr>
          <w:rFonts w:hint="eastAsia" w:ascii="宋体" w:hAnsi="宋体" w:eastAsia="宋体" w:cs="宋体"/>
          <w:sz w:val="24"/>
          <w:szCs w:val="24"/>
          <w:highlight w:val="none"/>
        </w:rPr>
      </w:pPr>
    </w:p>
    <w:p w14:paraId="63E664EA">
      <w:pPr>
        <w:pStyle w:val="2"/>
        <w:rPr>
          <w:rFonts w:hint="eastAsia" w:ascii="宋体" w:hAnsi="宋体" w:eastAsia="宋体" w:cs="宋体"/>
          <w:sz w:val="24"/>
          <w:szCs w:val="24"/>
          <w:highlight w:val="none"/>
        </w:rPr>
      </w:pPr>
    </w:p>
    <w:p w14:paraId="7B5217E7">
      <w:pPr>
        <w:rPr>
          <w:rFonts w:hint="eastAsia" w:ascii="宋体" w:hAnsi="宋体" w:eastAsia="宋体" w:cs="宋体"/>
          <w:sz w:val="24"/>
          <w:szCs w:val="24"/>
          <w:highlight w:val="none"/>
        </w:rPr>
      </w:pPr>
    </w:p>
    <w:p w14:paraId="3C484FF8">
      <w:pPr>
        <w:pStyle w:val="2"/>
        <w:rPr>
          <w:rFonts w:hint="eastAsia" w:ascii="宋体" w:hAnsi="宋体" w:eastAsia="宋体" w:cs="宋体"/>
          <w:sz w:val="24"/>
          <w:szCs w:val="24"/>
          <w:highlight w:val="none"/>
        </w:rPr>
      </w:pPr>
    </w:p>
    <w:p w14:paraId="78BD53EE">
      <w:pPr>
        <w:rPr>
          <w:rFonts w:hint="eastAsia" w:ascii="宋体" w:hAnsi="宋体" w:eastAsia="宋体" w:cs="宋体"/>
          <w:sz w:val="24"/>
          <w:szCs w:val="24"/>
          <w:highlight w:val="none"/>
        </w:rPr>
      </w:pPr>
    </w:p>
    <w:p w14:paraId="50927DCE">
      <w:pPr>
        <w:pStyle w:val="2"/>
        <w:rPr>
          <w:rFonts w:hint="eastAsia" w:ascii="宋体" w:hAnsi="宋体" w:eastAsia="宋体" w:cs="宋体"/>
          <w:sz w:val="24"/>
          <w:szCs w:val="24"/>
          <w:highlight w:val="none"/>
        </w:rPr>
      </w:pPr>
    </w:p>
    <w:p w14:paraId="03BBF150">
      <w:pPr>
        <w:rPr>
          <w:rFonts w:hint="eastAsia" w:ascii="宋体" w:hAnsi="宋体" w:eastAsia="宋体" w:cs="宋体"/>
          <w:sz w:val="24"/>
          <w:szCs w:val="24"/>
          <w:highlight w:val="none"/>
        </w:rPr>
      </w:pPr>
    </w:p>
    <w:p w14:paraId="57737859">
      <w:pPr>
        <w:pStyle w:val="2"/>
        <w:rPr>
          <w:rFonts w:hint="eastAsia" w:ascii="宋体" w:hAnsi="宋体" w:eastAsia="宋体" w:cs="宋体"/>
          <w:sz w:val="24"/>
          <w:szCs w:val="24"/>
          <w:highlight w:val="none"/>
        </w:rPr>
      </w:pPr>
    </w:p>
    <w:p w14:paraId="20D7C3DF">
      <w:pPr>
        <w:rPr>
          <w:rFonts w:hint="eastAsia" w:ascii="宋体" w:hAnsi="宋体" w:eastAsia="宋体" w:cs="宋体"/>
          <w:sz w:val="24"/>
          <w:szCs w:val="24"/>
          <w:highlight w:val="none"/>
        </w:rPr>
      </w:pPr>
    </w:p>
    <w:p w14:paraId="32A584F5">
      <w:pPr>
        <w:pStyle w:val="2"/>
        <w:rPr>
          <w:rFonts w:hint="eastAsia" w:ascii="宋体" w:hAnsi="宋体" w:eastAsia="宋体" w:cs="宋体"/>
          <w:sz w:val="24"/>
          <w:szCs w:val="24"/>
          <w:highlight w:val="none"/>
        </w:rPr>
      </w:pPr>
    </w:p>
    <w:p w14:paraId="2E0C5B81">
      <w:pPr>
        <w:rPr>
          <w:rFonts w:hint="eastAsia" w:ascii="宋体" w:hAnsi="宋体" w:eastAsia="宋体" w:cs="宋体"/>
          <w:sz w:val="24"/>
          <w:szCs w:val="24"/>
          <w:highlight w:val="none"/>
        </w:rPr>
      </w:pPr>
    </w:p>
    <w:p w14:paraId="1E2FE522">
      <w:pPr>
        <w:pStyle w:val="2"/>
        <w:rPr>
          <w:rFonts w:hint="eastAsia" w:ascii="宋体" w:hAnsi="宋体" w:eastAsia="宋体" w:cs="宋体"/>
          <w:sz w:val="24"/>
          <w:szCs w:val="24"/>
          <w:highlight w:val="none"/>
        </w:rPr>
      </w:pPr>
    </w:p>
    <w:p w14:paraId="00D99D54">
      <w:pPr>
        <w:rPr>
          <w:rFonts w:hint="eastAsia" w:ascii="宋体" w:hAnsi="宋体" w:eastAsia="宋体" w:cs="宋体"/>
          <w:sz w:val="24"/>
          <w:szCs w:val="24"/>
          <w:highlight w:val="none"/>
        </w:rPr>
      </w:pPr>
    </w:p>
    <w:p w14:paraId="5ADEFBFE">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7472270A">
      <w:pPr>
        <w:bidi w:val="0"/>
        <w:spacing w:line="360" w:lineRule="auto"/>
        <w:jc w:val="center"/>
        <w:outlineLvl w:val="0"/>
        <w:rPr>
          <w:rFonts w:hint="eastAsia" w:ascii="宋体" w:hAnsi="宋体" w:eastAsia="宋体" w:cs="宋体"/>
          <w:b/>
          <w:bCs/>
          <w:sz w:val="24"/>
          <w:szCs w:val="24"/>
          <w:highlight w:val="none"/>
          <w:lang w:eastAsia="zh-CN"/>
        </w:rPr>
      </w:pPr>
      <w:bookmarkStart w:id="11" w:name="_Toc32726"/>
      <w:bookmarkStart w:id="12" w:name="_Toc24521"/>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 xml:space="preserve">部分  </w:t>
      </w:r>
      <w:bookmarkStart w:id="13" w:name="_Toc7598"/>
      <w:bookmarkStart w:id="14" w:name="_Toc6098"/>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须知前附表</w:t>
      </w:r>
      <w:bookmarkEnd w:id="11"/>
      <w:bookmarkEnd w:id="12"/>
      <w:bookmarkEnd w:id="13"/>
      <w:bookmarkEnd w:id="14"/>
    </w:p>
    <w:tbl>
      <w:tblPr>
        <w:tblStyle w:val="33"/>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108"/>
        <w:gridCol w:w="538"/>
        <w:gridCol w:w="6008"/>
      </w:tblGrid>
      <w:tr w14:paraId="49DB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48C2AE2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序号</w:t>
            </w:r>
          </w:p>
        </w:tc>
        <w:tc>
          <w:tcPr>
            <w:tcW w:w="1114" w:type="pct"/>
            <w:noWrap w:val="0"/>
            <w:vAlign w:val="center"/>
          </w:tcPr>
          <w:p w14:paraId="258C5C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容</w:t>
            </w:r>
          </w:p>
        </w:tc>
        <w:tc>
          <w:tcPr>
            <w:tcW w:w="3460" w:type="pct"/>
            <w:gridSpan w:val="2"/>
            <w:noWrap w:val="0"/>
            <w:vAlign w:val="center"/>
          </w:tcPr>
          <w:p w14:paraId="173EC1C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说明与要求</w:t>
            </w:r>
          </w:p>
        </w:tc>
      </w:tr>
      <w:tr w14:paraId="4432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10EC1A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p>
        </w:tc>
        <w:tc>
          <w:tcPr>
            <w:tcW w:w="1114" w:type="pct"/>
            <w:noWrap w:val="0"/>
            <w:vAlign w:val="center"/>
          </w:tcPr>
          <w:p w14:paraId="1C19899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采购人</w:t>
            </w:r>
          </w:p>
        </w:tc>
        <w:tc>
          <w:tcPr>
            <w:tcW w:w="3460" w:type="pct"/>
            <w:gridSpan w:val="2"/>
            <w:noWrap w:val="0"/>
            <w:vAlign w:val="center"/>
          </w:tcPr>
          <w:p w14:paraId="1A2F53E6">
            <w:pPr>
              <w:pStyle w:val="6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祁县水利局</w:t>
            </w:r>
          </w:p>
        </w:tc>
      </w:tr>
      <w:tr w14:paraId="5234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6061A97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w:t>
            </w:r>
          </w:p>
        </w:tc>
        <w:tc>
          <w:tcPr>
            <w:tcW w:w="1114" w:type="pct"/>
            <w:noWrap w:val="0"/>
            <w:vAlign w:val="center"/>
          </w:tcPr>
          <w:p w14:paraId="3C01259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采购代理机构</w:t>
            </w:r>
          </w:p>
        </w:tc>
        <w:tc>
          <w:tcPr>
            <w:tcW w:w="3460" w:type="pct"/>
            <w:gridSpan w:val="2"/>
            <w:noWrap w:val="0"/>
            <w:vAlign w:val="center"/>
          </w:tcPr>
          <w:p w14:paraId="07CB8CE8">
            <w:pPr>
              <w:pStyle w:val="6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卓信工程咨询有限公司</w:t>
            </w:r>
          </w:p>
        </w:tc>
      </w:tr>
      <w:tr w14:paraId="6D03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35D8BE2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3</w:t>
            </w:r>
          </w:p>
        </w:tc>
        <w:tc>
          <w:tcPr>
            <w:tcW w:w="1114" w:type="pct"/>
            <w:noWrap w:val="0"/>
            <w:vAlign w:val="center"/>
          </w:tcPr>
          <w:p w14:paraId="6C6BFF2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项目名称</w:t>
            </w:r>
          </w:p>
        </w:tc>
        <w:tc>
          <w:tcPr>
            <w:tcW w:w="3460" w:type="pct"/>
            <w:gridSpan w:val="2"/>
            <w:noWrap w:val="0"/>
            <w:vAlign w:val="center"/>
          </w:tcPr>
          <w:p w14:paraId="793EEA5D">
            <w:pPr>
              <w:pStyle w:val="6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祁县2026年农村供水工程中央维修养护项目</w:t>
            </w:r>
          </w:p>
        </w:tc>
      </w:tr>
      <w:tr w14:paraId="5FFD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524F90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4</w:t>
            </w:r>
          </w:p>
        </w:tc>
        <w:tc>
          <w:tcPr>
            <w:tcW w:w="1114" w:type="pct"/>
            <w:shd w:val="clear" w:color="auto" w:fill="auto"/>
            <w:noWrap w:val="0"/>
            <w:vAlign w:val="center"/>
          </w:tcPr>
          <w:p w14:paraId="058D03B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项目预算</w:t>
            </w:r>
          </w:p>
        </w:tc>
        <w:tc>
          <w:tcPr>
            <w:tcW w:w="3460" w:type="pct"/>
            <w:gridSpan w:val="2"/>
            <w:shd w:val="clear" w:color="auto" w:fill="auto"/>
            <w:noWrap w:val="0"/>
            <w:vAlign w:val="center"/>
          </w:tcPr>
          <w:p w14:paraId="123833D2">
            <w:pPr>
              <w:keepNext w:val="0"/>
              <w:keepLines w:val="0"/>
              <w:suppressLineNumbers w:val="0"/>
              <w:bidi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646000.00元</w:t>
            </w:r>
          </w:p>
        </w:tc>
      </w:tr>
      <w:tr w14:paraId="496F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5705B36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w:t>
            </w:r>
          </w:p>
        </w:tc>
        <w:tc>
          <w:tcPr>
            <w:tcW w:w="1114" w:type="pct"/>
            <w:shd w:val="clear" w:color="auto" w:fill="auto"/>
            <w:noWrap w:val="0"/>
            <w:vAlign w:val="center"/>
          </w:tcPr>
          <w:p w14:paraId="1086A9E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最高限价</w:t>
            </w:r>
          </w:p>
        </w:tc>
        <w:tc>
          <w:tcPr>
            <w:tcW w:w="3460" w:type="pct"/>
            <w:gridSpan w:val="2"/>
            <w:shd w:val="clear" w:color="auto" w:fill="auto"/>
            <w:noWrap w:val="0"/>
            <w:vAlign w:val="center"/>
          </w:tcPr>
          <w:p w14:paraId="0AE0D3F9">
            <w:pPr>
              <w:pStyle w:val="6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以最终出具的招标控制价为准</w:t>
            </w:r>
          </w:p>
        </w:tc>
      </w:tr>
      <w:tr w14:paraId="744E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4EACBF7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w:t>
            </w:r>
          </w:p>
        </w:tc>
        <w:tc>
          <w:tcPr>
            <w:tcW w:w="1114" w:type="pct"/>
            <w:noWrap w:val="0"/>
            <w:vAlign w:val="center"/>
          </w:tcPr>
          <w:p w14:paraId="628ED68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资金来源</w:t>
            </w:r>
          </w:p>
        </w:tc>
        <w:tc>
          <w:tcPr>
            <w:tcW w:w="3460" w:type="pct"/>
            <w:gridSpan w:val="2"/>
            <w:noWrap w:val="0"/>
            <w:vAlign w:val="center"/>
          </w:tcPr>
          <w:p w14:paraId="59CC2F4A">
            <w:pPr>
              <w:keepNext w:val="0"/>
              <w:keepLines w:val="0"/>
              <w:suppressLineNumbers w:val="0"/>
              <w:bidi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财政资金</w:t>
            </w:r>
          </w:p>
        </w:tc>
      </w:tr>
      <w:tr w14:paraId="18C7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1595C94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w:t>
            </w:r>
          </w:p>
        </w:tc>
        <w:tc>
          <w:tcPr>
            <w:tcW w:w="1114" w:type="pct"/>
            <w:noWrap w:val="0"/>
            <w:vAlign w:val="center"/>
          </w:tcPr>
          <w:p w14:paraId="2D323C1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采购方式</w:t>
            </w:r>
          </w:p>
        </w:tc>
        <w:tc>
          <w:tcPr>
            <w:tcW w:w="3460" w:type="pct"/>
            <w:gridSpan w:val="2"/>
            <w:noWrap w:val="0"/>
            <w:vAlign w:val="center"/>
          </w:tcPr>
          <w:p w14:paraId="3617B98F">
            <w:pPr>
              <w:keepNext w:val="0"/>
              <w:keepLines w:val="0"/>
              <w:suppressLineNumbers w:val="0"/>
              <w:bidi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竞争性磋商</w:t>
            </w:r>
          </w:p>
        </w:tc>
      </w:tr>
      <w:tr w14:paraId="2680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2E5A1CD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w:t>
            </w:r>
          </w:p>
        </w:tc>
        <w:tc>
          <w:tcPr>
            <w:tcW w:w="1114" w:type="pct"/>
            <w:noWrap w:val="0"/>
            <w:vAlign w:val="center"/>
          </w:tcPr>
          <w:p w14:paraId="766195A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采购需求</w:t>
            </w:r>
          </w:p>
        </w:tc>
        <w:tc>
          <w:tcPr>
            <w:tcW w:w="3460" w:type="pct"/>
            <w:gridSpan w:val="2"/>
            <w:noWrap w:val="0"/>
            <w:vAlign w:val="center"/>
          </w:tcPr>
          <w:p w14:paraId="52EB506A">
            <w:pPr>
              <w:keepNext w:val="0"/>
              <w:keepLines w:val="0"/>
              <w:suppressLineNumbers w:val="0"/>
              <w:bidi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祁县2026年农村供水工程中央维修养护项目。具体内容详见工程量清单。 </w:t>
            </w:r>
          </w:p>
        </w:tc>
      </w:tr>
      <w:tr w14:paraId="3F85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075B4B0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w:t>
            </w:r>
          </w:p>
        </w:tc>
        <w:tc>
          <w:tcPr>
            <w:tcW w:w="1114" w:type="pct"/>
            <w:shd w:val="clear" w:color="auto" w:fill="auto"/>
            <w:noWrap w:val="0"/>
            <w:vAlign w:val="center"/>
          </w:tcPr>
          <w:p w14:paraId="4B2BC9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工期</w:t>
            </w:r>
          </w:p>
        </w:tc>
        <w:tc>
          <w:tcPr>
            <w:tcW w:w="3460" w:type="pct"/>
            <w:gridSpan w:val="2"/>
            <w:shd w:val="clear" w:color="auto" w:fill="auto"/>
            <w:noWrap w:val="0"/>
            <w:vAlign w:val="center"/>
          </w:tcPr>
          <w:p w14:paraId="45C59CE0">
            <w:pPr>
              <w:keepNext w:val="0"/>
              <w:keepLines w:val="0"/>
              <w:suppressLineNumbers w:val="0"/>
              <w:bidi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60日历天</w:t>
            </w:r>
          </w:p>
        </w:tc>
      </w:tr>
      <w:tr w14:paraId="7D73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59104F1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10</w:t>
            </w:r>
          </w:p>
        </w:tc>
        <w:tc>
          <w:tcPr>
            <w:tcW w:w="1114" w:type="pct"/>
            <w:noWrap w:val="0"/>
            <w:vAlign w:val="center"/>
          </w:tcPr>
          <w:p w14:paraId="6922E283">
            <w:pPr>
              <w:keepNext w:val="0"/>
              <w:keepLines w:val="0"/>
              <w:suppressLineNumbers w:val="0"/>
              <w:bidi w:val="0"/>
              <w:spacing w:before="0" w:beforeAutospacing="0" w:after="0" w:afterAutospacing="0" w:line="360" w:lineRule="auto"/>
              <w:ind w:left="0" w:leftChars="0" w:right="0" w:right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质量</w:t>
            </w:r>
          </w:p>
        </w:tc>
        <w:tc>
          <w:tcPr>
            <w:tcW w:w="3460" w:type="pct"/>
            <w:gridSpan w:val="2"/>
            <w:noWrap w:val="0"/>
            <w:vAlign w:val="center"/>
          </w:tcPr>
          <w:p w14:paraId="1FF4FB77">
            <w:pPr>
              <w:keepNext w:val="0"/>
              <w:keepLines w:val="0"/>
              <w:suppressLineNumbers w:val="0"/>
              <w:bidi w:val="0"/>
              <w:spacing w:before="0" w:beforeAutospacing="0" w:after="0" w:afterAutospacing="0" w:line="360" w:lineRule="auto"/>
              <w:ind w:left="0" w:leftChars="0"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符合国家行业标准并通过采购人验收</w:t>
            </w:r>
          </w:p>
        </w:tc>
      </w:tr>
      <w:tr w14:paraId="5418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25C98DB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w:t>
            </w:r>
          </w:p>
        </w:tc>
        <w:tc>
          <w:tcPr>
            <w:tcW w:w="1114" w:type="pct"/>
            <w:noWrap w:val="0"/>
            <w:vAlign w:val="center"/>
          </w:tcPr>
          <w:p w14:paraId="6FE2CEB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资质要求</w:t>
            </w:r>
          </w:p>
        </w:tc>
        <w:tc>
          <w:tcPr>
            <w:tcW w:w="3460" w:type="pct"/>
            <w:gridSpan w:val="2"/>
            <w:noWrap w:val="0"/>
            <w:vAlign w:val="center"/>
          </w:tcPr>
          <w:p w14:paraId="17991BC4">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1.满足《中华人民共和国政府采购法》第二十二条规定；</w:t>
            </w:r>
          </w:p>
          <w:p w14:paraId="63348A04">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2.落实政府采购政策需满足的资格要求：供应商应为中小企业。</w:t>
            </w:r>
          </w:p>
          <w:p w14:paraId="51EB91E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3.本项目的特定资格要求：</w:t>
            </w:r>
            <w:r>
              <w:rPr>
                <w:rFonts w:hint="eastAsia" w:ascii="宋体" w:hAnsi="宋体" w:eastAsia="宋体" w:cs="宋体"/>
                <w:sz w:val="24"/>
                <w:szCs w:val="24"/>
                <w:highlight w:val="none"/>
              </w:rPr>
              <w:t>具有行政主管部门颁发的水利水电工程施工总承包叁级及以上资质，且具有有效的安全生产许可证</w:t>
            </w:r>
            <w:r>
              <w:rPr>
                <w:rFonts w:hint="eastAsia" w:ascii="宋体" w:hAnsi="宋体" w:eastAsia="宋体" w:cs="宋体"/>
                <w:sz w:val="24"/>
                <w:szCs w:val="24"/>
                <w:highlight w:val="none"/>
                <w:lang w:eastAsia="zh-CN"/>
              </w:rPr>
              <w:t>。</w:t>
            </w:r>
          </w:p>
        </w:tc>
      </w:tr>
      <w:tr w14:paraId="4A24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restart"/>
            <w:noWrap w:val="0"/>
            <w:vAlign w:val="center"/>
          </w:tcPr>
          <w:p w14:paraId="505496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12</w:t>
            </w:r>
          </w:p>
        </w:tc>
        <w:tc>
          <w:tcPr>
            <w:tcW w:w="1114" w:type="pct"/>
            <w:vMerge w:val="restart"/>
            <w:noWrap w:val="0"/>
            <w:vAlign w:val="center"/>
          </w:tcPr>
          <w:p w14:paraId="2FA0A99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是否专门面向中小企业的项目</w:t>
            </w:r>
          </w:p>
        </w:tc>
        <w:tc>
          <w:tcPr>
            <w:tcW w:w="3460" w:type="pct"/>
            <w:gridSpan w:val="2"/>
            <w:noWrap w:val="0"/>
            <w:vAlign w:val="center"/>
          </w:tcPr>
          <w:p w14:paraId="3BAEA3C8">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sym w:font="Wingdings" w:char="00FE"/>
            </w:r>
            <w:r>
              <w:rPr>
                <w:rFonts w:hint="eastAsia" w:ascii="宋体" w:hAnsi="宋体" w:eastAsia="宋体" w:cs="宋体"/>
                <w:sz w:val="24"/>
                <w:szCs w:val="24"/>
                <w:highlight w:val="none"/>
                <w:lang w:val="en-US" w:eastAsia="zh-CN"/>
              </w:rPr>
              <w:t xml:space="preserve">是  </w:t>
            </w:r>
          </w:p>
        </w:tc>
      </w:tr>
      <w:tr w14:paraId="2D01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vAlign w:val="center"/>
          </w:tcPr>
          <w:p w14:paraId="3FC78876">
            <w:pPr>
              <w:keepNext w:val="0"/>
              <w:keepLines w:val="0"/>
              <w:suppressLineNumbers w:val="0"/>
              <w:bidi w:val="0"/>
              <w:spacing w:before="0" w:beforeAutospacing="0" w:after="0" w:afterAutospacing="0" w:line="360" w:lineRule="auto"/>
              <w:ind w:left="0" w:right="0"/>
              <w:rPr>
                <w:rFonts w:hint="eastAsia" w:ascii="宋体" w:hAnsi="宋体" w:eastAsia="宋体" w:cs="宋体"/>
                <w:highlight w:val="none"/>
              </w:rPr>
            </w:pPr>
          </w:p>
        </w:tc>
        <w:tc>
          <w:tcPr>
            <w:tcW w:w="1114" w:type="pct"/>
            <w:vMerge w:val="continue"/>
            <w:noWrap w:val="0"/>
            <w:vAlign w:val="center"/>
          </w:tcPr>
          <w:p w14:paraId="1A38C7A5">
            <w:pPr>
              <w:keepNext w:val="0"/>
              <w:keepLines w:val="0"/>
              <w:suppressLineNumbers w:val="0"/>
              <w:bidi w:val="0"/>
              <w:spacing w:before="0" w:beforeAutospacing="0" w:after="0" w:afterAutospacing="0" w:line="360" w:lineRule="auto"/>
              <w:ind w:left="0" w:right="0"/>
              <w:rPr>
                <w:rFonts w:hint="eastAsia" w:ascii="宋体" w:hAnsi="宋体" w:eastAsia="宋体" w:cs="宋体"/>
                <w:highlight w:val="none"/>
              </w:rPr>
            </w:pPr>
          </w:p>
        </w:tc>
        <w:tc>
          <w:tcPr>
            <w:tcW w:w="3460" w:type="pct"/>
            <w:gridSpan w:val="2"/>
            <w:noWrap w:val="0"/>
            <w:vAlign w:val="center"/>
          </w:tcPr>
          <w:p w14:paraId="7A6D3E3D">
            <w:pPr>
              <w:keepNext w:val="0"/>
              <w:keepLines w:val="0"/>
              <w:suppressLineNumbers w:val="0"/>
              <w:bidi w:val="0"/>
              <w:spacing w:before="0" w:beforeAutospacing="0" w:after="0" w:afterAutospacing="0" w:line="360" w:lineRule="auto"/>
              <w:ind w:left="0" w:right="0"/>
              <w:rPr>
                <w:rFonts w:hint="eastAsia" w:ascii="宋体" w:hAnsi="宋体" w:eastAsia="宋体" w:cs="宋体"/>
                <w:highlight w:val="none"/>
              </w:rPr>
            </w:pPr>
            <w:r>
              <w:rPr>
                <w:rFonts w:hint="eastAsia" w:ascii="宋体" w:hAnsi="宋体" w:eastAsia="宋体" w:cs="宋体"/>
                <w:sz w:val="24"/>
                <w:szCs w:val="24"/>
                <w:highlight w:val="none"/>
                <w:lang w:val="en-US" w:eastAsia="zh-CN"/>
              </w:rPr>
              <w:sym w:font="Wingdings" w:char="00A8"/>
            </w:r>
            <w:r>
              <w:rPr>
                <w:rFonts w:hint="eastAsia" w:ascii="宋体" w:hAnsi="宋体" w:eastAsia="宋体" w:cs="宋体"/>
                <w:sz w:val="24"/>
                <w:szCs w:val="24"/>
                <w:highlight w:val="none"/>
                <w:lang w:val="en-US" w:eastAsia="zh-CN"/>
              </w:rPr>
              <w:t>否</w:t>
            </w:r>
          </w:p>
        </w:tc>
      </w:tr>
      <w:tr w14:paraId="5937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17F4A13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13</w:t>
            </w:r>
          </w:p>
        </w:tc>
        <w:tc>
          <w:tcPr>
            <w:tcW w:w="1114" w:type="pct"/>
            <w:noWrap w:val="0"/>
            <w:vAlign w:val="center"/>
          </w:tcPr>
          <w:p w14:paraId="26EF21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联合体</w:t>
            </w:r>
            <w:r>
              <w:rPr>
                <w:rFonts w:hint="eastAsia" w:ascii="宋体" w:hAnsi="宋体" w:eastAsia="宋体" w:cs="宋体"/>
                <w:b/>
                <w:bCs/>
                <w:sz w:val="24"/>
                <w:szCs w:val="24"/>
                <w:highlight w:val="none"/>
                <w:lang w:eastAsia="zh-CN"/>
              </w:rPr>
              <w:t>响应</w:t>
            </w:r>
          </w:p>
        </w:tc>
        <w:tc>
          <w:tcPr>
            <w:tcW w:w="3460" w:type="pct"/>
            <w:gridSpan w:val="2"/>
            <w:noWrap w:val="0"/>
            <w:vAlign w:val="center"/>
          </w:tcPr>
          <w:p w14:paraId="0124F10F">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不允许</w:t>
            </w:r>
          </w:p>
        </w:tc>
      </w:tr>
      <w:tr w14:paraId="3452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tcBorders>
              <w:bottom w:val="single" w:color="auto" w:sz="4" w:space="0"/>
            </w:tcBorders>
            <w:noWrap w:val="0"/>
            <w:vAlign w:val="center"/>
          </w:tcPr>
          <w:p w14:paraId="6A98F71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14</w:t>
            </w:r>
          </w:p>
        </w:tc>
        <w:tc>
          <w:tcPr>
            <w:tcW w:w="1114" w:type="pct"/>
            <w:tcBorders>
              <w:bottom w:val="single" w:color="auto" w:sz="4" w:space="0"/>
            </w:tcBorders>
            <w:noWrap w:val="0"/>
            <w:vAlign w:val="center"/>
          </w:tcPr>
          <w:p w14:paraId="4799992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有效期</w:t>
            </w:r>
          </w:p>
        </w:tc>
        <w:tc>
          <w:tcPr>
            <w:tcW w:w="3460" w:type="pct"/>
            <w:gridSpan w:val="2"/>
            <w:tcBorders>
              <w:bottom w:val="single" w:color="auto" w:sz="4" w:space="0"/>
            </w:tcBorders>
            <w:noWrap w:val="0"/>
            <w:vAlign w:val="center"/>
          </w:tcPr>
          <w:p w14:paraId="6BE7214D">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90日历</w:t>
            </w:r>
            <w:r>
              <w:rPr>
                <w:rFonts w:hint="eastAsia" w:ascii="宋体" w:hAnsi="宋体" w:eastAsia="宋体" w:cs="宋体"/>
                <w:sz w:val="24"/>
                <w:szCs w:val="24"/>
                <w:highlight w:val="none"/>
                <w:lang w:eastAsia="zh-CN"/>
              </w:rPr>
              <w:t>天</w:t>
            </w:r>
          </w:p>
        </w:tc>
      </w:tr>
      <w:tr w14:paraId="1BF8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restart"/>
            <w:tcBorders>
              <w:top w:val="single" w:color="auto" w:sz="4" w:space="0"/>
            </w:tcBorders>
            <w:noWrap w:val="0"/>
            <w:vAlign w:val="center"/>
          </w:tcPr>
          <w:p w14:paraId="6693D9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15</w:t>
            </w:r>
          </w:p>
        </w:tc>
        <w:tc>
          <w:tcPr>
            <w:tcW w:w="1114" w:type="pct"/>
            <w:vMerge w:val="restart"/>
            <w:tcBorders>
              <w:top w:val="single" w:color="auto" w:sz="4" w:space="0"/>
            </w:tcBorders>
            <w:noWrap w:val="0"/>
            <w:vAlign w:val="center"/>
          </w:tcPr>
          <w:p w14:paraId="5969281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响应文件要求内容及商务技术响应文件部分编排顺序</w:t>
            </w:r>
          </w:p>
        </w:tc>
        <w:tc>
          <w:tcPr>
            <w:tcW w:w="3460" w:type="pct"/>
            <w:gridSpan w:val="2"/>
            <w:tcBorders>
              <w:top w:val="single" w:color="auto" w:sz="4" w:space="0"/>
            </w:tcBorders>
            <w:noWrap w:val="0"/>
            <w:vAlign w:val="center"/>
          </w:tcPr>
          <w:p w14:paraId="16CC7C10">
            <w:pPr>
              <w:keepNext w:val="0"/>
              <w:keepLines w:val="0"/>
              <w:numPr>
                <w:ilvl w:val="0"/>
                <w:numId w:val="2"/>
              </w:numPr>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资格响应文件部分</w:t>
            </w:r>
          </w:p>
        </w:tc>
      </w:tr>
      <w:tr w14:paraId="54C2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vAlign w:val="center"/>
          </w:tcPr>
          <w:p w14:paraId="3D50857B">
            <w:pPr>
              <w:keepNext w:val="0"/>
              <w:keepLines w:val="0"/>
              <w:suppressLineNumbers w:val="0"/>
              <w:bidi w:val="0"/>
              <w:spacing w:before="0" w:beforeAutospacing="0" w:after="0" w:afterAutospacing="0" w:line="360" w:lineRule="auto"/>
              <w:ind w:left="0" w:right="0"/>
              <w:rPr>
                <w:rFonts w:hint="eastAsia" w:ascii="宋体" w:hAnsi="宋体" w:eastAsia="宋体" w:cs="宋体"/>
                <w:highlight w:val="none"/>
              </w:rPr>
            </w:pPr>
          </w:p>
        </w:tc>
        <w:tc>
          <w:tcPr>
            <w:tcW w:w="1114" w:type="pct"/>
            <w:vMerge w:val="continue"/>
            <w:noWrap w:val="0"/>
            <w:vAlign w:val="center"/>
          </w:tcPr>
          <w:p w14:paraId="171AB1E3">
            <w:pPr>
              <w:keepNext w:val="0"/>
              <w:keepLines w:val="0"/>
              <w:suppressLineNumbers w:val="0"/>
              <w:bidi w:val="0"/>
              <w:spacing w:before="0" w:beforeAutospacing="0" w:after="0" w:afterAutospacing="0" w:line="360" w:lineRule="auto"/>
              <w:ind w:left="0" w:right="0"/>
              <w:rPr>
                <w:rFonts w:hint="eastAsia" w:ascii="宋体" w:hAnsi="宋体" w:eastAsia="宋体" w:cs="宋体"/>
                <w:highlight w:val="none"/>
              </w:rPr>
            </w:pPr>
          </w:p>
        </w:tc>
        <w:tc>
          <w:tcPr>
            <w:tcW w:w="3460" w:type="pct"/>
            <w:gridSpan w:val="2"/>
            <w:tcBorders>
              <w:top w:val="single" w:color="auto" w:sz="4" w:space="0"/>
            </w:tcBorders>
            <w:noWrap w:val="0"/>
            <w:vAlign w:val="center"/>
          </w:tcPr>
          <w:p w14:paraId="3334E3D5">
            <w:pPr>
              <w:pStyle w:val="6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1.具有独立承担民事责任的能力承诺书（格式以采购文件要求为准）；</w:t>
            </w:r>
          </w:p>
          <w:p w14:paraId="4D0FC92E">
            <w:pPr>
              <w:pStyle w:val="6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2.具有良好的商业信誉和健全的财务会计制度承诺书（格式以采购文件要求为准）；</w:t>
            </w:r>
          </w:p>
          <w:p w14:paraId="7C98EBD3">
            <w:pPr>
              <w:pStyle w:val="6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3.具有履行合同所必需的设备和专业技术能力承诺书（格式以采购文件要求为准）；</w:t>
            </w:r>
          </w:p>
          <w:p w14:paraId="7FD13BB0">
            <w:pPr>
              <w:pStyle w:val="6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4.有依法缴纳税收和社会保障资金的良好记录承诺书（格式以采购文件要求为准）；</w:t>
            </w:r>
          </w:p>
          <w:p w14:paraId="164F0A66">
            <w:pPr>
              <w:pStyle w:val="6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5.无重大违法记录声明（格式以采购文件要求为准）；</w:t>
            </w:r>
          </w:p>
          <w:p w14:paraId="2D5EB835">
            <w:pPr>
              <w:pStyle w:val="6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6.中小企业声明函（格式以采购文件要求为准）；</w:t>
            </w:r>
          </w:p>
          <w:p w14:paraId="57BB0472">
            <w:pPr>
              <w:pStyle w:val="6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7.特定资格要求的证明资料及相关资料（格式以采购文件要求为准）。</w:t>
            </w:r>
          </w:p>
        </w:tc>
      </w:tr>
      <w:tr w14:paraId="7D12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vAlign w:val="center"/>
          </w:tcPr>
          <w:p w14:paraId="0D8B310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p>
        </w:tc>
        <w:tc>
          <w:tcPr>
            <w:tcW w:w="1114" w:type="pct"/>
            <w:vMerge w:val="continue"/>
            <w:noWrap w:val="0"/>
            <w:vAlign w:val="center"/>
          </w:tcPr>
          <w:p w14:paraId="3623E3E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p>
        </w:tc>
        <w:tc>
          <w:tcPr>
            <w:tcW w:w="3460" w:type="pct"/>
            <w:gridSpan w:val="2"/>
            <w:tcBorders>
              <w:top w:val="single" w:color="auto" w:sz="4" w:space="0"/>
            </w:tcBorders>
            <w:shd w:val="clear" w:color="auto" w:fill="auto"/>
            <w:noWrap w:val="0"/>
            <w:vAlign w:val="center"/>
          </w:tcPr>
          <w:p w14:paraId="3719F3B3">
            <w:pPr>
              <w:keepNext w:val="0"/>
              <w:keepLines w:val="0"/>
              <w:suppressLineNumbers w:val="0"/>
              <w:bidi w:val="0"/>
              <w:spacing w:before="0" w:beforeAutospacing="0" w:after="0" w:afterAutospacing="0" w:line="360" w:lineRule="auto"/>
              <w:ind w:left="0" w:right="0"/>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报价要求响应文件部分</w:t>
            </w:r>
          </w:p>
        </w:tc>
      </w:tr>
      <w:tr w14:paraId="45D2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vAlign w:val="center"/>
          </w:tcPr>
          <w:p w14:paraId="082773D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p>
        </w:tc>
        <w:tc>
          <w:tcPr>
            <w:tcW w:w="1114" w:type="pct"/>
            <w:vMerge w:val="continue"/>
            <w:noWrap w:val="0"/>
            <w:vAlign w:val="center"/>
          </w:tcPr>
          <w:p w14:paraId="52A24AB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p>
        </w:tc>
        <w:tc>
          <w:tcPr>
            <w:tcW w:w="3460" w:type="pct"/>
            <w:gridSpan w:val="2"/>
            <w:tcBorders>
              <w:top w:val="single" w:color="auto" w:sz="4" w:space="0"/>
            </w:tcBorders>
            <w:shd w:val="clear" w:color="auto" w:fill="auto"/>
            <w:noWrap w:val="0"/>
            <w:vAlign w:val="center"/>
          </w:tcPr>
          <w:p w14:paraId="0C2B5D1C">
            <w:pPr>
              <w:pStyle w:val="6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1.报价一览表；</w:t>
            </w:r>
          </w:p>
          <w:p w14:paraId="50C458B3">
            <w:pPr>
              <w:pStyle w:val="6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2.已标价工程量清单。</w:t>
            </w:r>
          </w:p>
        </w:tc>
      </w:tr>
      <w:tr w14:paraId="0D79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vAlign w:val="center"/>
          </w:tcPr>
          <w:p w14:paraId="206F4C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p>
        </w:tc>
        <w:tc>
          <w:tcPr>
            <w:tcW w:w="1114" w:type="pct"/>
            <w:vMerge w:val="continue"/>
            <w:noWrap w:val="0"/>
            <w:vAlign w:val="center"/>
          </w:tcPr>
          <w:p w14:paraId="5B6D7C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p>
        </w:tc>
        <w:tc>
          <w:tcPr>
            <w:tcW w:w="3460" w:type="pct"/>
            <w:gridSpan w:val="2"/>
            <w:tcBorders>
              <w:top w:val="single" w:color="auto" w:sz="4" w:space="0"/>
              <w:bottom w:val="single" w:color="auto" w:sz="4" w:space="0"/>
            </w:tcBorders>
            <w:shd w:val="clear" w:color="auto" w:fill="auto"/>
            <w:noWrap w:val="0"/>
            <w:vAlign w:val="center"/>
          </w:tcPr>
          <w:p w14:paraId="4E4C8D93">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（三）商务技术响应文件部分</w:t>
            </w:r>
          </w:p>
        </w:tc>
      </w:tr>
      <w:tr w14:paraId="0403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1" w:hRule="atLeast"/>
          <w:jc w:val="center"/>
        </w:trPr>
        <w:tc>
          <w:tcPr>
            <w:tcW w:w="424" w:type="pct"/>
            <w:vMerge w:val="continue"/>
            <w:noWrap w:val="0"/>
            <w:vAlign w:val="center"/>
          </w:tcPr>
          <w:p w14:paraId="49AD116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rPr>
            </w:pPr>
          </w:p>
        </w:tc>
        <w:tc>
          <w:tcPr>
            <w:tcW w:w="1114" w:type="pct"/>
            <w:vMerge w:val="continue"/>
            <w:noWrap w:val="0"/>
            <w:vAlign w:val="center"/>
          </w:tcPr>
          <w:p w14:paraId="41BA6DB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rPr>
            </w:pPr>
          </w:p>
        </w:tc>
        <w:tc>
          <w:tcPr>
            <w:tcW w:w="284" w:type="pct"/>
            <w:tcBorders>
              <w:top w:val="single" w:color="auto" w:sz="4" w:space="0"/>
            </w:tcBorders>
            <w:shd w:val="clear" w:color="auto" w:fill="auto"/>
            <w:noWrap w:val="0"/>
            <w:vAlign w:val="center"/>
          </w:tcPr>
          <w:p w14:paraId="5B99014F">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商务资信</w:t>
            </w:r>
          </w:p>
        </w:tc>
        <w:tc>
          <w:tcPr>
            <w:tcW w:w="3176" w:type="pct"/>
            <w:tcBorders>
              <w:top w:val="single" w:color="auto" w:sz="4" w:space="0"/>
            </w:tcBorders>
            <w:shd w:val="clear" w:color="auto" w:fill="auto"/>
            <w:noWrap w:val="0"/>
            <w:vAlign w:val="center"/>
          </w:tcPr>
          <w:p w14:paraId="7E370621">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1.响应函；</w:t>
            </w:r>
          </w:p>
          <w:p w14:paraId="03263864">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2.授权委托书；</w:t>
            </w:r>
          </w:p>
          <w:p w14:paraId="1B47666D">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3.供应商基本情况表；</w:t>
            </w:r>
          </w:p>
          <w:p w14:paraId="10CAD5D5">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4.银行开户许可证或基本存款账户信息及磋商保证金缴纳凭证（支票、汇票、本票或者金融机构、担保机构出具的保函等有效凭证）；</w:t>
            </w:r>
          </w:p>
          <w:p w14:paraId="3A3E0FA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5.同类项目案例及相关证明资料；</w:t>
            </w:r>
          </w:p>
          <w:p w14:paraId="214F22C3">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6.政策性要求文件；</w:t>
            </w:r>
          </w:p>
          <w:p w14:paraId="696D4655">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7.供应商认为需要提供的其他商务材料；</w:t>
            </w:r>
          </w:p>
          <w:p w14:paraId="796F208E">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8.商务响应偏离表。</w:t>
            </w:r>
          </w:p>
        </w:tc>
      </w:tr>
      <w:tr w14:paraId="0502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vAlign w:val="center"/>
          </w:tcPr>
          <w:p w14:paraId="74D2706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rPr>
            </w:pPr>
          </w:p>
        </w:tc>
        <w:tc>
          <w:tcPr>
            <w:tcW w:w="1114" w:type="pct"/>
            <w:vMerge w:val="continue"/>
            <w:noWrap w:val="0"/>
            <w:vAlign w:val="center"/>
          </w:tcPr>
          <w:p w14:paraId="6C6A8F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rPr>
            </w:pPr>
          </w:p>
        </w:tc>
        <w:tc>
          <w:tcPr>
            <w:tcW w:w="284" w:type="pct"/>
            <w:tcBorders>
              <w:top w:val="single" w:color="auto" w:sz="4" w:space="0"/>
            </w:tcBorders>
            <w:shd w:val="clear" w:color="auto" w:fill="auto"/>
            <w:noWrap w:val="0"/>
            <w:vAlign w:val="center"/>
          </w:tcPr>
          <w:p w14:paraId="4CC2194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  术</w:t>
            </w:r>
          </w:p>
        </w:tc>
        <w:tc>
          <w:tcPr>
            <w:tcW w:w="3176" w:type="pct"/>
            <w:tcBorders>
              <w:top w:val="single" w:color="auto" w:sz="4" w:space="0"/>
            </w:tcBorders>
            <w:shd w:val="clear" w:color="auto" w:fill="auto"/>
            <w:noWrap w:val="0"/>
            <w:vAlign w:val="center"/>
          </w:tcPr>
          <w:p w14:paraId="38FAB39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1.施工组织设计；</w:t>
            </w:r>
          </w:p>
          <w:p w14:paraId="12EBC7CF">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2.供应商认为需要提供的其他技术材料；</w:t>
            </w:r>
          </w:p>
          <w:p w14:paraId="55976FF6">
            <w:pPr>
              <w:keepNext w:val="0"/>
              <w:keepLines w:val="0"/>
              <w:suppressLineNumbers w:val="0"/>
              <w:bidi w:val="0"/>
              <w:spacing w:before="0" w:beforeAutospacing="0" w:after="0" w:afterAutospacing="0" w:line="360" w:lineRule="auto"/>
              <w:ind w:left="0" w:right="0"/>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3.技术响应偏离表。</w:t>
            </w:r>
          </w:p>
        </w:tc>
      </w:tr>
      <w:tr w14:paraId="64A9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2D38B73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16</w:t>
            </w:r>
          </w:p>
        </w:tc>
        <w:tc>
          <w:tcPr>
            <w:tcW w:w="1114" w:type="pct"/>
            <w:noWrap w:val="0"/>
            <w:vAlign w:val="center"/>
          </w:tcPr>
          <w:p w14:paraId="166C125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保证金</w:t>
            </w:r>
          </w:p>
        </w:tc>
        <w:tc>
          <w:tcPr>
            <w:tcW w:w="3460" w:type="pct"/>
            <w:gridSpan w:val="2"/>
            <w:noWrap w:val="0"/>
            <w:vAlign w:val="center"/>
          </w:tcPr>
          <w:p w14:paraId="663FE9EE">
            <w:pPr>
              <w:keepNext w:val="0"/>
              <w:keepLines w:val="0"/>
              <w:numPr>
                <w:ilvl w:val="0"/>
                <w:numId w:val="3"/>
              </w:numPr>
              <w:suppressLineNumbers w:val="0"/>
              <w:bidi w:val="0"/>
              <w:spacing w:before="0" w:beforeAutospacing="0" w:after="0" w:afterAutospacing="0" w:line="360" w:lineRule="auto"/>
              <w:ind w:left="0" w:right="0"/>
              <w:rPr>
                <w:rFonts w:hint="eastAsia" w:ascii="宋体" w:hAnsi="宋体" w:eastAsia="宋体" w:cs="宋体"/>
                <w:b/>
                <w:bCs/>
                <w:kern w:val="2"/>
                <w:sz w:val="24"/>
                <w:szCs w:val="24"/>
                <w:highlight w:val="none"/>
                <w:shd w:val="clear"/>
                <w:lang w:val="en-US" w:eastAsia="zh-CN" w:bidi="ar-SA"/>
              </w:rPr>
            </w:pPr>
            <w:r>
              <w:rPr>
                <w:rFonts w:hint="eastAsia" w:ascii="宋体" w:hAnsi="宋体" w:eastAsia="宋体" w:cs="宋体"/>
                <w:sz w:val="24"/>
                <w:szCs w:val="24"/>
                <w:highlight w:val="none"/>
                <w:shd w:val="clear"/>
                <w:lang w:val="en-US" w:eastAsia="zh-CN"/>
              </w:rPr>
              <w:t>本项目要求提交磋商保证金。</w:t>
            </w:r>
          </w:p>
          <w:p w14:paraId="5D83CF4C">
            <w:pPr>
              <w:keepNext w:val="0"/>
              <w:keepLines w:val="0"/>
              <w:numPr>
                <w:ilvl w:val="0"/>
                <w:numId w:val="0"/>
              </w:numPr>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shd w:val="clear"/>
                <w:lang w:val="en-US" w:eastAsia="zh-CN"/>
              </w:rPr>
              <w:t>保证金金额为：</w:t>
            </w:r>
            <w:r>
              <w:rPr>
                <w:rFonts w:hint="eastAsia" w:ascii="宋体" w:hAnsi="宋体" w:eastAsia="宋体" w:cs="宋体"/>
                <w:sz w:val="24"/>
                <w:szCs w:val="24"/>
                <w:highlight w:val="none"/>
                <w:lang w:val="en-US" w:eastAsia="zh-CN"/>
              </w:rPr>
              <w:t>6000.00</w:t>
            </w:r>
            <w:r>
              <w:rPr>
                <w:rFonts w:hint="eastAsia" w:ascii="宋体" w:hAnsi="宋体" w:eastAsia="宋体" w:cs="宋体"/>
                <w:sz w:val="24"/>
                <w:szCs w:val="24"/>
                <w:highlight w:val="none"/>
                <w:shd w:val="clear"/>
                <w:lang w:val="en-US" w:eastAsia="zh-CN"/>
              </w:rPr>
              <w:t xml:space="preserve">元 </w:t>
            </w:r>
            <w:r>
              <w:rPr>
                <w:rFonts w:hint="eastAsia" w:ascii="宋体" w:hAnsi="宋体" w:eastAsia="宋体" w:cs="宋体"/>
                <w:sz w:val="24"/>
                <w:szCs w:val="24"/>
                <w:highlight w:val="none"/>
                <w:lang w:val="en-US" w:eastAsia="zh-CN"/>
              </w:rPr>
              <w:t xml:space="preserve"> </w:t>
            </w:r>
          </w:p>
          <w:p w14:paraId="420BCE81">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保证金缴纳形式：保证金应当以支票、汇票、本票或者金融机构、担保机构出具的保函等形式提交；</w:t>
            </w:r>
            <w:r>
              <w:rPr>
                <w:rFonts w:hint="eastAsia" w:ascii="宋体" w:hAnsi="宋体" w:eastAsia="宋体" w:cs="宋体"/>
                <w:sz w:val="24"/>
                <w:szCs w:val="24"/>
                <w:highlight w:val="none"/>
                <w:lang w:val="en-US" w:eastAsia="zh-CN"/>
              </w:rPr>
              <w:t xml:space="preserve">                                                                                                                                                                                                                                                                                                                                                                                                                                                                                                                                                                                                                                                                                                                                                                                                                                                                                                                                                                                                                                                                                                                                                                                                                                                                                                                                                                                                                                                                                                                                                                                                                                                                                                                                                                                                                                                                 </w:t>
            </w:r>
          </w:p>
          <w:p w14:paraId="138A64FB">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账户信息：</w:t>
            </w:r>
          </w:p>
          <w:p w14:paraId="67DA69F9">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收款单位：卓信工程咨询有限公司忻州分公司</w:t>
            </w:r>
          </w:p>
          <w:p w14:paraId="74B17E90">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开 户 行：中国银行股份有限公司忻州市分行</w:t>
            </w:r>
          </w:p>
          <w:p w14:paraId="6FAAAEE7">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账    号：1480 1154 8937</w:t>
            </w:r>
          </w:p>
          <w:p w14:paraId="00A83E2D">
            <w:pPr>
              <w:keepNext w:val="0"/>
              <w:keepLines w:val="0"/>
              <w:suppressLineNumbers w:val="0"/>
              <w:bidi w:val="0"/>
              <w:spacing w:before="0" w:beforeAutospacing="0" w:after="0" w:afterAutospacing="0" w:line="360" w:lineRule="auto"/>
              <w:ind w:left="0" w:right="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2、保证金缴纳的截止时间同响应文件递交截止时间，以到账时间为准。</w:t>
            </w:r>
          </w:p>
          <w:p w14:paraId="1D67FCCB">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 xml:space="preserve">3、采用电汇时，请务必在汇款单位附加信息或用途栏注明项目的项目名称（可简写），未注明项目名称视为保证金无效，按无效响应处理。 </w:t>
            </w:r>
            <w:r>
              <w:rPr>
                <w:rFonts w:hint="eastAsia" w:ascii="宋体" w:hAnsi="宋体" w:eastAsia="宋体" w:cs="宋体"/>
                <w:sz w:val="24"/>
                <w:szCs w:val="24"/>
                <w:highlight w:val="none"/>
                <w:lang w:val="en-US" w:eastAsia="zh-CN"/>
              </w:rPr>
              <w:t xml:space="preserve"> </w:t>
            </w:r>
          </w:p>
          <w:p w14:paraId="46389DBA">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4、因银行结算，不可抗力等非采购人、采购代理原因造成的保证金不能及时到账，后果由供应商自行承担。</w:t>
            </w:r>
          </w:p>
          <w:p w14:paraId="4458DC6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5、保证金的有效期与响应文件有效期保持一致。</w:t>
            </w:r>
          </w:p>
          <w:p w14:paraId="1021158E">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6、采取非保函形式提交保证金的须从供应商的基本账户一次性全额汇入指定账户，否则视为保证金无效，按无效响应处理。</w:t>
            </w:r>
          </w:p>
          <w:p w14:paraId="110DAAF5">
            <w:pPr>
              <w:keepNext w:val="0"/>
              <w:keepLines w:val="0"/>
              <w:suppressLineNumbers w:val="0"/>
              <w:bidi w:val="0"/>
              <w:spacing w:before="0" w:beforeAutospacing="0" w:after="0" w:afterAutospacing="0" w:line="360" w:lineRule="auto"/>
              <w:ind w:left="0" w:right="0"/>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7、未按前述各款要求提交保证金，或所提交保证金不完全符合各项要求的报价</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bCs/>
                <w:sz w:val="24"/>
                <w:szCs w:val="24"/>
                <w:highlight w:val="none"/>
                <w:lang w:val="en-US" w:eastAsia="zh-CN"/>
              </w:rPr>
              <w:t>将被否决；</w:t>
            </w:r>
          </w:p>
          <w:p w14:paraId="00260E8B">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8、采购人或者采购代理机构自</w:t>
            </w:r>
            <w:r>
              <w:rPr>
                <w:rFonts w:hint="eastAsia" w:ascii="宋体" w:hAnsi="宋体" w:eastAsia="宋体" w:cs="宋体"/>
                <w:sz w:val="24"/>
                <w:szCs w:val="24"/>
                <w:highlight w:val="none"/>
                <w:lang w:val="en-US" w:eastAsia="zh-CN"/>
              </w:rPr>
              <w:t>中标（成交）通知书发出之日起5个工作日内退还未中标单位（未成交供应商）的磋商保证金，自合同签订之日起5个工作日内退还中标单位（成交供应商）的磋商保证金。</w:t>
            </w:r>
          </w:p>
        </w:tc>
      </w:tr>
      <w:tr w14:paraId="1475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132DCDC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17</w:t>
            </w:r>
          </w:p>
        </w:tc>
        <w:tc>
          <w:tcPr>
            <w:tcW w:w="1114" w:type="pct"/>
            <w:noWrap w:val="0"/>
            <w:vAlign w:val="center"/>
          </w:tcPr>
          <w:p w14:paraId="0972096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政府采购政策落实（如涉及的话）</w:t>
            </w:r>
          </w:p>
        </w:tc>
        <w:tc>
          <w:tcPr>
            <w:tcW w:w="3460" w:type="pct"/>
            <w:gridSpan w:val="2"/>
            <w:noWrap w:val="0"/>
            <w:vAlign w:val="center"/>
          </w:tcPr>
          <w:p w14:paraId="7F1C7D40">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如涉及</w:t>
            </w:r>
            <w:r>
              <w:rPr>
                <w:rFonts w:hint="eastAsia" w:ascii="宋体" w:hAnsi="宋体" w:eastAsia="宋体" w:cs="宋体"/>
                <w:b/>
                <w:bCs/>
                <w:sz w:val="24"/>
                <w:szCs w:val="24"/>
                <w:highlight w:val="none"/>
                <w:lang w:val="en-US" w:eastAsia="zh-CN"/>
              </w:rPr>
              <w:t>节能、环保要求</w:t>
            </w:r>
            <w:r>
              <w:rPr>
                <w:rFonts w:hint="eastAsia" w:ascii="宋体" w:hAnsi="宋体" w:eastAsia="宋体" w:cs="宋体"/>
                <w:sz w:val="24"/>
                <w:szCs w:val="24"/>
                <w:highlight w:val="none"/>
                <w:lang w:val="en-US" w:eastAsia="zh-CN"/>
              </w:rPr>
              <w:t xml:space="preserve"> </w:t>
            </w:r>
          </w:p>
          <w:p w14:paraId="6841D9AC">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（1）采购标的涉及《节能产品政府采购品目清单》标注“★”政府强制采购节能产品的，对此产品强制采购，供应商应提供依据国家确定的认证机构出具的、处于有效期之内的节能产品认证证书。</w:t>
            </w:r>
          </w:p>
          <w:p w14:paraId="3E9EBB7F">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标的涉及《节能产品政府采购品目清单》中强制采购产品以外的其他节能产品，供应商提供依据国家确定的认证机构出具的、处于有效期之内的节能产品认证证书，将按照“评标方法和评分细则”给予加分。</w:t>
            </w:r>
          </w:p>
          <w:p w14:paraId="0289EA8E">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（3）采购标的涉及《</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"http://gks.mof.gov.cn/zhengfucaigouguanli/201903/P020190329702478575295.pdf"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环境标志产品政府采购品目清单</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》的环境标志产品，供应商提供依据国家确定的认证机构出具的、处于有效期之内的环境标志产品认证证书，将按照“评标方法和评分细则”给予加分。</w:t>
            </w:r>
          </w:p>
          <w:p w14:paraId="5845A696">
            <w:pPr>
              <w:keepNext w:val="0"/>
              <w:keepLines w:val="0"/>
              <w:suppressLineNumbers w:val="0"/>
              <w:bidi w:val="0"/>
              <w:spacing w:before="0" w:beforeAutospacing="0" w:after="0" w:afterAutospacing="0" w:line="360" w:lineRule="auto"/>
              <w:ind w:left="0" w:right="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如</w:t>
            </w:r>
            <w:r>
              <w:rPr>
                <w:rFonts w:hint="eastAsia" w:ascii="宋体" w:hAnsi="宋体" w:eastAsia="宋体" w:cs="宋体"/>
                <w:b/>
                <w:bCs/>
                <w:sz w:val="24"/>
                <w:szCs w:val="24"/>
                <w:highlight w:val="none"/>
                <w:lang w:val="en-US" w:eastAsia="zh-CN"/>
              </w:rPr>
              <w:t>涉及进口产品的要求</w:t>
            </w:r>
          </w:p>
          <w:p w14:paraId="181BF67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采购标的物未特别注明“进口产品”（通过中国海关报关验放进入中国境内且产自境外的产品）字样的，均必须采购本国产品。产品应当在中国境内生产，即在中华人民共和国关境内实现从原材料、组件到产品的属性改变。</w:t>
            </w:r>
          </w:p>
          <w:p w14:paraId="18C5ADA6">
            <w:pPr>
              <w:keepNext w:val="0"/>
              <w:keepLines w:val="0"/>
              <w:suppressLineNumbers w:val="0"/>
              <w:bidi w:val="0"/>
              <w:spacing w:before="0" w:beforeAutospacing="0" w:after="0" w:afterAutospacing="0" w:line="360" w:lineRule="auto"/>
              <w:ind w:left="0" w:right="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如涉及</w:t>
            </w:r>
            <w:r>
              <w:rPr>
                <w:rFonts w:hint="eastAsia" w:ascii="宋体" w:hAnsi="宋体" w:eastAsia="宋体" w:cs="宋体"/>
                <w:b/>
                <w:bCs/>
                <w:sz w:val="24"/>
                <w:szCs w:val="24"/>
                <w:highlight w:val="none"/>
                <w:lang w:val="en-US" w:eastAsia="zh-CN"/>
              </w:rPr>
              <w:t>正版软件的要求</w:t>
            </w:r>
          </w:p>
          <w:p w14:paraId="50661626">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供应商需承诺投报的计算机产品预装正版操作系统，投报的硬件产品内的预装软件为正版软件。</w:t>
            </w:r>
          </w:p>
          <w:p w14:paraId="47A7CD74">
            <w:pPr>
              <w:keepNext w:val="0"/>
              <w:keepLines w:val="0"/>
              <w:suppressLineNumbers w:val="0"/>
              <w:bidi w:val="0"/>
              <w:spacing w:before="0" w:beforeAutospacing="0" w:after="0" w:afterAutospacing="0" w:line="360" w:lineRule="auto"/>
              <w:ind w:left="0" w:right="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如涉及</w:t>
            </w:r>
            <w:r>
              <w:rPr>
                <w:rFonts w:hint="eastAsia" w:ascii="宋体" w:hAnsi="宋体" w:eastAsia="宋体" w:cs="宋体"/>
                <w:b/>
                <w:bCs/>
                <w:sz w:val="24"/>
                <w:szCs w:val="24"/>
                <w:highlight w:val="none"/>
                <w:lang w:val="en-US" w:eastAsia="zh-CN"/>
              </w:rPr>
              <w:t>信息安全产品的要求</w:t>
            </w:r>
          </w:p>
          <w:p w14:paraId="0D5BB6CA">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投标货物中如含有财政部会同有关部门制定下发的《信息安全产品强制性认证目录》中的产品（8类13项），需提供中国信息安全认证中心按国家标准认证颁发的有效认证证书。 </w:t>
            </w:r>
          </w:p>
          <w:p w14:paraId="449F35C8">
            <w:pPr>
              <w:keepNext w:val="0"/>
              <w:keepLines w:val="0"/>
              <w:suppressLineNumbers w:val="0"/>
              <w:bidi w:val="0"/>
              <w:spacing w:before="0" w:beforeAutospacing="0" w:after="0" w:afterAutospacing="0" w:line="360" w:lineRule="auto"/>
              <w:ind w:left="0" w:right="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5.对于非专门面向中小企业的货物服务采购项目，对小型、微型企业、监狱企业或残疾人福利性单位给予15%~20%的价格扣除 </w:t>
            </w:r>
          </w:p>
          <w:p w14:paraId="50E41FFC">
            <w:pPr>
              <w:keepNext w:val="0"/>
              <w:keepLines w:val="0"/>
              <w:suppressLineNumbers w:val="0"/>
              <w:bidi w:val="0"/>
              <w:spacing w:before="0" w:beforeAutospacing="0" w:after="0" w:afterAutospacing="0" w:line="360" w:lineRule="auto"/>
              <w:ind w:left="0" w:right="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对于非专门面向中小企业的政府采购工程项目，对小型、微型企业、监狱企业或残疾人福利性单位给予3%~5%的价格扣除</w:t>
            </w:r>
          </w:p>
          <w:p w14:paraId="36F2AB00">
            <w:pPr>
              <w:keepNext w:val="0"/>
              <w:keepLines w:val="0"/>
              <w:suppressLineNumbers w:val="0"/>
              <w:bidi w:val="0"/>
              <w:spacing w:before="0" w:beforeAutospacing="0" w:after="0" w:afterAutospacing="0" w:line="360" w:lineRule="auto"/>
              <w:ind w:left="0" w:right="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大中型企业与小微企业组成联合体或者大中型企业向小微企业分包的，给予4%—6%的价格扣除</w:t>
            </w:r>
          </w:p>
          <w:p w14:paraId="364277B8">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依照《政府采购促进中小企业发展管理办法》、《关于进一步加大政府采购支持中小企业力度的通知》、《山西省财政厅关于进一步加大政府采购支持中小企业力度助力扎实稳住经济的通知》、《关于政府采购支持监狱企业发展有关问题的通知》、《财政部民政部中国残疾人联合会关于促进残疾人就业政府采购政策的通知》等有关文件的规定，凡符合要求的小型、微型企业、监狱企业或残疾人福利性单位，按照上述比例给予相应的价格扣除：（监狱企业、残疾人福利性单位视同为小、微企业）</w:t>
            </w:r>
          </w:p>
          <w:p w14:paraId="7436B46A">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注：上述评标价仅用于计算价格评分，成交金额以实际投标价为准。 </w:t>
            </w:r>
          </w:p>
          <w:p w14:paraId="322BA12B">
            <w:pPr>
              <w:keepNext w:val="0"/>
              <w:keepLines w:val="0"/>
              <w:suppressLineNumbers w:val="0"/>
              <w:bidi w:val="0"/>
              <w:spacing w:before="0" w:beforeAutospacing="0" w:after="0" w:afterAutospacing="0" w:line="360" w:lineRule="auto"/>
              <w:ind w:left="0" w:right="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6.价格扣除相关要求 </w:t>
            </w:r>
          </w:p>
          <w:p w14:paraId="6720AAEB">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（1）所称小型和微型企业应当同时符合以下条件： </w:t>
            </w:r>
          </w:p>
          <w:p w14:paraId="17657372">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①符合中小企业划分标准； </w:t>
            </w:r>
          </w:p>
          <w:p w14:paraId="355200F4">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②提供本企业制造的货物、承担的工程或者服务，或者提供其他中小企业制造的货物。本项所称货物不包括使用大型企业注册商标的货物。 </w:t>
            </w:r>
          </w:p>
          <w:p w14:paraId="203646E6">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中小企业划分标准，是指国务院有关部门根据企业从业人员、营业收入、资产总额等指标制定的中小企业划型标准。 </w:t>
            </w:r>
          </w:p>
          <w:p w14:paraId="08531527">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小型、微型企业提供中型企业制造的货物的，视同为中型企业。符合中小企业划分标准的个体工商户，在政府采购活动中视同中小企业。 </w:t>
            </w:r>
          </w:p>
          <w:p w14:paraId="14B720E3">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（2）在政府采购活动中，供应商提供的货物、工程或者服务符合下列情形的，享受《政府采购促进中小企业发展管理办法》规定的中小企业扶持政策： </w:t>
            </w:r>
          </w:p>
          <w:p w14:paraId="437EFF1D">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①在货物采购项目中，货物由中小企业制造，即货物由中小企业生产且使用该中小企业商号或者注册商标； </w:t>
            </w:r>
          </w:p>
          <w:p w14:paraId="2DEDF6A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②在工程采购项目中，工程由中小企业承建，即工程施工单位为中小企业； </w:t>
            </w:r>
          </w:p>
          <w:p w14:paraId="7A7C18C7">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③在服务采购项目中，服务由中小企业承接，即提供服务的人员为中小企业依照《中华人民共和国民法典》订立劳动合同的从业人员。 </w:t>
            </w:r>
          </w:p>
          <w:p w14:paraId="28BE907F">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在货物采购项目中，供应商提供的货物既有中小企业制造货物，也有大型企业制造货物的，不享受《政府采购促进中小企业发展管理办法》规定的中小企业扶持政策。 </w:t>
            </w:r>
          </w:p>
          <w:p w14:paraId="377DBFE7">
            <w:pPr>
              <w:keepNext w:val="0"/>
              <w:keepLines w:val="0"/>
              <w:suppressLineNumbers w:val="0"/>
              <w:bidi w:val="0"/>
              <w:spacing w:before="0" w:beforeAutospacing="0" w:after="0" w:afterAutospacing="0" w:line="360" w:lineRule="auto"/>
              <w:ind w:left="0" w:right="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如涉及</w:t>
            </w:r>
            <w:r>
              <w:rPr>
                <w:rFonts w:hint="eastAsia" w:ascii="宋体" w:hAnsi="宋体" w:eastAsia="宋体" w:cs="宋体"/>
                <w:b/>
                <w:bCs/>
                <w:sz w:val="24"/>
                <w:szCs w:val="24"/>
                <w:highlight w:val="none"/>
                <w:lang w:val="en-US" w:eastAsia="zh-CN"/>
              </w:rPr>
              <w:t>创新产品、创新服务的评审标准</w:t>
            </w:r>
          </w:p>
          <w:p w14:paraId="55748940">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产品或服务属于《山西省创新产品和服务推荐清单》中创新产品或创新服务的，在评审时，享受响应产品5%的价格折扣，以折扣后的价格参与评审。创新产品或创新服务的价格折扣政策可与其他政府采购政策叠加。</w:t>
            </w:r>
          </w:p>
          <w:p w14:paraId="694A5423">
            <w:pPr>
              <w:keepNext w:val="0"/>
              <w:keepLines w:val="0"/>
              <w:numPr>
                <w:ilvl w:val="0"/>
                <w:numId w:val="0"/>
              </w:numPr>
              <w:suppressLineNumbers w:val="0"/>
              <w:bidi w:val="0"/>
              <w:spacing w:before="0" w:beforeAutospacing="0" w:after="0" w:afterAutospacing="0" w:line="360" w:lineRule="auto"/>
              <w:ind w:left="0" w:leftChars="0" w:right="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如涉及</w:t>
            </w:r>
            <w:r>
              <w:rPr>
                <w:rFonts w:hint="eastAsia" w:ascii="宋体" w:hAnsi="宋体" w:eastAsia="宋体" w:cs="宋体"/>
                <w:b/>
                <w:bCs/>
                <w:sz w:val="24"/>
                <w:szCs w:val="24"/>
                <w:highlight w:val="none"/>
                <w:lang w:val="en-US" w:eastAsia="zh-CN"/>
              </w:rPr>
              <w:t>实施本国产品标准的评审标准</w:t>
            </w:r>
          </w:p>
          <w:p w14:paraId="251A2483">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采购活动中既有本国产品又有非本国产品参与竞争的，依法对本国产品给予价格评审优惠，对本国产品的报价给予20%的价格扣除，用扣除后的价格参与评审。</w:t>
            </w:r>
          </w:p>
          <w:p w14:paraId="77309C0C">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4D5559C">
            <w:pPr>
              <w:keepNext w:val="0"/>
              <w:keepLines w:val="0"/>
              <w:numPr>
                <w:ilvl w:val="0"/>
                <w:numId w:val="0"/>
              </w:numPr>
              <w:suppressLineNumbers w:val="0"/>
              <w:bidi w:val="0"/>
              <w:spacing w:before="0" w:beforeAutospacing="0" w:after="0" w:afterAutospacing="0" w:line="360" w:lineRule="auto"/>
              <w:ind w:left="0" w:leftChars="0" w:right="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如涉及</w:t>
            </w:r>
            <w:r>
              <w:rPr>
                <w:rFonts w:hint="eastAsia" w:ascii="宋体" w:hAnsi="宋体" w:eastAsia="宋体" w:cs="宋体"/>
                <w:b/>
                <w:bCs/>
                <w:sz w:val="24"/>
                <w:szCs w:val="24"/>
                <w:highlight w:val="none"/>
                <w:lang w:val="en-US" w:eastAsia="zh-CN"/>
              </w:rPr>
              <w:t>政府绿色采购优惠政策。</w:t>
            </w:r>
          </w:p>
          <w:p w14:paraId="66DC80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于优先采购的绿色产品，在评审标准中增设绿色产品评审因素，并给予其4%幅度的价格扣除，用扣除后的价格参与评审。对中小微企业等主体，严格落实政府采购优惠政策，同时享受绿色采购政策的价格扣除等评审优惠措施。</w:t>
            </w:r>
          </w:p>
        </w:tc>
      </w:tr>
      <w:tr w14:paraId="4C19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41A2DB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18</w:t>
            </w:r>
          </w:p>
        </w:tc>
        <w:tc>
          <w:tcPr>
            <w:tcW w:w="1114" w:type="pct"/>
            <w:noWrap w:val="0"/>
            <w:vAlign w:val="center"/>
          </w:tcPr>
          <w:p w14:paraId="15D6A94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份数</w:t>
            </w:r>
          </w:p>
        </w:tc>
        <w:tc>
          <w:tcPr>
            <w:tcW w:w="3460" w:type="pct"/>
            <w:gridSpan w:val="2"/>
            <w:noWrap w:val="0"/>
            <w:vAlign w:val="center"/>
          </w:tcPr>
          <w:p w14:paraId="0FAE24EB">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1.电子版响应文件:满足开启时间后在山西省政府采购网完成电子响应文件解密。</w:t>
            </w:r>
          </w:p>
          <w:p w14:paraId="36CAA84E">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2.辅助纸质响应文件：供应商将辅助性纸质版响应文件（三份）于开标解密前邮寄到代理公司。</w:t>
            </w:r>
          </w:p>
          <w:p w14:paraId="293A199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要求：一正两副（最终上传系统的电子响应文件直接打印并胶装为一本，胶装顺序为：资格响应文件部分→报价要求响应文件部分→商务技术响应文件部分）（另外需提供电子U盘一份，将上传至政采云平台已盖章的响应文件包括加密生成的JMBS格式响应文件及BFBS格式的备用响应文件电子版存入U盘）</w:t>
            </w:r>
          </w:p>
          <w:p w14:paraId="2D5D3ED0">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邮寄信息如下：</w:t>
            </w:r>
          </w:p>
          <w:p w14:paraId="27941722">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收件人：王女士</w:t>
            </w:r>
          </w:p>
          <w:p w14:paraId="0A9A93C0">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收件地址：郑州市金水区黄河路1号院1幢10层1001-1003号</w:t>
            </w:r>
          </w:p>
          <w:p w14:paraId="3C087177">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联系电话：15503500069</w:t>
            </w:r>
          </w:p>
          <w:p w14:paraId="65CEB5AC">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（辅助纸质响应文件仅作为辅助评审及存档使用，不作为采购及评审的依据）</w:t>
            </w:r>
          </w:p>
        </w:tc>
      </w:tr>
      <w:tr w14:paraId="6C20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41F4955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19</w:t>
            </w:r>
          </w:p>
        </w:tc>
        <w:tc>
          <w:tcPr>
            <w:tcW w:w="1114" w:type="pct"/>
            <w:noWrap w:val="0"/>
            <w:vAlign w:val="center"/>
          </w:tcPr>
          <w:p w14:paraId="2BF691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开评审补救措施</w:t>
            </w:r>
          </w:p>
        </w:tc>
        <w:tc>
          <w:tcPr>
            <w:tcW w:w="3460" w:type="pct"/>
            <w:gridSpan w:val="2"/>
            <w:noWrap w:val="0"/>
            <w:vAlign w:val="center"/>
          </w:tcPr>
          <w:p w14:paraId="72F11E63">
            <w:pPr>
              <w:keepNext w:val="0"/>
              <w:keepLines w:val="0"/>
              <w:suppressLineNumbers w:val="0"/>
              <w:bidi w:val="0"/>
              <w:spacing w:before="0" w:beforeAutospacing="0" w:after="0" w:afterAutospacing="0" w:line="360" w:lineRule="auto"/>
              <w:ind w:left="0" w:right="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当出现以下情况时，应启动辅助纸质响应文件开评审，待系统恢复后，应把响应文件开启、评审结果上传至山西政府采购平台-政采云：</w:t>
            </w:r>
          </w:p>
          <w:p w14:paraId="54D7E993">
            <w:pPr>
              <w:keepNext w:val="0"/>
              <w:keepLines w:val="0"/>
              <w:suppressLineNumbers w:val="0"/>
              <w:bidi w:val="0"/>
              <w:spacing w:before="0" w:beforeAutospacing="0" w:after="0" w:afterAutospacing="0" w:line="360" w:lineRule="auto"/>
              <w:ind w:left="0" w:right="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（1)系统服务器发生故障而无法访问系统或无法使用系统；</w:t>
            </w:r>
          </w:p>
          <w:p w14:paraId="394A1F0D">
            <w:pPr>
              <w:keepNext w:val="0"/>
              <w:keepLines w:val="0"/>
              <w:suppressLineNumbers w:val="0"/>
              <w:bidi w:val="0"/>
              <w:spacing w:before="0" w:beforeAutospacing="0" w:after="0" w:afterAutospacing="0" w:line="360" w:lineRule="auto"/>
              <w:ind w:left="0" w:right="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（2)系统因停电等客观因素，导致系统不能正常运行的；</w:t>
            </w:r>
          </w:p>
          <w:p w14:paraId="4498794D">
            <w:pPr>
              <w:keepNext w:val="0"/>
              <w:keepLines w:val="0"/>
              <w:suppressLineNumbers w:val="0"/>
              <w:bidi w:val="0"/>
              <w:spacing w:before="0" w:beforeAutospacing="0" w:after="0" w:afterAutospacing="0" w:line="360" w:lineRule="auto"/>
              <w:ind w:left="0" w:right="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（3)其他无法正常进行电子开评审的。</w:t>
            </w:r>
          </w:p>
        </w:tc>
      </w:tr>
      <w:tr w14:paraId="6502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7EC7459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eastAsia="zh-CN"/>
              </w:rPr>
              <w:t>20</w:t>
            </w:r>
          </w:p>
        </w:tc>
        <w:tc>
          <w:tcPr>
            <w:tcW w:w="1114" w:type="pct"/>
            <w:noWrap w:val="0"/>
            <w:vAlign w:val="center"/>
          </w:tcPr>
          <w:p w14:paraId="24B5B93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评审小组</w:t>
            </w:r>
            <w:r>
              <w:rPr>
                <w:rFonts w:hint="eastAsia" w:ascii="宋体" w:hAnsi="宋体" w:eastAsia="宋体" w:cs="宋体"/>
                <w:b/>
                <w:bCs/>
                <w:sz w:val="24"/>
                <w:szCs w:val="24"/>
                <w:highlight w:val="none"/>
              </w:rPr>
              <w:t>组成</w:t>
            </w:r>
          </w:p>
          <w:p w14:paraId="7EEFBC5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方式及人数</w:t>
            </w:r>
          </w:p>
        </w:tc>
        <w:tc>
          <w:tcPr>
            <w:tcW w:w="3460" w:type="pct"/>
            <w:gridSpan w:val="2"/>
            <w:noWrap w:val="0"/>
            <w:vAlign w:val="center"/>
          </w:tcPr>
          <w:p w14:paraId="62B340A1">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评审小组成员构成：</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人</w:t>
            </w:r>
          </w:p>
          <w:p w14:paraId="7DB515F7">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其中：</w:t>
            </w:r>
            <w:r>
              <w:rPr>
                <w:rFonts w:hint="eastAsia" w:ascii="宋体" w:hAnsi="宋体" w:eastAsia="宋体" w:cs="宋体"/>
                <w:sz w:val="24"/>
                <w:szCs w:val="24"/>
                <w:highlight w:val="none"/>
                <w:lang w:eastAsia="zh-CN"/>
              </w:rPr>
              <w:t>采购人代表（1）人，社会专家（2）人。</w:t>
            </w:r>
          </w:p>
          <w:p w14:paraId="02CE872E">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专家确定方式：山西省政府采购评标专家库随机抽取</w:t>
            </w:r>
          </w:p>
        </w:tc>
      </w:tr>
      <w:tr w14:paraId="5DFE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06533B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21</w:t>
            </w:r>
          </w:p>
        </w:tc>
        <w:tc>
          <w:tcPr>
            <w:tcW w:w="1114" w:type="pct"/>
            <w:noWrap w:val="0"/>
            <w:vAlign w:val="center"/>
          </w:tcPr>
          <w:p w14:paraId="19CA3CA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确定</w:t>
            </w:r>
            <w:r>
              <w:rPr>
                <w:rFonts w:hint="eastAsia" w:ascii="宋体" w:hAnsi="宋体" w:eastAsia="宋体" w:cs="宋体"/>
                <w:b/>
                <w:bCs/>
                <w:sz w:val="24"/>
                <w:szCs w:val="24"/>
                <w:highlight w:val="none"/>
                <w:lang w:eastAsia="zh-CN"/>
              </w:rPr>
              <w:t>成交单位</w:t>
            </w:r>
          </w:p>
        </w:tc>
        <w:tc>
          <w:tcPr>
            <w:tcW w:w="3460" w:type="pct"/>
            <w:gridSpan w:val="2"/>
            <w:noWrap w:val="0"/>
            <w:vAlign w:val="center"/>
          </w:tcPr>
          <w:p w14:paraId="730A0A4E">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授权评审小组直接确定，甲方确定采购结果</w:t>
            </w:r>
          </w:p>
        </w:tc>
      </w:tr>
      <w:tr w14:paraId="56E9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050DD4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22</w:t>
            </w:r>
          </w:p>
        </w:tc>
        <w:tc>
          <w:tcPr>
            <w:tcW w:w="1114" w:type="pct"/>
            <w:noWrap w:val="0"/>
            <w:vAlign w:val="center"/>
          </w:tcPr>
          <w:p w14:paraId="3F1B6C2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评</w:t>
            </w:r>
            <w:r>
              <w:rPr>
                <w:rFonts w:hint="eastAsia" w:ascii="宋体" w:hAnsi="宋体" w:eastAsia="宋体" w:cs="宋体"/>
                <w:b/>
                <w:bCs/>
                <w:sz w:val="24"/>
                <w:szCs w:val="24"/>
                <w:highlight w:val="none"/>
                <w:lang w:eastAsia="zh-CN"/>
              </w:rPr>
              <w:t>审</w:t>
            </w:r>
            <w:r>
              <w:rPr>
                <w:rFonts w:hint="eastAsia" w:ascii="宋体" w:hAnsi="宋体" w:eastAsia="宋体" w:cs="宋体"/>
                <w:b/>
                <w:bCs/>
                <w:sz w:val="24"/>
                <w:szCs w:val="24"/>
                <w:highlight w:val="none"/>
              </w:rPr>
              <w:t>办法</w:t>
            </w:r>
          </w:p>
        </w:tc>
        <w:tc>
          <w:tcPr>
            <w:tcW w:w="3460" w:type="pct"/>
            <w:gridSpan w:val="2"/>
            <w:noWrap w:val="0"/>
            <w:vAlign w:val="center"/>
          </w:tcPr>
          <w:p w14:paraId="7AF0CD1F">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综合评分</w:t>
            </w:r>
            <w:r>
              <w:rPr>
                <w:rFonts w:hint="eastAsia" w:ascii="宋体" w:hAnsi="宋体" w:eastAsia="宋体" w:cs="宋体"/>
                <w:sz w:val="24"/>
                <w:szCs w:val="24"/>
                <w:highlight w:val="none"/>
              </w:rPr>
              <w:t>法</w:t>
            </w:r>
          </w:p>
        </w:tc>
      </w:tr>
      <w:tr w14:paraId="1B5C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1438DD6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23</w:t>
            </w:r>
          </w:p>
        </w:tc>
        <w:tc>
          <w:tcPr>
            <w:tcW w:w="1114" w:type="pct"/>
            <w:noWrap w:val="0"/>
            <w:vAlign w:val="center"/>
          </w:tcPr>
          <w:p w14:paraId="1CE9F75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代理服务费</w:t>
            </w:r>
          </w:p>
        </w:tc>
        <w:tc>
          <w:tcPr>
            <w:tcW w:w="3460" w:type="pct"/>
            <w:gridSpan w:val="2"/>
            <w:noWrap w:val="0"/>
            <w:vAlign w:val="center"/>
          </w:tcPr>
          <w:tbl>
            <w:tblPr>
              <w:tblStyle w:val="33"/>
              <w:tblW w:w="6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643"/>
              <w:gridCol w:w="1643"/>
              <w:gridCol w:w="1651"/>
            </w:tblGrid>
            <w:tr w14:paraId="0133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580" w:type="dxa"/>
                  <w:gridSpan w:val="4"/>
                  <w:noWrap w:val="0"/>
                  <w:vAlign w:val="center"/>
                </w:tcPr>
                <w:p w14:paraId="796A2343">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本项目采购代理服务费由成交供应商支付，领取成交（中标）通知书之前应全部结清，代理服务费金额参照计价格[2002]1980号和发改办价格[2003]857号文计取。</w:t>
                  </w:r>
                </w:p>
              </w:tc>
            </w:tr>
            <w:tr w14:paraId="3D20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43" w:type="dxa"/>
                  <w:noWrap w:val="0"/>
                  <w:vAlign w:val="center"/>
                  <mc:AlternateContent>
                    <mc:Choice Requires="wpsCustomData">
                      <wpsCustomData:diagonals>
                        <wpsCustomData:diagonal from="30000" to="15600">
                          <wpsCustomData:border w:val="single" w:color="auto" w:sz="4" w:space="0"/>
                        </wpsCustomData:diagonal>
                        <wpsCustomData:diagonal from="30000" to="10000">
                          <wpsCustomData:border w:val="single" w:color="auto" w:sz="4" w:space="0"/>
                        </wpsCustomData:diagonal>
                      </wpsCustomData:diagonals>
                    </mc:Choice>
                  </mc:AlternateContent>
                </w:tcPr>
                <w:p w14:paraId="72C576EE">
                  <w:pPr>
                    <w:pStyle w:val="66"/>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mc:AlternateContent>
                      <mc:Choice Requires="wpsCustomData">
                        <wpsCustomData:diagonalParaType/>
                      </mc:Choice>
                    </mc:AlternateConten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中标金额（万元）</w:t>
                  </w:r>
                </w:p>
                <w:p w14:paraId="04AA3447">
                  <w:pPr>
                    <w:pStyle w:val="66"/>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mc:AlternateContent>
                      <mc:Choice Requires="wpsCustomData">
                        <wpsCustomData:diagonalParaType/>
                      </mc:Choice>
                    </mc:AlternateConten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费率</w:t>
                  </w:r>
                </w:p>
                <w:p w14:paraId="04FA72D2">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类型</w:t>
                  </w:r>
                </w:p>
              </w:tc>
              <w:tc>
                <w:tcPr>
                  <w:tcW w:w="1643" w:type="dxa"/>
                  <w:noWrap w:val="0"/>
                  <w:vAlign w:val="center"/>
                </w:tcPr>
                <w:p w14:paraId="0F4ED296">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货物</w:t>
                  </w:r>
                </w:p>
              </w:tc>
              <w:tc>
                <w:tcPr>
                  <w:tcW w:w="1643" w:type="dxa"/>
                  <w:noWrap w:val="0"/>
                  <w:vAlign w:val="center"/>
                </w:tcPr>
                <w:p w14:paraId="6BB9D820">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w:t>
                  </w:r>
                </w:p>
              </w:tc>
              <w:tc>
                <w:tcPr>
                  <w:tcW w:w="1651" w:type="dxa"/>
                  <w:noWrap w:val="0"/>
                  <w:vAlign w:val="center"/>
                </w:tcPr>
                <w:p w14:paraId="60993145">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w:t>
                  </w:r>
                </w:p>
              </w:tc>
            </w:tr>
            <w:tr w14:paraId="5EB1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643" w:type="dxa"/>
                  <w:noWrap w:val="0"/>
                  <w:vAlign w:val="center"/>
                </w:tcPr>
                <w:p w14:paraId="30F8F3BD">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100以下</w:t>
                  </w:r>
                </w:p>
              </w:tc>
              <w:tc>
                <w:tcPr>
                  <w:tcW w:w="1643" w:type="dxa"/>
                  <w:noWrap w:val="0"/>
                  <w:vAlign w:val="center"/>
                </w:tcPr>
                <w:p w14:paraId="4FD9D3CD">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1643" w:type="dxa"/>
                  <w:noWrap w:val="0"/>
                  <w:vAlign w:val="center"/>
                </w:tcPr>
                <w:p w14:paraId="2065FC97">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1651" w:type="dxa"/>
                  <w:noWrap w:val="0"/>
                  <w:vAlign w:val="center"/>
                </w:tcPr>
                <w:p w14:paraId="637FD5A6">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r>
            <w:tr w14:paraId="2EDF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643" w:type="dxa"/>
                  <w:noWrap w:val="0"/>
                  <w:vAlign w:val="center"/>
                </w:tcPr>
                <w:p w14:paraId="21115E21">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100-500</w:t>
                  </w:r>
                </w:p>
              </w:tc>
              <w:tc>
                <w:tcPr>
                  <w:tcW w:w="1643" w:type="dxa"/>
                  <w:noWrap w:val="0"/>
                  <w:vAlign w:val="center"/>
                </w:tcPr>
                <w:p w14:paraId="2310AEE8">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p>
              </w:tc>
              <w:tc>
                <w:tcPr>
                  <w:tcW w:w="1643" w:type="dxa"/>
                  <w:noWrap w:val="0"/>
                  <w:vAlign w:val="center"/>
                </w:tcPr>
                <w:p w14:paraId="683129E2">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0.8%</w:t>
                  </w:r>
                </w:p>
              </w:tc>
              <w:tc>
                <w:tcPr>
                  <w:tcW w:w="1651" w:type="dxa"/>
                  <w:noWrap w:val="0"/>
                  <w:vAlign w:val="center"/>
                </w:tcPr>
                <w:p w14:paraId="6AECD222">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0.7%</w:t>
                  </w:r>
                </w:p>
              </w:tc>
            </w:tr>
            <w:tr w14:paraId="153C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643" w:type="dxa"/>
                  <w:noWrap w:val="0"/>
                  <w:vAlign w:val="center"/>
                </w:tcPr>
                <w:p w14:paraId="625EF318">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500-1000</w:t>
                  </w:r>
                </w:p>
              </w:tc>
              <w:tc>
                <w:tcPr>
                  <w:tcW w:w="1643" w:type="dxa"/>
                  <w:noWrap w:val="0"/>
                  <w:vAlign w:val="center"/>
                </w:tcPr>
                <w:p w14:paraId="7418EBB5">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0.8%</w:t>
                  </w:r>
                </w:p>
              </w:tc>
              <w:tc>
                <w:tcPr>
                  <w:tcW w:w="1643" w:type="dxa"/>
                  <w:noWrap w:val="0"/>
                  <w:vAlign w:val="center"/>
                </w:tcPr>
                <w:p w14:paraId="1A6A475B">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0.45%</w:t>
                  </w:r>
                </w:p>
              </w:tc>
              <w:tc>
                <w:tcPr>
                  <w:tcW w:w="1651" w:type="dxa"/>
                  <w:noWrap w:val="0"/>
                  <w:vAlign w:val="center"/>
                </w:tcPr>
                <w:p w14:paraId="030B4CC2">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0.55%</w:t>
                  </w:r>
                </w:p>
              </w:tc>
            </w:tr>
            <w:tr w14:paraId="505F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643" w:type="dxa"/>
                  <w:noWrap w:val="0"/>
                  <w:vAlign w:val="center"/>
                </w:tcPr>
                <w:p w14:paraId="08317052">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1000-5000</w:t>
                  </w:r>
                </w:p>
              </w:tc>
              <w:tc>
                <w:tcPr>
                  <w:tcW w:w="1643" w:type="dxa"/>
                  <w:noWrap w:val="0"/>
                  <w:vAlign w:val="center"/>
                </w:tcPr>
                <w:p w14:paraId="3E9C8A3E">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0.5%</w:t>
                  </w:r>
                </w:p>
              </w:tc>
              <w:tc>
                <w:tcPr>
                  <w:tcW w:w="1643" w:type="dxa"/>
                  <w:noWrap w:val="0"/>
                  <w:vAlign w:val="center"/>
                </w:tcPr>
                <w:p w14:paraId="5F8894F9">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0.25%</w:t>
                  </w:r>
                </w:p>
              </w:tc>
              <w:tc>
                <w:tcPr>
                  <w:tcW w:w="1651" w:type="dxa"/>
                  <w:noWrap w:val="0"/>
                  <w:vAlign w:val="center"/>
                </w:tcPr>
                <w:p w14:paraId="04285D40">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0.35%</w:t>
                  </w:r>
                </w:p>
              </w:tc>
            </w:tr>
            <w:tr w14:paraId="76DA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80" w:type="dxa"/>
                  <w:gridSpan w:val="4"/>
                  <w:noWrap w:val="0"/>
                  <w:vAlign w:val="center"/>
                </w:tcPr>
                <w:p w14:paraId="156E53BC">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采购代理服务收费按差额定率累进法计算。例如：某工程采购代理业务中标金额为6000万元，计算代理服务收费额如下：</w:t>
                  </w:r>
                </w:p>
                <w:p w14:paraId="3ACFA315">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100万元×1.0%=1万元</w:t>
                  </w:r>
                </w:p>
                <w:p w14:paraId="204EB707">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（500-100）万元×0.7%=2.8万元</w:t>
                  </w:r>
                </w:p>
                <w:p w14:paraId="0DEC3717">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（1000-500）×0.55%=2.75万元</w:t>
                  </w:r>
                </w:p>
                <w:p w14:paraId="3EC6F39F">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（5000-1000）×0.35%=14万元</w:t>
                  </w:r>
                </w:p>
                <w:p w14:paraId="0547E856">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（6000-5000）×0.2%=2万元</w:t>
                  </w:r>
                </w:p>
                <w:p w14:paraId="18029D6E">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合计收费=1+2.8+2.75+14+2=22.55（万元）</w:t>
                  </w:r>
                </w:p>
              </w:tc>
            </w:tr>
          </w:tbl>
          <w:p w14:paraId="31F5BC6D">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r>
      <w:tr w14:paraId="0052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28ABBC6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24</w:t>
            </w:r>
          </w:p>
        </w:tc>
        <w:tc>
          <w:tcPr>
            <w:tcW w:w="1114" w:type="pct"/>
            <w:shd w:val="clear" w:color="auto" w:fill="auto"/>
            <w:noWrap w:val="0"/>
            <w:vAlign w:val="center"/>
          </w:tcPr>
          <w:p w14:paraId="51142A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t>采购标的对应的中小企业划分标准所属行业</w:t>
            </w:r>
          </w:p>
        </w:tc>
        <w:tc>
          <w:tcPr>
            <w:tcW w:w="3460" w:type="pct"/>
            <w:gridSpan w:val="2"/>
            <w:shd w:val="clear" w:color="auto" w:fill="auto"/>
            <w:noWrap w:val="0"/>
            <w:vAlign w:val="center"/>
          </w:tcPr>
          <w:p w14:paraId="29C411CE">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本项目所属</w:t>
            </w:r>
            <w:r>
              <w:rPr>
                <w:rFonts w:hint="eastAsia" w:ascii="宋体" w:hAnsi="宋体" w:eastAsia="宋体" w:cs="宋体"/>
                <w:sz w:val="24"/>
                <w:szCs w:val="24"/>
                <w:highlight w:val="none"/>
                <w:shd w:val="clear"/>
              </w:rPr>
              <w:t>行</w:t>
            </w:r>
            <w:r>
              <w:rPr>
                <w:rFonts w:hint="eastAsia" w:ascii="宋体" w:hAnsi="宋体" w:eastAsia="宋体" w:cs="宋体"/>
                <w:color w:val="auto"/>
                <w:sz w:val="24"/>
                <w:szCs w:val="24"/>
                <w:highlight w:val="none"/>
                <w:shd w:val="clear"/>
              </w:rPr>
              <w:t>业为</w:t>
            </w:r>
            <w:r>
              <w:rPr>
                <w:rFonts w:hint="eastAsia" w:ascii="宋体" w:hAnsi="宋体" w:eastAsia="宋体" w:cs="宋体"/>
                <w:color w:val="auto"/>
                <w:sz w:val="24"/>
                <w:szCs w:val="24"/>
                <w:highlight w:val="none"/>
                <w:u w:val="none"/>
                <w:shd w:val="clear"/>
              </w:rPr>
              <w:t>：建筑业</w:t>
            </w:r>
          </w:p>
        </w:tc>
      </w:tr>
      <w:tr w14:paraId="7241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restart"/>
            <w:noWrap w:val="0"/>
            <w:vAlign w:val="center"/>
          </w:tcPr>
          <w:p w14:paraId="1EC387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25</w:t>
            </w:r>
          </w:p>
        </w:tc>
        <w:tc>
          <w:tcPr>
            <w:tcW w:w="4575" w:type="pct"/>
            <w:gridSpan w:val="3"/>
            <w:noWrap w:val="0"/>
            <w:vAlign w:val="center"/>
          </w:tcPr>
          <w:p w14:paraId="7FD8926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其它要求</w:t>
            </w:r>
          </w:p>
        </w:tc>
      </w:tr>
      <w:tr w14:paraId="26EC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vAlign w:val="center"/>
          </w:tcPr>
          <w:p w14:paraId="1DD02C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p>
        </w:tc>
        <w:tc>
          <w:tcPr>
            <w:tcW w:w="1114" w:type="pct"/>
            <w:noWrap w:val="0"/>
            <w:vAlign w:val="center"/>
          </w:tcPr>
          <w:p w14:paraId="57E288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同类项目案例</w:t>
            </w:r>
          </w:p>
          <w:p w14:paraId="4D0CFE9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相关要求</w:t>
            </w:r>
          </w:p>
        </w:tc>
        <w:tc>
          <w:tcPr>
            <w:tcW w:w="3460" w:type="pct"/>
            <w:gridSpan w:val="2"/>
            <w:noWrap w:val="0"/>
            <w:vAlign w:val="center"/>
          </w:tcPr>
          <w:p w14:paraId="3498E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年份要</w:t>
            </w:r>
            <w:r>
              <w:rPr>
                <w:rFonts w:hint="eastAsia" w:ascii="宋体" w:hAnsi="宋体" w:eastAsia="宋体" w:cs="宋体"/>
                <w:sz w:val="24"/>
                <w:szCs w:val="24"/>
                <w:highlight w:val="none"/>
                <w:shd w:val="clear"/>
                <w:lang w:val="en-US" w:eastAsia="zh-CN"/>
              </w:rPr>
              <w:t>求：2023年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shd w:val="clear"/>
                <w:lang w:val="en-US" w:eastAsia="zh-CN"/>
              </w:rPr>
              <w:t>月</w:t>
            </w:r>
            <w:r>
              <w:rPr>
                <w:rFonts w:hint="eastAsia" w:ascii="宋体" w:hAnsi="宋体" w:eastAsia="宋体" w:cs="宋体"/>
                <w:sz w:val="24"/>
                <w:szCs w:val="24"/>
                <w:highlight w:val="none"/>
                <w:lang w:val="en-US" w:eastAsia="zh-CN"/>
              </w:rPr>
              <w:t>至递交响应文件截止时间的同类项目案例，要求以签订时间为准的正式合同作为证明。(必须提供与最终用户签订的合同首页、合同金额所在页、签字盖章页的复印件)。</w:t>
            </w:r>
          </w:p>
        </w:tc>
      </w:tr>
      <w:tr w14:paraId="03D8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vAlign w:val="center"/>
          </w:tcPr>
          <w:p w14:paraId="4462FD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bookmarkStart w:id="15" w:name="_Toc385234429"/>
            <w:bookmarkStart w:id="16" w:name="_Toc17519"/>
            <w:bookmarkStart w:id="17" w:name="_Toc424555840"/>
            <w:bookmarkStart w:id="18" w:name="_Toc7808"/>
          </w:p>
        </w:tc>
        <w:tc>
          <w:tcPr>
            <w:tcW w:w="1114" w:type="pct"/>
            <w:noWrap w:val="0"/>
            <w:vAlign w:val="center"/>
          </w:tcPr>
          <w:p w14:paraId="7134B37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签到及电子响应文件解密</w:t>
            </w:r>
          </w:p>
        </w:tc>
        <w:tc>
          <w:tcPr>
            <w:tcW w:w="3460" w:type="pct"/>
            <w:gridSpan w:val="2"/>
            <w:noWrap w:val="0"/>
            <w:vAlign w:val="center"/>
          </w:tcPr>
          <w:p w14:paraId="54C4EA6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1.本项目采用电子招投标方式进行。供应商自行准备好CA数字证书及电脑进行线上签到及电子响应文件解密开启。</w:t>
            </w:r>
          </w:p>
          <w:p w14:paraId="477DEECA">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2.供应商使用CA数字证书对其递交的电子响应文件进行解密，解密时长30分钟。</w:t>
            </w:r>
          </w:p>
          <w:p w14:paraId="3CD3F580">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3.因供应商原因造成响应文件未解密的，视为未递交响应文件。</w:t>
            </w:r>
          </w:p>
        </w:tc>
      </w:tr>
      <w:tr w14:paraId="4A4A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vAlign w:val="center"/>
          </w:tcPr>
          <w:p w14:paraId="00E65DD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p>
        </w:tc>
        <w:tc>
          <w:tcPr>
            <w:tcW w:w="1114" w:type="pct"/>
            <w:noWrap w:val="0"/>
            <w:vAlign w:val="center"/>
          </w:tcPr>
          <w:p w14:paraId="25EF97B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响应文件的报价编制</w:t>
            </w:r>
          </w:p>
        </w:tc>
        <w:tc>
          <w:tcPr>
            <w:tcW w:w="3460" w:type="pct"/>
            <w:gridSpan w:val="2"/>
            <w:noWrap w:val="0"/>
            <w:vAlign w:val="center"/>
          </w:tcPr>
          <w:p w14:paraId="757F2E0B">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响应文件的报价编制应当由具有相应专业的造价人员（有效期内）承担。工程造价文件上应加盖编制单位公章并由编制人员签字、加盖执（从）业专用章。</w:t>
            </w:r>
          </w:p>
          <w:p w14:paraId="7425ADB4">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拟自行编制响应文件的报价时，编制人员必须为本单位注册的相应专业造价人员（有效期内）；管理机构人员组成必须至少有一名为本响应文件中的项目单位注册的造价人员；如本单位有关专业人员不能满足工程造价文件编制要求时，应委托有相应资质的建设工程造价咨询单位编制，编制人员必须为该造价咨询单位的相应专业造价人员，并将委托合同和拟委托造价咨询单位加盖公章的营业执照、资质证书及编制人员证书复印件一并装入响应文件中。</w:t>
            </w:r>
          </w:p>
          <w:p w14:paraId="22687E64">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2.同一工程造价咨询单位只能接受一家供应商的委托编制本工程的报价，并按规定和要求签章。</w:t>
            </w:r>
          </w:p>
        </w:tc>
      </w:tr>
      <w:tr w14:paraId="79F6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Merge w:val="continue"/>
            <w:noWrap w:val="0"/>
            <w:vAlign w:val="center"/>
          </w:tcPr>
          <w:p w14:paraId="087AF82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p>
        </w:tc>
        <w:tc>
          <w:tcPr>
            <w:tcW w:w="1114" w:type="pct"/>
            <w:noWrap w:val="0"/>
            <w:vAlign w:val="center"/>
          </w:tcPr>
          <w:p w14:paraId="44DED9B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电子化招标项目视为串通情形的认定</w:t>
            </w:r>
          </w:p>
        </w:tc>
        <w:tc>
          <w:tcPr>
            <w:tcW w:w="3460" w:type="pct"/>
            <w:gridSpan w:val="2"/>
            <w:noWrap w:val="0"/>
            <w:vAlign w:val="center"/>
          </w:tcPr>
          <w:p w14:paraId="1365E041">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电子化招标项目视为串通情形的认定</w:t>
            </w:r>
          </w:p>
          <w:p w14:paraId="0474AB98">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不同供应商的磋商保证金转出账户的银行账户名称相同的属于《政府采购货物和服务招标投标管理办法》(财政部令第87号)第三十七条第(六)项“不同供应商的磋商保证金从同一单位或者个人的账户转出”的情形。</w:t>
            </w:r>
          </w:p>
          <w:p w14:paraId="26ED47D5">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系统记录的参加同一项目的不同供应商编制电子响应文件使用的计算机或上传电子响应文件使用的计算机网卡MAC地址、IP地址一致的，属于《政府采购货物和服务招标投标管理办法》(财政部令第87号)第三十七条第(一)项“不同供应商的响应文件由同一单位或者个人编制”的情形。</w:t>
            </w:r>
          </w:p>
          <w:p w14:paraId="5E597B25">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上传的电子响应文件若出现使用本项目其他供应商的数字证书加密的或加盖本项目的其他供应商的电子印章的，属于《政府采购货物和服务招标投标管理办法》(财政部令第87号)第三十七条第(五)项“不同供应商的响应文件相互混装”的情形。</w:t>
            </w:r>
          </w:p>
        </w:tc>
      </w:tr>
      <w:tr w14:paraId="0DCF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0"/>
            <w:vAlign w:val="center"/>
          </w:tcPr>
          <w:p w14:paraId="128DCA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yellow"/>
                <w:lang w:val="en-US" w:eastAsia="zh-CN"/>
              </w:rPr>
            </w:pPr>
          </w:p>
        </w:tc>
        <w:tc>
          <w:tcPr>
            <w:tcW w:w="1114" w:type="pct"/>
            <w:noWrap w:val="0"/>
            <w:vAlign w:val="center"/>
          </w:tcPr>
          <w:p w14:paraId="2CC7F1C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异常低价审核程序启用情形</w:t>
            </w:r>
          </w:p>
        </w:tc>
        <w:tc>
          <w:tcPr>
            <w:tcW w:w="3460" w:type="pct"/>
            <w:gridSpan w:val="2"/>
            <w:noWrap w:val="0"/>
            <w:vAlign w:val="center"/>
          </w:tcPr>
          <w:p w14:paraId="2DB431DB">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政府采购评审中出现下列情形之一的，评审委员会应当启动异常低价投标（响应) 审查程序：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情形1：投标(响应)报价低于全部通过符合性审查供应商投标(响应)报价「平均值」50%；</w:t>
            </w:r>
          </w:p>
          <w:p w14:paraId="7EE2A97C">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情形2：投标(响应)报价低于通过符合性审查且报价次低供应商投标(响应)报价50%；</w:t>
            </w:r>
          </w:p>
          <w:p w14:paraId="66F4358F">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情形3：投标(响应)报价低于采购项目最高限价45%；</w:t>
            </w:r>
          </w:p>
          <w:p w14:paraId="12E42B13">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情形4：评审委员会基于专业判断，认为供应商报价过低，有可能影响产品质量或者不能诚信履约的其他情形。</w:t>
            </w:r>
          </w:p>
        </w:tc>
      </w:tr>
    </w:tbl>
    <w:p w14:paraId="6779AA81">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91E48F4">
      <w:pPr>
        <w:bidi w:val="0"/>
        <w:spacing w:line="360" w:lineRule="auto"/>
        <w:jc w:val="center"/>
        <w:outlineLvl w:val="0"/>
        <w:rPr>
          <w:rFonts w:hint="eastAsia" w:ascii="宋体" w:hAnsi="宋体" w:eastAsia="宋体" w:cs="宋体"/>
          <w:b/>
          <w:bCs/>
          <w:sz w:val="24"/>
          <w:szCs w:val="24"/>
          <w:highlight w:val="none"/>
        </w:rPr>
        <w:sectPr>
          <w:footerReference r:id="rId6" w:type="default"/>
          <w:pgSz w:w="11906" w:h="16838"/>
          <w:pgMar w:top="1417" w:right="1247" w:bottom="1417" w:left="1247" w:header="851" w:footer="850"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19" w:name="_Toc7768"/>
    </w:p>
    <w:p w14:paraId="16D47052">
      <w:pPr>
        <w:bidi w:val="0"/>
        <w:spacing w:line="360" w:lineRule="auto"/>
        <w:jc w:val="center"/>
        <w:outlineLvl w:val="0"/>
        <w:rPr>
          <w:rFonts w:hint="eastAsia" w:ascii="宋体" w:hAnsi="宋体" w:eastAsia="宋体" w:cs="宋体"/>
          <w:b/>
          <w:bCs/>
          <w:sz w:val="24"/>
          <w:szCs w:val="24"/>
          <w:highlight w:val="none"/>
        </w:rPr>
      </w:pPr>
      <w:bookmarkStart w:id="20" w:name="_Toc467"/>
      <w:bookmarkStart w:id="21" w:name="_Toc27454"/>
      <w:r>
        <w:rPr>
          <w:rFonts w:hint="eastAsia" w:ascii="宋体" w:hAnsi="宋体" w:eastAsia="宋体" w:cs="宋体"/>
          <w:b/>
          <w:bCs/>
          <w:sz w:val="24"/>
          <w:szCs w:val="24"/>
          <w:highlight w:val="none"/>
        </w:rPr>
        <w:t xml:space="preserve">第三部分  </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须知</w:t>
      </w:r>
      <w:bookmarkEnd w:id="15"/>
      <w:bookmarkEnd w:id="16"/>
      <w:bookmarkEnd w:id="17"/>
      <w:bookmarkEnd w:id="18"/>
      <w:bookmarkEnd w:id="19"/>
      <w:bookmarkEnd w:id="20"/>
      <w:bookmarkEnd w:id="21"/>
    </w:p>
    <w:p w14:paraId="5B88DC94">
      <w:pPr>
        <w:pStyle w:val="52"/>
        <w:keepNext w:val="0"/>
        <w:keepLines w:val="0"/>
        <w:pageBreakBefore w:val="0"/>
        <w:widowControl w:val="0"/>
        <w:kinsoku/>
        <w:wordWrap/>
        <w:overflowPunct/>
        <w:topLinePunct w:val="0"/>
        <w:autoSpaceDE/>
        <w:autoSpaceDN/>
        <w:bidi w:val="0"/>
        <w:adjustRightInd w:val="0"/>
        <w:snapToGrid w:val="0"/>
        <w:spacing w:before="156" w:beforeLines="50" w:after="156" w:afterLines="50" w:line="440" w:lineRule="exact"/>
        <w:ind w:firstLine="482" w:firstLineChars="200"/>
        <w:jc w:val="both"/>
        <w:textAlignment w:val="baseline"/>
        <w:outlineLvl w:val="1"/>
        <w:rPr>
          <w:rFonts w:hint="eastAsia" w:ascii="宋体" w:hAnsi="宋体" w:eastAsia="宋体" w:cs="宋体"/>
          <w:b w:val="0"/>
          <w:color w:val="auto"/>
          <w:sz w:val="24"/>
          <w:szCs w:val="24"/>
          <w:highlight w:val="none"/>
        </w:rPr>
      </w:pPr>
      <w:bookmarkStart w:id="22" w:name="_Toc424555841"/>
      <w:bookmarkStart w:id="23" w:name="_Toc14721"/>
      <w:bookmarkStart w:id="24" w:name="_Toc377713206"/>
      <w:bookmarkStart w:id="25" w:name="_Toc385234430"/>
      <w:bookmarkStart w:id="26" w:name="_Toc14680"/>
      <w:bookmarkStart w:id="27" w:name="_Toc15849"/>
      <w:bookmarkStart w:id="28" w:name="_Toc17868"/>
      <w:bookmarkStart w:id="29" w:name="_Toc377713214"/>
      <w:bookmarkStart w:id="30" w:name="_Toc385234438"/>
      <w:bookmarkStart w:id="31" w:name="_Toc424555849"/>
      <w:bookmarkStart w:id="32" w:name="_Toc326251060"/>
      <w:bookmarkStart w:id="33" w:name="_Toc385234440"/>
      <w:r>
        <w:rPr>
          <w:rFonts w:hint="eastAsia" w:ascii="宋体" w:hAnsi="宋体" w:eastAsia="宋体" w:cs="宋体"/>
          <w:color w:val="auto"/>
          <w:sz w:val="24"/>
          <w:szCs w:val="24"/>
          <w:highlight w:val="none"/>
        </w:rPr>
        <w:t>一、总则</w:t>
      </w:r>
      <w:bookmarkEnd w:id="22"/>
      <w:bookmarkEnd w:id="23"/>
      <w:bookmarkEnd w:id="24"/>
      <w:bookmarkEnd w:id="25"/>
      <w:bookmarkEnd w:id="26"/>
      <w:bookmarkEnd w:id="27"/>
      <w:bookmarkEnd w:id="28"/>
    </w:p>
    <w:p w14:paraId="645B552A">
      <w:pPr>
        <w:pStyle w:val="53"/>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both"/>
        <w:textAlignment w:val="auto"/>
        <w:outlineLvl w:val="9"/>
        <w:rPr>
          <w:rFonts w:hint="eastAsia" w:ascii="宋体" w:hAnsi="宋体" w:eastAsia="宋体" w:cs="宋体"/>
          <w:b/>
          <w:color w:val="auto"/>
          <w:highlight w:val="none"/>
        </w:rPr>
      </w:pPr>
      <w:bookmarkStart w:id="34" w:name="_Toc19026"/>
      <w:bookmarkStart w:id="35" w:name="_Toc16607"/>
      <w:bookmarkStart w:id="36" w:name="_Toc32388"/>
      <w:bookmarkStart w:id="37" w:name="_Toc31887"/>
      <w:bookmarkStart w:id="38" w:name="_Toc28927"/>
      <w:bookmarkStart w:id="39" w:name="_Toc20929"/>
      <w:r>
        <w:rPr>
          <w:rFonts w:hint="eastAsia" w:ascii="宋体" w:hAnsi="宋体" w:eastAsia="宋体" w:cs="宋体"/>
          <w:b/>
          <w:color w:val="auto"/>
          <w:highlight w:val="none"/>
        </w:rPr>
        <w:t>1.</w:t>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highlight w:val="none"/>
        </w:rPr>
        <w:t>采购项目概况</w:t>
      </w:r>
      <w:bookmarkEnd w:id="34"/>
      <w:bookmarkEnd w:id="35"/>
      <w:bookmarkEnd w:id="36"/>
      <w:bookmarkEnd w:id="37"/>
      <w:bookmarkEnd w:id="38"/>
      <w:bookmarkEnd w:id="39"/>
    </w:p>
    <w:p w14:paraId="238AE382">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详</w:t>
      </w:r>
      <w:r>
        <w:rPr>
          <w:rFonts w:hint="eastAsia" w:ascii="宋体" w:hAnsi="宋体" w:eastAsia="宋体" w:cs="宋体"/>
          <w:bCs/>
          <w:color w:val="auto"/>
          <w:highlight w:val="none"/>
        </w:rPr>
        <w:t>见</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须知前附表。</w:t>
      </w:r>
    </w:p>
    <w:p w14:paraId="7160254F">
      <w:pPr>
        <w:pStyle w:val="53"/>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both"/>
        <w:textAlignment w:val="auto"/>
        <w:outlineLvl w:val="9"/>
        <w:rPr>
          <w:rFonts w:hint="eastAsia" w:ascii="宋体" w:hAnsi="宋体" w:eastAsia="宋体" w:cs="宋体"/>
          <w:b/>
          <w:color w:val="auto"/>
          <w:highlight w:val="none"/>
        </w:rPr>
      </w:pPr>
      <w:bookmarkStart w:id="40" w:name="_Toc2450"/>
      <w:bookmarkStart w:id="41" w:name="_Toc8044"/>
      <w:bookmarkStart w:id="42" w:name="_Toc16938"/>
      <w:bookmarkStart w:id="43" w:name="_Toc3717"/>
      <w:bookmarkStart w:id="44" w:name="_Toc27007"/>
      <w:bookmarkStart w:id="45" w:name="_Toc1859"/>
      <w:r>
        <w:rPr>
          <w:rFonts w:hint="eastAsia" w:ascii="宋体" w:hAnsi="宋体" w:eastAsia="宋体" w:cs="宋体"/>
          <w:b/>
          <w:color w:val="auto"/>
          <w:highlight w:val="none"/>
        </w:rPr>
        <w:t>2. 定义</w:t>
      </w:r>
      <w:bookmarkEnd w:id="40"/>
      <w:bookmarkEnd w:id="41"/>
      <w:bookmarkEnd w:id="42"/>
      <w:bookmarkEnd w:id="43"/>
      <w:bookmarkEnd w:id="44"/>
      <w:bookmarkEnd w:id="45"/>
    </w:p>
    <w:p w14:paraId="6837C852">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2.1 “采购人”指本次</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活动的采购单位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即</w:t>
      </w:r>
      <w:r>
        <w:rPr>
          <w:rFonts w:hint="eastAsia" w:ascii="宋体" w:hAnsi="宋体" w:eastAsia="宋体" w:cs="宋体"/>
          <w:color w:val="auto"/>
          <w:highlight w:val="none"/>
          <w:lang w:eastAsia="zh-CN"/>
        </w:rPr>
        <w:t>“祁县水利局”</w:t>
      </w:r>
      <w:r>
        <w:rPr>
          <w:rFonts w:hint="eastAsia" w:ascii="宋体" w:hAnsi="宋体" w:eastAsia="宋体" w:cs="宋体"/>
          <w:color w:val="auto"/>
          <w:highlight w:val="none"/>
        </w:rPr>
        <w:t>。</w:t>
      </w:r>
    </w:p>
    <w:p w14:paraId="3BBD7543">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2.2 “采购代理机构”指组织本次</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活动的执行机构，即“</w:t>
      </w:r>
      <w:r>
        <w:rPr>
          <w:rFonts w:hint="eastAsia" w:ascii="宋体" w:hAnsi="宋体" w:eastAsia="宋体" w:cs="宋体"/>
          <w:color w:val="auto"/>
          <w:highlight w:val="none"/>
          <w:lang w:eastAsia="zh-CN"/>
        </w:rPr>
        <w:t>卓信工程咨询有限公司</w:t>
      </w:r>
      <w:r>
        <w:rPr>
          <w:rFonts w:hint="eastAsia" w:ascii="宋体" w:hAnsi="宋体" w:eastAsia="宋体" w:cs="宋体"/>
          <w:color w:val="auto"/>
          <w:highlight w:val="none"/>
        </w:rPr>
        <w:t>”。</w:t>
      </w:r>
    </w:p>
    <w:p w14:paraId="5AD0B6F3">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2.3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”指符合本</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的规定和要求，获得</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参加</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，并向采购代理机构提交</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p>
    <w:p w14:paraId="3982A144">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2.4 “货物”指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的规定，须向采购人提供的各种形态和种类的物品及其它有关技术资料和材料。</w:t>
      </w:r>
    </w:p>
    <w:p w14:paraId="0D961F1B">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2.5 “服务”指</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规定的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须向采购人提供的服务和应当履行的承诺和义务。</w:t>
      </w:r>
    </w:p>
    <w:p w14:paraId="6733D4F7">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2.6 “工程”指本</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所述建设工程。</w:t>
      </w:r>
    </w:p>
    <w:p w14:paraId="720ACB58">
      <w:pPr>
        <w:pStyle w:val="53"/>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jc w:val="both"/>
        <w:textAlignment w:val="auto"/>
        <w:outlineLvl w:val="9"/>
        <w:rPr>
          <w:rFonts w:hint="eastAsia" w:ascii="宋体" w:hAnsi="宋体" w:eastAsia="宋体" w:cs="宋体"/>
          <w:b/>
          <w:color w:val="auto"/>
          <w:highlight w:val="none"/>
        </w:rPr>
      </w:pPr>
      <w:bookmarkStart w:id="46" w:name="_Toc25021"/>
      <w:bookmarkStart w:id="47" w:name="_Toc15352"/>
      <w:bookmarkStart w:id="48" w:name="_Toc28101"/>
      <w:bookmarkStart w:id="49" w:name="_Toc2325"/>
      <w:bookmarkStart w:id="50" w:name="_Toc14267"/>
      <w:bookmarkStart w:id="51" w:name="_Toc27400"/>
      <w:r>
        <w:rPr>
          <w:rFonts w:hint="eastAsia" w:ascii="宋体" w:hAnsi="宋体" w:eastAsia="宋体" w:cs="宋体"/>
          <w:b/>
          <w:color w:val="auto"/>
          <w:highlight w:val="none"/>
        </w:rPr>
        <w:t>3. 合格</w:t>
      </w:r>
      <w:r>
        <w:rPr>
          <w:rFonts w:hint="eastAsia" w:ascii="宋体" w:hAnsi="宋体" w:eastAsia="宋体" w:cs="宋体"/>
          <w:b/>
          <w:color w:val="auto"/>
          <w:highlight w:val="none"/>
          <w:lang w:eastAsia="zh-CN"/>
        </w:rPr>
        <w:t>供应商</w:t>
      </w:r>
      <w:r>
        <w:rPr>
          <w:rFonts w:hint="eastAsia" w:ascii="宋体" w:hAnsi="宋体" w:eastAsia="宋体" w:cs="宋体"/>
          <w:b/>
          <w:color w:val="auto"/>
          <w:highlight w:val="none"/>
        </w:rPr>
        <w:t>的资格条件</w:t>
      </w:r>
      <w:bookmarkEnd w:id="46"/>
      <w:bookmarkEnd w:id="47"/>
      <w:bookmarkEnd w:id="48"/>
      <w:bookmarkEnd w:id="49"/>
      <w:bookmarkEnd w:id="50"/>
      <w:bookmarkEnd w:id="51"/>
    </w:p>
    <w:p w14:paraId="7B72CC5D">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3.1 具有本项目实施能力，符合、承认并承诺履行本</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各项规定的国内</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均可参加</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w:t>
      </w:r>
    </w:p>
    <w:p w14:paraId="458E2646">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3.2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必须是已在中国境内（除香港、澳门、台湾地区）依法登记注册的企业法人或其</w:t>
      </w:r>
      <w:r>
        <w:rPr>
          <w:rFonts w:hint="eastAsia" w:ascii="宋体" w:hAnsi="宋体" w:eastAsia="宋体" w:cs="宋体"/>
          <w:color w:val="auto"/>
          <w:highlight w:val="none"/>
          <w:lang w:eastAsia="zh-CN"/>
        </w:rPr>
        <w:t>他</w:t>
      </w:r>
      <w:r>
        <w:rPr>
          <w:rFonts w:hint="eastAsia" w:ascii="宋体" w:hAnsi="宋体" w:eastAsia="宋体" w:cs="宋体"/>
          <w:color w:val="auto"/>
          <w:highlight w:val="none"/>
        </w:rPr>
        <w:t>组织。并且其所持有的由工商行政管理部门所核发的有效的营业执照</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载明的营业期限剩余时间应当不少于本次采购的相关合同基本义务履行所需期限，或已经提供相关证明材料能够证明具有履约能力。否则，</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有权拒绝其本次</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w:t>
      </w:r>
    </w:p>
    <w:p w14:paraId="49415B82">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3.3 具备《中华人民共和国政府采购法》第二十二条第一款规定的条件和本项目所需的特定条件及有关法律、法规关于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的规定，有能力提供采购服务的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。并按照《中华人民共和国政府采购法实施条例》第十七条的规定，提供资格证明文件，具体提供的材料详见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须知前附表的要求。</w:t>
      </w:r>
    </w:p>
    <w:p w14:paraId="4F5E5C36">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3.4 </w:t>
      </w:r>
      <w:r>
        <w:rPr>
          <w:rFonts w:hint="eastAsia" w:ascii="宋体" w:hAnsi="宋体" w:eastAsia="宋体" w:cs="宋体"/>
          <w:color w:val="auto"/>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135C878">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b/>
          <w:color w:val="auto"/>
          <w:highlight w:val="none"/>
        </w:rPr>
      </w:pPr>
      <w:bookmarkStart w:id="52" w:name="_Toc22462"/>
      <w:bookmarkStart w:id="53" w:name="_Toc29061"/>
      <w:bookmarkStart w:id="54" w:name="_Toc2272"/>
      <w:bookmarkStart w:id="55" w:name="_Toc20349"/>
      <w:bookmarkStart w:id="56" w:name="_Toc15056"/>
      <w:bookmarkStart w:id="57" w:name="_Toc10857"/>
      <w:r>
        <w:rPr>
          <w:rFonts w:hint="eastAsia" w:ascii="宋体" w:hAnsi="宋体" w:eastAsia="宋体" w:cs="宋体"/>
          <w:b/>
          <w:color w:val="auto"/>
          <w:highlight w:val="none"/>
        </w:rPr>
        <w:t xml:space="preserve">4. </w:t>
      </w:r>
      <w:bookmarkEnd w:id="52"/>
      <w:bookmarkEnd w:id="53"/>
      <w:bookmarkEnd w:id="54"/>
      <w:bookmarkEnd w:id="55"/>
      <w:bookmarkEnd w:id="56"/>
      <w:bookmarkEnd w:id="57"/>
      <w:r>
        <w:rPr>
          <w:rFonts w:hint="eastAsia" w:ascii="宋体" w:hAnsi="宋体" w:eastAsia="宋体" w:cs="宋体"/>
          <w:b/>
          <w:color w:val="auto"/>
          <w:highlight w:val="none"/>
        </w:rPr>
        <w:t>费用</w:t>
      </w:r>
    </w:p>
    <w:p w14:paraId="113F4759">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供应商应承担所有与准备和参加</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有关的费用，</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和</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在任何情况下均无义务和责任承担这些费用。</w:t>
      </w:r>
      <w:r>
        <w:rPr>
          <w:rFonts w:hint="eastAsia" w:ascii="宋体" w:hAnsi="宋体" w:eastAsia="宋体" w:cs="宋体"/>
          <w:color w:val="auto"/>
          <w:highlight w:val="none"/>
          <w:lang w:eastAsia="zh-CN"/>
        </w:rPr>
        <w:t>成交供应商应承担本次采购活动所发生的代理服务费用。</w:t>
      </w:r>
    </w:p>
    <w:p w14:paraId="34193528">
      <w:pPr>
        <w:pStyle w:val="53"/>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jc w:val="both"/>
        <w:textAlignment w:val="auto"/>
        <w:outlineLvl w:val="9"/>
        <w:rPr>
          <w:rFonts w:hint="eastAsia" w:ascii="宋体" w:hAnsi="宋体" w:eastAsia="宋体" w:cs="宋体"/>
          <w:b/>
          <w:color w:val="auto"/>
          <w:highlight w:val="none"/>
        </w:rPr>
      </w:pPr>
      <w:bookmarkStart w:id="58" w:name="_Toc2022"/>
      <w:bookmarkStart w:id="59" w:name="_Toc25948"/>
      <w:bookmarkStart w:id="60" w:name="_Toc26197"/>
      <w:bookmarkStart w:id="61" w:name="_Toc25963"/>
      <w:bookmarkStart w:id="62" w:name="_Toc21264"/>
      <w:bookmarkStart w:id="63" w:name="_Toc3267"/>
      <w:r>
        <w:rPr>
          <w:rFonts w:hint="eastAsia" w:ascii="宋体" w:hAnsi="宋体" w:eastAsia="宋体" w:cs="宋体"/>
          <w:b/>
          <w:color w:val="auto"/>
          <w:highlight w:val="none"/>
        </w:rPr>
        <w:t>5. 通知</w:t>
      </w:r>
      <w:bookmarkEnd w:id="58"/>
      <w:bookmarkEnd w:id="59"/>
      <w:bookmarkEnd w:id="60"/>
      <w:bookmarkEnd w:id="61"/>
      <w:bookmarkEnd w:id="62"/>
      <w:bookmarkEnd w:id="63"/>
    </w:p>
    <w:p w14:paraId="1B73E5DA">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对与本项目有关的通知，采购代理机构将以在本次</w:t>
      </w:r>
      <w:r>
        <w:rPr>
          <w:rFonts w:hint="eastAsia" w:ascii="宋体" w:hAnsi="宋体" w:eastAsia="宋体" w:cs="宋体"/>
          <w:color w:val="auto"/>
          <w:highlight w:val="none"/>
          <w:lang w:eastAsia="zh-CN"/>
        </w:rPr>
        <w:t>公开采购公告</w:t>
      </w:r>
      <w:r>
        <w:rPr>
          <w:rFonts w:hint="eastAsia" w:ascii="宋体" w:hAnsi="宋体" w:eastAsia="宋体" w:cs="宋体"/>
          <w:color w:val="auto"/>
          <w:highlight w:val="none"/>
        </w:rPr>
        <w:t>刊登的媒体上发布公告的形式送达所有已</w:t>
      </w:r>
      <w:r>
        <w:rPr>
          <w:rFonts w:hint="eastAsia" w:ascii="宋体" w:hAnsi="宋体" w:eastAsia="宋体" w:cs="宋体"/>
          <w:color w:val="auto"/>
          <w:highlight w:val="none"/>
          <w:lang w:eastAsia="zh-CN"/>
        </w:rPr>
        <w:t>获取</w:t>
      </w:r>
      <w:r>
        <w:rPr>
          <w:rFonts w:hint="eastAsia" w:ascii="宋体" w:hAnsi="宋体" w:eastAsia="宋体" w:cs="宋体"/>
          <w:color w:val="auto"/>
          <w:highlight w:val="none"/>
        </w:rPr>
        <w:t>了</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供应商，供应商须时刻关注与本项目有关信息</w:t>
      </w:r>
      <w:r>
        <w:rPr>
          <w:rFonts w:hint="eastAsia" w:ascii="宋体" w:hAnsi="宋体" w:eastAsia="宋体" w:cs="宋体"/>
          <w:color w:val="auto"/>
          <w:highlight w:val="none"/>
        </w:rPr>
        <w:t>。因</w:t>
      </w:r>
      <w:r>
        <w:rPr>
          <w:rFonts w:hint="eastAsia" w:ascii="宋体" w:hAnsi="宋体" w:eastAsia="宋体" w:cs="宋体"/>
          <w:color w:val="auto"/>
          <w:highlight w:val="none"/>
          <w:lang w:eastAsia="zh-CN"/>
        </w:rPr>
        <w:t>供应商在山西省政府采购网-政府采购云平台登记有误导致无法接收相关信息</w:t>
      </w:r>
      <w:r>
        <w:rPr>
          <w:rFonts w:hint="eastAsia" w:ascii="宋体" w:hAnsi="宋体" w:eastAsia="宋体" w:cs="宋体"/>
          <w:color w:val="auto"/>
          <w:highlight w:val="none"/>
        </w:rPr>
        <w:t>，采购代理机构将不承担责任。</w:t>
      </w:r>
    </w:p>
    <w:p w14:paraId="226E1A5F">
      <w:pPr>
        <w:pStyle w:val="52"/>
        <w:keepNext w:val="0"/>
        <w:keepLines w:val="0"/>
        <w:pageBreakBefore w:val="0"/>
        <w:kinsoku/>
        <w:wordWrap/>
        <w:overflowPunct/>
        <w:topLinePunct w:val="0"/>
        <w:autoSpaceDE/>
        <w:autoSpaceDN/>
        <w:bidi w:val="0"/>
        <w:snapToGrid w:val="0"/>
        <w:spacing w:before="156" w:beforeLines="50" w:after="156" w:afterLines="50" w:line="440" w:lineRule="exact"/>
        <w:ind w:firstLine="482" w:firstLineChars="200"/>
        <w:jc w:val="both"/>
        <w:outlineLvl w:val="1"/>
        <w:rPr>
          <w:rFonts w:hint="eastAsia" w:ascii="宋体" w:hAnsi="宋体" w:eastAsia="宋体" w:cs="宋体"/>
          <w:color w:val="auto"/>
          <w:sz w:val="24"/>
          <w:szCs w:val="24"/>
          <w:highlight w:val="none"/>
        </w:rPr>
        <w:sectPr>
          <w:footerReference r:id="rId7" w:type="default"/>
          <w:pgSz w:w="11906" w:h="16838"/>
          <w:pgMar w:top="1417" w:right="1247" w:bottom="1417" w:left="1247"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64" w:name="_Toc424555842"/>
      <w:bookmarkStart w:id="65" w:name="_Toc30368"/>
      <w:bookmarkStart w:id="66" w:name="_Toc6481"/>
      <w:bookmarkStart w:id="67" w:name="_Toc20484"/>
    </w:p>
    <w:p w14:paraId="5E29528A">
      <w:pPr>
        <w:pStyle w:val="52"/>
        <w:keepNext w:val="0"/>
        <w:keepLines w:val="0"/>
        <w:pageBreakBefore w:val="0"/>
        <w:kinsoku/>
        <w:wordWrap/>
        <w:overflowPunct/>
        <w:topLinePunct w:val="0"/>
        <w:autoSpaceDE/>
        <w:autoSpaceDN/>
        <w:bidi w:val="0"/>
        <w:snapToGrid w:val="0"/>
        <w:spacing w:before="156" w:beforeLines="50" w:after="156" w:afterLines="50" w:line="440" w:lineRule="exact"/>
        <w:ind w:firstLine="482" w:firstLineChars="200"/>
        <w:jc w:val="both"/>
        <w:outlineLvl w:val="1"/>
        <w:rPr>
          <w:rFonts w:hint="eastAsia" w:ascii="宋体" w:hAnsi="宋体" w:eastAsia="宋体" w:cs="宋体"/>
          <w:color w:val="auto"/>
          <w:sz w:val="24"/>
          <w:szCs w:val="24"/>
          <w:highlight w:val="none"/>
          <w:lang w:eastAsia="zh-CN"/>
        </w:rPr>
      </w:pPr>
      <w:bookmarkStart w:id="68" w:name="_Toc22224"/>
      <w:r>
        <w:rPr>
          <w:rFonts w:hint="eastAsia" w:ascii="宋体" w:hAnsi="宋体" w:eastAsia="宋体" w:cs="宋体"/>
          <w:color w:val="auto"/>
          <w:sz w:val="24"/>
          <w:szCs w:val="24"/>
          <w:highlight w:val="none"/>
        </w:rPr>
        <w:t>二、</w:t>
      </w:r>
      <w:bookmarkEnd w:id="64"/>
      <w:bookmarkEnd w:id="65"/>
      <w:bookmarkEnd w:id="66"/>
      <w:r>
        <w:rPr>
          <w:rFonts w:hint="eastAsia" w:ascii="宋体" w:hAnsi="宋体" w:eastAsia="宋体" w:cs="宋体"/>
          <w:color w:val="auto"/>
          <w:sz w:val="24"/>
          <w:szCs w:val="24"/>
          <w:highlight w:val="none"/>
          <w:lang w:eastAsia="zh-CN"/>
        </w:rPr>
        <w:t>采购文件</w:t>
      </w:r>
      <w:bookmarkEnd w:id="67"/>
      <w:bookmarkEnd w:id="68"/>
    </w:p>
    <w:p w14:paraId="2D8049D1">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6. </w:t>
      </w:r>
      <w:r>
        <w:rPr>
          <w:rFonts w:hint="eastAsia" w:ascii="宋体" w:hAnsi="宋体" w:eastAsia="宋体" w:cs="宋体"/>
          <w:b/>
          <w:color w:val="auto"/>
          <w:highlight w:val="none"/>
          <w:lang w:eastAsia="zh-CN"/>
        </w:rPr>
        <w:t>采购文件</w:t>
      </w:r>
      <w:r>
        <w:rPr>
          <w:rFonts w:hint="eastAsia" w:ascii="宋体" w:hAnsi="宋体" w:eastAsia="宋体" w:cs="宋体"/>
          <w:b/>
          <w:color w:val="auto"/>
          <w:highlight w:val="none"/>
        </w:rPr>
        <w:t>的内容</w:t>
      </w:r>
    </w:p>
    <w:p w14:paraId="49C9383B">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由下列八部分内容组成：</w:t>
      </w:r>
    </w:p>
    <w:p w14:paraId="451BF5B6">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第一部分 </w:t>
      </w:r>
      <w:r>
        <w:rPr>
          <w:rFonts w:hint="eastAsia" w:ascii="宋体" w:hAnsi="宋体" w:eastAsia="宋体" w:cs="宋体"/>
          <w:color w:val="auto"/>
          <w:szCs w:val="21"/>
          <w:highlight w:val="none"/>
          <w:lang w:eastAsia="zh-CN"/>
        </w:rPr>
        <w:t>采购公告</w:t>
      </w:r>
    </w:p>
    <w:p w14:paraId="7F5C8BEA">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第二部分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60C5A908">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第三部分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w:t>
      </w:r>
      <w:r>
        <w:rPr>
          <w:rFonts w:hint="eastAsia" w:ascii="宋体" w:hAnsi="宋体" w:eastAsia="宋体" w:cs="宋体"/>
          <w:color w:val="auto"/>
          <w:szCs w:val="21"/>
          <w:highlight w:val="none"/>
          <w:lang w:val="en-US" w:eastAsia="zh-CN"/>
        </w:rPr>
        <w:tab/>
      </w:r>
    </w:p>
    <w:p w14:paraId="3DD07B27">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第四部分 商务、技术要求</w:t>
      </w:r>
    </w:p>
    <w:p w14:paraId="1FC0C234">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第五部分 评审方法和评分细则</w:t>
      </w:r>
    </w:p>
    <w:p w14:paraId="54B9A425">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第六部分 合同</w:t>
      </w:r>
      <w:r>
        <w:rPr>
          <w:rFonts w:hint="eastAsia" w:ascii="宋体" w:hAnsi="宋体" w:eastAsia="宋体" w:cs="宋体"/>
          <w:color w:val="auto"/>
          <w:szCs w:val="21"/>
          <w:highlight w:val="none"/>
          <w:lang w:eastAsia="zh-CN"/>
        </w:rPr>
        <w:t>条款及格式</w:t>
      </w:r>
    </w:p>
    <w:p w14:paraId="340B01F1">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第七部分 </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格式</w:t>
      </w:r>
    </w:p>
    <w:p w14:paraId="55AE31F2">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第八部分 相关附件</w:t>
      </w:r>
    </w:p>
    <w:p w14:paraId="29D54354">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除非特殊要求，</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不单独提供项目使用地的自然环境、气候条件、公用设施情况，</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过程中可以向</w:t>
      </w:r>
      <w:r>
        <w:rPr>
          <w:rFonts w:hint="eastAsia" w:ascii="宋体" w:hAnsi="宋体" w:eastAsia="宋体" w:cs="宋体"/>
          <w:color w:val="auto"/>
          <w:szCs w:val="21"/>
          <w:highlight w:val="none"/>
          <w:lang w:eastAsia="zh-CN"/>
        </w:rPr>
        <w:t>评审小组</w:t>
      </w:r>
      <w:r>
        <w:rPr>
          <w:rFonts w:hint="eastAsia" w:ascii="宋体" w:hAnsi="宋体" w:eastAsia="宋体" w:cs="宋体"/>
          <w:color w:val="auto"/>
          <w:szCs w:val="21"/>
          <w:highlight w:val="none"/>
        </w:rPr>
        <w:t>进行了解。</w:t>
      </w:r>
    </w:p>
    <w:p w14:paraId="63B85888">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6.3 </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的解释权归</w:t>
      </w:r>
      <w:r>
        <w:rPr>
          <w:rFonts w:hint="eastAsia" w:ascii="宋体" w:hAnsi="宋体" w:eastAsia="宋体" w:cs="宋体"/>
          <w:color w:val="auto"/>
          <w:highlight w:val="none"/>
        </w:rPr>
        <w:t>采购代理机构</w:t>
      </w:r>
      <w:r>
        <w:rPr>
          <w:rFonts w:hint="eastAsia" w:ascii="宋体" w:hAnsi="宋体" w:eastAsia="宋体" w:cs="宋体"/>
          <w:color w:val="auto"/>
          <w:szCs w:val="21"/>
          <w:highlight w:val="none"/>
        </w:rPr>
        <w:t>及依法成立的</w:t>
      </w:r>
      <w:r>
        <w:rPr>
          <w:rFonts w:hint="eastAsia" w:ascii="宋体" w:hAnsi="宋体" w:eastAsia="宋体" w:cs="宋体"/>
          <w:color w:val="auto"/>
          <w:szCs w:val="21"/>
          <w:highlight w:val="none"/>
          <w:lang w:eastAsia="zh-CN"/>
        </w:rPr>
        <w:t>评审小组</w:t>
      </w:r>
      <w:r>
        <w:rPr>
          <w:rFonts w:hint="eastAsia" w:ascii="宋体" w:hAnsi="宋体" w:eastAsia="宋体" w:cs="宋体"/>
          <w:color w:val="auto"/>
          <w:szCs w:val="21"/>
          <w:highlight w:val="none"/>
        </w:rPr>
        <w:t>所有。当对一个问题有多种解释时以</w:t>
      </w:r>
      <w:r>
        <w:rPr>
          <w:rFonts w:hint="eastAsia" w:ascii="宋体" w:hAnsi="宋体" w:eastAsia="宋体" w:cs="宋体"/>
          <w:color w:val="auto"/>
          <w:highlight w:val="none"/>
        </w:rPr>
        <w:t>采购代理机构</w:t>
      </w:r>
      <w:r>
        <w:rPr>
          <w:rFonts w:hint="eastAsia" w:ascii="宋体" w:hAnsi="宋体" w:eastAsia="宋体" w:cs="宋体"/>
          <w:color w:val="auto"/>
          <w:szCs w:val="21"/>
          <w:highlight w:val="none"/>
        </w:rPr>
        <w:t>及</w:t>
      </w:r>
      <w:r>
        <w:rPr>
          <w:rFonts w:hint="eastAsia" w:ascii="宋体" w:hAnsi="宋体" w:eastAsia="宋体" w:cs="宋体"/>
          <w:color w:val="auto"/>
          <w:szCs w:val="21"/>
          <w:highlight w:val="none"/>
          <w:lang w:eastAsia="zh-CN"/>
        </w:rPr>
        <w:t>评审小组</w:t>
      </w:r>
      <w:r>
        <w:rPr>
          <w:rFonts w:hint="eastAsia" w:ascii="宋体" w:hAnsi="宋体" w:eastAsia="宋体" w:cs="宋体"/>
          <w:color w:val="auto"/>
          <w:szCs w:val="21"/>
          <w:highlight w:val="none"/>
        </w:rPr>
        <w:t>解释为准。</w:t>
      </w:r>
    </w:p>
    <w:p w14:paraId="31713958">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6.4 </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未作须知明示，而又有法律、法规规定的，将对此解释为依据法律法规的规定。</w:t>
      </w:r>
    </w:p>
    <w:p w14:paraId="0BB7BC23">
      <w:pPr>
        <w:keepNext w:val="0"/>
        <w:keepLines w:val="0"/>
        <w:pageBreakBefore w:val="0"/>
        <w:widowControl w:val="0"/>
        <w:kinsoku/>
        <w:wordWrap/>
        <w:overflowPunct/>
        <w:topLinePunct w:val="0"/>
        <w:autoSpaceDE/>
        <w:autoSpaceDN/>
        <w:bidi w:val="0"/>
        <w:snapToGrid w:val="0"/>
        <w:spacing w:line="420" w:lineRule="exact"/>
        <w:ind w:firstLine="422"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 xml:space="preserve">7. </w:t>
      </w:r>
      <w:r>
        <w:rPr>
          <w:rFonts w:hint="eastAsia" w:ascii="宋体" w:hAnsi="宋体" w:eastAsia="宋体" w:cs="宋体"/>
          <w:b/>
          <w:color w:val="auto"/>
          <w:highlight w:val="none"/>
          <w:lang w:eastAsia="zh-CN"/>
        </w:rPr>
        <w:t>采购文件</w:t>
      </w:r>
      <w:r>
        <w:rPr>
          <w:rFonts w:hint="eastAsia" w:ascii="宋体" w:hAnsi="宋体" w:eastAsia="宋体" w:cs="宋体"/>
          <w:b/>
          <w:color w:val="auto"/>
          <w:highlight w:val="none"/>
        </w:rPr>
        <w:t>的澄清和修改</w:t>
      </w:r>
    </w:p>
    <w:p w14:paraId="31FAA84B">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7.1 提交首次</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截止之日前，</w:t>
      </w:r>
      <w:r>
        <w:rPr>
          <w:rFonts w:hint="eastAsia" w:ascii="宋体" w:hAnsi="宋体" w:eastAsia="宋体" w:cs="宋体"/>
          <w:color w:val="auto"/>
          <w:highlight w:val="none"/>
        </w:rPr>
        <w:t>采购代理机构</w:t>
      </w:r>
      <w:r>
        <w:rPr>
          <w:rFonts w:hint="eastAsia" w:ascii="宋体" w:hAnsi="宋体" w:eastAsia="宋体" w:cs="宋体"/>
          <w:color w:val="auto"/>
          <w:szCs w:val="21"/>
          <w:highlight w:val="none"/>
        </w:rPr>
        <w:t>可以对已发出的</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进行必要的澄清或者修改，并以</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lang w:eastAsia="zh-CN"/>
        </w:rPr>
        <w:t>通过政采云平台</w:t>
      </w:r>
      <w:r>
        <w:rPr>
          <w:rFonts w:hint="eastAsia" w:ascii="宋体" w:hAnsi="宋体" w:eastAsia="宋体" w:cs="宋体"/>
          <w:color w:val="auto"/>
          <w:szCs w:val="21"/>
          <w:highlight w:val="none"/>
        </w:rPr>
        <w:t>通知所有</w:t>
      </w:r>
      <w:r>
        <w:rPr>
          <w:rFonts w:hint="eastAsia" w:ascii="宋体" w:hAnsi="宋体" w:eastAsia="宋体" w:cs="宋体"/>
          <w:color w:val="auto"/>
          <w:szCs w:val="21"/>
          <w:highlight w:val="none"/>
          <w:lang w:eastAsia="zh-CN"/>
        </w:rPr>
        <w:t>获取采购文件</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供应商</w:t>
      </w:r>
      <w:r>
        <w:rPr>
          <w:rFonts w:hint="eastAsia" w:ascii="宋体" w:hAnsi="宋体" w:eastAsia="宋体" w:cs="宋体"/>
          <w:b/>
          <w:color w:val="auto"/>
          <w:szCs w:val="21"/>
          <w:highlight w:val="none"/>
        </w:rPr>
        <w:t>。</w:t>
      </w:r>
    </w:p>
    <w:p w14:paraId="466A339A">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澄清或修改的内容可能影响</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编制的，</w:t>
      </w:r>
      <w:r>
        <w:rPr>
          <w:rFonts w:hint="eastAsia" w:ascii="宋体" w:hAnsi="宋体" w:eastAsia="宋体" w:cs="宋体"/>
          <w:color w:val="auto"/>
          <w:highlight w:val="none"/>
        </w:rPr>
        <w:t>采购代理机构</w:t>
      </w:r>
      <w:r>
        <w:rPr>
          <w:rFonts w:hint="eastAsia" w:ascii="宋体" w:hAnsi="宋体" w:eastAsia="宋体" w:cs="宋体"/>
          <w:color w:val="auto"/>
          <w:szCs w:val="21"/>
          <w:highlight w:val="none"/>
        </w:rPr>
        <w:t>将在提交首次</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截止之日前，以</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lang w:eastAsia="zh-CN"/>
        </w:rPr>
        <w:t>通过政采云平台</w:t>
      </w:r>
      <w:r>
        <w:rPr>
          <w:rFonts w:hint="eastAsia" w:ascii="宋体" w:hAnsi="宋体" w:eastAsia="宋体" w:cs="宋体"/>
          <w:color w:val="auto"/>
          <w:szCs w:val="21"/>
          <w:highlight w:val="none"/>
        </w:rPr>
        <w:t>通知所有</w:t>
      </w:r>
      <w:r>
        <w:rPr>
          <w:rFonts w:hint="eastAsia" w:ascii="宋体" w:hAnsi="宋体" w:eastAsia="宋体" w:cs="宋体"/>
          <w:color w:val="auto"/>
          <w:szCs w:val="21"/>
          <w:highlight w:val="none"/>
          <w:lang w:eastAsia="zh-CN"/>
        </w:rPr>
        <w:t>获取采购文件</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需要为此调整</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提交截止时间的，以</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lang w:eastAsia="zh-CN"/>
        </w:rPr>
        <w:t>通过政采云平台</w:t>
      </w:r>
      <w:r>
        <w:rPr>
          <w:rFonts w:hint="eastAsia" w:ascii="宋体" w:hAnsi="宋体" w:eastAsia="宋体" w:cs="宋体"/>
          <w:color w:val="auto"/>
          <w:szCs w:val="21"/>
          <w:highlight w:val="none"/>
        </w:rPr>
        <w:t>通知所有</w:t>
      </w:r>
      <w:r>
        <w:rPr>
          <w:rFonts w:hint="eastAsia" w:ascii="宋体" w:hAnsi="宋体" w:eastAsia="宋体" w:cs="宋体"/>
          <w:color w:val="auto"/>
          <w:szCs w:val="21"/>
          <w:highlight w:val="none"/>
          <w:lang w:eastAsia="zh-CN"/>
        </w:rPr>
        <w:t>获取采购文件</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p>
    <w:p w14:paraId="7259AA51">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澄清或者修改的内容作为</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的组成部分，对所有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均具有约束力。</w:t>
      </w:r>
    </w:p>
    <w:p w14:paraId="33B858A7">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7.4 </w:t>
      </w:r>
      <w:r>
        <w:rPr>
          <w:rFonts w:hint="eastAsia" w:ascii="宋体" w:hAnsi="宋体" w:eastAsia="宋体" w:cs="宋体"/>
          <w:color w:val="auto"/>
          <w:highlight w:val="none"/>
        </w:rPr>
        <w:t>如延长</w:t>
      </w:r>
      <w:r>
        <w:rPr>
          <w:rFonts w:hint="eastAsia" w:ascii="宋体" w:hAnsi="宋体" w:eastAsia="宋体" w:cs="宋体"/>
          <w:color w:val="auto"/>
          <w:szCs w:val="21"/>
          <w:highlight w:val="none"/>
        </w:rPr>
        <w:t>提交首次</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截止</w:t>
      </w:r>
      <w:r>
        <w:rPr>
          <w:rFonts w:hint="eastAsia" w:ascii="宋体" w:hAnsi="宋体" w:eastAsia="宋体" w:cs="宋体"/>
          <w:color w:val="auto"/>
          <w:highlight w:val="none"/>
        </w:rPr>
        <w:t>时间或项目因故暂停，采购代理机构将在</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要求提交</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截止时间前，</w:t>
      </w:r>
      <w:r>
        <w:rPr>
          <w:rFonts w:hint="eastAsia" w:ascii="宋体" w:hAnsi="宋体" w:eastAsia="宋体" w:cs="宋体"/>
          <w:color w:val="auto"/>
          <w:szCs w:val="21"/>
          <w:highlight w:val="none"/>
        </w:rPr>
        <w:t>以</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lang w:eastAsia="zh-CN"/>
        </w:rPr>
        <w:t>通过政采云平台通知</w:t>
      </w:r>
      <w:r>
        <w:rPr>
          <w:rFonts w:hint="eastAsia" w:ascii="宋体" w:hAnsi="宋体" w:eastAsia="宋体" w:cs="宋体"/>
          <w:color w:val="auto"/>
          <w:szCs w:val="21"/>
          <w:highlight w:val="none"/>
        </w:rPr>
        <w:t>所有</w:t>
      </w:r>
      <w:r>
        <w:rPr>
          <w:rFonts w:hint="eastAsia" w:ascii="宋体" w:hAnsi="宋体" w:eastAsia="宋体" w:cs="宋体"/>
          <w:color w:val="auto"/>
          <w:szCs w:val="21"/>
          <w:highlight w:val="none"/>
          <w:lang w:eastAsia="zh-CN"/>
        </w:rPr>
        <w:t>获取采购文件</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p>
    <w:p w14:paraId="06A5D730">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采购代理机构是否组织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召开</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前答疑会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详见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须知前附表的规定。</w:t>
      </w:r>
    </w:p>
    <w:p w14:paraId="5F7A6DEF">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采购代理机构将视情况确定是否组织现场考察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详见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须知前附表的规定。</w:t>
      </w:r>
    </w:p>
    <w:p w14:paraId="2FA29FFA">
      <w:pPr>
        <w:pStyle w:val="52"/>
        <w:keepNext w:val="0"/>
        <w:keepLines w:val="0"/>
        <w:pageBreakBefore w:val="0"/>
        <w:kinsoku/>
        <w:wordWrap/>
        <w:overflowPunct/>
        <w:topLinePunct w:val="0"/>
        <w:autoSpaceDE/>
        <w:autoSpaceDN/>
        <w:bidi w:val="0"/>
        <w:snapToGrid w:val="0"/>
        <w:spacing w:before="156" w:beforeLines="50" w:after="156" w:afterLines="50" w:line="440" w:lineRule="exact"/>
        <w:ind w:firstLine="482" w:firstLineChars="200"/>
        <w:jc w:val="both"/>
        <w:outlineLvl w:val="1"/>
        <w:rPr>
          <w:rFonts w:hint="eastAsia" w:ascii="宋体" w:hAnsi="宋体" w:eastAsia="宋体" w:cs="宋体"/>
          <w:color w:val="auto"/>
          <w:sz w:val="24"/>
          <w:szCs w:val="24"/>
          <w:highlight w:val="none"/>
          <w:lang w:eastAsia="zh-CN"/>
        </w:rPr>
      </w:pPr>
      <w:bookmarkStart w:id="69" w:name="_Toc377713208"/>
      <w:bookmarkStart w:id="70" w:name="_Toc11892"/>
      <w:bookmarkStart w:id="71" w:name="_Toc424555843"/>
      <w:bookmarkStart w:id="72" w:name="_Toc15228"/>
      <w:bookmarkStart w:id="73" w:name="_Toc385234432"/>
      <w:bookmarkStart w:id="74" w:name="_Toc15415"/>
      <w:bookmarkStart w:id="75" w:name="_Toc7038"/>
      <w:r>
        <w:rPr>
          <w:rFonts w:hint="eastAsia" w:ascii="宋体" w:hAnsi="宋体" w:eastAsia="宋体" w:cs="宋体"/>
          <w:color w:val="auto"/>
          <w:sz w:val="24"/>
          <w:szCs w:val="24"/>
          <w:highlight w:val="none"/>
        </w:rPr>
        <w:t>三、</w:t>
      </w:r>
      <w:bookmarkEnd w:id="69"/>
      <w:bookmarkEnd w:id="70"/>
      <w:bookmarkEnd w:id="71"/>
      <w:bookmarkEnd w:id="72"/>
      <w:bookmarkEnd w:id="73"/>
      <w:r>
        <w:rPr>
          <w:rFonts w:hint="eastAsia" w:ascii="宋体" w:hAnsi="宋体" w:eastAsia="宋体" w:cs="宋体"/>
          <w:color w:val="auto"/>
          <w:sz w:val="24"/>
          <w:szCs w:val="24"/>
          <w:highlight w:val="none"/>
          <w:lang w:eastAsia="zh-CN"/>
        </w:rPr>
        <w:t>响应文件</w:t>
      </w:r>
      <w:bookmarkEnd w:id="74"/>
      <w:bookmarkEnd w:id="75"/>
    </w:p>
    <w:p w14:paraId="47BC31FB">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8. </w:t>
      </w:r>
      <w:r>
        <w:rPr>
          <w:rFonts w:hint="eastAsia" w:ascii="宋体" w:hAnsi="宋体" w:eastAsia="宋体" w:cs="宋体"/>
          <w:b/>
          <w:color w:val="auto"/>
          <w:highlight w:val="none"/>
          <w:lang w:eastAsia="zh-CN"/>
        </w:rPr>
        <w:t>响应文件</w:t>
      </w:r>
      <w:r>
        <w:rPr>
          <w:rFonts w:hint="eastAsia" w:ascii="宋体" w:hAnsi="宋体" w:eastAsia="宋体" w:cs="宋体"/>
          <w:b/>
          <w:color w:val="auto"/>
          <w:highlight w:val="none"/>
        </w:rPr>
        <w:t>的语言和计量单位</w:t>
      </w:r>
    </w:p>
    <w:p w14:paraId="42B5E24D">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8.1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提交的</w:t>
      </w:r>
      <w:r>
        <w:rPr>
          <w:rFonts w:hint="eastAsia" w:ascii="宋体" w:hAnsi="宋体" w:eastAsia="宋体" w:cs="宋体"/>
          <w:color w:val="auto"/>
          <w:highlight w:val="none"/>
          <w:lang w:eastAsia="zh-CN"/>
        </w:rPr>
        <w:t>响应文件（资格响应</w:t>
      </w:r>
      <w:r>
        <w:rPr>
          <w:rFonts w:hint="eastAsia" w:ascii="宋体" w:hAnsi="宋体" w:eastAsia="宋体" w:cs="宋体"/>
          <w:color w:val="auto"/>
          <w:highlight w:val="none"/>
        </w:rPr>
        <w:t>文件、</w:t>
      </w:r>
      <w:r>
        <w:rPr>
          <w:rFonts w:hint="eastAsia" w:ascii="宋体" w:hAnsi="宋体" w:eastAsia="宋体" w:cs="宋体"/>
          <w:color w:val="auto"/>
          <w:highlight w:val="none"/>
          <w:lang w:eastAsia="zh-CN"/>
        </w:rPr>
        <w:t>报价要求响应文件、</w:t>
      </w:r>
      <w:r>
        <w:rPr>
          <w:rFonts w:hint="eastAsia" w:ascii="宋体" w:hAnsi="宋体" w:eastAsia="宋体" w:cs="宋体"/>
          <w:color w:val="auto"/>
          <w:highlight w:val="none"/>
        </w:rPr>
        <w:t>商务技术</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w:t>
      </w:r>
      <w:r>
        <w:rPr>
          <w:rFonts w:hint="eastAsia" w:ascii="宋体" w:hAnsi="宋体" w:eastAsia="宋体" w:cs="宋体"/>
          <w:color w:val="auto"/>
          <w:highlight w:val="none"/>
          <w:lang w:eastAsia="zh-CN"/>
        </w:rPr>
        <w:t>、说明资料等内容）</w:t>
      </w:r>
      <w:r>
        <w:rPr>
          <w:rFonts w:hint="eastAsia" w:ascii="宋体" w:hAnsi="宋体" w:eastAsia="宋体" w:cs="宋体"/>
          <w:color w:val="auto"/>
          <w:highlight w:val="none"/>
        </w:rPr>
        <w:t>，包括技术资料、图纸等中的说明以及</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与采购代理机构就有关报价的所有来往函件，均应使用中文简体字。</w:t>
      </w:r>
    </w:p>
    <w:p w14:paraId="28D5276A">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8.2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所使用的计量单位，必须使用国家法定计量单位。</w:t>
      </w:r>
    </w:p>
    <w:p w14:paraId="173A7E6C">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8.3 原版为外文的证书类文件，以及由外国人做出的本人签名、外国公司的名称或外国印章等可以是外文，但应当提供中文翻译文件并加盖供应商公章。必要时评审小组可以要求供应商提供附有公证书的中文翻译文件或者与原版文件签章相一致的中文翻译文件。</w:t>
      </w:r>
    </w:p>
    <w:p w14:paraId="1E200ACC">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原版为外文的证书类、证明类文件，与供应商名称或其他实际情况不符的，供应商应当提供相关证明文件。</w:t>
      </w:r>
    </w:p>
    <w:p w14:paraId="114C7609">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9. </w:t>
      </w:r>
      <w:r>
        <w:rPr>
          <w:rFonts w:hint="eastAsia" w:ascii="宋体" w:hAnsi="宋体" w:eastAsia="宋体" w:cs="宋体"/>
          <w:b/>
          <w:color w:val="auto"/>
          <w:highlight w:val="none"/>
          <w:lang w:eastAsia="zh-CN"/>
        </w:rPr>
        <w:t>响应文件</w:t>
      </w:r>
      <w:r>
        <w:rPr>
          <w:rFonts w:hint="eastAsia" w:ascii="宋体" w:hAnsi="宋体" w:eastAsia="宋体" w:cs="宋体"/>
          <w:b/>
          <w:color w:val="auto"/>
          <w:highlight w:val="none"/>
        </w:rPr>
        <w:t>的组成及相关要求</w:t>
      </w:r>
    </w:p>
    <w:p w14:paraId="199909AF">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9.1响应文件分为资格响应文件部分、报价要求响应文件部分和商务技术响应文件部分。</w:t>
      </w:r>
    </w:p>
    <w:p w14:paraId="35DFB9B0">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本次采购，供应商应按本采购文件要求提交资格响应文件部分、报价要求响应文件部分和商务技术响应文件部分内容及需要供应商自行编写的其他文件。其中资格性、符合性审查内容为必须作出实质性响应，若有缺失或无效，将作无效响应处理。</w:t>
      </w:r>
    </w:p>
    <w:p w14:paraId="7ECBFACB">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9.2 响应文件内容有格式的详见本采购文件第七部分。商务技术响应文件部分按照采购文件所规定的内容顺序编排(详见供应商须知前附表)，统一编目、编页码（响应文件中复印件及彩色宣传资料等均须与响应文件正文一起逐页编排页码）。</w:t>
      </w:r>
    </w:p>
    <w:p w14:paraId="352FF02A">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9.3 辅助纸质响应文件规格幅面（A4）。供应商须按供应商须知前附表的要求提交响应文件电子版及纸质版正本和副本份数。另外，纸质响应文件需严格与电子响应文件保持一致，一旦出现不符，以电子响应文件为准。装订须采用胶订形式，将资格响应文件、报价要求响应文件和商务技术响应文件装订成一册，不得采用活页装订；同时必须将响应文件正、副本分别胶装成册。</w:t>
      </w:r>
    </w:p>
    <w:p w14:paraId="3286A7FC">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val="en-US" w:eastAsia="zh-CN"/>
        </w:rPr>
        <w:t>10.</w:t>
      </w:r>
      <w:r>
        <w:rPr>
          <w:rFonts w:hint="eastAsia" w:ascii="宋体" w:hAnsi="宋体" w:eastAsia="宋体" w:cs="宋体"/>
          <w:b/>
          <w:bCs w:val="0"/>
          <w:color w:val="auto"/>
          <w:highlight w:val="none"/>
        </w:rPr>
        <w:t xml:space="preserve"> </w:t>
      </w:r>
      <w:r>
        <w:rPr>
          <w:rFonts w:hint="eastAsia" w:ascii="宋体" w:hAnsi="宋体" w:eastAsia="宋体" w:cs="宋体"/>
          <w:b/>
          <w:bCs w:val="0"/>
          <w:color w:val="auto"/>
          <w:highlight w:val="none"/>
          <w:lang w:eastAsia="zh-CN"/>
        </w:rPr>
        <w:t>磋商保证金</w:t>
      </w:r>
    </w:p>
    <w:p w14:paraId="0CD470D5">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供应商需在开标前</w:t>
      </w:r>
      <w:r>
        <w:rPr>
          <w:rFonts w:hint="eastAsia" w:ascii="宋体" w:hAnsi="宋体" w:eastAsia="宋体" w:cs="宋体"/>
          <w:color w:val="auto"/>
          <w:highlight w:val="none"/>
        </w:rPr>
        <w:t>提交</w:t>
      </w:r>
      <w:r>
        <w:rPr>
          <w:rFonts w:hint="eastAsia" w:ascii="宋体" w:hAnsi="宋体" w:eastAsia="宋体" w:cs="宋体"/>
          <w:color w:val="auto"/>
          <w:highlight w:val="none"/>
          <w:lang w:eastAsia="zh-CN"/>
        </w:rPr>
        <w:t>保证金</w:t>
      </w:r>
      <w:r>
        <w:rPr>
          <w:rFonts w:hint="eastAsia" w:ascii="宋体" w:hAnsi="宋体" w:eastAsia="宋体" w:cs="宋体"/>
          <w:color w:val="auto"/>
          <w:highlight w:val="none"/>
        </w:rPr>
        <w:t>，详见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r>
        <w:rPr>
          <w:rFonts w:hint="eastAsia" w:ascii="宋体" w:hAnsi="宋体" w:eastAsia="宋体" w:cs="宋体"/>
          <w:color w:val="auto"/>
          <w:highlight w:val="none"/>
          <w:lang w:eastAsia="zh-CN"/>
        </w:rPr>
        <w:t>，不得超过预算金额的</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p>
    <w:p w14:paraId="2F9E087A">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 xml:space="preserve"> 磋商保证金缴纳凭证及支票、汇票、本票或者金融机构、担保机构出具的保函按采购文件要求编入响应文件中，否则视为未提交</w:t>
      </w:r>
      <w:r>
        <w:rPr>
          <w:rFonts w:hint="eastAsia" w:ascii="宋体" w:hAnsi="宋体" w:eastAsia="宋体" w:cs="宋体"/>
          <w:color w:val="auto"/>
          <w:highlight w:val="none"/>
        </w:rPr>
        <w:t>。</w:t>
      </w:r>
    </w:p>
    <w:p w14:paraId="6A3124A7">
      <w:pPr>
        <w:pStyle w:val="4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磋商保证金</w:t>
      </w:r>
      <w:r>
        <w:rPr>
          <w:rFonts w:hint="eastAsia" w:ascii="宋体" w:hAnsi="宋体" w:eastAsia="宋体" w:cs="宋体"/>
          <w:color w:val="auto"/>
          <w:highlight w:val="none"/>
        </w:rPr>
        <w:t>是为了保护</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免遭因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的行为而蒙受的损失；</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代理机构在</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的行为受到以下损害时可根据有关规定没收</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磋商保证金</w:t>
      </w:r>
      <w:r>
        <w:rPr>
          <w:rFonts w:hint="eastAsia" w:ascii="宋体" w:hAnsi="宋体" w:eastAsia="宋体" w:cs="宋体"/>
          <w:color w:val="auto"/>
          <w:highlight w:val="none"/>
        </w:rPr>
        <w:t>：</w:t>
      </w:r>
    </w:p>
    <w:p w14:paraId="6BABC7A0">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（一）供应商在提交响应文件截止时间后撤回响应文件的；</w:t>
      </w:r>
    </w:p>
    <w:p w14:paraId="627F75B6">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（二）供应商在响应文件中提供虚假材料的；</w:t>
      </w:r>
    </w:p>
    <w:p w14:paraId="24CFAC4B">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（三）除因不可抗力或采购文件认可的情形以外，中标（成交）单位不与采购人签订合同的；</w:t>
      </w:r>
    </w:p>
    <w:p w14:paraId="3208F929">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（四）供应商与采购人、其他供应商或者采购代理机构恶意串通的；</w:t>
      </w:r>
    </w:p>
    <w:p w14:paraId="43B99854">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（五）采购文件规定的其他情形。</w:t>
      </w:r>
    </w:p>
    <w:p w14:paraId="4E380A9E">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采购人或者采购代理机构应当自</w:t>
      </w:r>
      <w:r>
        <w:rPr>
          <w:rFonts w:hint="eastAsia" w:ascii="宋体" w:hAnsi="宋体" w:eastAsia="宋体" w:cs="宋体"/>
          <w:color w:val="auto"/>
          <w:highlight w:val="none"/>
          <w:lang w:eastAsia="zh-CN"/>
        </w:rPr>
        <w:t>中标（成交）</w:t>
      </w:r>
      <w:r>
        <w:rPr>
          <w:rFonts w:hint="eastAsia" w:ascii="宋体" w:hAnsi="宋体" w:eastAsia="宋体" w:cs="宋体"/>
          <w:color w:val="auto"/>
          <w:highlight w:val="none"/>
        </w:rPr>
        <w:t>通知书发出之日起5个工作日内退还未</w:t>
      </w:r>
      <w:r>
        <w:rPr>
          <w:rFonts w:hint="eastAsia" w:ascii="宋体" w:hAnsi="宋体" w:eastAsia="宋体" w:cs="宋体"/>
          <w:color w:val="auto"/>
          <w:highlight w:val="none"/>
          <w:lang w:eastAsia="zh-CN"/>
        </w:rPr>
        <w:t>中标单位（未成交供应商）</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磋商保证金</w:t>
      </w:r>
      <w:r>
        <w:rPr>
          <w:rFonts w:hint="eastAsia" w:ascii="宋体" w:hAnsi="宋体" w:eastAsia="宋体" w:cs="宋体"/>
          <w:color w:val="auto"/>
          <w:highlight w:val="none"/>
        </w:rPr>
        <w:t>，自合同签订之日起5个工作日内退还</w:t>
      </w:r>
      <w:r>
        <w:rPr>
          <w:rFonts w:hint="eastAsia" w:ascii="宋体" w:hAnsi="宋体" w:eastAsia="宋体" w:cs="宋体"/>
          <w:color w:val="auto"/>
          <w:highlight w:val="none"/>
          <w:lang w:eastAsia="zh-CN"/>
        </w:rPr>
        <w:t>中标单位（成交供应商）</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磋商保证金</w:t>
      </w:r>
      <w:r>
        <w:rPr>
          <w:rFonts w:hint="eastAsia" w:ascii="宋体" w:hAnsi="宋体" w:eastAsia="宋体" w:cs="宋体"/>
          <w:color w:val="auto"/>
          <w:highlight w:val="none"/>
          <w:lang w:val="en-US" w:eastAsia="zh-CN"/>
        </w:rPr>
        <w:t>。</w:t>
      </w:r>
    </w:p>
    <w:p w14:paraId="283E7BEA">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11</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eastAsia="zh-CN"/>
        </w:rPr>
        <w:t>磋商</w:t>
      </w:r>
      <w:r>
        <w:rPr>
          <w:rFonts w:hint="eastAsia" w:ascii="宋体" w:hAnsi="宋体" w:eastAsia="宋体" w:cs="宋体"/>
          <w:b/>
          <w:color w:val="auto"/>
          <w:highlight w:val="none"/>
        </w:rPr>
        <w:t>报价</w:t>
      </w:r>
    </w:p>
    <w:p w14:paraId="19423558">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.1 所有的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报价均以人民币元为计算单位。</w:t>
      </w:r>
    </w:p>
    <w:p w14:paraId="58FAB62C">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中，要填报“</w:t>
      </w:r>
      <w:r>
        <w:rPr>
          <w:rFonts w:hint="eastAsia" w:ascii="宋体" w:hAnsi="宋体" w:eastAsia="宋体" w:cs="宋体"/>
          <w:color w:val="auto"/>
          <w:szCs w:val="21"/>
          <w:highlight w:val="none"/>
          <w:lang w:eastAsia="zh-CN"/>
        </w:rPr>
        <w:t>报价一览表</w:t>
      </w:r>
      <w:r>
        <w:rPr>
          <w:rFonts w:hint="eastAsia" w:ascii="宋体" w:hAnsi="宋体" w:eastAsia="宋体" w:cs="宋体"/>
          <w:color w:val="auto"/>
          <w:szCs w:val="21"/>
          <w:highlight w:val="none"/>
        </w:rPr>
        <w:t>”（格式见第七部分），必须对所列的全部项目进行报价，不允许对其中一项或几项进行报价，否则视为无效</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报价应是根据</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所确定的</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范围内的全部工作、内容的价格体现。</w:t>
      </w:r>
    </w:p>
    <w:p w14:paraId="5A23F2A7">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eastAsia="zh-CN"/>
        </w:rPr>
        <w:t>响应文件</w:t>
      </w:r>
      <w:r>
        <w:rPr>
          <w:rFonts w:hint="eastAsia" w:ascii="宋体" w:hAnsi="宋体" w:eastAsia="宋体" w:cs="宋体"/>
          <w:b/>
          <w:color w:val="auto"/>
          <w:highlight w:val="none"/>
        </w:rPr>
        <w:t>填写说明</w:t>
      </w:r>
    </w:p>
    <w:p w14:paraId="662078B6">
      <w:pPr>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.1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应详细阅读</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的全部内容。</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应对</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中的要求要做出有效性和完整性的响应。</w:t>
      </w:r>
      <w:r>
        <w:rPr>
          <w:rFonts w:hint="eastAsia" w:ascii="宋体" w:hAnsi="宋体" w:eastAsia="宋体" w:cs="宋体"/>
          <w:color w:val="auto"/>
          <w:szCs w:val="21"/>
          <w:highlight w:val="none"/>
        </w:rPr>
        <w:t>如果不能按照</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要求提交全部资料或者不能对</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过程中各方面的要求做出实质性响应，可能导致</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按无效处理</w:t>
      </w:r>
      <w:r>
        <w:rPr>
          <w:rFonts w:hint="eastAsia" w:ascii="宋体" w:hAnsi="宋体" w:eastAsia="宋体" w:cs="宋体"/>
          <w:color w:val="auto"/>
          <w:szCs w:val="21"/>
          <w:highlight w:val="none"/>
          <w:lang w:eastAsia="zh-CN"/>
        </w:rPr>
        <w:t>；供应商照搬照抄采购文件技术、商务要求，且未提供技术资料或提供资料不详的，评审小组有权决定是否通知供应商限期进行书面解释或提供相关证明材料。若已要求，而该供应商在规定期限内未做出解释、做出的解释不合理或不能提供证明材料的，评审小组有权作无效响应处理</w:t>
      </w:r>
      <w:r>
        <w:rPr>
          <w:rFonts w:hint="eastAsia" w:ascii="宋体" w:hAnsi="宋体" w:eastAsia="宋体" w:cs="宋体"/>
          <w:color w:val="auto"/>
          <w:szCs w:val="21"/>
          <w:highlight w:val="none"/>
        </w:rPr>
        <w:t>。</w:t>
      </w:r>
    </w:p>
    <w:p w14:paraId="52F1B46B">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1</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 xml:space="preserve"> </w:t>
      </w:r>
      <w:r>
        <w:rPr>
          <w:rFonts w:hint="eastAsia" w:ascii="宋体" w:hAnsi="宋体" w:eastAsia="宋体" w:cs="宋体"/>
          <w:b/>
          <w:bCs/>
          <w:color w:val="auto"/>
          <w:highlight w:val="none"/>
          <w:lang w:eastAsia="zh-CN"/>
        </w:rPr>
        <w:t>采购文件</w:t>
      </w:r>
      <w:r>
        <w:rPr>
          <w:rFonts w:hint="eastAsia" w:ascii="宋体" w:hAnsi="宋体" w:eastAsia="宋体" w:cs="宋体"/>
          <w:b/>
          <w:bCs/>
          <w:color w:val="auto"/>
          <w:highlight w:val="none"/>
        </w:rPr>
        <w:t>第七部分</w:t>
      </w:r>
      <w:r>
        <w:rPr>
          <w:rFonts w:hint="eastAsia" w:ascii="宋体" w:hAnsi="宋体" w:eastAsia="宋体" w:cs="宋体"/>
          <w:b/>
          <w:bCs/>
          <w:color w:val="auto"/>
          <w:highlight w:val="none"/>
          <w:lang w:eastAsia="zh-CN"/>
        </w:rPr>
        <w:t>响应文件</w:t>
      </w:r>
      <w:r>
        <w:rPr>
          <w:rFonts w:hint="eastAsia" w:ascii="宋体" w:hAnsi="宋体" w:eastAsia="宋体" w:cs="宋体"/>
          <w:b/>
          <w:bCs/>
          <w:color w:val="auto"/>
          <w:highlight w:val="none"/>
        </w:rPr>
        <w:t>格式中有格式的，应按规定的统一格式逐项填写，不准有空项；无相应内容可填的项应填写“无”、“未测试”、“没有相应指标”等明确的回答文字。</w:t>
      </w:r>
    </w:p>
    <w:p w14:paraId="4BAB9FF2">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报价一览表</w:t>
      </w:r>
      <w:r>
        <w:rPr>
          <w:rFonts w:hint="eastAsia" w:ascii="宋体" w:hAnsi="宋体" w:eastAsia="宋体" w:cs="宋体"/>
          <w:color w:val="auto"/>
          <w:highlight w:val="none"/>
        </w:rPr>
        <w:t>应按</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提供的格式统一填写。</w:t>
      </w:r>
    </w:p>
    <w:p w14:paraId="4EB9FD88">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必须保证</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所提供的全部资料真实可靠，并接受</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对其中任何资料进一步审查的要求。</w:t>
      </w:r>
    </w:p>
    <w:p w14:paraId="7F3D2127">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1</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 xml:space="preserve"> 为提倡诚实信用的行为，特别要求</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应本着诚信精神，在本次</w:t>
      </w:r>
      <w:r>
        <w:rPr>
          <w:rFonts w:hint="eastAsia" w:ascii="宋体" w:hAnsi="宋体" w:eastAsia="宋体" w:cs="宋体"/>
          <w:b/>
          <w:bCs/>
          <w:color w:val="auto"/>
          <w:highlight w:val="none"/>
          <w:lang w:eastAsia="zh-CN"/>
        </w:rPr>
        <w:t>响应文件</w:t>
      </w:r>
      <w:r>
        <w:rPr>
          <w:rFonts w:hint="eastAsia" w:ascii="宋体" w:hAnsi="宋体" w:eastAsia="宋体" w:cs="宋体"/>
          <w:b/>
          <w:bCs/>
          <w:color w:val="auto"/>
          <w:highlight w:val="none"/>
        </w:rPr>
        <w:t>的偏离表和其它偏离文件中(若本次</w:t>
      </w:r>
      <w:r>
        <w:rPr>
          <w:rFonts w:hint="eastAsia" w:ascii="宋体" w:hAnsi="宋体" w:eastAsia="宋体" w:cs="宋体"/>
          <w:b/>
          <w:bCs/>
          <w:color w:val="auto"/>
          <w:highlight w:val="none"/>
          <w:lang w:eastAsia="zh-CN"/>
        </w:rPr>
        <w:t>采购文件</w:t>
      </w:r>
      <w:r>
        <w:rPr>
          <w:rFonts w:hint="eastAsia" w:ascii="宋体" w:hAnsi="宋体" w:eastAsia="宋体" w:cs="宋体"/>
          <w:b/>
          <w:bCs/>
          <w:color w:val="auto"/>
          <w:highlight w:val="none"/>
        </w:rPr>
        <w:t>中没有提供偏离表或其它偏离文件样本，</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亦应当自制偏离表并装订于本次</w:t>
      </w:r>
      <w:r>
        <w:rPr>
          <w:rFonts w:hint="eastAsia" w:ascii="宋体" w:hAnsi="宋体" w:eastAsia="宋体" w:cs="宋体"/>
          <w:b/>
          <w:bCs/>
          <w:color w:val="auto"/>
          <w:highlight w:val="none"/>
          <w:lang w:eastAsia="zh-CN"/>
        </w:rPr>
        <w:t>响应文件</w:t>
      </w:r>
      <w:r>
        <w:rPr>
          <w:rFonts w:hint="eastAsia" w:ascii="宋体" w:hAnsi="宋体" w:eastAsia="宋体" w:cs="宋体"/>
          <w:b/>
          <w:bCs/>
          <w:color w:val="auto"/>
          <w:highlight w:val="none"/>
        </w:rPr>
        <w:t>中，并应当在总目录及分目录上清楚表明所在页数)，以审慎的态度明确、清楚地披露各项偏离。若</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对某一事项是否存在或是否属于偏离不能确定，亦必须在偏离表中清楚地表明该偏离事项，并可以注明</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不能确定</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的字</w:t>
      </w:r>
      <w:r>
        <w:rPr>
          <w:rFonts w:hint="eastAsia" w:ascii="宋体" w:hAnsi="宋体" w:eastAsia="宋体" w:cs="宋体"/>
          <w:b/>
          <w:bCs/>
          <w:color w:val="auto"/>
          <w:highlight w:val="none"/>
          <w:lang w:val="en-US" w:eastAsia="zh-CN"/>
        </w:rPr>
        <w:t>样。</w:t>
      </w:r>
    </w:p>
    <w:p w14:paraId="78377F5A">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eastAsia="zh-CN"/>
        </w:rPr>
        <w:t>响应文件</w:t>
      </w:r>
      <w:r>
        <w:rPr>
          <w:rFonts w:hint="eastAsia" w:ascii="宋体" w:hAnsi="宋体" w:eastAsia="宋体" w:cs="宋体"/>
          <w:b/>
          <w:color w:val="auto"/>
          <w:highlight w:val="none"/>
        </w:rPr>
        <w:t>的有效期</w:t>
      </w:r>
    </w:p>
    <w:p w14:paraId="7AF16DA8">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b/>
          <w:color w:val="auto"/>
          <w:highlight w:val="none"/>
        </w:rPr>
      </w:pPr>
      <w:r>
        <w:rPr>
          <w:rFonts w:hint="eastAsia" w:ascii="宋体" w:hAnsi="宋体" w:eastAsia="宋体" w:cs="宋体"/>
          <w:color w:val="auto"/>
          <w:highlight w:val="none"/>
        </w:rPr>
        <w:t>本项目</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的有效期详见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34DA5F1C">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eastAsia="zh-CN"/>
        </w:rPr>
        <w:t>响应文件</w:t>
      </w:r>
      <w:r>
        <w:rPr>
          <w:rFonts w:hint="eastAsia" w:ascii="宋体" w:hAnsi="宋体" w:eastAsia="宋体" w:cs="宋体"/>
          <w:b/>
          <w:color w:val="auto"/>
          <w:highlight w:val="none"/>
        </w:rPr>
        <w:t>的签署及其他规定</w:t>
      </w:r>
    </w:p>
    <w:p w14:paraId="085F7461">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eastAsia="zh-CN"/>
        </w:rPr>
      </w:pPr>
      <w:bookmarkStart w:id="76" w:name="_Toc17555"/>
      <w:bookmarkStart w:id="77" w:name="_Toc424555844"/>
      <w:bookmarkStart w:id="78" w:name="_Toc15399"/>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rPr>
        <w:t xml:space="preserve">.1 </w:t>
      </w:r>
      <w:r>
        <w:rPr>
          <w:rFonts w:hint="eastAsia" w:ascii="宋体" w:hAnsi="宋体" w:eastAsia="宋体" w:cs="宋体"/>
          <w:color w:val="auto"/>
          <w:highlight w:val="none"/>
          <w:lang w:eastAsia="zh-CN"/>
        </w:rPr>
        <w:t>电子响应文件要求</w:t>
      </w:r>
    </w:p>
    <w:p w14:paraId="3F0F9588">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供应商在响应文件及相关文件的签订、履行、通知等事项的书面文件中的“</w:t>
      </w:r>
      <w:r>
        <w:rPr>
          <w:rFonts w:hint="eastAsia" w:ascii="宋体" w:hAnsi="宋体" w:eastAsia="宋体" w:cs="宋体"/>
          <w:color w:val="auto"/>
          <w:highlight w:val="none"/>
          <w:lang w:val="en-US" w:eastAsia="zh-CN"/>
        </w:rPr>
        <w:t>加盖公章</w:t>
      </w:r>
      <w:r>
        <w:rPr>
          <w:rFonts w:hint="eastAsia" w:ascii="宋体" w:hAnsi="宋体" w:eastAsia="宋体" w:cs="宋体"/>
          <w:color w:val="auto"/>
          <w:highlight w:val="none"/>
          <w:lang w:eastAsia="zh-CN"/>
        </w:rPr>
        <w:t>”、“单位盖章”、“印章”、“公章”等处均仅指与当事人名称全称相一致</w:t>
      </w:r>
      <w:r>
        <w:rPr>
          <w:rFonts w:hint="eastAsia" w:ascii="宋体" w:hAnsi="宋体" w:eastAsia="宋体" w:cs="宋体"/>
          <w:color w:val="auto"/>
          <w:highlight w:val="none"/>
          <w:lang w:val="en-US" w:eastAsia="zh-CN"/>
        </w:rPr>
        <w:t>企业、法定代表人CA电子签章及电子签名，委托代理人如已有数字证书，委托代理人签字部分需使用数字证书进行电子签章；如委托代理人无数字证书，委托代理人签字部分由委托代理人在纸质文件上签字后扫描到电子响应文件中</w:t>
      </w:r>
      <w:r>
        <w:rPr>
          <w:rFonts w:hint="eastAsia" w:ascii="宋体" w:hAnsi="宋体" w:eastAsia="宋体" w:cs="宋体"/>
          <w:color w:val="auto"/>
          <w:highlight w:val="none"/>
          <w:lang w:eastAsia="zh-CN"/>
        </w:rPr>
        <w:t>。</w:t>
      </w:r>
    </w:p>
    <w:p w14:paraId="623508A8">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eastAsia="zh-CN"/>
        </w:rPr>
        <w:t>辅助版纸质响应文件要求</w:t>
      </w:r>
    </w:p>
    <w:p w14:paraId="7D94347D">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b/>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及相关文件的签订、履行、通知等事项的书面文件中的</w:t>
      </w:r>
      <w:r>
        <w:rPr>
          <w:rFonts w:hint="eastAsia" w:ascii="宋体" w:hAnsi="宋体" w:eastAsia="宋体" w:cs="宋体"/>
          <w:color w:val="auto"/>
          <w:highlight w:val="none"/>
          <w:lang w:eastAsia="zh-CN"/>
        </w:rPr>
        <w:t>“</w:t>
      </w:r>
      <w:r>
        <w:rPr>
          <w:rFonts w:hint="eastAsia" w:ascii="宋体" w:hAnsi="宋体" w:eastAsia="宋体" w:cs="宋体"/>
          <w:color w:val="auto"/>
          <w:kern w:val="0"/>
          <w:sz w:val="21"/>
          <w:szCs w:val="21"/>
          <w:highlight w:val="none"/>
          <w:lang w:val="en-US" w:eastAsia="zh-CN" w:bidi="ar-SA"/>
        </w:rPr>
        <w:t>加盖公章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“单位盖章”、“印章”、“公章”等处均仅指与当事人名称全称相一致的标准公章，不得使用其它（如带有“专用章”等字样）印章</w:t>
      </w:r>
      <w:r>
        <w:rPr>
          <w:rFonts w:hint="eastAsia" w:ascii="宋体" w:hAnsi="宋体" w:eastAsia="宋体" w:cs="宋体"/>
          <w:b w:val="0"/>
          <w:bCs/>
          <w:color w:val="auto"/>
          <w:highlight w:val="none"/>
        </w:rPr>
        <w:t>。</w:t>
      </w:r>
    </w:p>
    <w:p w14:paraId="49B81F34">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kern w:val="2"/>
          <w:highlight w:val="none"/>
          <w:lang w:eastAsia="zh-CN"/>
        </w:rPr>
        <w:t>（</w:t>
      </w:r>
      <w:r>
        <w:rPr>
          <w:rFonts w:hint="eastAsia" w:ascii="宋体" w:hAnsi="宋体" w:eastAsia="宋体" w:cs="宋体"/>
          <w:color w:val="auto"/>
          <w:kern w:val="2"/>
          <w:highlight w:val="none"/>
          <w:lang w:val="en-US" w:eastAsia="zh-CN"/>
        </w:rPr>
        <w:t>2</w:t>
      </w:r>
      <w:r>
        <w:rPr>
          <w:rFonts w:hint="eastAsia" w:ascii="宋体" w:hAnsi="宋体" w:eastAsia="宋体" w:cs="宋体"/>
          <w:color w:val="auto"/>
          <w:kern w:val="2"/>
          <w:highlight w:val="none"/>
          <w:lang w:eastAsia="zh-CN"/>
        </w:rPr>
        <w:t>）</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应按照</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要求，必须</w:t>
      </w:r>
      <w:r>
        <w:rPr>
          <w:rFonts w:hint="eastAsia" w:ascii="宋体" w:hAnsi="宋体" w:eastAsia="宋体" w:cs="宋体"/>
          <w:color w:val="auto"/>
          <w:highlight w:val="none"/>
          <w:lang w:eastAsia="zh-CN"/>
        </w:rPr>
        <w:t>将响应文件</w:t>
      </w:r>
      <w:r>
        <w:rPr>
          <w:rFonts w:hint="eastAsia" w:ascii="宋体" w:hAnsi="宋体" w:eastAsia="宋体" w:cs="宋体"/>
          <w:color w:val="auto"/>
          <w:highlight w:val="none"/>
        </w:rPr>
        <w:t>的正本和副本用不褪色的蓝黑墨水填写或打印，注明“正本”“副本”字样，在每一份</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的正本和副本封面下方填写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全称并加盖公章，</w:t>
      </w:r>
      <w:r>
        <w:rPr>
          <w:rFonts w:hint="eastAsia" w:ascii="宋体" w:hAnsi="宋体" w:eastAsia="宋体" w:cs="宋体"/>
          <w:color w:val="auto"/>
          <w:highlight w:val="none"/>
          <w:lang w:eastAsia="zh-CN"/>
        </w:rPr>
        <w:t>并</w:t>
      </w:r>
      <w:r>
        <w:rPr>
          <w:rFonts w:hint="eastAsia" w:ascii="宋体" w:hAnsi="宋体" w:eastAsia="宋体" w:cs="宋体"/>
          <w:color w:val="auto"/>
          <w:highlight w:val="none"/>
        </w:rPr>
        <w:t>在该处签署法定代表人或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代表的全名或加盖本人签名章。</w:t>
      </w:r>
    </w:p>
    <w:p w14:paraId="54AEAF9F">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应字迹清楚、内容齐全、不得涂改或增删。如有修改和增删，必须有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公章及法定代表人或其授权代表签字。因</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字迹模糊或表达不清所引起的不利后果由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自行承担。</w:t>
      </w:r>
    </w:p>
    <w:p w14:paraId="6D588245">
      <w:pPr>
        <w:pStyle w:val="52"/>
        <w:keepNext w:val="0"/>
        <w:keepLines w:val="0"/>
        <w:pageBreakBefore w:val="0"/>
        <w:kinsoku/>
        <w:wordWrap/>
        <w:overflowPunct/>
        <w:topLinePunct w:val="0"/>
        <w:autoSpaceDE/>
        <w:autoSpaceDN/>
        <w:bidi w:val="0"/>
        <w:snapToGrid w:val="0"/>
        <w:spacing w:before="156" w:beforeLines="50" w:after="156" w:afterLines="50" w:line="440" w:lineRule="exact"/>
        <w:ind w:firstLine="482" w:firstLineChars="200"/>
        <w:jc w:val="both"/>
        <w:outlineLvl w:val="1"/>
        <w:rPr>
          <w:rFonts w:hint="eastAsia" w:ascii="宋体" w:hAnsi="宋体" w:eastAsia="宋体" w:cs="宋体"/>
          <w:color w:val="auto"/>
          <w:sz w:val="24"/>
          <w:szCs w:val="24"/>
          <w:highlight w:val="none"/>
        </w:rPr>
      </w:pPr>
      <w:bookmarkStart w:id="79" w:name="_Toc1883"/>
      <w:bookmarkStart w:id="80" w:name="_Toc31394"/>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的提交</w:t>
      </w:r>
      <w:bookmarkEnd w:id="76"/>
      <w:bookmarkEnd w:id="77"/>
      <w:bookmarkEnd w:id="78"/>
      <w:bookmarkEnd w:id="79"/>
      <w:bookmarkEnd w:id="80"/>
    </w:p>
    <w:p w14:paraId="087CCCA0">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b/>
          <w:color w:val="auto"/>
          <w:highlight w:val="none"/>
          <w:lang w:val="en-US" w:eastAsia="zh-CN"/>
        </w:rPr>
      </w:pPr>
      <w:bookmarkStart w:id="81" w:name="_Toc424555845"/>
      <w:bookmarkStart w:id="82" w:name="_Toc30505"/>
      <w:bookmarkStart w:id="83" w:name="_Toc29754"/>
      <w:r>
        <w:rPr>
          <w:rFonts w:hint="eastAsia" w:ascii="宋体" w:hAnsi="宋体" w:eastAsia="宋体" w:cs="宋体"/>
          <w:b/>
          <w:color w:val="auto"/>
          <w:highlight w:val="none"/>
          <w:lang w:val="en-US" w:eastAsia="zh-CN"/>
        </w:rPr>
        <w:t>15. 辅助</w:t>
      </w:r>
      <w:r>
        <w:rPr>
          <w:rFonts w:hint="eastAsia" w:ascii="宋体" w:hAnsi="宋体" w:eastAsia="宋体" w:cs="宋体"/>
          <w:b/>
          <w:color w:val="auto"/>
          <w:highlight w:val="none"/>
          <w:lang w:eastAsia="zh-CN"/>
        </w:rPr>
        <w:t>纸质响应文件</w:t>
      </w:r>
      <w:r>
        <w:rPr>
          <w:rFonts w:hint="eastAsia" w:ascii="宋体" w:hAnsi="宋体" w:eastAsia="宋体" w:cs="宋体"/>
          <w:b/>
          <w:color w:val="auto"/>
          <w:highlight w:val="none"/>
        </w:rPr>
        <w:t>的密封及标记</w:t>
      </w:r>
    </w:p>
    <w:p w14:paraId="022B36C8">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须将</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所有正、副本</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U盘</w:t>
      </w:r>
      <w:r>
        <w:rPr>
          <w:rFonts w:hint="eastAsia" w:ascii="宋体" w:hAnsi="宋体" w:eastAsia="宋体" w:cs="宋体"/>
          <w:color w:val="auto"/>
          <w:highlight w:val="none"/>
        </w:rPr>
        <w:t>及</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认为有必要提交的其他资料密封在同一袋内提交。封皮上须写明项目编号、项目名称、</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全称，注明“</w:t>
      </w:r>
      <w:r>
        <w:rPr>
          <w:rFonts w:hint="eastAsia" w:ascii="宋体" w:hAnsi="宋体" w:eastAsia="宋体" w:cs="宋体"/>
          <w:color w:val="auto"/>
          <w:highlight w:val="none"/>
          <w:lang w:eastAsia="zh-CN"/>
        </w:rPr>
        <w:t>开标会议</w:t>
      </w:r>
      <w:r>
        <w:rPr>
          <w:rFonts w:hint="eastAsia" w:ascii="宋体" w:hAnsi="宋体" w:eastAsia="宋体" w:cs="宋体"/>
          <w:color w:val="auto"/>
          <w:highlight w:val="none"/>
        </w:rPr>
        <w:t>时启封”字样并加盖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公章。</w:t>
      </w:r>
    </w:p>
    <w:p w14:paraId="06DBC583">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 如果</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未对</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进行密封、盖章，采购代理机构将拒收其</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，并且对由此带来的问题和后果概不承担任何责任。</w:t>
      </w:r>
    </w:p>
    <w:p w14:paraId="462861B4">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w:t>
      </w:r>
      <w:r>
        <w:rPr>
          <w:rFonts w:hint="eastAsia" w:ascii="宋体" w:hAnsi="宋体" w:eastAsia="宋体" w:cs="宋体"/>
          <w:b/>
          <w:color w:val="auto"/>
          <w:highlight w:val="none"/>
          <w:lang w:val="en-US" w:eastAsia="zh-CN"/>
        </w:rPr>
        <w:t>6</w:t>
      </w:r>
      <w:r>
        <w:rPr>
          <w:rFonts w:hint="eastAsia" w:ascii="宋体" w:hAnsi="宋体" w:eastAsia="宋体" w:cs="宋体"/>
          <w:b/>
          <w:color w:val="auto"/>
          <w:highlight w:val="none"/>
        </w:rPr>
        <w:t>. 提交</w:t>
      </w:r>
      <w:r>
        <w:rPr>
          <w:rFonts w:hint="eastAsia" w:ascii="宋体" w:hAnsi="宋体" w:eastAsia="宋体" w:cs="宋体"/>
          <w:b/>
          <w:color w:val="auto"/>
          <w:highlight w:val="none"/>
          <w:lang w:eastAsia="zh-CN"/>
        </w:rPr>
        <w:t>响应文件</w:t>
      </w:r>
      <w:r>
        <w:rPr>
          <w:rFonts w:hint="eastAsia" w:ascii="宋体" w:hAnsi="宋体" w:eastAsia="宋体" w:cs="宋体"/>
          <w:b/>
          <w:color w:val="auto"/>
          <w:highlight w:val="none"/>
        </w:rPr>
        <w:t>截止时间</w:t>
      </w:r>
    </w:p>
    <w:p w14:paraId="0D8CC40A">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rPr>
        <w:t xml:space="preserve">.1 </w:t>
      </w:r>
      <w:r>
        <w:rPr>
          <w:rFonts w:hint="eastAsia" w:ascii="宋体" w:hAnsi="宋体" w:eastAsia="宋体" w:cs="宋体"/>
          <w:color w:val="auto"/>
          <w:highlight w:val="none"/>
          <w:lang w:eastAsia="zh-CN"/>
        </w:rPr>
        <w:t>电子响应文件</w:t>
      </w:r>
      <w:r>
        <w:rPr>
          <w:rFonts w:hint="eastAsia" w:ascii="宋体" w:hAnsi="宋体" w:eastAsia="宋体" w:cs="宋体"/>
          <w:color w:val="auto"/>
          <w:highlight w:val="none"/>
        </w:rPr>
        <w:t>须按照</w:t>
      </w:r>
      <w:r>
        <w:rPr>
          <w:rFonts w:hint="eastAsia" w:ascii="宋体" w:hAnsi="宋体" w:eastAsia="宋体" w:cs="宋体"/>
          <w:color w:val="auto"/>
          <w:highlight w:val="none"/>
          <w:lang w:eastAsia="zh-CN"/>
        </w:rPr>
        <w:t>采购公告或更正（澄清）公告</w:t>
      </w:r>
      <w:r>
        <w:rPr>
          <w:rFonts w:hint="eastAsia" w:ascii="宋体" w:hAnsi="宋体" w:eastAsia="宋体" w:cs="宋体"/>
          <w:color w:val="auto"/>
          <w:highlight w:val="none"/>
        </w:rPr>
        <w:t>中规定的</w:t>
      </w:r>
      <w:r>
        <w:rPr>
          <w:rFonts w:hint="eastAsia" w:ascii="宋体" w:hAnsi="宋体" w:eastAsia="宋体" w:cs="宋体"/>
          <w:color w:val="auto"/>
          <w:highlight w:val="none"/>
          <w:lang w:eastAsia="zh-CN"/>
        </w:rPr>
        <w:t>截止</w:t>
      </w:r>
      <w:r>
        <w:rPr>
          <w:rFonts w:hint="eastAsia" w:ascii="宋体" w:hAnsi="宋体" w:eastAsia="宋体" w:cs="宋体"/>
          <w:color w:val="auto"/>
          <w:highlight w:val="none"/>
        </w:rPr>
        <w:t>时间</w:t>
      </w:r>
      <w:r>
        <w:rPr>
          <w:rFonts w:hint="eastAsia" w:ascii="宋体" w:hAnsi="宋体" w:eastAsia="宋体" w:cs="宋体"/>
          <w:color w:val="auto"/>
          <w:highlight w:val="none"/>
          <w:lang w:eastAsia="zh-CN"/>
        </w:rPr>
        <w:t>前加密上传</w:t>
      </w:r>
      <w:r>
        <w:rPr>
          <w:rFonts w:hint="eastAsia" w:ascii="宋体" w:hAnsi="宋体" w:eastAsia="宋体" w:cs="宋体"/>
          <w:color w:val="auto"/>
          <w:highlight w:val="none"/>
          <w:lang w:val="en-US" w:eastAsia="zh-CN"/>
        </w:rPr>
        <w:t>，并于开标时间在规定时间内解密电子响应文件，未在规定时间内将电子响应文件解密，视为未在响应文件截止时间提交响应文件</w:t>
      </w:r>
      <w:r>
        <w:rPr>
          <w:rFonts w:hint="eastAsia" w:ascii="宋体" w:hAnsi="宋体" w:eastAsia="宋体" w:cs="宋体"/>
          <w:color w:val="auto"/>
          <w:highlight w:val="none"/>
          <w:lang w:eastAsia="zh-CN"/>
        </w:rPr>
        <w:t>；辅助纸质响应文件</w:t>
      </w:r>
      <w:r>
        <w:rPr>
          <w:rFonts w:hint="eastAsia" w:ascii="宋体" w:hAnsi="宋体" w:eastAsia="宋体" w:cs="宋体"/>
          <w:color w:val="auto"/>
          <w:highlight w:val="none"/>
        </w:rPr>
        <w:t>须按照</w:t>
      </w:r>
      <w:r>
        <w:rPr>
          <w:rFonts w:hint="eastAsia" w:ascii="宋体" w:hAnsi="宋体" w:eastAsia="宋体" w:cs="宋体"/>
          <w:color w:val="auto"/>
          <w:highlight w:val="none"/>
          <w:lang w:eastAsia="zh-CN"/>
        </w:rPr>
        <w:t>须知前附表要求提交</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未按照相应要求提交的</w:t>
      </w:r>
      <w:r>
        <w:rPr>
          <w:rFonts w:hint="eastAsia" w:ascii="宋体" w:hAnsi="宋体" w:eastAsia="宋体" w:cs="宋体"/>
          <w:color w:val="auto"/>
          <w:highlight w:val="none"/>
        </w:rPr>
        <w:t>，采购代理机构将拒绝接收。</w:t>
      </w:r>
    </w:p>
    <w:p w14:paraId="731A9383">
      <w:pPr>
        <w:keepNext w:val="0"/>
        <w:keepLines w:val="0"/>
        <w:pageBreakBefore w:val="0"/>
        <w:widowControl w:val="0"/>
        <w:kinsoku/>
        <w:wordWrap/>
        <w:overflowPunct/>
        <w:topLinePunct w:val="0"/>
        <w:autoSpaceDE/>
        <w:autoSpaceDN/>
        <w:bidi w:val="0"/>
        <w:spacing w:line="42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.2 采购代理机构根据本须知的规定，通过修改</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或自行决定延长首次</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截止日期的，采购人和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受提交截止日期制约的所有权利和义务均延长至新的截止日期。</w:t>
      </w:r>
    </w:p>
    <w:p w14:paraId="2DA51055">
      <w:pPr>
        <w:keepNext w:val="0"/>
        <w:keepLines w:val="0"/>
        <w:pageBreakBefore w:val="0"/>
        <w:widowControl w:val="0"/>
        <w:kinsoku/>
        <w:wordWrap/>
        <w:overflowPunct/>
        <w:topLinePunct w:val="0"/>
        <w:autoSpaceDE/>
        <w:autoSpaceDN/>
        <w:bidi w:val="0"/>
        <w:spacing w:line="420" w:lineRule="exact"/>
        <w:ind w:firstLine="42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 xml:space="preserve">7. </w:t>
      </w:r>
      <w:r>
        <w:rPr>
          <w:rFonts w:hint="eastAsia" w:ascii="宋体" w:hAnsi="宋体" w:eastAsia="宋体" w:cs="宋体"/>
          <w:b/>
          <w:color w:val="auto"/>
          <w:szCs w:val="21"/>
          <w:highlight w:val="none"/>
          <w:lang w:eastAsia="zh-CN"/>
        </w:rPr>
        <w:t>响应文件</w:t>
      </w:r>
      <w:r>
        <w:rPr>
          <w:rFonts w:hint="eastAsia" w:ascii="宋体" w:hAnsi="宋体" w:eastAsia="宋体" w:cs="宋体"/>
          <w:b/>
          <w:color w:val="auto"/>
          <w:szCs w:val="21"/>
          <w:highlight w:val="none"/>
        </w:rPr>
        <w:t>的补充、修改和撤回</w:t>
      </w:r>
    </w:p>
    <w:p w14:paraId="43885EDA">
      <w:pPr>
        <w:keepNext w:val="0"/>
        <w:keepLines w:val="0"/>
        <w:pageBreakBefore w:val="0"/>
        <w:widowControl w:val="0"/>
        <w:kinsoku/>
        <w:wordWrap/>
        <w:overflowPunct/>
        <w:topLinePunct w:val="0"/>
        <w:autoSpaceDE/>
        <w:autoSpaceDN/>
        <w:bidi w:val="0"/>
        <w:spacing w:line="42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可以在提交</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截止时间前，对所</w:t>
      </w:r>
      <w:r>
        <w:rPr>
          <w:rFonts w:hint="eastAsia" w:ascii="宋体" w:hAnsi="宋体" w:eastAsia="宋体" w:cs="宋体"/>
          <w:color w:val="auto"/>
          <w:szCs w:val="21"/>
          <w:highlight w:val="none"/>
          <w:lang w:eastAsia="zh-CN"/>
        </w:rPr>
        <w:t>上传</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进行补充、修改或者撤回</w:t>
      </w:r>
      <w:r>
        <w:rPr>
          <w:rFonts w:hint="eastAsia" w:ascii="宋体" w:hAnsi="宋体" w:eastAsia="宋体" w:cs="宋体"/>
          <w:color w:val="auto"/>
          <w:szCs w:val="21"/>
          <w:highlight w:val="none"/>
          <w:lang w:eastAsia="zh-CN"/>
        </w:rPr>
        <w:t>，并在</w:t>
      </w:r>
      <w:r>
        <w:rPr>
          <w:rFonts w:hint="eastAsia" w:ascii="宋体" w:hAnsi="宋体" w:eastAsia="宋体" w:cs="宋体"/>
          <w:color w:val="auto"/>
          <w:szCs w:val="21"/>
          <w:highlight w:val="none"/>
        </w:rPr>
        <w:t>提交</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截止时间前</w:t>
      </w:r>
      <w:r>
        <w:rPr>
          <w:rFonts w:hint="eastAsia" w:ascii="宋体" w:hAnsi="宋体" w:eastAsia="宋体" w:cs="宋体"/>
          <w:color w:val="auto"/>
          <w:szCs w:val="21"/>
          <w:highlight w:val="none"/>
          <w:lang w:eastAsia="zh-CN"/>
        </w:rPr>
        <w:t>上传修改过后的响应文件</w:t>
      </w:r>
      <w:r>
        <w:rPr>
          <w:rFonts w:hint="eastAsia" w:ascii="宋体" w:hAnsi="宋体" w:eastAsia="宋体" w:cs="宋体"/>
          <w:color w:val="auto"/>
          <w:szCs w:val="21"/>
          <w:highlight w:val="none"/>
        </w:rPr>
        <w:t>。</w:t>
      </w:r>
    </w:p>
    <w:p w14:paraId="4A48DE91">
      <w:pPr>
        <w:keepNext w:val="0"/>
        <w:keepLines w:val="0"/>
        <w:pageBreakBefore w:val="0"/>
        <w:widowControl w:val="0"/>
        <w:kinsoku/>
        <w:wordWrap/>
        <w:overflowPunct/>
        <w:topLinePunct w:val="0"/>
        <w:autoSpaceDE/>
        <w:autoSpaceDN/>
        <w:bidi w:val="0"/>
        <w:spacing w:line="42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补充、修改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的材料，应当按照</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签署、盖章</w:t>
      </w:r>
      <w:r>
        <w:rPr>
          <w:rFonts w:hint="eastAsia" w:ascii="宋体" w:hAnsi="宋体" w:eastAsia="宋体" w:cs="宋体"/>
          <w:color w:val="auto"/>
          <w:szCs w:val="21"/>
          <w:highlight w:val="none"/>
          <w:lang w:eastAsia="zh-CN"/>
        </w:rPr>
        <w:t>并加密</w:t>
      </w:r>
      <w:r>
        <w:rPr>
          <w:rFonts w:hint="eastAsia" w:ascii="宋体" w:hAnsi="宋体" w:eastAsia="宋体" w:cs="宋体"/>
          <w:color w:val="auto"/>
          <w:szCs w:val="21"/>
          <w:highlight w:val="none"/>
        </w:rPr>
        <w:t>后，在提交</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lang w:eastAsia="zh-CN"/>
        </w:rPr>
        <w:t>上传；纸质版</w:t>
      </w:r>
      <w:r>
        <w:rPr>
          <w:rFonts w:hint="eastAsia" w:ascii="宋体" w:hAnsi="宋体" w:eastAsia="宋体" w:cs="宋体"/>
          <w:color w:val="auto"/>
          <w:szCs w:val="21"/>
          <w:highlight w:val="none"/>
        </w:rPr>
        <w:t>应当按照</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签署、盖章</w:t>
      </w:r>
      <w:r>
        <w:rPr>
          <w:rFonts w:hint="eastAsia" w:ascii="宋体" w:hAnsi="宋体" w:eastAsia="宋体" w:cs="宋体"/>
          <w:color w:val="auto"/>
          <w:szCs w:val="21"/>
          <w:highlight w:val="none"/>
          <w:lang w:eastAsia="zh-CN"/>
        </w:rPr>
        <w:t>、密封后，</w:t>
      </w:r>
      <w:r>
        <w:rPr>
          <w:rFonts w:hint="eastAsia" w:ascii="宋体" w:hAnsi="宋体" w:eastAsia="宋体" w:cs="宋体"/>
          <w:color w:val="auto"/>
          <w:szCs w:val="21"/>
          <w:highlight w:val="none"/>
        </w:rPr>
        <w:t>在提交</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截止时间前送达采购代理机构，同时应在封套上标明“修改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并注明项目编号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eastAsia="zh-CN"/>
        </w:rPr>
        <w:t>开标</w:t>
      </w:r>
      <w:r>
        <w:rPr>
          <w:rFonts w:hint="eastAsia" w:ascii="宋体" w:hAnsi="宋体" w:eastAsia="宋体" w:cs="宋体"/>
          <w:color w:val="auto"/>
          <w:szCs w:val="21"/>
          <w:highlight w:val="none"/>
        </w:rPr>
        <w:t>时启封”字样，作为</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的组成部分。</w:t>
      </w:r>
    </w:p>
    <w:p w14:paraId="37AEE8C5">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1</w:t>
      </w:r>
      <w:r>
        <w:rPr>
          <w:rFonts w:hint="eastAsia" w:ascii="宋体" w:hAnsi="宋体" w:eastAsia="宋体" w:cs="宋体"/>
          <w:b/>
          <w:bCs/>
          <w:color w:val="auto"/>
          <w:highlight w:val="none"/>
          <w:lang w:val="en-US" w:eastAsia="zh-CN"/>
        </w:rPr>
        <w:t xml:space="preserve">8. </w:t>
      </w:r>
      <w:r>
        <w:rPr>
          <w:rFonts w:hint="eastAsia" w:ascii="宋体" w:hAnsi="宋体" w:eastAsia="宋体" w:cs="宋体"/>
          <w:b/>
          <w:color w:val="auto"/>
          <w:highlight w:val="none"/>
        </w:rPr>
        <w:t>签到</w:t>
      </w:r>
    </w:p>
    <w:p w14:paraId="6EE8A167">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18.1</w:t>
      </w:r>
      <w:r>
        <w:rPr>
          <w:rFonts w:hint="eastAsia" w:ascii="宋体" w:hAnsi="宋体" w:eastAsia="宋体" w:cs="宋体"/>
          <w:color w:val="auto"/>
          <w:highlight w:val="none"/>
        </w:rPr>
        <w:t xml:space="preserve"> 参加</w:t>
      </w:r>
      <w:r>
        <w:rPr>
          <w:rFonts w:hint="eastAsia" w:ascii="宋体" w:hAnsi="宋体" w:eastAsia="宋体" w:cs="宋体"/>
          <w:color w:val="auto"/>
          <w:highlight w:val="none"/>
          <w:lang w:eastAsia="zh-CN"/>
        </w:rPr>
        <w:t>采购项目</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响应单位</w:t>
      </w:r>
      <w:r>
        <w:rPr>
          <w:rFonts w:hint="eastAsia" w:ascii="宋体" w:hAnsi="宋体" w:eastAsia="宋体" w:cs="宋体"/>
          <w:color w:val="auto"/>
          <w:highlight w:val="none"/>
        </w:rPr>
        <w:t>代表</w:t>
      </w:r>
      <w:r>
        <w:rPr>
          <w:rFonts w:hint="eastAsia" w:ascii="宋体" w:hAnsi="宋体" w:eastAsia="宋体" w:cs="宋体"/>
          <w:color w:val="auto"/>
          <w:highlight w:val="none"/>
          <w:lang w:eastAsia="zh-CN"/>
        </w:rPr>
        <w:t>在规定时间内</w:t>
      </w:r>
      <w:r>
        <w:rPr>
          <w:rFonts w:hint="eastAsia" w:ascii="宋体" w:hAnsi="宋体" w:eastAsia="宋体" w:cs="宋体"/>
          <w:color w:val="auto"/>
          <w:highlight w:val="none"/>
        </w:rPr>
        <w:t>须</w:t>
      </w:r>
      <w:r>
        <w:rPr>
          <w:rFonts w:hint="eastAsia" w:ascii="宋体" w:hAnsi="宋体" w:eastAsia="宋体" w:cs="宋体"/>
          <w:color w:val="auto"/>
          <w:highlight w:val="none"/>
          <w:lang w:eastAsia="zh-CN"/>
        </w:rPr>
        <w:t>在山西省政府采购网采购平台签到</w:t>
      </w:r>
      <w:r>
        <w:rPr>
          <w:rFonts w:hint="eastAsia" w:ascii="宋体" w:hAnsi="宋体" w:eastAsia="宋体" w:cs="宋体"/>
          <w:color w:val="auto"/>
          <w:highlight w:val="none"/>
        </w:rPr>
        <w:t>。</w:t>
      </w:r>
    </w:p>
    <w:p w14:paraId="713EDE91">
      <w:pPr>
        <w:pStyle w:val="52"/>
        <w:keepNext w:val="0"/>
        <w:keepLines w:val="0"/>
        <w:pageBreakBefore w:val="0"/>
        <w:kinsoku/>
        <w:wordWrap/>
        <w:overflowPunct/>
        <w:topLinePunct w:val="0"/>
        <w:autoSpaceDE/>
        <w:autoSpaceDN/>
        <w:bidi w:val="0"/>
        <w:snapToGrid w:val="0"/>
        <w:spacing w:before="156" w:beforeLines="50" w:after="156" w:afterLines="50" w:line="440" w:lineRule="exact"/>
        <w:ind w:firstLine="482" w:firstLineChars="200"/>
        <w:jc w:val="both"/>
        <w:outlineLvl w:val="1"/>
        <w:rPr>
          <w:rFonts w:hint="eastAsia" w:ascii="宋体" w:hAnsi="宋体" w:eastAsia="宋体" w:cs="宋体"/>
          <w:color w:val="auto"/>
          <w:sz w:val="24"/>
          <w:szCs w:val="24"/>
          <w:highlight w:val="none"/>
        </w:rPr>
      </w:pPr>
      <w:bookmarkStart w:id="84" w:name="_Toc23012"/>
      <w:bookmarkStart w:id="85" w:name="_Toc2143"/>
      <w:r>
        <w:rPr>
          <w:rFonts w:hint="eastAsia" w:ascii="宋体" w:hAnsi="宋体" w:eastAsia="宋体" w:cs="宋体"/>
          <w:color w:val="auto"/>
          <w:sz w:val="24"/>
          <w:szCs w:val="24"/>
          <w:highlight w:val="none"/>
        </w:rPr>
        <w:t>五、采购程序</w:t>
      </w:r>
      <w:bookmarkEnd w:id="81"/>
      <w:bookmarkEnd w:id="82"/>
      <w:bookmarkEnd w:id="83"/>
      <w:bookmarkEnd w:id="84"/>
      <w:bookmarkEnd w:id="85"/>
    </w:p>
    <w:p w14:paraId="0026FB18">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1</w:t>
      </w:r>
      <w:r>
        <w:rPr>
          <w:rFonts w:hint="eastAsia" w:ascii="宋体" w:hAnsi="宋体" w:eastAsia="宋体" w:cs="宋体"/>
          <w:b/>
          <w:color w:val="auto"/>
          <w:highlight w:val="none"/>
          <w:lang w:val="en-US" w:eastAsia="zh-CN"/>
        </w:rPr>
        <w:t>9</w:t>
      </w:r>
      <w:r>
        <w:rPr>
          <w:rFonts w:hint="eastAsia" w:ascii="宋体" w:hAnsi="宋体" w:eastAsia="宋体" w:cs="宋体"/>
          <w:b/>
          <w:color w:val="auto"/>
          <w:highlight w:val="none"/>
        </w:rPr>
        <w:t>. 本次</w:t>
      </w:r>
      <w:r>
        <w:rPr>
          <w:rFonts w:hint="eastAsia" w:ascii="宋体" w:hAnsi="宋体" w:eastAsia="宋体" w:cs="宋体"/>
          <w:b/>
          <w:color w:val="auto"/>
          <w:highlight w:val="none"/>
          <w:lang w:eastAsia="zh-CN"/>
        </w:rPr>
        <w:t>采购</w:t>
      </w:r>
      <w:r>
        <w:rPr>
          <w:rFonts w:hint="eastAsia" w:ascii="宋体" w:hAnsi="宋体" w:eastAsia="宋体" w:cs="宋体"/>
          <w:b/>
          <w:color w:val="auto"/>
          <w:highlight w:val="none"/>
        </w:rPr>
        <w:t xml:space="preserve">采用一轮磋商、二轮报价，综合评分的方式进行。    </w:t>
      </w:r>
    </w:p>
    <w:p w14:paraId="6A9B4F1B">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rPr>
          <w:rFonts w:hint="eastAsia" w:ascii="宋体" w:hAnsi="宋体" w:eastAsia="宋体" w:cs="宋体"/>
          <w:b w:val="0"/>
          <w:bCs/>
          <w:color w:val="auto"/>
          <w:highlight w:val="none"/>
        </w:rPr>
      </w:pPr>
      <w:r>
        <w:rPr>
          <w:rFonts w:hint="eastAsia" w:ascii="宋体" w:hAnsi="宋体" w:eastAsia="宋体" w:cs="宋体"/>
          <w:b/>
          <w:bCs w:val="0"/>
          <w:color w:val="auto"/>
          <w:highlight w:val="none"/>
          <w:lang w:val="en-US" w:eastAsia="zh-CN"/>
        </w:rPr>
        <w:t xml:space="preserve">20. </w:t>
      </w:r>
      <w:r>
        <w:rPr>
          <w:rFonts w:hint="eastAsia" w:ascii="宋体" w:hAnsi="宋体" w:eastAsia="宋体" w:cs="宋体"/>
          <w:b/>
          <w:bCs w:val="0"/>
          <w:color w:val="auto"/>
          <w:highlight w:val="none"/>
        </w:rPr>
        <w:t>第一轮报价</w:t>
      </w:r>
    </w:p>
    <w:p w14:paraId="798803B6">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20.1 供应商在规定的时间内自行签到并对响应文件进行解密。</w:t>
      </w:r>
    </w:p>
    <w:p w14:paraId="2FB03DA6">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20.2 解密全部完成后或解密时间截止时，政采云采购平台自动显示供应商的报价内容，采购人和采购代理机构不得向除评审小组外的任何人透露供应商报价内容和其他信息。</w:t>
      </w:r>
    </w:p>
    <w:p w14:paraId="15A85AF8">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b/>
          <w:color w:val="auto"/>
          <w:highlight w:val="none"/>
        </w:rPr>
      </w:pPr>
      <w:r>
        <w:rPr>
          <w:rFonts w:hint="eastAsia" w:ascii="宋体" w:hAnsi="宋体" w:eastAsia="宋体" w:cs="宋体"/>
          <w:b w:val="0"/>
          <w:bCs/>
          <w:color w:val="auto"/>
          <w:highlight w:val="none"/>
          <w:lang w:val="en-US" w:eastAsia="zh-CN"/>
        </w:rPr>
        <w:t>20.3 解密结束后，采购代理机构将对第一轮报</w:t>
      </w:r>
      <w:r>
        <w:rPr>
          <w:rFonts w:hint="eastAsia" w:ascii="宋体" w:hAnsi="宋体" w:eastAsia="宋体" w:cs="宋体"/>
          <w:b w:val="0"/>
          <w:bCs/>
          <w:color w:val="auto"/>
          <w:highlight w:val="none"/>
          <w:u w:val="none"/>
          <w:lang w:val="en-US" w:eastAsia="zh-CN"/>
        </w:rPr>
        <w:t>价后做要求供应商法定代表人或供应商授权代表在线确认报价。</w:t>
      </w:r>
    </w:p>
    <w:p w14:paraId="4C2FB015">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rPr>
          <w:rFonts w:hint="eastAsia" w:ascii="宋体" w:hAnsi="宋体" w:eastAsia="宋体" w:cs="宋体"/>
          <w:b/>
          <w:color w:val="auto"/>
          <w:highlight w:val="none"/>
          <w:lang w:eastAsia="zh-CN"/>
        </w:rPr>
      </w:pPr>
      <w:r>
        <w:rPr>
          <w:rFonts w:hint="eastAsia" w:ascii="宋体" w:hAnsi="宋体" w:eastAsia="宋体" w:cs="宋体"/>
          <w:b/>
          <w:color w:val="auto"/>
          <w:highlight w:val="none"/>
          <w:lang w:val="en-US" w:eastAsia="zh-CN"/>
        </w:rPr>
        <w:t xml:space="preserve">21. </w:t>
      </w:r>
      <w:r>
        <w:rPr>
          <w:rFonts w:hint="eastAsia" w:ascii="宋体" w:hAnsi="宋体" w:eastAsia="宋体" w:cs="宋体"/>
          <w:b/>
          <w:color w:val="auto"/>
          <w:highlight w:val="none"/>
        </w:rPr>
        <w:t>成立</w:t>
      </w:r>
      <w:r>
        <w:rPr>
          <w:rFonts w:hint="eastAsia" w:ascii="宋体" w:hAnsi="宋体" w:eastAsia="宋体" w:cs="宋体"/>
          <w:b/>
          <w:color w:val="auto"/>
          <w:highlight w:val="none"/>
          <w:lang w:eastAsia="zh-CN"/>
        </w:rPr>
        <w:t>评审小组</w:t>
      </w:r>
    </w:p>
    <w:p w14:paraId="08CA732D">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b w:val="0"/>
          <w:bCs/>
          <w:color w:val="auto"/>
          <w:highlight w:val="none"/>
          <w:lang w:val="en-US" w:eastAsia="zh-CN"/>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 xml:space="preserve">1 </w:t>
      </w:r>
      <w:r>
        <w:rPr>
          <w:rFonts w:hint="eastAsia" w:ascii="宋体" w:hAnsi="宋体" w:eastAsia="宋体" w:cs="宋体"/>
          <w:color w:val="auto"/>
          <w:highlight w:val="none"/>
          <w:lang w:eastAsia="zh-CN"/>
        </w:rPr>
        <w:t>依据《政府采购竞争性磋商采购方式管理暂行办法》</w:t>
      </w:r>
      <w:r>
        <w:rPr>
          <w:rFonts w:hint="eastAsia" w:ascii="宋体" w:hAnsi="宋体" w:eastAsia="宋体" w:cs="宋体"/>
          <w:b w:val="0"/>
          <w:bCs/>
          <w:color w:val="auto"/>
          <w:highlight w:val="none"/>
          <w:lang w:val="en-US" w:eastAsia="zh-CN"/>
        </w:rPr>
        <w:t>第十四条：</w:t>
      </w:r>
    </w:p>
    <w:p w14:paraId="076D42C0">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1584C9E7">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 xml:space="preserve">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专业性强的采购项目，评审专家中应当包含1名法律专家。 </w:t>
      </w:r>
    </w:p>
    <w:p w14:paraId="603CF66E">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负责完成具体的评审磋商事务</w:t>
      </w:r>
      <w:r>
        <w:rPr>
          <w:rFonts w:hint="eastAsia" w:ascii="宋体" w:hAnsi="宋体" w:eastAsia="宋体" w:cs="宋体"/>
          <w:b/>
          <w:color w:val="auto"/>
          <w:highlight w:val="none"/>
        </w:rPr>
        <w:t>，</w:t>
      </w:r>
      <w:r>
        <w:rPr>
          <w:rFonts w:hint="eastAsia" w:ascii="宋体" w:hAnsi="宋体" w:eastAsia="宋体" w:cs="宋体"/>
          <w:color w:val="auto"/>
          <w:highlight w:val="none"/>
        </w:rPr>
        <w:t>提出经</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 xml:space="preserve">签字的书面评审报告。 </w:t>
      </w:r>
    </w:p>
    <w:p w14:paraId="069582B5">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22</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eastAsia="zh-CN"/>
        </w:rPr>
        <w:t>评审阶段</w:t>
      </w:r>
      <w:r>
        <w:rPr>
          <w:rFonts w:hint="eastAsia" w:ascii="宋体" w:hAnsi="宋体" w:eastAsia="宋体" w:cs="宋体"/>
          <w:b/>
          <w:color w:val="auto"/>
          <w:highlight w:val="none"/>
        </w:rPr>
        <w:t>的开启</w:t>
      </w:r>
    </w:p>
    <w:p w14:paraId="48124356">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b/>
          <w:color w:val="auto"/>
          <w:highlight w:val="none"/>
        </w:rPr>
      </w:pPr>
      <w:r>
        <w:rPr>
          <w:rFonts w:hint="eastAsia" w:ascii="宋体" w:hAnsi="宋体" w:eastAsia="宋体" w:cs="宋体"/>
          <w:color w:val="auto"/>
          <w:highlight w:val="none"/>
        </w:rPr>
        <w:t>采购代理机构工作人员在</w:t>
      </w:r>
      <w:r>
        <w:rPr>
          <w:rFonts w:hint="eastAsia" w:ascii="宋体" w:hAnsi="宋体" w:eastAsia="宋体" w:cs="宋体"/>
          <w:color w:val="auto"/>
          <w:highlight w:val="none"/>
          <w:lang w:eastAsia="zh-CN"/>
        </w:rPr>
        <w:t>开标</w:t>
      </w:r>
      <w:r>
        <w:rPr>
          <w:rFonts w:hint="eastAsia" w:ascii="宋体" w:hAnsi="宋体" w:eastAsia="宋体" w:cs="宋体"/>
          <w:color w:val="auto"/>
          <w:highlight w:val="none"/>
        </w:rPr>
        <w:t>地点，在规定的开启时间，</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对响应文件进行</w:t>
      </w:r>
      <w:r>
        <w:rPr>
          <w:rFonts w:hint="eastAsia" w:ascii="宋体" w:hAnsi="宋体" w:eastAsia="宋体" w:cs="宋体"/>
          <w:color w:val="auto"/>
          <w:highlight w:val="none"/>
          <w:lang w:eastAsia="zh-CN"/>
        </w:rPr>
        <w:t>线上解密后开启评审阶段</w:t>
      </w:r>
      <w:r>
        <w:rPr>
          <w:rFonts w:hint="eastAsia" w:ascii="宋体" w:hAnsi="宋体" w:eastAsia="宋体" w:cs="宋体"/>
          <w:color w:val="auto"/>
          <w:highlight w:val="none"/>
        </w:rPr>
        <w:t>。</w:t>
      </w:r>
    </w:p>
    <w:p w14:paraId="055D3C8E">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23</w:t>
      </w:r>
      <w:r>
        <w:rPr>
          <w:rFonts w:hint="eastAsia" w:ascii="宋体" w:hAnsi="宋体" w:eastAsia="宋体" w:cs="宋体"/>
          <w:b/>
          <w:color w:val="auto"/>
          <w:highlight w:val="none"/>
        </w:rPr>
        <w:t>. 响应文件审查</w:t>
      </w:r>
    </w:p>
    <w:p w14:paraId="662ADB2C">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进行资格性</w:t>
      </w:r>
      <w:r>
        <w:rPr>
          <w:rFonts w:hint="eastAsia" w:ascii="宋体" w:hAnsi="宋体" w:eastAsia="宋体" w:cs="宋体"/>
          <w:color w:val="auto"/>
          <w:highlight w:val="none"/>
          <w:lang w:eastAsia="zh-CN"/>
        </w:rPr>
        <w:t>和符合性</w:t>
      </w:r>
      <w:r>
        <w:rPr>
          <w:rFonts w:hint="eastAsia" w:ascii="宋体" w:hAnsi="宋体" w:eastAsia="宋体" w:cs="宋体"/>
          <w:color w:val="auto"/>
          <w:highlight w:val="none"/>
        </w:rPr>
        <w:t>审查，应严格遵循本文件</w:t>
      </w:r>
      <w:r>
        <w:rPr>
          <w:rFonts w:hint="eastAsia" w:ascii="宋体" w:hAnsi="宋体" w:eastAsia="宋体" w:cs="宋体"/>
          <w:color w:val="auto"/>
          <w:highlight w:val="none"/>
          <w:lang w:eastAsia="zh-CN"/>
        </w:rPr>
        <w:t>响应文件审查</w:t>
      </w:r>
      <w:r>
        <w:rPr>
          <w:rFonts w:hint="eastAsia" w:ascii="宋体" w:hAnsi="宋体" w:eastAsia="宋体" w:cs="宋体"/>
          <w:color w:val="auto"/>
          <w:highlight w:val="none"/>
        </w:rPr>
        <w:t>的相关规定</w:t>
      </w:r>
      <w:r>
        <w:rPr>
          <w:rFonts w:hint="eastAsia" w:ascii="宋体" w:hAnsi="宋体" w:eastAsia="宋体" w:cs="宋体"/>
          <w:color w:val="auto"/>
          <w:highlight w:val="none"/>
          <w:lang w:eastAsia="zh-CN"/>
        </w:rPr>
        <w:t>，具体审查内容详见评审方法和评分细则</w:t>
      </w:r>
      <w:r>
        <w:rPr>
          <w:rFonts w:hint="eastAsia" w:ascii="宋体" w:hAnsi="宋体" w:eastAsia="宋体" w:cs="宋体"/>
          <w:color w:val="auto"/>
          <w:highlight w:val="none"/>
        </w:rPr>
        <w:t>。</w:t>
      </w:r>
    </w:p>
    <w:p w14:paraId="18BFC105">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.2 在审查时，</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54FBCDC">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要求供应商澄清、说明或者更正响应文件以</w:t>
      </w:r>
      <w:r>
        <w:rPr>
          <w:rFonts w:hint="eastAsia" w:ascii="宋体" w:hAnsi="宋体" w:eastAsia="宋体" w:cs="宋体"/>
          <w:color w:val="auto"/>
          <w:highlight w:val="none"/>
          <w:lang w:eastAsia="zh-CN"/>
        </w:rPr>
        <w:t>线上询标</w:t>
      </w:r>
      <w:r>
        <w:rPr>
          <w:rFonts w:hint="eastAsia" w:ascii="宋体" w:hAnsi="宋体" w:eastAsia="宋体" w:cs="宋体"/>
          <w:color w:val="auto"/>
          <w:highlight w:val="none"/>
        </w:rPr>
        <w:t>作出</w:t>
      </w:r>
      <w:r>
        <w:rPr>
          <w:rFonts w:hint="eastAsia" w:ascii="宋体" w:hAnsi="宋体" w:eastAsia="宋体" w:cs="宋体"/>
          <w:color w:val="auto"/>
          <w:highlight w:val="none"/>
          <w:lang w:eastAsia="zh-CN"/>
        </w:rPr>
        <w:t>，供应商在要求的时间内作出答复。</w:t>
      </w:r>
    </w:p>
    <w:p w14:paraId="6718CAE1">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未通过</w:t>
      </w:r>
      <w:r>
        <w:rPr>
          <w:rFonts w:hint="eastAsia" w:ascii="宋体" w:hAnsi="宋体" w:eastAsia="宋体" w:cs="宋体"/>
          <w:color w:val="auto"/>
          <w:highlight w:val="none"/>
          <w:lang w:eastAsia="zh-CN"/>
        </w:rPr>
        <w:t>资格性或符合性审查</w:t>
      </w:r>
      <w:r>
        <w:rPr>
          <w:rFonts w:hint="eastAsia" w:ascii="宋体" w:hAnsi="宋体" w:eastAsia="宋体" w:cs="宋体"/>
          <w:color w:val="auto"/>
          <w:highlight w:val="none"/>
        </w:rPr>
        <w:t>或未实质性响应</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规定要求的响应文件按无效处理。</w:t>
      </w:r>
    </w:p>
    <w:p w14:paraId="490BF473">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实质性响应的响应文件是指与</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的条款、条件和规格相符，根据本</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规定的审查内容，经</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认定的没有重大偏离或保留的响应文件。</w:t>
      </w:r>
    </w:p>
    <w:p w14:paraId="3330D406">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23.6供应商存在下列情况之一的，响应无效:</w:t>
      </w:r>
    </w:p>
    <w:p w14:paraId="5E9D9BC4">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（1）未按照采购文件的规定提交磋商保证金的；</w:t>
      </w:r>
    </w:p>
    <w:p w14:paraId="42DE057D">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（2）响应文件未按采购文件要求签署、盖章的；</w:t>
      </w:r>
    </w:p>
    <w:p w14:paraId="390DD514">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（3）不具备采购文件中规定的资格要求的；</w:t>
      </w:r>
    </w:p>
    <w:p w14:paraId="259F084F">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（4）报价超过采购文件中规定的预算金额或者最高限价的；</w:t>
      </w:r>
    </w:p>
    <w:p w14:paraId="02D8C40C">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（5）响应文件含有采购人不能接受的附加条件的；</w:t>
      </w:r>
    </w:p>
    <w:p w14:paraId="2FACA826">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（6）不同供应商的电子投标(响应)文件上传计算机的网卡MAC 地址、 CPU序列号和硬盘序列号等硬件信息相同的；</w:t>
      </w:r>
    </w:p>
    <w:p w14:paraId="42ACB406">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（7）不同供应商的投标(响应)文件由同一电子设备编制、打印加密或者上传；</w:t>
      </w:r>
    </w:p>
    <w:p w14:paraId="4F810469">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（8）不同供应商的投标(响应)文件联系人为同一人或不同联系人的联系电话一致的；</w:t>
      </w:r>
    </w:p>
    <w:p w14:paraId="42C815DE">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（9）不同供应商的投标(响应)文件的内容存在两处以上细节错误一致，且无法合理解释的；</w:t>
      </w:r>
    </w:p>
    <w:p w14:paraId="5D8CEC2D">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（10）不同供应商的法定代表人、委托代理人、项目经理/项目负责人等由同一个单位缴纳社会保险或者领取报酬的；</w:t>
      </w:r>
    </w:p>
    <w:p w14:paraId="1A892CCF">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（11）不同供应商投标(响应)文件中法定代表人或者负责人由同一人签字的；</w:t>
      </w:r>
    </w:p>
    <w:p w14:paraId="026634F5">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（12）其它涉嫌串通的情形。</w:t>
      </w:r>
    </w:p>
    <w:p w14:paraId="603DE3CE">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（13）法律、法规和采购文件规定的其他无效情形。</w:t>
      </w:r>
    </w:p>
    <w:p w14:paraId="4214939E">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rPr>
          <w:rFonts w:hint="eastAsia" w:ascii="宋体" w:hAnsi="宋体" w:eastAsia="宋体" w:cs="宋体"/>
          <w:b/>
          <w:bCs/>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 xml:space="preserve">4. </w:t>
      </w:r>
      <w:r>
        <w:rPr>
          <w:rFonts w:hint="eastAsia" w:ascii="宋体" w:hAnsi="宋体" w:eastAsia="宋体" w:cs="宋体"/>
          <w:b/>
          <w:bCs/>
          <w:color w:val="auto"/>
          <w:highlight w:val="none"/>
        </w:rPr>
        <w:t>磋商</w:t>
      </w:r>
    </w:p>
    <w:p w14:paraId="152A9EDB">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专家依据</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对已通过</w:t>
      </w:r>
      <w:r>
        <w:rPr>
          <w:rFonts w:hint="eastAsia" w:ascii="宋体" w:hAnsi="宋体" w:eastAsia="宋体" w:cs="宋体"/>
          <w:color w:val="auto"/>
          <w:highlight w:val="none"/>
          <w:lang w:eastAsia="zh-CN"/>
        </w:rPr>
        <w:t>资格性和符合性审查</w:t>
      </w:r>
      <w:r>
        <w:rPr>
          <w:rFonts w:hint="eastAsia" w:ascii="宋体" w:hAnsi="宋体" w:eastAsia="宋体" w:cs="宋体"/>
          <w:color w:val="auto"/>
          <w:highlight w:val="none"/>
        </w:rPr>
        <w:t>的各响应文件进行</w:t>
      </w:r>
      <w:r>
        <w:rPr>
          <w:rFonts w:hint="eastAsia" w:ascii="宋体" w:hAnsi="宋体" w:eastAsia="宋体" w:cs="宋体"/>
          <w:color w:val="auto"/>
          <w:highlight w:val="none"/>
          <w:lang w:eastAsia="zh-CN"/>
        </w:rPr>
        <w:t>详细评审</w:t>
      </w:r>
      <w:r>
        <w:rPr>
          <w:rFonts w:hint="eastAsia" w:ascii="宋体" w:hAnsi="宋体" w:eastAsia="宋体" w:cs="宋体"/>
          <w:color w:val="auto"/>
          <w:highlight w:val="none"/>
        </w:rPr>
        <w:t>，在审核后由</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组长主持，归纳各专家审核意见，形成磋商要点。</w:t>
      </w:r>
    </w:p>
    <w:p w14:paraId="6157AE4F">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.1 评审小组组长向所有参与磋商的供应商在线发出磋商函，给予所有参加磋商的供应商平等的磋商机会。</w:t>
      </w:r>
    </w:p>
    <w:p w14:paraId="29714C79">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有实质性变动的，</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将以书面形式通知所有参加磋商的供应商。</w:t>
      </w:r>
    </w:p>
    <w:p w14:paraId="34F9E389">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作出的实质性变动的内容是</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的有效组成部分，该书面通知由</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成员共同签字。</w:t>
      </w:r>
    </w:p>
    <w:p w14:paraId="5FBFF1F1">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发生实质性变动时，供应商应当按照采购文件的变动情况和评审小组的要求重新提交响应文件。重新提交响应文件包括现场提交响应文件补充文件的形式和另行约定时间提交响应文件的形式。</w:t>
      </w:r>
    </w:p>
    <w:p w14:paraId="307EC093">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 如发生的实质性变动内容较简单，参加磋商的供应商在政采云平台进行磋商响应，并且经评审小组认可，可以以提交响应文件补充文件的形式提交响应文件。</w:t>
      </w:r>
    </w:p>
    <w:p w14:paraId="0551A086">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如发生的实质性变动内容较复杂，参加磋商的供应商在</w:t>
      </w:r>
      <w:r>
        <w:rPr>
          <w:rFonts w:hint="eastAsia" w:ascii="宋体" w:hAnsi="宋体" w:eastAsia="宋体" w:cs="宋体"/>
          <w:color w:val="auto"/>
          <w:highlight w:val="none"/>
          <w:lang w:eastAsia="zh-CN"/>
        </w:rPr>
        <w:t>开标现场</w:t>
      </w:r>
      <w:r>
        <w:rPr>
          <w:rFonts w:hint="eastAsia" w:ascii="宋体" w:hAnsi="宋体" w:eastAsia="宋体" w:cs="宋体"/>
          <w:color w:val="auto"/>
          <w:highlight w:val="none"/>
        </w:rPr>
        <w:t>不能马上做出承诺，而必须给予一定的时间根据实质性变动的内容重新制作响应文件，则在</w:t>
      </w:r>
      <w:r>
        <w:rPr>
          <w:rFonts w:hint="eastAsia" w:ascii="宋体" w:hAnsi="宋体" w:eastAsia="宋体" w:cs="宋体"/>
          <w:color w:val="auto"/>
          <w:highlight w:val="none"/>
          <w:lang w:eastAsia="zh-CN"/>
        </w:rPr>
        <w:t>开标现场</w:t>
      </w:r>
      <w:r>
        <w:rPr>
          <w:rFonts w:hint="eastAsia" w:ascii="宋体" w:hAnsi="宋体" w:eastAsia="宋体" w:cs="宋体"/>
          <w:color w:val="auto"/>
          <w:highlight w:val="none"/>
        </w:rPr>
        <w:t>由</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另行约定时间提交响应文件。</w:t>
      </w:r>
    </w:p>
    <w:p w14:paraId="246C8177">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供应商按照</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变动情况和</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要求重新提交的响应文件，除要对</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变动的内容做出实质性响应外，还要做出新的一轮报价。</w:t>
      </w:r>
    </w:p>
    <w:p w14:paraId="7B029776">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xml:space="preserve"> </w:t>
      </w:r>
      <w:r>
        <w:rPr>
          <w:rFonts w:hint="eastAsia" w:ascii="宋体" w:hAnsi="宋体" w:eastAsia="宋体" w:cs="宋体"/>
          <w:bCs/>
          <w:color w:val="auto"/>
          <w:highlight w:val="none"/>
          <w:lang w:eastAsia="zh-CN"/>
        </w:rPr>
        <w:t>评审小组</w:t>
      </w:r>
      <w:r>
        <w:rPr>
          <w:rFonts w:hint="eastAsia" w:ascii="宋体" w:hAnsi="宋体" w:eastAsia="宋体" w:cs="宋体"/>
          <w:bCs/>
          <w:color w:val="auto"/>
          <w:highlight w:val="none"/>
        </w:rPr>
        <w:t>应对供应商重新提交的响应文件</w:t>
      </w:r>
      <w:r>
        <w:rPr>
          <w:rFonts w:hint="eastAsia" w:ascii="宋体" w:hAnsi="宋体" w:eastAsia="宋体" w:cs="宋体"/>
          <w:color w:val="auto"/>
          <w:highlight w:val="none"/>
        </w:rPr>
        <w:t>按照要求进行</w:t>
      </w:r>
      <w:r>
        <w:rPr>
          <w:rFonts w:hint="eastAsia" w:ascii="宋体" w:hAnsi="宋体" w:eastAsia="宋体" w:cs="宋体"/>
          <w:bCs/>
          <w:color w:val="auto"/>
          <w:highlight w:val="none"/>
        </w:rPr>
        <w:t>审查。</w:t>
      </w:r>
    </w:p>
    <w:p w14:paraId="751FA8F6">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rPr>
          <w:rFonts w:hint="eastAsia" w:ascii="宋体" w:hAnsi="宋体" w:eastAsia="宋体" w:cs="宋体"/>
          <w:bCs/>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7 </w:t>
      </w:r>
      <w:r>
        <w:rPr>
          <w:rFonts w:hint="eastAsia" w:ascii="宋体" w:hAnsi="宋体" w:eastAsia="宋体" w:cs="宋体"/>
          <w:color w:val="auto"/>
          <w:highlight w:val="none"/>
        </w:rPr>
        <w:t xml:space="preserve"> 根据采购文件（包括实质性变动的内容）和供应商重新提交的响应文件，评审小组组长向所有参与磋商的供应商在线发出新一轮磋商函，给予所有参加磋商的供应商平等的磋商机会。</w:t>
      </w:r>
    </w:p>
    <w:p w14:paraId="7D3C20C4">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bCs/>
          <w:color w:val="auto"/>
          <w:highlight w:val="none"/>
        </w:rPr>
        <w:t>2</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 xml:space="preserve">8 </w:t>
      </w:r>
      <w:r>
        <w:rPr>
          <w:rFonts w:hint="eastAsia" w:ascii="宋体" w:hAnsi="宋体" w:eastAsia="宋体" w:cs="宋体"/>
          <w:color w:val="auto"/>
          <w:highlight w:val="none"/>
        </w:rPr>
        <w:t>经磋商、审查，供应商重新提交的响应文件全部实质性响应了</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的要求，在满足3家以上供应商的竞争要求的情况下，进入</w:t>
      </w:r>
      <w:r>
        <w:rPr>
          <w:rFonts w:hint="eastAsia" w:ascii="宋体" w:hAnsi="宋体" w:eastAsia="宋体" w:cs="宋体"/>
          <w:color w:val="auto"/>
          <w:highlight w:val="none"/>
          <w:lang w:eastAsia="zh-CN"/>
        </w:rPr>
        <w:t>二轮</w:t>
      </w:r>
      <w:r>
        <w:rPr>
          <w:rFonts w:hint="eastAsia" w:ascii="宋体" w:hAnsi="宋体" w:eastAsia="宋体" w:cs="宋体"/>
          <w:color w:val="auto"/>
          <w:highlight w:val="none"/>
        </w:rPr>
        <w:t>报价。</w:t>
      </w:r>
    </w:p>
    <w:p w14:paraId="1BF284AC">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rPr>
          <w:rFonts w:hint="eastAsia" w:ascii="宋体" w:hAnsi="宋体" w:eastAsia="宋体" w:cs="宋体"/>
          <w:bCs/>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 xml:space="preserve"> </w:t>
      </w:r>
      <w:r>
        <w:rPr>
          <w:rFonts w:hint="eastAsia" w:ascii="宋体" w:hAnsi="宋体" w:eastAsia="宋体" w:cs="宋体"/>
          <w:bCs/>
          <w:color w:val="auto"/>
          <w:highlight w:val="none"/>
        </w:rPr>
        <w:t>磋商过程中，供应商的所有包括书面承诺、书面补充文件以及重新提交的响应文件，必须加盖公章。供应商为自然人的，应当由本人签字并附身份证明。</w:t>
      </w:r>
    </w:p>
    <w:p w14:paraId="00E731F3">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rPr>
          <w:rFonts w:hint="eastAsia" w:ascii="宋体" w:hAnsi="宋体" w:eastAsia="宋体" w:cs="宋体"/>
          <w:bCs/>
          <w:color w:val="auto"/>
          <w:highlight w:val="none"/>
        </w:rPr>
      </w:pPr>
      <w:r>
        <w:rPr>
          <w:rFonts w:hint="eastAsia" w:ascii="宋体" w:hAnsi="宋体" w:eastAsia="宋体" w:cs="宋体"/>
          <w:bCs/>
          <w:color w:val="auto"/>
          <w:highlight w:val="none"/>
        </w:rPr>
        <w:t>2</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.1</w:t>
      </w:r>
      <w:r>
        <w:rPr>
          <w:rFonts w:hint="eastAsia" w:ascii="宋体" w:hAnsi="宋体" w:eastAsia="宋体" w:cs="宋体"/>
          <w:bCs/>
          <w:color w:val="auto"/>
          <w:highlight w:val="none"/>
          <w:lang w:val="en-US" w:eastAsia="zh-CN"/>
        </w:rPr>
        <w:t>0</w:t>
      </w:r>
      <w:r>
        <w:rPr>
          <w:rFonts w:hint="eastAsia" w:ascii="宋体" w:hAnsi="宋体" w:eastAsia="宋体" w:cs="宋体"/>
          <w:bCs/>
          <w:color w:val="auto"/>
          <w:highlight w:val="none"/>
        </w:rPr>
        <w:t xml:space="preserve"> 已提交响应文件的供应商，在提交</w:t>
      </w:r>
      <w:r>
        <w:rPr>
          <w:rFonts w:hint="eastAsia" w:ascii="宋体" w:hAnsi="宋体" w:eastAsia="宋体" w:cs="宋体"/>
          <w:bCs/>
          <w:color w:val="auto"/>
          <w:highlight w:val="none"/>
          <w:lang w:eastAsia="zh-CN"/>
        </w:rPr>
        <w:t>二轮</w:t>
      </w:r>
      <w:r>
        <w:rPr>
          <w:rFonts w:hint="eastAsia" w:ascii="宋体" w:hAnsi="宋体" w:eastAsia="宋体" w:cs="宋体"/>
          <w:bCs/>
          <w:color w:val="auto"/>
          <w:highlight w:val="none"/>
        </w:rPr>
        <w:t>报价之前，可以根据磋商情况退出磋商</w:t>
      </w:r>
      <w:r>
        <w:rPr>
          <w:rFonts w:hint="eastAsia" w:ascii="宋体" w:hAnsi="宋体" w:eastAsia="宋体" w:cs="宋体"/>
          <w:bCs/>
          <w:color w:val="auto"/>
          <w:highlight w:val="none"/>
          <w:lang w:eastAsia="zh-CN"/>
        </w:rPr>
        <w:t>。</w:t>
      </w:r>
    </w:p>
    <w:p w14:paraId="544E3D23">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eastAsia="zh-CN"/>
        </w:rPr>
        <w:t>最终</w:t>
      </w:r>
      <w:r>
        <w:rPr>
          <w:rFonts w:hint="eastAsia" w:ascii="宋体" w:hAnsi="宋体" w:eastAsia="宋体" w:cs="宋体"/>
          <w:b/>
          <w:color w:val="auto"/>
          <w:highlight w:val="none"/>
        </w:rPr>
        <w:t>报价</w:t>
      </w:r>
    </w:p>
    <w:p w14:paraId="40096068">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 磋商结束后，对</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做出实质性响应的供应商进行</w:t>
      </w:r>
      <w:r>
        <w:rPr>
          <w:rFonts w:hint="eastAsia" w:ascii="宋体" w:hAnsi="宋体" w:eastAsia="宋体" w:cs="宋体"/>
          <w:color w:val="auto"/>
          <w:highlight w:val="none"/>
          <w:lang w:eastAsia="zh-CN"/>
        </w:rPr>
        <w:t>多轮次</w:t>
      </w:r>
      <w:r>
        <w:rPr>
          <w:rFonts w:hint="eastAsia" w:ascii="宋体" w:hAnsi="宋体" w:eastAsia="宋体" w:cs="宋体"/>
          <w:color w:val="auto"/>
          <w:highlight w:val="none"/>
        </w:rPr>
        <w:t>报价，</w:t>
      </w:r>
      <w:r>
        <w:rPr>
          <w:rFonts w:hint="eastAsia" w:ascii="宋体" w:hAnsi="宋体" w:eastAsia="宋体" w:cs="宋体"/>
          <w:color w:val="auto"/>
          <w:highlight w:val="none"/>
          <w:lang w:eastAsia="zh-CN"/>
        </w:rPr>
        <w:t>多轮次</w:t>
      </w:r>
      <w:r>
        <w:rPr>
          <w:rFonts w:hint="eastAsia" w:ascii="宋体" w:hAnsi="宋体" w:eastAsia="宋体" w:cs="宋体"/>
          <w:color w:val="auto"/>
          <w:highlight w:val="none"/>
        </w:rPr>
        <w:t>报价</w:t>
      </w:r>
      <w:r>
        <w:rPr>
          <w:rFonts w:hint="eastAsia" w:ascii="宋体" w:hAnsi="宋体" w:eastAsia="宋体" w:cs="宋体"/>
          <w:color w:val="auto"/>
          <w:highlight w:val="none"/>
          <w:lang w:val="en-US" w:eastAsia="zh-CN"/>
        </w:rPr>
        <w:t>在山西省政府采购网（http://www.ccgp-shanxi.gov.cn/home.html）系统内进行提交</w:t>
      </w:r>
      <w:r>
        <w:rPr>
          <w:rFonts w:hint="eastAsia" w:ascii="宋体" w:hAnsi="宋体" w:eastAsia="宋体" w:cs="宋体"/>
          <w:color w:val="auto"/>
          <w:highlight w:val="none"/>
        </w:rPr>
        <w:t>，供应商须在</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确定的报价时间将</w:t>
      </w:r>
      <w:r>
        <w:rPr>
          <w:rFonts w:hint="eastAsia" w:ascii="宋体" w:hAnsi="宋体" w:eastAsia="宋体" w:cs="宋体"/>
          <w:color w:val="auto"/>
          <w:highlight w:val="none"/>
          <w:lang w:eastAsia="zh-CN"/>
        </w:rPr>
        <w:t>在线签章确认的</w:t>
      </w:r>
      <w:r>
        <w:rPr>
          <w:rFonts w:hint="eastAsia" w:ascii="宋体" w:hAnsi="宋体" w:eastAsia="宋体" w:cs="宋体"/>
          <w:color w:val="auto"/>
          <w:highlight w:val="none"/>
        </w:rPr>
        <w:t>报价单或线下加盖公章确认的报价单</w:t>
      </w:r>
      <w:r>
        <w:rPr>
          <w:rFonts w:hint="eastAsia" w:ascii="宋体" w:hAnsi="宋体" w:eastAsia="宋体" w:cs="宋体"/>
          <w:color w:val="auto"/>
          <w:highlight w:val="none"/>
          <w:lang w:eastAsia="zh-CN"/>
        </w:rPr>
        <w:t>（或分项报价）</w:t>
      </w:r>
      <w:r>
        <w:rPr>
          <w:rFonts w:hint="eastAsia" w:ascii="宋体" w:hAnsi="宋体" w:eastAsia="宋体" w:cs="宋体"/>
          <w:color w:val="auto"/>
          <w:highlight w:val="none"/>
        </w:rPr>
        <w:t>扫描件</w:t>
      </w:r>
      <w:r>
        <w:rPr>
          <w:rFonts w:hint="eastAsia" w:ascii="宋体" w:hAnsi="宋体" w:eastAsia="宋体" w:cs="宋体"/>
          <w:color w:val="auto"/>
          <w:highlight w:val="none"/>
          <w:lang w:eastAsia="zh-CN"/>
        </w:rPr>
        <w:t>线上</w:t>
      </w:r>
      <w:r>
        <w:rPr>
          <w:rFonts w:hint="eastAsia" w:ascii="宋体" w:hAnsi="宋体" w:eastAsia="宋体" w:cs="宋体"/>
          <w:color w:val="auto"/>
          <w:highlight w:val="none"/>
        </w:rPr>
        <w:t>提交</w:t>
      </w:r>
      <w:r>
        <w:rPr>
          <w:rFonts w:hint="eastAsia" w:ascii="宋体" w:hAnsi="宋体" w:eastAsia="宋体" w:cs="宋体"/>
          <w:color w:val="auto"/>
          <w:highlight w:val="none"/>
          <w:lang w:eastAsia="zh-CN"/>
        </w:rPr>
        <w:t>附件</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多轮次</w:t>
      </w:r>
      <w:r>
        <w:rPr>
          <w:rFonts w:hint="eastAsia" w:ascii="宋体" w:hAnsi="宋体" w:eastAsia="宋体" w:cs="宋体"/>
          <w:color w:val="auto"/>
          <w:highlight w:val="none"/>
        </w:rPr>
        <w:t>报价</w:t>
      </w:r>
      <w:r>
        <w:rPr>
          <w:rFonts w:hint="eastAsia" w:ascii="宋体" w:hAnsi="宋体" w:eastAsia="宋体" w:cs="宋体"/>
          <w:color w:val="auto"/>
          <w:highlight w:val="none"/>
          <w:lang w:eastAsia="zh-CN"/>
        </w:rPr>
        <w:t>单均</w:t>
      </w:r>
      <w:r>
        <w:rPr>
          <w:rFonts w:hint="eastAsia" w:ascii="宋体" w:hAnsi="宋体" w:eastAsia="宋体" w:cs="宋体"/>
          <w:color w:val="auto"/>
          <w:highlight w:val="none"/>
        </w:rPr>
        <w:t>是供应商响应文件有效的组成部分。</w:t>
      </w:r>
    </w:p>
    <w:p w14:paraId="65642AD3">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eastAsia="zh-CN"/>
        </w:rPr>
        <w:t>最终轮</w:t>
      </w:r>
      <w:r>
        <w:rPr>
          <w:rFonts w:hint="eastAsia" w:ascii="宋体" w:hAnsi="宋体" w:eastAsia="宋体" w:cs="宋体"/>
          <w:color w:val="auto"/>
          <w:highlight w:val="none"/>
        </w:rPr>
        <w:t>报价为</w:t>
      </w:r>
      <w:r>
        <w:rPr>
          <w:rFonts w:hint="eastAsia" w:ascii="宋体" w:hAnsi="宋体" w:eastAsia="宋体" w:cs="宋体"/>
          <w:color w:val="auto"/>
          <w:highlight w:val="none"/>
          <w:lang w:eastAsia="zh-CN"/>
        </w:rPr>
        <w:t>最终报价，</w:t>
      </w:r>
      <w:r>
        <w:rPr>
          <w:rFonts w:hint="eastAsia" w:ascii="宋体" w:hAnsi="宋体" w:eastAsia="宋体" w:cs="宋体"/>
          <w:color w:val="auto"/>
          <w:highlight w:val="none"/>
        </w:rPr>
        <w:t>不</w:t>
      </w:r>
      <w:r>
        <w:rPr>
          <w:rFonts w:hint="eastAsia" w:ascii="宋体" w:hAnsi="宋体" w:eastAsia="宋体" w:cs="宋体"/>
          <w:color w:val="auto"/>
          <w:highlight w:val="none"/>
          <w:lang w:eastAsia="zh-CN"/>
        </w:rPr>
        <w:t>予公开</w:t>
      </w:r>
      <w:r>
        <w:rPr>
          <w:rFonts w:hint="eastAsia" w:ascii="宋体" w:hAnsi="宋体" w:eastAsia="宋体" w:cs="宋体"/>
          <w:color w:val="auto"/>
          <w:highlight w:val="none"/>
        </w:rPr>
        <w:t>，不再向任何供应商公布报价情况</w:t>
      </w:r>
      <w:r>
        <w:rPr>
          <w:rFonts w:hint="eastAsia" w:ascii="宋体" w:hAnsi="宋体" w:eastAsia="宋体" w:cs="宋体"/>
          <w:color w:val="auto"/>
          <w:highlight w:val="none"/>
          <w:lang w:val="en-US" w:eastAsia="zh-CN"/>
        </w:rPr>
        <w:t>。</w:t>
      </w:r>
    </w:p>
    <w:p w14:paraId="65038FBD">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25.3 在评审过程中，评审小组认为供应商的报价明显低于其他通过资格和符合性审查供应商的报价，有可能影响产品质量或者不能诚信履约的，应当要求其在评审现场合理的时间内提供书面说明，必要时提交相关证明材料；供应商不能证明其报价合理性的，评审小组应当将其作为无效响应处理。</w:t>
      </w:r>
    </w:p>
    <w:p w14:paraId="2B33F69D">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rPr>
          <w:rFonts w:hint="eastAsia" w:ascii="宋体" w:hAnsi="宋体" w:eastAsia="宋体" w:cs="宋体"/>
          <w:b/>
          <w:color w:val="auto"/>
          <w:highlight w:val="none"/>
        </w:rPr>
      </w:pPr>
      <w:r>
        <w:rPr>
          <w:rFonts w:hint="eastAsia" w:ascii="宋体" w:hAnsi="宋体" w:eastAsia="宋体" w:cs="宋体"/>
          <w:b/>
          <w:bCs/>
          <w:color w:val="auto"/>
          <w:highlight w:val="none"/>
          <w:lang w:val="en-US" w:eastAsia="zh-CN"/>
        </w:rPr>
        <w:t xml:space="preserve">26. </w:t>
      </w:r>
      <w:r>
        <w:rPr>
          <w:rFonts w:hint="eastAsia" w:ascii="宋体" w:hAnsi="宋体" w:eastAsia="宋体" w:cs="宋体"/>
          <w:b/>
          <w:color w:val="auto"/>
          <w:highlight w:val="none"/>
        </w:rPr>
        <w:t>综合评审</w:t>
      </w:r>
    </w:p>
    <w:p w14:paraId="4975FC7A">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.1 经</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确定最终采购需求和提交</w:t>
      </w:r>
      <w:r>
        <w:rPr>
          <w:rFonts w:hint="eastAsia" w:ascii="宋体" w:hAnsi="宋体" w:eastAsia="宋体" w:cs="宋体"/>
          <w:color w:val="auto"/>
          <w:highlight w:val="none"/>
          <w:lang w:val="en-US" w:eastAsia="zh-CN"/>
        </w:rPr>
        <w:t>最终报价</w:t>
      </w:r>
      <w:r>
        <w:rPr>
          <w:rFonts w:hint="eastAsia" w:ascii="宋体" w:hAnsi="宋体" w:eastAsia="宋体" w:cs="宋体"/>
          <w:color w:val="auto"/>
          <w:highlight w:val="none"/>
        </w:rPr>
        <w:t>的供应商后，由</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采用综合评分法对提交</w:t>
      </w:r>
      <w:r>
        <w:rPr>
          <w:rFonts w:hint="eastAsia" w:ascii="宋体" w:hAnsi="宋体" w:eastAsia="宋体" w:cs="宋体"/>
          <w:color w:val="auto"/>
          <w:highlight w:val="none"/>
          <w:lang w:val="en-US" w:eastAsia="zh-CN"/>
        </w:rPr>
        <w:t>最终报价</w:t>
      </w:r>
      <w:r>
        <w:rPr>
          <w:rFonts w:hint="eastAsia" w:ascii="宋体" w:hAnsi="宋体" w:eastAsia="宋体" w:cs="宋体"/>
          <w:color w:val="auto"/>
          <w:highlight w:val="none"/>
        </w:rPr>
        <w:t>的供应商的响应文件和</w:t>
      </w:r>
      <w:r>
        <w:rPr>
          <w:rFonts w:hint="eastAsia" w:ascii="宋体" w:hAnsi="宋体" w:eastAsia="宋体" w:cs="宋体"/>
          <w:color w:val="auto"/>
          <w:highlight w:val="none"/>
          <w:lang w:val="en-US" w:eastAsia="zh-CN"/>
        </w:rPr>
        <w:t>最终报价</w:t>
      </w:r>
      <w:r>
        <w:rPr>
          <w:rFonts w:hint="eastAsia" w:ascii="宋体" w:hAnsi="宋体" w:eastAsia="宋体" w:cs="宋体"/>
          <w:color w:val="auto"/>
          <w:highlight w:val="none"/>
        </w:rPr>
        <w:t>进行综合评分。</w:t>
      </w:r>
    </w:p>
    <w:p w14:paraId="7C3E0FF5">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.2 采用综合评分法评审，应按照</w:t>
      </w:r>
      <w:r>
        <w:rPr>
          <w:rFonts w:hint="eastAsia" w:ascii="宋体" w:hAnsi="宋体" w:eastAsia="宋体" w:cs="宋体"/>
          <w:color w:val="auto"/>
          <w:highlight w:val="none"/>
          <w:lang w:eastAsia="zh-CN"/>
        </w:rPr>
        <w:t>采购文件第五部分</w:t>
      </w:r>
      <w:r>
        <w:rPr>
          <w:rFonts w:hint="eastAsia" w:ascii="宋体" w:hAnsi="宋体" w:eastAsia="宋体" w:cs="宋体"/>
          <w:color w:val="auto"/>
          <w:highlight w:val="none"/>
        </w:rPr>
        <w:t>评审方法和评分细则中规定的评分细则进行。</w:t>
      </w:r>
    </w:p>
    <w:p w14:paraId="18285861">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7</w:t>
      </w:r>
      <w:r>
        <w:rPr>
          <w:rFonts w:hint="eastAsia" w:ascii="宋体" w:hAnsi="宋体" w:eastAsia="宋体" w:cs="宋体"/>
          <w:b/>
          <w:color w:val="auto"/>
          <w:highlight w:val="none"/>
        </w:rPr>
        <w:t>. 推荐成交候选供应商、确定成交供应商</w:t>
      </w:r>
    </w:p>
    <w:p w14:paraId="681CF21F">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xml:space="preserve">.1 </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根据</w:t>
      </w:r>
      <w:r>
        <w:rPr>
          <w:rFonts w:hint="eastAsia" w:ascii="宋体" w:hAnsi="宋体" w:eastAsia="宋体" w:cs="宋体"/>
          <w:bCs/>
          <w:color w:val="auto"/>
          <w:highlight w:val="none"/>
        </w:rPr>
        <w:t>综合评分情况，</w:t>
      </w:r>
      <w:r>
        <w:rPr>
          <w:rFonts w:hint="eastAsia" w:ascii="宋体" w:hAnsi="宋体" w:eastAsia="宋体" w:cs="宋体"/>
          <w:color w:val="auto"/>
          <w:highlight w:val="none"/>
        </w:rPr>
        <w:t>按评审得分由高到低顺序推荐成交候选供应商，得分相同的，按</w:t>
      </w:r>
      <w:r>
        <w:rPr>
          <w:rFonts w:hint="eastAsia" w:ascii="宋体" w:hAnsi="宋体" w:eastAsia="宋体" w:cs="宋体"/>
          <w:color w:val="auto"/>
          <w:highlight w:val="none"/>
          <w:lang w:eastAsia="zh-CN"/>
        </w:rPr>
        <w:t>最终报价</w:t>
      </w:r>
      <w:r>
        <w:rPr>
          <w:rFonts w:hint="eastAsia" w:ascii="宋体" w:hAnsi="宋体" w:eastAsia="宋体" w:cs="宋体"/>
          <w:color w:val="auto"/>
          <w:highlight w:val="none"/>
        </w:rPr>
        <w:t>由低到高顺序排列。得分和</w:t>
      </w:r>
      <w:r>
        <w:rPr>
          <w:rFonts w:hint="eastAsia" w:ascii="宋体" w:hAnsi="宋体" w:eastAsia="宋体" w:cs="宋体"/>
          <w:color w:val="auto"/>
          <w:highlight w:val="none"/>
          <w:lang w:eastAsia="zh-CN"/>
        </w:rPr>
        <w:t>最终报价</w:t>
      </w:r>
      <w:r>
        <w:rPr>
          <w:rFonts w:hint="eastAsia" w:ascii="宋体" w:hAnsi="宋体" w:eastAsia="宋体" w:cs="宋体"/>
          <w:color w:val="auto"/>
          <w:highlight w:val="none"/>
        </w:rPr>
        <w:t>均相同的，按技术指标优劣顺序排列。</w:t>
      </w:r>
    </w:p>
    <w:p w14:paraId="2CA50A2D">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组长根据磋商过程中形成的原始记录和评审结果编写评审报告，由</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全体人员签字认可。</w:t>
      </w:r>
    </w:p>
    <w:p w14:paraId="6F0C9431">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.3采购代理机构应当在评审结束后2个工作日内将评审报告送采购人确认。</w:t>
      </w:r>
    </w:p>
    <w:p w14:paraId="4CAD2E52">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.4采购人应当在收到评审报告后5个工作日内，从评审报告中提出的成交候选供应商中，按照排序由高到低的原则确定成交供应商，也可以授权</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直接确定成交供应商，详见供应商须知前附表。</w:t>
      </w:r>
    </w:p>
    <w:p w14:paraId="3E76F9F3">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rPr>
          <w:rFonts w:hint="eastAsia" w:ascii="宋体" w:hAnsi="宋体" w:eastAsia="宋体" w:cs="宋体"/>
          <w:b/>
          <w:color w:val="auto"/>
          <w:highlight w:val="none"/>
        </w:rPr>
      </w:pPr>
      <w:r>
        <w:rPr>
          <w:rFonts w:hint="eastAsia" w:ascii="宋体" w:hAnsi="宋体" w:eastAsia="宋体" w:cs="宋体"/>
          <w:b/>
          <w:bCs/>
          <w:color w:val="auto"/>
          <w:highlight w:val="none"/>
          <w:lang w:val="en-US" w:eastAsia="zh-CN"/>
        </w:rPr>
        <w:t xml:space="preserve">28. </w:t>
      </w:r>
      <w:r>
        <w:rPr>
          <w:rFonts w:hint="eastAsia" w:ascii="宋体" w:hAnsi="宋体" w:eastAsia="宋体" w:cs="宋体"/>
          <w:b/>
          <w:color w:val="auto"/>
          <w:highlight w:val="none"/>
        </w:rPr>
        <w:t>评审复核</w:t>
      </w:r>
    </w:p>
    <w:p w14:paraId="7E9DE0ED">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28.1</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要对评审数据进行校对、核对，对畸高、畸低的重大差异评分进行复核，并作出书面说明；要对评分汇总情况进行复核，特别是对排名第一的、报价最低的、响应文件被认定为无效的情形进行重点复核。</w:t>
      </w:r>
    </w:p>
    <w:p w14:paraId="237C607F">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28.2</w:t>
      </w:r>
      <w:r>
        <w:rPr>
          <w:rFonts w:hint="eastAsia" w:ascii="宋体" w:hAnsi="宋体" w:eastAsia="宋体" w:cs="宋体"/>
          <w:color w:val="auto"/>
          <w:highlight w:val="none"/>
        </w:rPr>
        <w:t>评审结果汇总完成后，除下列情形外，任何人不得修改评审结果：</w:t>
      </w:r>
    </w:p>
    <w:p w14:paraId="786D65DA">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A、分值汇总计算错误的；</w:t>
      </w:r>
    </w:p>
    <w:p w14:paraId="7A342C82">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B、分项评分超出评分标准范围的；</w:t>
      </w:r>
    </w:p>
    <w:p w14:paraId="5C098F37">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C、磋商小组对客观评审因素评分不一致的；</w:t>
      </w:r>
    </w:p>
    <w:p w14:paraId="34DAECA5">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D、经磋商小组认定评分畸高、畸低的</w:t>
      </w:r>
      <w:r>
        <w:rPr>
          <w:rFonts w:hint="eastAsia" w:ascii="宋体" w:hAnsi="宋体" w:eastAsia="宋体" w:cs="宋体"/>
          <w:color w:val="auto"/>
          <w:highlight w:val="none"/>
          <w:lang w:eastAsia="zh-CN"/>
        </w:rPr>
        <w:t>。</w:t>
      </w:r>
    </w:p>
    <w:p w14:paraId="3455613E">
      <w:pPr>
        <w:pStyle w:val="53"/>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评审报告签署前，经复核发现存在以上情形之一的，磋商小组应当当场修改评审结果，并在评审报告中记载；评审报告签署后，采购人或者集采机构发现存在以上情形之一的，应当组织原磋商小组进行重新评审，重新评审改变评审结果的，书面报告本级财政部门。</w:t>
      </w:r>
    </w:p>
    <w:p w14:paraId="16934EA0">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29</w:t>
      </w:r>
      <w:r>
        <w:rPr>
          <w:rFonts w:hint="eastAsia" w:ascii="宋体" w:hAnsi="宋体" w:eastAsia="宋体" w:cs="宋体"/>
          <w:b/>
          <w:color w:val="auto"/>
          <w:highlight w:val="none"/>
        </w:rPr>
        <w:t>. 关于供应商瑕疵滞后发现的处理规则</w:t>
      </w:r>
    </w:p>
    <w:p w14:paraId="317E657A">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无论基于何种原因，各项本应作拒绝或无效处理的情形，即便未被及时发现而使该供应商进入初审、磋商或其它后续程序的，包括已经签约的情形，一旦被发现存在上述情形，导致此前评议结果被取消，其相关的一切损失均由该供应商承担。</w:t>
      </w:r>
    </w:p>
    <w:p w14:paraId="51CEF7EE">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30</w:t>
      </w:r>
      <w:r>
        <w:rPr>
          <w:rFonts w:hint="eastAsia" w:ascii="宋体" w:hAnsi="宋体" w:eastAsia="宋体" w:cs="宋体"/>
          <w:b/>
          <w:bCs/>
          <w:color w:val="auto"/>
          <w:highlight w:val="none"/>
        </w:rPr>
        <w:t>. 采购项目终止</w:t>
      </w:r>
    </w:p>
    <w:p w14:paraId="2E020B90">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.1 出现下列情形之一的，终止本次</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活动：</w:t>
      </w:r>
    </w:p>
    <w:p w14:paraId="0181D3FC">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A、因情况变化，不再符合规定的</w:t>
      </w:r>
      <w:r>
        <w:rPr>
          <w:rFonts w:hint="eastAsia" w:ascii="宋体" w:hAnsi="宋体" w:eastAsia="宋体" w:cs="宋体"/>
          <w:color w:val="auto"/>
          <w:highlight w:val="none"/>
          <w:lang w:eastAsia="zh-CN"/>
        </w:rPr>
        <w:t>本次</w:t>
      </w:r>
      <w:r>
        <w:rPr>
          <w:rFonts w:hint="eastAsia" w:ascii="宋体" w:hAnsi="宋体" w:eastAsia="宋体" w:cs="宋体"/>
          <w:color w:val="auto"/>
          <w:highlight w:val="none"/>
        </w:rPr>
        <w:t>采购方式适用情形的；</w:t>
      </w:r>
    </w:p>
    <w:p w14:paraId="00BE277E">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B、出现影响采购公正的违法、违规行为的；</w:t>
      </w:r>
    </w:p>
    <w:p w14:paraId="21A16038">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C、在采购过程中符合竞争要求的供应商或者报价未超过采购预算的供应商不足3家的。</w:t>
      </w:r>
    </w:p>
    <w:p w14:paraId="1CE15A5A">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30.2如本项目属于市场竞争不充分的科研项目，以及需要扶持的科技成果转化项目，符合竞争要求的提交最后报价的供应商可以是2家，而不被终止。</w:t>
      </w:r>
    </w:p>
    <w:p w14:paraId="66110C8F">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项目终止</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后，采购代理机构将在财政部门指定的媒体上发布项目终止公告并说明原因，依法重新组织采购活动。</w:t>
      </w:r>
    </w:p>
    <w:p w14:paraId="101A3180">
      <w:pPr>
        <w:pStyle w:val="52"/>
        <w:keepNext w:val="0"/>
        <w:keepLines w:val="0"/>
        <w:pageBreakBefore w:val="0"/>
        <w:kinsoku/>
        <w:wordWrap/>
        <w:overflowPunct/>
        <w:topLinePunct w:val="0"/>
        <w:autoSpaceDE/>
        <w:autoSpaceDN/>
        <w:bidi w:val="0"/>
        <w:snapToGrid w:val="0"/>
        <w:spacing w:before="156" w:beforeLines="50" w:after="156" w:afterLines="50" w:line="440" w:lineRule="exact"/>
        <w:ind w:firstLine="482" w:firstLineChars="200"/>
        <w:jc w:val="both"/>
        <w:outlineLvl w:val="1"/>
        <w:rPr>
          <w:rFonts w:hint="eastAsia" w:ascii="宋体" w:hAnsi="宋体" w:eastAsia="宋体" w:cs="宋体"/>
          <w:color w:val="auto"/>
          <w:sz w:val="24"/>
          <w:szCs w:val="24"/>
          <w:highlight w:val="none"/>
        </w:rPr>
      </w:pPr>
      <w:bookmarkStart w:id="86" w:name="_Toc23776"/>
      <w:bookmarkStart w:id="87" w:name="_Toc424555846"/>
      <w:bookmarkStart w:id="88" w:name="_Toc20143"/>
      <w:bookmarkStart w:id="89" w:name="_Toc30591"/>
      <w:bookmarkStart w:id="90" w:name="_Toc1435"/>
      <w:r>
        <w:rPr>
          <w:rFonts w:hint="eastAsia" w:ascii="宋体" w:hAnsi="宋体" w:eastAsia="宋体" w:cs="宋体"/>
          <w:color w:val="auto"/>
          <w:sz w:val="24"/>
          <w:szCs w:val="24"/>
          <w:highlight w:val="none"/>
        </w:rPr>
        <w:t>六、签订合同</w:t>
      </w:r>
      <w:bookmarkEnd w:id="86"/>
      <w:bookmarkEnd w:id="87"/>
      <w:bookmarkEnd w:id="88"/>
      <w:bookmarkEnd w:id="89"/>
      <w:bookmarkEnd w:id="90"/>
    </w:p>
    <w:p w14:paraId="5479F00B">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31</w:t>
      </w:r>
      <w:r>
        <w:rPr>
          <w:rFonts w:hint="eastAsia" w:ascii="宋体" w:hAnsi="宋体" w:eastAsia="宋体" w:cs="宋体"/>
          <w:b/>
          <w:color w:val="auto"/>
          <w:highlight w:val="none"/>
        </w:rPr>
        <w:t>. 成交通知</w:t>
      </w:r>
    </w:p>
    <w:p w14:paraId="50490AE1">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31</w:t>
      </w:r>
      <w:r>
        <w:rPr>
          <w:rFonts w:hint="eastAsia" w:ascii="宋体" w:hAnsi="宋体" w:eastAsia="宋体" w:cs="宋体"/>
          <w:color w:val="auto"/>
          <w:highlight w:val="none"/>
        </w:rPr>
        <w:t>.1 成交供应商确定后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采购代理机构将在刊登本次</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416FAFAE">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31</w:t>
      </w:r>
      <w:r>
        <w:rPr>
          <w:rFonts w:hint="eastAsia" w:ascii="宋体" w:hAnsi="宋体" w:eastAsia="宋体" w:cs="宋体"/>
          <w:color w:val="auto"/>
          <w:highlight w:val="none"/>
        </w:rPr>
        <w:t>.2 采购代理机构对未成交的供应商不作未成交原因的解释，评审结束后，通过政采云平台通知未成交的供应商评审结果。</w:t>
      </w:r>
    </w:p>
    <w:p w14:paraId="1BD9A137">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31</w:t>
      </w:r>
      <w:r>
        <w:rPr>
          <w:rFonts w:hint="eastAsia" w:ascii="宋体" w:hAnsi="宋体" w:eastAsia="宋体" w:cs="宋体"/>
          <w:color w:val="auto"/>
          <w:highlight w:val="none"/>
        </w:rPr>
        <w:t>.3 成交通知书是合同的组成部分。</w:t>
      </w:r>
    </w:p>
    <w:p w14:paraId="18DC1158">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32</w:t>
      </w:r>
      <w:r>
        <w:rPr>
          <w:rFonts w:hint="eastAsia" w:ascii="宋体" w:hAnsi="宋体" w:eastAsia="宋体" w:cs="宋体"/>
          <w:b/>
          <w:color w:val="auto"/>
          <w:highlight w:val="none"/>
        </w:rPr>
        <w:t>. 签订合同</w:t>
      </w:r>
    </w:p>
    <w:p w14:paraId="7F97D13F">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w:t>
      </w:r>
      <w:r>
        <w:rPr>
          <w:rFonts w:hint="eastAsia" w:ascii="宋体" w:hAnsi="宋体" w:eastAsia="宋体" w:cs="宋体"/>
          <w:color w:val="auto"/>
          <w:highlight w:val="none"/>
        </w:rPr>
        <w:t>.1 成交供应商应在接到成交通知书30日内按照</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、响应文件及评审过程中的有关澄清、说明、承诺或者补正文件的内容与采购人签订合同。</w:t>
      </w:r>
    </w:p>
    <w:p w14:paraId="4AC376E0">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w:t>
      </w:r>
      <w:r>
        <w:rPr>
          <w:rFonts w:hint="eastAsia" w:ascii="宋体" w:hAnsi="宋体" w:eastAsia="宋体" w:cs="宋体"/>
          <w:color w:val="auto"/>
          <w:highlight w:val="none"/>
        </w:rPr>
        <w:t>.2 成交供应商不得再与采购人签订背离合同实质性内容的其它协议或声明。</w:t>
      </w:r>
    </w:p>
    <w:p w14:paraId="2A8F068C">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w:t>
      </w:r>
      <w:r>
        <w:rPr>
          <w:rFonts w:hint="eastAsia" w:ascii="宋体" w:hAnsi="宋体" w:eastAsia="宋体" w:cs="宋体"/>
          <w:color w:val="auto"/>
          <w:highlight w:val="none"/>
        </w:rPr>
        <w:t>.3 本文件商务条件中要求成交供应商提交履约保证金的，成交供应商须按照规定向采购人提交履约保证金。</w:t>
      </w:r>
    </w:p>
    <w:p w14:paraId="7D325272">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w:t>
      </w:r>
      <w:r>
        <w:rPr>
          <w:rFonts w:hint="eastAsia" w:ascii="宋体" w:hAnsi="宋体" w:eastAsia="宋体" w:cs="宋体"/>
          <w:color w:val="auto"/>
          <w:highlight w:val="none"/>
        </w:rPr>
        <w:t>.4 成交供应商应当自合同签订之日起五个工作日内将合同副本一份送采购代理机构存档。</w:t>
      </w:r>
    </w:p>
    <w:p w14:paraId="618E62A7">
      <w:pPr>
        <w:pStyle w:val="52"/>
        <w:keepNext w:val="0"/>
        <w:keepLines w:val="0"/>
        <w:pageBreakBefore w:val="0"/>
        <w:kinsoku/>
        <w:wordWrap/>
        <w:overflowPunct/>
        <w:topLinePunct w:val="0"/>
        <w:autoSpaceDE/>
        <w:autoSpaceDN/>
        <w:bidi w:val="0"/>
        <w:snapToGrid w:val="0"/>
        <w:spacing w:before="156" w:beforeLines="50" w:after="156" w:afterLines="50" w:line="440" w:lineRule="exact"/>
        <w:ind w:firstLine="482" w:firstLineChars="200"/>
        <w:jc w:val="both"/>
        <w:outlineLvl w:val="1"/>
        <w:rPr>
          <w:rFonts w:hint="eastAsia" w:ascii="宋体" w:hAnsi="宋体" w:eastAsia="宋体" w:cs="宋体"/>
          <w:color w:val="auto"/>
          <w:sz w:val="24"/>
          <w:szCs w:val="24"/>
          <w:highlight w:val="none"/>
        </w:rPr>
      </w:pPr>
      <w:bookmarkStart w:id="91" w:name="_Toc24789"/>
      <w:bookmarkStart w:id="92" w:name="_Toc2391"/>
      <w:bookmarkStart w:id="93" w:name="_Toc25730"/>
      <w:bookmarkStart w:id="94" w:name="_Toc424555847"/>
      <w:bookmarkStart w:id="95" w:name="_Toc25275"/>
      <w:r>
        <w:rPr>
          <w:rFonts w:hint="eastAsia" w:ascii="宋体" w:hAnsi="宋体" w:eastAsia="宋体" w:cs="宋体"/>
          <w:color w:val="auto"/>
          <w:sz w:val="24"/>
          <w:szCs w:val="24"/>
          <w:highlight w:val="none"/>
        </w:rPr>
        <w:t>七、保密和披露</w:t>
      </w:r>
      <w:bookmarkEnd w:id="91"/>
      <w:bookmarkEnd w:id="92"/>
      <w:bookmarkEnd w:id="93"/>
      <w:bookmarkEnd w:id="94"/>
      <w:bookmarkEnd w:id="95"/>
    </w:p>
    <w:p w14:paraId="07A8AAA8">
      <w:pPr>
        <w:pStyle w:val="53"/>
        <w:keepNext w:val="0"/>
        <w:keepLines w:val="0"/>
        <w:pageBreakBefore w:val="0"/>
        <w:widowControl w:val="0"/>
        <w:kinsoku/>
        <w:wordWrap/>
        <w:overflowPunct/>
        <w:topLinePunct w:val="0"/>
        <w:autoSpaceDE/>
        <w:autoSpaceDN/>
        <w:bidi w:val="0"/>
        <w:adjustRightInd/>
        <w:spacing w:line="420" w:lineRule="exact"/>
        <w:ind w:firstLine="42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 保密</w:t>
      </w:r>
    </w:p>
    <w:p w14:paraId="0315B6A3">
      <w:pPr>
        <w:pStyle w:val="53"/>
        <w:keepNext w:val="0"/>
        <w:keepLines w:val="0"/>
        <w:pageBreakBefore w:val="0"/>
        <w:widowControl w:val="0"/>
        <w:kinsoku/>
        <w:wordWrap/>
        <w:overflowPunct/>
        <w:topLinePunct w:val="0"/>
        <w:autoSpaceDE/>
        <w:autoSpaceDN/>
        <w:bidi w:val="0"/>
        <w:adjustRightInd/>
        <w:spacing w:line="420" w:lineRule="exact"/>
        <w:ind w:firstLine="420" w:firstLineChars="20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lang w:val="en-US" w:eastAsia="zh-CN"/>
        </w:rPr>
        <w:t>33</w:t>
      </w:r>
      <w:r>
        <w:rPr>
          <w:rFonts w:hint="eastAsia" w:ascii="宋体" w:hAnsi="宋体" w:eastAsia="宋体" w:cs="宋体"/>
          <w:b w:val="0"/>
          <w:bCs/>
          <w:color w:val="auto"/>
          <w:highlight w:val="none"/>
        </w:rPr>
        <w:t>.1 在</w:t>
      </w:r>
      <w:r>
        <w:rPr>
          <w:rFonts w:hint="eastAsia" w:ascii="宋体" w:hAnsi="宋体" w:eastAsia="宋体" w:cs="宋体"/>
          <w:b w:val="0"/>
          <w:bCs/>
          <w:color w:val="auto"/>
          <w:highlight w:val="none"/>
          <w:lang w:eastAsia="zh-CN"/>
        </w:rPr>
        <w:t>评审</w:t>
      </w:r>
      <w:r>
        <w:rPr>
          <w:rFonts w:hint="eastAsia" w:ascii="宋体" w:hAnsi="宋体" w:eastAsia="宋体" w:cs="宋体"/>
          <w:b w:val="0"/>
          <w:bCs/>
          <w:color w:val="auto"/>
          <w:highlight w:val="none"/>
        </w:rPr>
        <w:t>期间，任何人不得透露与磋商有关的其他供应商的技术资料、价格和其他信息。</w:t>
      </w:r>
    </w:p>
    <w:p w14:paraId="684446DA">
      <w:pPr>
        <w:pStyle w:val="53"/>
        <w:keepNext w:val="0"/>
        <w:keepLines w:val="0"/>
        <w:pageBreakBefore w:val="0"/>
        <w:widowControl w:val="0"/>
        <w:kinsoku/>
        <w:wordWrap/>
        <w:overflowPunct/>
        <w:topLinePunct w:val="0"/>
        <w:autoSpaceDE/>
        <w:autoSpaceDN/>
        <w:bidi w:val="0"/>
        <w:adjustRightInd/>
        <w:spacing w:line="420" w:lineRule="exact"/>
        <w:ind w:firstLine="420" w:firstLineChars="20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lang w:val="en-US" w:eastAsia="zh-CN"/>
        </w:rPr>
        <w:t>33</w:t>
      </w:r>
      <w:r>
        <w:rPr>
          <w:rFonts w:hint="eastAsia" w:ascii="宋体" w:hAnsi="宋体" w:eastAsia="宋体" w:cs="宋体"/>
          <w:b w:val="0"/>
          <w:bCs/>
          <w:color w:val="auto"/>
          <w:highlight w:val="none"/>
        </w:rPr>
        <w:t>.2 磋商结束后，参与评审磋商的所有人员不得带走</w:t>
      </w:r>
      <w:r>
        <w:rPr>
          <w:rFonts w:hint="eastAsia" w:ascii="宋体" w:hAnsi="宋体" w:eastAsia="宋体" w:cs="宋体"/>
          <w:b w:val="0"/>
          <w:bCs/>
          <w:color w:val="auto"/>
          <w:highlight w:val="none"/>
          <w:lang w:eastAsia="zh-CN"/>
        </w:rPr>
        <w:t>开标现场</w:t>
      </w:r>
      <w:r>
        <w:rPr>
          <w:rFonts w:hint="eastAsia" w:ascii="宋体" w:hAnsi="宋体" w:eastAsia="宋体" w:cs="宋体"/>
          <w:b w:val="0"/>
          <w:bCs/>
          <w:color w:val="auto"/>
          <w:highlight w:val="none"/>
        </w:rPr>
        <w:t>的任何资料。</w:t>
      </w:r>
    </w:p>
    <w:p w14:paraId="4B155264">
      <w:pPr>
        <w:pStyle w:val="53"/>
        <w:keepNext w:val="0"/>
        <w:keepLines w:val="0"/>
        <w:pageBreakBefore w:val="0"/>
        <w:widowControl w:val="0"/>
        <w:kinsoku/>
        <w:wordWrap/>
        <w:overflowPunct/>
        <w:topLinePunct w:val="0"/>
        <w:autoSpaceDE/>
        <w:autoSpaceDN/>
        <w:bidi w:val="0"/>
        <w:adjustRightInd/>
        <w:spacing w:line="420" w:lineRule="exact"/>
        <w:ind w:firstLine="420" w:firstLineChars="200"/>
        <w:jc w:val="both"/>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lang w:val="en-US" w:eastAsia="zh-CN"/>
        </w:rPr>
        <w:t xml:space="preserve">33.3 </w:t>
      </w:r>
      <w:r>
        <w:rPr>
          <w:rFonts w:hint="eastAsia" w:ascii="宋体" w:hAnsi="宋体" w:eastAsia="宋体" w:cs="宋体"/>
          <w:b w:val="0"/>
          <w:bCs/>
          <w:color w:val="auto"/>
          <w:highlight w:val="none"/>
        </w:rPr>
        <w:t>供应商自领取</w:t>
      </w:r>
      <w:r>
        <w:rPr>
          <w:rFonts w:hint="eastAsia" w:ascii="宋体" w:hAnsi="宋体" w:eastAsia="宋体" w:cs="宋体"/>
          <w:b w:val="0"/>
          <w:bCs/>
          <w:color w:val="auto"/>
          <w:highlight w:val="none"/>
          <w:lang w:eastAsia="zh-CN"/>
        </w:rPr>
        <w:t>采购文件</w:t>
      </w:r>
      <w:r>
        <w:rPr>
          <w:rFonts w:hint="eastAsia" w:ascii="宋体" w:hAnsi="宋体" w:eastAsia="宋体" w:cs="宋体"/>
          <w:b w:val="0"/>
          <w:bCs/>
          <w:color w:val="auto"/>
          <w:highlight w:val="none"/>
        </w:rPr>
        <w:t>之日起，须承诺承担对本采购项目的保密义务，不得将因本次</w:t>
      </w:r>
      <w:r>
        <w:rPr>
          <w:rFonts w:hint="eastAsia" w:ascii="宋体" w:hAnsi="宋体" w:eastAsia="宋体" w:cs="宋体"/>
          <w:b w:val="0"/>
          <w:bCs/>
          <w:color w:val="auto"/>
          <w:highlight w:val="none"/>
          <w:lang w:eastAsia="zh-CN"/>
        </w:rPr>
        <w:t>采购</w:t>
      </w:r>
      <w:r>
        <w:rPr>
          <w:rFonts w:hint="eastAsia" w:ascii="宋体" w:hAnsi="宋体" w:eastAsia="宋体" w:cs="宋体"/>
          <w:b w:val="0"/>
          <w:bCs/>
          <w:color w:val="auto"/>
          <w:highlight w:val="none"/>
        </w:rPr>
        <w:t>获得的信息向第三人外传。</w:t>
      </w:r>
    </w:p>
    <w:p w14:paraId="7A961C88">
      <w:pPr>
        <w:pStyle w:val="53"/>
        <w:keepNext w:val="0"/>
        <w:keepLines w:val="0"/>
        <w:pageBreakBefore w:val="0"/>
        <w:widowControl w:val="0"/>
        <w:kinsoku/>
        <w:wordWrap/>
        <w:overflowPunct/>
        <w:topLinePunct w:val="0"/>
        <w:autoSpaceDE/>
        <w:autoSpaceDN/>
        <w:bidi w:val="0"/>
        <w:adjustRightInd/>
        <w:spacing w:line="420" w:lineRule="exact"/>
        <w:ind w:firstLine="42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 披露</w:t>
      </w:r>
    </w:p>
    <w:p w14:paraId="2D09DABC">
      <w:pPr>
        <w:pStyle w:val="53"/>
        <w:keepNext w:val="0"/>
        <w:keepLines w:val="0"/>
        <w:pageBreakBefore w:val="0"/>
        <w:widowControl w:val="0"/>
        <w:kinsoku/>
        <w:wordWrap/>
        <w:overflowPunct/>
        <w:topLinePunct w:val="0"/>
        <w:autoSpaceDE/>
        <w:autoSpaceDN/>
        <w:bidi w:val="0"/>
        <w:adjustRightInd/>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.1 采购代理机构有权将供应商提供的所有资料向有关政府部门或评审标书的有关人员披露。</w:t>
      </w:r>
    </w:p>
    <w:p w14:paraId="6C146622">
      <w:pPr>
        <w:pStyle w:val="53"/>
        <w:keepNext w:val="0"/>
        <w:keepLines w:val="0"/>
        <w:pageBreakBefore w:val="0"/>
        <w:widowControl w:val="0"/>
        <w:kinsoku/>
        <w:wordWrap/>
        <w:overflowPunct/>
        <w:topLinePunct w:val="0"/>
        <w:autoSpaceDE/>
        <w:autoSpaceDN/>
        <w:bidi w:val="0"/>
        <w:adjustRightInd/>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.2 在采购代理机构认为适当时、国家机关调查、审查、审计时以及其他符合法律规定的情形下，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5F39E260">
      <w:pPr>
        <w:pStyle w:val="52"/>
        <w:keepNext w:val="0"/>
        <w:keepLines w:val="0"/>
        <w:pageBreakBefore w:val="0"/>
        <w:kinsoku/>
        <w:wordWrap/>
        <w:overflowPunct/>
        <w:topLinePunct w:val="0"/>
        <w:autoSpaceDE/>
        <w:autoSpaceDN/>
        <w:bidi w:val="0"/>
        <w:snapToGrid w:val="0"/>
        <w:spacing w:before="156" w:beforeLines="50" w:after="156" w:afterLines="50" w:line="440" w:lineRule="exact"/>
        <w:ind w:firstLine="482" w:firstLineChars="200"/>
        <w:jc w:val="both"/>
        <w:outlineLvl w:val="1"/>
        <w:rPr>
          <w:rFonts w:hint="eastAsia" w:ascii="宋体" w:hAnsi="宋体" w:eastAsia="宋体" w:cs="宋体"/>
          <w:color w:val="auto"/>
          <w:sz w:val="24"/>
          <w:szCs w:val="24"/>
          <w:highlight w:val="none"/>
        </w:rPr>
      </w:pPr>
      <w:bookmarkStart w:id="96" w:name="_Toc424555848"/>
      <w:bookmarkStart w:id="97" w:name="_Toc30761"/>
      <w:bookmarkStart w:id="98" w:name="_Toc20256"/>
      <w:bookmarkStart w:id="99" w:name="_Toc26230"/>
      <w:bookmarkStart w:id="100" w:name="_Toc13392"/>
      <w:r>
        <w:rPr>
          <w:rFonts w:hint="eastAsia" w:ascii="宋体" w:hAnsi="宋体" w:eastAsia="宋体" w:cs="宋体"/>
          <w:color w:val="auto"/>
          <w:sz w:val="24"/>
          <w:szCs w:val="24"/>
          <w:highlight w:val="none"/>
        </w:rPr>
        <w:t>八、询问和质疑</w:t>
      </w:r>
      <w:bookmarkEnd w:id="96"/>
      <w:bookmarkEnd w:id="97"/>
      <w:bookmarkEnd w:id="98"/>
      <w:bookmarkEnd w:id="99"/>
      <w:bookmarkEnd w:id="100"/>
    </w:p>
    <w:p w14:paraId="0827556D">
      <w:pPr>
        <w:pStyle w:val="53"/>
        <w:keepNext w:val="0"/>
        <w:keepLines w:val="0"/>
        <w:pageBreakBefore w:val="0"/>
        <w:widowControl w:val="0"/>
        <w:kinsoku/>
        <w:wordWrap/>
        <w:overflowPunct/>
        <w:topLinePunct w:val="0"/>
        <w:autoSpaceDE/>
        <w:autoSpaceDN/>
        <w:bidi w:val="0"/>
        <w:snapToGrid w:val="0"/>
        <w:spacing w:line="420" w:lineRule="exact"/>
        <w:ind w:left="1" w:firstLine="42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rPr>
        <w:t>. 询问</w:t>
      </w:r>
    </w:p>
    <w:p w14:paraId="5D487CFC">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.1供应商对政府采购活动事项和采购文件、采购结果有疑问的，可按第一部分</w:t>
      </w:r>
      <w:r>
        <w:rPr>
          <w:rFonts w:hint="eastAsia" w:ascii="宋体" w:hAnsi="宋体" w:eastAsia="宋体" w:cs="宋体"/>
          <w:color w:val="auto"/>
          <w:highlight w:val="none"/>
          <w:lang w:eastAsia="zh-CN"/>
        </w:rPr>
        <w:t>采购公告</w:t>
      </w:r>
      <w:r>
        <w:rPr>
          <w:rFonts w:hint="eastAsia" w:ascii="宋体" w:hAnsi="宋体" w:eastAsia="宋体" w:cs="宋体"/>
          <w:color w:val="auto"/>
          <w:highlight w:val="none"/>
        </w:rPr>
        <w:t>中载明的联系方式、地址口头或书面形式向采购代理机构、采购人提出询问，采购代理机构、采购人将依据《中华人民共和国政府采购法实施条例》第五十二条第一款的规定时限做出处理和答复。</w:t>
      </w:r>
    </w:p>
    <w:p w14:paraId="6D8CB721">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.2询问超出采购人对采购代理机构委托授权范围的，采购代理机构将依据《中华人民共和国政府采购法实施条例》第五十二条第二款的规定告知供应商向采购人提出质疑。</w:t>
      </w:r>
    </w:p>
    <w:p w14:paraId="22D0147F">
      <w:pPr>
        <w:pStyle w:val="53"/>
        <w:keepNext w:val="0"/>
        <w:keepLines w:val="0"/>
        <w:pageBreakBefore w:val="0"/>
        <w:widowControl w:val="0"/>
        <w:kinsoku/>
        <w:wordWrap/>
        <w:overflowPunct/>
        <w:topLinePunct w:val="0"/>
        <w:autoSpaceDE/>
        <w:autoSpaceDN/>
        <w:bidi w:val="0"/>
        <w:snapToGrid w:val="0"/>
        <w:spacing w:line="420" w:lineRule="exact"/>
        <w:ind w:left="1" w:firstLine="42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ascii="宋体" w:hAnsi="宋体" w:eastAsia="宋体" w:cs="宋体"/>
          <w:b/>
          <w:color w:val="auto"/>
          <w:highlight w:val="none"/>
          <w:lang w:val="en-US" w:eastAsia="zh-CN"/>
        </w:rPr>
        <w:t>6</w:t>
      </w:r>
      <w:r>
        <w:rPr>
          <w:rFonts w:hint="eastAsia" w:ascii="宋体" w:hAnsi="宋体" w:eastAsia="宋体" w:cs="宋体"/>
          <w:b/>
          <w:color w:val="auto"/>
          <w:highlight w:val="none"/>
        </w:rPr>
        <w:t>. 质疑</w:t>
      </w:r>
    </w:p>
    <w:p w14:paraId="620654F5">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.1 供应商认为</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、磋商过程和成交结果使自己的权益受到损害的，可以根据《中华人民共和国政府采购法》第五十二条的规定，</w:t>
      </w:r>
      <w:r>
        <w:rPr>
          <w:rFonts w:hint="eastAsia" w:ascii="宋体" w:hAnsi="宋体" w:eastAsia="宋体" w:cs="宋体"/>
          <w:color w:val="auto"/>
          <w:highlight w:val="none"/>
          <w:lang w:eastAsia="zh-CN"/>
        </w:rPr>
        <w:t>以书面形式</w:t>
      </w:r>
      <w:r>
        <w:rPr>
          <w:rFonts w:hint="eastAsia" w:ascii="宋体" w:hAnsi="宋体" w:eastAsia="宋体" w:cs="宋体"/>
          <w:color w:val="auto"/>
          <w:highlight w:val="none"/>
        </w:rPr>
        <w:t>提出质疑。</w:t>
      </w:r>
    </w:p>
    <w:p w14:paraId="42CEEA0C">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.2 提出质疑的时限应当符合《中华人民共和国政府采购法实施条例》第五十三条的规定。对本</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的质疑，其受到损害之日为收到本</w:t>
      </w:r>
      <w:r>
        <w:rPr>
          <w:rFonts w:hint="eastAsia" w:ascii="宋体" w:hAnsi="宋体" w:eastAsia="宋体" w:cs="宋体"/>
          <w:color w:val="auto"/>
          <w:highlight w:val="none"/>
          <w:lang w:eastAsia="zh-CN"/>
        </w:rPr>
        <w:t>采购文件</w:t>
      </w:r>
      <w:r>
        <w:rPr>
          <w:rFonts w:hint="eastAsia" w:ascii="宋体" w:hAnsi="宋体" w:eastAsia="宋体" w:cs="宋体"/>
          <w:color w:val="auto"/>
          <w:highlight w:val="none"/>
        </w:rPr>
        <w:t>之日。</w:t>
      </w:r>
    </w:p>
    <w:p w14:paraId="75EEFF01">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.3 供应商提出的质疑必须符合《中华人民共和国政府采购法实施条例》五十五条的规定，应当有明确的请求和必要的证明材料，否则不予受理。</w:t>
      </w:r>
    </w:p>
    <w:p w14:paraId="14522EC5">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.4 供应商提出的质疑函须经法定代表人签字并加盖公章，按照一式二份提供。提供质疑函时，要同时提供法定代表人证明书或法定代表人授权委托书，对本文件的质疑还应提供收到本文件的有关证明材料。</w:t>
      </w:r>
    </w:p>
    <w:p w14:paraId="58B4F5D0">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36</w:t>
      </w:r>
      <w:r>
        <w:rPr>
          <w:rFonts w:hint="eastAsia" w:ascii="宋体" w:hAnsi="宋体" w:eastAsia="宋体" w:cs="宋体"/>
          <w:color w:val="auto"/>
          <w:highlight w:val="none"/>
        </w:rPr>
        <w:t>.5 供应商进行虚假和恶意质疑的，采购代理机构、采购人可以提请政府采购监管部门将其列入不良记录名单，在一至三年内禁止参加政府采购活动，并将处理决定在相关政府采购媒体上公布。</w:t>
      </w:r>
    </w:p>
    <w:p w14:paraId="7BDCC1FA">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.6 质疑超出采购人对采购代理机构委托授权范围的，采购代理机构将依据《中华人民共和国政府采购法实施条例》第五十二条第二款的规定告知供应商向采购人提出质疑。</w:t>
      </w:r>
    </w:p>
    <w:p w14:paraId="192461D5">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36.7 有下列情形之一的，属于无效质疑，采购人/代理机构可不予受理：</w:t>
      </w:r>
    </w:p>
    <w:p w14:paraId="36DBD7EB">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（1）未在有效期限内提出质疑的；</w:t>
      </w:r>
    </w:p>
    <w:p w14:paraId="326BA956">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（2）质疑未以书面形式提出的；</w:t>
      </w:r>
    </w:p>
    <w:p w14:paraId="4D43EA15">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（3）所提交材料未明示属于质疑材料的；</w:t>
      </w:r>
    </w:p>
    <w:p w14:paraId="122ABB2B">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（4）质疑书没有法定代表人签署本人姓名或加盖本人姓名章和单位公章的；质疑书有参加采购项目的授权代表签名或本人姓名章，但没有法定代表人特别授权的。</w:t>
      </w:r>
    </w:p>
    <w:p w14:paraId="67523416">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（5）质疑书未提供有效联系人或联系方式的；</w:t>
      </w:r>
    </w:p>
    <w:p w14:paraId="596C144C">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（6）质疑事项已经进入投诉或者行政复议或者诉讼程序的；</w:t>
      </w:r>
    </w:p>
    <w:p w14:paraId="7AFA9682">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（7）质疑书未附相关证明材料，被视为无有效证据支持的。</w:t>
      </w:r>
    </w:p>
    <w:p w14:paraId="2BECC134">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（8）供应商对采购文件条款或技术参数有异议，未在磋商前通过澄清或修改程序提出，而于磋商后对采购文件提出质疑的；</w:t>
      </w:r>
    </w:p>
    <w:p w14:paraId="3199D89D">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（9）在提出本次质疑前半年内连续三次质疑而无事实依据的；</w:t>
      </w:r>
    </w:p>
    <w:p w14:paraId="1F20F7AA">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（10）其他不符合受理条件的情形。</w:t>
      </w:r>
    </w:p>
    <w:p w14:paraId="29FEE6CD">
      <w:pPr>
        <w:pStyle w:val="52"/>
        <w:keepNext w:val="0"/>
        <w:keepLines w:val="0"/>
        <w:pageBreakBefore w:val="0"/>
        <w:kinsoku/>
        <w:wordWrap/>
        <w:overflowPunct/>
        <w:topLinePunct w:val="0"/>
        <w:autoSpaceDE/>
        <w:autoSpaceDN/>
        <w:bidi w:val="0"/>
        <w:snapToGrid w:val="0"/>
        <w:spacing w:before="156" w:beforeLines="50" w:after="156" w:afterLines="50" w:line="440" w:lineRule="exact"/>
        <w:ind w:firstLine="482" w:firstLineChars="200"/>
        <w:jc w:val="both"/>
        <w:outlineLvl w:val="1"/>
        <w:rPr>
          <w:rFonts w:hint="eastAsia" w:ascii="宋体" w:hAnsi="宋体" w:eastAsia="宋体" w:cs="宋体"/>
          <w:color w:val="auto"/>
          <w:sz w:val="24"/>
          <w:szCs w:val="24"/>
          <w:highlight w:val="none"/>
        </w:rPr>
      </w:pPr>
      <w:bookmarkStart w:id="101" w:name="_Toc30706"/>
      <w:bookmarkStart w:id="102" w:name="_Toc10947"/>
      <w:bookmarkStart w:id="103" w:name="_Toc30106"/>
      <w:bookmarkStart w:id="104" w:name="_Toc3678"/>
      <w:r>
        <w:rPr>
          <w:rFonts w:hint="eastAsia" w:ascii="宋体" w:hAnsi="宋体" w:eastAsia="宋体" w:cs="宋体"/>
          <w:color w:val="auto"/>
          <w:sz w:val="24"/>
          <w:szCs w:val="24"/>
          <w:highlight w:val="none"/>
        </w:rPr>
        <w:t>九、其他</w:t>
      </w:r>
      <w:bookmarkEnd w:id="101"/>
      <w:bookmarkEnd w:id="102"/>
      <w:bookmarkEnd w:id="103"/>
      <w:bookmarkEnd w:id="104"/>
    </w:p>
    <w:p w14:paraId="530FA206">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 xml:space="preserve">7. </w:t>
      </w:r>
      <w:r>
        <w:rPr>
          <w:rFonts w:hint="eastAsia" w:ascii="宋体" w:hAnsi="宋体" w:eastAsia="宋体" w:cs="宋体"/>
          <w:b/>
          <w:bCs/>
          <w:color w:val="auto"/>
          <w:highlight w:val="none"/>
        </w:rPr>
        <w:t>其它要求：</w:t>
      </w:r>
      <w:r>
        <w:rPr>
          <w:rFonts w:hint="eastAsia" w:ascii="宋体" w:hAnsi="宋体" w:eastAsia="宋体" w:cs="宋体"/>
          <w:color w:val="auto"/>
          <w:highlight w:val="none"/>
        </w:rPr>
        <w:t>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35E19D82">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 xml:space="preserve">8. </w:t>
      </w:r>
      <w:r>
        <w:rPr>
          <w:rFonts w:hint="eastAsia" w:ascii="宋体" w:hAnsi="宋体" w:eastAsia="宋体" w:cs="宋体"/>
          <w:b/>
          <w:bCs/>
          <w:color w:val="auto"/>
          <w:highlight w:val="none"/>
        </w:rPr>
        <w:t>代理服务费：</w:t>
      </w:r>
      <w:r>
        <w:rPr>
          <w:rFonts w:hint="eastAsia" w:ascii="宋体" w:hAnsi="宋体" w:eastAsia="宋体" w:cs="宋体"/>
          <w:color w:val="auto"/>
          <w:highlight w:val="none"/>
        </w:rPr>
        <w:t>详见供应商须知前附表。</w:t>
      </w:r>
    </w:p>
    <w:p w14:paraId="737C7385">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 xml:space="preserve">39. </w:t>
      </w:r>
      <w:r>
        <w:rPr>
          <w:rFonts w:hint="eastAsia" w:ascii="宋体" w:hAnsi="宋体" w:eastAsia="宋体" w:cs="宋体"/>
          <w:b/>
          <w:bCs/>
          <w:color w:val="auto"/>
          <w:highlight w:val="none"/>
        </w:rPr>
        <w:t>同类项目案例相关要求：</w:t>
      </w:r>
      <w:r>
        <w:rPr>
          <w:rFonts w:hint="eastAsia" w:ascii="宋体" w:hAnsi="宋体" w:eastAsia="宋体" w:cs="宋体"/>
          <w:color w:val="auto"/>
          <w:highlight w:val="none"/>
        </w:rPr>
        <w:t>详见供应商须知前附表。</w:t>
      </w:r>
    </w:p>
    <w:p w14:paraId="60703B7E">
      <w:pPr>
        <w:pStyle w:val="53"/>
        <w:keepNext w:val="0"/>
        <w:keepLines w:val="0"/>
        <w:pageBreakBefore w:val="0"/>
        <w:widowControl w:val="0"/>
        <w:kinsoku/>
        <w:wordWrap/>
        <w:overflowPunct/>
        <w:topLinePunct w:val="0"/>
        <w:autoSpaceDE/>
        <w:autoSpaceDN/>
        <w:bidi w:val="0"/>
        <w:snapToGrid w:val="0"/>
        <w:spacing w:line="420" w:lineRule="exact"/>
        <w:ind w:firstLine="42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40.异常低价审核程序启用情形：</w:t>
      </w:r>
    </w:p>
    <w:p w14:paraId="2C73BE42">
      <w:pPr>
        <w:pStyle w:val="53"/>
        <w:keepNext w:val="0"/>
        <w:keepLines w:val="0"/>
        <w:pageBreakBefore w:val="0"/>
        <w:widowControl w:val="0"/>
        <w:numPr>
          <w:ilvl w:val="0"/>
          <w:numId w:val="0"/>
        </w:numPr>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40.1根据</w:t>
      </w:r>
      <w:r>
        <w:rPr>
          <w:rFonts w:hint="eastAsia" w:ascii="宋体" w:hAnsi="宋体" w:eastAsia="宋体" w:cs="宋体"/>
          <w:color w:val="auto"/>
          <w:highlight w:val="none"/>
        </w:rPr>
        <w:t>《关于推动解决政府采购异常低价问题的通知》</w:t>
      </w:r>
      <w:r>
        <w:rPr>
          <w:rFonts w:hint="eastAsia" w:ascii="宋体" w:hAnsi="宋体" w:eastAsia="宋体" w:cs="宋体"/>
          <w:color w:val="auto"/>
          <w:highlight w:val="none"/>
          <w:lang w:val="en-US" w:eastAsia="zh-CN"/>
        </w:rPr>
        <w:t>财库【2026】2号文件通知评审中出现下列情形之一的，评审委员会应当启动异常低价投标（响应）审查程序：</w:t>
      </w:r>
    </w:p>
    <w:p w14:paraId="73049FF4">
      <w:pPr>
        <w:pStyle w:val="53"/>
        <w:keepNext w:val="0"/>
        <w:keepLines w:val="0"/>
        <w:pageBreakBefore w:val="0"/>
        <w:widowControl w:val="0"/>
        <w:numPr>
          <w:ilvl w:val="0"/>
          <w:numId w:val="0"/>
        </w:numPr>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（1）投标（响应）报价低于全部通过符合性审查供应商投标（响应）报价平均值50%的，</w:t>
      </w:r>
    </w:p>
    <w:p w14:paraId="098D55E6">
      <w:pPr>
        <w:pStyle w:val="53"/>
        <w:keepNext w:val="0"/>
        <w:keepLines w:val="0"/>
        <w:pageBreakBefore w:val="0"/>
        <w:widowControl w:val="0"/>
        <w:numPr>
          <w:ilvl w:val="0"/>
          <w:numId w:val="0"/>
        </w:numPr>
        <w:kinsoku/>
        <w:wordWrap/>
        <w:overflowPunct/>
        <w:topLinePunct w:val="0"/>
        <w:autoSpaceDE/>
        <w:autoSpaceDN/>
        <w:bidi w:val="0"/>
        <w:snapToGrid w:val="0"/>
        <w:spacing w:line="420" w:lineRule="exact"/>
        <w:ind w:firstLine="840" w:firstLineChars="4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即投标（响应）报价&lt;全部通过符合性审查供应商投标（响应）报价平均值×50%；</w:t>
      </w:r>
    </w:p>
    <w:p w14:paraId="33DB4E3D">
      <w:pPr>
        <w:pStyle w:val="53"/>
        <w:keepNext w:val="0"/>
        <w:keepLines w:val="0"/>
        <w:pageBreakBefore w:val="0"/>
        <w:widowControl w:val="0"/>
        <w:numPr>
          <w:ilvl w:val="0"/>
          <w:numId w:val="0"/>
        </w:numPr>
        <w:kinsoku/>
        <w:wordWrap/>
        <w:overflowPunct/>
        <w:topLinePunct w:val="0"/>
        <w:autoSpaceDE/>
        <w:autoSpaceDN/>
        <w:bidi w:val="0"/>
        <w:snapToGrid w:val="0"/>
        <w:spacing w:line="420" w:lineRule="exact"/>
        <w:ind w:left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（2）投标（响应）报价低于通过符合性审查的次低报价供应商投标（响应）报价50%的，</w:t>
      </w:r>
    </w:p>
    <w:p w14:paraId="28673E3A">
      <w:pPr>
        <w:pStyle w:val="53"/>
        <w:keepNext w:val="0"/>
        <w:keepLines w:val="0"/>
        <w:pageBreakBefore w:val="0"/>
        <w:widowControl w:val="0"/>
        <w:numPr>
          <w:ilvl w:val="0"/>
          <w:numId w:val="0"/>
        </w:numPr>
        <w:kinsoku/>
        <w:wordWrap/>
        <w:overflowPunct/>
        <w:topLinePunct w:val="0"/>
        <w:autoSpaceDE/>
        <w:autoSpaceDN/>
        <w:bidi w:val="0"/>
        <w:snapToGrid w:val="0"/>
        <w:spacing w:line="420" w:lineRule="exact"/>
        <w:ind w:leftChars="20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即投标（响应）报价&lt;通过符合性审查的次低报价供应商投标（响应）报价×50%；</w:t>
      </w:r>
    </w:p>
    <w:p w14:paraId="7C9249E6">
      <w:pPr>
        <w:pStyle w:val="53"/>
        <w:keepNext w:val="0"/>
        <w:keepLines w:val="0"/>
        <w:pageBreakBefore w:val="0"/>
        <w:widowControl w:val="0"/>
        <w:numPr>
          <w:ilvl w:val="0"/>
          <w:numId w:val="0"/>
        </w:numPr>
        <w:kinsoku/>
        <w:wordWrap/>
        <w:overflowPunct/>
        <w:topLinePunct w:val="0"/>
        <w:autoSpaceDE/>
        <w:autoSpaceDN/>
        <w:bidi w:val="0"/>
        <w:snapToGrid w:val="0"/>
        <w:spacing w:line="420" w:lineRule="exact"/>
        <w:ind w:left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（3）投标（响应）报价低于采购项目最高限价45%的，</w:t>
      </w:r>
    </w:p>
    <w:p w14:paraId="1BF7C461">
      <w:pPr>
        <w:pStyle w:val="53"/>
        <w:keepNext w:val="0"/>
        <w:keepLines w:val="0"/>
        <w:pageBreakBefore w:val="0"/>
        <w:widowControl w:val="0"/>
        <w:numPr>
          <w:ilvl w:val="0"/>
          <w:numId w:val="0"/>
        </w:numPr>
        <w:kinsoku/>
        <w:wordWrap/>
        <w:overflowPunct/>
        <w:topLinePunct w:val="0"/>
        <w:autoSpaceDE/>
        <w:autoSpaceDN/>
        <w:bidi w:val="0"/>
        <w:snapToGrid w:val="0"/>
        <w:spacing w:line="420" w:lineRule="exact"/>
        <w:ind w:leftChars="20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即投标（响应）报价&lt;采购项目最高限价×45%；</w:t>
      </w:r>
    </w:p>
    <w:p w14:paraId="7F6F34BE">
      <w:pPr>
        <w:pStyle w:val="53"/>
        <w:keepNext w:val="0"/>
        <w:keepLines w:val="0"/>
        <w:pageBreakBefore w:val="0"/>
        <w:widowControl w:val="0"/>
        <w:numPr>
          <w:ilvl w:val="0"/>
          <w:numId w:val="4"/>
        </w:numPr>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评审委员会基于专业判断，认为供应商报价过低，有可能影响产品质量或者不能诚信履约的其他情形。</w:t>
      </w:r>
    </w:p>
    <w:p w14:paraId="0FF45362">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采购人可以结合具体项目实际情况，提高上述第1项至第3项中启动异常低价投标（响应）审查的数值标准，但是最高不得超过65%。相关法律法规对供应商报价有规定的，从其规定。</w:t>
      </w:r>
    </w:p>
    <w:p w14:paraId="0CC71B0C">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40.2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F8B3D5E">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40.3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B03A442">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40.4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391ED14">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40.5异常低价投标（响应）审查的启动原因、审查意见和审查结果应当在评审报告中记录，并随供应商提供的相关书面说明及证明材料，以及评审委员会有关互联网浏览、查询历史一并归档。</w:t>
      </w:r>
    </w:p>
    <w:p w14:paraId="59D4FAE4">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40.6各级财政部门应当加强对评审专家的指导和监管，进一步压实评审专家的责任。财政部门在投诉处理、监督检查中发现评审委员会未按规定对异常低价开展审查的，依法予以纠正并追究评审专家的法律责任。</w:t>
      </w:r>
    </w:p>
    <w:p w14:paraId="5115E38A">
      <w:pPr>
        <w:pStyle w:val="53"/>
        <w:keepNext w:val="0"/>
        <w:keepLines w:val="0"/>
        <w:pageBreakBefore w:val="0"/>
        <w:widowControl w:val="0"/>
        <w:kinsoku/>
        <w:wordWrap/>
        <w:overflowPunct/>
        <w:topLinePunct w:val="0"/>
        <w:autoSpaceDE/>
        <w:autoSpaceDN/>
        <w:bidi w:val="0"/>
        <w:snapToGrid w:val="0"/>
        <w:spacing w:line="420" w:lineRule="exact"/>
        <w:ind w:firstLine="420" w:firstLineChars="200"/>
        <w:jc w:val="both"/>
        <w:textAlignment w:val="auto"/>
        <w:rPr>
          <w:rFonts w:hint="eastAsia" w:ascii="宋体" w:hAnsi="宋体" w:eastAsia="宋体" w:cs="宋体"/>
          <w:color w:val="auto"/>
          <w:highlight w:val="none"/>
        </w:rPr>
      </w:pPr>
    </w:p>
    <w:p w14:paraId="3FCAFBDA">
      <w:pPr>
        <w:bidi w:val="0"/>
        <w:spacing w:line="360" w:lineRule="auto"/>
        <w:ind w:left="0" w:leftChars="0" w:firstLine="420" w:firstLineChars="175"/>
        <w:rPr>
          <w:rFonts w:hint="eastAsia" w:ascii="宋体" w:hAnsi="宋体" w:eastAsia="宋体" w:cs="宋体"/>
          <w:sz w:val="24"/>
          <w:szCs w:val="24"/>
          <w:highlight w:val="none"/>
        </w:rPr>
      </w:pPr>
    </w:p>
    <w:bookmarkEnd w:id="29"/>
    <w:bookmarkEnd w:id="30"/>
    <w:p w14:paraId="58100E8E">
      <w:pPr>
        <w:bidi w:val="0"/>
        <w:spacing w:line="360" w:lineRule="auto"/>
        <w:jc w:val="center"/>
        <w:outlineLvl w:val="0"/>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rPr>
        <w:br w:type="page"/>
      </w:r>
      <w:bookmarkStart w:id="105" w:name="_Toc7911"/>
      <w:bookmarkStart w:id="106" w:name="_Toc15527"/>
      <w:bookmarkStart w:id="107" w:name="_Toc31064"/>
      <w:bookmarkStart w:id="108" w:name="_Toc14018"/>
      <w:bookmarkStart w:id="109" w:name="_Toc9341"/>
      <w:r>
        <w:rPr>
          <w:rFonts w:hint="eastAsia" w:ascii="宋体" w:hAnsi="宋体" w:eastAsia="宋体" w:cs="宋体"/>
          <w:b/>
          <w:bCs/>
          <w:sz w:val="24"/>
          <w:szCs w:val="24"/>
          <w:highlight w:val="none"/>
          <w:lang w:val="en-US" w:eastAsia="zh-CN"/>
        </w:rPr>
        <w:t>第四部分</w:t>
      </w:r>
      <w:bookmarkEnd w:id="31"/>
      <w:bookmarkEnd w:id="32"/>
      <w:bookmarkEnd w:id="33"/>
      <w:bookmarkEnd w:id="105"/>
      <w:bookmarkEnd w:id="106"/>
      <w:bookmarkEnd w:id="107"/>
      <w:bookmarkEnd w:id="108"/>
      <w:bookmarkStart w:id="110" w:name="_Toc422378301"/>
      <w:bookmarkStart w:id="111" w:name="_Toc424555850"/>
      <w:bookmarkStart w:id="112" w:name="_Toc11402"/>
      <w:bookmarkStart w:id="113" w:name="_Toc1400"/>
      <w:bookmarkStart w:id="114" w:name="_Toc6354"/>
      <w:bookmarkStart w:id="115" w:name="_Toc28961"/>
      <w:r>
        <w:rPr>
          <w:rFonts w:hint="eastAsia" w:ascii="宋体" w:hAnsi="宋体" w:eastAsia="宋体" w:cs="宋体"/>
          <w:b/>
          <w:bCs/>
          <w:sz w:val="24"/>
          <w:szCs w:val="24"/>
          <w:highlight w:val="none"/>
          <w:lang w:val="en-US" w:eastAsia="zh-CN"/>
        </w:rPr>
        <w:t xml:space="preserve">  评审方法和</w:t>
      </w:r>
      <w:bookmarkEnd w:id="110"/>
      <w:bookmarkEnd w:id="111"/>
      <w:bookmarkEnd w:id="112"/>
      <w:bookmarkStart w:id="116" w:name="_Toc326247996"/>
      <w:bookmarkStart w:id="117" w:name="_Toc352761949"/>
      <w:bookmarkStart w:id="118" w:name="_Toc400718590"/>
      <w:r>
        <w:rPr>
          <w:rFonts w:hint="eastAsia" w:ascii="宋体" w:hAnsi="宋体" w:eastAsia="宋体" w:cs="宋体"/>
          <w:b/>
          <w:bCs/>
          <w:sz w:val="24"/>
          <w:szCs w:val="24"/>
          <w:highlight w:val="none"/>
          <w:lang w:val="en-US" w:eastAsia="zh-CN"/>
        </w:rPr>
        <w:t>评分细则</w:t>
      </w:r>
      <w:bookmarkEnd w:id="109"/>
      <w:bookmarkEnd w:id="113"/>
      <w:bookmarkEnd w:id="114"/>
      <w:bookmarkEnd w:id="115"/>
    </w:p>
    <w:tbl>
      <w:tblPr>
        <w:tblStyle w:val="33"/>
        <w:tblpPr w:leftFromText="180" w:rightFromText="180" w:vertAnchor="text" w:horzAnchor="page" w:tblpXSpec="center" w:tblpY="550"/>
        <w:tblOverlap w:val="never"/>
        <w:tblW w:w="55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41"/>
        <w:gridCol w:w="937"/>
        <w:gridCol w:w="3250"/>
        <w:gridCol w:w="5657"/>
      </w:tblGrid>
      <w:tr w14:paraId="442C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10374" w:type="dxa"/>
            <w:gridSpan w:val="4"/>
            <w:tcBorders>
              <w:top w:val="single" w:color="auto" w:sz="4" w:space="0"/>
              <w:left w:val="single" w:color="auto" w:sz="4" w:space="0"/>
              <w:bottom w:val="single" w:color="auto" w:sz="4" w:space="0"/>
              <w:right w:val="single" w:color="auto" w:sz="4" w:space="0"/>
            </w:tcBorders>
            <w:vAlign w:val="center"/>
          </w:tcPr>
          <w:p w14:paraId="058618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szCs w:val="24"/>
                <w:highlight w:val="none"/>
                <w:lang w:eastAsia="zh-CN"/>
              </w:rPr>
            </w:pPr>
            <w:bookmarkStart w:id="119" w:name="_Toc1438"/>
            <w:bookmarkStart w:id="120" w:name="_Toc3715"/>
            <w:bookmarkStart w:id="121" w:name="_Toc9225"/>
            <w:bookmarkStart w:id="122" w:name="_Toc25086"/>
            <w:bookmarkStart w:id="123" w:name="_Toc10467"/>
            <w:bookmarkStart w:id="124" w:name="_Toc10173"/>
            <w:bookmarkStart w:id="125" w:name="_Toc10322"/>
            <w:bookmarkStart w:id="126" w:name="_Toc9575"/>
            <w:r>
              <w:rPr>
                <w:rFonts w:hint="eastAsia" w:ascii="宋体" w:hAnsi="宋体" w:eastAsia="宋体" w:cs="宋体"/>
                <w:sz w:val="24"/>
                <w:szCs w:val="24"/>
                <w:highlight w:val="none"/>
                <w:lang w:eastAsia="zh-CN"/>
              </w:rPr>
              <w:t>资格性审查</w:t>
            </w:r>
          </w:p>
        </w:tc>
      </w:tr>
      <w:tr w14:paraId="4773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361B4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4183" w:type="dxa"/>
            <w:gridSpan w:val="2"/>
            <w:tcBorders>
              <w:top w:val="single" w:color="auto" w:sz="4" w:space="0"/>
              <w:left w:val="single" w:color="auto" w:sz="4" w:space="0"/>
              <w:bottom w:val="single" w:color="auto" w:sz="4" w:space="0"/>
              <w:right w:val="single" w:color="auto" w:sz="4" w:space="0"/>
            </w:tcBorders>
            <w:vAlign w:val="center"/>
          </w:tcPr>
          <w:p w14:paraId="24CDA9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审查要求</w:t>
            </w:r>
          </w:p>
        </w:tc>
        <w:tc>
          <w:tcPr>
            <w:tcW w:w="5651" w:type="dxa"/>
            <w:tcBorders>
              <w:top w:val="single" w:color="auto" w:sz="4" w:space="0"/>
              <w:left w:val="single" w:color="auto" w:sz="4" w:space="0"/>
              <w:bottom w:val="single" w:color="auto" w:sz="4" w:space="0"/>
              <w:right w:val="single" w:color="auto" w:sz="4" w:space="0"/>
            </w:tcBorders>
            <w:vAlign w:val="center"/>
          </w:tcPr>
          <w:p w14:paraId="506E2E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要求说明</w:t>
            </w:r>
          </w:p>
        </w:tc>
      </w:tr>
      <w:tr w14:paraId="2BB5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B1E31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936" w:type="dxa"/>
            <w:tcBorders>
              <w:top w:val="single" w:color="auto" w:sz="4" w:space="0"/>
              <w:left w:val="single" w:color="auto" w:sz="4" w:space="0"/>
              <w:bottom w:val="single" w:color="auto" w:sz="4" w:space="0"/>
              <w:right w:val="single" w:color="auto" w:sz="4" w:space="0"/>
            </w:tcBorders>
            <w:vAlign w:val="center"/>
          </w:tcPr>
          <w:p w14:paraId="33F75D0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基本资质</w:t>
            </w:r>
          </w:p>
        </w:tc>
        <w:tc>
          <w:tcPr>
            <w:tcW w:w="3247" w:type="dxa"/>
            <w:tcBorders>
              <w:top w:val="single" w:color="auto" w:sz="4" w:space="0"/>
              <w:left w:val="single" w:color="auto" w:sz="4" w:space="0"/>
              <w:bottom w:val="single" w:color="auto" w:sz="4" w:space="0"/>
              <w:right w:val="single" w:color="auto" w:sz="4" w:space="0"/>
            </w:tcBorders>
            <w:shd w:val="clear" w:color="auto" w:fill="auto"/>
            <w:vAlign w:val="center"/>
          </w:tcPr>
          <w:p w14:paraId="400D0D0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具有独立承担民事责任的能力</w:t>
            </w:r>
          </w:p>
        </w:tc>
        <w:tc>
          <w:tcPr>
            <w:tcW w:w="5651" w:type="dxa"/>
            <w:tcBorders>
              <w:top w:val="single" w:color="auto" w:sz="4" w:space="0"/>
              <w:left w:val="single" w:color="auto" w:sz="4" w:space="0"/>
              <w:bottom w:val="single" w:color="auto" w:sz="4" w:space="0"/>
              <w:right w:val="single" w:color="auto" w:sz="4" w:space="0"/>
            </w:tcBorders>
            <w:vAlign w:val="center"/>
          </w:tcPr>
          <w:p w14:paraId="19DE2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提供供应商信用承诺书。</w:t>
            </w:r>
          </w:p>
          <w:p w14:paraId="194E12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以上证明材料须符合要求、有效、完整。否则，响应无效。</w:t>
            </w:r>
          </w:p>
        </w:tc>
      </w:tr>
      <w:tr w14:paraId="4B9D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177B0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936" w:type="dxa"/>
            <w:tcBorders>
              <w:top w:val="single" w:color="auto" w:sz="4" w:space="0"/>
              <w:left w:val="single" w:color="auto" w:sz="4" w:space="0"/>
              <w:bottom w:val="single" w:color="auto" w:sz="4" w:space="0"/>
              <w:right w:val="single" w:color="auto" w:sz="4" w:space="0"/>
            </w:tcBorders>
            <w:vAlign w:val="center"/>
          </w:tcPr>
          <w:p w14:paraId="6B7DA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基本资质</w:t>
            </w:r>
          </w:p>
        </w:tc>
        <w:tc>
          <w:tcPr>
            <w:tcW w:w="3247" w:type="dxa"/>
            <w:tcBorders>
              <w:top w:val="single" w:color="auto" w:sz="4" w:space="0"/>
              <w:left w:val="single" w:color="auto" w:sz="4" w:space="0"/>
              <w:bottom w:val="single" w:color="auto" w:sz="4" w:space="0"/>
              <w:right w:val="single" w:color="auto" w:sz="4" w:space="0"/>
            </w:tcBorders>
            <w:shd w:val="clear" w:color="auto" w:fill="auto"/>
            <w:vAlign w:val="center"/>
          </w:tcPr>
          <w:p w14:paraId="55989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具有良好的商业信誉和健全的财务会计制度</w:t>
            </w:r>
          </w:p>
        </w:tc>
        <w:tc>
          <w:tcPr>
            <w:tcW w:w="5651" w:type="dxa"/>
            <w:tcBorders>
              <w:top w:val="single" w:color="auto" w:sz="4" w:space="0"/>
              <w:left w:val="single" w:color="auto" w:sz="4" w:space="0"/>
              <w:bottom w:val="single" w:color="auto" w:sz="4" w:space="0"/>
              <w:right w:val="single" w:color="auto" w:sz="4" w:space="0"/>
            </w:tcBorders>
            <w:vAlign w:val="center"/>
          </w:tcPr>
          <w:p w14:paraId="4CB19E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提供供应商信用承诺书。</w:t>
            </w:r>
          </w:p>
          <w:p w14:paraId="326775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以上证明材料须符合要求、有效、完整。否则，响应无效。</w:t>
            </w:r>
          </w:p>
        </w:tc>
      </w:tr>
      <w:tr w14:paraId="1BBF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7F521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936" w:type="dxa"/>
            <w:tcBorders>
              <w:top w:val="single" w:color="auto" w:sz="4" w:space="0"/>
              <w:left w:val="single" w:color="auto" w:sz="4" w:space="0"/>
              <w:bottom w:val="single" w:color="auto" w:sz="4" w:space="0"/>
              <w:right w:val="single" w:color="auto" w:sz="4" w:space="0"/>
            </w:tcBorders>
            <w:vAlign w:val="center"/>
          </w:tcPr>
          <w:p w14:paraId="0A70E5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基本资质</w:t>
            </w:r>
          </w:p>
        </w:tc>
        <w:tc>
          <w:tcPr>
            <w:tcW w:w="3247" w:type="dxa"/>
            <w:tcBorders>
              <w:top w:val="single" w:color="auto" w:sz="4" w:space="0"/>
              <w:left w:val="single" w:color="auto" w:sz="4" w:space="0"/>
              <w:bottom w:val="single" w:color="auto" w:sz="4" w:space="0"/>
              <w:right w:val="single" w:color="auto" w:sz="4" w:space="0"/>
            </w:tcBorders>
            <w:shd w:val="clear" w:color="auto" w:fill="auto"/>
            <w:vAlign w:val="center"/>
          </w:tcPr>
          <w:p w14:paraId="5DE8F0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具有履行合同所必需的设备和专业技术能力</w:t>
            </w:r>
          </w:p>
        </w:tc>
        <w:tc>
          <w:tcPr>
            <w:tcW w:w="5651" w:type="dxa"/>
            <w:tcBorders>
              <w:top w:val="single" w:color="auto" w:sz="4" w:space="0"/>
              <w:left w:val="single" w:color="auto" w:sz="4" w:space="0"/>
              <w:bottom w:val="single" w:color="auto" w:sz="4" w:space="0"/>
              <w:right w:val="single" w:color="auto" w:sz="4" w:space="0"/>
            </w:tcBorders>
            <w:vAlign w:val="center"/>
          </w:tcPr>
          <w:p w14:paraId="72CA2A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提供供应商信用承诺书。</w:t>
            </w:r>
          </w:p>
          <w:p w14:paraId="7AF626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以上证明材料须符合要求、有效、完整。否则，响应无效。</w:t>
            </w:r>
          </w:p>
        </w:tc>
      </w:tr>
      <w:tr w14:paraId="0D19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2B5B5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36" w:type="dxa"/>
            <w:tcBorders>
              <w:top w:val="single" w:color="auto" w:sz="4" w:space="0"/>
              <w:left w:val="single" w:color="auto" w:sz="4" w:space="0"/>
              <w:bottom w:val="single" w:color="auto" w:sz="4" w:space="0"/>
              <w:right w:val="single" w:color="auto" w:sz="4" w:space="0"/>
            </w:tcBorders>
            <w:vAlign w:val="center"/>
          </w:tcPr>
          <w:p w14:paraId="7AEC7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基本资质</w:t>
            </w:r>
          </w:p>
        </w:tc>
        <w:tc>
          <w:tcPr>
            <w:tcW w:w="3247" w:type="dxa"/>
            <w:tcBorders>
              <w:top w:val="single" w:color="auto" w:sz="4" w:space="0"/>
              <w:left w:val="single" w:color="auto" w:sz="4" w:space="0"/>
              <w:bottom w:val="single" w:color="auto" w:sz="4" w:space="0"/>
              <w:right w:val="single" w:color="auto" w:sz="4" w:space="0"/>
            </w:tcBorders>
            <w:shd w:val="clear" w:color="auto" w:fill="auto"/>
            <w:vAlign w:val="center"/>
          </w:tcPr>
          <w:p w14:paraId="675A04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有依法缴纳税收和社会保障资金的良好记录</w:t>
            </w:r>
          </w:p>
        </w:tc>
        <w:tc>
          <w:tcPr>
            <w:tcW w:w="5651" w:type="dxa"/>
            <w:tcBorders>
              <w:top w:val="single" w:color="auto" w:sz="4" w:space="0"/>
              <w:left w:val="single" w:color="auto" w:sz="4" w:space="0"/>
              <w:bottom w:val="single" w:color="auto" w:sz="4" w:space="0"/>
              <w:right w:val="single" w:color="auto" w:sz="4" w:space="0"/>
            </w:tcBorders>
            <w:vAlign w:val="center"/>
          </w:tcPr>
          <w:p w14:paraId="24413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提供供应商信用承诺书。</w:t>
            </w:r>
          </w:p>
          <w:p w14:paraId="59FA07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lang w:eastAsia="zh-CN"/>
              </w:rPr>
              <w:t>以上证明材料须符合要求、有效、完整。否则，响应无效。</w:t>
            </w:r>
          </w:p>
        </w:tc>
      </w:tr>
      <w:tr w14:paraId="64D1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F7B6E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936" w:type="dxa"/>
            <w:tcBorders>
              <w:top w:val="single" w:color="auto" w:sz="4" w:space="0"/>
              <w:left w:val="single" w:color="auto" w:sz="4" w:space="0"/>
              <w:bottom w:val="single" w:color="auto" w:sz="4" w:space="0"/>
              <w:right w:val="single" w:color="auto" w:sz="4" w:space="0"/>
            </w:tcBorders>
            <w:vAlign w:val="center"/>
          </w:tcPr>
          <w:p w14:paraId="0ACF77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基本资质</w:t>
            </w:r>
          </w:p>
        </w:tc>
        <w:tc>
          <w:tcPr>
            <w:tcW w:w="3247" w:type="dxa"/>
            <w:tcBorders>
              <w:top w:val="single" w:color="auto" w:sz="4" w:space="0"/>
              <w:left w:val="single" w:color="auto" w:sz="4" w:space="0"/>
              <w:bottom w:val="single" w:color="auto" w:sz="4" w:space="0"/>
              <w:right w:val="single" w:color="auto" w:sz="4" w:space="0"/>
            </w:tcBorders>
            <w:shd w:val="clear" w:color="auto" w:fill="auto"/>
            <w:vAlign w:val="center"/>
          </w:tcPr>
          <w:p w14:paraId="30B10F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参加政府采购活动前三年内，在经营活动中没有重大违法记录</w:t>
            </w:r>
          </w:p>
        </w:tc>
        <w:tc>
          <w:tcPr>
            <w:tcW w:w="5651" w:type="dxa"/>
            <w:tcBorders>
              <w:top w:val="single" w:color="auto" w:sz="4" w:space="0"/>
              <w:left w:val="single" w:color="auto" w:sz="4" w:space="0"/>
              <w:bottom w:val="single" w:color="auto" w:sz="4" w:space="0"/>
              <w:right w:val="single" w:color="auto" w:sz="4" w:space="0"/>
            </w:tcBorders>
            <w:vAlign w:val="center"/>
          </w:tcPr>
          <w:p w14:paraId="22310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提供供应商信用承诺书。</w:t>
            </w:r>
          </w:p>
          <w:p w14:paraId="41E242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lang w:val="en-US" w:eastAsia="zh-CN"/>
              </w:rPr>
              <w:t>以上证明材料须符合要求、有效、完整。否则，响应无效。</w:t>
            </w:r>
          </w:p>
        </w:tc>
      </w:tr>
      <w:tr w14:paraId="6921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1"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65CA3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936" w:type="dxa"/>
            <w:tcBorders>
              <w:top w:val="single" w:color="auto" w:sz="4" w:space="0"/>
              <w:left w:val="single" w:color="auto" w:sz="4" w:space="0"/>
              <w:bottom w:val="single" w:color="auto" w:sz="4" w:space="0"/>
              <w:right w:val="single" w:color="auto" w:sz="4" w:space="0"/>
            </w:tcBorders>
            <w:vAlign w:val="center"/>
          </w:tcPr>
          <w:p w14:paraId="16123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采购政策</w:t>
            </w:r>
          </w:p>
        </w:tc>
        <w:tc>
          <w:tcPr>
            <w:tcW w:w="3247" w:type="dxa"/>
            <w:tcBorders>
              <w:top w:val="single" w:color="auto" w:sz="4" w:space="0"/>
              <w:left w:val="single" w:color="auto" w:sz="4" w:space="0"/>
              <w:bottom w:val="single" w:color="auto" w:sz="4" w:space="0"/>
              <w:right w:val="single" w:color="auto" w:sz="4" w:space="0"/>
            </w:tcBorders>
            <w:shd w:val="clear" w:color="auto" w:fill="auto"/>
            <w:vAlign w:val="center"/>
          </w:tcPr>
          <w:p w14:paraId="4F15D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供应商应为中小企业</w:t>
            </w:r>
          </w:p>
        </w:tc>
        <w:tc>
          <w:tcPr>
            <w:tcW w:w="5651" w:type="dxa"/>
            <w:tcBorders>
              <w:top w:val="single" w:color="auto" w:sz="4" w:space="0"/>
              <w:left w:val="single" w:color="auto" w:sz="4" w:space="0"/>
              <w:bottom w:val="single" w:color="auto" w:sz="4" w:space="0"/>
              <w:right w:val="single" w:color="auto" w:sz="4" w:space="0"/>
            </w:tcBorders>
            <w:vAlign w:val="center"/>
          </w:tcPr>
          <w:p w14:paraId="44B9CD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请根据要求单独上传《中小企业声明函》。格式以采购文件要求为准。</w:t>
            </w:r>
          </w:p>
        </w:tc>
      </w:tr>
      <w:tr w14:paraId="4715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5E711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14:paraId="5DA0CE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特定资质</w:t>
            </w:r>
          </w:p>
        </w:tc>
        <w:tc>
          <w:tcPr>
            <w:tcW w:w="3247" w:type="dxa"/>
            <w:tcBorders>
              <w:top w:val="single" w:color="auto" w:sz="4" w:space="0"/>
              <w:left w:val="single" w:color="auto" w:sz="4" w:space="0"/>
              <w:bottom w:val="single" w:color="auto" w:sz="4" w:space="0"/>
              <w:right w:val="single" w:color="auto" w:sz="4" w:space="0"/>
            </w:tcBorders>
            <w:shd w:val="clear" w:color="auto" w:fill="auto"/>
            <w:vAlign w:val="center"/>
          </w:tcPr>
          <w:p w14:paraId="1E0938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行政主管部门颁发的水利水电工程施工总承包叁级及以上资质，且具有有效的安全生产许可证</w:t>
            </w:r>
          </w:p>
        </w:tc>
        <w:tc>
          <w:tcPr>
            <w:tcW w:w="5651" w:type="dxa"/>
            <w:tcBorders>
              <w:top w:val="single" w:color="auto" w:sz="4" w:space="0"/>
              <w:left w:val="single" w:color="auto" w:sz="4" w:space="0"/>
              <w:bottom w:val="single" w:color="auto" w:sz="4" w:space="0"/>
              <w:right w:val="single" w:color="auto" w:sz="4" w:space="0"/>
            </w:tcBorders>
            <w:shd w:val="clear" w:color="auto" w:fill="auto"/>
            <w:vAlign w:val="center"/>
          </w:tcPr>
          <w:p w14:paraId="26FBC080">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提供特定资格要求的证明资料及相关资料。</w:t>
            </w:r>
          </w:p>
        </w:tc>
      </w:tr>
      <w:tr w14:paraId="2AFE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10374" w:type="dxa"/>
            <w:gridSpan w:val="4"/>
            <w:tcBorders>
              <w:top w:val="single" w:color="auto" w:sz="4" w:space="0"/>
              <w:left w:val="single" w:color="auto" w:sz="4" w:space="0"/>
              <w:bottom w:val="single" w:color="auto" w:sz="4" w:space="0"/>
              <w:right w:val="single" w:color="auto" w:sz="4" w:space="0"/>
            </w:tcBorders>
            <w:vAlign w:val="center"/>
          </w:tcPr>
          <w:p w14:paraId="25CC05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符合性审查</w:t>
            </w:r>
          </w:p>
        </w:tc>
      </w:tr>
      <w:tr w14:paraId="4C6E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B70F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4183" w:type="dxa"/>
            <w:gridSpan w:val="2"/>
            <w:tcBorders>
              <w:top w:val="single" w:color="auto" w:sz="4" w:space="0"/>
              <w:left w:val="single" w:color="auto" w:sz="4" w:space="0"/>
              <w:bottom w:val="single" w:color="auto" w:sz="4" w:space="0"/>
              <w:right w:val="single" w:color="auto" w:sz="4" w:space="0"/>
            </w:tcBorders>
            <w:vAlign w:val="center"/>
          </w:tcPr>
          <w:p w14:paraId="2F2DC1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审查要求</w:t>
            </w:r>
          </w:p>
        </w:tc>
        <w:tc>
          <w:tcPr>
            <w:tcW w:w="5651" w:type="dxa"/>
            <w:tcBorders>
              <w:top w:val="single" w:color="auto" w:sz="4" w:space="0"/>
              <w:left w:val="single" w:color="auto" w:sz="4" w:space="0"/>
              <w:bottom w:val="single" w:color="auto" w:sz="4" w:space="0"/>
              <w:right w:val="single" w:color="auto" w:sz="4" w:space="0"/>
            </w:tcBorders>
            <w:vAlign w:val="center"/>
          </w:tcPr>
          <w:p w14:paraId="14CC4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要求说明</w:t>
            </w:r>
          </w:p>
        </w:tc>
      </w:tr>
      <w:tr w14:paraId="18BF8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B416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4183" w:type="dxa"/>
            <w:gridSpan w:val="2"/>
            <w:tcBorders>
              <w:top w:val="single" w:color="auto" w:sz="4" w:space="0"/>
              <w:left w:val="single" w:color="auto" w:sz="4" w:space="0"/>
              <w:bottom w:val="single" w:color="auto" w:sz="4" w:space="0"/>
              <w:right w:val="single" w:color="auto" w:sz="4" w:space="0"/>
            </w:tcBorders>
            <w:vAlign w:val="center"/>
          </w:tcPr>
          <w:p w14:paraId="71D9E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响应有效期</w:t>
            </w:r>
          </w:p>
        </w:tc>
        <w:tc>
          <w:tcPr>
            <w:tcW w:w="5651" w:type="dxa"/>
            <w:tcBorders>
              <w:top w:val="single" w:color="auto" w:sz="4" w:space="0"/>
              <w:left w:val="single" w:color="auto" w:sz="4" w:space="0"/>
              <w:bottom w:val="single" w:color="auto" w:sz="4" w:space="0"/>
              <w:right w:val="single" w:color="auto" w:sz="4" w:space="0"/>
            </w:tcBorders>
            <w:vAlign w:val="top"/>
          </w:tcPr>
          <w:p w14:paraId="6D0537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符合采购文件要求</w:t>
            </w:r>
          </w:p>
        </w:tc>
      </w:tr>
      <w:tr w14:paraId="1C288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7A84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183" w:type="dxa"/>
            <w:gridSpan w:val="2"/>
            <w:tcBorders>
              <w:top w:val="single" w:color="auto" w:sz="4" w:space="0"/>
              <w:left w:val="single" w:color="auto" w:sz="4" w:space="0"/>
              <w:bottom w:val="single" w:color="auto" w:sz="4" w:space="0"/>
              <w:right w:val="single" w:color="auto" w:sz="4" w:space="0"/>
            </w:tcBorders>
            <w:vAlign w:val="center"/>
          </w:tcPr>
          <w:p w14:paraId="0AB3A3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磋商保证金</w:t>
            </w:r>
          </w:p>
        </w:tc>
        <w:tc>
          <w:tcPr>
            <w:tcW w:w="5651" w:type="dxa"/>
            <w:tcBorders>
              <w:top w:val="single" w:color="auto" w:sz="4" w:space="0"/>
              <w:left w:val="single" w:color="auto" w:sz="4" w:space="0"/>
              <w:bottom w:val="single" w:color="auto" w:sz="4" w:space="0"/>
              <w:right w:val="single" w:color="auto" w:sz="4" w:space="0"/>
            </w:tcBorders>
            <w:vAlign w:val="top"/>
          </w:tcPr>
          <w:p w14:paraId="6EC4FB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按文件要求缴纳保证金</w:t>
            </w:r>
          </w:p>
        </w:tc>
      </w:tr>
      <w:tr w14:paraId="0C64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2A1C5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4183" w:type="dxa"/>
            <w:gridSpan w:val="2"/>
            <w:tcBorders>
              <w:top w:val="single" w:color="auto" w:sz="4" w:space="0"/>
              <w:left w:val="single" w:color="auto" w:sz="4" w:space="0"/>
              <w:bottom w:val="single" w:color="auto" w:sz="4" w:space="0"/>
              <w:right w:val="single" w:color="auto" w:sz="4" w:space="0"/>
            </w:tcBorders>
            <w:vAlign w:val="center"/>
          </w:tcPr>
          <w:p w14:paraId="2186AA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组成响应文件的所有文件的格式与签署</w:t>
            </w:r>
          </w:p>
        </w:tc>
        <w:tc>
          <w:tcPr>
            <w:tcW w:w="5651" w:type="dxa"/>
            <w:tcBorders>
              <w:top w:val="single" w:color="auto" w:sz="4" w:space="0"/>
              <w:left w:val="single" w:color="auto" w:sz="4" w:space="0"/>
              <w:bottom w:val="single" w:color="auto" w:sz="4" w:space="0"/>
              <w:right w:val="single" w:color="auto" w:sz="4" w:space="0"/>
            </w:tcBorders>
            <w:vAlign w:val="top"/>
          </w:tcPr>
          <w:p w14:paraId="6E0DE3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组成响应文件的所有文件的格式与签署，符合采购文件格式与签署规定，签署和印章使用完整、有效</w:t>
            </w:r>
          </w:p>
        </w:tc>
      </w:tr>
      <w:tr w14:paraId="3E64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78E5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4183" w:type="dxa"/>
            <w:gridSpan w:val="2"/>
            <w:tcBorders>
              <w:top w:val="single" w:color="auto" w:sz="4" w:space="0"/>
              <w:left w:val="single" w:color="auto" w:sz="4" w:space="0"/>
              <w:bottom w:val="single" w:color="auto" w:sz="4" w:space="0"/>
              <w:right w:val="single" w:color="auto" w:sz="4" w:space="0"/>
            </w:tcBorders>
            <w:vAlign w:val="center"/>
          </w:tcPr>
          <w:p w14:paraId="1D46CF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实质性响应商务要求</w:t>
            </w:r>
          </w:p>
        </w:tc>
        <w:tc>
          <w:tcPr>
            <w:tcW w:w="5651" w:type="dxa"/>
            <w:tcBorders>
              <w:top w:val="single" w:color="auto" w:sz="4" w:space="0"/>
              <w:left w:val="single" w:color="auto" w:sz="4" w:space="0"/>
              <w:bottom w:val="single" w:color="auto" w:sz="4" w:space="0"/>
              <w:right w:val="single" w:color="auto" w:sz="4" w:space="0"/>
            </w:tcBorders>
            <w:vAlign w:val="center"/>
          </w:tcPr>
          <w:p w14:paraId="3BCCA1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符合采购文件要求</w:t>
            </w:r>
          </w:p>
        </w:tc>
      </w:tr>
      <w:tr w14:paraId="3868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6A028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4183" w:type="dxa"/>
            <w:gridSpan w:val="2"/>
            <w:tcBorders>
              <w:top w:val="single" w:color="auto" w:sz="4" w:space="0"/>
              <w:left w:val="single" w:color="auto" w:sz="4" w:space="0"/>
              <w:bottom w:val="single" w:color="auto" w:sz="4" w:space="0"/>
              <w:right w:val="single" w:color="auto" w:sz="4" w:space="0"/>
            </w:tcBorders>
            <w:vAlign w:val="center"/>
          </w:tcPr>
          <w:p w14:paraId="79B059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实质性响应技术要求</w:t>
            </w:r>
          </w:p>
        </w:tc>
        <w:tc>
          <w:tcPr>
            <w:tcW w:w="5651" w:type="dxa"/>
            <w:tcBorders>
              <w:top w:val="single" w:color="auto" w:sz="4" w:space="0"/>
              <w:left w:val="single" w:color="auto" w:sz="4" w:space="0"/>
              <w:bottom w:val="single" w:color="auto" w:sz="4" w:space="0"/>
              <w:right w:val="single" w:color="auto" w:sz="4" w:space="0"/>
            </w:tcBorders>
            <w:vAlign w:val="center"/>
          </w:tcPr>
          <w:p w14:paraId="343235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符合采购文件要求</w:t>
            </w:r>
          </w:p>
        </w:tc>
      </w:tr>
      <w:tr w14:paraId="7181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7E5B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4183" w:type="dxa"/>
            <w:gridSpan w:val="2"/>
            <w:tcBorders>
              <w:top w:val="single" w:color="auto" w:sz="4" w:space="0"/>
              <w:left w:val="single" w:color="auto" w:sz="4" w:space="0"/>
              <w:bottom w:val="single" w:color="auto" w:sz="4" w:space="0"/>
              <w:right w:val="single" w:color="auto" w:sz="4" w:space="0"/>
            </w:tcBorders>
            <w:vAlign w:val="center"/>
          </w:tcPr>
          <w:p w14:paraId="4EECD0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响应文件内容</w:t>
            </w:r>
          </w:p>
        </w:tc>
        <w:tc>
          <w:tcPr>
            <w:tcW w:w="5651" w:type="dxa"/>
            <w:tcBorders>
              <w:top w:val="single" w:color="auto" w:sz="4" w:space="0"/>
              <w:left w:val="single" w:color="auto" w:sz="4" w:space="0"/>
              <w:bottom w:val="single" w:color="auto" w:sz="4" w:space="0"/>
              <w:right w:val="single" w:color="auto" w:sz="4" w:space="0"/>
            </w:tcBorders>
            <w:vAlign w:val="center"/>
          </w:tcPr>
          <w:p w14:paraId="09BF45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符合采购文件要求</w:t>
            </w:r>
          </w:p>
        </w:tc>
      </w:tr>
      <w:tr w14:paraId="116E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9"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5630D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4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49E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报价</w:t>
            </w:r>
          </w:p>
        </w:tc>
        <w:tc>
          <w:tcPr>
            <w:tcW w:w="5651" w:type="dxa"/>
            <w:tcBorders>
              <w:top w:val="single" w:color="auto" w:sz="4" w:space="0"/>
              <w:left w:val="single" w:color="auto" w:sz="4" w:space="0"/>
              <w:bottom w:val="single" w:color="auto" w:sz="4" w:space="0"/>
              <w:right w:val="single" w:color="auto" w:sz="4" w:space="0"/>
            </w:tcBorders>
            <w:shd w:val="clear" w:color="auto" w:fill="auto"/>
            <w:vAlign w:val="top"/>
          </w:tcPr>
          <w:p w14:paraId="6C340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响应报价未超过最高限价:</w:t>
            </w:r>
          </w:p>
          <w:p w14:paraId="4425E1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所有的报价均以人民币元为计算单位</w:t>
            </w:r>
          </w:p>
        </w:tc>
      </w:tr>
      <w:tr w14:paraId="3E3D2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7" w:hRule="atLeast"/>
          <w:jc w:val="center"/>
        </w:trPr>
        <w:tc>
          <w:tcPr>
            <w:tcW w:w="10374" w:type="dxa"/>
            <w:gridSpan w:val="4"/>
            <w:tcBorders>
              <w:top w:val="single" w:color="auto" w:sz="4" w:space="0"/>
              <w:left w:val="single" w:color="auto" w:sz="4" w:space="0"/>
              <w:bottom w:val="single" w:color="auto" w:sz="4" w:space="0"/>
              <w:right w:val="single" w:color="auto" w:sz="4" w:space="0"/>
            </w:tcBorders>
            <w:vAlign w:val="center"/>
          </w:tcPr>
          <w:p w14:paraId="24B1E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报价得分（30分） </w:t>
            </w:r>
          </w:p>
        </w:tc>
      </w:tr>
      <w:tr w14:paraId="6A71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8" w:hRule="atLeast"/>
          <w:jc w:val="center"/>
        </w:trPr>
        <w:tc>
          <w:tcPr>
            <w:tcW w:w="10374" w:type="dxa"/>
            <w:gridSpan w:val="4"/>
            <w:tcBorders>
              <w:top w:val="single" w:color="auto" w:sz="4" w:space="0"/>
              <w:left w:val="single" w:color="auto" w:sz="4" w:space="0"/>
              <w:bottom w:val="single" w:color="auto" w:sz="4" w:space="0"/>
              <w:right w:val="single" w:color="auto" w:sz="4" w:space="0"/>
            </w:tcBorders>
            <w:vAlign w:val="top"/>
          </w:tcPr>
          <w:p w14:paraId="57C45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满足采购文件要求且最后报价最低的供应商的价格为磋商基准价，其价格分为满分30分。其他供应商的价格分统一按照下列公式计算：</w:t>
            </w:r>
          </w:p>
          <w:p w14:paraId="40D9DF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磋商报价得分=(磋商基准价／最终磋商报价)×30%×100</w:t>
            </w:r>
          </w:p>
        </w:tc>
      </w:tr>
      <w:bookmarkEnd w:id="116"/>
      <w:bookmarkEnd w:id="117"/>
      <w:bookmarkEnd w:id="118"/>
      <w:bookmarkEnd w:id="119"/>
      <w:bookmarkEnd w:id="120"/>
      <w:bookmarkEnd w:id="121"/>
      <w:bookmarkEnd w:id="122"/>
      <w:bookmarkEnd w:id="123"/>
      <w:bookmarkEnd w:id="124"/>
      <w:bookmarkEnd w:id="125"/>
      <w:bookmarkEnd w:id="126"/>
    </w:tbl>
    <w:tbl>
      <w:tblPr>
        <w:tblStyle w:val="33"/>
        <w:tblpPr w:leftFromText="180" w:rightFromText="180" w:vertAnchor="text" w:tblpXSpec="center" w:tblpY="1"/>
        <w:tblOverlap w:val="never"/>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4"/>
        <w:gridCol w:w="1094"/>
        <w:gridCol w:w="6317"/>
        <w:gridCol w:w="1709"/>
      </w:tblGrid>
      <w:tr w14:paraId="735B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0224" w:type="dxa"/>
            <w:gridSpan w:val="4"/>
            <w:tcBorders>
              <w:tl2br w:val="nil"/>
              <w:tr2bl w:val="nil"/>
            </w:tcBorders>
            <w:vAlign w:val="center"/>
          </w:tcPr>
          <w:p w14:paraId="689EFF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4"/>
                <w:szCs w:val="24"/>
                <w:highlight w:val="none"/>
                <w:lang w:val="en-US" w:eastAsia="zh-CN"/>
              </w:rPr>
            </w:pPr>
            <w:bookmarkStart w:id="127" w:name="_Toc424555851"/>
            <w:bookmarkStart w:id="128" w:name="_Toc8670"/>
            <w:r>
              <w:rPr>
                <w:rFonts w:hint="eastAsia" w:ascii="宋体" w:hAnsi="宋体" w:eastAsia="宋体" w:cs="宋体"/>
                <w:sz w:val="24"/>
                <w:szCs w:val="24"/>
                <w:highlight w:val="none"/>
                <w:lang w:val="en-US" w:eastAsia="zh-CN"/>
              </w:rPr>
              <w:t>商务部分（15分）</w:t>
            </w:r>
          </w:p>
        </w:tc>
      </w:tr>
      <w:tr w14:paraId="09DE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1104" w:type="dxa"/>
            <w:tcBorders>
              <w:tl2br w:val="nil"/>
              <w:tr2bl w:val="nil"/>
            </w:tcBorders>
            <w:vAlign w:val="center"/>
          </w:tcPr>
          <w:p w14:paraId="73310F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094" w:type="dxa"/>
            <w:tcBorders>
              <w:tl2br w:val="nil"/>
              <w:tr2bl w:val="nil"/>
            </w:tcBorders>
            <w:vAlign w:val="center"/>
          </w:tcPr>
          <w:p w14:paraId="6822C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类型</w:t>
            </w:r>
          </w:p>
        </w:tc>
        <w:tc>
          <w:tcPr>
            <w:tcW w:w="6317" w:type="dxa"/>
            <w:tcBorders>
              <w:tl2br w:val="nil"/>
              <w:tr2bl w:val="nil"/>
            </w:tcBorders>
            <w:vAlign w:val="center"/>
          </w:tcPr>
          <w:p w14:paraId="240A30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评分标准</w:t>
            </w:r>
          </w:p>
        </w:tc>
        <w:tc>
          <w:tcPr>
            <w:tcW w:w="1709" w:type="dxa"/>
            <w:tcBorders>
              <w:tl2br w:val="nil"/>
              <w:tr2bl w:val="nil"/>
            </w:tcBorders>
            <w:vAlign w:val="center"/>
          </w:tcPr>
          <w:p w14:paraId="27B80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分值</w:t>
            </w:r>
          </w:p>
        </w:tc>
      </w:tr>
      <w:tr w14:paraId="690B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4" w:hRule="atLeast"/>
          <w:jc w:val="center"/>
        </w:trPr>
        <w:tc>
          <w:tcPr>
            <w:tcW w:w="1104" w:type="dxa"/>
            <w:tcBorders>
              <w:tl2br w:val="nil"/>
              <w:tr2bl w:val="nil"/>
            </w:tcBorders>
            <w:vAlign w:val="center"/>
          </w:tcPr>
          <w:p w14:paraId="0C54F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094" w:type="dxa"/>
            <w:tcBorders>
              <w:tl2br w:val="nil"/>
              <w:tr2bl w:val="nil"/>
            </w:tcBorders>
            <w:vAlign w:val="center"/>
          </w:tcPr>
          <w:p w14:paraId="1F9CF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业绩</w:t>
            </w:r>
          </w:p>
        </w:tc>
        <w:tc>
          <w:tcPr>
            <w:tcW w:w="6317" w:type="dxa"/>
            <w:tcBorders>
              <w:tl2br w:val="nil"/>
              <w:tr2bl w:val="nil"/>
            </w:tcBorders>
            <w:vAlign w:val="center"/>
          </w:tcPr>
          <w:p w14:paraId="2A97F8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shd w:val="clear"/>
                <w:lang w:val="en-US" w:eastAsia="zh-CN"/>
              </w:rPr>
              <w:t>2023年05月至</w:t>
            </w:r>
            <w:r>
              <w:rPr>
                <w:rFonts w:hint="eastAsia" w:ascii="宋体" w:hAnsi="宋体" w:eastAsia="宋体" w:cs="宋体"/>
                <w:sz w:val="24"/>
                <w:szCs w:val="24"/>
                <w:highlight w:val="none"/>
                <w:lang w:val="en-US" w:eastAsia="zh-CN"/>
              </w:rPr>
              <w:t>递交响应文件截止时间的同类项目案例，要求以签订时间为准的正式合同作为证明。每个同类案例得分3分，最高得分为15分(必须提供与最终用户签订的合同首页、合同金额所在页、签字盖章页的复印件)。</w:t>
            </w:r>
          </w:p>
          <w:p w14:paraId="65BBF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1.同类工程项目案例是指：</w:t>
            </w:r>
            <w:r>
              <w:rPr>
                <w:rFonts w:hint="eastAsia" w:ascii="宋体" w:hAnsi="宋体" w:eastAsia="宋体" w:cs="宋体"/>
                <w:sz w:val="24"/>
                <w:szCs w:val="24"/>
                <w:highlight w:val="none"/>
                <w:u w:val="single"/>
                <w:lang w:val="en-US" w:eastAsia="zh-CN"/>
              </w:rPr>
              <w:t xml:space="preserve">  水利工程  </w:t>
            </w:r>
          </w:p>
          <w:p w14:paraId="732F13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2.同类项目案例仅指供应商自身的项目案例，即项目案例中合同的受托人必须与供应商的名称完全一致，如公司名称发生变更，必须提供工商部门的证明文件。</w:t>
            </w:r>
          </w:p>
        </w:tc>
        <w:tc>
          <w:tcPr>
            <w:tcW w:w="1709" w:type="dxa"/>
            <w:tcBorders>
              <w:tl2br w:val="nil"/>
              <w:tr2bl w:val="nil"/>
            </w:tcBorders>
            <w:vAlign w:val="center"/>
          </w:tcPr>
          <w:p w14:paraId="7B37F1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15（客观分）</w:t>
            </w:r>
          </w:p>
        </w:tc>
      </w:tr>
      <w:tr w14:paraId="7D3A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10224" w:type="dxa"/>
            <w:gridSpan w:val="4"/>
            <w:tcBorders>
              <w:tl2br w:val="nil"/>
              <w:tr2bl w:val="nil"/>
            </w:tcBorders>
            <w:vAlign w:val="center"/>
          </w:tcPr>
          <w:p w14:paraId="5BF635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技术部分（55分）</w:t>
            </w:r>
          </w:p>
        </w:tc>
      </w:tr>
      <w:tr w14:paraId="52F1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2" w:hRule="atLeast"/>
          <w:jc w:val="center"/>
        </w:trPr>
        <w:tc>
          <w:tcPr>
            <w:tcW w:w="1104" w:type="dxa"/>
            <w:tcBorders>
              <w:tl2br w:val="nil"/>
              <w:tr2bl w:val="nil"/>
            </w:tcBorders>
            <w:vAlign w:val="center"/>
          </w:tcPr>
          <w:p w14:paraId="356ACF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094" w:type="dxa"/>
            <w:tcBorders>
              <w:tl2br w:val="nil"/>
              <w:tr2bl w:val="nil"/>
            </w:tcBorders>
            <w:vAlign w:val="center"/>
          </w:tcPr>
          <w:p w14:paraId="08DFA8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w:t>
            </w:r>
          </w:p>
        </w:tc>
        <w:tc>
          <w:tcPr>
            <w:tcW w:w="6317" w:type="dxa"/>
            <w:tcBorders>
              <w:tl2br w:val="nil"/>
              <w:tr2bl w:val="nil"/>
            </w:tcBorders>
            <w:vAlign w:val="center"/>
          </w:tcPr>
          <w:p w14:paraId="4D0D9E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根据供应商提供的施工方案（至少包含编制原则、编制说明、施工准备、施工计划等）内容进行综合评分，每提供一点且内容全面得2.5分（每有一项缺陷扣0.5分，最低得1分），共10分，不提供的不得分。</w:t>
            </w:r>
          </w:p>
          <w:p w14:paraId="05DC64E9">
            <w:pPr>
              <w:keepNext w:val="0"/>
              <w:keepLines w:val="0"/>
              <w:suppressLineNumbers w:val="0"/>
              <w:bidi w:val="0"/>
              <w:spacing w:before="0" w:beforeAutospacing="0" w:after="0" w:afterAutospacing="0"/>
              <w:ind w:left="0" w:right="0"/>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（备注：缺陷包括但不限于方案内容不完善，表述不清、操作性差或与项目无关、逻辑错误、科学原理错误、表述错误、不符合本项目涉及的相关规范或标准要求的任意一种情形。）</w:t>
            </w:r>
          </w:p>
        </w:tc>
        <w:tc>
          <w:tcPr>
            <w:tcW w:w="1709" w:type="dxa"/>
            <w:tcBorders>
              <w:tl2br w:val="nil"/>
              <w:tr2bl w:val="nil"/>
            </w:tcBorders>
            <w:vAlign w:val="center"/>
          </w:tcPr>
          <w:p w14:paraId="32A94F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r>
      <w:tr w14:paraId="6C4C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4" w:hRule="atLeast"/>
          <w:jc w:val="center"/>
        </w:trPr>
        <w:tc>
          <w:tcPr>
            <w:tcW w:w="1104" w:type="dxa"/>
            <w:tcBorders>
              <w:tl2br w:val="nil"/>
              <w:tr2bl w:val="nil"/>
            </w:tcBorders>
            <w:vAlign w:val="center"/>
          </w:tcPr>
          <w:p w14:paraId="27DC85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2</w:t>
            </w:r>
          </w:p>
        </w:tc>
        <w:tc>
          <w:tcPr>
            <w:tcW w:w="1094" w:type="dxa"/>
            <w:tcBorders>
              <w:tl2br w:val="nil"/>
              <w:tr2bl w:val="nil"/>
            </w:tcBorders>
            <w:vAlign w:val="center"/>
          </w:tcPr>
          <w:p w14:paraId="4B44F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项目班子配备</w:t>
            </w:r>
          </w:p>
          <w:p w14:paraId="52B3D4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4"/>
                <w:szCs w:val="24"/>
                <w:highlight w:val="none"/>
                <w:lang w:val="en-US" w:eastAsia="zh-CN" w:bidi="ar-SA"/>
              </w:rPr>
            </w:pPr>
          </w:p>
        </w:tc>
        <w:tc>
          <w:tcPr>
            <w:tcW w:w="6317" w:type="dxa"/>
            <w:tcBorders>
              <w:tl2br w:val="nil"/>
              <w:tr2bl w:val="nil"/>
            </w:tcBorders>
            <w:vAlign w:val="center"/>
          </w:tcPr>
          <w:p w14:paraId="71AED8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供应商具有健全的组织机构，管理人员配置（包括不限于项目副经理、技术负责人、施工员、质量员、安全员、材料员、造价员、资料员）。项目副经理、技术负责人提供相应证书各得1分，其他人员提供相应证书各得0.5分，共5分，不提供者不得分。(说明：项目副经理、技术负责人以注册证书或职称证书为准，施工员、质量员、安全员、材料员、造价员、资料员以上岗证书为准;安全员以安全考核证书为准)</w:t>
            </w:r>
          </w:p>
        </w:tc>
        <w:tc>
          <w:tcPr>
            <w:tcW w:w="1709" w:type="dxa"/>
            <w:tcBorders>
              <w:tl2br w:val="nil"/>
              <w:tr2bl w:val="nil"/>
            </w:tcBorders>
            <w:vAlign w:val="center"/>
          </w:tcPr>
          <w:p w14:paraId="25445E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5</w:t>
            </w:r>
          </w:p>
        </w:tc>
      </w:tr>
      <w:tr w14:paraId="51AE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9" w:hRule="atLeast"/>
          <w:jc w:val="center"/>
        </w:trPr>
        <w:tc>
          <w:tcPr>
            <w:tcW w:w="1104" w:type="dxa"/>
            <w:tcBorders>
              <w:tl2br w:val="nil"/>
              <w:tr2bl w:val="nil"/>
            </w:tcBorders>
            <w:vAlign w:val="center"/>
          </w:tcPr>
          <w:p w14:paraId="3CE77B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094" w:type="dxa"/>
            <w:tcBorders>
              <w:tl2br w:val="nil"/>
              <w:tr2bl w:val="nil"/>
            </w:tcBorders>
            <w:vAlign w:val="center"/>
          </w:tcPr>
          <w:p w14:paraId="0F3462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材料供应安排</w:t>
            </w:r>
          </w:p>
        </w:tc>
        <w:tc>
          <w:tcPr>
            <w:tcW w:w="6317" w:type="dxa"/>
            <w:tcBorders>
              <w:tl2br w:val="nil"/>
              <w:tr2bl w:val="nil"/>
            </w:tcBorders>
            <w:vAlign w:val="center"/>
          </w:tcPr>
          <w:p w14:paraId="04D703BC">
            <w:pPr>
              <w:keepNext w:val="0"/>
              <w:keepLines w:val="0"/>
              <w:suppressLineNumbers w:val="0"/>
              <w:bidi w:val="0"/>
              <w:spacing w:before="0" w:beforeAutospacing="0" w:after="0" w:afterAutospacing="0"/>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供应商有提供材料供应安排（至少包含材料运输、材料进场安排、材料保存等），每提供一点且内容全面得2分（每有一项缺陷扣0.5分，最低得1分），共6分，不提供的不得分。</w:t>
            </w:r>
          </w:p>
          <w:p w14:paraId="0029AFBD">
            <w:pPr>
              <w:keepNext w:val="0"/>
              <w:keepLines w:val="0"/>
              <w:suppressLineNumbers w:val="0"/>
              <w:bidi w:val="0"/>
              <w:spacing w:before="0" w:beforeAutospacing="0" w:after="0" w:afterAutospacing="0"/>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（备注：缺陷包括但不限于方案内容不完善，表述不清、操作性差或与项目无关、逻辑错误、科学原理错误、表述错误、不符合本项目涉及的相关规范或标准要求的任意一种情形。）</w:t>
            </w:r>
          </w:p>
        </w:tc>
        <w:tc>
          <w:tcPr>
            <w:tcW w:w="1709" w:type="dxa"/>
            <w:tcBorders>
              <w:tl2br w:val="nil"/>
              <w:tr2bl w:val="nil"/>
            </w:tcBorders>
            <w:vAlign w:val="center"/>
          </w:tcPr>
          <w:p w14:paraId="789D1A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r>
      <w:tr w14:paraId="63C3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9" w:hRule="atLeast"/>
          <w:jc w:val="center"/>
        </w:trPr>
        <w:tc>
          <w:tcPr>
            <w:tcW w:w="1104" w:type="dxa"/>
            <w:tcBorders>
              <w:tl2br w:val="nil"/>
              <w:tr2bl w:val="nil"/>
            </w:tcBorders>
            <w:vAlign w:val="center"/>
          </w:tcPr>
          <w:p w14:paraId="119A10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094" w:type="dxa"/>
            <w:tcBorders>
              <w:tl2br w:val="nil"/>
              <w:tr2bl w:val="nil"/>
            </w:tcBorders>
            <w:vAlign w:val="center"/>
          </w:tcPr>
          <w:p w14:paraId="130058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关键部位施工方法</w:t>
            </w:r>
          </w:p>
        </w:tc>
        <w:tc>
          <w:tcPr>
            <w:tcW w:w="6317" w:type="dxa"/>
            <w:tcBorders>
              <w:tl2br w:val="nil"/>
              <w:tr2bl w:val="nil"/>
            </w:tcBorders>
            <w:vAlign w:val="center"/>
          </w:tcPr>
          <w:p w14:paraId="55DFDE4B">
            <w:pPr>
              <w:keepNext w:val="0"/>
              <w:keepLines w:val="0"/>
              <w:suppressLineNumbers w:val="0"/>
              <w:bidi w:val="0"/>
              <w:spacing w:before="0" w:beforeAutospacing="0" w:after="0" w:afterAutospacing="0"/>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供应商有提供关键部位施工方法（至少包含施工准备工作、施工测量、施工操作工艺等），每提供一点且内容全面得2分（每有一项缺陷扣0.5分，最低得1分），共6分，不提供的不得分。</w:t>
            </w:r>
          </w:p>
          <w:p w14:paraId="3B987322">
            <w:pPr>
              <w:keepNext w:val="0"/>
              <w:keepLines w:val="0"/>
              <w:suppressLineNumbers w:val="0"/>
              <w:bidi w:val="0"/>
              <w:spacing w:before="0" w:beforeAutospacing="0" w:after="0" w:afterAutospacing="0"/>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（备注：缺陷包括但不限于方案内容不完善，表述不清、操作性差或与项目无关、逻辑错误、科学原理错误、表述错误、不符合本项目涉及的相关规范或标准要求的任意一种情形。）</w:t>
            </w:r>
          </w:p>
        </w:tc>
        <w:tc>
          <w:tcPr>
            <w:tcW w:w="1709" w:type="dxa"/>
            <w:tcBorders>
              <w:tl2br w:val="nil"/>
              <w:tr2bl w:val="nil"/>
            </w:tcBorders>
            <w:vAlign w:val="center"/>
          </w:tcPr>
          <w:p w14:paraId="5CA7D5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r>
      <w:tr w14:paraId="2A56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7" w:hRule="atLeast"/>
          <w:jc w:val="center"/>
        </w:trPr>
        <w:tc>
          <w:tcPr>
            <w:tcW w:w="1104" w:type="dxa"/>
            <w:tcBorders>
              <w:tl2br w:val="nil"/>
              <w:tr2bl w:val="nil"/>
            </w:tcBorders>
            <w:vAlign w:val="center"/>
          </w:tcPr>
          <w:p w14:paraId="4DBA9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094" w:type="dxa"/>
            <w:tcBorders>
              <w:tl2br w:val="nil"/>
              <w:tr2bl w:val="nil"/>
            </w:tcBorders>
            <w:vAlign w:val="center"/>
          </w:tcPr>
          <w:p w14:paraId="216CAD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机具设备配置</w:t>
            </w:r>
          </w:p>
        </w:tc>
        <w:tc>
          <w:tcPr>
            <w:tcW w:w="6317" w:type="dxa"/>
            <w:tcBorders>
              <w:tl2br w:val="nil"/>
              <w:tr2bl w:val="nil"/>
            </w:tcBorders>
            <w:vAlign w:val="center"/>
          </w:tcPr>
          <w:p w14:paraId="09B65068">
            <w:pPr>
              <w:keepNext w:val="0"/>
              <w:keepLines w:val="0"/>
              <w:suppressLineNumbers w:val="0"/>
              <w:bidi w:val="0"/>
              <w:spacing w:before="0" w:beforeAutospacing="0" w:after="0" w:afterAutospacing="0"/>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供应商有提供机具设备配置（至少包含机具进场安排、机具配置等），每提供一点且内容全面得2分（每有一项缺陷扣0.5分，最低得1分），共4分，不提供的不得分。</w:t>
            </w:r>
          </w:p>
          <w:p w14:paraId="72EAEB0E">
            <w:pPr>
              <w:keepNext w:val="0"/>
              <w:keepLines w:val="0"/>
              <w:suppressLineNumbers w:val="0"/>
              <w:bidi w:val="0"/>
              <w:spacing w:before="0" w:beforeAutospacing="0" w:after="0" w:afterAutospacing="0"/>
              <w:ind w:left="0" w:right="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（备注：缺陷包括但不限于方案内容不完善，表述不清、操作性差或与项目无关、逻辑错误、科学原理错误、表述错误、不符合本项目涉及的相关规范或标准要求的任意一种情形。）</w:t>
            </w:r>
          </w:p>
        </w:tc>
        <w:tc>
          <w:tcPr>
            <w:tcW w:w="1709" w:type="dxa"/>
            <w:tcBorders>
              <w:tl2br w:val="nil"/>
              <w:tr2bl w:val="nil"/>
            </w:tcBorders>
            <w:vAlign w:val="center"/>
          </w:tcPr>
          <w:p w14:paraId="4C367C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r>
      <w:tr w14:paraId="12EB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9" w:hRule="atLeast"/>
          <w:jc w:val="center"/>
        </w:trPr>
        <w:tc>
          <w:tcPr>
            <w:tcW w:w="1104" w:type="dxa"/>
            <w:tcBorders>
              <w:tl2br w:val="nil"/>
              <w:tr2bl w:val="nil"/>
            </w:tcBorders>
            <w:vAlign w:val="center"/>
          </w:tcPr>
          <w:p w14:paraId="55E56E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094" w:type="dxa"/>
            <w:tcBorders>
              <w:tl2br w:val="nil"/>
              <w:tr2bl w:val="nil"/>
            </w:tcBorders>
            <w:vAlign w:val="center"/>
          </w:tcPr>
          <w:p w14:paraId="598CA0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工程进度计划与措施</w:t>
            </w:r>
          </w:p>
        </w:tc>
        <w:tc>
          <w:tcPr>
            <w:tcW w:w="6317" w:type="dxa"/>
            <w:tcBorders>
              <w:tl2br w:val="nil"/>
              <w:tr2bl w:val="nil"/>
            </w:tcBorders>
            <w:vAlign w:val="center"/>
          </w:tcPr>
          <w:p w14:paraId="28FF187C">
            <w:pPr>
              <w:keepNext w:val="0"/>
              <w:keepLines w:val="0"/>
              <w:suppressLineNumbers w:val="0"/>
              <w:bidi w:val="0"/>
              <w:spacing w:before="0" w:beforeAutospacing="0" w:after="0" w:afterAutospacing="0"/>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供应商有提供工程进度计划与措施（至少包含工期安排、进度滞后应对措施等），每提供一点且内容全面得2分（每有一项缺陷扣0.5分，最低得1分），共4分，不提供的不得分。</w:t>
            </w:r>
          </w:p>
          <w:p w14:paraId="35FFB97F">
            <w:pPr>
              <w:keepNext w:val="0"/>
              <w:keepLines w:val="0"/>
              <w:suppressLineNumbers w:val="0"/>
              <w:bidi w:val="0"/>
              <w:spacing w:before="0" w:beforeAutospacing="0" w:after="0" w:afterAutospacing="0"/>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（备注：缺陷包括但不限于方案内容不完善，表述不清、操作性差或与项目无关、逻辑错误、科学原理错误、表述错误、不符合本项目涉及的相关规范或标准要求的任意一种情形。）</w:t>
            </w:r>
          </w:p>
        </w:tc>
        <w:tc>
          <w:tcPr>
            <w:tcW w:w="1709" w:type="dxa"/>
            <w:tcBorders>
              <w:tl2br w:val="nil"/>
              <w:tr2bl w:val="nil"/>
            </w:tcBorders>
            <w:vAlign w:val="center"/>
          </w:tcPr>
          <w:p w14:paraId="3EFB4E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r>
      <w:tr w14:paraId="41AD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9" w:hRule="atLeast"/>
          <w:jc w:val="center"/>
        </w:trPr>
        <w:tc>
          <w:tcPr>
            <w:tcW w:w="1104" w:type="dxa"/>
            <w:tcBorders>
              <w:tl2br w:val="nil"/>
              <w:tr2bl w:val="nil"/>
            </w:tcBorders>
            <w:vAlign w:val="center"/>
          </w:tcPr>
          <w:p w14:paraId="5E6524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094" w:type="dxa"/>
            <w:tcBorders>
              <w:tl2br w:val="nil"/>
              <w:tr2bl w:val="nil"/>
            </w:tcBorders>
            <w:vAlign w:val="center"/>
          </w:tcPr>
          <w:p w14:paraId="55D3CD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质量保证体系与措施</w:t>
            </w:r>
          </w:p>
        </w:tc>
        <w:tc>
          <w:tcPr>
            <w:tcW w:w="6317" w:type="dxa"/>
            <w:tcBorders>
              <w:tl2br w:val="nil"/>
              <w:tr2bl w:val="nil"/>
            </w:tcBorders>
            <w:vAlign w:val="top"/>
          </w:tcPr>
          <w:p w14:paraId="238E670E">
            <w:pPr>
              <w:keepNext w:val="0"/>
              <w:keepLines w:val="0"/>
              <w:suppressLineNumbers w:val="0"/>
              <w:bidi w:val="0"/>
              <w:spacing w:before="0" w:beforeAutospacing="0" w:after="0" w:afterAutospacing="0"/>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供应商有提供质量保证体系与措施（至少包含施工前期、中期、后期保证措施等），每提供一点且内容全面得2分（每有一项缺陷扣0.5分，最低得1分），共6分，不提供的不得分。</w:t>
            </w:r>
          </w:p>
          <w:p w14:paraId="2BA35ACE">
            <w:pPr>
              <w:keepNext w:val="0"/>
              <w:keepLines w:val="0"/>
              <w:suppressLineNumbers w:val="0"/>
              <w:bidi w:val="0"/>
              <w:spacing w:before="0" w:beforeAutospacing="0" w:after="0" w:afterAutospacing="0"/>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（备注：缺陷包括但不限于方案内容不完善，表述不清、操作性差或与项目无关、逻辑错误、科学原理错误、表述错误、不符合本项目涉及的相关规范或标准要求的任意一种情形。）</w:t>
            </w:r>
          </w:p>
        </w:tc>
        <w:tc>
          <w:tcPr>
            <w:tcW w:w="1709" w:type="dxa"/>
            <w:tcBorders>
              <w:tl2br w:val="nil"/>
              <w:tr2bl w:val="nil"/>
            </w:tcBorders>
            <w:vAlign w:val="center"/>
          </w:tcPr>
          <w:p w14:paraId="1A37FC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r>
      <w:tr w14:paraId="34A2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7" w:hRule="atLeast"/>
          <w:jc w:val="center"/>
        </w:trPr>
        <w:tc>
          <w:tcPr>
            <w:tcW w:w="1104" w:type="dxa"/>
            <w:tcBorders>
              <w:tl2br w:val="nil"/>
              <w:tr2bl w:val="nil"/>
            </w:tcBorders>
            <w:vAlign w:val="center"/>
          </w:tcPr>
          <w:p w14:paraId="407DE2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094" w:type="dxa"/>
            <w:tcBorders>
              <w:tl2br w:val="nil"/>
              <w:tr2bl w:val="nil"/>
            </w:tcBorders>
            <w:vAlign w:val="center"/>
          </w:tcPr>
          <w:p w14:paraId="646847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安全保证体系与措施</w:t>
            </w:r>
          </w:p>
        </w:tc>
        <w:tc>
          <w:tcPr>
            <w:tcW w:w="6317" w:type="dxa"/>
            <w:tcBorders>
              <w:tl2br w:val="nil"/>
              <w:tr2bl w:val="nil"/>
            </w:tcBorders>
            <w:vAlign w:val="top"/>
          </w:tcPr>
          <w:p w14:paraId="3E0DA2AB">
            <w:pPr>
              <w:keepNext w:val="0"/>
              <w:keepLines w:val="0"/>
              <w:suppressLineNumbers w:val="0"/>
              <w:bidi w:val="0"/>
              <w:spacing w:before="0" w:beforeAutospacing="0" w:after="0" w:afterAutospacing="0"/>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有提供安全保证体系与措施（至少包含安全管理人员安排、人员安全培训教育、突发事故应对措施等），每提供一点且内容全面得2分（每有一项缺陷扣0.5分，最低得1分），共6分，不提供的不得分。（备注：缺陷包括但不限于方案内容不完善，表述不清、操作性差或与项目无关、逻辑错误、科学原理错误、表述错误、不符合本项目涉及的相关规范或标准要求的任意一种情形。）</w:t>
            </w:r>
          </w:p>
        </w:tc>
        <w:tc>
          <w:tcPr>
            <w:tcW w:w="1709" w:type="dxa"/>
            <w:tcBorders>
              <w:tl2br w:val="nil"/>
              <w:tr2bl w:val="nil"/>
            </w:tcBorders>
            <w:vAlign w:val="center"/>
          </w:tcPr>
          <w:p w14:paraId="76004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r>
      <w:tr w14:paraId="18DE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9" w:hRule="atLeast"/>
          <w:jc w:val="center"/>
        </w:trPr>
        <w:tc>
          <w:tcPr>
            <w:tcW w:w="1104" w:type="dxa"/>
            <w:vAlign w:val="center"/>
          </w:tcPr>
          <w:p w14:paraId="26A966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094" w:type="dxa"/>
            <w:vAlign w:val="center"/>
          </w:tcPr>
          <w:p w14:paraId="39D5F1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施工技术措施</w:t>
            </w:r>
          </w:p>
        </w:tc>
        <w:tc>
          <w:tcPr>
            <w:tcW w:w="6317" w:type="dxa"/>
            <w:vAlign w:val="top"/>
          </w:tcPr>
          <w:p w14:paraId="0EC33A21">
            <w:pPr>
              <w:keepNext w:val="0"/>
              <w:keepLines w:val="0"/>
              <w:suppressLineNumbers w:val="0"/>
              <w:bidi w:val="0"/>
              <w:spacing w:before="0" w:beforeAutospacing="0" w:after="0" w:afterAutospacing="0"/>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供应商有提供施工现场采用环保、消防、降噪声、安全文明等施工技术措施，每提供一点且内容全面得1分（每有一项缺陷扣0.5分，最低得0.5分），共4分，不提供的不得分。</w:t>
            </w:r>
          </w:p>
          <w:p w14:paraId="21AAC427">
            <w:pPr>
              <w:keepNext w:val="0"/>
              <w:keepLines w:val="0"/>
              <w:suppressLineNumbers w:val="0"/>
              <w:bidi w:val="0"/>
              <w:spacing w:before="0" w:beforeAutospacing="0" w:after="0" w:afterAutospacing="0"/>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（备注：缺陷包括但不限于方案内容不完善，表述不清、操作性差或与项目无关、逻辑错误、科学原理错误、表述错误、不符合本项目涉及的相关规范或标准要求的任意一种情形。）</w:t>
            </w:r>
          </w:p>
        </w:tc>
        <w:tc>
          <w:tcPr>
            <w:tcW w:w="1709" w:type="dxa"/>
            <w:vAlign w:val="center"/>
          </w:tcPr>
          <w:p w14:paraId="51565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r>
      <w:tr w14:paraId="1F7D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9" w:hRule="atLeast"/>
          <w:jc w:val="center"/>
        </w:trPr>
        <w:tc>
          <w:tcPr>
            <w:tcW w:w="1104" w:type="dxa"/>
            <w:vAlign w:val="center"/>
          </w:tcPr>
          <w:p w14:paraId="11DB4C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094" w:type="dxa"/>
            <w:vAlign w:val="center"/>
          </w:tcPr>
          <w:p w14:paraId="214778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施工其他方案</w:t>
            </w:r>
          </w:p>
        </w:tc>
        <w:tc>
          <w:tcPr>
            <w:tcW w:w="6317" w:type="dxa"/>
            <w:vAlign w:val="center"/>
          </w:tcPr>
          <w:p w14:paraId="0F017553">
            <w:pPr>
              <w:keepNext w:val="0"/>
              <w:keepLines w:val="0"/>
              <w:suppressLineNumbers w:val="0"/>
              <w:bidi w:val="0"/>
              <w:spacing w:before="0" w:beforeAutospacing="0" w:after="0" w:afterAutospacing="0"/>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有提供夜间施工方案、生活性和生产性临时设施方案、环境保护及环境检测方案、施工验收方案等施工技术措施，每提供一点且内容全面得1分（每有一项缺陷扣0.5分，最低得0.5分），共4分，不提供的不得分。</w:t>
            </w:r>
          </w:p>
          <w:p w14:paraId="35F43C0C">
            <w:pPr>
              <w:keepNext w:val="0"/>
              <w:keepLines w:val="0"/>
              <w:suppressLineNumbers w:val="0"/>
              <w:bidi w:val="0"/>
              <w:spacing w:before="0" w:beforeAutospacing="0" w:after="0" w:afterAutospacing="0"/>
              <w:ind w:left="0" w:right="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（备注：缺陷包括但不限于方案内容不完善，表述不清、操作性差或与项目无关、逻辑错误、科学原理错误、表述错误、不符合本项目涉及的相关规范或标准要求的任意一种情形。）</w:t>
            </w:r>
          </w:p>
        </w:tc>
        <w:tc>
          <w:tcPr>
            <w:tcW w:w="1709" w:type="dxa"/>
            <w:vAlign w:val="center"/>
          </w:tcPr>
          <w:p w14:paraId="1827CF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r>
    </w:tbl>
    <w:p w14:paraId="74B4B5FD">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评审说明</w:t>
      </w:r>
      <w:r>
        <w:rPr>
          <w:rFonts w:hint="eastAsia" w:ascii="宋体" w:hAnsi="宋体" w:eastAsia="宋体" w:cs="宋体"/>
          <w:b/>
          <w:bCs/>
          <w:sz w:val="24"/>
          <w:szCs w:val="24"/>
          <w:highlight w:val="none"/>
        </w:rPr>
        <w:t>：</w:t>
      </w:r>
    </w:p>
    <w:p w14:paraId="7FDBCA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1、提供的影印件不清晰、无法辨认或内容不符合规定，该项内容将视为无效。</w:t>
      </w:r>
    </w:p>
    <w:p w14:paraId="2A02C2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2、资格审查的内容若有一项未提供或达不到检查标准，将导致其</w:t>
      </w:r>
      <w:r>
        <w:rPr>
          <w:rFonts w:hint="eastAsia" w:ascii="宋体" w:hAnsi="宋体" w:eastAsia="宋体" w:cs="宋体"/>
          <w:sz w:val="24"/>
          <w:szCs w:val="24"/>
          <w:highlight w:val="none"/>
          <w:lang w:eastAsia="zh-CN"/>
        </w:rPr>
        <w:t>未响应采购文件</w:t>
      </w:r>
      <w:r>
        <w:rPr>
          <w:rFonts w:hint="eastAsia" w:ascii="宋体" w:hAnsi="宋体" w:eastAsia="宋体" w:cs="宋体"/>
          <w:sz w:val="24"/>
          <w:szCs w:val="24"/>
          <w:highlight w:val="none"/>
        </w:rPr>
        <w:t>，且不允许在开标后补正。</w:t>
      </w:r>
    </w:p>
    <w:p w14:paraId="0C2A67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3、符合性审查的内容，经磋商小组认定的存在重大偏离或保留，将导致响应无效。</w:t>
      </w:r>
    </w:p>
    <w:p w14:paraId="343F767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落实政府采购政策性要求的评审内容及标准：</w:t>
      </w:r>
    </w:p>
    <w:p w14:paraId="7C5BD9E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一）本项目采购标的物未特别注明“进口产品”（通过中国海关报关验放进入中国境内且产自关境外的产品）字样的，均必须采购本国产品，否则投标无效；特别注明“进口产品”字样的，如无能够满足采购需求的本国产品，在综合得分相同前提下优先采购向我国企业转让技术、与我国企业签订消化吸收再创新方案的供应商的进口产品。如果有能够满足采购需求的本国产品参与，应当按照公平竞争的原则进行评审。</w:t>
      </w:r>
    </w:p>
    <w:p w14:paraId="493FED4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（二）供应商根据项目情况，可投报“节能产品政府采购品目清单、环境标志产品政府采购品目清单”中非政府强制采购产品或其范围以外的产品。</w:t>
      </w:r>
    </w:p>
    <w:p w14:paraId="4D6997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供应商投报“节能产品政府采购品目清单、环境标志产品政府采购品目清单”中非政府强制采购产品的将给予适当加分。供应商需将非政府强制采购产品如实填写到《非政府强制采购产品明细表》，并提供处于有效期之内的节能产品、环境标志产品认证证书扫描件。</w:t>
      </w:r>
    </w:p>
    <w:p w14:paraId="28F414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（四）本项目采购标的物涉及计算机产品或硬件产品内预装软件的，供应商须填写《正版软件承诺》。</w:t>
      </w:r>
    </w:p>
    <w:p w14:paraId="3D4DD6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（五）所投报信息安全产品属于《信息安全产品强制性认证目录》中的产品，须提供有效认证证书扫描件，否则将可能导致投标无效。</w:t>
      </w:r>
    </w:p>
    <w:p w14:paraId="0BBE5E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（六）非专门面向中小企业采购项目的小型、微型企业参加本项目的评审标准</w:t>
      </w:r>
    </w:p>
    <w:p w14:paraId="6B89D9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1C2A5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小型、微企业只有提供本企业制造的货物或者服务，或者提供其他小型、微企业制造的货物/服务，享受价格折扣，以打折后的价格参与评审。若有的话，如实填写《小、微企业/残疾人福利性单位提供货物/服务明细表》。</w:t>
      </w:r>
    </w:p>
    <w:p w14:paraId="77B6B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小型、微型企业提供的货物既有中小企业制造货物，也有大型企业制造货物的，不享受价格折扣。</w:t>
      </w:r>
    </w:p>
    <w:p w14:paraId="3521088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联合体价格折扣：本项目若允许联合体参加，大中型企业与小型、微型企业组成联合体的，联合协议约定小型、微型企业的合同份额占到合同总金额30%以上的，对联合体的报价给予扣除后参加评审。</w:t>
      </w:r>
    </w:p>
    <w:p w14:paraId="28C864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大中型企业向小型、微型企业分包的价格折扣：大中型企业向一家或者多家小型、微型企业分包的，分包意向协议约定小型、微型企业的合同份额占到合同总金额30%以上的，对大中型企业的报价给予扣除后参加评审。</w:t>
      </w:r>
    </w:p>
    <w:p w14:paraId="7DF450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（七）残疾人福利性单位参加本项目的评审标准</w:t>
      </w:r>
    </w:p>
    <w:p w14:paraId="4C3BB8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须根据财库【2017】141号《关于促进残疾人就业政府采购政策的通知》的要求，如实填写《残疾人福利性单位声明函》，残疾人福利性单位参加本项目投标时，视同小型、微型企业享受价格折扣，用扣除后的价格参与评审。</w:t>
      </w:r>
    </w:p>
    <w:p w14:paraId="26CEE2F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享受政府采购支持政策的残疾人福利性单位应当同时满足以下条件：</w:t>
      </w:r>
    </w:p>
    <w:p w14:paraId="3EAFFC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（1）安置的残疾人占本单位在职职工人数的比例不低于25%（含25%），并且安置的残疾人人数不少于10人（含10人）；</w:t>
      </w:r>
    </w:p>
    <w:p w14:paraId="6543B1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（2）依法与安置的每位残疾人签订了一年以上（含一年）的劳动合同或服务协议；</w:t>
      </w:r>
    </w:p>
    <w:p w14:paraId="7D446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（3）为安置的每位残疾人按月足额缴纳了基本养老保险、基本医疗保险、失业保险、工伤保险和生育保险等社会保险费；</w:t>
      </w:r>
    </w:p>
    <w:p w14:paraId="7896C6F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（4）通过银行等金融机构向安置的每位残疾人，按月支付了不低于单位所在区县适用的经省级人民政府批准的月最低工资标准的工资；</w:t>
      </w:r>
    </w:p>
    <w:p w14:paraId="54C46D3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（5）提供本单位制造的货物、承担的工程或者服务（以下简称产品），或者提供其他残疾人福利性单位制造的货物（不包括使用非残疾人福利性单位注册商标的货物）;</w:t>
      </w:r>
    </w:p>
    <w:p w14:paraId="13F260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8D726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（7）供应商提供的《残疾人福利性单位声明函》与事实不符的，依照《政府采购法》第七十七条第一款的规定追究法律责任；</w:t>
      </w:r>
    </w:p>
    <w:p w14:paraId="7A2B95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AF826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（八）如涉及创新产品、创新服务的评审标准</w:t>
      </w:r>
    </w:p>
    <w:p w14:paraId="52776C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供应商投标产品或服务属于最新发布的《山西省创新产品和服务推荐清单》中创新产品或创新服务的，在评审时，享受投标产品5%的价格折扣，以折扣后的价格参与评审。</w:t>
      </w:r>
    </w:p>
    <w:p w14:paraId="489F6C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供应商投标创新产品或创新服务的，需如实填写《创新产品或创新服务明细表》，并提供《山西省创新产品和服务推荐清单》。</w:t>
      </w:r>
    </w:p>
    <w:p w14:paraId="20E6360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创新产品或创新服务的价格折扣政策可与其他政府采购政策叠加。</w:t>
      </w:r>
    </w:p>
    <w:p w14:paraId="7CF162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（九）监狱企业参加本项目的评审标准</w:t>
      </w:r>
    </w:p>
    <w:p w14:paraId="28D1D8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监狱企业参加投标视同小微企业，需提供由省级以上监狱管理局或戒毒管理局出具的属于监狱企业的证明文件。</w:t>
      </w:r>
    </w:p>
    <w:p w14:paraId="6103F4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监狱企业只有提供本企业制造的货物或服务，或者提供其他小、微企业制造的货物/服务，享受投标货物/服务的价格折扣。若有的话，如实填写《小、微企业/残疾人福利性单位提供货物/服务明细表》。</w:t>
      </w:r>
    </w:p>
    <w:p w14:paraId="68C3155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监狱企业与中型企业组成联合体参加投标的，或者向监狱企业分包，且联合体协议或分包意向协议约定监狱企业的协议金额占到合同金额30%以上的，视同小型、微型企业享受价格折扣，用扣除后的价格参与评审。</w:t>
      </w:r>
    </w:p>
    <w:p w14:paraId="7289EF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（十）如涉及商品包装和快递包装的评审标准</w:t>
      </w:r>
    </w:p>
    <w:p w14:paraId="1C1665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本文件列出商品包装和快递包装要求的，供应商须填写《商品包装和快递包装承诺函》。</w:t>
      </w:r>
    </w:p>
    <w:bookmarkEnd w:id="127"/>
    <w:bookmarkEnd w:id="128"/>
    <w:p w14:paraId="7A9A4DC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bookmarkStart w:id="129" w:name="_Toc24023"/>
      <w:bookmarkStart w:id="130" w:name="_Toc4988"/>
      <w:bookmarkStart w:id="131" w:name="_Toc16372"/>
      <w:bookmarkStart w:id="132" w:name="_Toc18931"/>
      <w:bookmarkStart w:id="133" w:name="_Toc253"/>
      <w:bookmarkStart w:id="134" w:name="_Toc175644061"/>
      <w:bookmarkStart w:id="135" w:name="_Toc30359"/>
      <w:bookmarkStart w:id="136" w:name="_Toc424555852"/>
      <w:bookmarkStart w:id="137" w:name="_Toc326251061"/>
      <w:bookmarkStart w:id="138" w:name="_Toc385234441"/>
      <w:r>
        <w:rPr>
          <w:rFonts w:hint="eastAsia" w:ascii="宋体" w:hAnsi="宋体" w:eastAsia="宋体" w:cs="宋体"/>
          <w:sz w:val="24"/>
          <w:szCs w:val="24"/>
          <w:highlight w:val="none"/>
          <w:lang w:val="en-US" w:eastAsia="zh-CN"/>
        </w:rPr>
        <w:t>（十一）如涉及实施本国产品标准的评审标准</w:t>
      </w:r>
    </w:p>
    <w:p w14:paraId="0C16B6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采购活动中既有本国产品又有非本国产品参与竞争的，依法对本国产品给予价格评审优惠，对本国产品的报价给予20%的价格扣除，用扣除后的价格参与评审。</w:t>
      </w:r>
    </w:p>
    <w:p w14:paraId="451BB60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6D90E47">
      <w:pPr>
        <w:keepNext w:val="0"/>
        <w:keepLines w:val="0"/>
        <w:pageBreakBefore w:val="0"/>
        <w:widowControl w:val="0"/>
        <w:numPr>
          <w:ilvl w:val="0"/>
          <w:numId w:val="5"/>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如涉及政府绿色采购优惠政策。</w:t>
      </w:r>
    </w:p>
    <w:p w14:paraId="6BB9E9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于优先采购的绿色产品，在评审标准中增设绿色产品评审因素，并给予其4%幅度的价格扣除，用扣除后的价格参与评审。供应商需提供相应的证明资料。对中小微企业等主体，严格落实政府采购优惠政策，同时享受绿色采购政策的价格扣除等评审优惠措施。</w:t>
      </w:r>
    </w:p>
    <w:p w14:paraId="7AE1AFC4">
      <w:pPr>
        <w:bidi w:val="0"/>
        <w:spacing w:line="360" w:lineRule="auto"/>
        <w:jc w:val="center"/>
        <w:outlineLvl w:val="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br w:type="page"/>
      </w:r>
      <w:r>
        <w:rPr>
          <w:rFonts w:hint="eastAsia" w:ascii="宋体" w:hAnsi="宋体" w:eastAsia="宋体" w:cs="宋体"/>
          <w:b/>
          <w:bCs/>
          <w:sz w:val="24"/>
          <w:szCs w:val="24"/>
          <w:highlight w:val="none"/>
          <w:lang w:eastAsia="zh-CN"/>
        </w:rPr>
        <w:br w:type="page"/>
      </w:r>
      <w:bookmarkStart w:id="139" w:name="_Toc4807"/>
      <w:r>
        <w:rPr>
          <w:rFonts w:hint="eastAsia" w:ascii="宋体" w:hAnsi="宋体" w:eastAsia="宋体" w:cs="宋体"/>
          <w:b/>
          <w:bCs/>
          <w:sz w:val="24"/>
          <w:szCs w:val="24"/>
          <w:highlight w:val="none"/>
          <w:lang w:val="en-US" w:eastAsia="zh-CN"/>
        </w:rPr>
        <w:t xml:space="preserve">第五部分  </w:t>
      </w:r>
      <w:r>
        <w:rPr>
          <w:rFonts w:hint="eastAsia" w:ascii="宋体" w:hAnsi="宋体" w:eastAsia="宋体" w:cs="宋体"/>
          <w:b/>
          <w:bCs/>
          <w:sz w:val="24"/>
          <w:szCs w:val="24"/>
          <w:highlight w:val="none"/>
        </w:rPr>
        <w:t>商务、技术要求</w:t>
      </w:r>
      <w:bookmarkEnd w:id="139"/>
    </w:p>
    <w:p w14:paraId="1DCFB5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rPr>
      </w:pPr>
    </w:p>
    <w:p w14:paraId="1670D37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一、项目</w:t>
      </w:r>
      <w:r>
        <w:rPr>
          <w:rFonts w:hint="eastAsia" w:ascii="宋体" w:hAnsi="宋体" w:eastAsia="宋体" w:cs="宋体"/>
          <w:b/>
          <w:bCs/>
          <w:sz w:val="24"/>
          <w:szCs w:val="24"/>
          <w:highlight w:val="none"/>
          <w:lang w:eastAsia="zh-CN"/>
        </w:rPr>
        <w:t>概况</w:t>
      </w:r>
    </w:p>
    <w:p w14:paraId="3264710C">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1.项目编号：1407272026BCS00016</w:t>
      </w:r>
    </w:p>
    <w:p w14:paraId="47410911">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2.项目名称：祁县2026年农村供水工程中央维修养护项目</w:t>
      </w:r>
    </w:p>
    <w:p w14:paraId="22D1510B">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3.采购方式：竞争性磋商</w:t>
      </w:r>
    </w:p>
    <w:p w14:paraId="0A18C6FA">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4.预算金额（元）：646000.00</w:t>
      </w:r>
    </w:p>
    <w:p w14:paraId="6B977B93">
      <w:pPr>
        <w:keepNext w:val="0"/>
        <w:keepLines w:val="0"/>
        <w:pageBreakBefore w:val="0"/>
        <w:widowControl w:val="0"/>
        <w:kinsoku/>
        <w:wordWrap/>
        <w:overflowPunct/>
        <w:topLinePunct w:val="0"/>
        <w:autoSpaceDE/>
        <w:autoSpaceDN/>
        <w:bidi w:val="0"/>
        <w:adjustRightInd/>
        <w:snapToGrid/>
        <w:spacing w:line="440" w:lineRule="exact"/>
        <w:ind w:left="479" w:leftChars="228"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最高限价（元）：以最终出具的招标控制价为准</w:t>
      </w:r>
    </w:p>
    <w:p w14:paraId="3FE98F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5.采购需求：</w:t>
      </w:r>
      <w:r>
        <w:rPr>
          <w:rFonts w:hint="eastAsia" w:ascii="宋体" w:hAnsi="宋体" w:eastAsia="宋体" w:cs="宋体"/>
          <w:sz w:val="24"/>
          <w:szCs w:val="24"/>
          <w:highlight w:val="none"/>
          <w:lang w:eastAsia="zh-CN"/>
        </w:rPr>
        <w:t>祁县2026年农村供水工程中央维修养护项目。具体内容详见工程量清单。</w:t>
      </w:r>
    </w:p>
    <w:p w14:paraId="224C6D0A">
      <w:pPr>
        <w:bidi w:val="0"/>
        <w:spacing w:line="360" w:lineRule="auto"/>
        <w:ind w:firstLine="480" w:firstLineChars="200"/>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lang w:eastAsia="zh-CN"/>
        </w:rPr>
        <w:t>QXNC</w:t>
      </w:r>
      <w:r>
        <w:rPr>
          <w:rFonts w:hint="eastAsia" w:ascii="宋体" w:hAnsi="宋体" w:eastAsia="宋体" w:cs="宋体"/>
          <w:sz w:val="24"/>
          <w:szCs w:val="24"/>
          <w:highlight w:val="none"/>
          <w:lang w:val="en-US" w:eastAsia="zh-CN"/>
        </w:rPr>
        <w:t>G</w:t>
      </w:r>
      <w:r>
        <w:rPr>
          <w:rFonts w:hint="eastAsia" w:ascii="宋体" w:hAnsi="宋体" w:eastAsia="宋体" w:cs="宋体"/>
          <w:sz w:val="24"/>
          <w:szCs w:val="24"/>
          <w:highlight w:val="none"/>
          <w:lang w:eastAsia="zh-CN"/>
        </w:rPr>
        <w:t>SGCZYWXYH-JZ-TJ-001(202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p>
    <w:p w14:paraId="3DCB357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二、商务要求</w:t>
      </w:r>
    </w:p>
    <w:p w14:paraId="34F216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1.工期：60日历天。</w:t>
      </w:r>
    </w:p>
    <w:p w14:paraId="50A2B7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2.项目地点：祁县。</w:t>
      </w:r>
    </w:p>
    <w:p w14:paraId="10A8413D">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3.拟派项目经理：拟任项目经理需具有水利水电专业二级及以上注册建造师资格，有效的安全生产考核合格证书（B类），且未担任其它在施建设工程项目的项目经理。</w:t>
      </w:r>
    </w:p>
    <w:p w14:paraId="73F1BB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4.付款方式：合同签订后，甲方根据乙方工程进度支付，支付至决算结算评审额的97%。若缺陷责任期满无质量问题，在期满14日内一次性付清(无息)（具体以签订正式合同为准）。</w:t>
      </w:r>
    </w:p>
    <w:p w14:paraId="3E5CB0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5.其他未尽事宜：以签订正式合同为准。</w:t>
      </w:r>
    </w:p>
    <w:p w14:paraId="232BE8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i w:val="0"/>
          <w:iCs w:val="0"/>
          <w:caps w:val="0"/>
          <w:color w:val="000000"/>
          <w:spacing w:val="0"/>
          <w:sz w:val="24"/>
          <w:szCs w:val="24"/>
          <w:highlight w:val="none"/>
          <w:lang w:eastAsia="zh-CN"/>
        </w:rPr>
        <w:t>工程量清单：</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0"/>
      </w:tblGrid>
      <w:tr w14:paraId="54A7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7620" w:type="dxa"/>
            <w:vAlign w:val="center"/>
          </w:tcPr>
          <w:p w14:paraId="0ABFCD9E">
            <w:pPr>
              <w:pStyle w:val="42"/>
              <w:keepNext w:val="0"/>
              <w:keepLines w:val="0"/>
              <w:suppressLineNumbers w:val="0"/>
              <w:spacing w:before="0" w:beforeAutospacing="0" w:after="0" w:afterAutospacing="0"/>
              <w:ind w:left="0" w:right="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object>
                <v:shape id="_x0000_i1025" o:spt="75" type="#_x0000_t75" style="height:66pt;width:72.75pt;" o:ole="t" filled="f" o:preferrelative="t" stroked="f" coordsize="21600,21600">
                  <v:path/>
                  <v:fill on="f" focussize="0,0"/>
                  <v:stroke on="f"/>
                  <v:imagedata r:id="rId13" o:title=""/>
                  <o:lock v:ext="edit" aspectratio="t"/>
                  <w10:wrap type="none"/>
                  <w10:anchorlock/>
                </v:shape>
                <o:OLEObject Type="Embed" ProgID="Excel.Sheet.12" ShapeID="_x0000_i1025" DrawAspect="Icon" ObjectID="_1468075725" r:id="rId12">
                  <o:LockedField>false</o:LockedField>
                </o:OLEObject>
              </w:object>
            </w:r>
          </w:p>
        </w:tc>
      </w:tr>
    </w:tbl>
    <w:p w14:paraId="379E99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（1）</w:t>
      </w:r>
      <w:r>
        <w:rPr>
          <w:rFonts w:hint="eastAsia" w:ascii="宋体" w:hAnsi="宋体" w:eastAsia="宋体" w:cs="宋体"/>
          <w:i w:val="0"/>
          <w:iCs w:val="0"/>
          <w:caps w:val="0"/>
          <w:color w:val="000000"/>
          <w:spacing w:val="0"/>
          <w:sz w:val="24"/>
          <w:szCs w:val="24"/>
          <w:highlight w:val="none"/>
        </w:rPr>
        <w:t>除</w:t>
      </w:r>
      <w:r>
        <w:rPr>
          <w:rFonts w:hint="eastAsia" w:ascii="宋体" w:hAnsi="宋体" w:eastAsia="宋体" w:cs="宋体"/>
          <w:i w:val="0"/>
          <w:iCs w:val="0"/>
          <w:caps w:val="0"/>
          <w:color w:val="000000"/>
          <w:spacing w:val="0"/>
          <w:sz w:val="24"/>
          <w:szCs w:val="24"/>
          <w:highlight w:val="none"/>
          <w:lang w:eastAsia="zh-CN"/>
        </w:rPr>
        <w:t>采购</w:t>
      </w:r>
      <w:r>
        <w:rPr>
          <w:rFonts w:hint="eastAsia" w:ascii="宋体" w:hAnsi="宋体" w:eastAsia="宋体" w:cs="宋体"/>
          <w:i w:val="0"/>
          <w:iCs w:val="0"/>
          <w:caps w:val="0"/>
          <w:color w:val="000000"/>
          <w:spacing w:val="0"/>
          <w:sz w:val="24"/>
          <w:szCs w:val="24"/>
          <w:highlight w:val="none"/>
        </w:rPr>
        <w:t>文件另有规定外,</w:t>
      </w:r>
      <w:r>
        <w:rPr>
          <w:rFonts w:hint="eastAsia" w:ascii="宋体" w:hAnsi="宋体" w:eastAsia="宋体" w:cs="宋体"/>
          <w:i w:val="0"/>
          <w:iCs w:val="0"/>
          <w:caps w:val="0"/>
          <w:color w:val="000000"/>
          <w:spacing w:val="0"/>
          <w:sz w:val="24"/>
          <w:szCs w:val="24"/>
          <w:highlight w:val="none"/>
          <w:lang w:eastAsia="zh-CN"/>
        </w:rPr>
        <w:t>供应商</w:t>
      </w:r>
      <w:r>
        <w:rPr>
          <w:rFonts w:hint="eastAsia" w:ascii="宋体" w:hAnsi="宋体" w:eastAsia="宋体" w:cs="宋体"/>
          <w:i w:val="0"/>
          <w:iCs w:val="0"/>
          <w:caps w:val="0"/>
          <w:color w:val="000000"/>
          <w:spacing w:val="0"/>
          <w:sz w:val="24"/>
          <w:szCs w:val="24"/>
          <w:highlight w:val="none"/>
        </w:rPr>
        <w:t>不得随意增加、删除或涂改</w:t>
      </w:r>
      <w:r>
        <w:rPr>
          <w:rFonts w:hint="eastAsia" w:ascii="宋体" w:hAnsi="宋体" w:eastAsia="宋体" w:cs="宋体"/>
          <w:i w:val="0"/>
          <w:iCs w:val="0"/>
          <w:caps w:val="0"/>
          <w:color w:val="000000"/>
          <w:spacing w:val="0"/>
          <w:sz w:val="24"/>
          <w:szCs w:val="24"/>
          <w:highlight w:val="none"/>
          <w:lang w:eastAsia="zh-CN"/>
        </w:rPr>
        <w:t>采购</w:t>
      </w:r>
      <w:r>
        <w:rPr>
          <w:rFonts w:hint="eastAsia" w:ascii="宋体" w:hAnsi="宋体" w:eastAsia="宋体" w:cs="宋体"/>
          <w:i w:val="0"/>
          <w:iCs w:val="0"/>
          <w:caps w:val="0"/>
          <w:color w:val="000000"/>
          <w:spacing w:val="0"/>
          <w:sz w:val="24"/>
          <w:szCs w:val="24"/>
          <w:highlight w:val="none"/>
        </w:rPr>
        <w:t>文件工程量清单中的任何内容。工程量清单中列明的所有需要填报的单价和合价,</w:t>
      </w:r>
      <w:r>
        <w:rPr>
          <w:rFonts w:hint="eastAsia" w:ascii="宋体" w:hAnsi="宋体" w:eastAsia="宋体" w:cs="宋体"/>
          <w:i w:val="0"/>
          <w:iCs w:val="0"/>
          <w:caps w:val="0"/>
          <w:color w:val="000000"/>
          <w:spacing w:val="0"/>
          <w:sz w:val="24"/>
          <w:szCs w:val="24"/>
          <w:highlight w:val="none"/>
          <w:lang w:eastAsia="zh-CN"/>
        </w:rPr>
        <w:t>供应商</w:t>
      </w:r>
      <w:r>
        <w:rPr>
          <w:rFonts w:hint="eastAsia" w:ascii="宋体" w:hAnsi="宋体" w:eastAsia="宋体" w:cs="宋体"/>
          <w:i w:val="0"/>
          <w:iCs w:val="0"/>
          <w:caps w:val="0"/>
          <w:color w:val="000000"/>
          <w:spacing w:val="0"/>
          <w:sz w:val="24"/>
          <w:szCs w:val="24"/>
          <w:highlight w:val="none"/>
        </w:rPr>
        <w:t>均应填写;未填写的单价和合价,视为已包括在工程量清单的其它单价和合价中。</w:t>
      </w:r>
    </w:p>
    <w:p w14:paraId="05382B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2"/>
          <w:sz w:val="24"/>
          <w:szCs w:val="24"/>
          <w:highlight w:val="none"/>
          <w:lang w:val="en-US" w:eastAsia="zh-CN" w:bidi="ar-SA"/>
        </w:rPr>
      </w:pPr>
      <w:r>
        <w:rPr>
          <w:rFonts w:hint="eastAsia" w:ascii="宋体" w:hAnsi="宋体" w:eastAsia="宋体" w:cs="宋体"/>
          <w:i w:val="0"/>
          <w:iCs w:val="0"/>
          <w:caps w:val="0"/>
          <w:color w:val="000000"/>
          <w:spacing w:val="0"/>
          <w:sz w:val="24"/>
          <w:szCs w:val="24"/>
          <w:highlight w:val="none"/>
          <w:lang w:val="en-US" w:eastAsia="zh-CN"/>
        </w:rPr>
        <w:t>（2）工程量清单中的工程单价是完成工程量清单中一个质量合格的规定计量单位项目所需的直接费(包括人工费、材料费、机具使用费和季节、夜间、高原、风沙等原因增加的直接费,以及相应的未单独列项的措施费)、间接费、利润和税金,并考虑到风险因素。供应商应根据规定的工程单价组成内容,按招标文件并参照相关规范确定工程单价。</w:t>
      </w:r>
    </w:p>
    <w:p w14:paraId="605BE7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三、技术要求</w:t>
      </w:r>
    </w:p>
    <w:p w14:paraId="72C6B6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1.质量：符合国家行业标准并通过采购人验收。</w:t>
      </w:r>
    </w:p>
    <w:p w14:paraId="23CC1B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2.本工程技术规范要求</w:t>
      </w:r>
    </w:p>
    <w:p w14:paraId="1C7E29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国家现行的建筑工程施工技术规范、及与配套使用的系列验收规范；建筑原材料、半成品检验试验标准及验收规范；国家关于工程建设的强制性规范标准等。</w:t>
      </w:r>
    </w:p>
    <w:p w14:paraId="06D4CA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3.对材料的质量和试验要求</w:t>
      </w:r>
    </w:p>
    <w:p w14:paraId="293997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进场工程原材料、半成品必须符合国家或省级现行有关质量和验收标准，进场材料必须有产品合格证及质量检验证，不合格材料不准进场，要求复验的材料必须到有资质的检验试验站进行抽检。所有原材料、半成品进场必须经业主现场验收合格后才能投入施工。</w:t>
      </w:r>
    </w:p>
    <w:p w14:paraId="37AB74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4.对施工工艺的特殊要求</w:t>
      </w:r>
    </w:p>
    <w:p w14:paraId="4B1314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采用的新工艺、新技术、新材料等必须经过国家有关部门的认证认可才能投入工程建设中。</w:t>
      </w:r>
    </w:p>
    <w:p w14:paraId="41AEAE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5.对机具设备的管理要求</w:t>
      </w:r>
    </w:p>
    <w:p w14:paraId="53FB97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lang w:val="en-US" w:eastAsia="zh-CN"/>
        </w:rPr>
        <w:sectPr>
          <w:footerReference r:id="rId8" w:type="default"/>
          <w:pgSz w:w="11906" w:h="16838"/>
          <w:pgMar w:top="1417" w:right="1247" w:bottom="1417" w:left="1247"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宋体" w:eastAsia="宋体" w:cs="宋体"/>
          <w:i w:val="0"/>
          <w:iCs w:val="0"/>
          <w:caps w:val="0"/>
          <w:color w:val="000000"/>
          <w:spacing w:val="0"/>
          <w:sz w:val="24"/>
          <w:szCs w:val="24"/>
          <w:highlight w:val="none"/>
          <w:lang w:val="en-US" w:eastAsia="zh-CN"/>
        </w:rPr>
        <w:t>机具设备操作按规定配备足够的工作人员，贯彻“谁使用，谁管理”的原则。操作人员必须按规定持证上岗，自觉遵守定人定机制度。机具设备使用的工作人员，能够胜任所担任的工作，熟悉所使用的设备的性能特点和维护保养要求。所有机具设备的使用，应按照使用说明书的规定要求进行,严禁超负荷运载。所有机具设备在使用期间要按《设备保养规程》的规定做好日常保养，小修,中修等维护保养工作,严禁带病运转。</w:t>
      </w:r>
    </w:p>
    <w:p w14:paraId="693EF471">
      <w:pPr>
        <w:rPr>
          <w:rFonts w:hint="eastAsia" w:ascii="宋体" w:hAnsi="宋体" w:eastAsia="宋体" w:cs="宋体"/>
          <w:b/>
          <w:bCs/>
          <w:sz w:val="24"/>
          <w:szCs w:val="24"/>
          <w:highlight w:val="none"/>
          <w:lang w:eastAsia="zh-CN"/>
        </w:rPr>
      </w:pPr>
    </w:p>
    <w:p w14:paraId="6B961ACB">
      <w:pPr>
        <w:pStyle w:val="2"/>
        <w:rPr>
          <w:rFonts w:hint="eastAsia" w:ascii="宋体" w:hAnsi="宋体" w:eastAsia="宋体" w:cs="宋体"/>
          <w:lang w:eastAsia="zh-CN"/>
        </w:rPr>
      </w:pPr>
    </w:p>
    <w:p w14:paraId="22EF99BB">
      <w:pPr>
        <w:bidi w:val="0"/>
        <w:spacing w:line="360" w:lineRule="auto"/>
        <w:ind w:firstLine="482" w:firstLineChars="200"/>
        <w:jc w:val="center"/>
        <w:outlineLvl w:val="0"/>
        <w:rPr>
          <w:rFonts w:hint="eastAsia" w:ascii="宋体" w:hAnsi="宋体" w:eastAsia="宋体" w:cs="宋体"/>
          <w:b/>
          <w:bCs/>
          <w:sz w:val="24"/>
          <w:szCs w:val="24"/>
          <w:highlight w:val="none"/>
          <w:lang w:eastAsia="zh-CN"/>
        </w:rPr>
      </w:pPr>
      <w:bookmarkStart w:id="140" w:name="_Toc5253"/>
      <w:bookmarkStart w:id="141" w:name="_Toc25041"/>
      <w:r>
        <w:rPr>
          <w:rFonts w:hint="eastAsia" w:ascii="宋体" w:hAnsi="宋体" w:eastAsia="宋体" w:cs="宋体"/>
          <w:b/>
          <w:bCs/>
          <w:sz w:val="24"/>
          <w:szCs w:val="24"/>
          <w:highlight w:val="none"/>
          <w:lang w:eastAsia="zh-CN"/>
        </w:rPr>
        <w:t>第六部分</w:t>
      </w:r>
      <w:r>
        <w:rPr>
          <w:rFonts w:hint="eastAsia" w:ascii="宋体" w:hAnsi="宋体" w:eastAsia="宋体" w:cs="宋体"/>
          <w:b/>
          <w:bCs/>
          <w:sz w:val="24"/>
          <w:szCs w:val="24"/>
          <w:highlight w:val="none"/>
        </w:rPr>
        <w:t xml:space="preserve"> 合同</w:t>
      </w:r>
      <w:r>
        <w:rPr>
          <w:rFonts w:hint="eastAsia" w:ascii="宋体" w:hAnsi="宋体" w:eastAsia="宋体" w:cs="宋体"/>
          <w:b/>
          <w:bCs/>
          <w:sz w:val="24"/>
          <w:szCs w:val="24"/>
          <w:highlight w:val="none"/>
          <w:lang w:eastAsia="zh-CN"/>
        </w:rPr>
        <w:t>条款及格式（样本）</w:t>
      </w:r>
      <w:bookmarkEnd w:id="129"/>
      <w:bookmarkEnd w:id="130"/>
      <w:bookmarkEnd w:id="131"/>
      <w:bookmarkEnd w:id="140"/>
      <w:bookmarkEnd w:id="141"/>
    </w:p>
    <w:p w14:paraId="2890CCEF">
      <w:pPr>
        <w:jc w:val="center"/>
        <w:rPr>
          <w:rFonts w:hint="eastAsia" w:ascii="宋体" w:hAnsi="宋体" w:eastAsia="宋体" w:cs="宋体"/>
          <w:b/>
          <w:color w:val="auto"/>
          <w:sz w:val="52"/>
          <w:szCs w:val="52"/>
          <w:highlight w:val="none"/>
        </w:rPr>
      </w:pPr>
    </w:p>
    <w:p w14:paraId="276239D1">
      <w:pPr>
        <w:jc w:val="center"/>
        <w:rPr>
          <w:rFonts w:hint="eastAsia" w:ascii="宋体" w:hAnsi="宋体" w:eastAsia="宋体" w:cs="宋体"/>
          <w:b/>
          <w:color w:val="auto"/>
          <w:sz w:val="52"/>
          <w:szCs w:val="52"/>
          <w:highlight w:val="none"/>
        </w:rPr>
      </w:pPr>
    </w:p>
    <w:p w14:paraId="108878B7">
      <w:pPr>
        <w:jc w:val="center"/>
        <w:rPr>
          <w:rFonts w:hint="eastAsia" w:ascii="宋体" w:hAnsi="宋体" w:eastAsia="宋体" w:cs="宋体"/>
          <w:b/>
          <w:color w:val="auto"/>
          <w:sz w:val="52"/>
          <w:szCs w:val="52"/>
          <w:highlight w:val="none"/>
        </w:rPr>
      </w:pPr>
      <w:r>
        <w:rPr>
          <w:rFonts w:hint="eastAsia" w:ascii="宋体" w:hAnsi="宋体" w:eastAsia="宋体" w:cs="宋体"/>
          <w:bCs/>
          <w:color w:val="auto"/>
          <w:sz w:val="32"/>
          <w:szCs w:val="32"/>
          <w:highlight w:val="none"/>
        </w:rPr>
        <w:t>（</w:t>
      </w:r>
      <w:r>
        <w:rPr>
          <w:rFonts w:hint="eastAsia" w:ascii="宋体" w:hAnsi="宋体" w:eastAsia="宋体" w:cs="宋体"/>
          <w:b/>
          <w:color w:val="auto"/>
          <w:sz w:val="72"/>
          <w:szCs w:val="52"/>
          <w:highlight w:val="none"/>
          <w:lang w:eastAsia="zh-CN"/>
        </w:rPr>
        <w:t>水利水电工程标准</w:t>
      </w:r>
      <w:r>
        <w:rPr>
          <w:rFonts w:hint="eastAsia" w:ascii="宋体" w:hAnsi="宋体" w:eastAsia="宋体" w:cs="宋体"/>
          <w:b/>
          <w:color w:val="auto"/>
          <w:sz w:val="72"/>
          <w:szCs w:val="52"/>
          <w:highlight w:val="none"/>
        </w:rPr>
        <w:t>施工合同</w:t>
      </w:r>
      <w:r>
        <w:rPr>
          <w:rFonts w:hint="eastAsia" w:ascii="宋体" w:hAnsi="宋体" w:eastAsia="宋体" w:cs="宋体"/>
          <w:b/>
          <w:color w:val="auto"/>
          <w:sz w:val="52"/>
          <w:szCs w:val="52"/>
          <w:highlight w:val="none"/>
        </w:rPr>
        <w:br w:type="textWrapping"/>
      </w:r>
      <w:r>
        <w:rPr>
          <w:rFonts w:hint="eastAsia" w:ascii="宋体" w:hAnsi="宋体" w:eastAsia="宋体" w:cs="宋体"/>
          <w:b/>
          <w:color w:val="auto"/>
          <w:sz w:val="52"/>
          <w:szCs w:val="52"/>
          <w:highlight w:val="none"/>
        </w:rPr>
        <w:t>（示范文本）</w:t>
      </w:r>
    </w:p>
    <w:p w14:paraId="3E1EC497">
      <w:pPr>
        <w:jc w:val="center"/>
        <w:rPr>
          <w:rFonts w:hint="eastAsia" w:ascii="宋体" w:hAnsi="宋体" w:eastAsia="宋体" w:cs="宋体"/>
          <w:b/>
          <w:color w:val="auto"/>
          <w:sz w:val="52"/>
          <w:szCs w:val="52"/>
          <w:highlight w:val="none"/>
        </w:rPr>
      </w:pPr>
    </w:p>
    <w:p w14:paraId="197916C5">
      <w:pPr>
        <w:jc w:val="center"/>
        <w:rPr>
          <w:rFonts w:hint="eastAsia" w:ascii="宋体" w:hAnsi="宋体" w:eastAsia="宋体" w:cs="宋体"/>
          <w:b/>
          <w:color w:val="auto"/>
          <w:sz w:val="72"/>
          <w:szCs w:val="72"/>
          <w:highlight w:val="none"/>
        </w:rPr>
      </w:pPr>
    </w:p>
    <w:p w14:paraId="13309DCE">
      <w:pPr>
        <w:jc w:val="center"/>
        <w:rPr>
          <w:rFonts w:hint="eastAsia" w:ascii="宋体" w:hAnsi="宋体" w:eastAsia="宋体" w:cs="宋体"/>
          <w:b/>
          <w:color w:val="auto"/>
          <w:sz w:val="72"/>
          <w:szCs w:val="72"/>
          <w:highlight w:val="none"/>
        </w:rPr>
      </w:pPr>
    </w:p>
    <w:p w14:paraId="53AA728C">
      <w:pPr>
        <w:jc w:val="center"/>
        <w:rPr>
          <w:rFonts w:hint="eastAsia" w:ascii="宋体" w:hAnsi="宋体" w:eastAsia="宋体" w:cs="宋体"/>
          <w:b/>
          <w:color w:val="auto"/>
          <w:sz w:val="52"/>
          <w:szCs w:val="52"/>
          <w:highlight w:val="none"/>
        </w:rPr>
      </w:pPr>
    </w:p>
    <w:p w14:paraId="3D80A165">
      <w:pPr>
        <w:rPr>
          <w:rFonts w:hint="eastAsia" w:ascii="宋体" w:hAnsi="宋体" w:eastAsia="宋体" w:cs="宋体"/>
          <w:b/>
          <w:color w:val="auto"/>
          <w:sz w:val="28"/>
          <w:szCs w:val="28"/>
          <w:highlight w:val="none"/>
        </w:rPr>
      </w:pPr>
    </w:p>
    <w:p w14:paraId="1855DA60">
      <w:pPr>
        <w:rPr>
          <w:rFonts w:hint="eastAsia" w:ascii="宋体" w:hAnsi="宋体" w:eastAsia="宋体" w:cs="宋体"/>
          <w:b/>
          <w:color w:val="auto"/>
          <w:sz w:val="28"/>
          <w:szCs w:val="28"/>
          <w:highlight w:val="none"/>
        </w:rPr>
      </w:pPr>
    </w:p>
    <w:p w14:paraId="68F0CE38">
      <w:pPr>
        <w:rPr>
          <w:rFonts w:hint="eastAsia" w:ascii="宋体" w:hAnsi="宋体" w:eastAsia="宋体" w:cs="宋体"/>
          <w:b/>
          <w:color w:val="auto"/>
          <w:sz w:val="28"/>
          <w:szCs w:val="28"/>
          <w:highlight w:val="none"/>
        </w:rPr>
      </w:pPr>
    </w:p>
    <w:p w14:paraId="3B964AD5">
      <w:pPr>
        <w:rPr>
          <w:rFonts w:hint="eastAsia" w:ascii="宋体" w:hAnsi="宋体" w:eastAsia="宋体" w:cs="宋体"/>
          <w:b/>
          <w:color w:val="auto"/>
          <w:sz w:val="28"/>
          <w:szCs w:val="28"/>
          <w:highlight w:val="none"/>
        </w:rPr>
      </w:pPr>
    </w:p>
    <w:p w14:paraId="0A553747">
      <w:pPr>
        <w:rPr>
          <w:rFonts w:hint="eastAsia" w:ascii="宋体" w:hAnsi="宋体" w:eastAsia="宋体" w:cs="宋体"/>
          <w:b/>
          <w:color w:val="auto"/>
          <w:sz w:val="28"/>
          <w:szCs w:val="28"/>
          <w:highlight w:val="none"/>
        </w:rPr>
      </w:pPr>
    </w:p>
    <w:p w14:paraId="364B4C42">
      <w:pPr>
        <w:rPr>
          <w:rFonts w:hint="eastAsia" w:ascii="宋体" w:hAnsi="宋体" w:eastAsia="宋体" w:cs="宋体"/>
          <w:b/>
          <w:color w:val="auto"/>
          <w:highlight w:val="none"/>
        </w:rPr>
      </w:pPr>
    </w:p>
    <w:p w14:paraId="4EB219CB">
      <w:pPr>
        <w:keepNext/>
        <w:spacing w:line="480" w:lineRule="exact"/>
        <w:ind w:firstLine="420" w:firstLineChars="200"/>
        <w:jc w:val="center"/>
        <w:rPr>
          <w:rFonts w:hint="eastAsia" w:ascii="宋体" w:hAnsi="宋体" w:eastAsia="宋体" w:cs="宋体"/>
          <w:b/>
          <w:color w:val="000000"/>
          <w:sz w:val="24"/>
          <w:highlight w:val="none"/>
        </w:rPr>
      </w:pPr>
      <w:r>
        <w:rPr>
          <w:rFonts w:hint="eastAsia" w:ascii="宋体" w:hAnsi="宋体" w:eastAsia="宋体" w:cs="宋体"/>
          <w:b w:val="0"/>
          <w:color w:val="auto"/>
          <w:highlight w:val="none"/>
        </w:rPr>
        <w:br w:type="page"/>
      </w:r>
      <w:r>
        <w:rPr>
          <w:rFonts w:hint="eastAsia" w:ascii="宋体" w:hAnsi="宋体" w:eastAsia="宋体" w:cs="宋体"/>
          <w:b/>
          <w:color w:val="000000"/>
          <w:sz w:val="24"/>
          <w:highlight w:val="none"/>
        </w:rPr>
        <w:t>第1节 通用合同条款</w:t>
      </w:r>
      <w:bookmarkStart w:id="142" w:name="_Toc266289981"/>
      <w:bookmarkStart w:id="143" w:name="_Toc264876645"/>
      <w:bookmarkStart w:id="144" w:name="_Toc194896781"/>
      <w:bookmarkStart w:id="145" w:name="_Toc274313171"/>
    </w:p>
    <w:p w14:paraId="3474A8C7">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1、一般约定</w:t>
      </w:r>
      <w:bookmarkEnd w:id="142"/>
      <w:bookmarkEnd w:id="143"/>
      <w:bookmarkEnd w:id="144"/>
    </w:p>
    <w:p w14:paraId="08777C1B">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1.1 词语定义</w:t>
      </w:r>
    </w:p>
    <w:p w14:paraId="080DA09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 合同</w:t>
      </w:r>
    </w:p>
    <w:p w14:paraId="7E0F04E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1.1.1.1 合同文件（或称合同）：指合同协议书、中标通知书、投标函及投标函附录、专用合同条款、通用合同条款、技术标准和要求、图纸、已标价工程量清单，以及其他合同文件。</w:t>
      </w:r>
    </w:p>
    <w:p w14:paraId="14AD22B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1.1.1.2 合同协议书：指第1.5款所指的合同协议书。</w:t>
      </w:r>
    </w:p>
    <w:p w14:paraId="507E4CB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1.1.1.3 中标通知书：指招标人通知承包人中标的函件。</w:t>
      </w:r>
    </w:p>
    <w:p w14:paraId="6EED5F6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1.1.1.4 投标函：指构成合同文件组成部分的由承包人填写并签署的投标函。</w:t>
      </w:r>
    </w:p>
    <w:p w14:paraId="5A97B16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1.1.1.5 投标函附录：指附在投标函后构成合同文件的投标函附录。</w:t>
      </w:r>
    </w:p>
    <w:p w14:paraId="383C406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1.1.1.6技术标准和要求：指构成合同文件组成部分的名为技术标准和要求(合同技术条款)的文件，包括合同双方当事人约定对其所作的修改或补充。</w:t>
      </w:r>
    </w:p>
    <w:p w14:paraId="786F92B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1.1.1.7图纸:指列入合同的招标图纸、投标图纸和招标人按合同约定向承包人 提供的施工图纸和其它图纸(包括配套说明和有关资料)。列入合同的招标图纸已成为合同文件的一部分，具有合同效力，主要用于在履行合同中作为衡量变更的依据，但不能直接用于施工。经招标人确认进入合同的投标图纸亦成为合同文件的一部分，用于在履行合同中检验承包人是否按其投标时承诺的条件进行施工的依据，亦不能直接用于施工。</w:t>
      </w:r>
    </w:p>
    <w:p w14:paraId="5A57C09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1.1.1.8 已标价工程量清单：指构成合同文件组成部分的由承包人按照规定的格式和要求填写并标明价格的工程量清单。</w:t>
      </w:r>
    </w:p>
    <w:p w14:paraId="2D0025E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1.1.1.9 其他合同文件：指经合同双方当事人确认构成合同文件的其他文件。</w:t>
      </w:r>
    </w:p>
    <w:p w14:paraId="6C59213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 合同当事人和人员</w:t>
      </w:r>
    </w:p>
    <w:p w14:paraId="4DF36D9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1.1.2.1 合同当事人：指招标人和（或）承包人。</w:t>
      </w:r>
    </w:p>
    <w:p w14:paraId="2763913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1.1.2.2 招标人：指专用合同条款中指明并与承包人在合同协议书中签字的当事人。</w:t>
      </w:r>
    </w:p>
    <w:p w14:paraId="23B0B14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1.1.2.3承包人：指专用合同条款中指明并与招标人在合同协议书中签字的当事人。</w:t>
      </w:r>
    </w:p>
    <w:p w14:paraId="1D3C9CC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1.1.2.4 承包人项目经理：指承包人派驻施工场地的全权负责人。</w:t>
      </w:r>
    </w:p>
    <w:p w14:paraId="2BB9BC4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1.1.2.5分包人：指专用合同条款中指明的，从承包人处分包合同中某一部分工程，并与其签订分包合同的分包人。</w:t>
      </w:r>
    </w:p>
    <w:p w14:paraId="0253380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1.1.2.6 监理人：指在专用合同条款中指明的，受招标人委托对合同履行实施管理的法人或其他组织。</w:t>
      </w:r>
    </w:p>
    <w:p w14:paraId="71AA787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1.1.2.7 总监理工程师（总监）：指由监理人委派常驻施工场地对合同履行实施管理的全权负责人。</w:t>
      </w:r>
    </w:p>
    <w:p w14:paraId="09D71B8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1.1.3 工程和设备</w:t>
      </w:r>
    </w:p>
    <w:p w14:paraId="3DE57E7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1.1.3.1 工程：指永久工程和（或）临时工程。</w:t>
      </w:r>
    </w:p>
    <w:p w14:paraId="3197685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1.1.3.2 永久工程：指按合同约定建造并移交给招标人的工程，包括工程设备。</w:t>
      </w:r>
    </w:p>
    <w:p w14:paraId="39883CD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1.1.3.3 临时工程：指为完成合同约定的永久工程所修建的各类临时性工程，不包括施工设备。</w:t>
      </w:r>
    </w:p>
    <w:p w14:paraId="37A5279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1.1.3.4 单位工程：指专用合同条款中指明特定范围的永久工程。</w:t>
      </w:r>
    </w:p>
    <w:p w14:paraId="5534D67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1.1.3.5 工程设备：指构成或计划构成永久工程一部分的机电设备、金属结构设备、仪器装置及其他类似的设备和装置。</w:t>
      </w:r>
    </w:p>
    <w:p w14:paraId="417625B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1.1.3.6 施工设备：指为完成合同约定的各项工作所需的设备、器具和其他物品，不包括临时工程和材料。</w:t>
      </w:r>
    </w:p>
    <w:p w14:paraId="037354C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1.1.3.7 临时设施：指为完成合同约定的各项工作所服务的临时性生产和生活设施。</w:t>
      </w:r>
    </w:p>
    <w:p w14:paraId="252DDDE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1.1.3.8 承包人设备：指承包人自带的施工设备。</w:t>
      </w:r>
    </w:p>
    <w:p w14:paraId="448FC12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1.1.3.9 施工场地（或称工地、现场）：指用于合同工程施工的场所，以及在合同中指定作为施工场地组成部分的其他场所，包括永久占地和临时占地。</w:t>
      </w:r>
    </w:p>
    <w:p w14:paraId="602DAA4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1.1.3.10 永久占地：指招标人为建设本合同工程永久征用的场地。</w:t>
      </w:r>
    </w:p>
    <w:p w14:paraId="5E5D9B7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1.1.3.11 临时占地：指招标人为建设本合同工程临时征用，承包人在完工后须按合同要求退还的场地。</w:t>
      </w:r>
    </w:p>
    <w:p w14:paraId="10FE0A3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1.1.4 日期</w:t>
      </w:r>
    </w:p>
    <w:p w14:paraId="1C781DE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1.1.4.1 开工通知：指监理人按第11.1款通知承包人开工的函件。</w:t>
      </w:r>
    </w:p>
    <w:p w14:paraId="685982B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1.1.4.2 开工日期：指监理人按第11.1款发出的开工通知中写明的开工日期。</w:t>
      </w:r>
    </w:p>
    <w:p w14:paraId="2297755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1.1.4.3 工期：指承包人在投标函中承诺的完成合同工程所需的期限，包括按第11.3款、第11.4款和第11.6款约定所作的变更。</w:t>
      </w:r>
    </w:p>
    <w:p w14:paraId="38C0DF8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1.1.4.4 竣工日期：即合同工程完工日期，指第1.1.4.3目约定工期届满时的日期。实际完工日期以合同工程完工证书中写明的日期为准。</w:t>
      </w:r>
    </w:p>
    <w:p w14:paraId="1B0E4CA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1.1.4.5 缺陷责任期：即工程质量保修期，指履行第19. 2款约定的缺陷责任的期限，包括根据第19. 3款约定所作的延长，具体期限由专用合同条款约定。</w:t>
      </w:r>
    </w:p>
    <w:p w14:paraId="711952F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1.1.4.6 基准日期：指投标截止时间前28天的日期。</w:t>
      </w:r>
    </w:p>
    <w:p w14:paraId="1A79ECA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1.1.4.7 天：除特别指明外，指日历天。合同中按天计算时间的，开始当天不计入，从次日开始计算。期限最后一天的截止时间为当天24:00。</w:t>
      </w:r>
    </w:p>
    <w:p w14:paraId="09FB781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1.1.5 合同价格和费用</w:t>
      </w:r>
    </w:p>
    <w:p w14:paraId="298CDA7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1.1.5.1 签约合同价：指签定合同时合同协议书中写明的，包括了暂列金额、暂估价的合同总金额。</w:t>
      </w:r>
    </w:p>
    <w:p w14:paraId="68F2781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1.1.5.2 合同价格：指承包人按合同约定完成了包括缺陷责任期内的全部承包工作后，招标人应付给承包人的金额，包括在履行合同过程中按合同约定进行的变更和调整。</w:t>
      </w:r>
    </w:p>
    <w:p w14:paraId="1AAA90B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1.1.5.3 费用：指为履行合同所发生的或将要发生的所有合理开支，包括管理费和应分摊的其他费用，但不包括利润。</w:t>
      </w:r>
    </w:p>
    <w:p w14:paraId="5BD9865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1.1.5.4 暂列金额：指已标价工程量清单中所列的暂列金额，用于在签订协议书时尚未确定或不可预见变更的施工及其所需材料、工程设备、服务等的金额，包括以计日工方式支付的金额。</w:t>
      </w:r>
    </w:p>
    <w:p w14:paraId="05459E2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1.1.5.5 暂估价：指招标人在工程量清单中给定的用于支付必然发生但暂时不能确定价格的材料、设备以及专业工程的金额。</w:t>
      </w:r>
    </w:p>
    <w:p w14:paraId="3663B1A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1.1.5.6 计日工：指对零星工作采取的一种计价方式，按合同中的计日工子目及其单价计价付款。</w:t>
      </w:r>
    </w:p>
    <w:p w14:paraId="4A20DF2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1.1.5.7 质量保证金（或称保留金）：指按第17.4.1项约定用于保证在缺陷责任期内履行缺陷修复义务的金额。</w:t>
      </w:r>
    </w:p>
    <w:p w14:paraId="414F041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1.1.6 其他</w:t>
      </w:r>
    </w:p>
    <w:p w14:paraId="232DBB9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1.1.6.1 书面形式：指合同文件、信函、电报、传真等可以有形地表现所载内容的形式。</w:t>
      </w:r>
    </w:p>
    <w:p w14:paraId="2D6BB6AB">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1.2 语言文字</w:t>
      </w:r>
    </w:p>
    <w:p w14:paraId="353CE39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除专用术语外，合同使用的语言文字为中文。必要时专用术语应附有中文注释。</w:t>
      </w:r>
    </w:p>
    <w:p w14:paraId="41CFCE8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1.3 法律</w:t>
      </w:r>
    </w:p>
    <w:p w14:paraId="08655BE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适用于合同的法律包括中华人民共和国法律、行政法规、部门规章，以及工程所在地的地方法规、自治条例、单行条例和地方政府规章。</w:t>
      </w:r>
    </w:p>
    <w:p w14:paraId="4DB60395">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1.4 合同文件的优先顺序</w:t>
      </w:r>
    </w:p>
    <w:p w14:paraId="6FBB24B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组成合同的各项文件应互相解释，互为说明。除专用合同条款另有约定外，解释合同文件的优先顺序如下：</w:t>
      </w:r>
    </w:p>
    <w:p w14:paraId="336B024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（l）合同协议书；</w:t>
      </w:r>
    </w:p>
    <w:p w14:paraId="2268519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（2）中标通知书；</w:t>
      </w:r>
    </w:p>
    <w:p w14:paraId="2EDD0DA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（3）投标函及投标函附录；</w:t>
      </w:r>
    </w:p>
    <w:p w14:paraId="6899782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（4）专用合同条款；</w:t>
      </w:r>
    </w:p>
    <w:p w14:paraId="73A7337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（5）通用合同条款；</w:t>
      </w:r>
    </w:p>
    <w:p w14:paraId="7114A64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（6）技术标准和要求；</w:t>
      </w:r>
    </w:p>
    <w:p w14:paraId="435C029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（7）图纸；</w:t>
      </w:r>
    </w:p>
    <w:p w14:paraId="295A24B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（8）已标价工程量清单；</w:t>
      </w:r>
    </w:p>
    <w:p w14:paraId="38E1D3E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（9）其他合同文件。</w:t>
      </w:r>
    </w:p>
    <w:p w14:paraId="376F18CE">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1.5 合同协议书</w:t>
      </w:r>
    </w:p>
    <w:p w14:paraId="28149C0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承包人按中标通知书规定的时间与招标人签订合同协议书。除法律另有规定或合同另有约定外，招标人和承包人的法定代表人或其委托代理人在合同协议书上签字并盖单位章后，合同生效。</w:t>
      </w:r>
    </w:p>
    <w:p w14:paraId="7F453BBF">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1.6 图纸和承包人文件</w:t>
      </w:r>
    </w:p>
    <w:p w14:paraId="51899A1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1.6.1 图纸的提供</w:t>
      </w:r>
    </w:p>
    <w:p w14:paraId="5A41823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招标人应按技术标准和要求(合同技术条款)约定的期限和数量将施工图纸以及其它图纸(包括配套说明和有关资料)提供给承包人。由于招标人未按时提供图纸造成工期延误的，按第11.3款的约定办理。</w:t>
      </w:r>
    </w:p>
    <w:p w14:paraId="72ADBE1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1.6.2 承包人提供的文件</w:t>
      </w:r>
    </w:p>
    <w:p w14:paraId="618FB39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承包人提供的文件应按技术标准和要求（合同技术条款）约定的期限和数量提供给监理人。监理人应按技术标准和要求(合同技术条款)约定的期限批复承包人。</w:t>
      </w:r>
    </w:p>
    <w:p w14:paraId="69C9ECF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1.6.3 图纸的修改</w:t>
      </w:r>
    </w:p>
    <w:p w14:paraId="17420D8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574556C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1.6.4 图纸的错误</w:t>
      </w:r>
    </w:p>
    <w:p w14:paraId="22DEEDA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承包人发现招标人提供的图纸存在明显错误或疏忽，应及时通知监理人。</w:t>
      </w:r>
    </w:p>
    <w:p w14:paraId="429DAA3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1.6.5 图纸和承包人文件的保管</w:t>
      </w:r>
    </w:p>
    <w:p w14:paraId="58642F9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监理人和承包人均应在施工场地各保存一套完整的包含第1.6.1项、第1.6.2项、第1.6.3项约定内容的图纸和承包人文件。</w:t>
      </w:r>
    </w:p>
    <w:p w14:paraId="766B0113">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1.7 联络</w:t>
      </w:r>
    </w:p>
    <w:p w14:paraId="66980A4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1.7.1 与合同有关的通知、批准、证明、证书、指示、要求、请求、同意、意见、确定和决定等，均应采用书面形式。</w:t>
      </w:r>
    </w:p>
    <w:p w14:paraId="2F72033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0AC0D7A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1.7.3 来往函件均应按合同约定的期限及时发出和答复，不得无故扣压和拖延，亦不得拒收。否则，由此造成的后果由责任方负责。</w:t>
      </w:r>
    </w:p>
    <w:p w14:paraId="712E4672">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1.8 转让</w:t>
      </w:r>
    </w:p>
    <w:p w14:paraId="1A63957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除合同另有约定外，未经对方当事人同意，一方当事人不得将合同权利全部或部分转让给第三人，也不得全部或部分转移合同义务。</w:t>
      </w:r>
    </w:p>
    <w:p w14:paraId="240666A1">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1.9 严禁贿赂</w:t>
      </w:r>
    </w:p>
    <w:p w14:paraId="7D740D0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合同双方当事人不得以贿赂或变相贿赂的方式，谋取不当利益或损害对方权益。因贿赂造成对方损失的，行为人应赔偿损失，并承担相应的法律责任。</w:t>
      </w:r>
    </w:p>
    <w:p w14:paraId="3D5421AA">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1.10 化石、文物</w:t>
      </w:r>
    </w:p>
    <w:p w14:paraId="5D01835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招标人、监理人和承包人应按文物行政部门要求采取妥善保护措施，由此导致费用增加和（或）工期延误由招标人承担。</w:t>
      </w:r>
    </w:p>
    <w:p w14:paraId="21A9EBC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1.10.2 承包人发现文物后不及时报告或隐瞒不报，致使文物丢失或损坏的，应赔偿损失，并承担相应的法律责任。</w:t>
      </w:r>
    </w:p>
    <w:p w14:paraId="2F41DCD0">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1.11 专利技术</w:t>
      </w:r>
    </w:p>
    <w:p w14:paraId="487AA5A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1.11.1 承包人在使用任何材料、承包人设备、工程设备或采用施工工艺时，因侵犯专利权或其他知识产权所引起的责任，由承包人承担，但由于遵照招标人提供的设计或技术标准和要求引起的除外。</w:t>
      </w:r>
    </w:p>
    <w:p w14:paraId="3F87D15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1.11.2 承包人在投标文件中采用专利技术的，专利技术的使用费包含在投标报价内。</w:t>
      </w:r>
    </w:p>
    <w:p w14:paraId="212D948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1.11.3 承包人的技术秘密和声明需要保密的资料和信息，招标人和监理人不得为合同以外的目的泄露给他人。</w:t>
      </w:r>
    </w:p>
    <w:p w14:paraId="4F10336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1.11.4 合同实施过程中，招标人要求承包人采用专利技术的，招标人应办理相应的使用手续，承包人应按招标人约定的条件使用，并承担使用专利技术的相关试验工作，所需费用由招标人承担。</w:t>
      </w:r>
    </w:p>
    <w:p w14:paraId="40A1859C">
      <w:pPr>
        <w:keepNext/>
        <w:widowControl w:val="0"/>
        <w:autoSpaceDE w:val="0"/>
        <w:autoSpaceDN w:val="0"/>
        <w:spacing w:line="440" w:lineRule="exact"/>
        <w:ind w:right="1"/>
        <w:rPr>
          <w:rFonts w:hint="eastAsia" w:ascii="宋体" w:hAnsi="宋体" w:eastAsia="宋体" w:cs="宋体"/>
          <w:color w:val="000000"/>
          <w:sz w:val="24"/>
          <w:szCs w:val="21"/>
          <w:highlight w:val="none"/>
          <w:lang w:val="en-US" w:eastAsia="zh-CN" w:bidi="ar-SA"/>
        </w:rPr>
      </w:pPr>
      <w:r>
        <w:rPr>
          <w:rFonts w:hint="eastAsia" w:ascii="宋体" w:hAnsi="宋体" w:eastAsia="宋体" w:cs="宋体"/>
          <w:b/>
          <w:color w:val="000000"/>
          <w:sz w:val="21"/>
          <w:szCs w:val="21"/>
          <w:highlight w:val="none"/>
          <w:lang w:val="en-US" w:eastAsia="zh-CN" w:bidi="ar-SA"/>
        </w:rPr>
        <w:t>1.12 图纸和文件的保密</w:t>
      </w:r>
    </w:p>
    <w:p w14:paraId="56349CF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1.12.1 招标人提供的图纸和文件，未经招标人同意，承包人不得为合同以外的目的泄露给他人或公开发表与引用。</w:t>
      </w:r>
    </w:p>
    <w:p w14:paraId="0A3283E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1.12.2 承包人提供的文件，未经承包人同意，招标人和监理人不得为合同以外的目的泄露给他人或公开发表与引用。</w:t>
      </w:r>
    </w:p>
    <w:p w14:paraId="071FF857">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46" w:name="_Toc266289982"/>
      <w:bookmarkStart w:id="147" w:name="_Toc264876646"/>
      <w:bookmarkStart w:id="148" w:name="_Toc194896782"/>
      <w:r>
        <w:rPr>
          <w:rFonts w:hint="eastAsia" w:ascii="宋体" w:hAnsi="宋体" w:eastAsia="宋体" w:cs="宋体"/>
          <w:b/>
          <w:color w:val="000000"/>
          <w:sz w:val="21"/>
          <w:szCs w:val="21"/>
          <w:highlight w:val="none"/>
          <w:lang w:val="en-US" w:eastAsia="zh-CN" w:bidi="ar-SA"/>
        </w:rPr>
        <w:t>2、招标人义务</w:t>
      </w:r>
      <w:bookmarkEnd w:id="146"/>
      <w:bookmarkEnd w:id="147"/>
      <w:bookmarkEnd w:id="148"/>
    </w:p>
    <w:p w14:paraId="67659799">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2.1 遵守法律</w:t>
      </w:r>
    </w:p>
    <w:p w14:paraId="15BE167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招标人在履行合同过程中应遵守法律，并保证承包人免于承担因招标人违反法律而引起的任何责任。</w:t>
      </w:r>
    </w:p>
    <w:p w14:paraId="27B28AB7">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2.2 发出开工通知</w:t>
      </w:r>
    </w:p>
    <w:p w14:paraId="02AFC94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招标人应委托监理人按第11.1款的约定向承包人发出开工通知。</w:t>
      </w:r>
    </w:p>
    <w:p w14:paraId="13182640">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2.3 提供施工场地</w:t>
      </w:r>
    </w:p>
    <w:p w14:paraId="54D9274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2.3.1 招标人应在合同双方签订合同协议书后的14天内，将本合同工程的施工场地范围图提交给承包人。招标人提供的施工场地范围图应标明场地范围内永久占地与临时占地的范围和界限，以及指明提供给承包人用于施工场地布置的范围和界限及其有关资料。 </w:t>
      </w:r>
    </w:p>
    <w:p w14:paraId="778DE6A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2.3.2 招标人提供的施工用地范围在专用合同条款中约定。 </w:t>
      </w:r>
    </w:p>
    <w:p w14:paraId="1A5912A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2.3.3 除专用合同条款另有约定外，招标人应按技术标准和要求(合同技术条款)的约定，向承包人提供施工场地内的工程地质图纸和报告，以及地下障碍物图纸等施工场地有关资料，并保证资料的真实、准确、完整。</w:t>
      </w:r>
    </w:p>
    <w:p w14:paraId="332E24C7">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2.4 协助承包人办理证件和批件</w:t>
      </w:r>
    </w:p>
    <w:p w14:paraId="4D68298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招标人应协助承包人办理法律规定的有关施工证件和批件。</w:t>
      </w:r>
    </w:p>
    <w:p w14:paraId="6DEF65E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2.5 组织设计交底</w:t>
      </w:r>
    </w:p>
    <w:p w14:paraId="6B99401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招标人应根据合同进度计划，组织设计单位向承包人进行设计交底。</w:t>
      </w:r>
    </w:p>
    <w:p w14:paraId="662C85F1">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2.6 支付合同价款</w:t>
      </w:r>
    </w:p>
    <w:p w14:paraId="00D4210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招标人应按合同约定向承包人及时支付合同价款。</w:t>
      </w:r>
    </w:p>
    <w:p w14:paraId="0E25C05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2.7 组织竣工验收（组织法人验收）</w:t>
      </w:r>
    </w:p>
    <w:p w14:paraId="3C1F0C9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招标人应按合同约定及时组织法人验收。</w:t>
      </w:r>
    </w:p>
    <w:p w14:paraId="5F15D266">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2.8 其他义务</w:t>
      </w:r>
    </w:p>
    <w:p w14:paraId="245956D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其它义务在专用合同条款中补充约定。</w:t>
      </w:r>
    </w:p>
    <w:p w14:paraId="23CA2E68">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49" w:name="_Toc266289983"/>
      <w:bookmarkStart w:id="150" w:name="_Toc194896783"/>
      <w:bookmarkStart w:id="151" w:name="_Toc264876647"/>
      <w:r>
        <w:rPr>
          <w:rFonts w:hint="eastAsia" w:ascii="宋体" w:hAnsi="宋体" w:eastAsia="宋体" w:cs="宋体"/>
          <w:b/>
          <w:color w:val="000000"/>
          <w:sz w:val="21"/>
          <w:szCs w:val="21"/>
          <w:highlight w:val="none"/>
          <w:lang w:val="en-US" w:eastAsia="zh-CN" w:bidi="ar-SA"/>
        </w:rPr>
        <w:t>3、监理人</w:t>
      </w:r>
      <w:bookmarkEnd w:id="149"/>
      <w:bookmarkEnd w:id="150"/>
      <w:bookmarkEnd w:id="151"/>
    </w:p>
    <w:p w14:paraId="7D3059F4">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3.1 监理人的职责和权力</w:t>
      </w:r>
    </w:p>
    <w:p w14:paraId="576CDD3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3.1.1 监理人受招标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招标人的事先批准，承包人也应立即遵照执行。监理人应按第15条的约定增加相应的费用，并通知承包人。</w:t>
      </w:r>
    </w:p>
    <w:p w14:paraId="6400FD4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3.1.2 监理人发出的任何指示应视为已得到招标人的批准，但监理人无权免除或变更合同约定的招标人和承包人的权利、义务和责任。</w:t>
      </w:r>
    </w:p>
    <w:p w14:paraId="7B0FF73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3.1.3 合同约定应由承包人承担的义务和责任，不因监理人对承包人提交文件的审查或批准，对工程、材料和设备的检查和检验，以及为实施监理作出的指示等职务行为而减轻或解除。</w:t>
      </w:r>
    </w:p>
    <w:p w14:paraId="311B5706">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3.2 总监理工程师</w:t>
      </w:r>
    </w:p>
    <w:p w14:paraId="382ED61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招标人应在发出开工通知前将总监理工程师的任命通知承包人。总监理工程师更换时，应在调离14天前通知承包人。总监理工程师短期离开施工场地的，应委派代表代行其职责，并通知承包人。</w:t>
      </w:r>
    </w:p>
    <w:p w14:paraId="0F531366">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3.3 监理人员</w:t>
      </w:r>
    </w:p>
    <w:p w14:paraId="2B1D9A9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34079D4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61501EF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3.3.3 承包人对总监理工程师授权的监理人员发出的指示有疑问的，可向总监理工程师提出书面异议，总监理工程师应在48小时内对该指示予以确认、更改或撤销。</w:t>
      </w:r>
    </w:p>
    <w:p w14:paraId="42F668B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3.3.4 除专用合同条款另有约定外，总监理工程师不应将第3.5款约定应由总监理工程师作出确定的权力授权或委托给其他监理人员。</w:t>
      </w:r>
    </w:p>
    <w:p w14:paraId="3C81686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3.4 监理人的指示</w:t>
      </w:r>
    </w:p>
    <w:p w14:paraId="25B1874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3.4.1 监理人应按第3.1款的约定向承包人发出指示，监理人的指示应盖有监理人授权的施工场地机构章，并由总监理工程师或总监理工程师按第3.3.1项约定授权的监理人员签字。</w:t>
      </w:r>
    </w:p>
    <w:p w14:paraId="1D15EB1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3.4.2 承包人收到监理人按第3.4.1项作出的指示后应遵照执行。指示构成变更的，应按第15条处理。</w:t>
      </w:r>
    </w:p>
    <w:p w14:paraId="1634F16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3D88DDF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3.4.4 除合同另有约定外，承包人只从总监理工程师或按第3.3.1项被授权的监理人员处取得指示。</w:t>
      </w:r>
    </w:p>
    <w:p w14:paraId="136374B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3.4.5 由于监理人未能按合同约定发出指示、指示延误或指示错误而导致承包人费用增加和（或）工期延误的，由招标人承担赔偿责任。</w:t>
      </w:r>
    </w:p>
    <w:p w14:paraId="459B3553">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3.5 商定或确定</w:t>
      </w:r>
    </w:p>
    <w:p w14:paraId="4C06936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3.5.1 合同约定总监理工程师应按照本款对任何事项进行商定或确定时，总监理工程师应与合同当事人协商，尽量达成一致。不能达成一致的，总监理工程师应认真研究后审慎确定。</w:t>
      </w:r>
    </w:p>
    <w:p w14:paraId="5CB08BE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143140B1">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52" w:name="_Toc266289984"/>
      <w:bookmarkStart w:id="153" w:name="_Toc194896784"/>
      <w:bookmarkStart w:id="154" w:name="_Toc264876648"/>
      <w:r>
        <w:rPr>
          <w:rFonts w:hint="eastAsia" w:ascii="宋体" w:hAnsi="宋体" w:eastAsia="宋体" w:cs="宋体"/>
          <w:b/>
          <w:color w:val="000000"/>
          <w:sz w:val="21"/>
          <w:szCs w:val="21"/>
          <w:highlight w:val="none"/>
          <w:lang w:val="en-US" w:eastAsia="zh-CN" w:bidi="ar-SA"/>
        </w:rPr>
        <w:t>4、承包人</w:t>
      </w:r>
      <w:bookmarkEnd w:id="152"/>
      <w:bookmarkEnd w:id="153"/>
      <w:bookmarkEnd w:id="154"/>
    </w:p>
    <w:p w14:paraId="33A18B47">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4.1 承包人的一般义务</w:t>
      </w:r>
    </w:p>
    <w:p w14:paraId="47DB61F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4.1.1 遵守法律</w:t>
      </w:r>
    </w:p>
    <w:p w14:paraId="25CB5EA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承包人在履行合同过程中应遵守法律，并保证招标人免于承担因承包人违反法律而引起的任何责任。</w:t>
      </w:r>
    </w:p>
    <w:p w14:paraId="14B61B4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4.1.2 依法纳税</w:t>
      </w:r>
    </w:p>
    <w:p w14:paraId="4F85CB2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承包人应按有关法律规定纳税，应缴纳的税金包括在合同价格内。</w:t>
      </w:r>
    </w:p>
    <w:p w14:paraId="46CF316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4.1.3 完成各项承包工作</w:t>
      </w:r>
    </w:p>
    <w:p w14:paraId="3121470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承包人应按合同约定以及监理人根据第3. 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6776083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4.1.4 对施工作业和施工方法的完备性负责</w:t>
      </w:r>
    </w:p>
    <w:p w14:paraId="3C3FEA0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承包人应按合同约定的工作内容和施工进度要求，编制施工组织设计和施工措施计划，并对所有施工作业和施工方法的完备性和安全可靠性负责。</w:t>
      </w:r>
    </w:p>
    <w:p w14:paraId="0F3A93A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4.1.5 保证工程施工和人员的安全</w:t>
      </w:r>
    </w:p>
    <w:p w14:paraId="566F428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承包人应按第9.2款约定采取施工安全措施，确保工程及其人员、材料、设备和设施的安全，防止因工程施工造成的人身伤害和财产损失。</w:t>
      </w:r>
    </w:p>
    <w:p w14:paraId="4D171E4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4.1.6 负责施工场地及其周边环境与生态的保护工作</w:t>
      </w:r>
    </w:p>
    <w:p w14:paraId="3C06977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承包人应按照第9.4款约定负责施工场地及其周边环境与生态的保护工作。</w:t>
      </w:r>
    </w:p>
    <w:p w14:paraId="2348FFE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4.1.7 避免施工对公众与他人的利益造成损害</w:t>
      </w:r>
    </w:p>
    <w:p w14:paraId="0CFC5A5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在进行合同约定的各项工作时，不得侵害招标人与他人使用公用道路、水源、市政管网等公共设施的权利，避免对邻近的公共设施产生干扰。承包人占用或使用他人的施工场地，影响他人作业或生活的，应承担相应责任。</w:t>
      </w:r>
    </w:p>
    <w:p w14:paraId="4CED5ED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4.1.8 为他人提供方便</w:t>
      </w:r>
    </w:p>
    <w:p w14:paraId="4CC2F14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6E5CAAE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4.1.9 工程的维护和照管</w:t>
      </w:r>
    </w:p>
    <w:p w14:paraId="33BFB00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除合同另有约定外，合同工程完工证书颁发前，承包人应负责照管和维护工程。合同工程完工证书颁发时尚有部分未完工程的，承包人还应负责该未完工程的照管和维护工作，直至完工后移交给招标人为止。</w:t>
      </w:r>
    </w:p>
    <w:p w14:paraId="44A042E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4.1.10 其他义务</w:t>
      </w:r>
    </w:p>
    <w:p w14:paraId="1AAC4B6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其它义务在专用合同条款中补充约定。</w:t>
      </w:r>
    </w:p>
    <w:p w14:paraId="300378FB">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4.2 履约担保</w:t>
      </w:r>
    </w:p>
    <w:p w14:paraId="5B28B4B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承包人应保证其履约担保在招标人颁发合同工程完工证书前一直有效。招标人应在合同工程完工证书颁发后28天内将履约担保退还给承包人。</w:t>
      </w:r>
    </w:p>
    <w:p w14:paraId="60277518">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4.3 分包</w:t>
      </w:r>
    </w:p>
    <w:p w14:paraId="6CDBB5D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4.3.1 承包人不得将其承包的全部工程转包给第三人，或将其承包的全部工程肢解后以分包的名义转包给第三人。</w:t>
      </w:r>
    </w:p>
    <w:p w14:paraId="15D3CD5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4.3.2 承包人不得将工程主体、关键性工作分包给第三人。除专用合同条款另有约定外，未经招标人同意，承包人不得将工程的其他部分或工作分包给第三人。</w:t>
      </w:r>
    </w:p>
    <w:p w14:paraId="3801456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4.3.3 分包人的资格能力应与其分包工程的标准和规模相适应。</w:t>
      </w:r>
    </w:p>
    <w:p w14:paraId="0217696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4.3.4 按投标函附录约定分包工程的，承包人应向招标人和监理人提交分包合同副本。</w:t>
      </w:r>
    </w:p>
    <w:p w14:paraId="34C4882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4.3.5 承包人应与分包人就分包工程向招标人承担连带责任。</w:t>
      </w:r>
    </w:p>
    <w:p w14:paraId="60B68B0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4.3.6 分包分为工程分包和劳务作业分包。工程分包应遵循合同约定或者经招标人书面认可。禁止承包人将本合同工程进行违法分包。分包人应具备与分包工程规模和标准相适应的资质和业绩，在人力、设备、资金等方面具有承担分包工程施工的能力。分包人应自行完成所承包的任务。 </w:t>
      </w:r>
    </w:p>
    <w:p w14:paraId="51CB872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4.3.7 在合同实施过程中，如承包人无力在合同规定的期限内完成合同中的应急防汛、抢险等危及公共安全和工程安全的项目，招标人可对该应急防汛、抢险等项目的部分工程指定分包人。因非承包人原因形成指定分包条件的，招标人的指定分包不应增加承包人的额外费用；因承包人原因形成指定分包条件的，承包人应承担指定分包所增加的费用。</w:t>
      </w:r>
    </w:p>
    <w:p w14:paraId="5770823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由指定分包人造成的与其分包工作有关的一切索赔、诉讼和损失赔偿由指定分包人直接对招标人负责，承包人不对此承担责任。 </w:t>
      </w:r>
    </w:p>
    <w:p w14:paraId="120D1ED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4.3.8 承包人和分包人应当签订分包合同，并履行合同约定的义务。分包合同必须遵循承包合同的各项原则，满足承包合同中相应条款的要求。招标人可以对分包合同实施情况进行监督检查。承包人应将分包合同副本提交招标人和监理人。 </w:t>
      </w:r>
    </w:p>
    <w:p w14:paraId="7BE1B13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4.3.9 除第4.3.7项规定的指定分包外，承包人对其分包项目的实施以及分包人的行为向招标人负全部责任。承包人应对分包项目的工程进度、质量、安全、计量和验收等实施监督和管理。 </w:t>
      </w:r>
    </w:p>
    <w:p w14:paraId="4B8B475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4.3.10 分包人应按专用合同条款的约定设立项目管理机构组织管理分包工程的施工活动。</w:t>
      </w:r>
    </w:p>
    <w:p w14:paraId="1BCC7009">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4.4 联合体</w:t>
      </w:r>
    </w:p>
    <w:p w14:paraId="50F0367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4.4.1 联合体各方应共同与招标人签订合同协议书。联合体各方应为履行合同承担连带责任。</w:t>
      </w:r>
    </w:p>
    <w:p w14:paraId="18A4CA0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4.4.2 联合体协议经招标人确认后作为合同附件。在履行合同过程中，未经招标人同意，不得修改联合体协议。</w:t>
      </w:r>
    </w:p>
    <w:p w14:paraId="5878BCC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4.4.3 联合体牵头人负责与招标人和监理人联系，并接受指示，负责组织联合体各成员全面履行合同。</w:t>
      </w:r>
    </w:p>
    <w:p w14:paraId="285D0E26">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4.5 承包人项目经理</w:t>
      </w:r>
    </w:p>
    <w:p w14:paraId="646B286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4.5.1 承包人应按合同约定指派项目经理，并在约定的期限内到职。承包人更换项目经理应事先征得招标人同意，并应在更换14天前通知招标人和监理人。承包人项目经理短期离开施工场地，应事先征得监理人同意，并委派代表代行其职责。</w:t>
      </w:r>
    </w:p>
    <w:p w14:paraId="7A79196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4.5.2 承包人项目经理应按合同约定以及监理人按第3.4款作出的指示，负责组织合同工程的实施。在情况紧急且无法与监理人取得联系时，可采取保证工程和人员生命财产安令的紧急措施，并在采取措施后24小时内向监理人提交书面报告。</w:t>
      </w:r>
    </w:p>
    <w:p w14:paraId="0F4DEDE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4.5.3 承包人为履行合同发出的一切函件均应盖有承包人授权的施工场地管理机构章，并由承包人项目经理或其授权代表签字。</w:t>
      </w:r>
    </w:p>
    <w:p w14:paraId="7BF3534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4.5.4 承包人项目经理可以授权其下属人员履行其某项职责，但事先应将这些人员的姓名和授权范围通知监理人。</w:t>
      </w:r>
    </w:p>
    <w:p w14:paraId="7A141226">
      <w:pPr>
        <w:keepNext/>
        <w:widowControl w:val="0"/>
        <w:autoSpaceDE w:val="0"/>
        <w:autoSpaceDN w:val="0"/>
        <w:spacing w:line="440" w:lineRule="exact"/>
        <w:ind w:right="1"/>
        <w:rPr>
          <w:rFonts w:hint="eastAsia" w:ascii="宋体" w:hAnsi="宋体" w:eastAsia="宋体" w:cs="宋体"/>
          <w:color w:val="000000"/>
          <w:sz w:val="24"/>
          <w:szCs w:val="21"/>
          <w:highlight w:val="none"/>
          <w:lang w:val="en-US" w:eastAsia="zh-CN" w:bidi="ar-SA"/>
        </w:rPr>
      </w:pPr>
      <w:r>
        <w:rPr>
          <w:rFonts w:hint="eastAsia" w:ascii="宋体" w:hAnsi="宋体" w:eastAsia="宋体" w:cs="宋体"/>
          <w:b/>
          <w:color w:val="000000"/>
          <w:sz w:val="21"/>
          <w:szCs w:val="21"/>
          <w:highlight w:val="none"/>
          <w:lang w:val="en-US" w:eastAsia="zh-CN" w:bidi="ar-SA"/>
        </w:rPr>
        <w:t>4.6 承包人人员的管理</w:t>
      </w:r>
    </w:p>
    <w:p w14:paraId="5E5F344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75FB735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4.6.2 为完成合同约定的各项工作，承包人应向施工场地派遣或雇佣足够数量的下列人员：</w:t>
      </w:r>
    </w:p>
    <w:p w14:paraId="27A52B4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（1）具有相应资格的专业技工和合格的普工；</w:t>
      </w:r>
    </w:p>
    <w:p w14:paraId="73C73EF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（2）具有相应施工经验的技术人员；</w:t>
      </w:r>
    </w:p>
    <w:p w14:paraId="2CC0A75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（3）具有相应岗位资格的各级管理人员。</w:t>
      </w:r>
    </w:p>
    <w:p w14:paraId="7A9BB0E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4.6.3 承包人安排在施工场地的主要管理人员和技术骨干应相对稳定。承包人更换主要管理人员和技术骨干时，应取得监理人的同意。</w:t>
      </w:r>
    </w:p>
    <w:p w14:paraId="69AAE11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4.6.4 特殊岗位的工作人员均应持有相应的资格证明，监理人有权随时检查。监理人认为有必要时，可进行现场考核。</w:t>
      </w:r>
    </w:p>
    <w:p w14:paraId="74AC0564">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4.7 撤换承包人项目经理和其他人员</w:t>
      </w:r>
    </w:p>
    <w:p w14:paraId="0929C72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承包人应对其项目经理和其他人员进行有效管理。监理人要求撤换不能胜任本职工作、行为不端或玩忽职守的承包人项目经理和其他人员的，承包人应予以撤换。</w:t>
      </w:r>
    </w:p>
    <w:p w14:paraId="46879E39">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4.8 保障承包人人员的合法权益</w:t>
      </w:r>
    </w:p>
    <w:p w14:paraId="0A9C65F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4.8.1 承包人应与其雇佣的人员签订劳动合同，并按时发放工资。</w:t>
      </w:r>
    </w:p>
    <w:p w14:paraId="41BDC33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10FD775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4.8.3 承包人应为其雇佣人员提供必要的食宿条件，以及符合环境保护和卫生要求的生活环境，在远离城镇的施工场地，还应配备必要的伤病防治和急救的医务人员与医疗设施。</w:t>
      </w:r>
    </w:p>
    <w:p w14:paraId="5ACC77E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668112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4.8.5 承包人应按有关法律规定和合同约定，为其雇佣人员办理保险。</w:t>
      </w:r>
    </w:p>
    <w:p w14:paraId="622F483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4.8.6 承包人应负责处理其雇佣人员因工伤亡事故的善后事宜。</w:t>
      </w:r>
    </w:p>
    <w:p w14:paraId="44EBFF38">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4.9 工程价款应专款专用</w:t>
      </w:r>
    </w:p>
    <w:p w14:paraId="010C238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招标人按合同约定支付给承包人的各项价款应专用于合同工程。</w:t>
      </w:r>
    </w:p>
    <w:p w14:paraId="750281B4">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4.10 承包人现场查勘</w:t>
      </w:r>
    </w:p>
    <w:p w14:paraId="775FCCC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4.10.1 招标人应将其持有的现场地质勘探资料、水文气象资料提供给承包人，并对其准确性负责。但承包人应对其阅读上述有关资料后所作出的解释和推断负责。</w:t>
      </w:r>
    </w:p>
    <w:p w14:paraId="73F1933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5FCD2413">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4.11 不利物质条件</w:t>
      </w:r>
    </w:p>
    <w:p w14:paraId="6FD8A16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4.11.1 除专用合同条款另有约定外，不利物质条件是指在施工中遭遇不可预见的外界障碍或自然条件造成施工受阻。 </w:t>
      </w:r>
    </w:p>
    <w:p w14:paraId="01A20DA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43F4588B">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55" w:name="_Toc194896785"/>
      <w:bookmarkStart w:id="156" w:name="_Toc264876649"/>
      <w:bookmarkStart w:id="157" w:name="_Toc266289985"/>
      <w:r>
        <w:rPr>
          <w:rFonts w:hint="eastAsia" w:ascii="宋体" w:hAnsi="宋体" w:eastAsia="宋体" w:cs="宋体"/>
          <w:b/>
          <w:color w:val="000000"/>
          <w:sz w:val="21"/>
          <w:szCs w:val="21"/>
          <w:highlight w:val="none"/>
          <w:lang w:val="en-US" w:eastAsia="zh-CN" w:bidi="ar-SA"/>
        </w:rPr>
        <w:t>5、材料和工程设备</w:t>
      </w:r>
      <w:bookmarkEnd w:id="155"/>
      <w:bookmarkEnd w:id="156"/>
      <w:bookmarkEnd w:id="157"/>
    </w:p>
    <w:p w14:paraId="60D97CC5">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5.1 承包人提供的材料和工程设备</w:t>
      </w:r>
    </w:p>
    <w:p w14:paraId="7939D55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5.1.1 除第5. 2款约定由招标人提供的材料和工程设备外，承包人负责采购、运输 和保管完成本合同工作所需的材料和工程设备。承包人应对其采购的材料和工程设备负责。</w:t>
      </w:r>
    </w:p>
    <w:p w14:paraId="1A2B2C0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796097C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7176AE12">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5.2 招标人提供的材料和工程设备</w:t>
      </w:r>
    </w:p>
    <w:p w14:paraId="2660E0F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5.2.1 招标人提供的材料和工程设备，应在专用合同条款中写明材料和工程设备的名称、规格、数量、价格、交货方式、交货地点和计划交货日期等。</w:t>
      </w:r>
    </w:p>
    <w:p w14:paraId="7CD5599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5.2.2 承包人应根据合同进度计划的安排，向监理人报送要求招标人交货的日期计划。招标人应按照监理人与合同双方当事人商定的交货日期，向承包人提交材料和工程设备。</w:t>
      </w:r>
    </w:p>
    <w:p w14:paraId="3DC0AB2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5.2.3招标人应在材料和工程设备到货7天前通知承包人，承包人应会同监理人在约定的时间内，赴交货地点共同进行验收。招标人提供的材料和工程设备运至交货地点验收后，由承包人负责接收、卸货、运输和保管。</w:t>
      </w:r>
    </w:p>
    <w:p w14:paraId="32E975F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5.2.4 招标人要求向承包人提前交货的，承包人不得拒绝，但招标人应承担承包人由此增加的费用。</w:t>
      </w:r>
    </w:p>
    <w:p w14:paraId="48D72B6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5.2.5 承包人要求更改交货日期或地点的，应事先报请监理人批准。由于承包人要求更改交货时间或地点所增加的费用和（或）工期延误由承包人承担。</w:t>
      </w:r>
    </w:p>
    <w:p w14:paraId="0097187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5.2.6 招标人提供的材料和工程设备的规格、数量或质量不符合合同要求，或由于招标人原因发生交货日期延误及交货地点变更等情况的，招标人应承担由此增加的费用和（或）工期延误，并向承包人支付合理利润。</w:t>
      </w:r>
    </w:p>
    <w:p w14:paraId="54E8C51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5.3 材料和工程设备专用于合同工程</w:t>
      </w:r>
    </w:p>
    <w:p w14:paraId="2CF9AF7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5.3.1 运入施工场地的材料、工程设备，包括备品备件、安装专用工器具与随机资料，必须专用于合同工程，未经监理人同意，承包人不得运出施工场地或挪作他用。</w:t>
      </w:r>
    </w:p>
    <w:p w14:paraId="485DEDE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0F3941ED">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5.4 禁止使用不合格的材料和工程设备</w:t>
      </w:r>
    </w:p>
    <w:p w14:paraId="379C0E9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5.4.1 监理人有权拒绝承包人提供的不合格材料或工程设备，并要求承包人立即进行更换。监理人应在更换后再次进行检查和检验，由此增加的费用和（或）工期延误由承包人承担。</w:t>
      </w:r>
    </w:p>
    <w:p w14:paraId="209251F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5.4.2 监理人发现承包人使用了不合格的材料和工程设备，应即时发出指示要求承包人立即改正，并禁止在工程中继续使用不合格的材料和工程设备。</w:t>
      </w:r>
    </w:p>
    <w:p w14:paraId="6B63B3B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5.4.3 招标人提供的材料或工程设备不符合合同要求的，承包人有权拒绝，并可要求招标人更换，由此增加的费用和（或）工期延误由招标人承担。</w:t>
      </w:r>
    </w:p>
    <w:p w14:paraId="3FFB88F1">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58" w:name="_Toc194896786"/>
      <w:bookmarkStart w:id="159" w:name="_Toc266289986"/>
      <w:bookmarkStart w:id="160" w:name="_Toc264876650"/>
      <w:r>
        <w:rPr>
          <w:rFonts w:hint="eastAsia" w:ascii="宋体" w:hAnsi="宋体" w:eastAsia="宋体" w:cs="宋体"/>
          <w:b/>
          <w:color w:val="000000"/>
          <w:sz w:val="21"/>
          <w:szCs w:val="21"/>
          <w:highlight w:val="none"/>
          <w:lang w:val="en-US" w:eastAsia="zh-CN" w:bidi="ar-SA"/>
        </w:rPr>
        <w:t>6、施工设备和临时设施</w:t>
      </w:r>
      <w:bookmarkEnd w:id="158"/>
      <w:bookmarkEnd w:id="159"/>
      <w:bookmarkEnd w:id="160"/>
    </w:p>
    <w:p w14:paraId="0B31FAC4">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6.1 承包人提供的施工设备和临时设施</w:t>
      </w:r>
    </w:p>
    <w:p w14:paraId="645EB26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745D1F2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6.1.2 除专用合同条款另有约定外，承包人应自行承担修建临时设施的费用，需要临时占地的，应由招标人办理申请手续并承担相应费用。</w:t>
      </w:r>
    </w:p>
    <w:p w14:paraId="539AE12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6.2 招标人提供的施工设备和临时设施</w:t>
      </w:r>
    </w:p>
    <w:p w14:paraId="6660AF1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招标人提供的施工设备或临时设施在专用合同条款中约定。</w:t>
      </w:r>
    </w:p>
    <w:p w14:paraId="70DE1BCB">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6.3 要求承包人增加或更换施工设备</w:t>
      </w:r>
    </w:p>
    <w:p w14:paraId="7C10A30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承包人使用的施工设备不能满足合同进度计划和（或）质量要求时，监理人有权要求承包人增加或更换施工设备，承包人应及时增加或更换，由此增加的费用和（或）工期延误由承包人承担。</w:t>
      </w:r>
    </w:p>
    <w:p w14:paraId="1E3336F2">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6.4 施工设备和临时设施专用于合同工程</w:t>
      </w:r>
    </w:p>
    <w:p w14:paraId="3E7151A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6.4.1 除合同另有约定外，运入施工场地的所有施工设备以及在施工场地建设的临时设施应专用于合同工程。未经监理人同意，不得将上述施工设备和临时设施中的任何部分运出施工场地或挪作他用。</w:t>
      </w:r>
    </w:p>
    <w:p w14:paraId="17FDBC3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6.4.2 经监理人同意，承包人可根据合同进度计划撤走闲置的施工设备。</w:t>
      </w:r>
    </w:p>
    <w:p w14:paraId="2403D713">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61" w:name="_Toc194896787"/>
      <w:bookmarkStart w:id="162" w:name="_Toc264876651"/>
      <w:bookmarkStart w:id="163" w:name="_Toc266289987"/>
      <w:r>
        <w:rPr>
          <w:rFonts w:hint="eastAsia" w:ascii="宋体" w:hAnsi="宋体" w:eastAsia="宋体" w:cs="宋体"/>
          <w:b/>
          <w:color w:val="000000"/>
          <w:sz w:val="21"/>
          <w:szCs w:val="21"/>
          <w:highlight w:val="none"/>
          <w:lang w:val="en-US" w:eastAsia="zh-CN" w:bidi="ar-SA"/>
        </w:rPr>
        <w:t>7、交通运输</w:t>
      </w:r>
      <w:bookmarkEnd w:id="161"/>
      <w:bookmarkEnd w:id="162"/>
      <w:bookmarkEnd w:id="163"/>
    </w:p>
    <w:p w14:paraId="3B3B7C2A">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7.1 道路通行权和场外设施</w:t>
      </w:r>
    </w:p>
    <w:p w14:paraId="7CEDA14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除专用合同条款另有约定外，承包人应根据合同工程的施工需要，负责办理取得出入施工场地的专用和临时道路的通行权，以及取得为工程建设所需修建场外设施的权利，并承担相关费用。招标人应协助承包人办理上述手续。</w:t>
      </w:r>
    </w:p>
    <w:p w14:paraId="03A436DD">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7.2 场内施工道路</w:t>
      </w:r>
    </w:p>
    <w:p w14:paraId="0C2476F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7.2.1 除本合同约定由招标人提供的部分道路和交通设施外，承包人应负责修建、维修、养护和管理其施工所需的全部临时道路和交通设施(包括合同约定由招标人提供的部分道路和交通设施的维修、养护和管理) ，并承担相应费用。 </w:t>
      </w:r>
    </w:p>
    <w:p w14:paraId="134991A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7.2.2 承包人修建的临时道路和交通设施，应免费提供招标人、监理人以及与本合同有关的其他承包人使用。</w:t>
      </w:r>
    </w:p>
    <w:p w14:paraId="476A3F4F">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7.3 场外交通</w:t>
      </w:r>
    </w:p>
    <w:p w14:paraId="21AF265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7.3.1 承包人车辆外出行驶所需的场外公共道路的通行费、养路费和税款等由承包人承担。</w:t>
      </w:r>
    </w:p>
    <w:p w14:paraId="55924AC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7.3.2 承包人应遵守有关交通法规，严格按照道路和桥梁的限制荷重安全行驶，并服从交通管理部门的检查和监督。</w:t>
      </w:r>
    </w:p>
    <w:p w14:paraId="2D7AE0C5">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7.4 超大件和超重件的运输</w:t>
      </w:r>
    </w:p>
    <w:p w14:paraId="4CA566A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由承包人负责运输的超大件或超重件，应由承包人负责向交通管理部门办理申请手续，招标人给予协助。运输超大件或超重件所需的道路和桥梁临时加固改造费用和其他有关费用，由承包人承担，但专用合同条款另有约定除外。</w:t>
      </w:r>
    </w:p>
    <w:p w14:paraId="114B010D">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7.5 道路和桥梁的损坏责任</w:t>
      </w:r>
    </w:p>
    <w:p w14:paraId="7284C8D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因承包人运输造成施工场地内外公共道路和桥梁损坏的，由承包人承担修复损坏的全部费用和可能引起的赔偿。</w:t>
      </w:r>
    </w:p>
    <w:p w14:paraId="27FFCB0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7.6 水路和航空运输</w:t>
      </w:r>
    </w:p>
    <w:p w14:paraId="050F77E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本条上述各款的内容适用于水路运输和航空运输，其中“道路”一词的涵义包括河道、航线、船闸、机场、码头、堤防以及水路或航空运输中其他相似结构物；“车辆”一词的涵义包括船舶和飞机等。</w:t>
      </w:r>
    </w:p>
    <w:p w14:paraId="518E6CD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64" w:name="_Toc194896788"/>
      <w:bookmarkStart w:id="165" w:name="_Toc264876652"/>
      <w:bookmarkStart w:id="166" w:name="_Toc266289988"/>
      <w:r>
        <w:rPr>
          <w:rFonts w:hint="eastAsia" w:ascii="宋体" w:hAnsi="宋体" w:eastAsia="宋体" w:cs="宋体"/>
          <w:b/>
          <w:color w:val="000000"/>
          <w:sz w:val="21"/>
          <w:szCs w:val="21"/>
          <w:highlight w:val="none"/>
          <w:lang w:val="en-US" w:eastAsia="zh-CN" w:bidi="ar-SA"/>
        </w:rPr>
        <w:t>8、测量放线</w:t>
      </w:r>
      <w:bookmarkEnd w:id="164"/>
      <w:bookmarkEnd w:id="165"/>
      <w:bookmarkEnd w:id="166"/>
    </w:p>
    <w:p w14:paraId="2A6E09B9">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8.1 施工控制网</w:t>
      </w:r>
    </w:p>
    <w:p w14:paraId="6D60148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8.1.1除专用合同条款另有约定外，施工控制网由承包人负责测设，招标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053C7C4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8.1.2 承包人应负责管理施工控制网点。施工控制网点丢失或损坏的，承包人应及时修复。承包人应承担施工控制网点的管理与修复费用，并在工程竣工后将施工控制网点移交招标人。</w:t>
      </w:r>
    </w:p>
    <w:p w14:paraId="14E510D8">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8.2 施工测量</w:t>
      </w:r>
    </w:p>
    <w:p w14:paraId="355C507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8.2.1 承包人应负责施工过程中的全部施工测量放线工作，并配置合格的人员、仪器、设备和其他物品。</w:t>
      </w:r>
    </w:p>
    <w:p w14:paraId="4581CB0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8.2.2 监理人可以指示承包人进行抽样复测，当复测中发现错误或出现超过合同约定的误差时，承包人应按监理人指示进行修正或补测，并承担相应的复测费用。</w:t>
      </w:r>
    </w:p>
    <w:p w14:paraId="29A6F92D">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8.3 基准资料错误的责任</w:t>
      </w:r>
    </w:p>
    <w:p w14:paraId="6426748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应对其提供的测量基准点、基准线和水准点及其书面资料的真实性、准确性和完整性负责。招标人提供上述基准资料错误导致承包人测量放线工作的返工或造成工程损失的，招标人应当承担由此增加的费用和（或）工期延误，并向承包人支付合理利润。承包人发现招标人提供的上述基准资料存在明显错误或疏忽的，应及时通知监理人。</w:t>
      </w:r>
    </w:p>
    <w:p w14:paraId="4398F5C5">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8.4 监理人使用施工控制网</w:t>
      </w:r>
    </w:p>
    <w:p w14:paraId="2B28281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监理人需要使用施工控制网的，承包人应提供必要的协助，招标人不再为此支付费用。</w:t>
      </w:r>
    </w:p>
    <w:p w14:paraId="30F870AF">
      <w:pPr>
        <w:keepNext/>
        <w:widowControl w:val="0"/>
        <w:autoSpaceDE w:val="0"/>
        <w:autoSpaceDN w:val="0"/>
        <w:spacing w:line="440" w:lineRule="exact"/>
        <w:ind w:right="1"/>
        <w:rPr>
          <w:rFonts w:hint="eastAsia" w:ascii="宋体" w:hAnsi="宋体" w:eastAsia="宋体" w:cs="宋体"/>
          <w:color w:val="000000"/>
          <w:sz w:val="24"/>
          <w:szCs w:val="21"/>
          <w:highlight w:val="none"/>
          <w:lang w:val="en-US" w:eastAsia="zh-CN" w:bidi="ar-SA"/>
        </w:rPr>
      </w:pPr>
      <w:r>
        <w:rPr>
          <w:rFonts w:hint="eastAsia" w:ascii="宋体" w:hAnsi="宋体" w:eastAsia="宋体" w:cs="宋体"/>
          <w:b/>
          <w:color w:val="000000"/>
          <w:sz w:val="21"/>
          <w:szCs w:val="21"/>
          <w:highlight w:val="none"/>
          <w:lang w:val="en-US" w:eastAsia="zh-CN" w:bidi="ar-SA"/>
        </w:rPr>
        <w:t>8.5 补充地质勘探</w:t>
      </w:r>
      <w:r>
        <w:rPr>
          <w:rFonts w:hint="eastAsia" w:ascii="宋体" w:hAnsi="宋体" w:eastAsia="宋体" w:cs="宋体"/>
          <w:color w:val="000000"/>
          <w:sz w:val="24"/>
          <w:szCs w:val="21"/>
          <w:highlight w:val="none"/>
          <w:lang w:val="en-US" w:eastAsia="zh-CN" w:bidi="ar-SA"/>
        </w:rPr>
        <w:t xml:space="preserve"> </w:t>
      </w:r>
    </w:p>
    <w:p w14:paraId="7480061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合同实施期间，监理人可以指示承包人进行必要的补充地质勘探并提供有关资料。承包人为本合同永久工程施工的需要进行补充地质勘探时，须经监理人批准，并应向监理人提交有关资料，上述补充勘探的费用由招标人承担。承包人为其临时工程设计及施工的需要进行的补充地质勘探，其费用由承包人承担。</w:t>
      </w:r>
    </w:p>
    <w:p w14:paraId="48A8C40F">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67" w:name="_Toc194896789"/>
      <w:bookmarkStart w:id="168" w:name="_Toc264876653"/>
      <w:bookmarkStart w:id="169" w:name="_Toc266289989"/>
      <w:r>
        <w:rPr>
          <w:rFonts w:hint="eastAsia" w:ascii="宋体" w:hAnsi="宋体" w:eastAsia="宋体" w:cs="宋体"/>
          <w:b/>
          <w:color w:val="000000"/>
          <w:sz w:val="21"/>
          <w:szCs w:val="21"/>
          <w:highlight w:val="none"/>
          <w:lang w:val="en-US" w:eastAsia="zh-CN" w:bidi="ar-SA"/>
        </w:rPr>
        <w:t>9、施工安全、治安保卫和环境保护</w:t>
      </w:r>
      <w:bookmarkEnd w:id="167"/>
      <w:bookmarkEnd w:id="168"/>
      <w:bookmarkEnd w:id="169"/>
    </w:p>
    <w:p w14:paraId="2CB65CA7">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9.1 招标人的施工安全责任</w:t>
      </w:r>
    </w:p>
    <w:p w14:paraId="6319C91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9.1.1招标人应按合同约定履行安全职责。招标人委托监理人根据国家有关安全的法律、法规、强制性标准以及部门规章，对承包人的安全责任履行情况进行监督和检查。监理人的监督检查不减轻承包人应负的安全责任。</w:t>
      </w:r>
    </w:p>
    <w:p w14:paraId="1FB9767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9.1.2 招标人应对其现场机构雇佣的全部人员的工伤事故承担责任，但由于承包人原因造成招标人人员工伤的，应由承包人承担责任。</w:t>
      </w:r>
    </w:p>
    <w:p w14:paraId="4EFD2D5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9.1.3 招标人应负责赔偿以下各种情况造成的第三者人身伤亡和财产损失：</w:t>
      </w:r>
    </w:p>
    <w:p w14:paraId="2BD50AF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（l）工程或工程的任何部分对土地的占用所造成的第三者财产损失；</w:t>
      </w:r>
    </w:p>
    <w:p w14:paraId="2FD8E21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（2）由于招标人原因在施工场地及其毗邻地带造成的第三者人身伤亡和财产损失。</w:t>
      </w:r>
    </w:p>
    <w:p w14:paraId="307E9C3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9.1.4 除专用合同条款另有约定外，招标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5346911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9.1.5 招标人按照己标价工程量清单所列金额和合同约定的计量支付规定，支付安全作业环境及安全施工措施所需费用。 </w:t>
      </w:r>
    </w:p>
    <w:p w14:paraId="33F837E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9.1.6 招标人负责组织工程参建单位编制保证安全生产的措施方案。工程开工前，就落实保证安全生产的措施进行全面系统的布置，进一步明确承包人的安全生产责任。 </w:t>
      </w:r>
    </w:p>
    <w:p w14:paraId="2847709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9.1.7 招标人负责在拆除工程和爆破工程施工14天前向有关部门或机构报送相关备案资料。</w:t>
      </w:r>
    </w:p>
    <w:p w14:paraId="054C705D">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9.2 承包人的施工安全责任</w:t>
      </w:r>
    </w:p>
    <w:p w14:paraId="1E26AF2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9.2.1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0B8FA7F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9.2.2 承包人应加强施工作业安全管理，特别应加强易燃、易爆材料、火工器材、有毒与腐蚀性材料和其他危险品的管理，以及对爆破作业和地下工程施工等危险作业的管理。</w:t>
      </w:r>
    </w:p>
    <w:p w14:paraId="2E01C79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9.2.3 承包人应严格按照国家安全标准制定施工安全操作规程，配备必要的安全生产和劳动保护设施，加强对承包人人员的安全教育，并发放安全工作手册和劳动保护用具。</w:t>
      </w:r>
    </w:p>
    <w:p w14:paraId="61CE69D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9.2.4 承包人应按监理人的指示制定应对灾害的紧急预案，报送监理人审批。承包人还应按预案做好安全检查，配置必要的救助物资和器材，切实保护好有关人员的人身和财产安全。</w:t>
      </w:r>
    </w:p>
    <w:p w14:paraId="05B63A9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02CEB0C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9.2.6 承包人应对其履行合同所雇佣的全部人员，包括分包人人员的工伤事故承担责任，但由于招标人原因造成承包人人员工伤事故的，应由招标人承担责任。</w:t>
      </w:r>
    </w:p>
    <w:p w14:paraId="195BCE5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9.2.7 由于承包人原因在施工场地内及其毗邻地带造成的第三者人员伤亡和财产损失，由承包人负责赔偿。</w:t>
      </w:r>
    </w:p>
    <w:p w14:paraId="3204155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9.2.8 承包人己标价工程量清单应包含工程安全作业环境及安全施工措施所需费用。 </w:t>
      </w:r>
    </w:p>
    <w:p w14:paraId="7B77596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9.2.9 承包人应建立健全安全生产责任制度和安全生产教育培训制度，制定安全生产规章制度和操作规程，保证本单位建立和完善安全生产条件所需资金的投入，对本工程进行定期和专项安全检查，并做好安全检查记录。 </w:t>
      </w:r>
    </w:p>
    <w:p w14:paraId="37237B5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9.2.10 承包人应设立安全生产管理机构，施工现场应有专职安全生产管理人员。 </w:t>
      </w:r>
    </w:p>
    <w:p w14:paraId="78063E3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9.2.11 承包人应负责对特种作业人员进行专门的安全作业培训，并保证特种作业人员 持证上岗。 </w:t>
      </w:r>
    </w:p>
    <w:p w14:paraId="3F744B8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招标人同意。 </w:t>
      </w:r>
    </w:p>
    <w:p w14:paraId="395BCB0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9.2.13 承包人在使用施工起重机械和整体提升脚手架、模板等自升式架设设施前，应组织有关单位进行验收。</w:t>
      </w:r>
    </w:p>
    <w:p w14:paraId="30E0FD26">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9.3 治安保卫</w:t>
      </w:r>
    </w:p>
    <w:p w14:paraId="4D79104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9.3.1 除合同另有约定外，招标人应与当地公安部门协商，在现场建立治安管理机构或联防组织，统一管理施工场地的治安保卫事项，履行合同工程的治安保卫职责。</w:t>
      </w:r>
    </w:p>
    <w:p w14:paraId="08D3F82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9.3.2 招标人和承包人除应协助现场治安管理机构或联防组织维护施工场地的社会治安外，还应做好包括生活区在内的各自管辖区的治安保卫工作。</w:t>
      </w:r>
    </w:p>
    <w:p w14:paraId="25553FA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9.3.3 除合同另有约定外，招标人和承包人应在工程开工后，共同编制施工场地治安管理计划，并制定应对突发治安事件的紧急预案。在工程施工过程中，发生暴乱、爆炸等恐怖事件，以及群殴、械斗等群体性突发治安事件的，招标人和承包人应立即向当地政府报告。招标人和承包人应积极协助当地有关部门采取措施平息事态，防止事态扩大，尽量减少财产损失和避免人员伤亡。</w:t>
      </w:r>
    </w:p>
    <w:p w14:paraId="76835295">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9.4 环境保护</w:t>
      </w:r>
    </w:p>
    <w:p w14:paraId="565ADF5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9.4.1 承包人在施工过程中，应遵守有关环境保护的法律，履行合同约定的环境保护义务，并对违反法律和合同约定义务所造成的环境破坏、人身伤害和财产损失负责。</w:t>
      </w:r>
    </w:p>
    <w:p w14:paraId="372AF77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9.4.2 承包人应按合同约定的环保工作内容，编制施工环保措施计划，报送监理人审批。</w:t>
      </w:r>
    </w:p>
    <w:p w14:paraId="74375CE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0DF9B72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9.4.4 承包人应按合同约定采取有效措施，对施工开挖的边坡及时进行支护，维护排水设施，并进行水土保护，避免因施工造成的地质灾害。</w:t>
      </w:r>
    </w:p>
    <w:p w14:paraId="2C9E398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9.4.5 承包人应按国家饮用水管理标准定期对饮用水源进行监测，防止施工活动污染饮用水源。</w:t>
      </w:r>
    </w:p>
    <w:p w14:paraId="19511B5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9.4.6 承包人应按合同约定，加强对噪声、粉尘、废气、废水和废油的控制，努力降低噪声，控制粉尘和废气浓度，做好废水和废油的治理和排放。</w:t>
      </w:r>
    </w:p>
    <w:p w14:paraId="3E6E171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9.5 事故处理</w:t>
      </w:r>
    </w:p>
    <w:p w14:paraId="0B11E9C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9.5.1 招标人负责组织参建单位制定本工程的质量与安全事故应急预案，建立质量与安全事故应急处置指挥部。 </w:t>
      </w:r>
    </w:p>
    <w:p w14:paraId="195E0BB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9.5.2 承包人应对施工现场易发生重大事故的部位、环节进行监控，配备救援器材、设备，并定期组织演练。 </w:t>
      </w:r>
    </w:p>
    <w:p w14:paraId="424DF0F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9.5.3 工程开工前，承包人应根据本工程的特点制定施工现场施工质量与安全事故应急预案，并报招标人备案。 </w:t>
      </w:r>
    </w:p>
    <w:p w14:paraId="1418AF1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9.5.4 施工过程中发生事故时，招标人、承包人应立即启动应急预案。 </w:t>
      </w:r>
    </w:p>
    <w:p w14:paraId="579D3CA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9.5.5 事故调查处理由招标人按相关规定履行手续，承包人应配合。</w:t>
      </w:r>
    </w:p>
    <w:p w14:paraId="5D2A664E">
      <w:pPr>
        <w:keepNext/>
        <w:widowControl w:val="0"/>
        <w:autoSpaceDE w:val="0"/>
        <w:autoSpaceDN w:val="0"/>
        <w:spacing w:line="440" w:lineRule="exact"/>
        <w:ind w:right="1"/>
        <w:rPr>
          <w:rFonts w:hint="eastAsia" w:ascii="宋体" w:hAnsi="宋体" w:eastAsia="宋体" w:cs="宋体"/>
          <w:color w:val="000000"/>
          <w:sz w:val="24"/>
          <w:szCs w:val="21"/>
          <w:highlight w:val="none"/>
          <w:lang w:val="en-US" w:eastAsia="zh-CN" w:bidi="ar-SA"/>
        </w:rPr>
      </w:pPr>
      <w:r>
        <w:rPr>
          <w:rFonts w:hint="eastAsia" w:ascii="宋体" w:hAnsi="宋体" w:eastAsia="宋体" w:cs="宋体"/>
          <w:b/>
          <w:color w:val="000000"/>
          <w:sz w:val="21"/>
          <w:szCs w:val="21"/>
          <w:highlight w:val="none"/>
          <w:lang w:val="en-US" w:eastAsia="zh-CN" w:bidi="ar-SA"/>
        </w:rPr>
        <w:t>9.6 水土保持</w:t>
      </w:r>
      <w:r>
        <w:rPr>
          <w:rFonts w:hint="eastAsia" w:ascii="宋体" w:hAnsi="宋体" w:eastAsia="宋体" w:cs="宋体"/>
          <w:color w:val="000000"/>
          <w:sz w:val="24"/>
          <w:szCs w:val="21"/>
          <w:highlight w:val="none"/>
          <w:lang w:val="en-US" w:eastAsia="zh-CN" w:bidi="ar-SA"/>
        </w:rPr>
        <w:t xml:space="preserve"> </w:t>
      </w:r>
    </w:p>
    <w:p w14:paraId="26210B6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9.6.1 招标人应及时向承包人提供水土保持方案。 </w:t>
      </w:r>
    </w:p>
    <w:p w14:paraId="6725544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9.6.2 承包人在施工过程中，应遵守有关水土保持的法律法规和规章，履行合同约定的水土保持义务，并对其违反法律和合同约定义务所造成的水土流失灾害、人身伤害和财产</w:t>
      </w:r>
    </w:p>
    <w:p w14:paraId="2A3052B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9.6.3 承包人的水土保持措施计划，应满足技术标准和要求(合同技术条款)约定的要求。 </w:t>
      </w:r>
    </w:p>
    <w:p w14:paraId="6619FE7D">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9.7 文明工地 </w:t>
      </w:r>
    </w:p>
    <w:p w14:paraId="5E16AF7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9.7.1 招标人应按专用合同条款的约定，负责建立创建文明建设工地的组织机构，制定创建文明建设工地的规划和办法。 </w:t>
      </w:r>
    </w:p>
    <w:p w14:paraId="096CCED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9.7.2 承包人应按创建文明建设工地的规划和办法，履行职责，承担相应责任。所需费用应含在已标价工程量清单中。 </w:t>
      </w:r>
    </w:p>
    <w:p w14:paraId="216B7605">
      <w:pPr>
        <w:keepNext/>
        <w:widowControl w:val="0"/>
        <w:autoSpaceDE w:val="0"/>
        <w:autoSpaceDN w:val="0"/>
        <w:spacing w:line="440" w:lineRule="exact"/>
        <w:ind w:right="1"/>
        <w:rPr>
          <w:rFonts w:hint="eastAsia" w:ascii="宋体" w:hAnsi="宋体" w:eastAsia="宋体" w:cs="宋体"/>
          <w:color w:val="000000"/>
          <w:sz w:val="24"/>
          <w:szCs w:val="21"/>
          <w:highlight w:val="none"/>
          <w:lang w:val="en-US" w:eastAsia="zh-CN" w:bidi="ar-SA"/>
        </w:rPr>
      </w:pPr>
      <w:r>
        <w:rPr>
          <w:rFonts w:hint="eastAsia" w:ascii="宋体" w:hAnsi="宋体" w:eastAsia="宋体" w:cs="宋体"/>
          <w:b/>
          <w:color w:val="000000"/>
          <w:sz w:val="21"/>
          <w:szCs w:val="21"/>
          <w:highlight w:val="none"/>
          <w:lang w:val="en-US" w:eastAsia="zh-CN" w:bidi="ar-SA"/>
        </w:rPr>
        <w:t>9.8 防汛度汛</w:t>
      </w:r>
      <w:r>
        <w:rPr>
          <w:rFonts w:hint="eastAsia" w:ascii="宋体" w:hAnsi="宋体" w:eastAsia="宋体" w:cs="宋体"/>
          <w:color w:val="000000"/>
          <w:sz w:val="24"/>
          <w:szCs w:val="21"/>
          <w:highlight w:val="none"/>
          <w:lang w:val="en-US" w:eastAsia="zh-CN" w:bidi="ar-SA"/>
        </w:rPr>
        <w:t xml:space="preserve"> </w:t>
      </w:r>
    </w:p>
    <w:p w14:paraId="34A99A6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9.8.1 招标人负责组织工程参建单位编制本工程的度汛方案和措施。 </w:t>
      </w:r>
    </w:p>
    <w:p w14:paraId="771D08B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9.8.2 承包人应根据招标人编制的本工程度汛方案和措施，制定相应的度汛方案，报招标人批准后实施。</w:t>
      </w:r>
    </w:p>
    <w:p w14:paraId="0F5712FF">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70" w:name="_Toc194896790"/>
      <w:bookmarkStart w:id="171" w:name="_Toc266289990"/>
      <w:bookmarkStart w:id="172" w:name="_Toc264876654"/>
      <w:r>
        <w:rPr>
          <w:rFonts w:hint="eastAsia" w:ascii="宋体" w:hAnsi="宋体" w:eastAsia="宋体" w:cs="宋体"/>
          <w:b/>
          <w:color w:val="000000"/>
          <w:sz w:val="21"/>
          <w:szCs w:val="21"/>
          <w:highlight w:val="none"/>
          <w:lang w:val="en-US" w:eastAsia="zh-CN" w:bidi="ar-SA"/>
        </w:rPr>
        <w:t>10、进度计划</w:t>
      </w:r>
      <w:bookmarkEnd w:id="170"/>
      <w:bookmarkEnd w:id="171"/>
      <w:bookmarkEnd w:id="172"/>
    </w:p>
    <w:p w14:paraId="276381DE">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10.1 合同进度计划</w:t>
      </w:r>
    </w:p>
    <w:p w14:paraId="006BE78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28216C1E">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10.2 合同进度计划的修订</w:t>
      </w:r>
    </w:p>
    <w:p w14:paraId="6F0F2ED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不论何种原因造成工程的实际进度与第10. 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 </w:t>
      </w:r>
    </w:p>
    <w:p w14:paraId="013791E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论何种原因造成施工进度延修订合同进度计划的同时，编制一份赶工措施报告提交监理人审批。由于招标人原因迟，承包人均应按监理人的指示，采取有效措施赶上进度。承包人应在向监理人提交造成施工进度延迟，应按第11. 3款的约定办理；由于承包人原因造成施工进度延迟，应按第11.5款的约定办理。</w:t>
      </w:r>
    </w:p>
    <w:p w14:paraId="6D82C463">
      <w:pPr>
        <w:keepNext/>
        <w:widowControl w:val="0"/>
        <w:autoSpaceDE w:val="0"/>
        <w:autoSpaceDN w:val="0"/>
        <w:spacing w:line="440" w:lineRule="exact"/>
        <w:ind w:right="1"/>
        <w:rPr>
          <w:rFonts w:hint="eastAsia" w:ascii="宋体" w:hAnsi="宋体" w:eastAsia="宋体" w:cs="宋体"/>
          <w:color w:val="000000"/>
          <w:sz w:val="24"/>
          <w:szCs w:val="21"/>
          <w:highlight w:val="none"/>
          <w:lang w:val="en-US" w:eastAsia="zh-CN" w:bidi="ar-SA"/>
        </w:rPr>
      </w:pPr>
      <w:r>
        <w:rPr>
          <w:rFonts w:hint="eastAsia" w:ascii="宋体" w:hAnsi="宋体" w:eastAsia="宋体" w:cs="宋体"/>
          <w:b/>
          <w:color w:val="000000"/>
          <w:sz w:val="21"/>
          <w:szCs w:val="21"/>
          <w:highlight w:val="none"/>
          <w:lang w:val="en-US" w:eastAsia="zh-CN" w:bidi="ar-SA"/>
        </w:rPr>
        <w:t>10.3 单位工程进度计划</w:t>
      </w:r>
      <w:r>
        <w:rPr>
          <w:rFonts w:hint="eastAsia" w:ascii="宋体" w:hAnsi="宋体" w:eastAsia="宋体" w:cs="宋体"/>
          <w:color w:val="000000"/>
          <w:sz w:val="24"/>
          <w:szCs w:val="21"/>
          <w:highlight w:val="none"/>
          <w:lang w:val="en-US" w:eastAsia="zh-CN" w:bidi="ar-SA"/>
        </w:rPr>
        <w:t xml:space="preserve"> </w:t>
      </w:r>
    </w:p>
    <w:p w14:paraId="65FDEE5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监理人认为有必要时，承包人应按监理人指示的内容和期限，并根据合同进度计划的进度控制要求，编制单位工程进度计划，提交监理人审批。</w:t>
      </w:r>
    </w:p>
    <w:p w14:paraId="54A7E8AB">
      <w:pPr>
        <w:keepNext/>
        <w:widowControl w:val="0"/>
        <w:autoSpaceDE w:val="0"/>
        <w:autoSpaceDN w:val="0"/>
        <w:spacing w:line="440" w:lineRule="exact"/>
        <w:ind w:right="1"/>
        <w:rPr>
          <w:rFonts w:hint="eastAsia" w:ascii="宋体" w:hAnsi="宋体" w:eastAsia="宋体" w:cs="宋体"/>
          <w:color w:val="000000"/>
          <w:sz w:val="24"/>
          <w:szCs w:val="21"/>
          <w:highlight w:val="none"/>
          <w:lang w:val="en-US" w:eastAsia="zh-CN" w:bidi="ar-SA"/>
        </w:rPr>
      </w:pPr>
      <w:r>
        <w:rPr>
          <w:rFonts w:hint="eastAsia" w:ascii="宋体" w:hAnsi="宋体" w:eastAsia="宋体" w:cs="宋体"/>
          <w:b/>
          <w:color w:val="000000"/>
          <w:sz w:val="21"/>
          <w:szCs w:val="21"/>
          <w:highlight w:val="none"/>
          <w:lang w:val="en-US" w:eastAsia="zh-CN" w:bidi="ar-SA"/>
        </w:rPr>
        <w:t>10.4 提交资金流估算表</w:t>
      </w:r>
      <w:r>
        <w:rPr>
          <w:rFonts w:hint="eastAsia" w:ascii="宋体" w:hAnsi="宋体" w:eastAsia="宋体" w:cs="宋体"/>
          <w:color w:val="000000"/>
          <w:sz w:val="24"/>
          <w:szCs w:val="21"/>
          <w:highlight w:val="none"/>
          <w:lang w:val="en-US" w:eastAsia="zh-CN" w:bidi="ar-SA"/>
        </w:rPr>
        <w:t xml:space="preserve"> </w:t>
      </w:r>
    </w:p>
    <w:p w14:paraId="746A82CB">
      <w:pPr>
        <w:keepNext/>
        <w:spacing w:line="400" w:lineRule="exact"/>
        <w:ind w:firstLine="420" w:firstLineChars="200"/>
        <w:rPr>
          <w:rFonts w:hint="eastAsia" w:ascii="宋体" w:hAnsi="宋体" w:eastAsia="宋体" w:cs="宋体"/>
          <w:color w:val="000000"/>
          <w:sz w:val="24"/>
          <w:highlight w:val="none"/>
        </w:rPr>
      </w:pPr>
      <w:r>
        <w:rPr>
          <w:rFonts w:hint="eastAsia" w:ascii="宋体" w:hAnsi="宋体" w:eastAsia="宋体" w:cs="宋体"/>
          <w:color w:val="000000"/>
          <w:szCs w:val="21"/>
          <w:highlight w:val="none"/>
        </w:rPr>
        <w:t>承包人应在按第10.1款约定向监理人提交施工总进度计划的同时，按下表约定的格式，向监理人提交按月的资金流估算表。估算表应包括承包人计划可从招标人处得到的全部款额，以供招标人参考。此后，当监理人提出要求时，承包人应在监理人指定的期限内提交修订的资金流估算表。</w:t>
      </w:r>
      <w:r>
        <w:rPr>
          <w:rFonts w:hint="eastAsia" w:ascii="宋体" w:hAnsi="宋体" w:eastAsia="宋体" w:cs="宋体"/>
          <w:color w:val="000000"/>
          <w:sz w:val="24"/>
          <w:highlight w:val="none"/>
        </w:rPr>
        <w:t xml:space="preserve">                    </w:t>
      </w:r>
    </w:p>
    <w:p w14:paraId="2C4715AA">
      <w:pPr>
        <w:spacing w:line="500" w:lineRule="exact"/>
        <w:ind w:left="-359" w:leftChars="-171" w:right="-874" w:rightChars="-416"/>
        <w:jc w:val="center"/>
        <w:rPr>
          <w:rFonts w:hint="eastAsia" w:ascii="宋体" w:hAnsi="宋体" w:eastAsia="宋体" w:cs="宋体"/>
          <w:color w:val="000000"/>
          <w:szCs w:val="21"/>
          <w:highlight w:val="none"/>
        </w:rPr>
      </w:pPr>
      <w:r>
        <w:rPr>
          <w:rFonts w:hint="eastAsia" w:ascii="宋体" w:hAnsi="宋体" w:eastAsia="宋体" w:cs="宋体"/>
          <w:b/>
          <w:color w:val="000000"/>
          <w:sz w:val="24"/>
          <w:highlight w:val="none"/>
        </w:rPr>
        <w:t xml:space="preserve">                      </w:t>
      </w:r>
      <w:r>
        <w:rPr>
          <w:rFonts w:hint="eastAsia" w:ascii="宋体" w:hAnsi="宋体" w:eastAsia="宋体" w:cs="宋体"/>
          <w:b/>
          <w:color w:val="000000"/>
          <w:szCs w:val="21"/>
          <w:highlight w:val="none"/>
        </w:rPr>
        <w:t>资金流估算表（参考格式）</w:t>
      </w:r>
      <w:r>
        <w:rPr>
          <w:rFonts w:hint="eastAsia" w:ascii="宋体" w:hAnsi="宋体" w:eastAsia="宋体" w:cs="宋体"/>
          <w:color w:val="000000"/>
          <w:szCs w:val="21"/>
          <w:highlight w:val="none"/>
        </w:rPr>
        <w:t xml:space="preserve">                        金额单位</w:t>
      </w:r>
    </w:p>
    <w:tbl>
      <w:tblPr>
        <w:tblStyle w:val="33"/>
        <w:tblW w:w="0" w:type="auto"/>
        <w:jc w:val="center"/>
        <w:tblLayout w:type="fixed"/>
        <w:tblCellMar>
          <w:top w:w="0" w:type="dxa"/>
          <w:left w:w="0" w:type="dxa"/>
          <w:bottom w:w="0" w:type="dxa"/>
          <w:right w:w="0" w:type="dxa"/>
        </w:tblCellMar>
      </w:tblPr>
      <w:tblGrid>
        <w:gridCol w:w="1843"/>
        <w:gridCol w:w="1440"/>
        <w:gridCol w:w="1440"/>
        <w:gridCol w:w="1080"/>
        <w:gridCol w:w="1080"/>
        <w:gridCol w:w="720"/>
        <w:gridCol w:w="981"/>
        <w:gridCol w:w="993"/>
      </w:tblGrid>
      <w:tr w14:paraId="32F20629">
        <w:tblPrEx>
          <w:tblCellMar>
            <w:top w:w="0" w:type="dxa"/>
            <w:left w:w="0" w:type="dxa"/>
            <w:bottom w:w="0" w:type="dxa"/>
            <w:right w:w="0" w:type="dxa"/>
          </w:tblCellMar>
        </w:tblPrEx>
        <w:trPr>
          <w:trHeight w:val="1085" w:hRule="exac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7B2A89C6">
            <w:pPr>
              <w:keepNext w:val="0"/>
              <w:keepLines w:val="0"/>
              <w:suppressLineNumbers w:val="0"/>
              <w:spacing w:before="0" w:beforeAutospacing="0" w:after="0" w:afterAutospacing="0"/>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工程预付款</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0BD6D33">
            <w:pPr>
              <w:keepNext w:val="0"/>
              <w:keepLines w:val="0"/>
              <w:suppressLineNumbers w:val="0"/>
              <w:spacing w:before="0" w:beforeAutospacing="0" w:after="0" w:afterAutospacing="0"/>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完成工作</w:t>
            </w:r>
          </w:p>
          <w:p w14:paraId="3218D32E">
            <w:pPr>
              <w:keepNext w:val="0"/>
              <w:keepLines w:val="0"/>
              <w:suppressLineNumbers w:val="0"/>
              <w:spacing w:before="0" w:beforeAutospacing="0" w:after="0" w:afterAutospacing="0"/>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量付款</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322B719">
            <w:pPr>
              <w:keepNext w:val="0"/>
              <w:keepLines w:val="0"/>
              <w:suppressLineNumbers w:val="0"/>
              <w:spacing w:before="0" w:beforeAutospacing="0" w:after="0" w:afterAutospacing="0"/>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质量保证</w:t>
            </w:r>
          </w:p>
          <w:p w14:paraId="134A45C8">
            <w:pPr>
              <w:keepNext w:val="0"/>
              <w:keepLines w:val="0"/>
              <w:suppressLineNumbers w:val="0"/>
              <w:spacing w:before="0" w:beforeAutospacing="0" w:after="0" w:afterAutospacing="0"/>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金扣留</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337FCA">
            <w:pPr>
              <w:keepNext w:val="0"/>
              <w:keepLines w:val="0"/>
              <w:suppressLineNumbers w:val="0"/>
              <w:spacing w:before="0" w:beforeAutospacing="0" w:after="0" w:afterAutospacing="0"/>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材料款</w:t>
            </w:r>
          </w:p>
          <w:p w14:paraId="72989B4D">
            <w:pPr>
              <w:keepNext w:val="0"/>
              <w:keepLines w:val="0"/>
              <w:suppressLineNumbers w:val="0"/>
              <w:spacing w:before="0" w:beforeAutospacing="0" w:after="0" w:afterAutospacing="0"/>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扣除</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E1C038">
            <w:pPr>
              <w:keepNext w:val="0"/>
              <w:keepLines w:val="0"/>
              <w:suppressLineNumbers w:val="0"/>
              <w:spacing w:before="0" w:beforeAutospacing="0" w:after="0" w:afterAutospacing="0"/>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预付款</w:t>
            </w:r>
          </w:p>
          <w:p w14:paraId="739E8181">
            <w:pPr>
              <w:keepNext w:val="0"/>
              <w:keepLines w:val="0"/>
              <w:suppressLineNumbers w:val="0"/>
              <w:spacing w:before="0" w:beforeAutospacing="0" w:after="0" w:afterAutospacing="0"/>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扣还</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964EF53">
            <w:pPr>
              <w:keepNext w:val="0"/>
              <w:keepLines w:val="0"/>
              <w:suppressLineNumbers w:val="0"/>
              <w:spacing w:before="0" w:beforeAutospacing="0" w:after="0" w:afterAutospacing="0"/>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其它</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297DC97">
            <w:pPr>
              <w:keepNext w:val="0"/>
              <w:keepLines w:val="0"/>
              <w:suppressLineNumbers w:val="0"/>
              <w:spacing w:before="0" w:beforeAutospacing="0" w:after="0" w:afterAutospacing="0"/>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应收款</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242264D0">
            <w:pPr>
              <w:keepNext w:val="0"/>
              <w:keepLines w:val="0"/>
              <w:suppressLineNumbers w:val="0"/>
              <w:spacing w:before="0" w:beforeAutospacing="0" w:after="0" w:afterAutospacing="0"/>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累计应</w:t>
            </w:r>
          </w:p>
          <w:p w14:paraId="22AE6132">
            <w:pPr>
              <w:keepNext w:val="0"/>
              <w:keepLines w:val="0"/>
              <w:suppressLineNumbers w:val="0"/>
              <w:spacing w:before="0" w:beforeAutospacing="0" w:after="0" w:afterAutospacing="0"/>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收款</w:t>
            </w:r>
          </w:p>
        </w:tc>
      </w:tr>
      <w:tr w14:paraId="3C06C9ED">
        <w:tblPrEx>
          <w:tblCellMar>
            <w:top w:w="0" w:type="dxa"/>
            <w:left w:w="0" w:type="dxa"/>
            <w:bottom w:w="0" w:type="dxa"/>
            <w:right w:w="0" w:type="dxa"/>
          </w:tblCellMar>
        </w:tblPrEx>
        <w:trPr>
          <w:trHeight w:val="850" w:hRule="exac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05708122">
            <w:pPr>
              <w:keepNext w:val="0"/>
              <w:keepLines w:val="0"/>
              <w:suppressLineNumbers w:val="0"/>
              <w:spacing w:before="0" w:beforeAutospacing="0" w:after="0" w:afterAutospacing="0" w:line="500" w:lineRule="exact"/>
              <w:ind w:left="-359" w:leftChars="-171" w:right="-874" w:rightChars="-416"/>
              <w:jc w:val="center"/>
              <w:rPr>
                <w:rFonts w:hint="eastAsia" w:ascii="宋体" w:hAnsi="宋体" w:eastAsia="宋体" w:cs="宋体"/>
                <w:color w:val="00000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4C4B0E1">
            <w:pPr>
              <w:keepNext w:val="0"/>
              <w:keepLines w:val="0"/>
              <w:suppressLineNumbers w:val="0"/>
              <w:spacing w:before="0" w:beforeAutospacing="0" w:after="0" w:afterAutospacing="0" w:line="500" w:lineRule="exact"/>
              <w:ind w:left="-359" w:leftChars="-171" w:right="-874" w:rightChars="-416"/>
              <w:jc w:val="center"/>
              <w:rPr>
                <w:rFonts w:hint="eastAsia" w:ascii="宋体" w:hAnsi="宋体" w:eastAsia="宋体" w:cs="宋体"/>
                <w:color w:val="00000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78C5D39">
            <w:pPr>
              <w:keepNext w:val="0"/>
              <w:keepLines w:val="0"/>
              <w:suppressLineNumbers w:val="0"/>
              <w:spacing w:before="0" w:beforeAutospacing="0" w:after="0" w:afterAutospacing="0" w:line="500" w:lineRule="exact"/>
              <w:ind w:left="-359" w:leftChars="-171" w:right="-874" w:rightChars="-416"/>
              <w:jc w:val="center"/>
              <w:rPr>
                <w:rFonts w:hint="eastAsia" w:ascii="宋体" w:hAnsi="宋体" w:eastAsia="宋体" w:cs="宋体"/>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EB469B">
            <w:pPr>
              <w:keepNext w:val="0"/>
              <w:keepLines w:val="0"/>
              <w:suppressLineNumbers w:val="0"/>
              <w:spacing w:before="0" w:beforeAutospacing="0" w:after="0" w:afterAutospacing="0" w:line="500" w:lineRule="exact"/>
              <w:ind w:left="-359" w:leftChars="-171" w:right="-874" w:rightChars="-416"/>
              <w:jc w:val="center"/>
              <w:rPr>
                <w:rFonts w:hint="eastAsia" w:ascii="宋体" w:hAnsi="宋体" w:eastAsia="宋体" w:cs="宋体"/>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2782F1">
            <w:pPr>
              <w:keepNext w:val="0"/>
              <w:keepLines w:val="0"/>
              <w:suppressLineNumbers w:val="0"/>
              <w:spacing w:before="0" w:beforeAutospacing="0" w:after="0" w:afterAutospacing="0" w:line="500" w:lineRule="exact"/>
              <w:ind w:left="-359" w:leftChars="-171" w:right="-874" w:rightChars="-416"/>
              <w:jc w:val="center"/>
              <w:rPr>
                <w:rFonts w:hint="eastAsia" w:ascii="宋体" w:hAnsi="宋体" w:eastAsia="宋体" w:cs="宋体"/>
                <w:color w:val="00000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A5F5F41">
            <w:pPr>
              <w:keepNext w:val="0"/>
              <w:keepLines w:val="0"/>
              <w:suppressLineNumbers w:val="0"/>
              <w:spacing w:before="0" w:beforeAutospacing="0" w:after="0" w:afterAutospacing="0" w:line="500" w:lineRule="exact"/>
              <w:ind w:left="-359" w:leftChars="-171" w:right="-874" w:rightChars="-416"/>
              <w:jc w:val="center"/>
              <w:rPr>
                <w:rFonts w:hint="eastAsia" w:ascii="宋体" w:hAnsi="宋体" w:eastAsia="宋体" w:cs="宋体"/>
                <w:color w:val="000000"/>
                <w:szCs w:val="21"/>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6E510336">
            <w:pPr>
              <w:keepNext w:val="0"/>
              <w:keepLines w:val="0"/>
              <w:suppressLineNumbers w:val="0"/>
              <w:spacing w:before="0" w:beforeAutospacing="0" w:after="0" w:afterAutospacing="0" w:line="500" w:lineRule="exact"/>
              <w:ind w:left="-359" w:leftChars="-171" w:right="-874" w:rightChars="-416"/>
              <w:jc w:val="center"/>
              <w:rPr>
                <w:rFonts w:hint="eastAsia" w:ascii="宋体" w:hAnsi="宋体" w:eastAsia="宋体" w:cs="宋体"/>
                <w:color w:val="000000"/>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38365F0">
            <w:pPr>
              <w:keepNext w:val="0"/>
              <w:keepLines w:val="0"/>
              <w:suppressLineNumbers w:val="0"/>
              <w:spacing w:before="0" w:beforeAutospacing="0" w:after="0" w:afterAutospacing="0" w:line="500" w:lineRule="exact"/>
              <w:ind w:left="-359" w:leftChars="-171" w:right="-874" w:rightChars="-416"/>
              <w:jc w:val="center"/>
              <w:rPr>
                <w:rFonts w:hint="eastAsia" w:ascii="宋体" w:hAnsi="宋体" w:eastAsia="宋体" w:cs="宋体"/>
                <w:color w:val="000000"/>
                <w:szCs w:val="21"/>
                <w:highlight w:val="none"/>
              </w:rPr>
            </w:pPr>
          </w:p>
        </w:tc>
      </w:tr>
      <w:tr w14:paraId="6365F549">
        <w:tblPrEx>
          <w:tblCellMar>
            <w:top w:w="0" w:type="dxa"/>
            <w:left w:w="0" w:type="dxa"/>
            <w:bottom w:w="0" w:type="dxa"/>
            <w:right w:w="0" w:type="dxa"/>
          </w:tblCellMar>
        </w:tblPrEx>
        <w:trPr>
          <w:trHeight w:val="850" w:hRule="exac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003977FC">
            <w:pPr>
              <w:keepNext w:val="0"/>
              <w:keepLines w:val="0"/>
              <w:suppressLineNumbers w:val="0"/>
              <w:spacing w:before="0" w:beforeAutospacing="0" w:after="0" w:afterAutospacing="0" w:line="500" w:lineRule="exact"/>
              <w:ind w:left="-359" w:leftChars="-171" w:right="-874" w:rightChars="-416"/>
              <w:jc w:val="center"/>
              <w:rPr>
                <w:rFonts w:hint="eastAsia" w:ascii="宋体" w:hAnsi="宋体" w:eastAsia="宋体" w:cs="宋体"/>
                <w:color w:val="00000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2B98F6C">
            <w:pPr>
              <w:keepNext w:val="0"/>
              <w:keepLines w:val="0"/>
              <w:suppressLineNumbers w:val="0"/>
              <w:spacing w:before="0" w:beforeAutospacing="0" w:after="0" w:afterAutospacing="0" w:line="500" w:lineRule="exact"/>
              <w:ind w:left="-359" w:leftChars="-171" w:right="-874" w:rightChars="-416"/>
              <w:jc w:val="center"/>
              <w:rPr>
                <w:rFonts w:hint="eastAsia" w:ascii="宋体" w:hAnsi="宋体" w:eastAsia="宋体" w:cs="宋体"/>
                <w:color w:val="00000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9F9E0D3">
            <w:pPr>
              <w:keepNext w:val="0"/>
              <w:keepLines w:val="0"/>
              <w:suppressLineNumbers w:val="0"/>
              <w:spacing w:before="0" w:beforeAutospacing="0" w:after="0" w:afterAutospacing="0" w:line="500" w:lineRule="exact"/>
              <w:ind w:left="-359" w:leftChars="-171" w:right="-874" w:rightChars="-416"/>
              <w:jc w:val="center"/>
              <w:rPr>
                <w:rFonts w:hint="eastAsia" w:ascii="宋体" w:hAnsi="宋体" w:eastAsia="宋体" w:cs="宋体"/>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6A9B16">
            <w:pPr>
              <w:keepNext w:val="0"/>
              <w:keepLines w:val="0"/>
              <w:suppressLineNumbers w:val="0"/>
              <w:spacing w:before="0" w:beforeAutospacing="0" w:after="0" w:afterAutospacing="0" w:line="500" w:lineRule="exact"/>
              <w:ind w:left="-359" w:leftChars="-171" w:right="-874" w:rightChars="-416"/>
              <w:jc w:val="center"/>
              <w:rPr>
                <w:rFonts w:hint="eastAsia" w:ascii="宋体" w:hAnsi="宋体" w:eastAsia="宋体" w:cs="宋体"/>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86E6E3">
            <w:pPr>
              <w:keepNext w:val="0"/>
              <w:keepLines w:val="0"/>
              <w:suppressLineNumbers w:val="0"/>
              <w:spacing w:before="0" w:beforeAutospacing="0" w:after="0" w:afterAutospacing="0" w:line="500" w:lineRule="exact"/>
              <w:ind w:left="-359" w:leftChars="-171" w:right="-874" w:rightChars="-416"/>
              <w:jc w:val="center"/>
              <w:rPr>
                <w:rFonts w:hint="eastAsia" w:ascii="宋体" w:hAnsi="宋体" w:eastAsia="宋体" w:cs="宋体"/>
                <w:color w:val="00000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8EFE58A">
            <w:pPr>
              <w:keepNext w:val="0"/>
              <w:keepLines w:val="0"/>
              <w:suppressLineNumbers w:val="0"/>
              <w:spacing w:before="0" w:beforeAutospacing="0" w:after="0" w:afterAutospacing="0" w:line="500" w:lineRule="exact"/>
              <w:ind w:left="-359" w:leftChars="-171" w:right="-874" w:rightChars="-416"/>
              <w:jc w:val="center"/>
              <w:rPr>
                <w:rFonts w:hint="eastAsia" w:ascii="宋体" w:hAnsi="宋体" w:eastAsia="宋体" w:cs="宋体"/>
                <w:color w:val="000000"/>
                <w:szCs w:val="21"/>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1AA7758C">
            <w:pPr>
              <w:keepNext w:val="0"/>
              <w:keepLines w:val="0"/>
              <w:suppressLineNumbers w:val="0"/>
              <w:spacing w:before="0" w:beforeAutospacing="0" w:after="0" w:afterAutospacing="0" w:line="500" w:lineRule="exact"/>
              <w:ind w:left="-359" w:leftChars="-171" w:right="-874" w:rightChars="-416"/>
              <w:jc w:val="center"/>
              <w:rPr>
                <w:rFonts w:hint="eastAsia" w:ascii="宋体" w:hAnsi="宋体" w:eastAsia="宋体" w:cs="宋体"/>
                <w:color w:val="000000"/>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0639665A">
            <w:pPr>
              <w:keepNext w:val="0"/>
              <w:keepLines w:val="0"/>
              <w:suppressLineNumbers w:val="0"/>
              <w:spacing w:before="0" w:beforeAutospacing="0" w:after="0" w:afterAutospacing="0" w:line="500" w:lineRule="exact"/>
              <w:ind w:left="-359" w:leftChars="-171" w:right="-874" w:rightChars="-416"/>
              <w:jc w:val="center"/>
              <w:rPr>
                <w:rFonts w:hint="eastAsia" w:ascii="宋体" w:hAnsi="宋体" w:eastAsia="宋体" w:cs="宋体"/>
                <w:color w:val="000000"/>
                <w:szCs w:val="21"/>
                <w:highlight w:val="none"/>
              </w:rPr>
            </w:pPr>
          </w:p>
        </w:tc>
      </w:tr>
    </w:tbl>
    <w:p w14:paraId="782B34AF">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73" w:name="_Toc194896791"/>
      <w:bookmarkStart w:id="174" w:name="_Toc266289991"/>
      <w:bookmarkStart w:id="175" w:name="_Toc264876655"/>
      <w:r>
        <w:rPr>
          <w:rFonts w:hint="eastAsia" w:ascii="宋体" w:hAnsi="宋体" w:eastAsia="宋体" w:cs="宋体"/>
          <w:b/>
          <w:color w:val="000000"/>
          <w:sz w:val="21"/>
          <w:szCs w:val="21"/>
          <w:highlight w:val="none"/>
          <w:lang w:val="en-US" w:eastAsia="zh-CN" w:bidi="ar-SA"/>
        </w:rPr>
        <w:t>11、开工和竣工</w:t>
      </w:r>
      <w:bookmarkEnd w:id="173"/>
      <w:r>
        <w:rPr>
          <w:rFonts w:hint="eastAsia" w:ascii="宋体" w:hAnsi="宋体" w:eastAsia="宋体" w:cs="宋体"/>
          <w:b/>
          <w:color w:val="000000"/>
          <w:sz w:val="21"/>
          <w:szCs w:val="21"/>
          <w:highlight w:val="none"/>
          <w:lang w:val="en-US" w:eastAsia="zh-CN" w:bidi="ar-SA"/>
        </w:rPr>
        <w:t>（完工）</w:t>
      </w:r>
      <w:bookmarkEnd w:id="174"/>
      <w:bookmarkEnd w:id="175"/>
    </w:p>
    <w:p w14:paraId="576E5694">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11.1 开工</w:t>
      </w:r>
    </w:p>
    <w:p w14:paraId="2BB996F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11.1.1 监理人应在开工日期7天前向承包人发出开工通知。监理人在发出开工通知前应获得招标人同意。工期自监理人发出的开工通知中载明的开工日期起计算。承包人应在开工日期后尽快施工。</w:t>
      </w:r>
    </w:p>
    <w:p w14:paraId="5BEB088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163F324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11.1.3 若招标人未能按合同约定向承包人提供开工的必要条件，承包人有权要求延长工期。监理人应在收到承包人的书面要求后，按第3.5款的约定，与合同双方商定或确定增加的费用和延长的工期。 </w:t>
      </w:r>
    </w:p>
    <w:p w14:paraId="6E93BD4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0294887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11.2 竣工（完工）</w:t>
      </w:r>
    </w:p>
    <w:p w14:paraId="4C50744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承包人应在第1.1.4.3目约定的期限内完成合同工程。合同工程实际完工日期在合同工程完工证书中明确。</w:t>
      </w:r>
    </w:p>
    <w:p w14:paraId="039201B3">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11.3 招标人的工期延误</w:t>
      </w:r>
    </w:p>
    <w:p w14:paraId="78EAB58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在履行合同过程中，由于招标人的下列原因造成工期延误的，承包人有权要求招标人延长工期和（或）增加费用，并支付合理利润。需要修订合同进度计划的，按照第10.2款的约定办理。</w:t>
      </w:r>
    </w:p>
    <w:p w14:paraId="7948CE0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（l）增加合同工作内容；</w:t>
      </w:r>
    </w:p>
    <w:p w14:paraId="53B01E9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（2）改变合同中任何一项工作的质量要求或其他特性；</w:t>
      </w:r>
    </w:p>
    <w:p w14:paraId="7CA04B5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（3）招标人迟延提供材料、工程设备或变更交货地点的；</w:t>
      </w:r>
    </w:p>
    <w:p w14:paraId="6BC4BF0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（4）因招标人原因导致的暂停施工；</w:t>
      </w:r>
    </w:p>
    <w:p w14:paraId="29A9679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（5）提供图纸延误；</w:t>
      </w:r>
    </w:p>
    <w:p w14:paraId="2BB8543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（6）未按合同约定及时支付预付款、进度款；</w:t>
      </w:r>
    </w:p>
    <w:p w14:paraId="7BC25DC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（7）招标人造成工期延误的其他原因。</w:t>
      </w:r>
    </w:p>
    <w:p w14:paraId="6DCC8EC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11.4 异常恶劣的气候条件</w:t>
      </w:r>
    </w:p>
    <w:p w14:paraId="7DE3593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11.4.1 当工程所在地发生危及施工安全的异常恶劣气候时，招标人和承包人应按本合同通用合同条款第12条的约定，及时采取暂停施工或部分暂停施工措施。异常恶劣气候条件解除后，承包人应及时安排复工。 </w:t>
      </w:r>
    </w:p>
    <w:p w14:paraId="0A435DD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11.4.2 异常恶劣气候条件造成的工期延误和工程损坏，应由招标人与承包人参照本合同通用合同条款第21.3款的约定协商处理。 </w:t>
      </w:r>
    </w:p>
    <w:p w14:paraId="7DECAA0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11.4.3 本合同工程界定异常恶劣气候条件的范围在专用合同条款中约定。</w:t>
      </w:r>
    </w:p>
    <w:p w14:paraId="131EFBC1">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11.5 承包人的工期延误</w:t>
      </w:r>
    </w:p>
    <w:p w14:paraId="712DD23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4535193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11.6 工期提前</w:t>
      </w:r>
    </w:p>
    <w:p w14:paraId="4EF02AC7">
      <w:pPr>
        <w:keepNext/>
        <w:spacing w:line="400" w:lineRule="exact"/>
        <w:ind w:firstLine="420" w:firstLineChars="200"/>
        <w:rPr>
          <w:rFonts w:hint="eastAsia" w:ascii="宋体" w:hAnsi="宋体" w:eastAsia="宋体" w:cs="宋体"/>
          <w:color w:val="000000"/>
          <w:szCs w:val="21"/>
          <w:highlight w:val="none"/>
        </w:rPr>
      </w:pPr>
      <w:bookmarkStart w:id="176" w:name="_Toc194896792"/>
      <w:r>
        <w:rPr>
          <w:rFonts w:hint="eastAsia" w:ascii="宋体" w:hAnsi="宋体" w:eastAsia="宋体" w:cs="宋体"/>
          <w:color w:val="000000"/>
          <w:szCs w:val="21"/>
          <w:highlight w:val="none"/>
        </w:rPr>
        <w:t xml:space="preserve">招标人要求承包人提前完工，或承包人提出提前完工的建议能够给招标人带来效益的，应由监理人与承包人共同协商采取加快工程进度的措施和修订合同进度计划。招标人应承担承包人由此增加的费用，并向承包人支付专用合同条款约定的相应奖金。 </w:t>
      </w:r>
    </w:p>
    <w:p w14:paraId="6901AD2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招标人要求提前完工的，双方协商一致后应签订提前完工协议，协议内容包括: </w:t>
      </w:r>
    </w:p>
    <w:p w14:paraId="42E27C2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(1)提前的时间和修订后的进度计划； </w:t>
      </w:r>
    </w:p>
    <w:p w14:paraId="7CAFCF9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(2)承包人的赶工措施； </w:t>
      </w:r>
    </w:p>
    <w:p w14:paraId="126A480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(3)招标人为赶工提供的条件； </w:t>
      </w:r>
    </w:p>
    <w:p w14:paraId="323B53D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(4)赶工费用(包括利润和奖金)。</w:t>
      </w:r>
    </w:p>
    <w:p w14:paraId="36AD1288">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77" w:name="_Toc264876656"/>
      <w:bookmarkStart w:id="178" w:name="_Toc266289992"/>
      <w:r>
        <w:rPr>
          <w:rFonts w:hint="eastAsia" w:ascii="宋体" w:hAnsi="宋体" w:eastAsia="宋体" w:cs="宋体"/>
          <w:b/>
          <w:color w:val="000000"/>
          <w:sz w:val="21"/>
          <w:szCs w:val="21"/>
          <w:highlight w:val="none"/>
          <w:lang w:val="en-US" w:eastAsia="zh-CN" w:bidi="ar-SA"/>
        </w:rPr>
        <w:t>12、暂停施工</w:t>
      </w:r>
      <w:bookmarkEnd w:id="176"/>
      <w:bookmarkEnd w:id="177"/>
      <w:bookmarkEnd w:id="178"/>
    </w:p>
    <w:p w14:paraId="7BEA70C0">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12.1 承包人暂停施工的责任</w:t>
      </w:r>
    </w:p>
    <w:p w14:paraId="54FEB58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因下列暂停施工增加的费用和（或）工期延误由承包人承担：</w:t>
      </w:r>
    </w:p>
    <w:p w14:paraId="27DC165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（1）承包人违约引起的暂停施工；</w:t>
      </w:r>
    </w:p>
    <w:p w14:paraId="5AD54E6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（2）由于承包人原因为工程合理施工和安全保障所必需的暂停施工；</w:t>
      </w:r>
    </w:p>
    <w:p w14:paraId="23960C8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（3）承包人擅自暂停施工；</w:t>
      </w:r>
    </w:p>
    <w:p w14:paraId="156436F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（4）承包人其他原因引起的暂停施工；</w:t>
      </w:r>
    </w:p>
    <w:p w14:paraId="6101CF0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（5）专用合同条款约定由承包人承担的其他暂停施工。</w:t>
      </w:r>
    </w:p>
    <w:p w14:paraId="1FEF5651">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12.2 招标人暂停施工的责任</w:t>
      </w:r>
    </w:p>
    <w:p w14:paraId="6C4D177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由于招标人原因引起的暂停施工造成工期延误的，承包人有权要求招标人延长工期和(或)增加费用，并支付合理利润。 </w:t>
      </w:r>
    </w:p>
    <w:p w14:paraId="5C17CC7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属于下列任何一种情况引起的暂停施工，均为招标人的责任： </w:t>
      </w:r>
    </w:p>
    <w:p w14:paraId="57D2D33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(1)由于招标人违约引起的暂停施工；</w:t>
      </w:r>
    </w:p>
    <w:p w14:paraId="6B0514A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(2)由于不可抗力的自然或社会因素引起的暂停施工； </w:t>
      </w:r>
    </w:p>
    <w:p w14:paraId="0C1CFB2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(3)专用合同条款中约定的其它由于招标人原因引起的暂停施工。</w:t>
      </w:r>
    </w:p>
    <w:p w14:paraId="7F8350A7">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12.3 监理人暂停施工指示</w:t>
      </w:r>
    </w:p>
    <w:p w14:paraId="209E012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4DE03E1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12.3.2 由于招标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086090B">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12.4 暂停施工后的复工</w:t>
      </w:r>
    </w:p>
    <w:p w14:paraId="7226674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12.4.1 暂停施工后，监理人应与招标人和承包人协商，采取有效措施积极消除暂停施工的影响。当工程具备复工条件时，监理人应立即向承包人发出复工通知。承包人收到复工通知后，应在监理人指定的期限内复工。</w:t>
      </w:r>
    </w:p>
    <w:p w14:paraId="694AF45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12.4.2 承包人无故拖延和拒绝复工的，由此增加的费用和工期延误由承包人承担；因招标人原因无法按时复工的，承包人有权要求招标人延长工期和（或）增加费用，并支付合理利润。</w:t>
      </w:r>
    </w:p>
    <w:p w14:paraId="40A3CDB4">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12.5 暂停施工持续56 天以上</w:t>
      </w:r>
    </w:p>
    <w:p w14:paraId="07298C2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招标人违约，应按第22.2款的规定办理。</w:t>
      </w:r>
    </w:p>
    <w:p w14:paraId="4184E60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12.5.2 由于承包人责任引起的暂停施工，如承包人在收到监理人暂停施工指示后56天内不认真采取有效的复工措施，造成工期延误，可视为承包人违约，应按第22.1款的规定办理。</w:t>
      </w:r>
    </w:p>
    <w:p w14:paraId="0613E0BE">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79" w:name="_Toc264876657"/>
      <w:bookmarkStart w:id="180" w:name="_Toc266289993"/>
      <w:bookmarkStart w:id="181" w:name="_Toc194896793"/>
      <w:r>
        <w:rPr>
          <w:rFonts w:hint="eastAsia" w:ascii="宋体" w:hAnsi="宋体" w:eastAsia="宋体" w:cs="宋体"/>
          <w:b/>
          <w:color w:val="000000"/>
          <w:sz w:val="21"/>
          <w:szCs w:val="21"/>
          <w:highlight w:val="none"/>
          <w:lang w:val="en-US" w:eastAsia="zh-CN" w:bidi="ar-SA"/>
        </w:rPr>
        <w:t>13、工程质量</w:t>
      </w:r>
      <w:bookmarkEnd w:id="179"/>
      <w:bookmarkEnd w:id="180"/>
      <w:bookmarkEnd w:id="181"/>
    </w:p>
    <w:p w14:paraId="7DF29256">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13.1 工程质量要求</w:t>
      </w:r>
    </w:p>
    <w:p w14:paraId="662E904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13.1.1 工程质量验收按合同约定验收标准执行。</w:t>
      </w:r>
    </w:p>
    <w:p w14:paraId="4DE7AC2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13.1.2 因承包人原因造成工程质量达不到合同约定验收标准的，监理人有权要求承包人返工直至符合合同要求为止，由此造成的费用增加和（或）工期延误由承包人承担。</w:t>
      </w:r>
    </w:p>
    <w:p w14:paraId="14BCECA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13.1.3 因招标人原因造成工程质量达不到合同约定验收标准的，招标人应承担由于承包人返工造成的费用增加和（或）工期延误，并支付承包人合理利润。</w:t>
      </w:r>
    </w:p>
    <w:p w14:paraId="15C66D11">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13.2 承包人的质量管理</w:t>
      </w:r>
    </w:p>
    <w:p w14:paraId="3FCF896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13.2.1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 约定的期限内批复承包人。</w:t>
      </w:r>
    </w:p>
    <w:p w14:paraId="7715203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13.2.2 承包人应加强对施工人员的质量教育和技术培训，定期考核施工人员的劳动技能，严格执行规范和操作规程。</w:t>
      </w:r>
    </w:p>
    <w:p w14:paraId="0520725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13.3 承包人的质量检查</w:t>
      </w:r>
    </w:p>
    <w:p w14:paraId="50477B1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承包人应按合同约定对材料、工程设备以及工程的所有部位及其施工工艺进行全过程的质量检查和检验，并作详细记录，编制工程质量报表，报送监理人审查。</w:t>
      </w:r>
    </w:p>
    <w:p w14:paraId="1AF8D2A9">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13.4 监理人的质量检查</w:t>
      </w:r>
    </w:p>
    <w:p w14:paraId="72B4A03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36EFE3B8">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13.5 工程隐蔽部位覆盖前的检查</w:t>
      </w:r>
    </w:p>
    <w:p w14:paraId="2EDAB0E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13.5.1 通知监理人检查</w:t>
      </w:r>
    </w:p>
    <w:p w14:paraId="244B67D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410DDE4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13.5.2 监理人未到场检查</w:t>
      </w:r>
    </w:p>
    <w:p w14:paraId="06AAB28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监理人未按第13.5.l项约定的时间进行检查的，除监理人另有指示外，承包人可自行完成覆盖工作，并作相应记录报送监理人，监理人应签字确认。监理人事后对检查记录有疑问的，可按第13.5.3项的约定重新检查。</w:t>
      </w:r>
    </w:p>
    <w:p w14:paraId="3B9C7D9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13.5.3 监理人重新检查</w:t>
      </w:r>
    </w:p>
    <w:p w14:paraId="79DBDAF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招标人承担由此增加的费用和（或）工期延误，并支付承包人合理利润；经检验证明工程质量不符合合同要求的，由此增加的费用和（或）工期延误由承包人承担。</w:t>
      </w:r>
    </w:p>
    <w:p w14:paraId="573C6A5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13.5.4 承包人私自覆盖</w:t>
      </w:r>
    </w:p>
    <w:p w14:paraId="215E83B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承包人未通知监理人到场检查，私自将工程隐蔽部位覆盖的，监理人有权指示承包人钻孔探测或揭开检查，由此增加的费用和（或）工期延误由承包人承担。</w:t>
      </w:r>
    </w:p>
    <w:p w14:paraId="243A5E83">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13.6 清除不合格工程</w:t>
      </w:r>
    </w:p>
    <w:p w14:paraId="53A2C01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1EE16F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13.6.2 由于招标人提供的材料或工程设备不合格造成的工程不合格，需要承包人采取措施补救的，招标人应承担由此增加的费用和（或）工期延误，并支付承包人合理利润。</w:t>
      </w:r>
    </w:p>
    <w:p w14:paraId="0361F0FF">
      <w:pPr>
        <w:keepNext/>
        <w:widowControl w:val="0"/>
        <w:autoSpaceDE w:val="0"/>
        <w:autoSpaceDN w:val="0"/>
        <w:spacing w:line="440" w:lineRule="exact"/>
        <w:ind w:right="1"/>
        <w:rPr>
          <w:rFonts w:hint="eastAsia" w:ascii="宋体" w:hAnsi="宋体" w:eastAsia="宋体" w:cs="宋体"/>
          <w:color w:val="000000"/>
          <w:sz w:val="24"/>
          <w:szCs w:val="21"/>
          <w:highlight w:val="none"/>
          <w:lang w:val="en-US" w:eastAsia="zh-CN" w:bidi="ar-SA"/>
        </w:rPr>
      </w:pPr>
      <w:r>
        <w:rPr>
          <w:rFonts w:hint="eastAsia" w:ascii="宋体" w:hAnsi="宋体" w:eastAsia="宋体" w:cs="宋体"/>
          <w:b/>
          <w:color w:val="000000"/>
          <w:sz w:val="21"/>
          <w:szCs w:val="21"/>
          <w:highlight w:val="none"/>
          <w:lang w:val="en-US" w:eastAsia="zh-CN" w:bidi="ar-SA"/>
        </w:rPr>
        <w:t>13.7 质量评定</w:t>
      </w:r>
      <w:r>
        <w:rPr>
          <w:rFonts w:hint="eastAsia" w:ascii="宋体" w:hAnsi="宋体" w:eastAsia="宋体" w:cs="宋体"/>
          <w:color w:val="000000"/>
          <w:sz w:val="24"/>
          <w:szCs w:val="21"/>
          <w:highlight w:val="none"/>
          <w:lang w:val="en-US" w:eastAsia="zh-CN" w:bidi="ar-SA"/>
        </w:rPr>
        <w:t xml:space="preserve"> </w:t>
      </w:r>
    </w:p>
    <w:p w14:paraId="0C71747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13.7.1 招标人应组织承包人进行工程项目划分，并确定单位工程、主要分部工程、重要隐蔽单元工程和关键部位单元工程。 </w:t>
      </w:r>
    </w:p>
    <w:p w14:paraId="54CCE75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13.7.2 工程实施过程中，单位工程、主要分部工程、重要隐蔽单元工程和关键部位单元工程的项目划分需要调整时，承包人应报招标人确认。 </w:t>
      </w:r>
    </w:p>
    <w:p w14:paraId="3202AB7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13.7.3 承包人应在单元(工序)工程质量自评合格后，报监理人核定质量等级并签证认可。</w:t>
      </w:r>
    </w:p>
    <w:p w14:paraId="17A6F8C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13.7.4 除专用合同条款另有约定外，承包人应在重要隐蔽单元工程和关键部位单元工程质量自评合格以及监理人抽检后，由监理人组织承包人等单位组成的联合小组，共同检查核定其质量等级并填写签证表。招标人按有关规定完成质量结论报工程质量监督机构核备手续。 </w:t>
      </w:r>
    </w:p>
    <w:p w14:paraId="58896AF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13.7.5 承包人应在分部工程质量自评合格后，报监理人复核和招标人认定。招标人负责按有关规定完成分部工程质量结论报工程质量监督机构核备(核定)手续。 </w:t>
      </w:r>
    </w:p>
    <w:p w14:paraId="3EFEE61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13.7.6 承包人应在单位工程质量自评合格后，报监理人复核和招标人认定。招标人负责按有关规定完成单位工程质量结论报工程质量监督机构核定手续。 </w:t>
      </w:r>
    </w:p>
    <w:p w14:paraId="4FF9EB8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13.7.7 除专用合同条款另有约定外，工程质量等级分为合格和优良，应分别达到约定的标准。 </w:t>
      </w:r>
    </w:p>
    <w:p w14:paraId="1486B20C">
      <w:pPr>
        <w:keepNext/>
        <w:widowControl w:val="0"/>
        <w:autoSpaceDE w:val="0"/>
        <w:autoSpaceDN w:val="0"/>
        <w:spacing w:line="440" w:lineRule="exact"/>
        <w:ind w:right="1"/>
        <w:rPr>
          <w:rFonts w:hint="eastAsia" w:ascii="宋体" w:hAnsi="宋体" w:eastAsia="宋体" w:cs="宋体"/>
          <w:color w:val="000000"/>
          <w:sz w:val="24"/>
          <w:szCs w:val="21"/>
          <w:highlight w:val="none"/>
          <w:lang w:val="en-US" w:eastAsia="zh-CN" w:bidi="ar-SA"/>
        </w:rPr>
      </w:pPr>
      <w:r>
        <w:rPr>
          <w:rFonts w:hint="eastAsia" w:ascii="宋体" w:hAnsi="宋体" w:eastAsia="宋体" w:cs="宋体"/>
          <w:b/>
          <w:color w:val="000000"/>
          <w:sz w:val="21"/>
          <w:szCs w:val="21"/>
          <w:highlight w:val="none"/>
          <w:lang w:val="en-US" w:eastAsia="zh-CN" w:bidi="ar-SA"/>
        </w:rPr>
        <w:t>13.8质量事故处理</w:t>
      </w:r>
      <w:r>
        <w:rPr>
          <w:rFonts w:hint="eastAsia" w:ascii="宋体" w:hAnsi="宋体" w:eastAsia="宋体" w:cs="宋体"/>
          <w:color w:val="000000"/>
          <w:sz w:val="24"/>
          <w:szCs w:val="21"/>
          <w:highlight w:val="none"/>
          <w:lang w:val="en-US" w:eastAsia="zh-CN" w:bidi="ar-SA"/>
        </w:rPr>
        <w:t xml:space="preserve"> </w:t>
      </w:r>
    </w:p>
    <w:p w14:paraId="34449F8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13.8.1 发生质量事故时，承包人应及时向招标人和监理人报告。 </w:t>
      </w:r>
    </w:p>
    <w:p w14:paraId="40A6CFE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13.8.2 质量事故调查处理由招标人按相关规定履行手续，承包人应配合。 </w:t>
      </w:r>
    </w:p>
    <w:p w14:paraId="61723F0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13.8.3 承包人应对质量缺陷进行备案。招标人委托监理人对质量缺陷备案情况进行监督检查并履行相关于续。 </w:t>
      </w:r>
    </w:p>
    <w:p w14:paraId="3C6ABEE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13.8.4 除专用合同条款另有约定外，工程竣工验收时，招标人负责向竣工验收委员会 汇报并提交历次质量缺陷处理的备案资料。</w:t>
      </w:r>
    </w:p>
    <w:p w14:paraId="654BDDEA">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82" w:name="_Toc264876658"/>
      <w:bookmarkStart w:id="183" w:name="_Toc194896794"/>
      <w:bookmarkStart w:id="184" w:name="_Toc266289994"/>
      <w:r>
        <w:rPr>
          <w:rFonts w:hint="eastAsia" w:ascii="宋体" w:hAnsi="宋体" w:eastAsia="宋体" w:cs="宋体"/>
          <w:b/>
          <w:color w:val="000000"/>
          <w:sz w:val="21"/>
          <w:szCs w:val="21"/>
          <w:highlight w:val="none"/>
          <w:lang w:val="en-US" w:eastAsia="zh-CN" w:bidi="ar-SA"/>
        </w:rPr>
        <w:t>14、试验和检验</w:t>
      </w:r>
      <w:bookmarkEnd w:id="182"/>
      <w:bookmarkEnd w:id="183"/>
      <w:bookmarkEnd w:id="184"/>
    </w:p>
    <w:p w14:paraId="2FD282CE">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14.1 材料、工程设备和工程的试验和检验</w:t>
      </w:r>
    </w:p>
    <w:p w14:paraId="7AD5488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829D30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14.1.2 监理人未按合同约定派员参加试验和检验的，除监理人另有指示外，承包人可自行试验和检验，并应立即将试验和检验结果报送监理人，监理人应签字确认。</w:t>
      </w:r>
    </w:p>
    <w:p w14:paraId="1196A81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招标人承担由此增加的费用和（或）工期延误，并支付承包人合理利润。</w:t>
      </w:r>
    </w:p>
    <w:p w14:paraId="14E00F4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14.1.4 承包人应按相关规定和标准对水泥、钢材等原材料与中间产品质量进行检验，并报监理人复核。 </w:t>
      </w:r>
    </w:p>
    <w:p w14:paraId="006049B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14.1.5 除专用合同条款另有约定外，水工金属结构、启闭机及机电产品进场后，监理人组织招标人按合同进行交货检查和验收。安装前，承包人应检查产品是否有出厂合格证、设备安装说明书及有关技术文件，对在运输和存放过程中发生的变形、受潮、损坏等问题应作好记录，并进行妥善处理。 </w:t>
      </w:r>
    </w:p>
    <w:p w14:paraId="3243326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14.1.6 对专用合同条款约定的试块、试件及有关材料，监理人实行见证取样。见证取样资料由承包人制备，记录应真实齐全，监理人、承包人等参与见证取样人员均应在相关文件上签字。</w:t>
      </w:r>
    </w:p>
    <w:p w14:paraId="21920636">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14.2 现场材料试验</w:t>
      </w:r>
    </w:p>
    <w:p w14:paraId="16D2544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14.2.1 承包人根据合同约定或监理人指示进行的现场材料试验，应由承包人提供试验场所、试验人员、试验设备器材以及其他必要的试验条件。</w:t>
      </w:r>
    </w:p>
    <w:p w14:paraId="29445DA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14.2.2 监理人在必要时可以使用承包人的试验场所、试验设备器材以及其他试验条件，进行以工程质量检查为目的的复核性材料试验，承包人应予以协助。</w:t>
      </w:r>
    </w:p>
    <w:p w14:paraId="3978E26B">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14.3 现场工艺试验</w:t>
      </w:r>
    </w:p>
    <w:p w14:paraId="4428443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7FF3F0D0">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85" w:name="_Toc194896795"/>
      <w:bookmarkStart w:id="186" w:name="_Toc266289995"/>
      <w:bookmarkStart w:id="187" w:name="_Toc264876659"/>
      <w:r>
        <w:rPr>
          <w:rFonts w:hint="eastAsia" w:ascii="宋体" w:hAnsi="宋体" w:eastAsia="宋体" w:cs="宋体"/>
          <w:b/>
          <w:color w:val="000000"/>
          <w:sz w:val="21"/>
          <w:szCs w:val="21"/>
          <w:highlight w:val="none"/>
          <w:lang w:val="en-US" w:eastAsia="zh-CN" w:bidi="ar-SA"/>
        </w:rPr>
        <w:t>15、变更</w:t>
      </w:r>
      <w:bookmarkEnd w:id="185"/>
      <w:bookmarkEnd w:id="186"/>
      <w:bookmarkEnd w:id="187"/>
    </w:p>
    <w:p w14:paraId="67A25806">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15.1 变更的范围和内容</w:t>
      </w:r>
    </w:p>
    <w:p w14:paraId="4835792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除专用合同条款另有约定外，在履行合同中发生以下情形之一，应按照本条规定进行变更。</w:t>
      </w:r>
    </w:p>
    <w:p w14:paraId="13628E8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（1）取消合同中任何一项工作，但被取消的工作不能转由招标人或其他人实施；</w:t>
      </w:r>
    </w:p>
    <w:p w14:paraId="427615D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（2）改变合同中任何一项工作的质量或其他特性；</w:t>
      </w:r>
    </w:p>
    <w:p w14:paraId="4BAB4CB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（3）改变合同工程的基线、标高、位置或尺寸；</w:t>
      </w:r>
    </w:p>
    <w:p w14:paraId="5A4DD30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（4）改变合同中任何一项工作的施工时间或改变已批准的施工工艺或顺序；</w:t>
      </w:r>
    </w:p>
    <w:p w14:paraId="5C8A963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（5）为完成工程需要追加的额外工作。</w:t>
      </w:r>
    </w:p>
    <w:p w14:paraId="2FD333F9">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15.2 变更权</w:t>
      </w:r>
    </w:p>
    <w:p w14:paraId="26E6959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在履行合同中发生以下情形之一，应按照本款规定进行变更。 </w:t>
      </w:r>
    </w:p>
    <w:p w14:paraId="4C5C262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(1)取消合同中任何一项工作，但被取消的工作不能转由招标人或其它人实施；(2)改变合同中任何一项工作的质量或其它特性； </w:t>
      </w:r>
    </w:p>
    <w:p w14:paraId="711A0CE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(3)改变合同工程的基线、标高、位置或尺寸； </w:t>
      </w:r>
    </w:p>
    <w:p w14:paraId="4BB811E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(4)改变合同中任何一项工作的施工时间或改变已批准的施工工艺或顺序； </w:t>
      </w:r>
    </w:p>
    <w:p w14:paraId="75643C1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(5)为完成工程需要追加的额外工作；</w:t>
      </w:r>
    </w:p>
    <w:p w14:paraId="65D9FEA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(6)增加或减少专用合同条款中约定的关键项目工程量超过其工程总量的一定数量百分比。 </w:t>
      </w:r>
    </w:p>
    <w:p w14:paraId="042CE6B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上述第(1)～(6)目的变更内容引起工程施工组织和进度计划发生实质性变动和影响其原定的价格时，才予调整该项目的单价。第(6)目情形下单价调整方式在专用合同条款中约定。</w:t>
      </w:r>
    </w:p>
    <w:p w14:paraId="7667D42A">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15.3 变更程序</w:t>
      </w:r>
    </w:p>
    <w:p w14:paraId="7B958C7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15.3.1变更的提出</w:t>
      </w:r>
    </w:p>
    <w:p w14:paraId="597E69B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在合同履行过程中，可能发生第15.1款约定情形的，监理人可向承包人发出变更意向书。变更意向书应说明变更的具体内容和招标人对变更的时间要求，并附必要的图纸和相关资料。变更意向书应要求承包人提交包括拟实施变更工作的计划、措施和竣工时间等内容的实施方案。招标人同意承包人根据变更意向书要求提交的变更实施方案的，由监理人按第15.3.3项约定发出变更指示。</w:t>
      </w:r>
    </w:p>
    <w:p w14:paraId="3DC78B5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（2）在合同履行过程中，发生第15.1款约定情形的，监理人应按照第15.3.3项约定向承包人发出变更指示。</w:t>
      </w:r>
    </w:p>
    <w:p w14:paraId="0F355AC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招标人共同研究，确认存在变更的，应在收到承包人书面建议后的14天内作出变更指示。经研究后不同意作为变更的，应由监理人书面答复承包人。</w:t>
      </w:r>
    </w:p>
    <w:p w14:paraId="657633F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（4）若承包人收到监理人的变更意向书后认为难以实施此项变更，应立即通知监理人，说明原因并附详细依据。监理人与承包人和招标人协商后确定撤销、改变或不改变原变更意向书。</w:t>
      </w:r>
    </w:p>
    <w:p w14:paraId="5BB6EC0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15.3.2 变更估价</w:t>
      </w:r>
    </w:p>
    <w:p w14:paraId="643C340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l）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49D1D2F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（2）变更工作影响工期的，承包人应提出调整工期的具体细节。监理人认为有必要时，可要求承包人提交要求提前或延长工期的施工进度计划及相应施工措施等详细资料。</w:t>
      </w:r>
    </w:p>
    <w:p w14:paraId="153DA82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（3）除专用合同条款对期限另有约定外，监理人收到承包人变更报价书后的14天内，根据第15.4款约定的估价原则，按照第3.5款商定或确定变更价格。</w:t>
      </w:r>
    </w:p>
    <w:p w14:paraId="6D80AD3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15.3.3 变更指示</w:t>
      </w:r>
    </w:p>
    <w:p w14:paraId="092EBFF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（l）变更指示只能由监理人发出。</w:t>
      </w:r>
    </w:p>
    <w:p w14:paraId="651E567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（2）变更指示应说明变更的目的、范围、变更内容以及变更的工程量及其进度和技术要求，并附有关图纸和文件。承包人收到变更指示后，应按变更指示进行变更工作。</w:t>
      </w:r>
    </w:p>
    <w:p w14:paraId="22F0D1DD">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15.4 变更的估价原则</w:t>
      </w:r>
    </w:p>
    <w:p w14:paraId="3B4203C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除专用合同条款另有约定外，因变更引起的价格调整按照本款约定处理。</w:t>
      </w:r>
    </w:p>
    <w:p w14:paraId="3FA0E09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15.4.1 已标价工程量清单中有适用于变更工作的子目的，采用该子目的单价。</w:t>
      </w:r>
    </w:p>
    <w:p w14:paraId="407B527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15.4.2 已标价工程量清单中无适用于变更工作的子目，但有类似子目的，可在合理范围内参照类似子目的单价，由监理人按第3.5款商定或确定变更工作的单价。</w:t>
      </w:r>
    </w:p>
    <w:p w14:paraId="7B5EC8A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15.4.3 已标价工程量清单中无适用或类似子目的单价，可按照成本加利润的原则，由监理人按第3.5款商定或确定变更工作的单价。</w:t>
      </w:r>
    </w:p>
    <w:p w14:paraId="7ADF894B">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15.5 承包人的合理化建议</w:t>
      </w:r>
    </w:p>
    <w:p w14:paraId="4D54EB2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15.5.1 在履行合同过程中，承包人对招标人提供的图纸、技术要求以及其他方面提出的合理化建议，均应以书面形式提交监理人。合理化建议书的内容应包括建议工作的详细说明、进度计划和效益以及与其他工作的协调等，并附必要的设计文件。监理人应与招标人协商是否采纳建议。建议被采纳并构成变更的，应按第15.3.3项约定向承包人发出变更指示。</w:t>
      </w:r>
    </w:p>
    <w:p w14:paraId="21C179B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15.5.2 承包人提出的合理化建议降低了合同价格、缩短了工期或者提高了工程经济效益的，招标人可按国家有关规定在专用合同条款中约定给予奖励。</w:t>
      </w:r>
    </w:p>
    <w:p w14:paraId="6820C4FF">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15.6 暂列金额</w:t>
      </w:r>
    </w:p>
    <w:p w14:paraId="6B0D106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暂列金额只能按照监理人的指示使用，并对合同价格进行相应调整。</w:t>
      </w:r>
    </w:p>
    <w:p w14:paraId="52673C0D">
      <w:pPr>
        <w:keepNext/>
        <w:widowControl w:val="0"/>
        <w:autoSpaceDE w:val="0"/>
        <w:autoSpaceDN w:val="0"/>
        <w:spacing w:line="440" w:lineRule="exact"/>
        <w:ind w:right="1"/>
        <w:rPr>
          <w:rFonts w:hint="eastAsia" w:ascii="宋体" w:hAnsi="宋体" w:eastAsia="宋体" w:cs="宋体"/>
          <w:color w:val="000000"/>
          <w:sz w:val="24"/>
          <w:szCs w:val="21"/>
          <w:highlight w:val="none"/>
          <w:lang w:val="en-US" w:eastAsia="zh-CN" w:bidi="ar-SA"/>
        </w:rPr>
      </w:pPr>
      <w:r>
        <w:rPr>
          <w:rFonts w:hint="eastAsia" w:ascii="宋体" w:hAnsi="宋体" w:eastAsia="宋体" w:cs="宋体"/>
          <w:b/>
          <w:color w:val="000000"/>
          <w:sz w:val="21"/>
          <w:szCs w:val="21"/>
          <w:highlight w:val="none"/>
          <w:lang w:val="en-US" w:eastAsia="zh-CN" w:bidi="ar-SA"/>
        </w:rPr>
        <w:t>15.7 计日工</w:t>
      </w:r>
    </w:p>
    <w:p w14:paraId="4B3CFC4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15.7.1 招标人认为有必要时，由监理人通知承包人以计日工方式实施变更的零星工作。其价款按列入已标价工程量清单中的计日工计价子目及其单价进行计算。</w:t>
      </w:r>
    </w:p>
    <w:p w14:paraId="2333EDE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15.7.2 采用计日工计价的任何一项变更工作，应从暂列金额中支付，承包人应在该项变更的实施过程中，每天提交以下报表和有关凭证报送监理人审批：</w:t>
      </w:r>
    </w:p>
    <w:p w14:paraId="53AC39F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（l）工作名称、内容和数量；</w:t>
      </w:r>
    </w:p>
    <w:p w14:paraId="22B590C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（2）投入该工作所有人员的姓名、工种、级别和耗用工时；</w:t>
      </w:r>
    </w:p>
    <w:p w14:paraId="3D4F679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（3）投入该工作的材料类别和数量；</w:t>
      </w:r>
    </w:p>
    <w:p w14:paraId="3513B76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（4）投入该工作的施工设备型号、台数和耗用台时；</w:t>
      </w:r>
    </w:p>
    <w:p w14:paraId="62D4572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（5）监理人要求提交的其他资料和凭证。</w:t>
      </w:r>
    </w:p>
    <w:p w14:paraId="1443AFD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15.7.3 计日工由承包人汇总后，按第17.3.2项的约定列入进度付款申请单，由监理人复核并经招标人同意后列入进度付款。</w:t>
      </w:r>
    </w:p>
    <w:p w14:paraId="6880F7E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15.8 暂估价</w:t>
      </w:r>
    </w:p>
    <w:p w14:paraId="3137A73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15.8.1招标人在工程量清单中给定暂估价的材料、工程设备和专业工程属于依法必须招标的范围并达到规定的规模标准的，若承包人不具备承担暂估价项目的能力或具备承担暂估价项目的能力但明确不参与投标的，由招标人和承包人组织招标；若承包人具备承担暂估价项目的能力且明确参与投标的，由招标人组织招标。暂估价项目中标金额与工程量清单中所列金额差以及相应的税金等其它费用列入合同价格。必须招标的暂估价项目招标组织形式、招标人和承包人组织招标时双方的权利义务关系在专用合同条款中约定。</w:t>
      </w:r>
    </w:p>
    <w:p w14:paraId="772618B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15.8.2 招标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1544E5F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15.8.3招标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7C2D3123">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88" w:name="_Toc266289996"/>
      <w:bookmarkStart w:id="189" w:name="_Toc264876660"/>
      <w:bookmarkStart w:id="190" w:name="_Toc194896796"/>
      <w:r>
        <w:rPr>
          <w:rFonts w:hint="eastAsia" w:ascii="宋体" w:hAnsi="宋体" w:eastAsia="宋体" w:cs="宋体"/>
          <w:b/>
          <w:color w:val="000000"/>
          <w:sz w:val="21"/>
          <w:szCs w:val="21"/>
          <w:highlight w:val="none"/>
          <w:lang w:val="en-US" w:eastAsia="zh-CN" w:bidi="ar-SA"/>
        </w:rPr>
        <w:t>16、价格调整</w:t>
      </w:r>
      <w:bookmarkEnd w:id="188"/>
      <w:bookmarkEnd w:id="189"/>
      <w:bookmarkEnd w:id="190"/>
    </w:p>
    <w:p w14:paraId="5EA48277">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16.1 物价波动引起的价格调整</w:t>
      </w:r>
    </w:p>
    <w:p w14:paraId="1C3C122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由于物价波动原因引起合同价格需要调整的，其价格调整方式在专用合同条款中约定。</w:t>
      </w:r>
    </w:p>
    <w:p w14:paraId="30B9734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16.1.1 采用价格指数调整价格差额</w:t>
      </w:r>
    </w:p>
    <w:p w14:paraId="6AF15C5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16.1.1.1 价格调整公式</w:t>
      </w:r>
    </w:p>
    <w:p w14:paraId="3260812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因人工、材料和设备等价格波动影响合同价格时，根据投标函附录中的价格指数和权重表约定的数据，按以下公式计算差额并调整合同价格。</w:t>
      </w:r>
    </w:p>
    <w:p w14:paraId="006DD4E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Ft1       Ft2       Ft3       Ftn</w:t>
      </w:r>
    </w:p>
    <w:p w14:paraId="2CD5DE8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△P=PO［A+｛B1×—＋B2×—＋B3×—＋…＋Bn×—｝－1］ </w:t>
      </w:r>
    </w:p>
    <w:p w14:paraId="50947A0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F01       F02       F03       F0n</w:t>
      </w:r>
    </w:p>
    <w:p w14:paraId="452E84F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式中：△ P ---需调整的价格差额；</w:t>
      </w:r>
    </w:p>
    <w:p w14:paraId="4B6726C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PO---第17.3.3项、第17.5 .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37A8C56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A ---定值权重（即不调部分的权重）； </w:t>
      </w:r>
    </w:p>
    <w:p w14:paraId="59EE48B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B1；B2；B3；……Bn---各可调因子的变值权重（即可调部分的权重）为各可调因子在投标函投标总报价中所占的比例；</w:t>
      </w:r>
    </w:p>
    <w:p w14:paraId="3D0E299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Ft1；Ft2；Ft3；……Ftn---各可调因子的现行价格指数，指第17.3.3项、第17.5.2项和第17.6.2项约定的付款证书相关周期最后一天的前42天的各可调因子的价格指数；</w:t>
      </w:r>
    </w:p>
    <w:p w14:paraId="5A7029C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F01；F02；F03；……F0n---各可调因子的基本价格指数，指基准日期的各可调因子的价格指数。</w:t>
      </w:r>
    </w:p>
    <w:p w14:paraId="1F25062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1AA649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16.1.1.2 暂时确定调整差额</w:t>
      </w:r>
    </w:p>
    <w:p w14:paraId="5505DF5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在计算调整差额时得不到现行价格指数的，可暂用上一次价格指数计算，并在以后的付款中再按实际价格指数进行调整。</w:t>
      </w:r>
    </w:p>
    <w:p w14:paraId="4006566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16.1.1.3 权重的调整</w:t>
      </w:r>
    </w:p>
    <w:p w14:paraId="04C629C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按第15.1款约定的变更导致原定合同中的权重不合理时，由监理人与承包人和招标人协商后进行调整。</w:t>
      </w:r>
    </w:p>
    <w:p w14:paraId="2174BF5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16.1.1.4 承包人工期延误后的价格调整</w:t>
      </w:r>
    </w:p>
    <w:p w14:paraId="3293BBC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34CBA98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16.1.2 采用造价信息调整价格差额</w:t>
      </w:r>
    </w:p>
    <w:p w14:paraId="567686B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 </w:t>
      </w:r>
    </w:p>
    <w:p w14:paraId="37C7DEB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工程造价信息的来源以及价格调整的项目和系数在专用合同条款中约定。</w:t>
      </w:r>
    </w:p>
    <w:p w14:paraId="64F926A6">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16.2 法律变化引起的价格调整</w:t>
      </w:r>
    </w:p>
    <w:p w14:paraId="6860121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在基准日后，因法律变化导致承包人在合同履行中所需要的工程费用发生除第16.1 款约定以外的增减时，监理人应根据法律、国家或省、自治区、直辖市有关部门的规定，按第3.5款商定或确定需调整的合同价款。</w:t>
      </w:r>
    </w:p>
    <w:p w14:paraId="03C56F22">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91" w:name="_Toc194896797"/>
      <w:bookmarkStart w:id="192" w:name="_Toc264876661"/>
      <w:bookmarkStart w:id="193" w:name="_Toc266289997"/>
      <w:r>
        <w:rPr>
          <w:rFonts w:hint="eastAsia" w:ascii="宋体" w:hAnsi="宋体" w:eastAsia="宋体" w:cs="宋体"/>
          <w:b/>
          <w:color w:val="000000"/>
          <w:sz w:val="21"/>
          <w:szCs w:val="21"/>
          <w:highlight w:val="none"/>
          <w:lang w:val="en-US" w:eastAsia="zh-CN" w:bidi="ar-SA"/>
        </w:rPr>
        <w:t>17、计量与支付</w:t>
      </w:r>
      <w:bookmarkEnd w:id="191"/>
      <w:bookmarkEnd w:id="192"/>
      <w:bookmarkEnd w:id="193"/>
    </w:p>
    <w:p w14:paraId="17B11569">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17.1 计量</w:t>
      </w:r>
    </w:p>
    <w:p w14:paraId="5D7D5FB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17.1.1 计量单位</w:t>
      </w:r>
    </w:p>
    <w:p w14:paraId="4AF7925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计量采用国家法定的计量单位。</w:t>
      </w:r>
    </w:p>
    <w:p w14:paraId="7859809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17.1.2 计量方法</w:t>
      </w:r>
    </w:p>
    <w:p w14:paraId="6CFD679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计量方法结算工程量应按工程量清单中约定的方法计量。</w:t>
      </w:r>
    </w:p>
    <w:p w14:paraId="6828C6D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17.1.3 计量周期</w:t>
      </w:r>
    </w:p>
    <w:p w14:paraId="7DA22A9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除专用合同条款另有约定外，单价子目已完成工程量按月计量，总价子目的计量周期按批准的支付分解报告确定。</w:t>
      </w:r>
    </w:p>
    <w:p w14:paraId="75B7F1C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17.1.4 单价子目的计量</w:t>
      </w:r>
    </w:p>
    <w:p w14:paraId="53F8A32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（l）已标价工程量清单中的单价子目工程量为估算工程量。结算工程量是承包人实际完成的，并按合同约定的计量方法进行计量的工程量。</w:t>
      </w:r>
    </w:p>
    <w:p w14:paraId="54D9197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（2）承包人对已完成的工程进行计量，向监理人提交进度付款申请单、已完成工程量报表和有关计量资料。</w:t>
      </w:r>
    </w:p>
    <w:p w14:paraId="45F3587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566385D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（4）监理人认为有必要时，可通知承包人共同进行联合测量、计量，承包人应遵照执行。</w:t>
      </w:r>
    </w:p>
    <w:p w14:paraId="5048E69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1487085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（6）监理人应在收到承包人提交的工程量报表后的7天内进行复核，监理人未在约定时间内复核的，承包人提交的工程量报表中的工程量视为承包人实际完成的工程量，据此计算工程价款。</w:t>
      </w:r>
    </w:p>
    <w:p w14:paraId="71D3173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17.1.5 总价子目的计量</w:t>
      </w:r>
    </w:p>
    <w:p w14:paraId="4218D38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总价子目的分解和计量按照下述约定进行。</w:t>
      </w:r>
    </w:p>
    <w:p w14:paraId="18FA82C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(1)总价子目的计量和支付应以总价为基础，不因第16.1款中的因素而进行调整。承包人实际完成的工程量，是进行工程目标管理和控制进度支付的依据。 </w:t>
      </w:r>
    </w:p>
    <w:p w14:paraId="34CEB39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 </w:t>
      </w:r>
    </w:p>
    <w:p w14:paraId="4FB5E4F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(3)监理人对承包人提交的上述资料进行复核，以确定分阶段实际完成的工程量和工程形象目标。对其有异议的，可要求承包人按第8.2款约定进行共同复核和抽样复测。 </w:t>
      </w:r>
    </w:p>
    <w:p w14:paraId="04FFCA6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(4)除按照第15条约定的变更外，总价子目的工程量是承包人用于结算的最终工程量。</w:t>
      </w:r>
    </w:p>
    <w:p w14:paraId="2D9B8A75">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17.2 预付款</w:t>
      </w:r>
    </w:p>
    <w:p w14:paraId="048D05A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17.2.1 预付款</w:t>
      </w:r>
    </w:p>
    <w:p w14:paraId="0A53B5C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33B91F4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17.2.2 预付款保函（担保）</w:t>
      </w:r>
    </w:p>
    <w:p w14:paraId="760994A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(1)承包人应在收到第一次工程预付款的同时向招标人提交工程预付款担保，担保金额应与第一次工程预付款金额相同，工程预付款担保在第一次工程预付款被招标人扣回前一直有效。 </w:t>
      </w:r>
    </w:p>
    <w:p w14:paraId="1313092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(2)工程材料预付款的担保在专用合同条款中约定。 </w:t>
      </w:r>
    </w:p>
    <w:p w14:paraId="1EC725A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(3)预付款担保的担保金额可根据预付款扣回的金额相应递减。</w:t>
      </w:r>
    </w:p>
    <w:p w14:paraId="40F9A26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17.2.3 预付款的扣回与还清</w:t>
      </w:r>
    </w:p>
    <w:p w14:paraId="5210033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预付款在进度付款中扣回，扣回与还清办法在专用合同条款中约定。在颁发合同工程完工证书前，由于不可抗力或其它原因解除合同时，预付款尚未扣清的，尚未扣清的预付款余额应作为承包人的到期应付款。</w:t>
      </w:r>
    </w:p>
    <w:p w14:paraId="78EE90C8">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17.3 工程进度付款</w:t>
      </w:r>
    </w:p>
    <w:p w14:paraId="0AF59C0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17.3.1 付款周期</w:t>
      </w:r>
    </w:p>
    <w:p w14:paraId="67EE5DD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付款周期同计量周期。</w:t>
      </w:r>
    </w:p>
    <w:p w14:paraId="7D05434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17.3.2 进度付款申请单</w:t>
      </w:r>
    </w:p>
    <w:p w14:paraId="6F3B5E9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0CD3EFD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（l）截至本次付款周期末已实施工程的价款；</w:t>
      </w:r>
    </w:p>
    <w:p w14:paraId="1DAB274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（2）根据第15条应增加和扣减的变更金额；</w:t>
      </w:r>
    </w:p>
    <w:p w14:paraId="24B59CA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（3）根据第23条应增加和扣减的索赔金额；</w:t>
      </w:r>
    </w:p>
    <w:p w14:paraId="40A5BA1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（4）根据第17.2款约定应支付的预付款和扣减的返还预付款；</w:t>
      </w:r>
    </w:p>
    <w:p w14:paraId="3BD571D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（5）根据第17.4.1项约定应扣减的质量保证金；</w:t>
      </w:r>
    </w:p>
    <w:p w14:paraId="313E5BE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（6）根据合同应增加和扣减的其他金额。</w:t>
      </w:r>
    </w:p>
    <w:p w14:paraId="2E6CB52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17.3.3 进度付款证书和支付时间</w:t>
      </w:r>
    </w:p>
    <w:p w14:paraId="2EFAF02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监理人在收到承包人进度付款申请单以及相应的支持性证明文件后的14天内完成核查，提出招标人到期应支付给承包人的金额以及相应的支持性材料，经招标人审查同意后，由监理人向承包人出具经招标人签认的进度付款证书。监理人有权扣发承包人未能按照合同要求履行任何工作或义务的相应金额。</w:t>
      </w:r>
    </w:p>
    <w:p w14:paraId="5A18D7A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（2）招标人应在监理人收到进度付款申请单后的28天内，将进度应付款支付给承包人。招标人不按期支付的，按专用合同条款的约定支付逾期付款违约金。</w:t>
      </w:r>
    </w:p>
    <w:p w14:paraId="24D8965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（3）监理人出具进度付款证书，不应视为监理人已同意、批准或接受了承包人完成的该部分工作。</w:t>
      </w:r>
    </w:p>
    <w:p w14:paraId="6F0D22F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（4）进度付款涉及政府投资资金的，按照国库集中支付等国家相关规定和专用合同条款的约定办理。</w:t>
      </w:r>
    </w:p>
    <w:p w14:paraId="1B42557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17.3.4 工程进度付款的修正</w:t>
      </w:r>
    </w:p>
    <w:p w14:paraId="1AB4DA2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33618A03">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17.4 质量保证金</w:t>
      </w:r>
    </w:p>
    <w:p w14:paraId="72A012B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17.4.1 监理人应从第一个工程进度付款周期开始，在招标人的进度付款中，按专用合同条款的约定扣留质量保证金，直至扣留的质量保证金总额达到专用合同条款约定的金额或比例为止。质量保证金的计算额度不包括预付款的支付与扣回金额。 </w:t>
      </w:r>
    </w:p>
    <w:p w14:paraId="6899A93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17.4.2 合同工程完工证书颁发后14天内，招标人将质量保证金总额的一半支付给承包人。在第1.1.4.5目约定的缺陷责任期(工程质量保修期)满时，招标人将在30个工作日内会同承包人按照合同约定的内容核实承包人是否完成保修责任。如无异议，招标人应当在核实后将剩余的质量保证金支付给承包人。</w:t>
      </w:r>
    </w:p>
    <w:p w14:paraId="4641EB0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17.4.3 在第1.1.4.5目约定的缺陷责任期满时，承包人没有完成缺陷责任的，招标人有权扣留与未履行责任剩余工作所需金额相应的质量保证金余额，并有权根据第19.3款约定要求延长缺陷责任期，直至完成剩余工作为止。</w:t>
      </w:r>
    </w:p>
    <w:p w14:paraId="067A1137">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17.5 竣工结算（完工结算）</w:t>
      </w:r>
    </w:p>
    <w:p w14:paraId="23DA734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17.5.1 竣工（完工）付款申请单</w:t>
      </w:r>
    </w:p>
    <w:p w14:paraId="25EE78D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承包人应在合同工程完工证书颁发后28天内，按专用合同条款约定的份数向监理人提交完工付款申请单，并提供相关证明材料。完工付款申请单应包括下列内容：完工结算合同总价、招标人己支付承包人的工程价款、应扣留的质量保证金、应支付的完工付款金额。 </w:t>
      </w:r>
    </w:p>
    <w:p w14:paraId="023EADE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(2)监理人对完工付款申请单有异议的，有权要求承包人进行修正和提供补充资料。经监理人和承包人协商后，由承包人向监理人提交修正后的完工付款申请单。</w:t>
      </w:r>
    </w:p>
    <w:p w14:paraId="2164603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17.5.2 竣工（完工）付款证书及支付时间</w:t>
      </w:r>
    </w:p>
    <w:p w14:paraId="0A9D316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监理人在收到承包人提交的完工付款申请单后的14天内完成核查，提出招标人到期应支付给承包人的价款送招标人审核并抄送承包人。招标人应在收到后14天内审核完毕，由监理人向承包人出具经招标人签认的完工付款证书。监理人未在约定时间内核查，又未提出具体意见的，视为承包人提交的完工付款申请单已经监理人核查同意。招标人未在约定时间内审核又未提出具体意见的，监理人提出招标人到期应支付给承包人的价款视为已经招标人同意。 </w:t>
      </w:r>
    </w:p>
    <w:p w14:paraId="6FBEFEA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(2)招标人应在监理人出具完工付款证书后的14天内，将应支付款支付给承包人。招标人不按期支付的，按第17.3.3 (2)目的约定，将逾期付款违约金支付给承包人。 </w:t>
      </w:r>
    </w:p>
    <w:p w14:paraId="1112CB7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(3)承包人对招标人签认的完工付款证书有异议的，招标人可出具完工付款申请单中承包人已同意部分的临时付款证书。存在争议的部分，按第24条的约定办理。 </w:t>
      </w:r>
    </w:p>
    <w:p w14:paraId="1314A48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(4)完工付款涉及政府投资资金的，按第17.3.3(4)目的约定办理。</w:t>
      </w:r>
    </w:p>
    <w:p w14:paraId="05BEB412">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17.6 最终结清</w:t>
      </w:r>
    </w:p>
    <w:p w14:paraId="3E56990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17.6.1 最终结清申请单</w:t>
      </w:r>
    </w:p>
    <w:p w14:paraId="2066E41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(1)工程质量保修责任终止证书签发后，承包人应按监理人批准的格式提交最终结清申请单。提交最终结清申请单的份数在专用合同条款中约定。 </w:t>
      </w:r>
    </w:p>
    <w:p w14:paraId="304CC93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(2)招标人对最终结清申请单内容有异议的，有权要求承包人进行修正和提供补充资料，由承包人向监理人提交修正后的最终结清申请单。</w:t>
      </w:r>
    </w:p>
    <w:p w14:paraId="28E746B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17.6.2 最终结清证书和支付时间</w:t>
      </w:r>
    </w:p>
    <w:p w14:paraId="4EA3314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监理人收到承包人提交的最终结清申请单后的14天内，提出招标人应支付给承包人的价款送招标人审核并抄送承包人。招标人应在收到后14天内审核完毕，由监理人向承包人出具经招标人签认的最终结清证书。监理人未在约定时间内核查，又未提出具体意见的，视为承包人提交的最终结清申请已经监理人核查同意；招标人未在约定时间内审核又未提出具体意见的，监理人提出应支付给承包人的价款视为已经招标人同意。</w:t>
      </w:r>
    </w:p>
    <w:p w14:paraId="1A8EF79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（2）招标人应在监理人出具最终结清证书后的14天内，将应支付款支付给承包人。</w:t>
      </w:r>
    </w:p>
    <w:p w14:paraId="10D15A4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招标人不按期支付的，按第17.3.3（2）目的约定，将逾期付款违约金支付给承包人。</w:t>
      </w:r>
    </w:p>
    <w:p w14:paraId="437E43C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（3）承包人对招标人签认的最终结清证书有异议的，按第24条的约定办理。</w:t>
      </w:r>
    </w:p>
    <w:p w14:paraId="4F3B21C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（4）最终结清付款涉及政府投资资金的，按第17.3.3（4）目的约定办理。</w:t>
      </w:r>
    </w:p>
    <w:p w14:paraId="4476025D">
      <w:pPr>
        <w:keepNext/>
        <w:widowControl w:val="0"/>
        <w:autoSpaceDE w:val="0"/>
        <w:autoSpaceDN w:val="0"/>
        <w:spacing w:line="440" w:lineRule="exact"/>
        <w:ind w:right="1"/>
        <w:rPr>
          <w:rFonts w:hint="eastAsia" w:ascii="宋体" w:hAnsi="宋体" w:eastAsia="宋体" w:cs="宋体"/>
          <w:color w:val="000000"/>
          <w:sz w:val="24"/>
          <w:szCs w:val="21"/>
          <w:highlight w:val="none"/>
          <w:lang w:val="en-US" w:eastAsia="zh-CN" w:bidi="ar-SA"/>
        </w:rPr>
      </w:pPr>
      <w:r>
        <w:rPr>
          <w:rFonts w:hint="eastAsia" w:ascii="宋体" w:hAnsi="宋体" w:eastAsia="宋体" w:cs="宋体"/>
          <w:b/>
          <w:color w:val="000000"/>
          <w:sz w:val="21"/>
          <w:szCs w:val="21"/>
          <w:highlight w:val="none"/>
          <w:lang w:val="en-US" w:eastAsia="zh-CN" w:bidi="ar-SA"/>
        </w:rPr>
        <w:t>17.7 竣工财务决算</w:t>
      </w:r>
      <w:r>
        <w:rPr>
          <w:rFonts w:hint="eastAsia" w:ascii="宋体" w:hAnsi="宋体" w:eastAsia="宋体" w:cs="宋体"/>
          <w:color w:val="000000"/>
          <w:sz w:val="24"/>
          <w:szCs w:val="21"/>
          <w:highlight w:val="none"/>
          <w:lang w:val="en-US" w:eastAsia="zh-CN" w:bidi="ar-SA"/>
        </w:rPr>
        <w:t xml:space="preserve"> </w:t>
      </w:r>
    </w:p>
    <w:p w14:paraId="789474D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招标人负责编制本工程项目竣工财务决算，承包人应按专用合同条款的约定提供竣工财务决算编制所需的相关材料。 </w:t>
      </w:r>
    </w:p>
    <w:p w14:paraId="6D71B289">
      <w:pPr>
        <w:keepNext/>
        <w:widowControl w:val="0"/>
        <w:autoSpaceDE w:val="0"/>
        <w:autoSpaceDN w:val="0"/>
        <w:spacing w:line="440" w:lineRule="exact"/>
        <w:ind w:right="1"/>
        <w:rPr>
          <w:rFonts w:hint="eastAsia" w:ascii="宋体" w:hAnsi="宋体" w:eastAsia="宋体" w:cs="宋体"/>
          <w:color w:val="000000"/>
          <w:sz w:val="24"/>
          <w:szCs w:val="21"/>
          <w:highlight w:val="none"/>
          <w:lang w:val="en-US" w:eastAsia="zh-CN" w:bidi="ar-SA"/>
        </w:rPr>
      </w:pPr>
      <w:r>
        <w:rPr>
          <w:rFonts w:hint="eastAsia" w:ascii="宋体" w:hAnsi="宋体" w:eastAsia="宋体" w:cs="宋体"/>
          <w:b/>
          <w:color w:val="000000"/>
          <w:sz w:val="21"/>
          <w:szCs w:val="21"/>
          <w:highlight w:val="none"/>
          <w:lang w:val="en-US" w:eastAsia="zh-CN" w:bidi="ar-SA"/>
        </w:rPr>
        <w:t>17.8 竣工审计</w:t>
      </w:r>
      <w:r>
        <w:rPr>
          <w:rFonts w:hint="eastAsia" w:ascii="宋体" w:hAnsi="宋体" w:eastAsia="宋体" w:cs="宋体"/>
          <w:color w:val="000000"/>
          <w:sz w:val="24"/>
          <w:szCs w:val="21"/>
          <w:highlight w:val="none"/>
          <w:lang w:val="en-US" w:eastAsia="zh-CN" w:bidi="ar-SA"/>
        </w:rPr>
        <w:t xml:space="preserve"> </w:t>
      </w:r>
    </w:p>
    <w:p w14:paraId="204A5CC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招标人负责完成本工程竣工审计手续，承包人应完成相关配合工作。</w:t>
      </w:r>
    </w:p>
    <w:p w14:paraId="6087B254">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94" w:name="_Toc194896798"/>
      <w:bookmarkStart w:id="195" w:name="_Toc264876662"/>
      <w:bookmarkStart w:id="196" w:name="_Toc266289998"/>
      <w:r>
        <w:rPr>
          <w:rFonts w:hint="eastAsia" w:ascii="宋体" w:hAnsi="宋体" w:eastAsia="宋体" w:cs="宋体"/>
          <w:b/>
          <w:color w:val="000000"/>
          <w:sz w:val="21"/>
          <w:szCs w:val="21"/>
          <w:highlight w:val="none"/>
          <w:lang w:val="en-US" w:eastAsia="zh-CN" w:bidi="ar-SA"/>
        </w:rPr>
        <w:t>18、竣工验收</w:t>
      </w:r>
      <w:bookmarkEnd w:id="194"/>
      <w:r>
        <w:rPr>
          <w:rFonts w:hint="eastAsia" w:ascii="宋体" w:hAnsi="宋体" w:eastAsia="宋体" w:cs="宋体"/>
          <w:b/>
          <w:color w:val="000000"/>
          <w:sz w:val="21"/>
          <w:szCs w:val="21"/>
          <w:highlight w:val="none"/>
          <w:lang w:val="en-US" w:eastAsia="zh-CN" w:bidi="ar-SA"/>
        </w:rPr>
        <w:t>（验收）</w:t>
      </w:r>
      <w:bookmarkEnd w:id="195"/>
      <w:bookmarkEnd w:id="196"/>
    </w:p>
    <w:p w14:paraId="212FB87A">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18.1验收工作分类</w:t>
      </w:r>
    </w:p>
    <w:p w14:paraId="5B76634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工程验收工作按主持单位分为法人验收和政府验收。法人验收和政府验收的类别在专用合同条款中约定。除专用合同条款另有约定外，法人验收由招标人主持。承包人应完成法人验收和政府验收的配合工作，所需费用应含在已标价工程量清单中。</w:t>
      </w:r>
    </w:p>
    <w:p w14:paraId="4B73FEAE">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18.2 竣工验收申请报告</w:t>
      </w:r>
    </w:p>
    <w:p w14:paraId="5FA6F04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18.2.1 分部工程具备验收条件时，承包人应向招标人提交验收申请报告，招标人应在收到验收申请报告之日起10个工作日内决定是否同意进行验收。</w:t>
      </w:r>
    </w:p>
    <w:p w14:paraId="21C1636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18.2.2 除专用合同条款另有约定外，监理人主持分部工程验收，承包人应派符合条件的代表参加验收工作组。 </w:t>
      </w:r>
    </w:p>
    <w:p w14:paraId="7891F35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18.2.3 分部工程验收通过后，招标人向承包人发送分部工程验收鉴定书。承包人应及时完成分部工程验收鉴定书载明应由承包人处理的遗留问题。</w:t>
      </w:r>
    </w:p>
    <w:p w14:paraId="36724C38">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18.3 验收</w:t>
      </w:r>
    </w:p>
    <w:p w14:paraId="28A29E5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18.3.1 单位工程具备验收条件时，承包人应向招标人提交验收申请报告，招标人应在收到验收申请报告之日起10个工作日内决定是否同意进行验收。 </w:t>
      </w:r>
    </w:p>
    <w:p w14:paraId="74FAE18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18.3.2 招标人主持单位工程验收，承包人应派符合条件的代表参加验收工作组。 </w:t>
      </w:r>
    </w:p>
    <w:p w14:paraId="2432396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18.3.3 单位工程验收通过后，招标人向承包人发送单位工程验收鉴定书。承包人应及时完成单位工程验收鉴定书载明应由承包人处理的遗留问题。 </w:t>
      </w:r>
    </w:p>
    <w:p w14:paraId="5236717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18.3.4 需提前投入使用的单位工程在专用合同条款中明确。</w:t>
      </w:r>
    </w:p>
    <w:p w14:paraId="736A78BB">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18.4 合同工程完工验收</w:t>
      </w:r>
    </w:p>
    <w:p w14:paraId="563C808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18.4.1 合同工程具备验收条件时，承包人应向招标人提交验收申请报告，招标人应在收到验收申请报告之日起20个工作日内决定是否同意进行验收。 </w:t>
      </w:r>
    </w:p>
    <w:p w14:paraId="5949ED2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18.4.2 招标人主持合同工程完工验收，承包人应派代表参加验收工作组。</w:t>
      </w:r>
    </w:p>
    <w:p w14:paraId="1CEBCF2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18.4.3 合同工程完工验收通过后，招标人向承包人发送合同工程完工验收鉴定书。承包人应及时完成合同工程完工验收鉴定书载明应由承包人处理的遗留问题。 </w:t>
      </w:r>
    </w:p>
    <w:p w14:paraId="7D0B37A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18.4.4 合同工程完工验收通过后，招标人与承包人应在30个工作日内组织专人负责工程交接，双方交接负责人应在交接记录上签字。承包人应按验收鉴定书约定的时间及时移交工程及其档案资料。工程移交时，承包人应向招标人递交工程质量保修书。在承包人递交了工程质量保修书、完成施工场地清理以及提交有关资料后，招标人应在30个工作日内向 承包人颁发合同工程完工证书。</w:t>
      </w:r>
    </w:p>
    <w:p w14:paraId="72A8D1DF">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18.5 阶段验收</w:t>
      </w:r>
    </w:p>
    <w:p w14:paraId="4C6B81D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18.5.1 工程建设具备阶段验收条件时，招标人负责提出阶段验收申请报告。承包人应派代表参加阶段验收，并作为被验收单位在验收鉴定书上签字。阶段验收的具体类别在专用合同条款中约定。 </w:t>
      </w:r>
    </w:p>
    <w:p w14:paraId="3C0273D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18.5.2 承包人应及时完成阶段验收鉴定书载明应由承包人处理的遗留问题。</w:t>
      </w:r>
    </w:p>
    <w:p w14:paraId="501A9B7A">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18.6 专项验收</w:t>
      </w:r>
    </w:p>
    <w:p w14:paraId="1B736D5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18.6.1 招标人负责提出专项验收申请报告。承包人应按专项验收的相关规定参加专项验收。专项验收的具体类别在专用合同条款中约定。 </w:t>
      </w:r>
    </w:p>
    <w:p w14:paraId="71630E2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18.6.2 承包人应及时完成专项验收成果性文件载明应由承包人处理的遗留问题。</w:t>
      </w:r>
    </w:p>
    <w:p w14:paraId="1E141F47">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18.7 竣工验收</w:t>
      </w:r>
    </w:p>
    <w:p w14:paraId="3EBF286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18.7.1 申请竣工验收前，招标人组织竣工验收自查，承包人应派代表参加。 </w:t>
      </w:r>
    </w:p>
    <w:p w14:paraId="47F8A17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18.7.2 竣工验收分为竣工技术预验收和竣工验收两个阶段。招标人应通知承包人派代表参加技术预验收和竣工验收。 </w:t>
      </w:r>
    </w:p>
    <w:p w14:paraId="0E90219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18.7.3 专用合同条款约定工程需要进行技术鉴定的，承包人应提交有关资料并完成配合工作。 </w:t>
      </w:r>
    </w:p>
    <w:p w14:paraId="191DDBE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18.7.4 竣工验收需要进行质量检测的，所需费用由招标人承担，但因承包人原因造成质量不合格的除外。 </w:t>
      </w:r>
    </w:p>
    <w:p w14:paraId="7C46659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18.7.5 工程质量保修期满以及竣工验收遗留问题和尾工处理完成并通过验收后，招标人负责将处理情况和验收成果报送竣工验收主持单位，申请领取工程竣工证书，并发送承包人。</w:t>
      </w:r>
    </w:p>
    <w:p w14:paraId="47B2BFBA">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18.8 施工期运行</w:t>
      </w:r>
    </w:p>
    <w:p w14:paraId="11D10C1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18.8.1 施工期运行是指合同工程尚未全部完工，其中某单位工程或部分工程已完工，需要投入施工期运行的，经招标人按第18.2款或第18.3款的约定验收合格，证明能确保安全后，才能在施工期投入运行。需要在施工期运行的单位工程或部分工程在专用合同条款中约定。 </w:t>
      </w:r>
    </w:p>
    <w:p w14:paraId="560D679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18.8.2 在施工期运行中发现工程或工程设备损坏或存在缺陷的，由承包人按第19.2款约定进行修复。 </w:t>
      </w:r>
    </w:p>
    <w:p w14:paraId="55076807">
      <w:pPr>
        <w:keepNext/>
        <w:widowControl w:val="0"/>
        <w:autoSpaceDE w:val="0"/>
        <w:autoSpaceDN w:val="0"/>
        <w:spacing w:line="440" w:lineRule="exact"/>
        <w:ind w:right="1"/>
        <w:rPr>
          <w:rFonts w:hint="eastAsia" w:ascii="宋体" w:hAnsi="宋体" w:eastAsia="宋体" w:cs="宋体"/>
          <w:color w:val="000000"/>
          <w:sz w:val="24"/>
          <w:szCs w:val="21"/>
          <w:highlight w:val="none"/>
          <w:lang w:val="en-US" w:eastAsia="zh-CN" w:bidi="ar-SA"/>
        </w:rPr>
      </w:pPr>
      <w:r>
        <w:rPr>
          <w:rFonts w:hint="eastAsia" w:ascii="宋体" w:hAnsi="宋体" w:eastAsia="宋体" w:cs="宋体"/>
          <w:b/>
          <w:color w:val="000000"/>
          <w:sz w:val="21"/>
          <w:szCs w:val="21"/>
          <w:highlight w:val="none"/>
          <w:lang w:val="en-US" w:eastAsia="zh-CN" w:bidi="ar-SA"/>
        </w:rPr>
        <w:t>18.9 试运行</w:t>
      </w:r>
      <w:r>
        <w:rPr>
          <w:rFonts w:hint="eastAsia" w:ascii="宋体" w:hAnsi="宋体" w:eastAsia="宋体" w:cs="宋体"/>
          <w:color w:val="000000"/>
          <w:sz w:val="24"/>
          <w:szCs w:val="21"/>
          <w:highlight w:val="none"/>
          <w:lang w:val="en-US" w:eastAsia="zh-CN" w:bidi="ar-SA"/>
        </w:rPr>
        <w:t xml:space="preserve"> </w:t>
      </w:r>
    </w:p>
    <w:p w14:paraId="67F9A2F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18.9.1 除专用合同条款另有约定外，承包人应按规定进行工程及工程设备试运行，负责提供试运行所需的人员、器材和必要的条件，并承担全部试运行费用。 </w:t>
      </w:r>
    </w:p>
    <w:p w14:paraId="2F3C98E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18.9.2 由于承包人的原因导致试运行失败的，承包人应采取措施保证试运行合格，并承担相应费用。由于招标人的原因导致试运行失败的，承包人应当采取措施保证试运行合格，招标人应承担由此产生的费用，并支付承包人合理利润。</w:t>
      </w:r>
    </w:p>
    <w:p w14:paraId="17F02BBF">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18.10 竣工(完工)清场 </w:t>
      </w:r>
    </w:p>
    <w:p w14:paraId="7181031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18.10.1 工程项目竣工(完工)清场的工作范围和内容在技术标准和要求(合同技术 条款)中约定。 </w:t>
      </w:r>
    </w:p>
    <w:p w14:paraId="41D855A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18.10.2 承包人未按监理人的要求恢复临时占地，或者场地清理未达到合同约的，招标人有权委托其它人恢复或清理，所发生的金额从拟支付给承包人的款项中扣除。 </w:t>
      </w:r>
    </w:p>
    <w:p w14:paraId="65BF871E">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18.11 施工队伍的撤离 </w:t>
      </w:r>
    </w:p>
    <w:p w14:paraId="0093212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04D03016">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197" w:name="_Toc194896799"/>
      <w:bookmarkStart w:id="198" w:name="_Toc264876663"/>
      <w:bookmarkStart w:id="199" w:name="_Toc266289999"/>
      <w:r>
        <w:rPr>
          <w:rFonts w:hint="eastAsia" w:ascii="宋体" w:hAnsi="宋体" w:eastAsia="宋体" w:cs="宋体"/>
          <w:b/>
          <w:color w:val="000000"/>
          <w:sz w:val="21"/>
          <w:szCs w:val="21"/>
          <w:highlight w:val="none"/>
          <w:lang w:val="en-US" w:eastAsia="zh-CN" w:bidi="ar-SA"/>
        </w:rPr>
        <w:t>19、缺陷责任与保修责任</w:t>
      </w:r>
      <w:bookmarkEnd w:id="197"/>
      <w:bookmarkEnd w:id="198"/>
      <w:bookmarkEnd w:id="199"/>
    </w:p>
    <w:p w14:paraId="4A11AB75">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19.1缺陷责任期(工程质量保修期)的起算时间 </w:t>
      </w:r>
    </w:p>
    <w:p w14:paraId="537B04A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除专用合同条款另有约定外，缺陷责任期(工程质量保修期)从工程通过合同工程完工验收后开始计算。在合同工程完工验收前，已经招标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3A099B23">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19.2 缺陷责任</w:t>
      </w:r>
    </w:p>
    <w:p w14:paraId="46FCEEC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19.2.1 承包人应在缺陷责任期内对已交付使用的工程承担缺陷责任。</w:t>
      </w:r>
    </w:p>
    <w:p w14:paraId="27D432D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19.2.2 缺陷责任期内，招标人对已接收使用的工程负责日常维护工作。招标人在使用过程中，发现已接收的工程存在新的缺陷或已修复的缺陷部位或部件又遭损坏的，承包人应负责修复，直至检验合格为止。</w:t>
      </w:r>
    </w:p>
    <w:p w14:paraId="0618AA7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19.2.3 监理人和承包人应共同查清缺陷和（或）损坏的原因。经查明属承包人原因造成的，应由承包人承担修复和查验的费用。经查验属招标人原因造成的，招标人应承担修复和查验的费用，并支付承包人合理利润。</w:t>
      </w:r>
    </w:p>
    <w:p w14:paraId="5A4A64F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19.2.4 承包人不能在合理时间内修复缺陷的，招标人可自行修复或委托其他人修复，所需费用和利润的承担，按第19.2.3项约定办理。</w:t>
      </w:r>
    </w:p>
    <w:p w14:paraId="1D664B72">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19.3 缺陷责任期的延长</w:t>
      </w:r>
    </w:p>
    <w:p w14:paraId="38AB642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由于承包人原因造成某项缺陷或损坏使某项工程或工程设备不能按原定目标使用而需要再次检查、检验和修复的，招标人有权要求承包人相应延长缺陷责任期，但缺陷责任期最长不超过2年。</w:t>
      </w:r>
    </w:p>
    <w:p w14:paraId="65D29502">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19.4 进一步试验和试运行</w:t>
      </w:r>
    </w:p>
    <w:p w14:paraId="3EF17D6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任何一项缺陷或损坏修复后，经检查证明其影响了工程或工程设备的使用性能，承包人应重新进行合同约定的试验和试运行，试验和试运行的全部费用应由责任方承担。</w:t>
      </w:r>
    </w:p>
    <w:p w14:paraId="51AEECD2">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19.5 承包人的进入权</w:t>
      </w:r>
    </w:p>
    <w:p w14:paraId="54C5A7B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缺陷责任期内承包人为缺陷修复工作需要，有权进入工程现场，但应遵守招标人的保安和保密规定。</w:t>
      </w:r>
    </w:p>
    <w:p w14:paraId="5716D8ED">
      <w:pPr>
        <w:keepNext/>
        <w:widowControl w:val="0"/>
        <w:autoSpaceDE w:val="0"/>
        <w:autoSpaceDN w:val="0"/>
        <w:spacing w:line="440" w:lineRule="exact"/>
        <w:ind w:right="1"/>
        <w:rPr>
          <w:rFonts w:hint="eastAsia" w:ascii="宋体" w:hAnsi="宋体" w:eastAsia="宋体" w:cs="宋体"/>
          <w:color w:val="000000"/>
          <w:sz w:val="24"/>
          <w:szCs w:val="21"/>
          <w:highlight w:val="none"/>
          <w:lang w:val="en-US" w:eastAsia="zh-CN" w:bidi="ar-SA"/>
        </w:rPr>
      </w:pPr>
      <w:r>
        <w:rPr>
          <w:rFonts w:hint="eastAsia" w:ascii="宋体" w:hAnsi="宋体" w:eastAsia="宋体" w:cs="宋体"/>
          <w:b/>
          <w:color w:val="000000"/>
          <w:sz w:val="21"/>
          <w:szCs w:val="21"/>
          <w:highlight w:val="none"/>
          <w:lang w:val="en-US" w:eastAsia="zh-CN" w:bidi="ar-SA"/>
        </w:rPr>
        <w:t>19.6缺陷责任期终止证书(工程质量保修责任终止证书)</w:t>
      </w:r>
      <w:r>
        <w:rPr>
          <w:rFonts w:hint="eastAsia" w:ascii="宋体" w:hAnsi="宋体" w:eastAsia="宋体" w:cs="宋体"/>
          <w:color w:val="000000"/>
          <w:sz w:val="24"/>
          <w:szCs w:val="21"/>
          <w:highlight w:val="none"/>
          <w:lang w:val="en-US" w:eastAsia="zh-CN" w:bidi="ar-SA"/>
        </w:rPr>
        <w:t xml:space="preserve"> </w:t>
      </w:r>
    </w:p>
    <w:p w14:paraId="2FF2656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合同工程完工验收或投入使用验收后,招标人与承包人应办理工程交接手续，承包人应向招标人递交工程质量保修书。 缺陷责任期(工程质量保修期)满后30个工作日内，招标人应向承包人颁发工程质量保修责任终止证书，并退还剩余的质量保证金，但保修责任范围内的质量缺陷未处理完成的应除外。</w:t>
      </w:r>
    </w:p>
    <w:p w14:paraId="27720C35">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19.7 保修责任</w:t>
      </w:r>
    </w:p>
    <w:p w14:paraId="6AE2536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合同当事人根据有关法律规定，在专用合同条款中约定工程质量保修范围、期限和责任。保修期自实际竣工日期起计算。在全部工程竣工验收前，已经招标人提前验收的单位工程，其保修期的起算日期相应提前。</w:t>
      </w:r>
    </w:p>
    <w:p w14:paraId="0F054264">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00" w:name="_Toc264876664"/>
      <w:bookmarkStart w:id="201" w:name="_Toc266290000"/>
      <w:bookmarkStart w:id="202" w:name="_Toc194896800"/>
      <w:r>
        <w:rPr>
          <w:rFonts w:hint="eastAsia" w:ascii="宋体" w:hAnsi="宋体" w:eastAsia="宋体" w:cs="宋体"/>
          <w:b/>
          <w:color w:val="000000"/>
          <w:sz w:val="21"/>
          <w:szCs w:val="21"/>
          <w:highlight w:val="none"/>
          <w:lang w:val="en-US" w:eastAsia="zh-CN" w:bidi="ar-SA"/>
        </w:rPr>
        <w:t>20、保险</w:t>
      </w:r>
      <w:bookmarkEnd w:id="200"/>
      <w:bookmarkEnd w:id="201"/>
      <w:bookmarkEnd w:id="202"/>
    </w:p>
    <w:p w14:paraId="0AC69EAA">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20.1 工程保险</w:t>
      </w:r>
    </w:p>
    <w:p w14:paraId="2E0AE0D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除专用合同条款另有约定外，承包人应以招标人和承包人的共同名义向双方同意的保险人投保建筑工程一切险、安装工程一切险。其具体的投保内容、保险金额、保险费率、保险期限等有关内容在专用合同条款中约定。</w:t>
      </w:r>
    </w:p>
    <w:p w14:paraId="69F7236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20.2 人员工伤事故的保险</w:t>
      </w:r>
    </w:p>
    <w:p w14:paraId="04262D9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20.2.1 承包人员工伤事故的保险</w:t>
      </w:r>
    </w:p>
    <w:p w14:paraId="096820D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承包人应依照有关法律规定参加工伤保险，为其履行合同所雇佣的全部人员，缴纳工伤保险费，并要求其分包人也进行此项保险。</w:t>
      </w:r>
    </w:p>
    <w:p w14:paraId="0DFB59E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20.2.2 招标人员工伤事故的保险</w:t>
      </w:r>
    </w:p>
    <w:p w14:paraId="022CE05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招标人应依照有关法律规定参加工伤保险，为其现场机构雇佣的全部人员，缴纳工伤保险费，并要求其监理人也进行此项保险。</w:t>
      </w:r>
    </w:p>
    <w:p w14:paraId="349DA7D4">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20.3 人身意外伤害险</w:t>
      </w:r>
    </w:p>
    <w:p w14:paraId="325E676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20.3.1 招标人应在整个施工期间为其现场机构雇用的全部人员，投保人身意外伤害险，缴纳保险费，并要求其监理人也进行此项保险。</w:t>
      </w:r>
    </w:p>
    <w:p w14:paraId="06437AF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20.3.2 承包人应在整个施工期间为其现场机构雇用的全部人员，投保人身意外伤害险，缴纳保险费，并要求其分包人也进行此项保险。</w:t>
      </w:r>
    </w:p>
    <w:p w14:paraId="2F9182F6">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20.4 第三者责任险</w:t>
      </w:r>
    </w:p>
    <w:p w14:paraId="268693B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098C4B9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20.4.2 在缺陷责任期终止证书颁发前，承包人应以承包人和招标人的共同名义，投保第20.4.1项约定的第三者责任险，其保险费率、保险金额等有关内容在专用合同条款中约定。</w:t>
      </w:r>
    </w:p>
    <w:p w14:paraId="5684624D">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20.5 其他保险</w:t>
      </w:r>
    </w:p>
    <w:p w14:paraId="3689A17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除专用合同条款另有约定外，承包人应为其施工设备、进场的材料和工程设备等办理保险。</w:t>
      </w:r>
    </w:p>
    <w:p w14:paraId="4DA1A2B5">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20.6 对各项保险的一般要求</w:t>
      </w:r>
    </w:p>
    <w:p w14:paraId="062CC99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20.6.1 保险凭证</w:t>
      </w:r>
    </w:p>
    <w:p w14:paraId="33E856E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承包人应在专用合同条款约定的期限内向招标人提交各项保险生效的证据和保险单副本，保险单必须与专用合同条款约定的条件保持一致。</w:t>
      </w:r>
    </w:p>
    <w:p w14:paraId="15DF817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20.6.2 保险合同条款的变动</w:t>
      </w:r>
    </w:p>
    <w:p w14:paraId="6679733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承包人需要变动保险合同条款时，应事先征得招标人同意，并通知监理人。保险人作出变动的，承包人应在收到保险人通知后立即通知招标人和监理人。</w:t>
      </w:r>
    </w:p>
    <w:p w14:paraId="1250958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20.6.3 持续保险</w:t>
      </w:r>
    </w:p>
    <w:p w14:paraId="434EEAA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承包人应与保险人保持联系，使保险人能够随时了解工程实施中的变动，并确保按保险合同条款要求持续保险。</w:t>
      </w:r>
    </w:p>
    <w:p w14:paraId="7A97FD6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20.6.4 保险金不足以补偿损失时，应由承包人和发包入各自负责补偿的范围和金额在专用合同条款中约定。</w:t>
      </w:r>
    </w:p>
    <w:p w14:paraId="1164B5B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20.6.5 未按约定投保的补救</w:t>
      </w:r>
    </w:p>
    <w:p w14:paraId="7D76EC4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（l）由于负有投保义务的一方当事人未按合同约定办理保险，或未能使保险持续有效的，另一方当事人可代为办理，所需费用由对方当事人承担。</w:t>
      </w:r>
    </w:p>
    <w:p w14:paraId="044E5A6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（2）由于负有投保义务的一方当事人未按合同约定办理某项保险，导致受益人未能得到保险人的赔偿，原应从该项保险得到的保险金应由负有投保义务的一方当事人支付。</w:t>
      </w:r>
    </w:p>
    <w:p w14:paraId="3275D49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20.6.6 报告义务</w:t>
      </w:r>
    </w:p>
    <w:p w14:paraId="0E3665F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当保险事故发生时，投保人应按照保险单规定的条件和期限及时向保险人报告。</w:t>
      </w:r>
    </w:p>
    <w:p w14:paraId="1C18628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20.7 风险责任的转移 </w:t>
      </w:r>
    </w:p>
    <w:p w14:paraId="110029A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工程通过合同工程完工验收并移交给招标人后，原由承包人应承担的风险责任，以及保险的责任、权利和义务同时转移给招标人，但承包人在缺陷责任期(工程质量保修期)前造成损失和损坏情形除外。</w:t>
      </w:r>
    </w:p>
    <w:p w14:paraId="71A33A1D">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03" w:name="_Toc264876665"/>
      <w:bookmarkStart w:id="204" w:name="_Toc266290001"/>
      <w:bookmarkStart w:id="205" w:name="_Toc194896801"/>
      <w:r>
        <w:rPr>
          <w:rFonts w:hint="eastAsia" w:ascii="宋体" w:hAnsi="宋体" w:eastAsia="宋体" w:cs="宋体"/>
          <w:b/>
          <w:color w:val="000000"/>
          <w:sz w:val="21"/>
          <w:szCs w:val="21"/>
          <w:highlight w:val="none"/>
          <w:lang w:val="en-US" w:eastAsia="zh-CN" w:bidi="ar-SA"/>
        </w:rPr>
        <w:t>21、不可抗力</w:t>
      </w:r>
      <w:bookmarkEnd w:id="203"/>
      <w:bookmarkEnd w:id="204"/>
      <w:bookmarkEnd w:id="205"/>
    </w:p>
    <w:p w14:paraId="33C9578A">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21.1 不可抗力的确认</w:t>
      </w:r>
    </w:p>
    <w:p w14:paraId="2005A50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21.1.1 不可抗力是指承包人和招标人在订立合同时不可预见，在工程施工过程中不可避免发生并不能克服的自然灾害和社会性突发事件，如地震、海啸、瘟疫、水灾、骚乱、暴动、战争和专用合同条款约定的其他情形。</w:t>
      </w:r>
    </w:p>
    <w:p w14:paraId="1333724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21.1.2 不可抗力发生后，招标人和承包人应及时认真统计所造成的损失，收集不可抗力造成损失的证据。合同双方对是否属于不可抗力或其损失的意见不一致的，由监理人按第3.5款商定或确定。发生争议时，按第24条的约定办理。</w:t>
      </w:r>
    </w:p>
    <w:p w14:paraId="308270E8">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21.2 不可抗力的通知</w:t>
      </w:r>
    </w:p>
    <w:p w14:paraId="1B8AA3D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21.2.1 合同一方当事人遇到不可抗力事件，使其履行合同义务受到阻碍时，应立即通知合同另一方当事人和监理人，书面说明不可抗力和受阻碍的详细情况，并提供必要的证明。</w:t>
      </w:r>
    </w:p>
    <w:p w14:paraId="126EC18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73383A72">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21.3 不可抗力后果及其处理</w:t>
      </w:r>
    </w:p>
    <w:p w14:paraId="7BCD6FE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21.3.1 不可抗力造成损害的责任</w:t>
      </w:r>
    </w:p>
    <w:p w14:paraId="5727E2F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除专用合同条款另有约定外，不可抗力导致的人员伤亡、财产损失、费用增加和（或）工期延误等后果，由合同双方按以下原则承担：</w:t>
      </w:r>
    </w:p>
    <w:p w14:paraId="792DF7E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（1）永久工程，包括已运至施工场地的材料和工程设备的损害，以及因工程损害造成的第三者人员伤亡和财产损失由招标人承担；</w:t>
      </w:r>
    </w:p>
    <w:p w14:paraId="7FED1E0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（2）承包人设备的损坏由承包人承担；</w:t>
      </w:r>
    </w:p>
    <w:p w14:paraId="39CDE5C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（3）招标人和承包人各自承担其人员伤亡和其他财产损失及其相关费用；</w:t>
      </w:r>
    </w:p>
    <w:p w14:paraId="68C8A39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（4）承包人的停工损失由承包人承担，但停工期间应监理人要求照管工程和清理、修复工程的金额由招标人承担；</w:t>
      </w:r>
    </w:p>
    <w:p w14:paraId="1B43371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（5）不能按期竣工的，应合理延长工期，承包人不需支付逾期竣工违约金。招标人要求赶工的，承包人应采取赶工措施，赶工费用由招标人承担。</w:t>
      </w:r>
    </w:p>
    <w:p w14:paraId="5F38488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21.3.2 延迟履行期间发生的不可抗力</w:t>
      </w:r>
    </w:p>
    <w:p w14:paraId="66339AA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合同一方当事人延迟履行，在延迟履行期间发生不可抗力的，不免除其责任。</w:t>
      </w:r>
    </w:p>
    <w:p w14:paraId="3E062E1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21.3.3 避免和减少不可抗力损失</w:t>
      </w:r>
    </w:p>
    <w:p w14:paraId="75F7A68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不可抗力发生后，招标人和承包人均应采取措施尽量避免和减少损失的扩大，任何一方没有采取有效措施导致损失扩大的，应对扩大的损失承担责任。</w:t>
      </w:r>
    </w:p>
    <w:p w14:paraId="4774D0A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21.3.4 因不可抗力解除合同</w:t>
      </w:r>
    </w:p>
    <w:p w14:paraId="610B837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招标人承担，因未及时退货造成的损失由责任方承担。合同解除后的付款，参照第22.2.4项约定，由监理人按第3.5款商定或确定。</w:t>
      </w:r>
    </w:p>
    <w:p w14:paraId="24CC8829">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06" w:name="_Toc266290002"/>
      <w:bookmarkStart w:id="207" w:name="_Toc194896802"/>
      <w:bookmarkStart w:id="208" w:name="_Toc264876666"/>
      <w:r>
        <w:rPr>
          <w:rFonts w:hint="eastAsia" w:ascii="宋体" w:hAnsi="宋体" w:eastAsia="宋体" w:cs="宋体"/>
          <w:b/>
          <w:color w:val="000000"/>
          <w:sz w:val="21"/>
          <w:szCs w:val="21"/>
          <w:highlight w:val="none"/>
          <w:lang w:val="en-US" w:eastAsia="zh-CN" w:bidi="ar-SA"/>
        </w:rPr>
        <w:t>22、违约</w:t>
      </w:r>
      <w:bookmarkEnd w:id="206"/>
      <w:bookmarkEnd w:id="207"/>
      <w:bookmarkEnd w:id="208"/>
    </w:p>
    <w:p w14:paraId="64C2975B">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22.1 承包人违约</w:t>
      </w:r>
    </w:p>
    <w:p w14:paraId="0AA63BE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22.1.1 承包人违约的情形</w:t>
      </w:r>
    </w:p>
    <w:p w14:paraId="5BD2A86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在履行合同过程中发生的下列情况属承包人违约: </w:t>
      </w:r>
    </w:p>
    <w:p w14:paraId="3192133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承包人违反第1.8款或第4.3款的约定，私自将合同的全部或部分权利转让给其他人，或私自将合同的全部或部分义务转移给其他人；</w:t>
      </w:r>
    </w:p>
    <w:p w14:paraId="28657BC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 承包人违反第5.3款或第6.4款的约定，未经监理人批准，私自将已按合同约定进入施工场地的施工设备、临时设施或材料撤离施工场地； </w:t>
      </w:r>
    </w:p>
    <w:p w14:paraId="551E3B9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承包人违反第5.4款的约定使用了不合格材料或工程设备，工程质量达不到标准要求，又拒绝清除不合格工程；</w:t>
      </w:r>
    </w:p>
    <w:p w14:paraId="0AE7C66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 承包人未能按合同进度计划及时完成合同约定的工作，已造成或预期造成工期延误；</w:t>
      </w:r>
    </w:p>
    <w:p w14:paraId="080FEE5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 承包人在缺陷责任期(工程质量保修期)内，未能对合同工程完工验收鉴定书所列的缺陷清单的内容或缺陷责任期(工程质量保修期)内发生的缺陷进行修复，而又拒绝按监理人指示再进行修补；</w:t>
      </w:r>
    </w:p>
    <w:p w14:paraId="33BD9CB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 承包人无法继续履行或明确表示不履行或实质上已停履行合同；</w:t>
      </w:r>
    </w:p>
    <w:p w14:paraId="56B8813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 承包人不按合同约定履行义务的其它情况。</w:t>
      </w:r>
    </w:p>
    <w:p w14:paraId="130D0AC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22.1.2 对承包人违约的处理</w:t>
      </w:r>
    </w:p>
    <w:p w14:paraId="565C318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（l）承包人发生第22.1.1（6）目约定的违约情况时，招标人可通知承包人立即解除合同，并按有关法律处理。</w:t>
      </w:r>
    </w:p>
    <w:p w14:paraId="30FE615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（2）承包人发生除第22.1.1（6）目约定以外的其他违约情况时，监理人可向承包人发出整改通知，要求其在指定的期限内改正。承包人应承担其违约所引起的费用增加和（或）工期延误。</w:t>
      </w:r>
    </w:p>
    <w:p w14:paraId="57815A1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（3）经检查证明承包人已采取了有效措施纠正违约行为，具备复工条件的，可由监理人签发复工通知复工。</w:t>
      </w:r>
    </w:p>
    <w:p w14:paraId="58EB5BC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22.1.3 承包人违约解除合同</w:t>
      </w:r>
    </w:p>
    <w:p w14:paraId="18F71CC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监理人发出整改通知28天后，承包人仍不纠正违约行为的，招标人可向承包人发出解除合同通知。合同解除后，招标人可派员进驻施工场地，另行组织人员或委托其他承包人施工。招标人因继续完成该工程的需要，有权扣留使用承包人在现场的材料、设备和临时设施。但招标人的这一行动不免除承包人应承担的违约责任，也不影响招标人根据合同约定享有的索赔权利。</w:t>
      </w:r>
    </w:p>
    <w:p w14:paraId="673F8DC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22.1.4 合同解除后的估价、付款和结清</w:t>
      </w:r>
    </w:p>
    <w:p w14:paraId="71DE412A">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（1）合同解除后，监理人按第3.5款商定或确定承包人实际完成工作的价值，以及承包人已提供的材料、施工设备、工程设备和临时工程等的价值。</w:t>
      </w:r>
    </w:p>
    <w:p w14:paraId="32CA00F1">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（2）合同解除后，招标人应暂停对承包人的一切付款，查清各项付款和已扣款金额，包括承包人应支付的违约金。</w:t>
      </w:r>
    </w:p>
    <w:p w14:paraId="7FBA535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（3）合同解除后，招标人应按第23.4款的约定向承包人索赔由于解除合同给招标人造成的损失。</w:t>
      </w:r>
    </w:p>
    <w:p w14:paraId="12342BD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（4）合同双方确认上述往来款项后，出具最终结清付款证书，结清全部合同款项。</w:t>
      </w:r>
    </w:p>
    <w:p w14:paraId="4288EAD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（5）招标人和承包人未能就解除合同后的结清达成一致而形成争议的，按第24条的约定办理。</w:t>
      </w:r>
    </w:p>
    <w:p w14:paraId="0763169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22.1.5 协议利益的转让</w:t>
      </w:r>
    </w:p>
    <w:p w14:paraId="0C02158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因承包人违约解除合同的，招标人有权要求承包人将其为实施合同而签订的材料和设备的订货协议或任何服务协议利益转让给招标人，并在解除合同后的14天内，依法办理转让手续。</w:t>
      </w:r>
    </w:p>
    <w:p w14:paraId="6F84B29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22.1.6 紧急情况下无能力或不愿进行抢救</w:t>
      </w:r>
    </w:p>
    <w:p w14:paraId="184D122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工程实施期间或缺陷责任期内发生危及工程安全的事件，监理人通知承包人进行抢救，承包人声明无能力或不愿立即执行的，招标人有权雇佣其他人员进行抢救。此类抢救按合同约定属于承包人义务的，由此发生的金额和（或）工期延误由承包人承担。</w:t>
      </w:r>
    </w:p>
    <w:p w14:paraId="6BBD1C22">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22.2 招标人违约</w:t>
      </w:r>
    </w:p>
    <w:p w14:paraId="407CF6C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22.2.1 招标人违约的情形</w:t>
      </w:r>
    </w:p>
    <w:p w14:paraId="52CA74D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在履行合同过程中发生的下列情形，属招标人违约：</w:t>
      </w:r>
    </w:p>
    <w:p w14:paraId="308932F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（l）招标人未能按合同约定支付预付款或合同价款，或拖延、拒绝批准付款申请和支付凭证，导致付款延误的；</w:t>
      </w:r>
    </w:p>
    <w:p w14:paraId="282226C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（2）招标人原因造成停工的；</w:t>
      </w:r>
    </w:p>
    <w:p w14:paraId="08E0E23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（3）监理人无正当理由没有在约定期限内发出复工指示，导致承包人无法复工的；</w:t>
      </w:r>
    </w:p>
    <w:p w14:paraId="4A95EE6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（4）招标人无法继续履行或明确表示不履行或实质上已停止履行合同的；</w:t>
      </w:r>
    </w:p>
    <w:p w14:paraId="21A14EC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（5）招标人不履行合同约定其他义务的。</w:t>
      </w:r>
    </w:p>
    <w:p w14:paraId="604B875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22.2.2 承包人有权暂停施工</w:t>
      </w:r>
    </w:p>
    <w:p w14:paraId="773E824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发生除第22.2.1（4）目以外的违约情况时，承包人可向招标人发出通知，要求招标人采取有效措施纠正违约行为。招标人收到承包人通知后的28天内仍不履行合同义务，承包人有权暂停施工，并通知监理人，招标人应承担由此增加的费用和（或）工期延误，并支付承包人合理利润。</w:t>
      </w:r>
    </w:p>
    <w:p w14:paraId="40EED51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22.2.3 招标人违约解除合同</w:t>
      </w:r>
    </w:p>
    <w:p w14:paraId="274F7CD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（1）发生第22.2.1（4）目的违约情况时，承包人可书面通知招标人解除合同。</w:t>
      </w:r>
    </w:p>
    <w:p w14:paraId="056E9FA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（2）承包人按22.2.2项暂停施工28天后，招标人仍不纠正违约行为的，承包人可向招标人发出解除合同通知。但承包人的这一行动不免除招标人承担的违约责任，也不影响承包人根据合同约定享有的索赔权利。</w:t>
      </w:r>
    </w:p>
    <w:p w14:paraId="5AFF0DD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22.2.4 解除合同后的付款</w:t>
      </w:r>
    </w:p>
    <w:p w14:paraId="2F5CBD2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因招标人违约解除合同的，招标人应在解除合同后28天内向承包人支付下列金额，承包人应在此期限内及时向招标人提交要求支付下列金额的有关资料和凭证：</w:t>
      </w:r>
    </w:p>
    <w:p w14:paraId="71AEFB8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（l）合同解除日以前所完成工作的价款；</w:t>
      </w:r>
    </w:p>
    <w:p w14:paraId="1B7CBEB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（2）承包人为该工程施工订购并已付款的材料、工程设备和其他物品的金额。招标人付还后，该材料、工程设备和其他物品归招标人所有；</w:t>
      </w:r>
    </w:p>
    <w:p w14:paraId="47537CF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（3）承包人为完成工程所发生的，而招标人未支付的金额；</w:t>
      </w:r>
    </w:p>
    <w:p w14:paraId="1AB18B1D">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（4）承包人撤离施工场地以及遣散承包人人员的金额；</w:t>
      </w:r>
    </w:p>
    <w:p w14:paraId="5DC9A69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（5）由于解除合同应赔偿的承包人损失；</w:t>
      </w:r>
    </w:p>
    <w:p w14:paraId="321F6B7B">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（6）按合同约定在合同解除日前应支付给承包人的其他金额。</w:t>
      </w:r>
    </w:p>
    <w:p w14:paraId="573A6DF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招标人应按本项约定支付上述金额并退还质量保证金和履约担保，但有权要求承包人支付应偿还给招标人的各项金额。</w:t>
      </w:r>
    </w:p>
    <w:p w14:paraId="015B849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22.2.5 解除合同后的承包人撤离</w:t>
      </w:r>
    </w:p>
    <w:p w14:paraId="5A586A1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因招标人违约而解除合同后，承包人应妥善做好已竣工工程和已购材料、设备的保护和移交工作，按招标人要求将承包人设备和人员撤出施工场地。承包人撤出施工场地应遵守第18.7.1项的约定，招标人应为承包人撤出提供必要条件。</w:t>
      </w:r>
    </w:p>
    <w:p w14:paraId="3043716F">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22.3 第三人造成的违约</w:t>
      </w:r>
    </w:p>
    <w:p w14:paraId="6EBAC2D0">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在履行合同过程中，一方当事人因第三人的原因造成违约的，应当向对方当事人承担违约责任。一方当事人和第三人之间的纠纷，依照法律规定或者按照约定解决。</w:t>
      </w:r>
    </w:p>
    <w:p w14:paraId="0C7F1182">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09" w:name="_Toc194896803"/>
      <w:bookmarkStart w:id="210" w:name="_Toc264876667"/>
      <w:bookmarkStart w:id="211" w:name="_Toc266290003"/>
      <w:r>
        <w:rPr>
          <w:rFonts w:hint="eastAsia" w:ascii="宋体" w:hAnsi="宋体" w:eastAsia="宋体" w:cs="宋体"/>
          <w:b/>
          <w:color w:val="000000"/>
          <w:sz w:val="21"/>
          <w:szCs w:val="21"/>
          <w:highlight w:val="none"/>
          <w:lang w:val="en-US" w:eastAsia="zh-CN" w:bidi="ar-SA"/>
        </w:rPr>
        <w:t>23、索赔</w:t>
      </w:r>
      <w:bookmarkEnd w:id="209"/>
      <w:bookmarkEnd w:id="210"/>
      <w:bookmarkEnd w:id="211"/>
    </w:p>
    <w:p w14:paraId="4EFF3B66">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23.1 承包人索赔的提出</w:t>
      </w:r>
    </w:p>
    <w:p w14:paraId="56ADF6F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根据合同约定，承包人认为有权得到追加付款和（或）延长工期的，应按以下程序向招标人提出索赔：</w:t>
      </w:r>
    </w:p>
    <w:p w14:paraId="2877620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（l）承包人应在知道或应当知道索赔事件发生后28天内，向监理人递交索赔意向通知书，并说明发生索赔事件的事由。承包人未在前述28天内发出索赔意向通知书的，丧失要求追加付款和（或）延长工期的权利；</w:t>
      </w:r>
    </w:p>
    <w:p w14:paraId="4AA84B3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（2）承包人应在发出索赔意向通知书后28天内，向监理人正式递交索赔通知书。索赔通知书应详细说明索赔理由以及要求追加的付款金额和（或）延长的工期，并附必要的记录和证明材料；</w:t>
      </w:r>
    </w:p>
    <w:p w14:paraId="013BEF2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（3）索赔事件具有连续影响的，承包人应按合理时间间隔继续递交延续索赔通知，说明连续影响的实际情况和记录，列出累计的追加付款金额和（或）工期延长天数；</w:t>
      </w:r>
    </w:p>
    <w:p w14:paraId="45F38F0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（4）在索赔事件影响结束后的28天内，承包人应向监理人递交最终索赔通知书，说明最终要求索赔的追加付款金额和延长的工期，并附必要的记录和证明材料。</w:t>
      </w:r>
    </w:p>
    <w:p w14:paraId="65FB8502">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23.2 承包人索赔处理程序</w:t>
      </w:r>
    </w:p>
    <w:p w14:paraId="044A1D9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（1）监理人收到承包人提交的索赔通知书后，应及时审查索赔通知书的内容、查验承包人的记录和证明材料，必要时监理人可要求承包人提交全部原始记录副本。</w:t>
      </w:r>
    </w:p>
    <w:p w14:paraId="75413454">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（2）监理人应按第3.5款商定或确定追加的付款和（或）延长的工期，并在收到上述索赔通知书或有关索赔的进一步证明材料后的42天内，将索赔处理结果答复承包人。</w:t>
      </w:r>
    </w:p>
    <w:p w14:paraId="6025AA0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（3）承包人接受索赔处理结果的，招标人应在作出索赔处理结果答复后28天内完成赔付。承包人不接受索赔处理结果的，按第24条的约定办理。</w:t>
      </w:r>
    </w:p>
    <w:p w14:paraId="6FDE00A5">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23.3 承包人提出索赔的期限</w:t>
      </w:r>
    </w:p>
    <w:p w14:paraId="320E220F">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23.3.1 承包人按第17.5款的约定接受了完工付款证书后，应被认为已无权再提出在合同工程完工证书颁发前所发生的任何索赔。 </w:t>
      </w:r>
    </w:p>
    <w:p w14:paraId="18ADF10C">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23.3.2 承包人按第17.6款的约定提交的最终结清申请单中，只限于提出合同工程完工证书颁发后发生的索赔。提出索赔的期限自接受最终结清证书时终止。 </w:t>
      </w:r>
    </w:p>
    <w:p w14:paraId="2D2B1B7D">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23.4 招标人的索赔</w:t>
      </w:r>
    </w:p>
    <w:p w14:paraId="38E3091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23.4.1 发生索赔事件后，监理人应及时书面通知承包人，详细说明招标人有权得到的索赔金额和（或）延长缺陷责任期的细节和依据。招标人提出索赔的期限和要求与第23.3款的约定相同，延长缺陷责任期的通知应在缺陷责任期届满前发出。</w:t>
      </w:r>
    </w:p>
    <w:p w14:paraId="1DD9931E">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23.4.2 监理人按第3.5款商定或确定招标人从承包人处得到赔付的金额和（或）缺陷责任期的延长期。承包人应付给招标人的金额可从拟支付给承包人的合同价款中扣除，或由承包人以其他方式支付给招标人。</w:t>
      </w:r>
    </w:p>
    <w:p w14:paraId="675C814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53B45B78">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12" w:name="_Toc266290004"/>
      <w:bookmarkStart w:id="213" w:name="_Toc264876668"/>
      <w:bookmarkStart w:id="214" w:name="_Toc194896804"/>
      <w:r>
        <w:rPr>
          <w:rFonts w:hint="eastAsia" w:ascii="宋体" w:hAnsi="宋体" w:eastAsia="宋体" w:cs="宋体"/>
          <w:b/>
          <w:color w:val="000000"/>
          <w:sz w:val="21"/>
          <w:szCs w:val="21"/>
          <w:highlight w:val="none"/>
          <w:lang w:val="en-US" w:eastAsia="zh-CN" w:bidi="ar-SA"/>
        </w:rPr>
        <w:t>24、争议的解决</w:t>
      </w:r>
      <w:bookmarkEnd w:id="212"/>
      <w:bookmarkEnd w:id="213"/>
      <w:bookmarkEnd w:id="214"/>
    </w:p>
    <w:p w14:paraId="50FCDB84">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24.1 争议的解决方式</w:t>
      </w:r>
    </w:p>
    <w:p w14:paraId="345B153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209DB4F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（l）向约定的仲裁委员会申请仲裁；</w:t>
      </w:r>
    </w:p>
    <w:p w14:paraId="38C90246">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（2）向有管辖权的人民法院提起诉讼。</w:t>
      </w:r>
    </w:p>
    <w:p w14:paraId="717FD81E">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24.2 友好解决</w:t>
      </w:r>
    </w:p>
    <w:p w14:paraId="551E293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在提请争议评审、仲裁或者诉讼前，以及在争议评审、仲裁或诉讼过程中，招标人和承包人均可共同努力友好协商解决争议。</w:t>
      </w:r>
    </w:p>
    <w:p w14:paraId="4D7824B1">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24.3 争议评审</w:t>
      </w:r>
    </w:p>
    <w:p w14:paraId="59480139">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24.3.1 采用争议评审的，招标人和承包人应在开工日后的28天内或在争议发生后，协商成立争议评审组。争议评审组由有合同管理和工程实践经验的专家组成。</w:t>
      </w:r>
    </w:p>
    <w:p w14:paraId="1A73C7E8">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24.3.2 合同双方的争议，应首先由申请人向争议评审组提交一份详细的评审申请报告，并附必要的文件、图纸和证明材料，申请人还应将上述报告的副本同时提交给被申请人和监理人。</w:t>
      </w:r>
    </w:p>
    <w:p w14:paraId="1DE6C65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24.3.3 被申请人在收到申请人评审申请报告副本后的28天内，向争议评审组提交一份答辩报告，并附证明材料。被申请人应将答辩报告的副本同时提交给申请人和监理人。</w:t>
      </w:r>
    </w:p>
    <w:p w14:paraId="62BFDD8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2999FC13">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34496C45">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24.3.6 招标人和承包人接受评审意见的，由监理人根据评审意见拟定执行协议，经争议双方签字后作为合同的补充文件，并遵照执行。</w:t>
      </w:r>
    </w:p>
    <w:p w14:paraId="1ABE51C2">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24.3.7 招标人或承包人不接受评审意见，并要求提交仲裁或提起诉讼的，应在收到评审意见后的14天内将仲裁或起诉意向书面通知另一方，并抄送监理人，但在仲裁或诉讼结束前应暂按总监理工程师的确定执行。</w:t>
      </w:r>
    </w:p>
    <w:p w14:paraId="0D57440D">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24.4 仲裁 </w:t>
      </w:r>
    </w:p>
    <w:p w14:paraId="05891CC7">
      <w:pPr>
        <w:keepNext/>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24.4.1 若合同双方商定直接向仲裁机构申请仲裁，应签订仲裁协议并约定仲裁 机构。 </w:t>
      </w:r>
    </w:p>
    <w:p w14:paraId="2C6704E0">
      <w:pPr>
        <w:keepNext/>
        <w:spacing w:line="400" w:lineRule="exact"/>
        <w:ind w:firstLine="420" w:firstLineChars="200"/>
        <w:rPr>
          <w:rFonts w:hint="eastAsia" w:ascii="宋体" w:hAnsi="宋体" w:eastAsia="宋体" w:cs="宋体"/>
          <w:b/>
          <w:bCs/>
          <w:color w:val="000000"/>
          <w:sz w:val="36"/>
          <w:szCs w:val="36"/>
          <w:highlight w:val="none"/>
        </w:rPr>
      </w:pPr>
      <w:r>
        <w:rPr>
          <w:rFonts w:hint="eastAsia" w:ascii="宋体" w:hAnsi="宋体" w:eastAsia="宋体" w:cs="宋体"/>
          <w:color w:val="000000"/>
          <w:szCs w:val="21"/>
          <w:highlight w:val="none"/>
        </w:rPr>
        <w:t>24.4.2 若合同双方未能达成仲裁协议，则本合同的仲裁条款无效，任一方均有权向人民法院提起诉讼。</w:t>
      </w:r>
    </w:p>
    <w:p w14:paraId="06FC2B54">
      <w:pP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p>
    <w:p w14:paraId="695CEC20">
      <w:pPr>
        <w:keepNext/>
        <w:spacing w:line="480" w:lineRule="exact"/>
        <w:ind w:firstLine="482" w:firstLineChars="20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第2节 专用合同条款</w:t>
      </w:r>
      <w:bookmarkEnd w:id="145"/>
    </w:p>
    <w:p w14:paraId="0FD64E00">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 一般约定 </w:t>
      </w:r>
    </w:p>
    <w:p w14:paraId="22294377">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1.1 词语定义 </w:t>
      </w:r>
    </w:p>
    <w:p w14:paraId="7D706812">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1.1.2 合同当事人和人员 </w:t>
      </w:r>
    </w:p>
    <w:p w14:paraId="5FCAF465">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1.1.2.2 招标人:</w:t>
      </w:r>
      <w:r>
        <w:rPr>
          <w:rFonts w:hint="eastAsia" w:ascii="宋体" w:hAnsi="宋体" w:eastAsia="宋体" w:cs="宋体"/>
          <w:color w:val="000000"/>
          <w:szCs w:val="21"/>
          <w:highlight w:val="none"/>
          <w:u w:val="single"/>
        </w:rPr>
        <w:t xml:space="preserve">                    /                 </w:t>
      </w:r>
      <w:r>
        <w:rPr>
          <w:rFonts w:hint="eastAsia" w:ascii="宋体" w:hAnsi="宋体" w:eastAsia="宋体" w:cs="宋体"/>
          <w:color w:val="000000"/>
          <w:szCs w:val="21"/>
          <w:highlight w:val="none"/>
        </w:rPr>
        <w:t>。</w:t>
      </w:r>
    </w:p>
    <w:p w14:paraId="3D795108">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1.1.2.3 承包人:</w:t>
      </w:r>
      <w:r>
        <w:rPr>
          <w:rFonts w:hint="eastAsia" w:ascii="宋体" w:hAnsi="宋体" w:eastAsia="宋体" w:cs="宋体"/>
          <w:color w:val="000000"/>
          <w:szCs w:val="21"/>
          <w:highlight w:val="none"/>
          <w:u w:val="single"/>
        </w:rPr>
        <w:t xml:space="preserve">                   /                  </w:t>
      </w:r>
      <w:r>
        <w:rPr>
          <w:rFonts w:hint="eastAsia" w:ascii="宋体" w:hAnsi="宋体" w:eastAsia="宋体" w:cs="宋体"/>
          <w:color w:val="000000"/>
          <w:szCs w:val="21"/>
          <w:highlight w:val="none"/>
        </w:rPr>
        <w:t>。</w:t>
      </w:r>
    </w:p>
    <w:p w14:paraId="0A469034">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1.1.2.5 分包人:</w:t>
      </w:r>
      <w:r>
        <w:rPr>
          <w:rFonts w:hint="eastAsia" w:ascii="宋体" w:hAnsi="宋体" w:eastAsia="宋体" w:cs="宋体"/>
          <w:color w:val="000000"/>
          <w:szCs w:val="21"/>
          <w:highlight w:val="none"/>
          <w:u w:val="single"/>
        </w:rPr>
        <w:t xml:space="preserve">                   /                  </w:t>
      </w:r>
      <w:r>
        <w:rPr>
          <w:rFonts w:hint="eastAsia" w:ascii="宋体" w:hAnsi="宋体" w:eastAsia="宋体" w:cs="宋体"/>
          <w:color w:val="000000"/>
          <w:szCs w:val="21"/>
          <w:highlight w:val="none"/>
        </w:rPr>
        <w:t>。</w:t>
      </w:r>
    </w:p>
    <w:p w14:paraId="5D9DFC84">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1.1.2.6 监理人:</w:t>
      </w:r>
      <w:r>
        <w:rPr>
          <w:rFonts w:hint="eastAsia" w:ascii="宋体" w:hAnsi="宋体" w:eastAsia="宋体" w:cs="宋体"/>
          <w:color w:val="000000"/>
          <w:szCs w:val="21"/>
          <w:highlight w:val="none"/>
          <w:u w:val="single"/>
        </w:rPr>
        <w:t xml:space="preserve">                   /                  </w:t>
      </w:r>
      <w:r>
        <w:rPr>
          <w:rFonts w:hint="eastAsia" w:ascii="宋体" w:hAnsi="宋体" w:eastAsia="宋体" w:cs="宋体"/>
          <w:color w:val="000000"/>
          <w:szCs w:val="21"/>
          <w:highlight w:val="none"/>
        </w:rPr>
        <w:t>。</w:t>
      </w:r>
    </w:p>
    <w:p w14:paraId="78F4D01D">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1.1.4 日期 </w:t>
      </w:r>
    </w:p>
    <w:p w14:paraId="5826980B">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1.1.4.5 缺陷责任期(工程质量保修期):</w:t>
      </w:r>
      <w:r>
        <w:rPr>
          <w:rFonts w:hint="eastAsia" w:ascii="宋体" w:hAnsi="宋体" w:eastAsia="宋体" w:cs="宋体"/>
          <w:b/>
          <w:color w:val="000000"/>
          <w:szCs w:val="21"/>
          <w:highlight w:val="none"/>
          <w:u w:val="single"/>
        </w:rPr>
        <w:t xml:space="preserve"> 壹</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p>
    <w:p w14:paraId="41D7447B">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1.4 合同文件的优先顺序 </w:t>
      </w:r>
    </w:p>
    <w:p w14:paraId="402BFC67">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进入合同文件的各项文件及其优先顺序是：</w:t>
      </w:r>
    </w:p>
    <w:p w14:paraId="4F53FF98">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（1）合同协议书（包括补充协议）；</w:t>
      </w:r>
    </w:p>
    <w:p w14:paraId="1E9F9F1B">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（2）中标通知书；</w:t>
      </w:r>
    </w:p>
    <w:p w14:paraId="35123445">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（3）中标人对投标文件所做出的澄清或说明；</w:t>
      </w:r>
    </w:p>
    <w:p w14:paraId="2A55BF48">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（4）投标函及投标函附录； </w:t>
      </w:r>
    </w:p>
    <w:p w14:paraId="34DDE4F8">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（5）专用合同条款；</w:t>
      </w:r>
    </w:p>
    <w:p w14:paraId="2F40D401">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（6）通用合同条款；</w:t>
      </w:r>
    </w:p>
    <w:p w14:paraId="55D06D89">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（7）技术标准和要求（合同技术条款）；</w:t>
      </w:r>
    </w:p>
    <w:p w14:paraId="5B24C59A">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（8）图纸；</w:t>
      </w:r>
    </w:p>
    <w:p w14:paraId="48135070">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（9）已标价的工程量清单；</w:t>
      </w:r>
    </w:p>
    <w:p w14:paraId="14F2DCCE">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（10）承发包廉政承诺书和安全生产责任书；</w:t>
      </w:r>
    </w:p>
    <w:p w14:paraId="4314F44C">
      <w:pPr>
        <w:spacing w:line="400" w:lineRule="exact"/>
        <w:ind w:left="-357" w:leftChars="-170"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（11）经双方确认进入合同的其他文件。</w:t>
      </w:r>
    </w:p>
    <w:p w14:paraId="51167159">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1.7 联络 </w:t>
      </w:r>
    </w:p>
    <w:p w14:paraId="19B45A79">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1.7.2 来往函件均应按技术标准和要求(合同技术条款)约定的期限送达</w:t>
      </w:r>
      <w:r>
        <w:rPr>
          <w:rFonts w:hint="eastAsia" w:ascii="宋体" w:hAnsi="宋体" w:eastAsia="宋体" w:cs="宋体"/>
          <w:b/>
          <w:color w:val="000000"/>
          <w:szCs w:val="21"/>
          <w:highlight w:val="none"/>
          <w:u w:val="single"/>
        </w:rPr>
        <w:t>工程现场办公场所</w:t>
      </w:r>
      <w:r>
        <w:rPr>
          <w:rFonts w:hint="eastAsia" w:ascii="宋体" w:hAnsi="宋体" w:eastAsia="宋体" w:cs="宋体"/>
          <w:color w:val="000000"/>
          <w:szCs w:val="21"/>
          <w:highlight w:val="none"/>
        </w:rPr>
        <w:t>。</w:t>
      </w:r>
    </w:p>
    <w:p w14:paraId="0C7261A8">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15" w:name="_Toc266290006"/>
      <w:r>
        <w:rPr>
          <w:rFonts w:hint="eastAsia" w:ascii="宋体" w:hAnsi="宋体" w:eastAsia="宋体" w:cs="宋体"/>
          <w:b/>
          <w:color w:val="000000"/>
          <w:sz w:val="21"/>
          <w:szCs w:val="21"/>
          <w:highlight w:val="none"/>
          <w:lang w:val="en-US" w:eastAsia="zh-CN" w:bidi="ar-SA"/>
        </w:rPr>
        <w:t>2 招标人义务</w:t>
      </w:r>
      <w:bookmarkEnd w:id="215"/>
      <w:r>
        <w:rPr>
          <w:rFonts w:hint="eastAsia" w:ascii="宋体" w:hAnsi="宋体" w:eastAsia="宋体" w:cs="宋体"/>
          <w:b/>
          <w:color w:val="000000"/>
          <w:sz w:val="21"/>
          <w:szCs w:val="21"/>
          <w:highlight w:val="none"/>
          <w:lang w:val="en-US" w:eastAsia="zh-CN" w:bidi="ar-SA"/>
        </w:rPr>
        <w:t xml:space="preserve"> </w:t>
      </w:r>
    </w:p>
    <w:p w14:paraId="29B6FCE6">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2.3 提供施工场地 </w:t>
      </w:r>
    </w:p>
    <w:p w14:paraId="7B3324A6">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2.3.2 招标人提供的施工场地范围为:</w:t>
      </w:r>
      <w:r>
        <w:rPr>
          <w:rFonts w:hint="eastAsia" w:ascii="宋体" w:hAnsi="宋体" w:eastAsia="宋体" w:cs="宋体"/>
          <w:b/>
          <w:color w:val="000000"/>
          <w:szCs w:val="21"/>
          <w:highlight w:val="none"/>
          <w:u w:val="single"/>
        </w:rPr>
        <w:t>施工合同协议书签订7日内，由招标人提供给承包人。提供的施工场地范围和期限在签订施工合同协议书时商定</w:t>
      </w:r>
      <w:r>
        <w:rPr>
          <w:rFonts w:hint="eastAsia" w:ascii="宋体" w:hAnsi="宋体" w:eastAsia="宋体" w:cs="宋体"/>
          <w:color w:val="000000"/>
          <w:szCs w:val="21"/>
          <w:highlight w:val="none"/>
        </w:rPr>
        <w:t>。</w:t>
      </w:r>
    </w:p>
    <w:p w14:paraId="002F725C">
      <w:pPr>
        <w:spacing w:line="400" w:lineRule="exact"/>
        <w:ind w:right="-874" w:rightChars="-416" w:firstLine="411" w:firstLineChars="19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2.3.3 承包人自行勘察的施工场地范围为: </w:t>
      </w:r>
      <w:r>
        <w:rPr>
          <w:rFonts w:hint="eastAsia" w:ascii="宋体" w:hAnsi="宋体" w:eastAsia="宋体" w:cs="宋体"/>
          <w:b/>
          <w:color w:val="000000"/>
          <w:szCs w:val="21"/>
          <w:highlight w:val="none"/>
          <w:u w:val="single"/>
        </w:rPr>
        <w:t>承包人自行确定</w:t>
      </w:r>
      <w:r>
        <w:rPr>
          <w:rFonts w:hint="eastAsia" w:ascii="宋体" w:hAnsi="宋体" w:eastAsia="宋体" w:cs="宋体"/>
          <w:color w:val="000000"/>
          <w:szCs w:val="21"/>
          <w:highlight w:val="none"/>
        </w:rPr>
        <w:t>。</w:t>
      </w:r>
    </w:p>
    <w:p w14:paraId="6807BCCE">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16" w:name="_Toc266290007"/>
      <w:r>
        <w:rPr>
          <w:rFonts w:hint="eastAsia" w:ascii="宋体" w:hAnsi="宋体" w:eastAsia="宋体" w:cs="宋体"/>
          <w:b/>
          <w:color w:val="000000"/>
          <w:sz w:val="21"/>
          <w:szCs w:val="21"/>
          <w:highlight w:val="none"/>
          <w:lang w:val="en-US" w:eastAsia="zh-CN" w:bidi="ar-SA"/>
        </w:rPr>
        <w:t>3 监理人</w:t>
      </w:r>
      <w:bookmarkEnd w:id="216"/>
      <w:r>
        <w:rPr>
          <w:rFonts w:hint="eastAsia" w:ascii="宋体" w:hAnsi="宋体" w:eastAsia="宋体" w:cs="宋体"/>
          <w:b/>
          <w:color w:val="000000"/>
          <w:sz w:val="21"/>
          <w:szCs w:val="21"/>
          <w:highlight w:val="none"/>
          <w:lang w:val="en-US" w:eastAsia="zh-CN" w:bidi="ar-SA"/>
        </w:rPr>
        <w:t xml:space="preserve"> </w:t>
      </w:r>
    </w:p>
    <w:p w14:paraId="2A5FBBE0">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3.1 监理人的职责和权力 </w:t>
      </w:r>
    </w:p>
    <w:p w14:paraId="374FB01D">
      <w:pPr>
        <w:spacing w:line="400" w:lineRule="exact"/>
        <w:ind w:right="-874" w:rightChars="-416" w:firstLine="411" w:firstLineChars="19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3.1.1 监理人须根据招标人事先批准的权力范围行使权力,招标人批准的权力范围: </w:t>
      </w:r>
    </w:p>
    <w:p w14:paraId="25EC2282">
      <w:pPr>
        <w:spacing w:line="400" w:lineRule="exact"/>
        <w:ind w:right="-874" w:rightChars="-416" w:firstLine="411" w:firstLineChars="19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按第4.3款约定，批准工程的分包；</w:t>
      </w:r>
    </w:p>
    <w:p w14:paraId="35FF30A9">
      <w:pPr>
        <w:spacing w:line="400" w:lineRule="exact"/>
        <w:ind w:right="-874" w:rightChars="-416" w:firstLine="411" w:firstLineChars="19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(2)按第4.5、4.6款约定，批准人员的更换；</w:t>
      </w:r>
    </w:p>
    <w:p w14:paraId="3124D38B">
      <w:pPr>
        <w:spacing w:line="400" w:lineRule="exact"/>
        <w:ind w:right="-874" w:rightChars="-416" w:firstLine="411" w:firstLineChars="19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按第11.3款约定，确定延长完工期限；</w:t>
      </w:r>
    </w:p>
    <w:p w14:paraId="7C7710FB">
      <w:pPr>
        <w:spacing w:line="400" w:lineRule="exact"/>
        <w:ind w:right="-874" w:rightChars="-416" w:firstLine="411" w:firstLineChars="19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 按第15.6款约定，批准暂列金额的使用；</w:t>
      </w:r>
    </w:p>
    <w:p w14:paraId="289C83A8">
      <w:pPr>
        <w:spacing w:line="400" w:lineRule="exact"/>
        <w:ind w:right="-874" w:rightChars="-416" w:firstLine="411" w:firstLineChars="19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 按第12.3款的规定，作出暂停施工的指示；</w:t>
      </w:r>
    </w:p>
    <w:p w14:paraId="439415BA">
      <w:pPr>
        <w:spacing w:line="400" w:lineRule="exact"/>
        <w:ind w:right="-874" w:rightChars="-416" w:firstLine="411" w:firstLineChars="19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 按第15条的规定，作出任何变更；</w:t>
      </w:r>
    </w:p>
    <w:p w14:paraId="767EEEFB">
      <w:pPr>
        <w:spacing w:line="400" w:lineRule="exact"/>
        <w:ind w:right="-874" w:rightChars="-416" w:firstLine="411" w:firstLineChars="19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 按第15.6款的规定，确定暂列金额的使用；</w:t>
      </w:r>
    </w:p>
    <w:p w14:paraId="009C36E8">
      <w:pPr>
        <w:spacing w:line="400" w:lineRule="exact"/>
        <w:ind w:right="2" w:rightChars="1" w:firstLine="411" w:firstLineChars="19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 按第23.2款的规定，作出索赔的处理。</w:t>
      </w:r>
    </w:p>
    <w:p w14:paraId="696E9956">
      <w:pPr>
        <w:spacing w:line="400" w:lineRule="exact"/>
        <w:ind w:right="-874" w:rightChars="-416" w:firstLine="411" w:firstLineChars="19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 合同范围变更以及重大技术变更；</w:t>
      </w:r>
    </w:p>
    <w:p w14:paraId="0B592494">
      <w:pPr>
        <w:spacing w:line="400" w:lineRule="exact"/>
        <w:ind w:right="-874" w:rightChars="-416" w:firstLine="411" w:firstLineChars="19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 采用新技术、新材料、新工艺。</w:t>
      </w:r>
    </w:p>
    <w:p w14:paraId="70AEE687">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17" w:name="_Toc266290008"/>
      <w:r>
        <w:rPr>
          <w:rFonts w:hint="eastAsia" w:ascii="宋体" w:hAnsi="宋体" w:eastAsia="宋体" w:cs="宋体"/>
          <w:b/>
          <w:color w:val="000000"/>
          <w:sz w:val="21"/>
          <w:szCs w:val="21"/>
          <w:highlight w:val="none"/>
          <w:lang w:val="en-US" w:eastAsia="zh-CN" w:bidi="ar-SA"/>
        </w:rPr>
        <w:t>4 承包人</w:t>
      </w:r>
      <w:bookmarkEnd w:id="217"/>
    </w:p>
    <w:p w14:paraId="2D2ECC8A">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4.1 承包人的一般义务 </w:t>
      </w:r>
    </w:p>
    <w:p w14:paraId="0AF65D42">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4.1.10 其它义务：</w:t>
      </w:r>
    </w:p>
    <w:p w14:paraId="68721B5B">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（1）本工程在设计度汛标准内的安全度汛由承包人负责，并承担由此发生的一切费用。</w:t>
      </w:r>
    </w:p>
    <w:p w14:paraId="5BDAA8C2">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（2）承包人应保障农民工权益，并执行投标文件中所提交的保障农民工权益承诺书的相关规定。 </w:t>
      </w:r>
    </w:p>
    <w:p w14:paraId="18B28E24">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（3）承包人须按投标文件中承诺，向本合同工程施工现场派驻项目经理及技术负责人，项目经理每月在现场工作天数不得少于</w:t>
      </w:r>
      <w:r>
        <w:rPr>
          <w:rFonts w:hint="eastAsia" w:ascii="宋体" w:hAnsi="宋体" w:eastAsia="宋体" w:cs="宋体"/>
          <w:b/>
          <w:color w:val="000000"/>
          <w:szCs w:val="21"/>
          <w:highlight w:val="none"/>
          <w:u w:val="single"/>
        </w:rPr>
        <w:t>21</w:t>
      </w:r>
      <w:r>
        <w:rPr>
          <w:rFonts w:hint="eastAsia" w:ascii="宋体" w:hAnsi="宋体" w:eastAsia="宋体" w:cs="宋体"/>
          <w:color w:val="000000"/>
          <w:szCs w:val="21"/>
          <w:highlight w:val="none"/>
        </w:rPr>
        <w:t>天，未经招标人同意，每少</w:t>
      </w:r>
      <w:r>
        <w:rPr>
          <w:rFonts w:hint="eastAsia" w:ascii="宋体" w:hAnsi="宋体" w:eastAsia="宋体" w:cs="宋体"/>
          <w:b/>
          <w:color w:val="000000"/>
          <w:szCs w:val="21"/>
          <w:highlight w:val="none"/>
          <w:u w:val="single"/>
        </w:rPr>
        <w:t>一</w:t>
      </w:r>
      <w:r>
        <w:rPr>
          <w:rFonts w:hint="eastAsia" w:ascii="宋体" w:hAnsi="宋体" w:eastAsia="宋体" w:cs="宋体"/>
          <w:color w:val="000000"/>
          <w:szCs w:val="21"/>
          <w:highlight w:val="none"/>
        </w:rPr>
        <w:t>天，承包人向招标人支付违约金</w:t>
      </w:r>
      <w:r>
        <w:rPr>
          <w:rFonts w:hint="eastAsia" w:ascii="宋体" w:hAnsi="宋体" w:eastAsia="宋体" w:cs="宋体"/>
          <w:b/>
          <w:color w:val="000000"/>
          <w:szCs w:val="21"/>
          <w:highlight w:val="none"/>
          <w:u w:val="single"/>
        </w:rPr>
        <w:t>5000</w:t>
      </w:r>
      <w:r>
        <w:rPr>
          <w:rFonts w:hint="eastAsia" w:ascii="宋体" w:hAnsi="宋体" w:eastAsia="宋体" w:cs="宋体"/>
          <w:color w:val="000000"/>
          <w:szCs w:val="21"/>
          <w:highlight w:val="none"/>
        </w:rPr>
        <w:t>元。项目经理和技术负责人不得随意更换，未经招标人同意而擅自更换，须向招标人支付壹拾万元（￥</w:t>
      </w:r>
      <w:r>
        <w:rPr>
          <w:rFonts w:hint="eastAsia" w:ascii="宋体" w:hAnsi="宋体" w:eastAsia="宋体" w:cs="宋体"/>
          <w:b/>
          <w:color w:val="000000"/>
          <w:szCs w:val="21"/>
          <w:highlight w:val="none"/>
          <w:u w:val="single"/>
        </w:rPr>
        <w:t>100000</w:t>
      </w:r>
      <w:r>
        <w:rPr>
          <w:rFonts w:hint="eastAsia" w:ascii="宋体" w:hAnsi="宋体" w:eastAsia="宋体" w:cs="宋体"/>
          <w:color w:val="000000"/>
          <w:szCs w:val="21"/>
          <w:highlight w:val="none"/>
        </w:rPr>
        <w:t>元）的违约金。招标人有权对其认为不能称职的项目经理、技术负责人等进行更换。项目经理短期离开工地，应委派代表代行其职，并通知监理人。</w:t>
      </w:r>
    </w:p>
    <w:p w14:paraId="75F624BF">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4.3 分包 </w:t>
      </w:r>
    </w:p>
    <w:p w14:paraId="5EACE764">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4.3.2  允许承包人分包的工程项目、工作内容与分包金额限额为：</w:t>
      </w:r>
    </w:p>
    <w:p w14:paraId="0B2DFF8B">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（1）工程项目：</w:t>
      </w:r>
      <w:r>
        <w:rPr>
          <w:rFonts w:hint="eastAsia" w:ascii="宋体" w:hAnsi="宋体" w:eastAsia="宋体" w:cs="宋体"/>
          <w:b/>
          <w:color w:val="000000"/>
          <w:szCs w:val="21"/>
          <w:highlight w:val="none"/>
          <w:u w:val="single"/>
        </w:rPr>
        <w:t xml:space="preserve"> 无</w:t>
      </w:r>
      <w:r>
        <w:rPr>
          <w:rFonts w:hint="eastAsia" w:ascii="宋体" w:hAnsi="宋体" w:eastAsia="宋体" w:cs="宋体"/>
          <w:color w:val="000000"/>
          <w:szCs w:val="21"/>
          <w:highlight w:val="none"/>
        </w:rPr>
        <w:t xml:space="preserve"> 。</w:t>
      </w:r>
    </w:p>
    <w:p w14:paraId="081D3291">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（2）工作内容：</w:t>
      </w:r>
      <w:r>
        <w:rPr>
          <w:rFonts w:hint="eastAsia" w:ascii="宋体" w:hAnsi="宋体" w:eastAsia="宋体" w:cs="宋体"/>
          <w:b/>
          <w:color w:val="000000"/>
          <w:szCs w:val="21"/>
          <w:highlight w:val="none"/>
          <w:u w:val="single"/>
        </w:rPr>
        <w:t xml:space="preserve"> 劳务作业</w:t>
      </w:r>
      <w:r>
        <w:rPr>
          <w:rFonts w:hint="eastAsia" w:ascii="宋体" w:hAnsi="宋体" w:eastAsia="宋体" w:cs="宋体"/>
          <w:color w:val="000000"/>
          <w:szCs w:val="21"/>
          <w:highlight w:val="none"/>
        </w:rPr>
        <w:t xml:space="preserve"> 。</w:t>
      </w:r>
    </w:p>
    <w:p w14:paraId="5E9D9F4E">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（3）分包金额限额：</w:t>
      </w:r>
      <w:r>
        <w:rPr>
          <w:rFonts w:hint="eastAsia" w:ascii="宋体" w:hAnsi="宋体" w:eastAsia="宋体" w:cs="宋体"/>
          <w:b/>
          <w:color w:val="000000"/>
          <w:szCs w:val="21"/>
          <w:highlight w:val="none"/>
          <w:u w:val="single"/>
        </w:rPr>
        <w:t xml:space="preserve"> /</w:t>
      </w:r>
      <w:r>
        <w:rPr>
          <w:rFonts w:hint="eastAsia" w:ascii="宋体" w:hAnsi="宋体" w:eastAsia="宋体" w:cs="宋体"/>
          <w:color w:val="000000"/>
          <w:szCs w:val="21"/>
          <w:highlight w:val="none"/>
        </w:rPr>
        <w:t xml:space="preserve"> 。</w:t>
      </w:r>
    </w:p>
    <w:p w14:paraId="614A425F">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18" w:name="_Toc266290009"/>
      <w:r>
        <w:rPr>
          <w:rFonts w:hint="eastAsia" w:ascii="宋体" w:hAnsi="宋体" w:eastAsia="宋体" w:cs="宋体"/>
          <w:b/>
          <w:color w:val="000000"/>
          <w:sz w:val="21"/>
          <w:szCs w:val="21"/>
          <w:highlight w:val="none"/>
          <w:lang w:val="en-US" w:eastAsia="zh-CN" w:bidi="ar-SA"/>
        </w:rPr>
        <w:t>5 材料和工程设备</w:t>
      </w:r>
      <w:bookmarkEnd w:id="218"/>
      <w:r>
        <w:rPr>
          <w:rFonts w:hint="eastAsia" w:ascii="宋体" w:hAnsi="宋体" w:eastAsia="宋体" w:cs="宋体"/>
          <w:b/>
          <w:color w:val="000000"/>
          <w:sz w:val="21"/>
          <w:szCs w:val="21"/>
          <w:highlight w:val="none"/>
          <w:lang w:val="en-US" w:eastAsia="zh-CN" w:bidi="ar-SA"/>
        </w:rPr>
        <w:t xml:space="preserve"> </w:t>
      </w:r>
    </w:p>
    <w:p w14:paraId="12E2CC37">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5.2  招标人提供的材料和工程设备 ：</w:t>
      </w:r>
      <w:bookmarkStart w:id="219" w:name="_Toc266290010"/>
      <w:r>
        <w:rPr>
          <w:rFonts w:hint="eastAsia" w:ascii="宋体" w:hAnsi="宋体" w:eastAsia="宋体" w:cs="宋体"/>
          <w:b/>
          <w:color w:val="000000"/>
          <w:sz w:val="21"/>
          <w:szCs w:val="21"/>
          <w:highlight w:val="none"/>
          <w:lang w:val="en-US" w:eastAsia="zh-CN" w:bidi="ar-SA"/>
        </w:rPr>
        <w:t>/</w:t>
      </w:r>
    </w:p>
    <w:p w14:paraId="64E5BF09">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6 施工设备和临时设施</w:t>
      </w:r>
      <w:bookmarkEnd w:id="219"/>
    </w:p>
    <w:p w14:paraId="2DEC6D8F">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6.2 招标人提供的施工设备和临时设施：/</w:t>
      </w:r>
    </w:p>
    <w:p w14:paraId="42A5E907">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20" w:name="_Toc266290011"/>
      <w:r>
        <w:rPr>
          <w:rFonts w:hint="eastAsia" w:ascii="宋体" w:hAnsi="宋体" w:eastAsia="宋体" w:cs="宋体"/>
          <w:b/>
          <w:color w:val="000000"/>
          <w:sz w:val="21"/>
          <w:szCs w:val="21"/>
          <w:highlight w:val="none"/>
          <w:lang w:val="en-US" w:eastAsia="zh-CN" w:bidi="ar-SA"/>
        </w:rPr>
        <w:t>7 交通运输</w:t>
      </w:r>
      <w:bookmarkEnd w:id="220"/>
      <w:r>
        <w:rPr>
          <w:rFonts w:hint="eastAsia" w:ascii="宋体" w:hAnsi="宋体" w:eastAsia="宋体" w:cs="宋体"/>
          <w:b/>
          <w:color w:val="000000"/>
          <w:sz w:val="21"/>
          <w:szCs w:val="21"/>
          <w:highlight w:val="none"/>
          <w:lang w:val="en-US" w:eastAsia="zh-CN" w:bidi="ar-SA"/>
        </w:rPr>
        <w:t xml:space="preserve"> </w:t>
      </w:r>
    </w:p>
    <w:p w14:paraId="18DA1CA1">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7.1 道路通行权和场外设施 </w:t>
      </w:r>
    </w:p>
    <w:p w14:paraId="2286F98A">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道路通行权和场外设施的约定:</w:t>
      </w:r>
      <w:r>
        <w:rPr>
          <w:rFonts w:hint="eastAsia" w:ascii="宋体" w:hAnsi="宋体" w:eastAsia="宋体" w:cs="宋体"/>
          <w:b/>
          <w:color w:val="000000"/>
          <w:szCs w:val="21"/>
          <w:highlight w:val="none"/>
          <w:u w:val="single"/>
        </w:rPr>
        <w:t>本项不作另行约定</w:t>
      </w:r>
      <w:r>
        <w:rPr>
          <w:rFonts w:hint="eastAsia" w:ascii="宋体" w:hAnsi="宋体" w:eastAsia="宋体" w:cs="宋体"/>
          <w:color w:val="000000"/>
          <w:szCs w:val="21"/>
          <w:highlight w:val="none"/>
        </w:rPr>
        <w:t>。</w:t>
      </w:r>
    </w:p>
    <w:p w14:paraId="4E20107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21" w:name="_Toc266290012"/>
      <w:r>
        <w:rPr>
          <w:rFonts w:hint="eastAsia" w:ascii="宋体" w:hAnsi="宋体" w:eastAsia="宋体" w:cs="宋体"/>
          <w:b/>
          <w:color w:val="000000"/>
          <w:sz w:val="21"/>
          <w:szCs w:val="21"/>
          <w:highlight w:val="none"/>
          <w:lang w:val="en-US" w:eastAsia="zh-CN" w:bidi="ar-SA"/>
        </w:rPr>
        <w:t>8 测量放线</w:t>
      </w:r>
      <w:bookmarkEnd w:id="221"/>
    </w:p>
    <w:p w14:paraId="3CBFD569">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8.1施工控制网</w:t>
      </w:r>
    </w:p>
    <w:p w14:paraId="017B9DF9">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8.1.1 施工控制网的约定：</w:t>
      </w:r>
      <w:r>
        <w:rPr>
          <w:rFonts w:hint="eastAsia" w:ascii="宋体" w:hAnsi="宋体" w:eastAsia="宋体" w:cs="宋体"/>
          <w:b/>
          <w:color w:val="000000"/>
          <w:szCs w:val="21"/>
          <w:highlight w:val="none"/>
          <w:u w:val="single"/>
        </w:rPr>
        <w:t>本项不作另行约定</w:t>
      </w:r>
      <w:r>
        <w:rPr>
          <w:rFonts w:hint="eastAsia" w:ascii="宋体" w:hAnsi="宋体" w:eastAsia="宋体" w:cs="宋体"/>
          <w:color w:val="000000"/>
          <w:szCs w:val="21"/>
          <w:highlight w:val="none"/>
        </w:rPr>
        <w:t>。</w:t>
      </w:r>
    </w:p>
    <w:p w14:paraId="41C35C71">
      <w:pPr>
        <w:keepNext/>
        <w:widowControl w:val="0"/>
        <w:autoSpaceDE w:val="0"/>
        <w:autoSpaceDN w:val="0"/>
        <w:spacing w:line="400" w:lineRule="exact"/>
        <w:ind w:right="1"/>
        <w:rPr>
          <w:rFonts w:hint="eastAsia" w:ascii="宋体" w:hAnsi="宋体" w:eastAsia="宋体" w:cs="宋体"/>
          <w:b/>
          <w:color w:val="000000"/>
          <w:sz w:val="21"/>
          <w:szCs w:val="21"/>
          <w:highlight w:val="none"/>
          <w:lang w:val="en-US" w:eastAsia="zh-CN" w:bidi="ar-SA"/>
        </w:rPr>
      </w:pPr>
      <w:bookmarkStart w:id="222" w:name="_Toc266290013"/>
      <w:r>
        <w:rPr>
          <w:rFonts w:hint="eastAsia" w:ascii="宋体" w:hAnsi="宋体" w:eastAsia="宋体" w:cs="宋体"/>
          <w:b/>
          <w:color w:val="000000"/>
          <w:sz w:val="21"/>
          <w:szCs w:val="21"/>
          <w:highlight w:val="none"/>
          <w:lang w:val="en-US" w:eastAsia="zh-CN" w:bidi="ar-SA"/>
        </w:rPr>
        <w:t>9 施工安全、治安保卫和环境保护</w:t>
      </w:r>
      <w:bookmarkEnd w:id="222"/>
      <w:r>
        <w:rPr>
          <w:rFonts w:hint="eastAsia" w:ascii="宋体" w:hAnsi="宋体" w:eastAsia="宋体" w:cs="宋体"/>
          <w:b/>
          <w:color w:val="000000"/>
          <w:sz w:val="21"/>
          <w:szCs w:val="21"/>
          <w:highlight w:val="none"/>
          <w:lang w:val="en-US" w:eastAsia="zh-CN" w:bidi="ar-SA"/>
        </w:rPr>
        <w:t xml:space="preserve"> </w:t>
      </w:r>
    </w:p>
    <w:p w14:paraId="0E565478">
      <w:pPr>
        <w:keepNext/>
        <w:widowControl w:val="0"/>
        <w:autoSpaceDE w:val="0"/>
        <w:autoSpaceDN w:val="0"/>
        <w:spacing w:line="40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9.1 招标人的施工安全责任 </w:t>
      </w:r>
    </w:p>
    <w:p w14:paraId="7B7C3DC4">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9.1.4  招标人提供气象和水文观测资料，</w:t>
      </w:r>
      <w:r>
        <w:rPr>
          <w:rFonts w:hint="eastAsia" w:ascii="宋体" w:hAnsi="宋体" w:eastAsia="宋体" w:cs="宋体"/>
          <w:b/>
          <w:color w:val="000000"/>
          <w:szCs w:val="21"/>
          <w:highlight w:val="none"/>
          <w:u w:val="single"/>
        </w:rPr>
        <w:t>其余资料由承包人负责收集</w:t>
      </w:r>
      <w:r>
        <w:rPr>
          <w:rFonts w:hint="eastAsia" w:ascii="宋体" w:hAnsi="宋体" w:eastAsia="宋体" w:cs="宋体"/>
          <w:color w:val="000000"/>
          <w:szCs w:val="21"/>
          <w:highlight w:val="none"/>
        </w:rPr>
        <w:t xml:space="preserve">。 </w:t>
      </w:r>
    </w:p>
    <w:p w14:paraId="05CE4FE5">
      <w:pPr>
        <w:keepNext/>
        <w:widowControl w:val="0"/>
        <w:autoSpaceDE w:val="0"/>
        <w:autoSpaceDN w:val="0"/>
        <w:spacing w:line="400" w:lineRule="exact"/>
        <w:ind w:right="1"/>
        <w:rPr>
          <w:rFonts w:hint="eastAsia" w:ascii="宋体" w:hAnsi="宋体" w:eastAsia="宋体" w:cs="宋体"/>
          <w:b/>
          <w:color w:val="000000"/>
          <w:sz w:val="21"/>
          <w:szCs w:val="21"/>
          <w:highlight w:val="none"/>
          <w:lang w:val="en-US" w:eastAsia="zh-CN" w:bidi="ar-SA"/>
        </w:rPr>
      </w:pPr>
      <w:bookmarkStart w:id="223" w:name="_Toc266290014"/>
      <w:r>
        <w:rPr>
          <w:rFonts w:hint="eastAsia" w:ascii="宋体" w:hAnsi="宋体" w:eastAsia="宋体" w:cs="宋体"/>
          <w:b/>
          <w:color w:val="000000"/>
          <w:sz w:val="21"/>
          <w:szCs w:val="21"/>
          <w:highlight w:val="none"/>
          <w:lang w:val="en-US" w:eastAsia="zh-CN" w:bidi="ar-SA"/>
        </w:rPr>
        <w:t>11 开工和竣工(完工)</w:t>
      </w:r>
      <w:bookmarkEnd w:id="223"/>
      <w:r>
        <w:rPr>
          <w:rFonts w:hint="eastAsia" w:ascii="宋体" w:hAnsi="宋体" w:eastAsia="宋体" w:cs="宋体"/>
          <w:b/>
          <w:color w:val="000000"/>
          <w:sz w:val="21"/>
          <w:szCs w:val="21"/>
          <w:highlight w:val="none"/>
          <w:lang w:val="en-US" w:eastAsia="zh-CN" w:bidi="ar-SA"/>
        </w:rPr>
        <w:t xml:space="preserve"> </w:t>
      </w:r>
    </w:p>
    <w:p w14:paraId="26B15CC2">
      <w:pPr>
        <w:keepNext/>
        <w:widowControl w:val="0"/>
        <w:autoSpaceDE w:val="0"/>
        <w:autoSpaceDN w:val="0"/>
        <w:spacing w:line="40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11.4 异常恶劣的气候条件 </w:t>
      </w:r>
    </w:p>
    <w:p w14:paraId="2F9316D3">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11.4.3 本合同工程界定异常恶劣气候条件的范围为: </w:t>
      </w:r>
    </w:p>
    <w:p w14:paraId="3292BC2F">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（1）日降雨量大于</w:t>
      </w:r>
      <w:r>
        <w:rPr>
          <w:rFonts w:hint="eastAsia" w:ascii="宋体" w:hAnsi="宋体" w:eastAsia="宋体" w:cs="宋体"/>
          <w:b/>
          <w:color w:val="000000"/>
          <w:szCs w:val="21"/>
          <w:highlight w:val="none"/>
          <w:u w:val="single"/>
        </w:rPr>
        <w:t xml:space="preserve"> 50mm</w:t>
      </w:r>
      <w:r>
        <w:rPr>
          <w:rFonts w:hint="eastAsia" w:ascii="宋体" w:hAnsi="宋体" w:eastAsia="宋体" w:cs="宋体"/>
          <w:color w:val="000000"/>
          <w:szCs w:val="21"/>
          <w:highlight w:val="none"/>
        </w:rPr>
        <w:t>的雨日连续</w:t>
      </w:r>
      <w:r>
        <w:rPr>
          <w:rFonts w:hint="eastAsia" w:ascii="宋体" w:hAnsi="宋体" w:eastAsia="宋体" w:cs="宋体"/>
          <w:b/>
          <w:color w:val="000000"/>
          <w:szCs w:val="21"/>
          <w:highlight w:val="none"/>
          <w:u w:val="single"/>
        </w:rPr>
        <w:t xml:space="preserve"> 3 </w:t>
      </w:r>
      <w:r>
        <w:rPr>
          <w:rFonts w:hint="eastAsia" w:ascii="宋体" w:hAnsi="宋体" w:eastAsia="宋体" w:cs="宋体"/>
          <w:color w:val="000000"/>
          <w:szCs w:val="21"/>
          <w:highlight w:val="none"/>
        </w:rPr>
        <w:t>天以上；</w:t>
      </w:r>
    </w:p>
    <w:p w14:paraId="54484546">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（2）风速大于 </w:t>
      </w:r>
      <w:r>
        <w:rPr>
          <w:rFonts w:hint="eastAsia" w:ascii="宋体" w:hAnsi="宋体" w:eastAsia="宋体" w:cs="宋体"/>
          <w:b/>
          <w:color w:val="000000"/>
          <w:szCs w:val="21"/>
          <w:highlight w:val="none"/>
          <w:u w:val="single"/>
        </w:rPr>
        <w:t>17.2m/s</w:t>
      </w:r>
      <w:r>
        <w:rPr>
          <w:rFonts w:hint="eastAsia" w:ascii="宋体" w:hAnsi="宋体" w:eastAsia="宋体" w:cs="宋体"/>
          <w:color w:val="000000"/>
          <w:szCs w:val="21"/>
          <w:highlight w:val="none"/>
        </w:rPr>
        <w:t>的</w:t>
      </w:r>
      <w:r>
        <w:rPr>
          <w:rFonts w:hint="eastAsia" w:ascii="宋体" w:hAnsi="宋体" w:eastAsia="宋体" w:cs="宋体"/>
          <w:b/>
          <w:color w:val="000000"/>
          <w:szCs w:val="21"/>
          <w:highlight w:val="none"/>
          <w:u w:val="single"/>
        </w:rPr>
        <w:t xml:space="preserve"> 8 </w:t>
      </w:r>
      <w:r>
        <w:rPr>
          <w:rFonts w:hint="eastAsia" w:ascii="宋体" w:hAnsi="宋体" w:eastAsia="宋体" w:cs="宋体"/>
          <w:color w:val="000000"/>
          <w:szCs w:val="21"/>
          <w:highlight w:val="none"/>
        </w:rPr>
        <w:t>级以上台风灾害；</w:t>
      </w:r>
    </w:p>
    <w:p w14:paraId="2C0A75DB">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（3）日气温超过</w:t>
      </w:r>
      <w:r>
        <w:rPr>
          <w:rFonts w:hint="eastAsia" w:ascii="宋体" w:hAnsi="宋体" w:eastAsia="宋体" w:cs="宋体"/>
          <w:b/>
          <w:color w:val="000000"/>
          <w:szCs w:val="21"/>
          <w:highlight w:val="none"/>
          <w:u w:val="single"/>
        </w:rPr>
        <w:t xml:space="preserve"> 38℃</w:t>
      </w:r>
      <w:r>
        <w:rPr>
          <w:rFonts w:hint="eastAsia" w:ascii="宋体" w:hAnsi="宋体" w:eastAsia="宋体" w:cs="宋体"/>
          <w:color w:val="000000"/>
          <w:szCs w:val="21"/>
          <w:highlight w:val="none"/>
        </w:rPr>
        <w:t xml:space="preserve">的高温连续 </w:t>
      </w:r>
      <w:r>
        <w:rPr>
          <w:rFonts w:hint="eastAsia" w:ascii="宋体" w:hAnsi="宋体" w:eastAsia="宋体" w:cs="宋体"/>
          <w:b/>
          <w:color w:val="000000"/>
          <w:szCs w:val="21"/>
          <w:highlight w:val="none"/>
          <w:u w:val="single"/>
        </w:rPr>
        <w:t xml:space="preserve">3 </w:t>
      </w:r>
      <w:r>
        <w:rPr>
          <w:rFonts w:hint="eastAsia" w:ascii="宋体" w:hAnsi="宋体" w:eastAsia="宋体" w:cs="宋体"/>
          <w:color w:val="000000"/>
          <w:szCs w:val="21"/>
          <w:highlight w:val="none"/>
        </w:rPr>
        <w:t>天以上；</w:t>
      </w:r>
    </w:p>
    <w:p w14:paraId="4FA0ABF9">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（4）日气温低于 </w:t>
      </w:r>
      <w:r>
        <w:rPr>
          <w:rFonts w:hint="eastAsia" w:ascii="宋体" w:hAnsi="宋体" w:eastAsia="宋体" w:cs="宋体"/>
          <w:b/>
          <w:color w:val="000000"/>
          <w:szCs w:val="21"/>
          <w:highlight w:val="none"/>
          <w:u w:val="single"/>
        </w:rPr>
        <w:t>-20℃</w:t>
      </w:r>
      <w:r>
        <w:rPr>
          <w:rFonts w:hint="eastAsia" w:ascii="宋体" w:hAnsi="宋体" w:eastAsia="宋体" w:cs="宋体"/>
          <w:color w:val="000000"/>
          <w:szCs w:val="21"/>
          <w:highlight w:val="none"/>
        </w:rPr>
        <w:t xml:space="preserve">的严寒连续 </w:t>
      </w:r>
      <w:r>
        <w:rPr>
          <w:rFonts w:hint="eastAsia" w:ascii="宋体" w:hAnsi="宋体" w:eastAsia="宋体" w:cs="宋体"/>
          <w:b/>
          <w:color w:val="000000"/>
          <w:szCs w:val="21"/>
          <w:highlight w:val="none"/>
          <w:u w:val="single"/>
        </w:rPr>
        <w:t>3</w:t>
      </w:r>
      <w:r>
        <w:rPr>
          <w:rFonts w:hint="eastAsia" w:ascii="宋体" w:hAnsi="宋体" w:eastAsia="宋体" w:cs="宋体"/>
          <w:color w:val="000000"/>
          <w:szCs w:val="21"/>
          <w:highlight w:val="none"/>
        </w:rPr>
        <w:t xml:space="preserve"> 天以上；</w:t>
      </w:r>
    </w:p>
    <w:p w14:paraId="285FDE4B">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（5）造成工程损坏的冰雹和大雪灾害：</w:t>
      </w:r>
      <w:r>
        <w:rPr>
          <w:rFonts w:hint="eastAsia" w:ascii="宋体" w:hAnsi="宋体" w:eastAsia="宋体" w:cs="宋体"/>
          <w:b/>
          <w:color w:val="000000"/>
          <w:szCs w:val="21"/>
          <w:highlight w:val="none"/>
          <w:u w:val="single"/>
        </w:rPr>
        <w:t>30年一遇</w:t>
      </w:r>
      <w:r>
        <w:rPr>
          <w:rFonts w:hint="eastAsia" w:ascii="宋体" w:hAnsi="宋体" w:eastAsia="宋体" w:cs="宋体"/>
          <w:color w:val="000000"/>
          <w:szCs w:val="21"/>
          <w:highlight w:val="none"/>
        </w:rPr>
        <w:t xml:space="preserve"> ；</w:t>
      </w:r>
    </w:p>
    <w:p w14:paraId="42278B08">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（6）其他异常恶劣气候灾害：</w:t>
      </w:r>
      <w:r>
        <w:rPr>
          <w:rFonts w:hint="eastAsia" w:ascii="宋体" w:hAnsi="宋体" w:eastAsia="宋体" w:cs="宋体"/>
          <w:b/>
          <w:color w:val="000000"/>
          <w:szCs w:val="21"/>
          <w:highlight w:val="none"/>
          <w:u w:val="single"/>
        </w:rPr>
        <w:t xml:space="preserve"> / </w:t>
      </w:r>
      <w:r>
        <w:rPr>
          <w:rFonts w:hint="eastAsia" w:ascii="宋体" w:hAnsi="宋体" w:eastAsia="宋体" w:cs="宋体"/>
          <w:color w:val="000000"/>
          <w:szCs w:val="21"/>
          <w:highlight w:val="none"/>
        </w:rPr>
        <w:t>。</w:t>
      </w:r>
    </w:p>
    <w:p w14:paraId="43382DFE">
      <w:pPr>
        <w:keepNext/>
        <w:widowControl w:val="0"/>
        <w:autoSpaceDE w:val="0"/>
        <w:autoSpaceDN w:val="0"/>
        <w:spacing w:line="40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11.5  承包人工期延误 </w:t>
      </w:r>
    </w:p>
    <w:p w14:paraId="07F2D58F">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逾期完工违约金</w:t>
      </w:r>
      <w:r>
        <w:rPr>
          <w:rFonts w:hint="eastAsia" w:ascii="宋体" w:hAnsi="宋体" w:eastAsia="宋体" w:cs="宋体"/>
          <w:b/>
          <w:color w:val="000000"/>
          <w:szCs w:val="21"/>
          <w:highlight w:val="none"/>
          <w:u w:val="single"/>
        </w:rPr>
        <w:t>2000</w:t>
      </w:r>
      <w:r>
        <w:rPr>
          <w:rFonts w:hint="eastAsia" w:ascii="宋体" w:hAnsi="宋体" w:eastAsia="宋体" w:cs="宋体"/>
          <w:color w:val="000000"/>
          <w:szCs w:val="21"/>
          <w:highlight w:val="none"/>
        </w:rPr>
        <w:t>元/天。</w:t>
      </w:r>
    </w:p>
    <w:p w14:paraId="1E1ACDCC">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全部逾期完工违约金的总限额为：不超过签约合同价的</w:t>
      </w:r>
      <w:r>
        <w:rPr>
          <w:rFonts w:hint="eastAsia" w:ascii="宋体" w:hAnsi="宋体" w:eastAsia="宋体" w:cs="宋体"/>
          <w:b/>
          <w:color w:val="000000"/>
          <w:szCs w:val="21"/>
          <w:highlight w:val="none"/>
          <w:u w:val="single"/>
        </w:rPr>
        <w:t>5</w:t>
      </w:r>
      <w:r>
        <w:rPr>
          <w:rFonts w:hint="eastAsia" w:ascii="宋体" w:hAnsi="宋体" w:eastAsia="宋体" w:cs="宋体"/>
          <w:color w:val="000000"/>
          <w:szCs w:val="21"/>
          <w:highlight w:val="none"/>
        </w:rPr>
        <w:t>% 。</w:t>
      </w:r>
    </w:p>
    <w:p w14:paraId="4B533C5D">
      <w:pPr>
        <w:keepNext/>
        <w:widowControl w:val="0"/>
        <w:autoSpaceDE w:val="0"/>
        <w:autoSpaceDN w:val="0"/>
        <w:spacing w:line="40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11.6 工期提前 </w:t>
      </w:r>
    </w:p>
    <w:p w14:paraId="46563AF5">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工期提前的奖金约定:</w:t>
      </w:r>
      <w:r>
        <w:rPr>
          <w:rFonts w:hint="eastAsia" w:ascii="宋体" w:hAnsi="宋体" w:eastAsia="宋体" w:cs="宋体"/>
          <w:b/>
          <w:color w:val="000000"/>
          <w:szCs w:val="21"/>
          <w:highlight w:val="none"/>
          <w:u w:val="single"/>
        </w:rPr>
        <w:t>0</w:t>
      </w:r>
      <w:r>
        <w:rPr>
          <w:rFonts w:hint="eastAsia" w:ascii="宋体" w:hAnsi="宋体" w:eastAsia="宋体" w:cs="宋体"/>
          <w:color w:val="000000"/>
          <w:szCs w:val="21"/>
          <w:highlight w:val="none"/>
        </w:rPr>
        <w:t>元/天。</w:t>
      </w:r>
    </w:p>
    <w:p w14:paraId="33637CF2">
      <w:pPr>
        <w:keepNext/>
        <w:widowControl w:val="0"/>
        <w:autoSpaceDE w:val="0"/>
        <w:autoSpaceDN w:val="0"/>
        <w:spacing w:line="400" w:lineRule="exact"/>
        <w:ind w:right="1"/>
        <w:rPr>
          <w:rFonts w:hint="eastAsia" w:ascii="宋体" w:hAnsi="宋体" w:eastAsia="宋体" w:cs="宋体"/>
          <w:b/>
          <w:color w:val="000000"/>
          <w:sz w:val="21"/>
          <w:szCs w:val="21"/>
          <w:highlight w:val="none"/>
          <w:lang w:val="en-US" w:eastAsia="zh-CN" w:bidi="ar-SA"/>
        </w:rPr>
      </w:pPr>
      <w:bookmarkStart w:id="224" w:name="_Toc263428630"/>
      <w:bookmarkStart w:id="225" w:name="_Toc263089191"/>
      <w:bookmarkStart w:id="226" w:name="_Toc263318624"/>
      <w:bookmarkStart w:id="227" w:name="_Toc266290015"/>
      <w:r>
        <w:rPr>
          <w:rFonts w:hint="eastAsia" w:ascii="宋体" w:hAnsi="宋体" w:eastAsia="宋体" w:cs="宋体"/>
          <w:b/>
          <w:color w:val="000000"/>
          <w:sz w:val="21"/>
          <w:szCs w:val="21"/>
          <w:highlight w:val="none"/>
          <w:lang w:val="en-US" w:eastAsia="zh-CN" w:bidi="ar-SA"/>
        </w:rPr>
        <w:t>12 暂停施工</w:t>
      </w:r>
      <w:bookmarkEnd w:id="224"/>
      <w:bookmarkEnd w:id="225"/>
      <w:bookmarkEnd w:id="226"/>
      <w:bookmarkEnd w:id="227"/>
    </w:p>
    <w:p w14:paraId="420504E0">
      <w:pPr>
        <w:keepNext/>
        <w:widowControl w:val="0"/>
        <w:autoSpaceDE w:val="0"/>
        <w:autoSpaceDN w:val="0"/>
        <w:spacing w:line="400" w:lineRule="exact"/>
        <w:ind w:right="1"/>
        <w:rPr>
          <w:rFonts w:hint="eastAsia" w:ascii="宋体" w:hAnsi="宋体" w:eastAsia="宋体" w:cs="宋体"/>
          <w:b/>
          <w:color w:val="000000"/>
          <w:sz w:val="21"/>
          <w:szCs w:val="21"/>
          <w:highlight w:val="none"/>
          <w:lang w:val="en-US" w:eastAsia="zh-CN" w:bidi="ar-SA"/>
        </w:rPr>
      </w:pPr>
      <w:bookmarkStart w:id="228" w:name="_Toc263089192"/>
      <w:bookmarkStart w:id="229" w:name="_Toc263318625"/>
      <w:bookmarkStart w:id="230" w:name="_Toc263428631"/>
      <w:r>
        <w:rPr>
          <w:rFonts w:hint="eastAsia" w:ascii="宋体" w:hAnsi="宋体" w:eastAsia="宋体" w:cs="宋体"/>
          <w:b/>
          <w:color w:val="000000"/>
          <w:sz w:val="21"/>
          <w:szCs w:val="21"/>
          <w:highlight w:val="none"/>
          <w:lang w:val="en-US" w:eastAsia="zh-CN" w:bidi="ar-SA"/>
        </w:rPr>
        <w:t>12.1 承包人暂停施工的责任</w:t>
      </w:r>
      <w:bookmarkEnd w:id="228"/>
      <w:bookmarkEnd w:id="229"/>
      <w:bookmarkEnd w:id="230"/>
    </w:p>
    <w:p w14:paraId="1EEB8B77">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（5）承包人承担暂停施工责任的其他情形：</w:t>
      </w:r>
      <w:r>
        <w:rPr>
          <w:rFonts w:hint="eastAsia" w:ascii="宋体" w:hAnsi="宋体" w:eastAsia="宋体" w:cs="宋体"/>
          <w:b/>
          <w:color w:val="000000"/>
          <w:szCs w:val="21"/>
          <w:highlight w:val="none"/>
          <w:u w:val="single"/>
        </w:rPr>
        <w:t>现场气候条件引起的必要停工（第11.4款规定的异常恶劣气候条件除外）</w:t>
      </w:r>
      <w:r>
        <w:rPr>
          <w:rFonts w:hint="eastAsia" w:ascii="宋体" w:hAnsi="宋体" w:eastAsia="宋体" w:cs="宋体"/>
          <w:color w:val="000000"/>
          <w:szCs w:val="21"/>
          <w:highlight w:val="none"/>
        </w:rPr>
        <w:t>。</w:t>
      </w:r>
    </w:p>
    <w:p w14:paraId="2005A410">
      <w:pPr>
        <w:keepNext/>
        <w:widowControl w:val="0"/>
        <w:autoSpaceDE w:val="0"/>
        <w:autoSpaceDN w:val="0"/>
        <w:spacing w:line="40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12.2 招标人暂停施工的责任</w:t>
      </w:r>
    </w:p>
    <w:p w14:paraId="689556E4">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（3）招标人承担暂停施工责任的其他情形：</w:t>
      </w:r>
      <w:r>
        <w:rPr>
          <w:rFonts w:hint="eastAsia" w:ascii="宋体" w:hAnsi="宋体" w:eastAsia="宋体" w:cs="宋体"/>
          <w:b/>
          <w:color w:val="000000"/>
          <w:szCs w:val="21"/>
          <w:highlight w:val="none"/>
          <w:u w:val="single"/>
        </w:rPr>
        <w:t>无</w:t>
      </w:r>
      <w:r>
        <w:rPr>
          <w:rFonts w:hint="eastAsia" w:ascii="宋体" w:hAnsi="宋体" w:eastAsia="宋体" w:cs="宋体"/>
          <w:color w:val="000000"/>
          <w:szCs w:val="21"/>
          <w:highlight w:val="none"/>
        </w:rPr>
        <w:t xml:space="preserve"> 。</w:t>
      </w:r>
    </w:p>
    <w:p w14:paraId="6D8DE716">
      <w:pPr>
        <w:keepNext/>
        <w:widowControl w:val="0"/>
        <w:autoSpaceDE w:val="0"/>
        <w:autoSpaceDN w:val="0"/>
        <w:spacing w:line="400" w:lineRule="exact"/>
        <w:ind w:right="1"/>
        <w:rPr>
          <w:rFonts w:hint="eastAsia" w:ascii="宋体" w:hAnsi="宋体" w:eastAsia="宋体" w:cs="宋体"/>
          <w:b/>
          <w:color w:val="000000"/>
          <w:sz w:val="21"/>
          <w:szCs w:val="21"/>
          <w:highlight w:val="none"/>
          <w:lang w:val="en-US" w:eastAsia="zh-CN" w:bidi="ar-SA"/>
        </w:rPr>
      </w:pPr>
      <w:bookmarkStart w:id="231" w:name="_Toc266290016"/>
      <w:r>
        <w:rPr>
          <w:rFonts w:hint="eastAsia" w:ascii="宋体" w:hAnsi="宋体" w:eastAsia="宋体" w:cs="宋体"/>
          <w:b/>
          <w:color w:val="000000"/>
          <w:sz w:val="21"/>
          <w:szCs w:val="21"/>
          <w:highlight w:val="none"/>
          <w:lang w:val="en-US" w:eastAsia="zh-CN" w:bidi="ar-SA"/>
        </w:rPr>
        <w:t>13 工程质量</w:t>
      </w:r>
      <w:bookmarkEnd w:id="231"/>
      <w:r>
        <w:rPr>
          <w:rFonts w:hint="eastAsia" w:ascii="宋体" w:hAnsi="宋体" w:eastAsia="宋体" w:cs="宋体"/>
          <w:b/>
          <w:color w:val="000000"/>
          <w:sz w:val="21"/>
          <w:szCs w:val="21"/>
          <w:highlight w:val="none"/>
          <w:lang w:val="en-US" w:eastAsia="zh-CN" w:bidi="ar-SA"/>
        </w:rPr>
        <w:t xml:space="preserve"> </w:t>
      </w:r>
    </w:p>
    <w:p w14:paraId="0B93C466">
      <w:pPr>
        <w:keepNext/>
        <w:widowControl w:val="0"/>
        <w:autoSpaceDE w:val="0"/>
        <w:autoSpaceDN w:val="0"/>
        <w:spacing w:line="40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13.7 质量评定 </w:t>
      </w:r>
    </w:p>
    <w:p w14:paraId="7EBA3B05">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13.7.4 重要隐蔽单元工程和关键部位单元工程质量评定的约定:</w:t>
      </w:r>
      <w:r>
        <w:rPr>
          <w:rFonts w:hint="eastAsia" w:ascii="宋体" w:hAnsi="宋体" w:eastAsia="宋体" w:cs="宋体"/>
          <w:b/>
          <w:color w:val="000000"/>
          <w:szCs w:val="21"/>
          <w:highlight w:val="none"/>
          <w:u w:val="single"/>
        </w:rPr>
        <w:t xml:space="preserve"> 达到《水利水电工程施工质量检验与评定规程》（SL176-2007）优良率50%以上</w:t>
      </w:r>
      <w:r>
        <w:rPr>
          <w:rFonts w:hint="eastAsia" w:ascii="宋体" w:hAnsi="宋体" w:eastAsia="宋体" w:cs="宋体"/>
          <w:color w:val="000000"/>
          <w:szCs w:val="21"/>
          <w:highlight w:val="none"/>
        </w:rPr>
        <w:t>。</w:t>
      </w:r>
    </w:p>
    <w:p w14:paraId="634AE19F">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13.7.7  工程合格标准为:</w:t>
      </w:r>
      <w:r>
        <w:rPr>
          <w:rFonts w:hint="eastAsia" w:ascii="宋体" w:hAnsi="宋体" w:eastAsia="宋体" w:cs="宋体"/>
          <w:b/>
          <w:color w:val="000000"/>
          <w:szCs w:val="21"/>
          <w:highlight w:val="none"/>
          <w:u w:val="single"/>
        </w:rPr>
        <w:t xml:space="preserve"> 达到《水利水电工程施工质量检验与评定规程》（SL176-2007）合格标准</w:t>
      </w:r>
      <w:r>
        <w:rPr>
          <w:rFonts w:hint="eastAsia" w:ascii="宋体" w:hAnsi="宋体" w:eastAsia="宋体" w:cs="宋体"/>
          <w:color w:val="000000"/>
          <w:szCs w:val="21"/>
          <w:highlight w:val="none"/>
        </w:rPr>
        <w:t xml:space="preserve"> ，优良标准为：</w:t>
      </w:r>
      <w:r>
        <w:rPr>
          <w:rFonts w:hint="eastAsia" w:ascii="宋体" w:hAnsi="宋体" w:eastAsia="宋体" w:cs="宋体"/>
          <w:b/>
          <w:color w:val="000000"/>
          <w:szCs w:val="21"/>
          <w:highlight w:val="none"/>
          <w:u w:val="single"/>
        </w:rPr>
        <w:t xml:space="preserve"> /</w:t>
      </w:r>
      <w:r>
        <w:rPr>
          <w:rFonts w:hint="eastAsia" w:ascii="宋体" w:hAnsi="宋体" w:eastAsia="宋体" w:cs="宋体"/>
          <w:color w:val="000000"/>
          <w:szCs w:val="21"/>
          <w:highlight w:val="none"/>
        </w:rPr>
        <w:t xml:space="preserve"> 。达到优良的奖金为：</w:t>
      </w:r>
      <w:r>
        <w:rPr>
          <w:rFonts w:hint="eastAsia" w:ascii="宋体" w:hAnsi="宋体" w:eastAsia="宋体" w:cs="宋体"/>
          <w:b/>
          <w:color w:val="000000"/>
          <w:szCs w:val="21"/>
          <w:highlight w:val="none"/>
          <w:u w:val="single"/>
        </w:rPr>
        <w:t xml:space="preserve"> /</w:t>
      </w:r>
      <w:r>
        <w:rPr>
          <w:rFonts w:hint="eastAsia" w:ascii="宋体" w:hAnsi="宋体" w:eastAsia="宋体" w:cs="宋体"/>
          <w:color w:val="000000"/>
          <w:szCs w:val="21"/>
          <w:highlight w:val="none"/>
        </w:rPr>
        <w:t xml:space="preserve"> 。</w:t>
      </w:r>
    </w:p>
    <w:p w14:paraId="42267970">
      <w:pPr>
        <w:tabs>
          <w:tab w:val="left" w:pos="2895"/>
        </w:tabs>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ab/>
      </w:r>
    </w:p>
    <w:p w14:paraId="1E74CC19">
      <w:pPr>
        <w:keepNext/>
        <w:widowControl w:val="0"/>
        <w:autoSpaceDE w:val="0"/>
        <w:autoSpaceDN w:val="0"/>
        <w:spacing w:line="400" w:lineRule="exact"/>
        <w:ind w:right="1"/>
        <w:rPr>
          <w:rFonts w:hint="eastAsia" w:ascii="宋体" w:hAnsi="宋体" w:eastAsia="宋体" w:cs="宋体"/>
          <w:b/>
          <w:color w:val="000000"/>
          <w:sz w:val="21"/>
          <w:szCs w:val="21"/>
          <w:highlight w:val="none"/>
          <w:lang w:val="en-US" w:eastAsia="zh-CN" w:bidi="ar-SA"/>
        </w:rPr>
      </w:pPr>
      <w:bookmarkStart w:id="232" w:name="_Toc263318626"/>
      <w:bookmarkStart w:id="233" w:name="_Toc263428632"/>
      <w:bookmarkStart w:id="234" w:name="_Toc263089193"/>
      <w:r>
        <w:rPr>
          <w:rFonts w:hint="eastAsia" w:ascii="宋体" w:hAnsi="宋体" w:eastAsia="宋体" w:cs="宋体"/>
          <w:b/>
          <w:color w:val="000000"/>
          <w:sz w:val="21"/>
          <w:szCs w:val="21"/>
          <w:highlight w:val="none"/>
          <w:lang w:val="en-US" w:eastAsia="zh-CN" w:bidi="ar-SA"/>
        </w:rPr>
        <w:t>13.8 质量事故处理</w:t>
      </w:r>
      <w:bookmarkEnd w:id="232"/>
      <w:bookmarkEnd w:id="233"/>
      <w:bookmarkEnd w:id="234"/>
    </w:p>
    <w:p w14:paraId="13E34792">
      <w:pPr>
        <w:spacing w:line="400" w:lineRule="exact"/>
        <w:ind w:right="2" w:rightChars="1" w:firstLine="420" w:firstLineChars="200"/>
        <w:rPr>
          <w:rFonts w:hint="eastAsia" w:ascii="宋体" w:hAnsi="宋体" w:eastAsia="宋体" w:cs="宋体"/>
          <w:color w:val="000000"/>
          <w:szCs w:val="21"/>
          <w:highlight w:val="none"/>
        </w:rPr>
      </w:pPr>
      <w:bookmarkStart w:id="235" w:name="_Toc263318627"/>
      <w:bookmarkStart w:id="236" w:name="_Toc263428633"/>
      <w:bookmarkStart w:id="237" w:name="_Toc263089194"/>
      <w:r>
        <w:rPr>
          <w:rFonts w:hint="eastAsia" w:ascii="宋体" w:hAnsi="宋体" w:eastAsia="宋体" w:cs="宋体"/>
          <w:color w:val="000000"/>
          <w:szCs w:val="21"/>
          <w:highlight w:val="none"/>
        </w:rPr>
        <w:t>13.8.4 本项不作另行约定。</w:t>
      </w:r>
      <w:bookmarkEnd w:id="235"/>
      <w:bookmarkEnd w:id="236"/>
      <w:bookmarkEnd w:id="237"/>
    </w:p>
    <w:p w14:paraId="708CB96D">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38" w:name="_Toc266290017"/>
      <w:r>
        <w:rPr>
          <w:rFonts w:hint="eastAsia" w:ascii="宋体" w:hAnsi="宋体" w:eastAsia="宋体" w:cs="宋体"/>
          <w:b/>
          <w:color w:val="000000"/>
          <w:sz w:val="21"/>
          <w:szCs w:val="21"/>
          <w:highlight w:val="none"/>
          <w:lang w:val="en-US" w:eastAsia="zh-CN" w:bidi="ar-SA"/>
        </w:rPr>
        <w:t>14 试验和检验</w:t>
      </w:r>
      <w:bookmarkEnd w:id="238"/>
    </w:p>
    <w:p w14:paraId="2525F285">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14.1 材料、工程设备和工程的试验和检验 </w:t>
      </w:r>
    </w:p>
    <w:p w14:paraId="3BB26372">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14.1.6 本工程实行见证取样的试块、试件及有关材料: </w:t>
      </w:r>
      <w:r>
        <w:rPr>
          <w:rFonts w:hint="eastAsia" w:ascii="宋体" w:hAnsi="宋体" w:eastAsia="宋体" w:cs="宋体"/>
          <w:b/>
          <w:color w:val="000000"/>
          <w:szCs w:val="21"/>
          <w:highlight w:val="none"/>
          <w:u w:val="single"/>
        </w:rPr>
        <w:t xml:space="preserve">经质量监督部门确认的涉及工程结构安全的试块、试件及有关材料 </w:t>
      </w:r>
      <w:r>
        <w:rPr>
          <w:rFonts w:hint="eastAsia" w:ascii="宋体" w:hAnsi="宋体" w:eastAsia="宋体" w:cs="宋体"/>
          <w:color w:val="000000"/>
          <w:szCs w:val="21"/>
          <w:highlight w:val="none"/>
        </w:rPr>
        <w:t>。</w:t>
      </w:r>
    </w:p>
    <w:p w14:paraId="229A19D3">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39" w:name="_Toc266290018"/>
      <w:r>
        <w:rPr>
          <w:rFonts w:hint="eastAsia" w:ascii="宋体" w:hAnsi="宋体" w:eastAsia="宋体" w:cs="宋体"/>
          <w:b/>
          <w:color w:val="000000"/>
          <w:sz w:val="21"/>
          <w:szCs w:val="21"/>
          <w:highlight w:val="none"/>
          <w:lang w:val="en-US" w:eastAsia="zh-CN" w:bidi="ar-SA"/>
        </w:rPr>
        <w:t>15 变更</w:t>
      </w:r>
      <w:bookmarkEnd w:id="239"/>
      <w:r>
        <w:rPr>
          <w:rFonts w:hint="eastAsia" w:ascii="宋体" w:hAnsi="宋体" w:eastAsia="宋体" w:cs="宋体"/>
          <w:b/>
          <w:color w:val="000000"/>
          <w:sz w:val="21"/>
          <w:szCs w:val="21"/>
          <w:highlight w:val="none"/>
          <w:lang w:val="en-US" w:eastAsia="zh-CN" w:bidi="ar-SA"/>
        </w:rPr>
        <w:t xml:space="preserve"> </w:t>
      </w:r>
    </w:p>
    <w:p w14:paraId="1331638F">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15.1 变更的范围和内容 </w:t>
      </w:r>
    </w:p>
    <w:p w14:paraId="503137FB">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 增加或减少合同中关键项目的工程量超过其工程总量的</w:t>
      </w:r>
      <w:r>
        <w:rPr>
          <w:rFonts w:hint="eastAsia" w:ascii="宋体" w:hAnsi="宋体" w:eastAsia="宋体" w:cs="宋体"/>
          <w:b/>
          <w:color w:val="000000"/>
          <w:szCs w:val="21"/>
          <w:highlight w:val="none"/>
          <w:u w:val="single"/>
        </w:rPr>
        <w:t>15%</w:t>
      </w:r>
      <w:r>
        <w:rPr>
          <w:rFonts w:hint="eastAsia" w:ascii="宋体" w:hAnsi="宋体" w:eastAsia="宋体" w:cs="宋体"/>
          <w:color w:val="000000"/>
          <w:szCs w:val="21"/>
          <w:highlight w:val="none"/>
        </w:rPr>
        <w:t>，关键项目：</w:t>
      </w:r>
      <w:r>
        <w:rPr>
          <w:rFonts w:hint="eastAsia" w:ascii="宋体" w:hAnsi="宋体" w:eastAsia="宋体" w:cs="宋体"/>
          <w:b/>
          <w:color w:val="000000"/>
          <w:szCs w:val="21"/>
          <w:highlight w:val="none"/>
          <w:u w:val="single"/>
        </w:rPr>
        <w:t xml:space="preserve">      </w:t>
      </w:r>
      <w:r>
        <w:rPr>
          <w:rFonts w:hint="eastAsia" w:ascii="宋体" w:hAnsi="宋体" w:eastAsia="宋体" w:cs="宋体"/>
          <w:color w:val="000000"/>
          <w:szCs w:val="21"/>
          <w:highlight w:val="none"/>
        </w:rPr>
        <w:t>，</w:t>
      </w:r>
    </w:p>
    <w:p w14:paraId="28C43EA3">
      <w:pPr>
        <w:spacing w:line="400" w:lineRule="exact"/>
        <w:ind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单价调整方式：</w:t>
      </w:r>
      <w:r>
        <w:rPr>
          <w:rFonts w:hint="eastAsia" w:ascii="宋体" w:hAnsi="宋体" w:eastAsia="宋体" w:cs="宋体"/>
          <w:b/>
          <w:color w:val="000000"/>
          <w:szCs w:val="21"/>
          <w:highlight w:val="none"/>
          <w:u w:val="single"/>
        </w:rPr>
        <w:t>不作调整</w:t>
      </w:r>
      <w:r>
        <w:rPr>
          <w:rFonts w:hint="eastAsia" w:ascii="宋体" w:hAnsi="宋体" w:eastAsia="宋体" w:cs="宋体"/>
          <w:color w:val="000000"/>
          <w:szCs w:val="21"/>
          <w:highlight w:val="none"/>
        </w:rPr>
        <w:t>。</w:t>
      </w:r>
    </w:p>
    <w:p w14:paraId="5C3CE9E7">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15.5 承包人的合理化建议</w:t>
      </w:r>
    </w:p>
    <w:p w14:paraId="1CB65843">
      <w:pPr>
        <w:spacing w:line="400" w:lineRule="exact"/>
        <w:ind w:left="-359" w:leftChars="-171" w:right="-874" w:rightChars="-416" w:firstLine="728" w:firstLineChars="34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15.5.2 承包人实现合理化建议的奖励金为:</w:t>
      </w:r>
      <w:r>
        <w:rPr>
          <w:rFonts w:hint="eastAsia" w:ascii="宋体" w:hAnsi="宋体" w:eastAsia="宋体" w:cs="宋体"/>
          <w:b/>
          <w:color w:val="000000"/>
          <w:szCs w:val="21"/>
          <w:highlight w:val="none"/>
          <w:u w:val="single"/>
        </w:rPr>
        <w:t>/</w:t>
      </w:r>
      <w:r>
        <w:rPr>
          <w:rFonts w:hint="eastAsia" w:ascii="宋体" w:hAnsi="宋体" w:eastAsia="宋体" w:cs="宋体"/>
          <w:color w:val="000000"/>
          <w:szCs w:val="21"/>
          <w:highlight w:val="none"/>
        </w:rPr>
        <w:t>。</w:t>
      </w:r>
    </w:p>
    <w:p w14:paraId="55381C0A">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15.8 暂估价 </w:t>
      </w:r>
    </w:p>
    <w:p w14:paraId="65702F65">
      <w:pPr>
        <w:spacing w:line="400" w:lineRule="exact"/>
        <w:ind w:left="2" w:leftChars="1" w:right="2" w:rightChars="1" w:firstLine="405" w:firstLineChars="192"/>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15.8.1</w:t>
      </w:r>
      <w:r>
        <w:rPr>
          <w:rFonts w:hint="eastAsia" w:ascii="宋体" w:hAnsi="宋体" w:eastAsia="宋体" w:cs="宋体"/>
          <w:color w:val="000000"/>
          <w:szCs w:val="21"/>
          <w:highlight w:val="none"/>
        </w:rPr>
        <w:t xml:space="preserve">  (1)招标人和承包人组织招标的暂估价项目:</w:t>
      </w:r>
      <w:r>
        <w:rPr>
          <w:rFonts w:hint="eastAsia" w:ascii="宋体" w:hAnsi="宋体" w:eastAsia="宋体" w:cs="宋体"/>
          <w:b/>
          <w:color w:val="000000"/>
          <w:szCs w:val="21"/>
          <w:highlight w:val="none"/>
          <w:u w:val="single"/>
        </w:rPr>
        <w:t>无</w:t>
      </w:r>
      <w:r>
        <w:rPr>
          <w:rFonts w:hint="eastAsia" w:ascii="宋体" w:hAnsi="宋体" w:eastAsia="宋体" w:cs="宋体"/>
          <w:color w:val="000000"/>
          <w:szCs w:val="21"/>
          <w:highlight w:val="none"/>
        </w:rPr>
        <w:t>。招标人组织招呼的暂估价项目：</w:t>
      </w:r>
      <w:r>
        <w:rPr>
          <w:rFonts w:hint="eastAsia" w:ascii="宋体" w:hAnsi="宋体" w:eastAsia="宋体" w:cs="宋体"/>
          <w:b/>
          <w:color w:val="000000"/>
          <w:szCs w:val="21"/>
          <w:highlight w:val="none"/>
          <w:u w:val="single"/>
        </w:rPr>
        <w:t>无</w:t>
      </w:r>
      <w:r>
        <w:rPr>
          <w:rFonts w:hint="eastAsia" w:ascii="宋体" w:hAnsi="宋体" w:eastAsia="宋体" w:cs="宋体"/>
          <w:color w:val="000000"/>
          <w:szCs w:val="21"/>
          <w:highlight w:val="none"/>
        </w:rPr>
        <w:t>。</w:t>
      </w:r>
    </w:p>
    <w:p w14:paraId="01368E33">
      <w:pPr>
        <w:spacing w:line="400" w:lineRule="exact"/>
        <w:ind w:left="2" w:leftChars="1"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招标人和承包人以招标方式选择暂估价项目供应商或分包人时，双方的权利义务关系：</w:t>
      </w:r>
      <w:r>
        <w:rPr>
          <w:rFonts w:hint="eastAsia" w:ascii="宋体" w:hAnsi="宋体" w:eastAsia="宋体" w:cs="宋体"/>
          <w:b/>
          <w:color w:val="000000"/>
          <w:szCs w:val="21"/>
          <w:highlight w:val="none"/>
          <w:u w:val="single"/>
        </w:rPr>
        <w:t>无</w:t>
      </w:r>
      <w:r>
        <w:rPr>
          <w:rFonts w:hint="eastAsia" w:ascii="宋体" w:hAnsi="宋体" w:eastAsia="宋体" w:cs="宋体"/>
          <w:color w:val="000000"/>
          <w:szCs w:val="21"/>
          <w:highlight w:val="none"/>
        </w:rPr>
        <w:t>。</w:t>
      </w:r>
    </w:p>
    <w:p w14:paraId="639D464A">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40" w:name="_Toc266290019"/>
      <w:r>
        <w:rPr>
          <w:rFonts w:hint="eastAsia" w:ascii="宋体" w:hAnsi="宋体" w:eastAsia="宋体" w:cs="宋体"/>
          <w:b/>
          <w:color w:val="000000"/>
          <w:sz w:val="21"/>
          <w:szCs w:val="21"/>
          <w:highlight w:val="none"/>
          <w:lang w:val="en-US" w:eastAsia="zh-CN" w:bidi="ar-SA"/>
        </w:rPr>
        <w:t>16 价格调整</w:t>
      </w:r>
      <w:bookmarkEnd w:id="240"/>
      <w:r>
        <w:rPr>
          <w:rFonts w:hint="eastAsia" w:ascii="宋体" w:hAnsi="宋体" w:eastAsia="宋体" w:cs="宋体"/>
          <w:b/>
          <w:color w:val="000000"/>
          <w:sz w:val="21"/>
          <w:szCs w:val="21"/>
          <w:highlight w:val="none"/>
          <w:lang w:val="en-US" w:eastAsia="zh-CN" w:bidi="ar-SA"/>
        </w:rPr>
        <w:t xml:space="preserve"> </w:t>
      </w:r>
    </w:p>
    <w:p w14:paraId="4409CCBA">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16.1 物价波动引起的价格调整 </w:t>
      </w:r>
    </w:p>
    <w:p w14:paraId="0169902E">
      <w:pPr>
        <w:spacing w:line="400" w:lineRule="exact"/>
        <w:ind w:left="2" w:leftChars="1"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物价波动引起的价格调整方式：</w:t>
      </w:r>
      <w:r>
        <w:rPr>
          <w:rFonts w:hint="eastAsia" w:ascii="宋体" w:hAnsi="宋体" w:eastAsia="宋体" w:cs="宋体"/>
          <w:b/>
          <w:color w:val="000000"/>
          <w:szCs w:val="21"/>
          <w:highlight w:val="none"/>
          <w:u w:val="single"/>
        </w:rPr>
        <w:t>物价波动不予调整价格</w:t>
      </w:r>
      <w:r>
        <w:rPr>
          <w:rFonts w:hint="eastAsia" w:ascii="宋体" w:hAnsi="宋体" w:eastAsia="宋体" w:cs="宋体"/>
          <w:color w:val="000000"/>
          <w:szCs w:val="21"/>
          <w:highlight w:val="none"/>
        </w:rPr>
        <w:t>。</w:t>
      </w:r>
    </w:p>
    <w:p w14:paraId="680C02AC">
      <w:pPr>
        <w:spacing w:line="400" w:lineRule="exact"/>
        <w:ind w:left="2" w:leftChars="1"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16.1.2 采用造价信息调整价格差额</w:t>
      </w:r>
    </w:p>
    <w:p w14:paraId="089EA8EC">
      <w:pPr>
        <w:spacing w:line="400" w:lineRule="exact"/>
        <w:ind w:left="2" w:leftChars="1"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工程造价信息的来源：</w:t>
      </w:r>
      <w:r>
        <w:rPr>
          <w:rFonts w:hint="eastAsia" w:ascii="宋体" w:hAnsi="宋体" w:eastAsia="宋体" w:cs="宋体"/>
          <w:b/>
          <w:color w:val="000000"/>
          <w:szCs w:val="21"/>
          <w:highlight w:val="none"/>
          <w:u w:val="single"/>
        </w:rPr>
        <w:t>/</w:t>
      </w:r>
      <w:r>
        <w:rPr>
          <w:rFonts w:hint="eastAsia" w:ascii="宋体" w:hAnsi="宋体" w:eastAsia="宋体" w:cs="宋体"/>
          <w:color w:val="000000"/>
          <w:szCs w:val="21"/>
          <w:highlight w:val="none"/>
        </w:rPr>
        <w:t>。</w:t>
      </w:r>
    </w:p>
    <w:p w14:paraId="33FA5157">
      <w:pPr>
        <w:spacing w:line="400" w:lineRule="exact"/>
        <w:ind w:left="2" w:leftChars="1"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价格调整的项目和系数：</w:t>
      </w:r>
      <w:r>
        <w:rPr>
          <w:rFonts w:hint="eastAsia" w:ascii="宋体" w:hAnsi="宋体" w:eastAsia="宋体" w:cs="宋体"/>
          <w:b/>
          <w:color w:val="000000"/>
          <w:szCs w:val="21"/>
          <w:highlight w:val="none"/>
          <w:u w:val="single"/>
        </w:rPr>
        <w:t>/</w:t>
      </w:r>
      <w:r>
        <w:rPr>
          <w:rFonts w:hint="eastAsia" w:ascii="宋体" w:hAnsi="宋体" w:eastAsia="宋体" w:cs="宋体"/>
          <w:color w:val="000000"/>
          <w:szCs w:val="21"/>
          <w:highlight w:val="none"/>
        </w:rPr>
        <w:t>。</w:t>
      </w:r>
    </w:p>
    <w:p w14:paraId="572C90BC">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41" w:name="_Toc266290020"/>
      <w:r>
        <w:rPr>
          <w:rFonts w:hint="eastAsia" w:ascii="宋体" w:hAnsi="宋体" w:eastAsia="宋体" w:cs="宋体"/>
          <w:b/>
          <w:color w:val="000000"/>
          <w:sz w:val="21"/>
          <w:szCs w:val="21"/>
          <w:highlight w:val="none"/>
          <w:lang w:val="en-US" w:eastAsia="zh-CN" w:bidi="ar-SA"/>
        </w:rPr>
        <w:t>17  计量与支付</w:t>
      </w:r>
      <w:bookmarkEnd w:id="241"/>
      <w:r>
        <w:rPr>
          <w:rFonts w:hint="eastAsia" w:ascii="宋体" w:hAnsi="宋体" w:eastAsia="宋体" w:cs="宋体"/>
          <w:b/>
          <w:color w:val="000000"/>
          <w:sz w:val="21"/>
          <w:szCs w:val="21"/>
          <w:highlight w:val="none"/>
          <w:lang w:val="en-US" w:eastAsia="zh-CN" w:bidi="ar-SA"/>
        </w:rPr>
        <w:t xml:space="preserve"> </w:t>
      </w:r>
    </w:p>
    <w:p w14:paraId="6F95C7FE">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17.2  预付款：无</w:t>
      </w:r>
    </w:p>
    <w:p w14:paraId="481EC9DF">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17.4  质量保证金  </w:t>
      </w:r>
    </w:p>
    <w:p w14:paraId="44756BB2">
      <w:pPr>
        <w:keepNext/>
        <w:widowControl w:val="0"/>
        <w:autoSpaceDE w:val="0"/>
        <w:autoSpaceDN w:val="0"/>
        <w:spacing w:line="440" w:lineRule="exact"/>
        <w:ind w:right="1" w:firstLine="42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17.4.1每个付款周期扣留的质量保证金为工程进度付款</w:t>
      </w:r>
      <w:r>
        <w:rPr>
          <w:rFonts w:hint="eastAsia" w:ascii="宋体" w:hAnsi="宋体" w:eastAsia="宋体" w:cs="宋体"/>
          <w:b/>
          <w:color w:val="000000"/>
          <w:sz w:val="21"/>
          <w:szCs w:val="21"/>
          <w:highlight w:val="none"/>
          <w:u w:val="single"/>
          <w:lang w:val="en-US" w:eastAsia="zh-CN" w:bidi="ar-SA"/>
        </w:rPr>
        <w:t xml:space="preserve">  5  </w:t>
      </w:r>
      <w:r>
        <w:rPr>
          <w:rFonts w:hint="eastAsia" w:ascii="宋体" w:hAnsi="宋体" w:eastAsia="宋体" w:cs="宋体"/>
          <w:b/>
          <w:color w:val="000000"/>
          <w:sz w:val="21"/>
          <w:szCs w:val="21"/>
          <w:highlight w:val="none"/>
          <w:lang w:val="en-US" w:eastAsia="zh-CN" w:bidi="ar-SA"/>
        </w:rPr>
        <w:t>%，扣留的质量保证金总额为签约合同价的</w:t>
      </w:r>
      <w:r>
        <w:rPr>
          <w:rFonts w:hint="eastAsia" w:ascii="宋体" w:hAnsi="宋体" w:eastAsia="宋体" w:cs="宋体"/>
          <w:b/>
          <w:color w:val="000000"/>
          <w:sz w:val="21"/>
          <w:szCs w:val="21"/>
          <w:highlight w:val="none"/>
          <w:u w:val="single"/>
          <w:lang w:val="en-US" w:eastAsia="zh-CN" w:bidi="ar-SA"/>
        </w:rPr>
        <w:t xml:space="preserve">  3  </w:t>
      </w:r>
      <w:r>
        <w:rPr>
          <w:rFonts w:hint="eastAsia" w:ascii="宋体" w:hAnsi="宋体" w:eastAsia="宋体" w:cs="宋体"/>
          <w:b/>
          <w:color w:val="000000"/>
          <w:sz w:val="21"/>
          <w:szCs w:val="21"/>
          <w:highlight w:val="none"/>
          <w:lang w:val="en-US" w:eastAsia="zh-CN" w:bidi="ar-SA"/>
        </w:rPr>
        <w:t>%</w:t>
      </w:r>
    </w:p>
    <w:p w14:paraId="7DFD46DA">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17.5  竣工（完工）结算</w:t>
      </w:r>
    </w:p>
    <w:p w14:paraId="592DAE41">
      <w:pPr>
        <w:keepNext/>
        <w:widowControl w:val="0"/>
        <w:autoSpaceDE w:val="0"/>
        <w:autoSpaceDN w:val="0"/>
        <w:spacing w:line="440" w:lineRule="exact"/>
        <w:ind w:right="1" w:firstLine="42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17.5.1竣工（完工）付款申请单</w:t>
      </w:r>
    </w:p>
    <w:p w14:paraId="172FAC0F">
      <w:pPr>
        <w:keepNext/>
        <w:widowControl w:val="0"/>
        <w:numPr>
          <w:ilvl w:val="0"/>
          <w:numId w:val="6"/>
        </w:numPr>
        <w:autoSpaceDE w:val="0"/>
        <w:autoSpaceDN w:val="0"/>
        <w:spacing w:line="440" w:lineRule="exact"/>
        <w:ind w:right="1" w:firstLine="42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承包人应提交完工付款申请单一式</w:t>
      </w:r>
      <w:r>
        <w:rPr>
          <w:rFonts w:hint="eastAsia" w:ascii="宋体" w:hAnsi="宋体" w:eastAsia="宋体" w:cs="宋体"/>
          <w:b/>
          <w:color w:val="000000"/>
          <w:sz w:val="21"/>
          <w:szCs w:val="21"/>
          <w:highlight w:val="none"/>
          <w:u w:val="single"/>
          <w:lang w:val="en-US" w:eastAsia="zh-CN" w:bidi="ar-SA"/>
        </w:rPr>
        <w:t xml:space="preserve"> 4 </w:t>
      </w:r>
      <w:r>
        <w:rPr>
          <w:rFonts w:hint="eastAsia" w:ascii="宋体" w:hAnsi="宋体" w:eastAsia="宋体" w:cs="宋体"/>
          <w:b/>
          <w:color w:val="000000"/>
          <w:sz w:val="21"/>
          <w:szCs w:val="21"/>
          <w:highlight w:val="none"/>
          <w:lang w:val="en-US" w:eastAsia="zh-CN" w:bidi="ar-SA"/>
        </w:rPr>
        <w:t>份</w:t>
      </w:r>
    </w:p>
    <w:p w14:paraId="6C6E2C64">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17.6  最终结清</w:t>
      </w:r>
    </w:p>
    <w:p w14:paraId="7B8600E6">
      <w:pPr>
        <w:keepNext/>
        <w:widowControl w:val="0"/>
        <w:autoSpaceDE w:val="0"/>
        <w:autoSpaceDN w:val="0"/>
        <w:spacing w:line="440" w:lineRule="exact"/>
        <w:ind w:right="1" w:firstLine="42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17.6.1最终结清申请单</w:t>
      </w:r>
    </w:p>
    <w:p w14:paraId="777987CA">
      <w:pPr>
        <w:keepNext/>
        <w:widowControl w:val="0"/>
        <w:autoSpaceDE w:val="0"/>
        <w:autoSpaceDN w:val="0"/>
        <w:spacing w:line="440" w:lineRule="exact"/>
        <w:ind w:right="1" w:firstLine="422" w:firstLineChars="200"/>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（1）承包人应提交完工付款申请单一式</w:t>
      </w:r>
      <w:r>
        <w:rPr>
          <w:rFonts w:hint="eastAsia" w:ascii="宋体" w:hAnsi="宋体" w:eastAsia="宋体" w:cs="宋体"/>
          <w:b/>
          <w:color w:val="000000"/>
          <w:sz w:val="21"/>
          <w:szCs w:val="21"/>
          <w:highlight w:val="none"/>
          <w:u w:val="single"/>
          <w:lang w:val="en-US" w:eastAsia="zh-CN" w:bidi="ar-SA"/>
        </w:rPr>
        <w:t xml:space="preserve"> 4 </w:t>
      </w:r>
      <w:r>
        <w:rPr>
          <w:rFonts w:hint="eastAsia" w:ascii="宋体" w:hAnsi="宋体" w:eastAsia="宋体" w:cs="宋体"/>
          <w:b/>
          <w:color w:val="000000"/>
          <w:sz w:val="21"/>
          <w:szCs w:val="21"/>
          <w:highlight w:val="none"/>
          <w:lang w:val="en-US" w:eastAsia="zh-CN" w:bidi="ar-SA"/>
        </w:rPr>
        <w:t>份</w:t>
      </w:r>
    </w:p>
    <w:p w14:paraId="4F7B1D9A">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17.7 竣工财务决算</w:t>
      </w:r>
    </w:p>
    <w:p w14:paraId="69047646">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承包人应为竣工财务决算编制提供的资料:</w:t>
      </w:r>
      <w:r>
        <w:rPr>
          <w:rFonts w:hint="eastAsia" w:ascii="宋体" w:hAnsi="宋体" w:eastAsia="宋体" w:cs="宋体"/>
          <w:b/>
          <w:color w:val="000000"/>
          <w:szCs w:val="21"/>
          <w:highlight w:val="none"/>
          <w:u w:val="single"/>
        </w:rPr>
        <w:t>按照招标人要求提供相关资料</w:t>
      </w:r>
      <w:r>
        <w:rPr>
          <w:rFonts w:hint="eastAsia" w:ascii="宋体" w:hAnsi="宋体" w:eastAsia="宋体" w:cs="宋体"/>
          <w:color w:val="000000"/>
          <w:szCs w:val="21"/>
          <w:highlight w:val="none"/>
        </w:rPr>
        <w:t>。</w:t>
      </w:r>
    </w:p>
    <w:p w14:paraId="17CBE942">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17.7 竣工财务决算 </w:t>
      </w:r>
    </w:p>
    <w:p w14:paraId="131D2E5E">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承包人应为竣工财务决算编制提供的资料:</w:t>
      </w:r>
      <w:r>
        <w:rPr>
          <w:rFonts w:hint="eastAsia" w:ascii="宋体" w:hAnsi="宋体" w:eastAsia="宋体" w:cs="宋体"/>
          <w:b/>
          <w:color w:val="000000"/>
          <w:szCs w:val="21"/>
          <w:highlight w:val="none"/>
          <w:u w:val="single"/>
        </w:rPr>
        <w:t>按照招标人要求提供相关资料</w:t>
      </w:r>
      <w:r>
        <w:rPr>
          <w:rFonts w:hint="eastAsia" w:ascii="宋体" w:hAnsi="宋体" w:eastAsia="宋体" w:cs="宋体"/>
          <w:color w:val="000000"/>
          <w:szCs w:val="21"/>
          <w:highlight w:val="none"/>
        </w:rPr>
        <w:t>。</w:t>
      </w:r>
    </w:p>
    <w:p w14:paraId="49AFD675">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42" w:name="_Toc266290021"/>
      <w:r>
        <w:rPr>
          <w:rFonts w:hint="eastAsia" w:ascii="宋体" w:hAnsi="宋体" w:eastAsia="宋体" w:cs="宋体"/>
          <w:b/>
          <w:color w:val="000000"/>
          <w:sz w:val="21"/>
          <w:szCs w:val="21"/>
          <w:highlight w:val="none"/>
          <w:lang w:val="en-US" w:eastAsia="zh-CN" w:bidi="ar-SA"/>
        </w:rPr>
        <w:t>18 竣工验收(验收)</w:t>
      </w:r>
      <w:bookmarkEnd w:id="242"/>
    </w:p>
    <w:p w14:paraId="7539F429">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18.1 验收工作分类 </w:t>
      </w:r>
    </w:p>
    <w:p w14:paraId="5362EB7A">
      <w:pPr>
        <w:spacing w:line="400" w:lineRule="exact"/>
        <w:ind w:left="2" w:leftChars="1" w:right="2" w:rightChars="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本工程法人验收包括：</w:t>
      </w:r>
      <w:r>
        <w:rPr>
          <w:rFonts w:hint="eastAsia" w:ascii="宋体" w:hAnsi="宋体" w:eastAsia="宋体" w:cs="宋体"/>
          <w:b/>
          <w:color w:val="000000"/>
          <w:szCs w:val="21"/>
          <w:highlight w:val="none"/>
          <w:u w:val="single"/>
        </w:rPr>
        <w:t>分部工程验收、单位工程验收、合同工程完工验收</w:t>
      </w:r>
      <w:r>
        <w:rPr>
          <w:rFonts w:hint="eastAsia" w:ascii="宋体" w:hAnsi="宋体" w:eastAsia="宋体" w:cs="宋体"/>
          <w:color w:val="000000"/>
          <w:szCs w:val="21"/>
          <w:highlight w:val="none"/>
        </w:rPr>
        <w:t xml:space="preserve"> ；政府验收包括： </w:t>
      </w:r>
      <w:r>
        <w:rPr>
          <w:rFonts w:hint="eastAsia" w:ascii="宋体" w:hAnsi="宋体" w:eastAsia="宋体" w:cs="宋体"/>
          <w:b/>
          <w:color w:val="000000"/>
          <w:szCs w:val="21"/>
          <w:highlight w:val="none"/>
          <w:u w:val="single"/>
        </w:rPr>
        <w:t xml:space="preserve">专项验收、竣工验收 </w:t>
      </w:r>
      <w:r>
        <w:rPr>
          <w:rFonts w:hint="eastAsia" w:ascii="宋体" w:hAnsi="宋体" w:eastAsia="宋体" w:cs="宋体"/>
          <w:color w:val="000000"/>
          <w:szCs w:val="21"/>
          <w:highlight w:val="none"/>
        </w:rPr>
        <w:t>。验收条件为：</w:t>
      </w:r>
      <w:r>
        <w:rPr>
          <w:rFonts w:hint="eastAsia" w:ascii="宋体" w:hAnsi="宋体" w:eastAsia="宋体" w:cs="宋体"/>
          <w:b/>
          <w:color w:val="000000"/>
          <w:szCs w:val="21"/>
          <w:highlight w:val="none"/>
          <w:u w:val="single"/>
        </w:rPr>
        <w:t>达到《水利水电建设工程验收规程》要求</w:t>
      </w:r>
      <w:r>
        <w:rPr>
          <w:rFonts w:hint="eastAsia" w:ascii="宋体" w:hAnsi="宋体" w:eastAsia="宋体" w:cs="宋体"/>
          <w:color w:val="000000"/>
          <w:szCs w:val="21"/>
          <w:highlight w:val="none"/>
        </w:rPr>
        <w:t xml:space="preserve"> ，验收程序为：</w:t>
      </w:r>
      <w:r>
        <w:rPr>
          <w:rFonts w:hint="eastAsia" w:ascii="宋体" w:hAnsi="宋体" w:eastAsia="宋体" w:cs="宋体"/>
          <w:b/>
          <w:color w:val="000000"/>
          <w:szCs w:val="21"/>
          <w:highlight w:val="none"/>
          <w:u w:val="single"/>
        </w:rPr>
        <w:t>按《水利水电建设工程验收规程》要求进行</w:t>
      </w:r>
      <w:r>
        <w:rPr>
          <w:rFonts w:hint="eastAsia" w:ascii="宋体" w:hAnsi="宋体" w:eastAsia="宋体" w:cs="宋体"/>
          <w:color w:val="000000"/>
          <w:szCs w:val="21"/>
          <w:highlight w:val="none"/>
        </w:rPr>
        <w:t xml:space="preserve"> 。</w:t>
      </w:r>
    </w:p>
    <w:p w14:paraId="1857935E">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18.2 分部工程验收 </w:t>
      </w:r>
    </w:p>
    <w:p w14:paraId="71524ECB">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18.2.2 本工程由招标人主持的分部工程验收为</w:t>
      </w:r>
      <w:r>
        <w:rPr>
          <w:rFonts w:hint="eastAsia" w:ascii="宋体" w:hAnsi="宋体" w:eastAsia="宋体" w:cs="宋体"/>
          <w:b/>
          <w:color w:val="000000"/>
          <w:szCs w:val="21"/>
          <w:highlight w:val="none"/>
          <w:u w:val="single"/>
        </w:rPr>
        <w:t>/</w:t>
      </w:r>
      <w:r>
        <w:rPr>
          <w:rFonts w:hint="eastAsia" w:ascii="宋体" w:hAnsi="宋体" w:eastAsia="宋体" w:cs="宋体"/>
          <w:color w:val="000000"/>
          <w:szCs w:val="21"/>
          <w:highlight w:val="none"/>
        </w:rPr>
        <w:t xml:space="preserve">，其余由监理人主持。 </w:t>
      </w:r>
    </w:p>
    <w:p w14:paraId="595824C8">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18.3 单位工程验收 </w:t>
      </w:r>
    </w:p>
    <w:p w14:paraId="03462497">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18.3.4 提前投入使用的单位工程包括：</w:t>
      </w:r>
      <w:r>
        <w:rPr>
          <w:rFonts w:hint="eastAsia" w:ascii="宋体" w:hAnsi="宋体" w:eastAsia="宋体" w:cs="宋体"/>
          <w:b/>
          <w:color w:val="000000"/>
          <w:szCs w:val="21"/>
          <w:highlight w:val="none"/>
          <w:u w:val="single"/>
        </w:rPr>
        <w:t>/</w:t>
      </w:r>
      <w:r>
        <w:rPr>
          <w:rFonts w:hint="eastAsia" w:ascii="宋体" w:hAnsi="宋体" w:eastAsia="宋体" w:cs="宋体"/>
          <w:color w:val="000000"/>
          <w:szCs w:val="21"/>
          <w:highlight w:val="none"/>
        </w:rPr>
        <w:t>。</w:t>
      </w:r>
    </w:p>
    <w:p w14:paraId="2C7E9F72">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18.5 阶段验收 </w:t>
      </w:r>
    </w:p>
    <w:p w14:paraId="08922F0A">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18.5.1 本合同工程阶段验收类包括：</w:t>
      </w:r>
      <w:r>
        <w:rPr>
          <w:rFonts w:hint="eastAsia" w:ascii="宋体" w:hAnsi="宋体" w:eastAsia="宋体" w:cs="宋体"/>
          <w:b/>
          <w:color w:val="000000"/>
          <w:szCs w:val="21"/>
          <w:highlight w:val="none"/>
          <w:u w:val="single"/>
        </w:rPr>
        <w:t>/</w:t>
      </w:r>
      <w:r>
        <w:rPr>
          <w:rFonts w:hint="eastAsia" w:ascii="宋体" w:hAnsi="宋体" w:eastAsia="宋体" w:cs="宋体"/>
          <w:color w:val="000000"/>
          <w:szCs w:val="21"/>
          <w:highlight w:val="none"/>
        </w:rPr>
        <w:t>。</w:t>
      </w:r>
    </w:p>
    <w:p w14:paraId="1FB6289D">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18.6 专项验收 </w:t>
      </w:r>
    </w:p>
    <w:p w14:paraId="38115F74">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18.6.2 本合同工程专项验收类别包括：</w:t>
      </w:r>
      <w:r>
        <w:rPr>
          <w:rFonts w:hint="eastAsia" w:ascii="宋体" w:hAnsi="宋体" w:eastAsia="宋体" w:cs="宋体"/>
          <w:b/>
          <w:color w:val="000000"/>
          <w:szCs w:val="21"/>
          <w:highlight w:val="none"/>
          <w:u w:val="single"/>
        </w:rPr>
        <w:t xml:space="preserve">         </w:t>
      </w:r>
      <w:r>
        <w:rPr>
          <w:rFonts w:hint="eastAsia" w:ascii="宋体" w:hAnsi="宋体" w:eastAsia="宋体" w:cs="宋体"/>
          <w:color w:val="000000"/>
          <w:szCs w:val="21"/>
          <w:highlight w:val="none"/>
        </w:rPr>
        <w:t>。</w:t>
      </w:r>
    </w:p>
    <w:p w14:paraId="2D10D926">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18.7 竣工验收 </w:t>
      </w:r>
    </w:p>
    <w:p w14:paraId="360C9F33">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18.7.3 本工程需要竣工验收技术鉴定(蓄水安全鉴定)。</w:t>
      </w:r>
    </w:p>
    <w:p w14:paraId="2F19C242">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18.8 施工期运行 </w:t>
      </w:r>
    </w:p>
    <w:p w14:paraId="0A29402C">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18.8.1 需要在施工期运行的单位工程或工程设备为：</w:t>
      </w:r>
      <w:r>
        <w:rPr>
          <w:rFonts w:hint="eastAsia" w:ascii="宋体" w:hAnsi="宋体" w:eastAsia="宋体" w:cs="宋体"/>
          <w:b/>
          <w:color w:val="000000"/>
          <w:szCs w:val="21"/>
          <w:highlight w:val="none"/>
          <w:u w:val="single"/>
        </w:rPr>
        <w:t>无</w:t>
      </w:r>
      <w:r>
        <w:rPr>
          <w:rFonts w:hint="eastAsia" w:ascii="宋体" w:hAnsi="宋体" w:eastAsia="宋体" w:cs="宋体"/>
          <w:color w:val="000000"/>
          <w:szCs w:val="21"/>
          <w:highlight w:val="none"/>
        </w:rPr>
        <w:t>。</w:t>
      </w:r>
    </w:p>
    <w:p w14:paraId="1C31EEA7">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18.9 试运行 </w:t>
      </w:r>
    </w:p>
    <w:p w14:paraId="79F7E11C">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18.9.1 试运行的组织:</w:t>
      </w:r>
      <w:r>
        <w:rPr>
          <w:rFonts w:hint="eastAsia" w:ascii="宋体" w:hAnsi="宋体" w:eastAsia="宋体" w:cs="宋体"/>
          <w:b/>
          <w:color w:val="000000"/>
          <w:szCs w:val="21"/>
          <w:highlight w:val="none"/>
          <w:u w:val="single"/>
        </w:rPr>
        <w:t>/</w:t>
      </w:r>
      <w:r>
        <w:rPr>
          <w:rFonts w:hint="eastAsia" w:ascii="宋体" w:hAnsi="宋体" w:eastAsia="宋体" w:cs="宋体"/>
          <w:color w:val="000000"/>
          <w:szCs w:val="21"/>
          <w:highlight w:val="none"/>
        </w:rPr>
        <w:t>。</w:t>
      </w:r>
    </w:p>
    <w:p w14:paraId="3E9663E3">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43" w:name="_Toc266290022"/>
      <w:r>
        <w:rPr>
          <w:rFonts w:hint="eastAsia" w:ascii="宋体" w:hAnsi="宋体" w:eastAsia="宋体" w:cs="宋体"/>
          <w:b/>
          <w:color w:val="000000"/>
          <w:sz w:val="21"/>
          <w:szCs w:val="21"/>
          <w:highlight w:val="none"/>
          <w:lang w:val="en-US" w:eastAsia="zh-CN" w:bidi="ar-SA"/>
        </w:rPr>
        <w:t>19 缺陷责任与保修责任</w:t>
      </w:r>
      <w:bookmarkEnd w:id="243"/>
    </w:p>
    <w:p w14:paraId="62E1AD95">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19.1 缺陷责任期(工程质量保修期)的起算时间</w:t>
      </w:r>
    </w:p>
    <w:p w14:paraId="0FBA3083">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本工程缺陷责任期（工程质量保修期)计算如下:</w:t>
      </w:r>
      <w:r>
        <w:rPr>
          <w:rFonts w:hint="eastAsia" w:ascii="宋体" w:hAnsi="宋体" w:eastAsia="宋体" w:cs="宋体"/>
          <w:b/>
          <w:color w:val="000000"/>
          <w:szCs w:val="21"/>
          <w:highlight w:val="none"/>
          <w:u w:val="single"/>
        </w:rPr>
        <w:t xml:space="preserve">               </w:t>
      </w:r>
      <w:r>
        <w:rPr>
          <w:rFonts w:hint="eastAsia" w:ascii="宋体" w:hAnsi="宋体" w:eastAsia="宋体" w:cs="宋体"/>
          <w:color w:val="000000"/>
          <w:szCs w:val="21"/>
          <w:highlight w:val="none"/>
        </w:rPr>
        <w:t xml:space="preserve"> </w:t>
      </w:r>
    </w:p>
    <w:p w14:paraId="5BD7B3FB">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44" w:name="_Toc266290023"/>
      <w:r>
        <w:rPr>
          <w:rFonts w:hint="eastAsia" w:ascii="宋体" w:hAnsi="宋体" w:eastAsia="宋体" w:cs="宋体"/>
          <w:b/>
          <w:color w:val="000000"/>
          <w:sz w:val="21"/>
          <w:szCs w:val="21"/>
          <w:highlight w:val="none"/>
          <w:lang w:val="en-US" w:eastAsia="zh-CN" w:bidi="ar-SA"/>
        </w:rPr>
        <w:t>20 保险</w:t>
      </w:r>
      <w:bookmarkEnd w:id="244"/>
      <w:r>
        <w:rPr>
          <w:rFonts w:hint="eastAsia" w:ascii="宋体" w:hAnsi="宋体" w:eastAsia="宋体" w:cs="宋体"/>
          <w:b/>
          <w:color w:val="000000"/>
          <w:sz w:val="21"/>
          <w:szCs w:val="21"/>
          <w:highlight w:val="none"/>
          <w:lang w:val="en-US" w:eastAsia="zh-CN" w:bidi="ar-SA"/>
        </w:rPr>
        <w:t xml:space="preserve"> </w:t>
      </w:r>
    </w:p>
    <w:p w14:paraId="12AEBFA3">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20.1工程保险 </w:t>
      </w:r>
    </w:p>
    <w:p w14:paraId="3426D4A1">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建筑工程一切险和(或)安装工程一切险投保人:</w:t>
      </w:r>
      <w:r>
        <w:rPr>
          <w:rFonts w:hint="eastAsia" w:ascii="宋体" w:hAnsi="宋体" w:eastAsia="宋体" w:cs="宋体"/>
          <w:b/>
          <w:color w:val="000000"/>
          <w:szCs w:val="21"/>
          <w:highlight w:val="none"/>
          <w:u w:val="single"/>
        </w:rPr>
        <w:t>另行协商</w:t>
      </w:r>
      <w:r>
        <w:rPr>
          <w:rFonts w:hint="eastAsia" w:ascii="宋体" w:hAnsi="宋体" w:eastAsia="宋体" w:cs="宋体"/>
          <w:color w:val="000000"/>
          <w:szCs w:val="21"/>
          <w:highlight w:val="none"/>
        </w:rPr>
        <w:t>。</w:t>
      </w:r>
    </w:p>
    <w:p w14:paraId="3639563B">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投保内容:</w:t>
      </w:r>
      <w:r>
        <w:rPr>
          <w:rFonts w:hint="eastAsia" w:ascii="宋体" w:hAnsi="宋体" w:eastAsia="宋体" w:cs="宋体"/>
          <w:b/>
          <w:color w:val="000000"/>
          <w:szCs w:val="21"/>
          <w:highlight w:val="none"/>
          <w:u w:val="single"/>
        </w:rPr>
        <w:t xml:space="preserve"> 所有工程项目</w:t>
      </w:r>
      <w:r>
        <w:rPr>
          <w:rFonts w:hint="eastAsia" w:ascii="宋体" w:hAnsi="宋体" w:eastAsia="宋体" w:cs="宋体"/>
          <w:color w:val="000000"/>
          <w:szCs w:val="21"/>
          <w:highlight w:val="none"/>
        </w:rPr>
        <w:t>。</w:t>
      </w:r>
    </w:p>
    <w:p w14:paraId="70F43D9F">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保险金额、保险费率和保险期限: </w:t>
      </w:r>
      <w:r>
        <w:rPr>
          <w:rFonts w:hint="eastAsia" w:ascii="宋体" w:hAnsi="宋体" w:eastAsia="宋体" w:cs="宋体"/>
          <w:b/>
          <w:color w:val="000000"/>
          <w:szCs w:val="21"/>
          <w:highlight w:val="none"/>
          <w:u w:val="single"/>
        </w:rPr>
        <w:t>按照保单中明确的内容</w:t>
      </w:r>
      <w:r>
        <w:rPr>
          <w:rFonts w:hint="eastAsia" w:ascii="宋体" w:hAnsi="宋体" w:eastAsia="宋体" w:cs="宋体"/>
          <w:color w:val="000000"/>
          <w:szCs w:val="21"/>
          <w:highlight w:val="none"/>
        </w:rPr>
        <w:t>。</w:t>
      </w:r>
    </w:p>
    <w:p w14:paraId="0134ED03">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20.4 第三者责任险 </w:t>
      </w:r>
    </w:p>
    <w:p w14:paraId="0CF53A31">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20.4.2 第三者责任险保险费率:</w:t>
      </w:r>
      <w:r>
        <w:rPr>
          <w:rFonts w:hint="eastAsia" w:ascii="宋体" w:hAnsi="宋体" w:eastAsia="宋体" w:cs="宋体"/>
          <w:b/>
          <w:color w:val="000000"/>
          <w:szCs w:val="21"/>
          <w:highlight w:val="none"/>
          <w:u w:val="single"/>
        </w:rPr>
        <w:t>按照保单中明确的内容</w:t>
      </w:r>
      <w:r>
        <w:rPr>
          <w:rFonts w:hint="eastAsia" w:ascii="宋体" w:hAnsi="宋体" w:eastAsia="宋体" w:cs="宋体"/>
          <w:color w:val="000000"/>
          <w:szCs w:val="21"/>
          <w:highlight w:val="none"/>
        </w:rPr>
        <w:t>。</w:t>
      </w:r>
    </w:p>
    <w:p w14:paraId="4ED4984F">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第三者责任险保险金额:</w:t>
      </w:r>
      <w:r>
        <w:rPr>
          <w:rFonts w:hint="eastAsia" w:ascii="宋体" w:hAnsi="宋体" w:eastAsia="宋体" w:cs="宋体"/>
          <w:b/>
          <w:color w:val="000000"/>
          <w:szCs w:val="21"/>
          <w:highlight w:val="none"/>
          <w:u w:val="single"/>
        </w:rPr>
        <w:t>按照保单中明确的内容</w:t>
      </w:r>
      <w:r>
        <w:rPr>
          <w:rFonts w:hint="eastAsia" w:ascii="宋体" w:hAnsi="宋体" w:eastAsia="宋体" w:cs="宋体"/>
          <w:color w:val="000000"/>
          <w:szCs w:val="21"/>
          <w:highlight w:val="none"/>
        </w:rPr>
        <w:t xml:space="preserve">。 </w:t>
      </w:r>
    </w:p>
    <w:p w14:paraId="139E8FD1">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20.5 其它保险 </w:t>
      </w:r>
    </w:p>
    <w:p w14:paraId="7BA480D7">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需要投保的其它内容:</w:t>
      </w:r>
      <w:r>
        <w:rPr>
          <w:rFonts w:hint="eastAsia" w:ascii="宋体" w:hAnsi="宋体" w:eastAsia="宋体" w:cs="宋体"/>
          <w:b/>
          <w:color w:val="000000"/>
          <w:szCs w:val="21"/>
          <w:highlight w:val="none"/>
          <w:u w:val="single"/>
        </w:rPr>
        <w:t>无</w:t>
      </w:r>
      <w:r>
        <w:rPr>
          <w:rFonts w:hint="eastAsia" w:ascii="宋体" w:hAnsi="宋体" w:eastAsia="宋体" w:cs="宋体"/>
          <w:color w:val="000000"/>
          <w:szCs w:val="21"/>
          <w:highlight w:val="none"/>
        </w:rPr>
        <w:t>。</w:t>
      </w:r>
    </w:p>
    <w:p w14:paraId="37E32045">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保险金额、保险费率和保险期限:</w:t>
      </w:r>
      <w:r>
        <w:rPr>
          <w:rFonts w:hint="eastAsia" w:ascii="宋体" w:hAnsi="宋体" w:eastAsia="宋体" w:cs="宋体"/>
          <w:b/>
          <w:color w:val="000000"/>
          <w:szCs w:val="21"/>
          <w:highlight w:val="none"/>
          <w:u w:val="single"/>
        </w:rPr>
        <w:t>无</w:t>
      </w:r>
      <w:r>
        <w:rPr>
          <w:rFonts w:hint="eastAsia" w:ascii="宋体" w:hAnsi="宋体" w:eastAsia="宋体" w:cs="宋体"/>
          <w:color w:val="000000"/>
          <w:szCs w:val="21"/>
          <w:highlight w:val="none"/>
        </w:rPr>
        <w:t>。</w:t>
      </w:r>
    </w:p>
    <w:p w14:paraId="3A2481D4">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20.6 对各项保险的一般要求 </w:t>
      </w:r>
    </w:p>
    <w:p w14:paraId="3C8996AC">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20.6.1保险凭证 </w:t>
      </w:r>
    </w:p>
    <w:p w14:paraId="1B25259E">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承包人提交保险凭证的期限:</w:t>
      </w:r>
      <w:r>
        <w:rPr>
          <w:rFonts w:hint="eastAsia" w:ascii="宋体" w:hAnsi="宋体" w:eastAsia="宋体" w:cs="宋体"/>
          <w:b/>
          <w:color w:val="000000"/>
          <w:szCs w:val="21"/>
          <w:highlight w:val="none"/>
          <w:u w:val="single"/>
        </w:rPr>
        <w:t>承包人应在接到开工通知后28天内提交</w:t>
      </w:r>
      <w:r>
        <w:rPr>
          <w:rFonts w:hint="eastAsia" w:ascii="宋体" w:hAnsi="宋体" w:eastAsia="宋体" w:cs="宋体"/>
          <w:color w:val="000000"/>
          <w:szCs w:val="21"/>
          <w:highlight w:val="none"/>
        </w:rPr>
        <w:t xml:space="preserve">。 </w:t>
      </w:r>
    </w:p>
    <w:p w14:paraId="7505F125">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保险条件:</w:t>
      </w:r>
      <w:r>
        <w:rPr>
          <w:rFonts w:hint="eastAsia" w:ascii="宋体" w:hAnsi="宋体" w:eastAsia="宋体" w:cs="宋体"/>
          <w:b/>
          <w:color w:val="000000"/>
          <w:szCs w:val="21"/>
          <w:highlight w:val="none"/>
          <w:u w:val="single"/>
        </w:rPr>
        <w:t>符合保险单的要求</w:t>
      </w:r>
      <w:r>
        <w:rPr>
          <w:rFonts w:hint="eastAsia" w:ascii="宋体" w:hAnsi="宋体" w:eastAsia="宋体" w:cs="宋体"/>
          <w:color w:val="000000"/>
          <w:szCs w:val="21"/>
          <w:highlight w:val="none"/>
        </w:rPr>
        <w:t>。</w:t>
      </w:r>
    </w:p>
    <w:p w14:paraId="53BA058A">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20.6.4 保险金不足的补偿</w:t>
      </w:r>
    </w:p>
    <w:p w14:paraId="45A6F270">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承包人负责补偿的范围与金额:</w:t>
      </w:r>
      <w:r>
        <w:rPr>
          <w:rFonts w:hint="eastAsia" w:ascii="宋体" w:hAnsi="宋体" w:eastAsia="宋体" w:cs="宋体"/>
          <w:b/>
          <w:color w:val="000000"/>
          <w:szCs w:val="21"/>
          <w:highlight w:val="none"/>
          <w:u w:val="single"/>
        </w:rPr>
        <w:t>双方商确定</w:t>
      </w:r>
      <w:r>
        <w:rPr>
          <w:rFonts w:hint="eastAsia" w:ascii="宋体" w:hAnsi="宋体" w:eastAsia="宋体" w:cs="宋体"/>
          <w:color w:val="000000"/>
          <w:szCs w:val="21"/>
          <w:highlight w:val="none"/>
        </w:rPr>
        <w:t xml:space="preserve">。 </w:t>
      </w:r>
    </w:p>
    <w:p w14:paraId="634139FA">
      <w:pPr>
        <w:spacing w:line="400" w:lineRule="exact"/>
        <w:ind w:left="-357" w:leftChars="-170" w:right="-874" w:rightChars="-416" w:firstLine="829" w:firstLineChars="39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招标人负责补偿的范围与金额:</w:t>
      </w:r>
      <w:r>
        <w:rPr>
          <w:rFonts w:hint="eastAsia" w:ascii="宋体" w:hAnsi="宋体" w:eastAsia="宋体" w:cs="宋体"/>
          <w:b/>
          <w:color w:val="000000"/>
          <w:szCs w:val="21"/>
          <w:highlight w:val="none"/>
          <w:u w:val="single"/>
        </w:rPr>
        <w:t>双方商确定</w:t>
      </w:r>
      <w:r>
        <w:rPr>
          <w:rFonts w:hint="eastAsia" w:ascii="宋体" w:hAnsi="宋体" w:eastAsia="宋体" w:cs="宋体"/>
          <w:color w:val="000000"/>
          <w:szCs w:val="21"/>
          <w:highlight w:val="none"/>
        </w:rPr>
        <w:t xml:space="preserve">。 </w:t>
      </w:r>
    </w:p>
    <w:p w14:paraId="3FFC949A">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bookmarkStart w:id="245" w:name="_Toc266290024"/>
      <w:r>
        <w:rPr>
          <w:rFonts w:hint="eastAsia" w:ascii="宋体" w:hAnsi="宋体" w:eastAsia="宋体" w:cs="宋体"/>
          <w:b/>
          <w:color w:val="000000"/>
          <w:sz w:val="21"/>
          <w:szCs w:val="21"/>
          <w:highlight w:val="none"/>
          <w:lang w:val="en-US" w:eastAsia="zh-CN" w:bidi="ar-SA"/>
        </w:rPr>
        <w:t>21 不可抗力</w:t>
      </w:r>
      <w:bookmarkEnd w:id="245"/>
    </w:p>
    <w:p w14:paraId="4CE06776">
      <w:pPr>
        <w:keepNext/>
        <w:widowControl w:val="0"/>
        <w:autoSpaceDE w:val="0"/>
        <w:autoSpaceDN w:val="0"/>
        <w:spacing w:line="44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21.1 不可抗力的确认</w:t>
      </w:r>
    </w:p>
    <w:p w14:paraId="166EC21A">
      <w:pPr>
        <w:spacing w:line="400" w:lineRule="exact"/>
        <w:ind w:left="-357" w:leftChars="-170" w:right="-874" w:rightChars="-416" w:firstLine="411" w:firstLineChars="19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21.1.1 不可抗力的其他情形：</w:t>
      </w:r>
      <w:r>
        <w:rPr>
          <w:rFonts w:hint="eastAsia" w:ascii="宋体" w:hAnsi="宋体" w:eastAsia="宋体" w:cs="宋体"/>
          <w:b/>
          <w:color w:val="000000"/>
          <w:szCs w:val="21"/>
          <w:highlight w:val="none"/>
          <w:u w:val="single"/>
        </w:rPr>
        <w:t xml:space="preserve"> 无</w:t>
      </w:r>
      <w:r>
        <w:rPr>
          <w:rFonts w:hint="eastAsia" w:ascii="宋体" w:hAnsi="宋体" w:eastAsia="宋体" w:cs="宋体"/>
          <w:color w:val="000000"/>
          <w:szCs w:val="21"/>
          <w:highlight w:val="none"/>
        </w:rPr>
        <w:t xml:space="preserve"> 。</w:t>
      </w:r>
    </w:p>
    <w:p w14:paraId="5F46A6C8">
      <w:pPr>
        <w:keepNext/>
        <w:widowControl w:val="0"/>
        <w:autoSpaceDE w:val="0"/>
        <w:autoSpaceDN w:val="0"/>
        <w:spacing w:line="600" w:lineRule="exact"/>
        <w:ind w:right="1"/>
        <w:rPr>
          <w:rFonts w:hint="eastAsia" w:ascii="宋体" w:hAnsi="宋体" w:eastAsia="宋体" w:cs="宋体"/>
          <w:b/>
          <w:color w:val="000000"/>
          <w:sz w:val="21"/>
          <w:szCs w:val="21"/>
          <w:highlight w:val="none"/>
          <w:lang w:val="en-US" w:eastAsia="zh-CN" w:bidi="ar-SA"/>
        </w:rPr>
      </w:pPr>
      <w:bookmarkStart w:id="246" w:name="_Toc266290025"/>
      <w:r>
        <w:rPr>
          <w:rFonts w:hint="eastAsia" w:ascii="宋体" w:hAnsi="宋体" w:eastAsia="宋体" w:cs="宋体"/>
          <w:b/>
          <w:color w:val="000000"/>
          <w:sz w:val="21"/>
          <w:szCs w:val="21"/>
          <w:highlight w:val="none"/>
          <w:lang w:val="en-US" w:eastAsia="zh-CN" w:bidi="ar-SA"/>
        </w:rPr>
        <w:t>24 争议的解决</w:t>
      </w:r>
      <w:bookmarkEnd w:id="246"/>
      <w:r>
        <w:rPr>
          <w:rFonts w:hint="eastAsia" w:ascii="宋体" w:hAnsi="宋体" w:eastAsia="宋体" w:cs="宋体"/>
          <w:b/>
          <w:color w:val="000000"/>
          <w:sz w:val="21"/>
          <w:szCs w:val="21"/>
          <w:highlight w:val="none"/>
          <w:lang w:val="en-US" w:eastAsia="zh-CN" w:bidi="ar-SA"/>
        </w:rPr>
        <w:t xml:space="preserve"> </w:t>
      </w:r>
    </w:p>
    <w:p w14:paraId="33073847">
      <w:pPr>
        <w:keepNext/>
        <w:widowControl w:val="0"/>
        <w:autoSpaceDE w:val="0"/>
        <w:autoSpaceDN w:val="0"/>
        <w:spacing w:line="600" w:lineRule="exact"/>
        <w:ind w:right="1"/>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 xml:space="preserve">24.1 争议的解决方式 </w:t>
      </w:r>
    </w:p>
    <w:p w14:paraId="2E386114">
      <w:pPr>
        <w:spacing w:line="600" w:lineRule="exact"/>
        <w:ind w:left="2" w:leftChars="1" w:right="-128" w:rightChars="-61"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合同当事人友好协商解决不成、不愿提请争议评审或不接受争议评审组意见的，约定的合同争议解决方式:</w:t>
      </w:r>
      <w:r>
        <w:rPr>
          <w:rFonts w:hint="eastAsia" w:ascii="宋体" w:hAnsi="宋体" w:eastAsia="宋体" w:cs="宋体"/>
          <w:b/>
          <w:color w:val="000000"/>
          <w:szCs w:val="21"/>
          <w:highlight w:val="none"/>
          <w:u w:val="single"/>
        </w:rPr>
        <w:t>向当地仲裁委员会申请仲裁</w:t>
      </w:r>
      <w:r>
        <w:rPr>
          <w:rFonts w:hint="eastAsia" w:ascii="宋体" w:hAnsi="宋体" w:eastAsia="宋体" w:cs="宋体"/>
          <w:color w:val="000000"/>
          <w:szCs w:val="21"/>
          <w:highlight w:val="none"/>
        </w:rPr>
        <w:t>。</w:t>
      </w:r>
    </w:p>
    <w:p w14:paraId="5BF49CBF">
      <w:pPr>
        <w:keepNext/>
        <w:widowControl w:val="0"/>
        <w:autoSpaceDE w:val="0"/>
        <w:autoSpaceDN w:val="0"/>
        <w:spacing w:line="600" w:lineRule="exact"/>
        <w:ind w:right="1"/>
        <w:rPr>
          <w:rFonts w:hint="eastAsia" w:ascii="宋体" w:hAnsi="宋体" w:eastAsia="宋体" w:cs="宋体"/>
          <w:b/>
          <w:color w:val="000000"/>
          <w:sz w:val="21"/>
          <w:szCs w:val="21"/>
          <w:highlight w:val="none"/>
          <w:lang w:val="en-US" w:eastAsia="zh-CN" w:bidi="ar-SA"/>
        </w:rPr>
      </w:pPr>
      <w:bookmarkStart w:id="247" w:name="_Toc266290026"/>
      <w:r>
        <w:rPr>
          <w:rFonts w:hint="eastAsia" w:ascii="宋体" w:hAnsi="宋体" w:eastAsia="宋体" w:cs="宋体"/>
          <w:b/>
          <w:color w:val="000000"/>
          <w:sz w:val="21"/>
          <w:szCs w:val="21"/>
          <w:highlight w:val="none"/>
          <w:lang w:val="en-US" w:eastAsia="zh-CN" w:bidi="ar-SA"/>
        </w:rPr>
        <w:t>25 工程资料整理</w:t>
      </w:r>
      <w:bookmarkEnd w:id="247"/>
    </w:p>
    <w:p w14:paraId="22E3F65F">
      <w:pPr>
        <w:spacing w:line="600" w:lineRule="exact"/>
        <w:ind w:left="2" w:leftChars="1" w:right="-128" w:rightChars="-61"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承包人应按有关规定和要求进行工程资料整理。在工程实施的过程中，招标人对资料内容及整理的质量进行检查，在各类验收时，承包人应向招标人提交符合验收规定的工程资料。在每次支付工程进度款时，如果招标人认为承包人的资料内容及整理质量不符合要求，工程进度款将不予支付，直至合格后方予支付。</w:t>
      </w:r>
      <w:bookmarkStart w:id="248" w:name="_Toc270065467"/>
      <w:bookmarkStart w:id="249" w:name="_Toc270062007"/>
      <w:bookmarkStart w:id="250" w:name="_Toc270065613"/>
    </w:p>
    <w:p w14:paraId="530A1E35">
      <w:pPr>
        <w:rPr>
          <w:rFonts w:hint="eastAsia" w:ascii="宋体" w:hAnsi="宋体" w:eastAsia="宋体" w:cs="宋体"/>
          <w:color w:val="000000"/>
          <w:highlight w:val="none"/>
        </w:rPr>
      </w:pPr>
    </w:p>
    <w:p w14:paraId="797B6401">
      <w:pPr>
        <w:widowControl w:val="0"/>
        <w:ind w:left="420" w:leftChars="200"/>
        <w:jc w:val="both"/>
        <w:rPr>
          <w:rFonts w:hint="eastAsia" w:ascii="宋体" w:hAnsi="宋体" w:eastAsia="宋体" w:cs="宋体"/>
          <w:color w:val="000000"/>
          <w:kern w:val="2"/>
          <w:sz w:val="21"/>
          <w:szCs w:val="24"/>
          <w:highlight w:val="none"/>
          <w:lang w:val="en-US" w:eastAsia="zh-CN" w:bidi="ar-SA"/>
        </w:rPr>
      </w:pPr>
    </w:p>
    <w:p w14:paraId="0F6A7B74">
      <w:pPr>
        <w:rPr>
          <w:rFonts w:hint="eastAsia" w:ascii="宋体" w:hAnsi="宋体" w:eastAsia="宋体" w:cs="宋体"/>
          <w:color w:val="000000"/>
          <w:highlight w:val="none"/>
        </w:rPr>
      </w:pPr>
    </w:p>
    <w:p w14:paraId="02B9F055">
      <w:pPr>
        <w:widowControl w:val="0"/>
        <w:ind w:left="420" w:leftChars="200"/>
        <w:jc w:val="both"/>
        <w:rPr>
          <w:rFonts w:hint="eastAsia" w:ascii="宋体" w:hAnsi="宋体" w:eastAsia="宋体" w:cs="宋体"/>
          <w:color w:val="000000"/>
          <w:kern w:val="2"/>
          <w:sz w:val="21"/>
          <w:szCs w:val="24"/>
          <w:highlight w:val="none"/>
          <w:lang w:val="en-US" w:eastAsia="zh-CN" w:bidi="ar-SA"/>
        </w:rPr>
      </w:pPr>
    </w:p>
    <w:p w14:paraId="161866FD">
      <w:pPr>
        <w:rPr>
          <w:rFonts w:hint="eastAsia" w:ascii="宋体" w:hAnsi="宋体" w:eastAsia="宋体" w:cs="宋体"/>
          <w:color w:val="000000"/>
          <w:highlight w:val="none"/>
        </w:rPr>
      </w:pPr>
    </w:p>
    <w:p w14:paraId="078A2AEC">
      <w:pPr>
        <w:widowControl w:val="0"/>
        <w:ind w:left="420" w:leftChars="200"/>
        <w:jc w:val="both"/>
        <w:rPr>
          <w:rFonts w:hint="eastAsia" w:ascii="宋体" w:hAnsi="宋体" w:eastAsia="宋体" w:cs="宋体"/>
          <w:color w:val="000000"/>
          <w:kern w:val="2"/>
          <w:sz w:val="21"/>
          <w:szCs w:val="24"/>
          <w:highlight w:val="none"/>
          <w:lang w:val="en-US" w:eastAsia="zh-CN" w:bidi="ar-SA"/>
        </w:rPr>
      </w:pPr>
    </w:p>
    <w:p w14:paraId="398C38D4">
      <w:pPr>
        <w:rPr>
          <w:rFonts w:hint="eastAsia" w:ascii="宋体" w:hAnsi="宋体" w:eastAsia="宋体" w:cs="宋体"/>
          <w:color w:val="000000"/>
          <w:highlight w:val="none"/>
        </w:rPr>
      </w:pPr>
    </w:p>
    <w:p w14:paraId="3B21EC55">
      <w:pPr>
        <w:widowControl w:val="0"/>
        <w:ind w:left="420" w:leftChars="200"/>
        <w:jc w:val="both"/>
        <w:rPr>
          <w:rFonts w:hint="eastAsia" w:ascii="宋体" w:hAnsi="宋体" w:eastAsia="宋体" w:cs="宋体"/>
          <w:color w:val="000000"/>
          <w:kern w:val="2"/>
          <w:sz w:val="21"/>
          <w:szCs w:val="24"/>
          <w:highlight w:val="none"/>
          <w:lang w:val="en-US" w:eastAsia="zh-CN" w:bidi="ar-SA"/>
        </w:rPr>
      </w:pPr>
    </w:p>
    <w:p w14:paraId="382805BA">
      <w:pPr>
        <w:rPr>
          <w:rFonts w:hint="eastAsia" w:ascii="宋体" w:hAnsi="宋体" w:eastAsia="宋体" w:cs="宋体"/>
          <w:color w:val="000000"/>
          <w:highlight w:val="none"/>
        </w:rPr>
      </w:pPr>
    </w:p>
    <w:p w14:paraId="1F5225D7">
      <w:pPr>
        <w:widowControl w:val="0"/>
        <w:ind w:left="420" w:leftChars="200"/>
        <w:jc w:val="both"/>
        <w:rPr>
          <w:rFonts w:hint="eastAsia" w:ascii="宋体" w:hAnsi="宋体" w:eastAsia="宋体" w:cs="宋体"/>
          <w:color w:val="000000"/>
          <w:kern w:val="2"/>
          <w:sz w:val="21"/>
          <w:szCs w:val="24"/>
          <w:highlight w:val="none"/>
          <w:lang w:val="en-US" w:eastAsia="zh-CN" w:bidi="ar-SA"/>
        </w:rPr>
      </w:pPr>
    </w:p>
    <w:p w14:paraId="230E8C1D">
      <w:pPr>
        <w:rPr>
          <w:rFonts w:hint="eastAsia" w:ascii="宋体" w:hAnsi="宋体" w:eastAsia="宋体" w:cs="宋体"/>
          <w:color w:val="000000"/>
          <w:highlight w:val="none"/>
        </w:rPr>
      </w:pPr>
    </w:p>
    <w:p w14:paraId="2AF713F3">
      <w:pPr>
        <w:widowControl w:val="0"/>
        <w:ind w:left="420" w:leftChars="200"/>
        <w:jc w:val="both"/>
        <w:rPr>
          <w:rFonts w:hint="eastAsia" w:ascii="宋体" w:hAnsi="宋体" w:eastAsia="宋体" w:cs="宋体"/>
          <w:color w:val="000000"/>
          <w:kern w:val="2"/>
          <w:sz w:val="21"/>
          <w:szCs w:val="24"/>
          <w:highlight w:val="none"/>
          <w:lang w:val="en-US" w:eastAsia="zh-CN" w:bidi="ar-SA"/>
        </w:rPr>
      </w:pPr>
    </w:p>
    <w:p w14:paraId="42A3878C">
      <w:pPr>
        <w:rPr>
          <w:rFonts w:hint="eastAsia" w:ascii="宋体" w:hAnsi="宋体" w:eastAsia="宋体" w:cs="宋体"/>
          <w:color w:val="000000"/>
          <w:highlight w:val="none"/>
        </w:rPr>
      </w:pPr>
    </w:p>
    <w:p w14:paraId="61EA2040">
      <w:pPr>
        <w:widowControl w:val="0"/>
        <w:ind w:left="420" w:leftChars="200"/>
        <w:jc w:val="both"/>
        <w:rPr>
          <w:rFonts w:hint="eastAsia" w:ascii="宋体" w:hAnsi="宋体" w:eastAsia="宋体" w:cs="宋体"/>
          <w:color w:val="000000"/>
          <w:kern w:val="2"/>
          <w:sz w:val="21"/>
          <w:szCs w:val="24"/>
          <w:highlight w:val="none"/>
          <w:lang w:val="en-US" w:eastAsia="zh-CN" w:bidi="ar-SA"/>
        </w:rPr>
      </w:pPr>
    </w:p>
    <w:p w14:paraId="13543D9C">
      <w:pPr>
        <w:rPr>
          <w:rFonts w:hint="eastAsia" w:ascii="宋体" w:hAnsi="宋体" w:eastAsia="宋体" w:cs="宋体"/>
          <w:color w:val="000000"/>
          <w:highlight w:val="none"/>
        </w:rPr>
      </w:pPr>
    </w:p>
    <w:p w14:paraId="63C8D2A8">
      <w:pPr>
        <w:widowControl w:val="0"/>
        <w:ind w:left="420" w:leftChars="200"/>
        <w:jc w:val="both"/>
        <w:rPr>
          <w:rFonts w:hint="eastAsia" w:ascii="宋体" w:hAnsi="宋体" w:eastAsia="宋体" w:cs="宋体"/>
          <w:color w:val="000000"/>
          <w:kern w:val="2"/>
          <w:sz w:val="21"/>
          <w:szCs w:val="24"/>
          <w:highlight w:val="none"/>
          <w:lang w:val="en-US" w:eastAsia="zh-CN" w:bidi="ar-SA"/>
        </w:rPr>
      </w:pPr>
    </w:p>
    <w:p w14:paraId="0396515A">
      <w:pPr>
        <w:rPr>
          <w:rFonts w:hint="eastAsia" w:ascii="宋体" w:hAnsi="宋体" w:eastAsia="宋体" w:cs="宋体"/>
          <w:color w:val="000000"/>
          <w:highlight w:val="none"/>
        </w:rPr>
      </w:pPr>
    </w:p>
    <w:p w14:paraId="3CAD40EE">
      <w:pPr>
        <w:widowControl w:val="0"/>
        <w:ind w:left="420" w:leftChars="200"/>
        <w:jc w:val="both"/>
        <w:rPr>
          <w:rFonts w:hint="eastAsia" w:ascii="宋体" w:hAnsi="宋体" w:eastAsia="宋体" w:cs="宋体"/>
          <w:color w:val="000000"/>
          <w:kern w:val="2"/>
          <w:sz w:val="21"/>
          <w:szCs w:val="24"/>
          <w:highlight w:val="none"/>
          <w:lang w:val="en-US" w:eastAsia="zh-CN" w:bidi="ar-SA"/>
        </w:rPr>
      </w:pPr>
    </w:p>
    <w:p w14:paraId="0A66B0DC">
      <w:pPr>
        <w:rPr>
          <w:rFonts w:hint="eastAsia" w:ascii="宋体" w:hAnsi="宋体" w:eastAsia="宋体" w:cs="宋体"/>
          <w:color w:val="000000"/>
          <w:highlight w:val="none"/>
        </w:rPr>
      </w:pPr>
    </w:p>
    <w:p w14:paraId="63BC3779">
      <w:pPr>
        <w:widowControl w:val="0"/>
        <w:ind w:left="420" w:leftChars="200"/>
        <w:jc w:val="both"/>
        <w:rPr>
          <w:rFonts w:hint="eastAsia" w:ascii="宋体" w:hAnsi="宋体" w:eastAsia="宋体" w:cs="宋体"/>
          <w:color w:val="000000"/>
          <w:kern w:val="2"/>
          <w:sz w:val="21"/>
          <w:szCs w:val="24"/>
          <w:highlight w:val="none"/>
          <w:lang w:val="en-US" w:eastAsia="zh-CN" w:bidi="ar-SA"/>
        </w:rPr>
      </w:pPr>
    </w:p>
    <w:p w14:paraId="38DEFD03">
      <w:pPr>
        <w:rPr>
          <w:rFonts w:hint="eastAsia" w:ascii="宋体" w:hAnsi="宋体" w:eastAsia="宋体" w:cs="宋体"/>
          <w:color w:val="000000"/>
          <w:highlight w:val="none"/>
        </w:rPr>
      </w:pPr>
    </w:p>
    <w:p w14:paraId="09E42144">
      <w:pPr>
        <w:widowControl w:val="0"/>
        <w:ind w:left="420" w:leftChars="200"/>
        <w:jc w:val="both"/>
        <w:rPr>
          <w:rFonts w:hint="eastAsia" w:ascii="宋体" w:hAnsi="宋体" w:eastAsia="宋体" w:cs="宋体"/>
          <w:color w:val="000000"/>
          <w:kern w:val="2"/>
          <w:sz w:val="21"/>
          <w:szCs w:val="24"/>
          <w:highlight w:val="none"/>
          <w:lang w:val="en-US" w:eastAsia="zh-CN" w:bidi="ar-SA"/>
        </w:rPr>
      </w:pPr>
    </w:p>
    <w:p w14:paraId="5299EADB">
      <w:pPr>
        <w:rPr>
          <w:rFonts w:hint="eastAsia" w:ascii="宋体" w:hAnsi="宋体" w:eastAsia="宋体" w:cs="宋体"/>
          <w:color w:val="000000"/>
          <w:highlight w:val="none"/>
        </w:rPr>
      </w:pPr>
    </w:p>
    <w:p w14:paraId="37B9544B">
      <w:pPr>
        <w:widowControl w:val="0"/>
        <w:ind w:left="420" w:leftChars="200"/>
        <w:jc w:val="both"/>
        <w:rPr>
          <w:rFonts w:hint="eastAsia" w:ascii="宋体" w:hAnsi="宋体" w:eastAsia="宋体" w:cs="宋体"/>
          <w:color w:val="000000"/>
          <w:kern w:val="2"/>
          <w:sz w:val="21"/>
          <w:szCs w:val="24"/>
          <w:highlight w:val="none"/>
          <w:lang w:val="en-US" w:eastAsia="zh-CN" w:bidi="ar-SA"/>
        </w:rPr>
      </w:pPr>
    </w:p>
    <w:p w14:paraId="4818B304">
      <w:pPr>
        <w:rPr>
          <w:rFonts w:hint="eastAsia" w:ascii="宋体" w:hAnsi="宋体" w:eastAsia="宋体" w:cs="宋体"/>
          <w:color w:val="000000"/>
          <w:highlight w:val="none"/>
        </w:rPr>
      </w:pPr>
    </w:p>
    <w:p w14:paraId="71FA4CCD">
      <w:pPr>
        <w:widowControl w:val="0"/>
        <w:ind w:left="420" w:leftChars="200"/>
        <w:jc w:val="both"/>
        <w:rPr>
          <w:rFonts w:hint="eastAsia" w:ascii="宋体" w:hAnsi="宋体" w:eastAsia="宋体" w:cs="宋体"/>
          <w:color w:val="000000"/>
          <w:kern w:val="2"/>
          <w:sz w:val="21"/>
          <w:szCs w:val="24"/>
          <w:highlight w:val="none"/>
          <w:lang w:val="en-US" w:eastAsia="zh-CN" w:bidi="ar-SA"/>
        </w:rPr>
      </w:pPr>
    </w:p>
    <w:p w14:paraId="424B663A">
      <w:pPr>
        <w:rPr>
          <w:rFonts w:hint="eastAsia" w:ascii="宋体" w:hAnsi="宋体" w:eastAsia="宋体" w:cs="宋体"/>
          <w:color w:val="000000"/>
          <w:highlight w:val="none"/>
        </w:rPr>
      </w:pPr>
    </w:p>
    <w:p w14:paraId="29B3E7E5">
      <w:pPr>
        <w:widowControl w:val="0"/>
        <w:ind w:left="420" w:leftChars="200"/>
        <w:jc w:val="both"/>
        <w:rPr>
          <w:rFonts w:hint="eastAsia" w:ascii="宋体" w:hAnsi="宋体" w:eastAsia="宋体" w:cs="宋体"/>
          <w:color w:val="000000"/>
          <w:kern w:val="2"/>
          <w:sz w:val="21"/>
          <w:szCs w:val="24"/>
          <w:highlight w:val="none"/>
          <w:lang w:val="en-US" w:eastAsia="zh-CN" w:bidi="ar-SA"/>
        </w:rPr>
      </w:pPr>
    </w:p>
    <w:p w14:paraId="061E0031">
      <w:pPr>
        <w:rPr>
          <w:rFonts w:hint="eastAsia" w:ascii="宋体" w:hAnsi="宋体" w:eastAsia="宋体" w:cs="宋体"/>
          <w:color w:val="000000"/>
          <w:highlight w:val="none"/>
        </w:rPr>
      </w:pPr>
    </w:p>
    <w:p w14:paraId="0D90B45E">
      <w:pPr>
        <w:widowControl w:val="0"/>
        <w:ind w:left="420" w:leftChars="200"/>
        <w:jc w:val="both"/>
        <w:rPr>
          <w:rFonts w:hint="eastAsia" w:ascii="宋体" w:hAnsi="宋体" w:eastAsia="宋体" w:cs="宋体"/>
          <w:color w:val="000000"/>
          <w:kern w:val="2"/>
          <w:sz w:val="21"/>
          <w:szCs w:val="24"/>
          <w:highlight w:val="none"/>
          <w:lang w:val="en-US" w:eastAsia="zh-CN" w:bidi="ar-SA"/>
        </w:rPr>
      </w:pPr>
    </w:p>
    <w:p w14:paraId="5AFF059B">
      <w:pPr>
        <w:rPr>
          <w:rFonts w:hint="eastAsia" w:ascii="宋体" w:hAnsi="宋体" w:eastAsia="宋体" w:cs="宋体"/>
          <w:color w:val="000000"/>
          <w:highlight w:val="none"/>
        </w:rPr>
      </w:pPr>
    </w:p>
    <w:p w14:paraId="30BDB99E">
      <w:pPr>
        <w:widowControl w:val="0"/>
        <w:ind w:left="420" w:leftChars="200"/>
        <w:jc w:val="both"/>
        <w:rPr>
          <w:rFonts w:hint="eastAsia" w:ascii="宋体" w:hAnsi="宋体" w:eastAsia="宋体" w:cs="宋体"/>
          <w:color w:val="000000"/>
          <w:kern w:val="2"/>
          <w:sz w:val="21"/>
          <w:szCs w:val="24"/>
          <w:highlight w:val="none"/>
          <w:lang w:val="en-US" w:eastAsia="zh-CN" w:bidi="ar-SA"/>
        </w:rPr>
      </w:pPr>
    </w:p>
    <w:p w14:paraId="0F339270">
      <w:pPr>
        <w:rPr>
          <w:rFonts w:hint="eastAsia" w:ascii="宋体" w:hAnsi="宋体" w:eastAsia="宋体" w:cs="宋体"/>
        </w:rPr>
      </w:pPr>
    </w:p>
    <w:p w14:paraId="06F16430">
      <w:pPr>
        <w:keepNext/>
        <w:spacing w:line="480" w:lineRule="exact"/>
        <w:ind w:firstLine="482" w:firstLineChars="20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第3节  合同附件格式</w:t>
      </w:r>
      <w:bookmarkEnd w:id="248"/>
      <w:bookmarkEnd w:id="249"/>
      <w:bookmarkEnd w:id="250"/>
    </w:p>
    <w:p w14:paraId="70C1D96F">
      <w:pPr>
        <w:spacing w:line="360" w:lineRule="auto"/>
        <w:outlineLvl w:val="9"/>
        <w:rPr>
          <w:rFonts w:hint="eastAsia" w:ascii="宋体" w:hAnsi="宋体" w:eastAsia="宋体" w:cs="宋体"/>
          <w:b/>
          <w:color w:val="000000"/>
          <w:sz w:val="24"/>
          <w:highlight w:val="none"/>
        </w:rPr>
      </w:pPr>
      <w:bookmarkStart w:id="251" w:name="_Toc270062008"/>
      <w:bookmarkStart w:id="252" w:name="_Toc270065614"/>
      <w:bookmarkStart w:id="253" w:name="_Toc270065468"/>
      <w:r>
        <w:rPr>
          <w:rFonts w:hint="eastAsia" w:ascii="宋体" w:hAnsi="宋体" w:eastAsia="宋体" w:cs="宋体"/>
          <w:b/>
          <w:color w:val="000000"/>
          <w:sz w:val="24"/>
          <w:highlight w:val="none"/>
        </w:rPr>
        <w:t>附件一 ：</w:t>
      </w:r>
      <w:bookmarkEnd w:id="251"/>
      <w:bookmarkEnd w:id="252"/>
      <w:bookmarkEnd w:id="253"/>
      <w:r>
        <w:rPr>
          <w:rFonts w:hint="eastAsia" w:ascii="宋体" w:hAnsi="宋体" w:eastAsia="宋体" w:cs="宋体"/>
          <w:b/>
          <w:color w:val="000000"/>
          <w:sz w:val="24"/>
          <w:highlight w:val="none"/>
        </w:rPr>
        <w:t>合同协议书</w:t>
      </w:r>
    </w:p>
    <w:p w14:paraId="7A2A09B9">
      <w:pPr>
        <w:keepNext/>
        <w:spacing w:line="360" w:lineRule="auto"/>
        <w:jc w:val="center"/>
        <w:rPr>
          <w:rFonts w:hint="eastAsia" w:ascii="宋体" w:hAnsi="宋体" w:eastAsia="宋体" w:cs="宋体"/>
          <w:b/>
          <w:bCs/>
          <w:color w:val="000000"/>
          <w:sz w:val="24"/>
          <w:highlight w:val="none"/>
        </w:rPr>
      </w:pPr>
      <w:bookmarkStart w:id="254" w:name="_Toc270062009"/>
      <w:bookmarkStart w:id="255" w:name="_Toc270065469"/>
      <w:bookmarkStart w:id="256" w:name="_Toc270065615"/>
      <w:r>
        <w:rPr>
          <w:rFonts w:hint="eastAsia" w:ascii="宋体" w:hAnsi="宋体" w:eastAsia="宋体" w:cs="宋体"/>
          <w:b/>
          <w:bCs/>
          <w:color w:val="000000"/>
          <w:sz w:val="24"/>
          <w:highlight w:val="none"/>
        </w:rPr>
        <w:t>合同协议书</w:t>
      </w:r>
      <w:bookmarkEnd w:id="254"/>
      <w:bookmarkEnd w:id="255"/>
      <w:bookmarkEnd w:id="256"/>
    </w:p>
    <w:p w14:paraId="4E76170A">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招标人名称，以下简称 “招标人”）为实施</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（项目名称），已接受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（承包人名称，以下简称 “承包人”）对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（工程名称）的投标，并确定其为中标人。招标人和承包人共同达成如下协议。 </w:t>
      </w:r>
    </w:p>
    <w:p w14:paraId="2A80C5AC">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1.本协议书与下列文件一起构成合同文件： </w:t>
      </w:r>
    </w:p>
    <w:p w14:paraId="718E1EC4">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（1）中标通知书； </w:t>
      </w:r>
    </w:p>
    <w:p w14:paraId="300DDB29">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（2）投标函及投标函附录； </w:t>
      </w:r>
    </w:p>
    <w:p w14:paraId="39FE77C6">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（3）专用合同条款； </w:t>
      </w:r>
    </w:p>
    <w:p w14:paraId="568BB073">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（4）通用合同条款； </w:t>
      </w:r>
      <w:r>
        <w:rPr>
          <w:rFonts w:hint="eastAsia" w:ascii="宋体" w:hAnsi="宋体" w:eastAsia="宋体" w:cs="宋体"/>
          <w:color w:val="000000"/>
          <w:szCs w:val="21"/>
          <w:highlight w:val="none"/>
        </w:rPr>
        <w:cr/>
      </w:r>
      <w:r>
        <w:rPr>
          <w:rFonts w:hint="eastAsia" w:ascii="宋体" w:hAnsi="宋体" w:eastAsia="宋体" w:cs="宋体"/>
          <w:color w:val="000000"/>
          <w:szCs w:val="21"/>
          <w:highlight w:val="none"/>
        </w:rPr>
        <w:t xml:space="preserve">    （5）技术标准和要求 （合同技术条款）； </w:t>
      </w:r>
    </w:p>
    <w:p w14:paraId="5AD74A8C">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（6）图纸； </w:t>
      </w:r>
    </w:p>
    <w:p w14:paraId="1B635417">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（7）已标价工程量清单； </w:t>
      </w:r>
    </w:p>
    <w:p w14:paraId="4903E62C">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（8）其它合同文件。 </w:t>
      </w:r>
    </w:p>
    <w:p w14:paraId="48450F32">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2.上述文件互相补充和解释，如有不明确或不一致之处，以合同约定次序在先者为准。 </w:t>
      </w:r>
    </w:p>
    <w:p w14:paraId="5526D57B">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3.签约合同价：人民币 （大写）</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元 （¥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元）。 </w:t>
      </w:r>
    </w:p>
    <w:p w14:paraId="739DC3E0">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4.承包人项目经理：</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4ECCB1CA">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5.工程质量符合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标准。 </w:t>
      </w:r>
    </w:p>
    <w:p w14:paraId="38A5C493">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6.承包人承诺按合同约定承担工程的实施、完成及缺陷修复。 </w:t>
      </w:r>
    </w:p>
    <w:p w14:paraId="3C341AF3">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7.招标人承诺按合同约定的条件、时间和方式向承包人支付合同价款。 </w:t>
      </w:r>
    </w:p>
    <w:p w14:paraId="79E55585">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8.承包人承诺执行监理人开工通知，计划工期为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天。 </w:t>
      </w:r>
    </w:p>
    <w:p w14:paraId="1A453724">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9.本协议书一式</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份，合同双方各执一份。 </w:t>
      </w:r>
    </w:p>
    <w:p w14:paraId="3E2A97B8">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10.合同未尽事宜，双方另行签订补充协议。补充协议是合同的组成部分。 </w:t>
      </w:r>
    </w:p>
    <w:p w14:paraId="3265ED2A">
      <w:pPr>
        <w:spacing w:line="400" w:lineRule="exact"/>
        <w:rPr>
          <w:rFonts w:hint="eastAsia" w:ascii="宋体" w:hAnsi="宋体" w:eastAsia="宋体" w:cs="宋体"/>
          <w:color w:val="000000"/>
          <w:szCs w:val="21"/>
          <w:highlight w:val="none"/>
        </w:rPr>
      </w:pPr>
    </w:p>
    <w:p w14:paraId="68F1BA2D">
      <w:pPr>
        <w:spacing w:line="400" w:lineRule="exact"/>
        <w:rPr>
          <w:rFonts w:hint="eastAsia" w:ascii="宋体" w:hAnsi="宋体" w:eastAsia="宋体" w:cs="宋体"/>
          <w:color w:val="000000"/>
          <w:szCs w:val="21"/>
          <w:highlight w:val="none"/>
        </w:rPr>
      </w:pPr>
    </w:p>
    <w:p w14:paraId="0CE8BC6C">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（盖单位章）          承包人：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（盖单位章） </w:t>
      </w:r>
    </w:p>
    <w:p w14:paraId="030DB5F8">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法定代表人或其委托代理人：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（签字）          法定代表人或其委托代理人：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（签字） </w:t>
      </w:r>
    </w:p>
    <w:p w14:paraId="1ED6DF46">
      <w:pPr>
        <w:spacing w:line="400" w:lineRule="exact"/>
        <w:rPr>
          <w:rFonts w:hint="eastAsia" w:ascii="宋体" w:hAnsi="宋体" w:eastAsia="宋体" w:cs="宋体"/>
          <w:color w:val="000000"/>
          <w:szCs w:val="21"/>
          <w:highlight w:val="none"/>
          <w:u w:val="single"/>
        </w:rPr>
      </w:pPr>
    </w:p>
    <w:p w14:paraId="59FD37CD">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日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年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日 </w:t>
      </w:r>
      <w:r>
        <w:rPr>
          <w:rFonts w:hint="eastAsia" w:ascii="宋体" w:hAnsi="宋体" w:eastAsia="宋体" w:cs="宋体"/>
          <w:color w:val="000000"/>
          <w:szCs w:val="21"/>
          <w:highlight w:val="none"/>
        </w:rPr>
        <w:cr/>
      </w:r>
    </w:p>
    <w:p w14:paraId="6A0BE3D9">
      <w:pPr>
        <w:spacing w:line="360" w:lineRule="auto"/>
        <w:outlineLvl w:val="9"/>
        <w:rPr>
          <w:rFonts w:hint="eastAsia" w:ascii="宋体" w:hAnsi="宋体" w:eastAsia="宋体" w:cs="宋体"/>
          <w:b/>
          <w:color w:val="000000"/>
          <w:szCs w:val="21"/>
          <w:highlight w:val="none"/>
        </w:rPr>
      </w:pPr>
      <w:bookmarkStart w:id="257" w:name="_Toc270065616"/>
      <w:bookmarkStart w:id="258" w:name="_Toc270062010"/>
      <w:bookmarkStart w:id="259" w:name="_Toc270065470"/>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附件二</w:t>
      </w:r>
      <w:r>
        <w:rPr>
          <w:rFonts w:hint="eastAsia" w:ascii="宋体" w:hAnsi="宋体" w:eastAsia="宋体" w:cs="宋体"/>
          <w:color w:val="000000"/>
          <w:szCs w:val="21"/>
          <w:highlight w:val="none"/>
        </w:rPr>
        <w:t>：</w:t>
      </w:r>
      <w:bookmarkEnd w:id="257"/>
      <w:bookmarkEnd w:id="258"/>
      <w:bookmarkEnd w:id="259"/>
      <w:r>
        <w:rPr>
          <w:rFonts w:hint="eastAsia" w:ascii="宋体" w:hAnsi="宋体" w:eastAsia="宋体" w:cs="宋体"/>
          <w:b/>
          <w:color w:val="000000"/>
          <w:szCs w:val="21"/>
          <w:highlight w:val="none"/>
        </w:rPr>
        <w:t>履约担保</w:t>
      </w:r>
    </w:p>
    <w:p w14:paraId="13317907">
      <w:pPr>
        <w:keepNext/>
        <w:spacing w:line="360" w:lineRule="auto"/>
        <w:jc w:val="center"/>
        <w:rPr>
          <w:rFonts w:hint="eastAsia" w:ascii="宋体" w:hAnsi="宋体" w:eastAsia="宋体" w:cs="宋体"/>
          <w:b/>
          <w:bCs/>
          <w:color w:val="000000"/>
          <w:sz w:val="24"/>
          <w:highlight w:val="none"/>
        </w:rPr>
      </w:pPr>
      <w:bookmarkStart w:id="260" w:name="_Toc270062011"/>
      <w:bookmarkStart w:id="261" w:name="_Toc270065617"/>
      <w:bookmarkStart w:id="262" w:name="_Toc270065471"/>
      <w:r>
        <w:rPr>
          <w:rFonts w:hint="eastAsia" w:ascii="宋体" w:hAnsi="宋体" w:eastAsia="宋体" w:cs="宋体"/>
          <w:b/>
          <w:bCs/>
          <w:color w:val="000000"/>
          <w:sz w:val="24"/>
          <w:highlight w:val="none"/>
        </w:rPr>
        <w:t>履约担保</w:t>
      </w:r>
      <w:bookmarkEnd w:id="260"/>
      <w:bookmarkEnd w:id="261"/>
      <w:bookmarkEnd w:id="262"/>
    </w:p>
    <w:p w14:paraId="75C2C4C9">
      <w:pPr>
        <w:spacing w:line="400" w:lineRule="exact"/>
        <w:rPr>
          <w:rFonts w:hint="eastAsia" w:ascii="宋体" w:hAnsi="宋体" w:eastAsia="宋体" w:cs="宋体"/>
          <w:color w:val="000000"/>
          <w:szCs w:val="21"/>
          <w:highlight w:val="none"/>
          <w:u w:val="single"/>
        </w:rPr>
      </w:pPr>
    </w:p>
    <w:p w14:paraId="73F3F8BC">
      <w:pPr>
        <w:spacing w:line="400" w:lineRule="exact"/>
        <w:rPr>
          <w:rFonts w:hint="eastAsia" w:ascii="宋体" w:hAnsi="宋体" w:eastAsia="宋体" w:cs="宋体"/>
          <w:color w:val="000000"/>
          <w:szCs w:val="21"/>
          <w:highlight w:val="none"/>
          <w:u w:val="single"/>
        </w:rPr>
      </w:pPr>
    </w:p>
    <w:p w14:paraId="794C67D6">
      <w:pPr>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（招标人名称）： </w:t>
      </w:r>
    </w:p>
    <w:p w14:paraId="0DA65766">
      <w:pPr>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鉴于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（招标人名称，以下简称 “招标人”）已接受</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（承包人名称，以下简称 “承包人”）于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日递交的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（工程名称）的投标文件。我方愿意无条件地、不可撤销地就承包人履行与你方订立的合同，向你方提供担保。 </w:t>
      </w:r>
    </w:p>
    <w:p w14:paraId="3EAB396E">
      <w:pPr>
        <w:spacing w:line="6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1.担保金额人民币 （大写）</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元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元）。 </w:t>
      </w:r>
    </w:p>
    <w:p w14:paraId="7B7A894D">
      <w:pPr>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2.担保有效期自招标人与承包人签订的合同生效之日起至招标人签发合同工程完工证书之日止。 </w:t>
      </w:r>
    </w:p>
    <w:p w14:paraId="46CE3CE4">
      <w:pPr>
        <w:spacing w:line="6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3.在本担保有效期内，因承包人违反合同约定的义务给你方造成经济损失时，我方在 </w:t>
      </w:r>
    </w:p>
    <w:p w14:paraId="3DAE9B5D">
      <w:pPr>
        <w:spacing w:line="600" w:lineRule="exact"/>
        <w:ind w:left="420" w:hanging="420" w:hanging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收到你方以书面形式提出的在担保金额内的赔偿要求后，无条件地在 天内予以支付。 </w:t>
      </w:r>
      <w:r>
        <w:rPr>
          <w:rFonts w:hint="eastAsia" w:ascii="宋体" w:hAnsi="宋体" w:eastAsia="宋体" w:cs="宋体"/>
          <w:color w:val="000000"/>
          <w:szCs w:val="21"/>
          <w:highlight w:val="none"/>
        </w:rPr>
        <w:cr/>
      </w:r>
      <w:r>
        <w:rPr>
          <w:rFonts w:hint="eastAsia" w:ascii="宋体" w:hAnsi="宋体" w:eastAsia="宋体" w:cs="宋体"/>
          <w:color w:val="000000"/>
          <w:szCs w:val="21"/>
          <w:highlight w:val="none"/>
        </w:rPr>
        <w:t xml:space="preserve">4.招标人和承包人按 《通用合同条款》第  条变更合同时，我方承担本担保规定的义务不变。 </w:t>
      </w:r>
    </w:p>
    <w:p w14:paraId="0F6821FF">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p w14:paraId="20E1FD40">
      <w:pPr>
        <w:spacing w:line="400" w:lineRule="exact"/>
        <w:ind w:firstLine="3990" w:firstLineChars="19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担 保 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盖单位章） </w:t>
      </w:r>
    </w:p>
    <w:p w14:paraId="2505F689">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法定代表人或其委托代理人：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（签字） </w:t>
      </w:r>
    </w:p>
    <w:p w14:paraId="38242327">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地    址：</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2A88C2F9">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邮政编码：</w:t>
      </w:r>
      <w:r>
        <w:rPr>
          <w:rFonts w:hint="eastAsia" w:ascii="宋体" w:hAnsi="宋体" w:eastAsia="宋体" w:cs="宋体"/>
          <w:color w:val="000000"/>
          <w:szCs w:val="21"/>
          <w:highlight w:val="none"/>
          <w:u w:val="single"/>
        </w:rPr>
        <w:t xml:space="preserve">                                </w:t>
      </w:r>
    </w:p>
    <w:p w14:paraId="3C899B2B">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电    话：</w:t>
      </w:r>
      <w:r>
        <w:rPr>
          <w:rFonts w:hint="eastAsia" w:ascii="宋体" w:hAnsi="宋体" w:eastAsia="宋体" w:cs="宋体"/>
          <w:color w:val="000000"/>
          <w:szCs w:val="21"/>
          <w:highlight w:val="none"/>
          <w:u w:val="single"/>
        </w:rPr>
        <w:t xml:space="preserve">                                </w:t>
      </w:r>
    </w:p>
    <w:p w14:paraId="0106C192">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传    真：</w:t>
      </w:r>
      <w:r>
        <w:rPr>
          <w:rFonts w:hint="eastAsia" w:ascii="宋体" w:hAnsi="宋体" w:eastAsia="宋体" w:cs="宋体"/>
          <w:color w:val="000000"/>
          <w:szCs w:val="21"/>
          <w:highlight w:val="none"/>
          <w:u w:val="single"/>
        </w:rPr>
        <w:t xml:space="preserve">                                </w:t>
      </w:r>
    </w:p>
    <w:p w14:paraId="7FD780C3">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日 </w:t>
      </w:r>
    </w:p>
    <w:p w14:paraId="7CBACFAB">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p w14:paraId="219E6DB9">
      <w:pPr>
        <w:spacing w:line="400" w:lineRule="exact"/>
        <w:rPr>
          <w:rFonts w:hint="eastAsia" w:ascii="宋体" w:hAnsi="宋体" w:eastAsia="宋体" w:cs="宋体"/>
          <w:color w:val="000000"/>
          <w:szCs w:val="21"/>
          <w:highlight w:val="none"/>
        </w:rPr>
      </w:pPr>
    </w:p>
    <w:p w14:paraId="547237D1">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注：委托代理人应附授权委托书。</w:t>
      </w:r>
    </w:p>
    <w:p w14:paraId="1543020A">
      <w:pPr>
        <w:spacing w:line="360" w:lineRule="auto"/>
        <w:outlineLvl w:val="9"/>
        <w:rPr>
          <w:rFonts w:hint="eastAsia" w:ascii="宋体" w:hAnsi="宋体" w:eastAsia="宋体" w:cs="宋体"/>
          <w:b/>
          <w:color w:val="000000"/>
          <w:szCs w:val="21"/>
          <w:highlight w:val="none"/>
        </w:rPr>
      </w:pPr>
      <w:bookmarkStart w:id="263" w:name="_Toc270065472"/>
      <w:bookmarkStart w:id="264" w:name="_Toc270065618"/>
      <w:bookmarkStart w:id="265" w:name="_Toc270062012"/>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附件三</w:t>
      </w:r>
      <w:r>
        <w:rPr>
          <w:rFonts w:hint="eastAsia" w:ascii="宋体" w:hAnsi="宋体" w:eastAsia="宋体" w:cs="宋体"/>
          <w:color w:val="000000"/>
          <w:szCs w:val="21"/>
          <w:highlight w:val="none"/>
        </w:rPr>
        <w:t>：</w:t>
      </w:r>
      <w:bookmarkEnd w:id="263"/>
      <w:bookmarkEnd w:id="264"/>
      <w:bookmarkEnd w:id="265"/>
      <w:r>
        <w:rPr>
          <w:rFonts w:hint="eastAsia" w:ascii="宋体" w:hAnsi="宋体" w:eastAsia="宋体" w:cs="宋体"/>
          <w:b/>
          <w:color w:val="000000"/>
          <w:szCs w:val="21"/>
          <w:highlight w:val="none"/>
        </w:rPr>
        <w:t>预付款担保函</w:t>
      </w:r>
    </w:p>
    <w:p w14:paraId="7D7C07E6">
      <w:pPr>
        <w:keepNext/>
        <w:spacing w:line="360" w:lineRule="auto"/>
        <w:jc w:val="center"/>
        <w:rPr>
          <w:rFonts w:hint="eastAsia" w:ascii="宋体" w:hAnsi="宋体" w:eastAsia="宋体" w:cs="宋体"/>
          <w:b/>
          <w:bCs/>
          <w:color w:val="000000"/>
          <w:sz w:val="24"/>
          <w:highlight w:val="none"/>
        </w:rPr>
      </w:pPr>
      <w:bookmarkStart w:id="266" w:name="_Toc270065619"/>
      <w:bookmarkStart w:id="267" w:name="_Toc270065473"/>
      <w:bookmarkStart w:id="268" w:name="_Toc270062013"/>
      <w:r>
        <w:rPr>
          <w:rFonts w:hint="eastAsia" w:ascii="宋体" w:hAnsi="宋体" w:eastAsia="宋体" w:cs="宋体"/>
          <w:b/>
          <w:bCs/>
          <w:color w:val="000000"/>
          <w:sz w:val="24"/>
          <w:highlight w:val="none"/>
        </w:rPr>
        <w:t>预付款担保函</w:t>
      </w:r>
      <w:bookmarkEnd w:id="266"/>
      <w:bookmarkEnd w:id="267"/>
      <w:bookmarkEnd w:id="268"/>
    </w:p>
    <w:p w14:paraId="1E15725D">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p w14:paraId="36647161">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（招标人名称）： </w:t>
      </w:r>
    </w:p>
    <w:p w14:paraId="0D76162F">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根据</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（承包人名称，以下简称 “承包人”）与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（招标人名称，以下简称 “招标人”）于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日签订的</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工程名称）合同协议书，承包人按约定的金额向招标人提交一份预付款担保，即有权得到招标人支付相等金额的预付款。我方愿意就你方提供给承包人的预付款提供担保。 </w:t>
      </w:r>
    </w:p>
    <w:p w14:paraId="7DCFF2C0">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1.担保金额人民币 （大写）</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元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元）。 </w:t>
      </w:r>
    </w:p>
    <w:p w14:paraId="4FD51A10">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2.担保有效期自预付款支付给承包人起生效，至招标人签发的进度付款证书说明预付款已完全扣清止。 </w:t>
      </w:r>
    </w:p>
    <w:p w14:paraId="586A9461">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3.在本担保有效期内，因承包人违反合同约定的义务而要求收回预付款时，我方在收到你方的书面通知后，无条件地在天内予以支付。但本担保的担保金额，在任何时候不应超过预付款金额减去招标人按合同约定在向承包人签发的进度付款证书中已扣回的金额。 </w:t>
      </w:r>
    </w:p>
    <w:p w14:paraId="297AF011">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4.招标人和承包人按 《通用合同条款》第  条变更合同时，我方承担本担保规定的义务不变。 </w:t>
      </w:r>
    </w:p>
    <w:p w14:paraId="3BC2285E">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p w14:paraId="411A8927">
      <w:pPr>
        <w:spacing w:line="400" w:lineRule="exact"/>
        <w:rPr>
          <w:rFonts w:hint="eastAsia" w:ascii="宋体" w:hAnsi="宋体" w:eastAsia="宋体" w:cs="宋体"/>
          <w:color w:val="000000"/>
          <w:szCs w:val="21"/>
          <w:highlight w:val="none"/>
        </w:rPr>
      </w:pPr>
    </w:p>
    <w:p w14:paraId="4DAD03DF">
      <w:pPr>
        <w:spacing w:line="400" w:lineRule="exact"/>
        <w:rPr>
          <w:rFonts w:hint="eastAsia" w:ascii="宋体" w:hAnsi="宋体" w:eastAsia="宋体" w:cs="宋体"/>
          <w:color w:val="000000"/>
          <w:szCs w:val="21"/>
          <w:highlight w:val="none"/>
        </w:rPr>
      </w:pPr>
    </w:p>
    <w:p w14:paraId="4115E70A">
      <w:pPr>
        <w:spacing w:line="400" w:lineRule="exact"/>
        <w:ind w:firstLine="4095" w:firstLineChars="19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担 保 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（盖单位章） </w:t>
      </w:r>
    </w:p>
    <w:p w14:paraId="245880CA">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法定代表人或其委托代理人：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（签字） </w:t>
      </w:r>
    </w:p>
    <w:p w14:paraId="2D27D779">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地    址：</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69317B11">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邮政编码：</w:t>
      </w:r>
      <w:r>
        <w:rPr>
          <w:rFonts w:hint="eastAsia" w:ascii="宋体" w:hAnsi="宋体" w:eastAsia="宋体" w:cs="宋体"/>
          <w:color w:val="000000"/>
          <w:szCs w:val="21"/>
          <w:highlight w:val="none"/>
          <w:u w:val="single"/>
        </w:rPr>
        <w:t xml:space="preserve">                                </w:t>
      </w:r>
    </w:p>
    <w:p w14:paraId="19BD430A">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电    话：</w:t>
      </w:r>
      <w:r>
        <w:rPr>
          <w:rFonts w:hint="eastAsia" w:ascii="宋体" w:hAnsi="宋体" w:eastAsia="宋体" w:cs="宋体"/>
          <w:color w:val="000000"/>
          <w:szCs w:val="21"/>
          <w:highlight w:val="none"/>
          <w:u w:val="single"/>
        </w:rPr>
        <w:t xml:space="preserve">                                </w:t>
      </w:r>
    </w:p>
    <w:p w14:paraId="31130301">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传    真：</w:t>
      </w:r>
      <w:r>
        <w:rPr>
          <w:rFonts w:hint="eastAsia" w:ascii="宋体" w:hAnsi="宋体" w:eastAsia="宋体" w:cs="宋体"/>
          <w:color w:val="000000"/>
          <w:szCs w:val="21"/>
          <w:highlight w:val="none"/>
          <w:u w:val="single"/>
        </w:rPr>
        <w:t xml:space="preserve">                                </w:t>
      </w:r>
    </w:p>
    <w:p w14:paraId="2E7798B7">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日 </w:t>
      </w:r>
    </w:p>
    <w:p w14:paraId="2893435C">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p w14:paraId="169B9E47">
      <w:pPr>
        <w:spacing w:line="400" w:lineRule="exact"/>
        <w:rPr>
          <w:rFonts w:hint="eastAsia" w:ascii="宋体" w:hAnsi="宋体" w:eastAsia="宋体" w:cs="宋体"/>
          <w:color w:val="000000"/>
          <w:szCs w:val="21"/>
          <w:highlight w:val="none"/>
        </w:rPr>
      </w:pPr>
    </w:p>
    <w:p w14:paraId="0AE371E7">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注：委托代理人应附授权委托书。 </w:t>
      </w:r>
    </w:p>
    <w:p w14:paraId="5C3E3BA2">
      <w:pPr>
        <w:spacing w:line="400" w:lineRule="exact"/>
        <w:rPr>
          <w:rFonts w:hint="eastAsia" w:ascii="宋体" w:hAnsi="宋体" w:eastAsia="宋体" w:cs="宋体"/>
          <w:color w:val="000000"/>
          <w:szCs w:val="21"/>
          <w:highlight w:val="none"/>
        </w:rPr>
      </w:pPr>
    </w:p>
    <w:p w14:paraId="5ED1B865">
      <w:pPr>
        <w:spacing w:line="400" w:lineRule="exact"/>
        <w:rPr>
          <w:rFonts w:hint="eastAsia" w:ascii="宋体" w:hAnsi="宋体" w:eastAsia="宋体" w:cs="宋体"/>
          <w:color w:val="000000"/>
          <w:szCs w:val="21"/>
          <w:highlight w:val="none"/>
        </w:rPr>
      </w:pPr>
    </w:p>
    <w:p w14:paraId="6DB5A622">
      <w:pPr>
        <w:keepNext/>
        <w:spacing w:line="360" w:lineRule="auto"/>
        <w:rPr>
          <w:rFonts w:hint="eastAsia" w:ascii="宋体" w:hAnsi="宋体" w:eastAsia="宋体" w:cs="宋体"/>
          <w:b/>
          <w:color w:val="000000"/>
          <w:szCs w:val="21"/>
          <w:highlight w:val="none"/>
        </w:rPr>
      </w:pPr>
    </w:p>
    <w:p w14:paraId="5F9B0388">
      <w:pPr>
        <w:widowControl w:val="0"/>
        <w:spacing w:after="120"/>
        <w:jc w:val="both"/>
        <w:rPr>
          <w:rFonts w:hint="eastAsia" w:ascii="宋体" w:hAnsi="宋体" w:eastAsia="宋体" w:cs="宋体"/>
          <w:b/>
          <w:color w:val="000000"/>
          <w:kern w:val="2"/>
          <w:sz w:val="21"/>
          <w:szCs w:val="21"/>
          <w:highlight w:val="none"/>
          <w:lang w:val="en-US" w:eastAsia="zh-CN" w:bidi="ar-SA"/>
        </w:rPr>
      </w:pPr>
    </w:p>
    <w:p w14:paraId="57FCCB6E">
      <w:pPr>
        <w:widowControl w:val="0"/>
        <w:jc w:val="both"/>
        <w:rPr>
          <w:rFonts w:hint="eastAsia" w:ascii="宋体" w:hAnsi="宋体" w:eastAsia="宋体" w:cs="宋体"/>
          <w:color w:val="000000"/>
          <w:kern w:val="2"/>
          <w:sz w:val="21"/>
          <w:szCs w:val="24"/>
          <w:highlight w:val="none"/>
          <w:lang w:val="en-US" w:eastAsia="zh-CN" w:bidi="ar-SA"/>
        </w:rPr>
      </w:pPr>
    </w:p>
    <w:p w14:paraId="3FD004DE">
      <w:pPr>
        <w:keepNext/>
        <w:spacing w:line="360" w:lineRule="auto"/>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附件四：</w:t>
      </w:r>
      <w:r>
        <w:rPr>
          <w:rFonts w:hint="eastAsia" w:ascii="宋体" w:hAnsi="宋体" w:eastAsia="宋体" w:cs="宋体"/>
          <w:color w:val="000000"/>
          <w:szCs w:val="21"/>
          <w:highlight w:val="none"/>
        </w:rPr>
        <w:t xml:space="preserve"> </w:t>
      </w:r>
    </w:p>
    <w:p w14:paraId="6AC1FF5D">
      <w:pPr>
        <w:keepNext/>
        <w:spacing w:line="36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承发包廉政承诺书</w:t>
      </w:r>
    </w:p>
    <w:p w14:paraId="6CF25EB9">
      <w:pPr>
        <w:keepNext/>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（招标人名称）（以下简称“甲方”）</w:t>
      </w:r>
    </w:p>
    <w:p w14:paraId="5163AD69">
      <w:pPr>
        <w:keepNext/>
        <w:spacing w:line="400" w:lineRule="exact"/>
        <w:rPr>
          <w:rFonts w:hint="eastAsia" w:ascii="宋体" w:hAnsi="宋体" w:eastAsia="宋体" w:cs="宋体"/>
          <w:bCs/>
          <w:color w:val="000000"/>
          <w:szCs w:val="21"/>
          <w:highlight w:val="none"/>
          <w:u w:val="single"/>
        </w:rPr>
      </w:pPr>
      <w:r>
        <w:rPr>
          <w:rFonts w:hint="eastAsia" w:ascii="宋体" w:hAnsi="宋体" w:eastAsia="宋体" w:cs="宋体"/>
          <w:color w:val="000000"/>
          <w:szCs w:val="21"/>
          <w:highlight w:val="none"/>
        </w:rPr>
        <w:t>承包人：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（承包人名称）（以下简称“乙方”）</w:t>
      </w:r>
    </w:p>
    <w:p w14:paraId="062B0FB5">
      <w:pPr>
        <w:keepNext/>
        <w:spacing w:line="40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为保证水利工程建设质量和投资效益，防止腐败问题的发生，根据国家关于加强水利工程建设监督管理和廉政建设的有关规定，作出如下廉政承诺：</w:t>
      </w:r>
    </w:p>
    <w:p w14:paraId="6076A9D1">
      <w:pPr>
        <w:keepNext/>
        <w:tabs>
          <w:tab w:val="left" w:pos="900"/>
        </w:tabs>
        <w:spacing w:line="40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一、甲乙双方严格遵守国家的法律法规和有关廉政建设的各项规定。</w:t>
      </w:r>
    </w:p>
    <w:p w14:paraId="4AD161C0">
      <w:pPr>
        <w:keepNext/>
        <w:spacing w:line="40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二、甲方及其工作人员要保持与乙方的正常业务交往，不以任何形式向乙方索要和收受回扣等好处费；不收受乙方的礼金、有价证券和贵重物品，不在乙方报销任何应由个人支付的费用；不要求或者接受乙方为其住房装修、婚丧嫁娶、家属和子女的工作安排以及出国出境、旅游等提供方便，以及对工程建设有影响的宴请和娱乐活动；不以任何理由向乙方推荐分包单位，指定物资设备生产厂和供应商；不要求乙方购买合同规定外的材料和设备。</w:t>
      </w:r>
    </w:p>
    <w:p w14:paraId="41C4A2E8">
      <w:pPr>
        <w:keepNext/>
        <w:spacing w:line="40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三、乙方不以任何理由向甲方及其工作人员馈赠礼金、有价证券，不以任何名义为甲方及工作人员报销应由甲方单位或个人支付的任何费用；不以洽谈业务、签订合同为借口，邀请甲方工作人员外出旅游或高消费娱乐；不为甲方单位或个人购置或提供通讯工具、交通工具和高档办公用品等，未经招投标不使用甲方指定的分包队伍和物资设备材料。</w:t>
      </w:r>
    </w:p>
    <w:p w14:paraId="4BBDDA1C">
      <w:pPr>
        <w:keepNext/>
        <w:spacing w:line="40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四、甲方工作人员的配偶、子女不从事与本工程项目有关的材料设备供应、工程分包、劳务等经营性活动。</w:t>
      </w:r>
    </w:p>
    <w:p w14:paraId="2F9E9B5A">
      <w:pPr>
        <w:keepNext/>
        <w:spacing w:line="40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五、乙方如发现甲方工作人员有违反上述承诺者，保证向甲方领导或甲方上级单位举报，甲方不找任何借口对乙方进行报复。甲方发现乙方有违反上述承诺或者不正当的手段行贿甲方工作人员，甲方保证向乙方单位领导或乙方上级单位举报。</w:t>
      </w:r>
    </w:p>
    <w:p w14:paraId="136EFC71">
      <w:pPr>
        <w:keepNext/>
        <w:spacing w:line="40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六、本廉政承诺书作为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（项目名称）</w:t>
      </w:r>
      <w:r>
        <w:rPr>
          <w:rFonts w:hint="eastAsia" w:ascii="宋体" w:hAnsi="宋体" w:eastAsia="宋体" w:cs="宋体"/>
          <w:bCs/>
          <w:color w:val="000000"/>
          <w:szCs w:val="21"/>
          <w:highlight w:val="none"/>
        </w:rPr>
        <w:t>承发包合同的附件，经双方签署立即生效。</w:t>
      </w:r>
    </w:p>
    <w:p w14:paraId="4C84C521">
      <w:pPr>
        <w:keepNext/>
        <w:spacing w:line="40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七、本承诺由项目法人单位执法监察领导小组负责监督检查，对违诺行为，由执法监察领导小组直接或协调有关部门进行核查处理。</w:t>
      </w:r>
    </w:p>
    <w:p w14:paraId="69B2A66E">
      <w:pPr>
        <w:keepNext/>
        <w:spacing w:line="40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本承诺一式</w:t>
      </w:r>
      <w:r>
        <w:rPr>
          <w:rFonts w:hint="eastAsia" w:ascii="宋体" w:hAnsi="宋体" w:eastAsia="宋体" w:cs="宋体"/>
          <w:bCs/>
          <w:color w:val="000000"/>
          <w:szCs w:val="21"/>
          <w:highlight w:val="none"/>
          <w:u w:val="single"/>
        </w:rPr>
        <w:t xml:space="preserve"> 二 </w:t>
      </w:r>
      <w:r>
        <w:rPr>
          <w:rFonts w:hint="eastAsia" w:ascii="宋体" w:hAnsi="宋体" w:eastAsia="宋体" w:cs="宋体"/>
          <w:bCs/>
          <w:color w:val="000000"/>
          <w:szCs w:val="21"/>
          <w:highlight w:val="none"/>
        </w:rPr>
        <w:t>份，甲、乙双方各执</w:t>
      </w:r>
      <w:r>
        <w:rPr>
          <w:rFonts w:hint="eastAsia" w:ascii="宋体" w:hAnsi="宋体" w:eastAsia="宋体" w:cs="宋体"/>
          <w:bCs/>
          <w:color w:val="000000"/>
          <w:szCs w:val="21"/>
          <w:highlight w:val="none"/>
          <w:u w:val="single"/>
        </w:rPr>
        <w:t xml:space="preserve"> 一 </w:t>
      </w:r>
      <w:r>
        <w:rPr>
          <w:rFonts w:hint="eastAsia" w:ascii="宋体" w:hAnsi="宋体" w:eastAsia="宋体" w:cs="宋体"/>
          <w:bCs/>
          <w:color w:val="000000"/>
          <w:szCs w:val="21"/>
          <w:highlight w:val="none"/>
        </w:rPr>
        <w:t>份。</w:t>
      </w:r>
    </w:p>
    <w:p w14:paraId="352BD432">
      <w:pPr>
        <w:keepNext/>
        <w:spacing w:line="400" w:lineRule="exact"/>
        <w:rPr>
          <w:rFonts w:hint="eastAsia" w:ascii="宋体" w:hAnsi="宋体" w:eastAsia="宋体" w:cs="宋体"/>
          <w:bCs/>
          <w:color w:val="000000"/>
          <w:szCs w:val="21"/>
          <w:highlight w:val="none"/>
        </w:rPr>
      </w:pPr>
    </w:p>
    <w:p w14:paraId="754995EB">
      <w:pPr>
        <w:keepNext/>
        <w:spacing w:line="40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甲方：</w:t>
      </w:r>
      <w:r>
        <w:rPr>
          <w:rFonts w:hint="eastAsia" w:ascii="宋体" w:hAnsi="宋体" w:eastAsia="宋体" w:cs="宋体"/>
          <w:bCs/>
          <w:color w:val="000000"/>
          <w:szCs w:val="21"/>
          <w:highlight w:val="none"/>
          <w:u w:val="single"/>
        </w:rPr>
        <w:t xml:space="preserve"> （名称并盖单位公章） </w:t>
      </w:r>
      <w:r>
        <w:rPr>
          <w:rFonts w:hint="eastAsia" w:ascii="宋体" w:hAnsi="宋体" w:eastAsia="宋体" w:cs="宋体"/>
          <w:bCs/>
          <w:color w:val="000000"/>
          <w:szCs w:val="21"/>
          <w:highlight w:val="none"/>
        </w:rPr>
        <w:t xml:space="preserve">             乙方：</w:t>
      </w:r>
      <w:r>
        <w:rPr>
          <w:rFonts w:hint="eastAsia" w:ascii="宋体" w:hAnsi="宋体" w:eastAsia="宋体" w:cs="宋体"/>
          <w:bCs/>
          <w:color w:val="000000"/>
          <w:szCs w:val="21"/>
          <w:highlight w:val="none"/>
          <w:u w:val="single"/>
        </w:rPr>
        <w:t xml:space="preserve"> （名称并盖单位公章） </w:t>
      </w:r>
    </w:p>
    <w:p w14:paraId="2F6744A2">
      <w:pPr>
        <w:keepNext/>
        <w:spacing w:line="40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法定代表人或其委托代理人：</w:t>
      </w:r>
      <w:r>
        <w:rPr>
          <w:rFonts w:hint="eastAsia" w:ascii="宋体" w:hAnsi="宋体" w:eastAsia="宋体" w:cs="宋体"/>
          <w:bCs/>
          <w:color w:val="000000"/>
          <w:szCs w:val="21"/>
          <w:highlight w:val="none"/>
          <w:u w:val="single"/>
        </w:rPr>
        <w:t xml:space="preserve"> （签名） </w:t>
      </w:r>
      <w:r>
        <w:rPr>
          <w:rFonts w:hint="eastAsia" w:ascii="宋体" w:hAnsi="宋体" w:eastAsia="宋体" w:cs="宋体"/>
          <w:bCs/>
          <w:color w:val="000000"/>
          <w:szCs w:val="21"/>
          <w:highlight w:val="none"/>
        </w:rPr>
        <w:t xml:space="preserve">     法定代表人或其委托代理人：</w:t>
      </w:r>
      <w:r>
        <w:rPr>
          <w:rFonts w:hint="eastAsia" w:ascii="宋体" w:hAnsi="宋体" w:eastAsia="宋体" w:cs="宋体"/>
          <w:bCs/>
          <w:color w:val="000000"/>
          <w:szCs w:val="21"/>
          <w:highlight w:val="none"/>
          <w:u w:val="single"/>
        </w:rPr>
        <w:t xml:space="preserve"> （签名） </w:t>
      </w:r>
    </w:p>
    <w:p w14:paraId="1380F368">
      <w:pPr>
        <w:keepNext/>
        <w:spacing w:line="400" w:lineRule="exact"/>
        <w:ind w:firstLine="420" w:firstLineChars="200"/>
        <w:rPr>
          <w:rFonts w:hint="eastAsia" w:ascii="宋体" w:hAnsi="宋体" w:eastAsia="宋体" w:cs="宋体"/>
          <w:bCs/>
          <w:color w:val="000000"/>
          <w:szCs w:val="21"/>
          <w:highlight w:val="none"/>
          <w:u w:val="single"/>
        </w:rPr>
      </w:pPr>
      <w:r>
        <w:rPr>
          <w:rFonts w:hint="eastAsia" w:ascii="宋体" w:hAnsi="宋体" w:eastAsia="宋体" w:cs="宋体"/>
          <w:bCs/>
          <w:color w:val="000000"/>
          <w:szCs w:val="21"/>
          <w:highlight w:val="none"/>
        </w:rPr>
        <w:t>地址：</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 xml:space="preserve">               地址：</w:t>
      </w:r>
      <w:r>
        <w:rPr>
          <w:rFonts w:hint="eastAsia" w:ascii="宋体" w:hAnsi="宋体" w:eastAsia="宋体" w:cs="宋体"/>
          <w:bCs/>
          <w:color w:val="000000"/>
          <w:szCs w:val="21"/>
          <w:highlight w:val="none"/>
          <w:u w:val="single"/>
        </w:rPr>
        <w:t xml:space="preserve">                    </w:t>
      </w:r>
    </w:p>
    <w:p w14:paraId="1E9EAC94">
      <w:pPr>
        <w:keepNext/>
        <w:spacing w:line="400" w:lineRule="exact"/>
        <w:ind w:firstLine="420" w:firstLineChars="200"/>
        <w:rPr>
          <w:rFonts w:hint="eastAsia" w:ascii="宋体" w:hAnsi="宋体" w:eastAsia="宋体" w:cs="宋体"/>
          <w:bCs/>
          <w:color w:val="000000"/>
          <w:szCs w:val="21"/>
          <w:highlight w:val="none"/>
          <w:u w:val="single"/>
        </w:rPr>
      </w:pPr>
      <w:r>
        <w:rPr>
          <w:rFonts w:hint="eastAsia" w:ascii="宋体" w:hAnsi="宋体" w:eastAsia="宋体" w:cs="宋体"/>
          <w:bCs/>
          <w:color w:val="000000"/>
          <w:szCs w:val="21"/>
          <w:highlight w:val="none"/>
        </w:rPr>
        <w:t>电话：</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 xml:space="preserve">               电话：</w:t>
      </w:r>
      <w:r>
        <w:rPr>
          <w:rFonts w:hint="eastAsia" w:ascii="宋体" w:hAnsi="宋体" w:eastAsia="宋体" w:cs="宋体"/>
          <w:bCs/>
          <w:color w:val="000000"/>
          <w:szCs w:val="21"/>
          <w:highlight w:val="none"/>
          <w:u w:val="single"/>
        </w:rPr>
        <w:t xml:space="preserve">                    </w:t>
      </w:r>
    </w:p>
    <w:p w14:paraId="4F1AD971">
      <w:pPr>
        <w:keepNext/>
        <w:spacing w:line="40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日期：</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年</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月</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日                 日期：</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年</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月</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日</w:t>
      </w:r>
    </w:p>
    <w:p w14:paraId="68B15BA7">
      <w:pPr>
        <w:widowControl w:val="0"/>
        <w:spacing w:after="120"/>
        <w:jc w:val="both"/>
        <w:rPr>
          <w:rFonts w:hint="eastAsia" w:ascii="宋体" w:hAnsi="宋体" w:eastAsia="宋体" w:cs="宋体"/>
          <w:color w:val="000000"/>
          <w:kern w:val="2"/>
          <w:sz w:val="21"/>
          <w:szCs w:val="24"/>
          <w:highlight w:val="none"/>
          <w:lang w:val="en-US" w:eastAsia="zh-CN" w:bidi="ar-SA"/>
        </w:rPr>
      </w:pPr>
    </w:p>
    <w:p w14:paraId="1F86AAC5">
      <w:pPr>
        <w:keepNext/>
        <w:spacing w:line="360" w:lineRule="auto"/>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附件五：</w:t>
      </w:r>
      <w:r>
        <w:rPr>
          <w:rFonts w:hint="eastAsia" w:ascii="宋体" w:hAnsi="宋体" w:eastAsia="宋体" w:cs="宋体"/>
          <w:color w:val="000000"/>
          <w:szCs w:val="21"/>
          <w:highlight w:val="none"/>
        </w:rPr>
        <w:t xml:space="preserve"> </w:t>
      </w:r>
    </w:p>
    <w:p w14:paraId="04A1A1CA">
      <w:pPr>
        <w:keepNext/>
        <w:spacing w:line="36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安全生产责任书（格式）</w:t>
      </w:r>
    </w:p>
    <w:p w14:paraId="2F0CAEDB">
      <w:pPr>
        <w:keepNext/>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（招标人名称）（以下简称“甲方”）</w:t>
      </w:r>
    </w:p>
    <w:p w14:paraId="3D12A2CF">
      <w:pPr>
        <w:keepNext/>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（承包人名称）（以下简称“乙方”）</w:t>
      </w:r>
    </w:p>
    <w:p w14:paraId="41490C52">
      <w:pPr>
        <w:keepNext/>
        <w:widowControl w:val="0"/>
        <w:spacing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为积极贯彻“安全第一，预防为主”的建设方针，保证本工程的安全生产，有效控制各类生产安全事故，保障从业人员安全、健康和国家财产免遭损失，根据《中华人民共和国劳动法》、《中华人民共和国建筑法》、《中华人民共和国安全生产法》和《建设工程安全生产管理条例》等有关规定，就</w:t>
      </w:r>
      <w:r>
        <w:rPr>
          <w:rFonts w:hint="eastAsia" w:ascii="宋体" w:hAnsi="宋体" w:eastAsia="宋体" w:cs="宋体"/>
          <w:color w:val="000000"/>
          <w:kern w:val="2"/>
          <w:sz w:val="21"/>
          <w:szCs w:val="21"/>
          <w:highlight w:val="none"/>
          <w:u w:val="single"/>
          <w:lang w:val="en-US" w:eastAsia="zh-CN" w:bidi="ar-SA"/>
        </w:rPr>
        <w:t xml:space="preserve"> </w:t>
      </w:r>
      <w:r>
        <w:rPr>
          <w:rFonts w:hint="eastAsia" w:ascii="宋体" w:hAnsi="宋体" w:eastAsia="宋体" w:cs="宋体"/>
          <w:bCs/>
          <w:color w:val="000000"/>
          <w:kern w:val="2"/>
          <w:sz w:val="21"/>
          <w:szCs w:val="21"/>
          <w:highlight w:val="none"/>
          <w:u w:val="single"/>
          <w:lang w:val="en-US" w:eastAsia="zh-CN" w:bidi="ar-SA"/>
        </w:rPr>
        <w:t>（</w:t>
      </w:r>
      <w:r>
        <w:rPr>
          <w:rFonts w:hint="eastAsia" w:ascii="宋体" w:hAnsi="宋体" w:eastAsia="宋体" w:cs="宋体"/>
          <w:color w:val="000000"/>
          <w:kern w:val="2"/>
          <w:sz w:val="21"/>
          <w:szCs w:val="21"/>
          <w:highlight w:val="none"/>
          <w:u w:val="single"/>
          <w:lang w:val="en-US" w:eastAsia="zh-CN" w:bidi="ar-SA"/>
        </w:rPr>
        <w:t>工程名称</w:t>
      </w:r>
      <w:r>
        <w:rPr>
          <w:rFonts w:hint="eastAsia" w:ascii="宋体" w:hAnsi="宋体" w:eastAsia="宋体" w:cs="宋体"/>
          <w:bCs/>
          <w:color w:val="000000"/>
          <w:kern w:val="2"/>
          <w:sz w:val="21"/>
          <w:szCs w:val="21"/>
          <w:highlight w:val="none"/>
          <w:u w:val="single"/>
          <w:lang w:val="en-US" w:eastAsia="zh-CN" w:bidi="ar-SA"/>
        </w:rPr>
        <w:t>）</w:t>
      </w:r>
      <w:r>
        <w:rPr>
          <w:rFonts w:hint="eastAsia" w:ascii="宋体" w:hAnsi="宋体" w:eastAsia="宋体" w:cs="宋体"/>
          <w:color w:val="000000"/>
          <w:kern w:val="2"/>
          <w:sz w:val="21"/>
          <w:szCs w:val="21"/>
          <w:highlight w:val="none"/>
          <w:u w:val="single"/>
          <w:lang w:val="en-US" w:eastAsia="zh-CN" w:bidi="ar-SA"/>
        </w:rPr>
        <w:t xml:space="preserve"> </w:t>
      </w:r>
      <w:r>
        <w:rPr>
          <w:rFonts w:hint="eastAsia" w:ascii="宋体" w:hAnsi="宋体" w:eastAsia="宋体" w:cs="宋体"/>
          <w:color w:val="000000"/>
          <w:kern w:val="2"/>
          <w:sz w:val="21"/>
          <w:szCs w:val="21"/>
          <w:highlight w:val="none"/>
          <w:lang w:val="en-US" w:eastAsia="zh-CN" w:bidi="ar-SA"/>
        </w:rPr>
        <w:t>施工过程中甲乙双方安全责任问题，经双方协商，签订本责任书。</w:t>
      </w:r>
    </w:p>
    <w:p w14:paraId="5BAA4BF3">
      <w:pPr>
        <w:keepNext/>
        <w:widowControl w:val="0"/>
        <w:spacing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本责任书为承包合同的附件，在签订承包合同的同时签订本责任书，两者具有同等法律效力，双方应认真履行。</w:t>
      </w:r>
    </w:p>
    <w:p w14:paraId="3F194EFE">
      <w:pPr>
        <w:keepNext/>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第一条  甲乙双方共同遵守国家和工程所在地有关安全生产的法律、法规和规定，认真执行国家、行业、企业安全技术标准。</w:t>
      </w:r>
    </w:p>
    <w:p w14:paraId="4923CCF2">
      <w:pPr>
        <w:keepNext/>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第二条  工程开工前，甲方应组织有关技术人员对乙方进行安全技术交底，乙方应根据安全技术交底内容编制安全保障措施、安全管理制度和安全操作规程。</w:t>
      </w:r>
    </w:p>
    <w:p w14:paraId="0A7C63BD">
      <w:pPr>
        <w:keepNext/>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第三条  乙方应接受甲方委托的管理公司、监理公司对其编制的施工组织设计中的安全生产措施等进行审查。</w:t>
      </w:r>
    </w:p>
    <w:p w14:paraId="73249D65">
      <w:pPr>
        <w:keepNext/>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第四条  乙方应接受甲方委托的管理公司、监理公司在安全方面的指导与管理，并将有关安全技术要求向作业人员做出详细说明，并对作业人员进行安全生产教育培训，未经教育培训或者教育培训考核不合格的人员，不得上岗作业。</w:t>
      </w:r>
    </w:p>
    <w:p w14:paraId="1D108BCB">
      <w:pPr>
        <w:keepNext/>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第五条  乙方应当配备安全生产管理负责人和各班组安全员。安全生产管理人员负责对安全生产进行现场监督检查，并做好安全检查记录。发现安全事故隐患，应当及时向项目负责人报告；对违章指挥、违章操作的，应当立即制止。若发现不安全因素，乙方应立即向管理公司、监理公司及甲方报告，不得隐瞒不报。</w:t>
      </w:r>
    </w:p>
    <w:p w14:paraId="15B96091">
      <w:pPr>
        <w:keepNext/>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第六条  乙方作业人员中的特种作业人员，必须按照国家有关规定经过专门的安全作业培训，并取得特种作业操作资格证书后，方可上岗作业，严禁无证人员上岗操作。</w:t>
      </w:r>
    </w:p>
    <w:p w14:paraId="6ACC8B33">
      <w:pPr>
        <w:keepNext/>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第七条  乙方应照国家有关劳动保护条例的规定对进场作业人员按照岗位和工种进行劳动保护用品和工具的配置，严禁没有劳动保护用品的作业人员进行作业。</w:t>
      </w:r>
    </w:p>
    <w:p w14:paraId="308AE16E">
      <w:pPr>
        <w:keepNext/>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第八条  乙方在作业过程中应严格执行国家的有关规范和本企业制定的安全管理制度和安全操作规程，严禁违章操作，如因违反操作规程等原因而造成的安全和人员伤亡事故，责任和损失全部由乙方承担。</w:t>
      </w:r>
    </w:p>
    <w:p w14:paraId="6074E5F5">
      <w:pPr>
        <w:keepNext/>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第九条  乙方在易燃、易爆危险场所进行作业时应制定相应的消防安全管理制度，确定消防安全责任人，配备消防设施和灭火器材，并在作业现场入口处设置明显标志，严禁一切明火作业。</w:t>
      </w:r>
    </w:p>
    <w:p w14:paraId="7E2C814A">
      <w:pPr>
        <w:keepNext/>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第十条  乙方应当根据周围环境及季节、气候的变化，在施工现场采取相应的安全措施，暂停作业时，乙方应当做好现场保护。</w:t>
      </w:r>
    </w:p>
    <w:p w14:paraId="5685DF72">
      <w:pPr>
        <w:keepNext/>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第十一条  乙方应将施工现场的办公、生活区与作业区分开设置，并保持安全距离。 </w:t>
      </w:r>
    </w:p>
    <w:p w14:paraId="5A1739C5">
      <w:pPr>
        <w:keepNext/>
        <w:spacing w:line="360" w:lineRule="auto"/>
        <w:ind w:firstLine="420" w:firstLineChars="200"/>
        <w:rPr>
          <w:rFonts w:hint="eastAsia" w:ascii="宋体" w:hAnsi="宋体" w:eastAsia="宋体" w:cs="宋体"/>
          <w:color w:val="000000"/>
          <w:spacing w:val="-4"/>
          <w:szCs w:val="21"/>
          <w:highlight w:val="none"/>
        </w:rPr>
      </w:pPr>
      <w:r>
        <w:rPr>
          <w:rFonts w:hint="eastAsia" w:ascii="宋体" w:hAnsi="宋体" w:eastAsia="宋体" w:cs="宋体"/>
          <w:color w:val="000000"/>
          <w:szCs w:val="21"/>
          <w:highlight w:val="none"/>
        </w:rPr>
        <w:t xml:space="preserve">第十二条  </w:t>
      </w:r>
      <w:r>
        <w:rPr>
          <w:rFonts w:hint="eastAsia" w:ascii="宋体" w:hAnsi="宋体" w:eastAsia="宋体" w:cs="宋体"/>
          <w:color w:val="000000"/>
          <w:spacing w:val="-4"/>
          <w:szCs w:val="21"/>
          <w:highlight w:val="none"/>
        </w:rPr>
        <w:t>乙方应当在作业现场、场内交通道叉口等危险部位，设置明显的安全警示标志，安全警示标志必须符合国家标准。</w:t>
      </w:r>
    </w:p>
    <w:p w14:paraId="6144E659">
      <w:pPr>
        <w:keepNext/>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第十三条  乙方应当遵守有关环境保护法律、法规的规定，在作业现场采取措施防止或者减少粉尘、废气、废水、固体废物、噪声、振动和施工照明对人和环境的危害和污染。</w:t>
      </w:r>
    </w:p>
    <w:p w14:paraId="2081D00F">
      <w:pPr>
        <w:keepNext/>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第十四条  乙方应当与现场作业人员签定安全协议书，并为施工现场从事危险作业的人员办理意外伤害保险。意外伤害保险期限自建设工程开工之日起至完工验收合格之日止。</w:t>
      </w:r>
    </w:p>
    <w:p w14:paraId="41D40D1C">
      <w:pPr>
        <w:keepNext/>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第十五条  乙方应当根据工程的特点，对作业现场易发生重大事故的部位、环节进行监控，制定作业现场生产安全事故应急救援预案，并要求每一位作业人员应知应会。</w:t>
      </w:r>
    </w:p>
    <w:p w14:paraId="67B14308">
      <w:pPr>
        <w:keepNext/>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第十六条  监理公司及甲方人员检查工地时有权制止任何违章操作，并勒令其停工整改，直至满足安全操作规程的条件后才能复工，同时对违章人员和违章次数进行记录，并根据情节轻重给予适当的经济处罚。</w:t>
      </w:r>
    </w:p>
    <w:p w14:paraId="0B638146">
      <w:pPr>
        <w:keepNext/>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第十七条  乙方应严格遵守上述规定，若因违反上述规定造成事故的，则甲方将根据情节轻重给予相应处罚。</w:t>
      </w:r>
    </w:p>
    <w:p w14:paraId="35CC1240">
      <w:pPr>
        <w:keepNext/>
        <w:spacing w:line="360" w:lineRule="auto"/>
        <w:ind w:firstLine="420" w:firstLine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 xml:space="preserve">第十八条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p w14:paraId="36556967">
      <w:pPr>
        <w:keepNext/>
        <w:spacing w:line="360" w:lineRule="auto"/>
        <w:ind w:left="4318" w:hanging="4317" w:hangingChars="205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甲方：</w:t>
      </w:r>
      <w:r>
        <w:rPr>
          <w:rFonts w:hint="eastAsia" w:ascii="宋体" w:hAnsi="宋体" w:eastAsia="宋体" w:cs="宋体"/>
          <w:color w:val="000000"/>
          <w:szCs w:val="21"/>
          <w:highlight w:val="none"/>
          <w:u w:val="single"/>
        </w:rPr>
        <w:t xml:space="preserve"> （名称并盖单位公章） </w:t>
      </w:r>
      <w:r>
        <w:rPr>
          <w:rFonts w:hint="eastAsia" w:ascii="宋体" w:hAnsi="宋体" w:eastAsia="宋体" w:cs="宋体"/>
          <w:color w:val="000000"/>
          <w:szCs w:val="21"/>
          <w:highlight w:val="none"/>
        </w:rPr>
        <w:t xml:space="preserve">           乙方：</w:t>
      </w:r>
      <w:r>
        <w:rPr>
          <w:rFonts w:hint="eastAsia" w:ascii="宋体" w:hAnsi="宋体" w:eastAsia="宋体" w:cs="宋体"/>
          <w:color w:val="000000"/>
          <w:szCs w:val="21"/>
          <w:highlight w:val="none"/>
          <w:u w:val="single"/>
        </w:rPr>
        <w:t xml:space="preserve"> （名称并盖单位公章）</w:t>
      </w:r>
    </w:p>
    <w:p w14:paraId="15C5CE47">
      <w:pPr>
        <w:keepNext/>
        <w:spacing w:line="360" w:lineRule="auto"/>
        <w:ind w:left="4318" w:hanging="4317" w:hangingChars="2056"/>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rPr>
        <w:t>法定代表人或其委托代理人</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（签字） </w:t>
      </w:r>
      <w:r>
        <w:rPr>
          <w:rFonts w:hint="eastAsia" w:ascii="宋体" w:hAnsi="宋体" w:eastAsia="宋体" w:cs="宋体"/>
          <w:color w:val="000000"/>
          <w:szCs w:val="21"/>
          <w:highlight w:val="none"/>
        </w:rPr>
        <w:t xml:space="preserve">     </w:t>
      </w:r>
      <w:r>
        <w:rPr>
          <w:rFonts w:hint="eastAsia" w:ascii="宋体" w:hAnsi="宋体" w:eastAsia="宋体" w:cs="宋体"/>
          <w:bCs/>
          <w:color w:val="000000"/>
          <w:szCs w:val="21"/>
          <w:highlight w:val="none"/>
        </w:rPr>
        <w:t>法定代表人或其委托代理人</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（签字）  </w:t>
      </w:r>
    </w:p>
    <w:p w14:paraId="114D60C6">
      <w:pPr>
        <w:keepNext/>
        <w:spacing w:line="360" w:lineRule="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地址：</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地址：</w:t>
      </w:r>
      <w:r>
        <w:rPr>
          <w:rFonts w:hint="eastAsia" w:ascii="宋体" w:hAnsi="宋体" w:eastAsia="宋体" w:cs="宋体"/>
          <w:color w:val="000000"/>
          <w:szCs w:val="21"/>
          <w:highlight w:val="none"/>
          <w:u w:val="single"/>
        </w:rPr>
        <w:t xml:space="preserve">                      </w:t>
      </w:r>
    </w:p>
    <w:p w14:paraId="3FE4EF13">
      <w:pPr>
        <w:keepNext/>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电话：</w:t>
      </w:r>
      <w:r>
        <w:rPr>
          <w:rFonts w:hint="eastAsia" w:ascii="宋体" w:hAnsi="宋体" w:eastAsia="宋体" w:cs="宋体"/>
          <w:color w:val="000000"/>
          <w:szCs w:val="21"/>
          <w:highlight w:val="none"/>
          <w:u w:val="single"/>
        </w:rPr>
        <w:t xml:space="preserve">                      </w:t>
      </w:r>
    </w:p>
    <w:p w14:paraId="4573F51C">
      <w:pPr>
        <w:keepNext/>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日期：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             日期：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28F74277">
      <w:pPr>
        <w:keepNext/>
        <w:spacing w:line="360" w:lineRule="auto"/>
        <w:ind w:left="890" w:leftChars="213" w:hanging="443" w:hangingChars="211"/>
        <w:rPr>
          <w:rFonts w:hint="eastAsia" w:ascii="宋体" w:hAnsi="宋体" w:eastAsia="宋体" w:cs="宋体"/>
          <w:bCs/>
          <w:color w:val="000000"/>
          <w:szCs w:val="21"/>
          <w:highlight w:val="none"/>
        </w:rPr>
      </w:pPr>
    </w:p>
    <w:p w14:paraId="370A2002">
      <w:pPr>
        <w:keepNext/>
        <w:spacing w:line="360" w:lineRule="auto"/>
        <w:ind w:left="890" w:leftChars="213" w:hanging="443" w:hangingChars="211"/>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注：招标人与承包人签订合同前，可对本责任书有关内容进行修改、补充和完善。</w:t>
      </w:r>
      <w:bookmarkStart w:id="269" w:name="_Toc194486256"/>
      <w:bookmarkStart w:id="270" w:name="_Toc194486630"/>
    </w:p>
    <w:p w14:paraId="61B020B2">
      <w:pPr>
        <w:keepNext/>
        <w:spacing w:line="360" w:lineRule="auto"/>
        <w:rPr>
          <w:rFonts w:hint="eastAsia" w:ascii="宋体" w:hAnsi="宋体" w:eastAsia="宋体" w:cs="宋体"/>
          <w:color w:val="000000"/>
          <w:szCs w:val="21"/>
          <w:highlight w:val="none"/>
        </w:rPr>
      </w:pPr>
    </w:p>
    <w:p w14:paraId="65A1A783">
      <w:pPr>
        <w:keepNext/>
        <w:spacing w:line="360" w:lineRule="auto"/>
        <w:rPr>
          <w:rFonts w:hint="eastAsia" w:ascii="宋体" w:hAnsi="宋体" w:eastAsia="宋体" w:cs="宋体"/>
          <w:color w:val="000000"/>
          <w:szCs w:val="21"/>
          <w:highlight w:val="none"/>
        </w:rPr>
      </w:pPr>
    </w:p>
    <w:p w14:paraId="6B7C92FF">
      <w:pPr>
        <w:widowControl w:val="0"/>
        <w:spacing w:after="120"/>
        <w:jc w:val="both"/>
        <w:rPr>
          <w:rFonts w:hint="eastAsia" w:ascii="宋体" w:hAnsi="宋体" w:eastAsia="宋体" w:cs="宋体"/>
          <w:color w:val="000000"/>
          <w:kern w:val="2"/>
          <w:sz w:val="21"/>
          <w:szCs w:val="21"/>
          <w:highlight w:val="none"/>
          <w:lang w:val="en-US" w:eastAsia="zh-CN" w:bidi="ar-SA"/>
        </w:rPr>
      </w:pPr>
    </w:p>
    <w:p w14:paraId="5F3CFA03">
      <w:pPr>
        <w:rPr>
          <w:rFonts w:hint="eastAsia" w:ascii="宋体" w:hAnsi="宋体" w:eastAsia="宋体" w:cs="宋体"/>
          <w:color w:val="000000"/>
          <w:szCs w:val="21"/>
          <w:highlight w:val="none"/>
        </w:rPr>
      </w:pPr>
    </w:p>
    <w:p w14:paraId="59376468">
      <w:pPr>
        <w:keepNext/>
        <w:spacing w:line="360" w:lineRule="auto"/>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附件六：</w:t>
      </w:r>
      <w:bookmarkEnd w:id="269"/>
      <w:bookmarkEnd w:id="270"/>
      <w:r>
        <w:rPr>
          <w:rFonts w:hint="eastAsia" w:ascii="宋体" w:hAnsi="宋体" w:eastAsia="宋体" w:cs="宋体"/>
          <w:color w:val="000000"/>
          <w:szCs w:val="21"/>
          <w:highlight w:val="none"/>
        </w:rPr>
        <w:t xml:space="preserve"> </w:t>
      </w:r>
    </w:p>
    <w:p w14:paraId="5254B506">
      <w:pPr>
        <w:keepNext/>
        <w:spacing w:line="36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保障农民工权益书</w:t>
      </w:r>
    </w:p>
    <w:p w14:paraId="775296DA">
      <w:pPr>
        <w:keepNext/>
        <w:spacing w:line="7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（招标人名称） </w:t>
      </w:r>
      <w:r>
        <w:rPr>
          <w:rFonts w:hint="eastAsia" w:ascii="宋体" w:hAnsi="宋体" w:eastAsia="宋体" w:cs="宋体"/>
          <w:color w:val="000000"/>
          <w:szCs w:val="21"/>
          <w:highlight w:val="none"/>
        </w:rPr>
        <w:t>：</w:t>
      </w:r>
    </w:p>
    <w:p w14:paraId="1D558A0B">
      <w:pPr>
        <w:keepNext/>
        <w:spacing w:line="700" w:lineRule="exact"/>
        <w:ind w:firstLine="48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我方将对</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工程名称）进行投标。我方将作出如下承诺：严格保障农民工合法权益，不拖欠农民工工资，如违反承诺，我方愿意你方扣留相应金额的工程进度款，用于支付农民工工资及其相关农民工保障费用，并承担相应法律责任。</w:t>
      </w:r>
    </w:p>
    <w:p w14:paraId="24F97961">
      <w:pPr>
        <w:keepNext/>
        <w:spacing w:line="360" w:lineRule="auto"/>
        <w:ind w:firstLine="480"/>
        <w:rPr>
          <w:rFonts w:hint="eastAsia" w:ascii="宋体" w:hAnsi="宋体" w:eastAsia="宋体" w:cs="宋体"/>
          <w:color w:val="000000"/>
          <w:szCs w:val="21"/>
          <w:highlight w:val="none"/>
        </w:rPr>
      </w:pPr>
    </w:p>
    <w:p w14:paraId="6D2D14D2">
      <w:pPr>
        <w:keepNext/>
        <w:spacing w:line="360" w:lineRule="auto"/>
        <w:ind w:firstLine="480"/>
        <w:rPr>
          <w:rFonts w:hint="eastAsia" w:ascii="宋体" w:hAnsi="宋体" w:eastAsia="宋体" w:cs="宋体"/>
          <w:color w:val="000000"/>
          <w:szCs w:val="21"/>
          <w:highlight w:val="none"/>
        </w:rPr>
      </w:pPr>
    </w:p>
    <w:p w14:paraId="19212B1D">
      <w:pPr>
        <w:keepNext/>
        <w:spacing w:line="360" w:lineRule="auto"/>
        <w:ind w:firstLine="480"/>
        <w:rPr>
          <w:rFonts w:hint="eastAsia" w:ascii="宋体" w:hAnsi="宋体" w:eastAsia="宋体" w:cs="宋体"/>
          <w:color w:val="000000"/>
          <w:szCs w:val="21"/>
          <w:highlight w:val="none"/>
        </w:rPr>
      </w:pPr>
    </w:p>
    <w:p w14:paraId="27DE1CD9">
      <w:pPr>
        <w:keepNext/>
        <w:spacing w:line="360" w:lineRule="auto"/>
        <w:ind w:firstLine="480"/>
        <w:rPr>
          <w:rFonts w:hint="eastAsia" w:ascii="宋体" w:hAnsi="宋体" w:eastAsia="宋体" w:cs="宋体"/>
          <w:color w:val="000000"/>
          <w:szCs w:val="21"/>
          <w:highlight w:val="none"/>
        </w:rPr>
      </w:pPr>
    </w:p>
    <w:p w14:paraId="1F40A18F">
      <w:pPr>
        <w:keepNext/>
        <w:spacing w:line="360" w:lineRule="auto"/>
        <w:ind w:firstLine="480"/>
        <w:rPr>
          <w:rFonts w:hint="eastAsia" w:ascii="宋体" w:hAnsi="宋体" w:eastAsia="宋体" w:cs="宋体"/>
          <w:color w:val="000000"/>
          <w:szCs w:val="21"/>
          <w:highlight w:val="none"/>
        </w:rPr>
      </w:pPr>
    </w:p>
    <w:p w14:paraId="716A95C5">
      <w:pPr>
        <w:keepNext/>
        <w:spacing w:line="360" w:lineRule="auto"/>
        <w:ind w:firstLine="480"/>
        <w:rPr>
          <w:rFonts w:hint="eastAsia" w:ascii="宋体" w:hAnsi="宋体" w:eastAsia="宋体" w:cs="宋体"/>
          <w:color w:val="000000"/>
          <w:szCs w:val="21"/>
          <w:highlight w:val="none"/>
        </w:rPr>
      </w:pPr>
    </w:p>
    <w:p w14:paraId="06FD8C32">
      <w:pPr>
        <w:keepNext/>
        <w:spacing w:line="500" w:lineRule="exact"/>
        <w:ind w:firstLine="3570" w:firstLineChars="17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投标人：</w:t>
      </w:r>
      <w:r>
        <w:rPr>
          <w:rFonts w:hint="eastAsia" w:ascii="宋体" w:hAnsi="宋体" w:eastAsia="宋体" w:cs="宋体"/>
          <w:bCs/>
          <w:color w:val="000000"/>
          <w:szCs w:val="21"/>
          <w:highlight w:val="none"/>
          <w:u w:val="single"/>
        </w:rPr>
        <w:t xml:space="preserve"> （名称并盖单位公章） </w:t>
      </w:r>
    </w:p>
    <w:p w14:paraId="4F36ED90">
      <w:pPr>
        <w:keepNext/>
        <w:spacing w:line="500" w:lineRule="exact"/>
        <w:ind w:firstLine="3570" w:firstLineChars="17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法定代表人或其委托代理人：</w:t>
      </w:r>
      <w:r>
        <w:rPr>
          <w:rFonts w:hint="eastAsia" w:ascii="宋体" w:hAnsi="宋体" w:eastAsia="宋体" w:cs="宋体"/>
          <w:bCs/>
          <w:color w:val="000000"/>
          <w:szCs w:val="21"/>
          <w:highlight w:val="none"/>
          <w:u w:val="single"/>
        </w:rPr>
        <w:t xml:space="preserve"> （签字）</w:t>
      </w:r>
    </w:p>
    <w:p w14:paraId="2E8D5250">
      <w:pPr>
        <w:spacing w:line="360" w:lineRule="auto"/>
        <w:ind w:firstLine="42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日  期：</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年</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月</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日</w:t>
      </w:r>
    </w:p>
    <w:p w14:paraId="2D1D67DD">
      <w:pPr>
        <w:widowControl w:val="0"/>
        <w:ind w:left="420" w:leftChars="200" w:firstLine="420"/>
        <w:jc w:val="both"/>
        <w:rPr>
          <w:rFonts w:hint="eastAsia" w:ascii="宋体" w:hAnsi="宋体" w:eastAsia="宋体" w:cs="宋体"/>
          <w:kern w:val="2"/>
          <w:sz w:val="21"/>
          <w:szCs w:val="24"/>
          <w:highlight w:val="none"/>
          <w:lang w:val="en-US" w:eastAsia="zh-CN" w:bidi="ar-SA"/>
        </w:rPr>
      </w:pPr>
    </w:p>
    <w:p w14:paraId="62B46D54">
      <w:pPr>
        <w:rPr>
          <w:rFonts w:hint="eastAsia" w:ascii="宋体" w:hAnsi="宋体" w:eastAsia="宋体" w:cs="宋体"/>
          <w:highlight w:val="none"/>
        </w:rPr>
      </w:pPr>
    </w:p>
    <w:p w14:paraId="25422923">
      <w:pPr>
        <w:widowControl w:val="0"/>
        <w:ind w:left="420" w:leftChars="200"/>
        <w:jc w:val="both"/>
        <w:rPr>
          <w:rFonts w:hint="eastAsia" w:ascii="宋体" w:hAnsi="宋体" w:eastAsia="宋体" w:cs="宋体"/>
          <w:kern w:val="2"/>
          <w:sz w:val="21"/>
          <w:szCs w:val="24"/>
          <w:highlight w:val="none"/>
          <w:lang w:val="en-US" w:eastAsia="zh-CN" w:bidi="ar-SA"/>
        </w:rPr>
      </w:pPr>
    </w:p>
    <w:p w14:paraId="708548CD">
      <w:pPr>
        <w:rPr>
          <w:rFonts w:hint="eastAsia" w:ascii="宋体" w:hAnsi="宋体" w:eastAsia="宋体" w:cs="宋体"/>
          <w:highlight w:val="none"/>
        </w:rPr>
      </w:pPr>
    </w:p>
    <w:p w14:paraId="595861C4">
      <w:pPr>
        <w:spacing w:line="360" w:lineRule="auto"/>
        <w:jc w:val="both"/>
        <w:rPr>
          <w:rFonts w:hint="eastAsia" w:ascii="宋体" w:hAnsi="宋体" w:eastAsia="宋体" w:cs="宋体"/>
          <w:spacing w:val="20"/>
          <w:szCs w:val="28"/>
          <w:highlight w:val="none"/>
        </w:rPr>
      </w:pPr>
      <w:r>
        <w:rPr>
          <w:rFonts w:hint="eastAsia" w:ascii="宋体" w:hAnsi="宋体" w:eastAsia="宋体" w:cs="宋体"/>
          <w:b/>
          <w:sz w:val="21"/>
          <w:szCs w:val="21"/>
          <w:highlight w:val="none"/>
        </w:rPr>
        <w:t>注：本合同样本仅供参考，具体内容由</w:t>
      </w:r>
      <w:r>
        <w:rPr>
          <w:rFonts w:hint="eastAsia" w:ascii="宋体" w:hAnsi="宋体" w:eastAsia="宋体" w:cs="宋体"/>
          <w:b/>
          <w:sz w:val="21"/>
          <w:szCs w:val="21"/>
          <w:highlight w:val="none"/>
          <w:lang w:eastAsia="zh-CN"/>
        </w:rPr>
        <w:t>采购人</w:t>
      </w:r>
      <w:r>
        <w:rPr>
          <w:rFonts w:hint="eastAsia" w:ascii="宋体" w:hAnsi="宋体" w:eastAsia="宋体" w:cs="宋体"/>
          <w:b/>
          <w:sz w:val="21"/>
          <w:szCs w:val="21"/>
          <w:highlight w:val="none"/>
        </w:rPr>
        <w:t>和</w:t>
      </w:r>
      <w:r>
        <w:rPr>
          <w:rFonts w:hint="eastAsia" w:ascii="宋体" w:hAnsi="宋体" w:eastAsia="宋体" w:cs="宋体"/>
          <w:b/>
          <w:sz w:val="21"/>
          <w:szCs w:val="21"/>
          <w:highlight w:val="none"/>
          <w:lang w:eastAsia="zh-CN"/>
        </w:rPr>
        <w:t>成交供应商</w:t>
      </w:r>
      <w:r>
        <w:rPr>
          <w:rFonts w:hint="eastAsia" w:ascii="宋体" w:hAnsi="宋体" w:eastAsia="宋体" w:cs="宋体"/>
          <w:b/>
          <w:sz w:val="21"/>
          <w:szCs w:val="21"/>
          <w:highlight w:val="none"/>
        </w:rPr>
        <w:t>共同协商确定。</w:t>
      </w:r>
    </w:p>
    <w:p w14:paraId="2AF007E3">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3C3A2137">
      <w:pPr>
        <w:jc w:val="center"/>
        <w:rPr>
          <w:rFonts w:hint="eastAsia" w:ascii="宋体" w:hAnsi="宋体" w:eastAsia="宋体" w:cs="宋体"/>
          <w:color w:val="auto"/>
          <w:kern w:val="0"/>
          <w:sz w:val="24"/>
          <w:highlight w:val="none"/>
        </w:rPr>
      </w:pPr>
    </w:p>
    <w:p w14:paraId="7CD06F35">
      <w:pPr>
        <w:jc w:val="center"/>
        <w:rPr>
          <w:rFonts w:hint="eastAsia" w:ascii="宋体" w:hAnsi="宋体" w:eastAsia="宋体" w:cs="宋体"/>
          <w:color w:val="auto"/>
          <w:kern w:val="0"/>
          <w:sz w:val="24"/>
          <w:highlight w:val="none"/>
        </w:rPr>
      </w:pPr>
    </w:p>
    <w:p w14:paraId="73C660E0">
      <w:pPr>
        <w:rPr>
          <w:rFonts w:hint="eastAsia" w:ascii="宋体" w:hAnsi="宋体" w:eastAsia="宋体" w:cs="宋体"/>
          <w:b/>
          <w:bCs/>
          <w:sz w:val="24"/>
          <w:szCs w:val="24"/>
          <w:highlight w:val="none"/>
        </w:rPr>
      </w:pPr>
      <w:bookmarkStart w:id="271" w:name="_Toc16652"/>
      <w:bookmarkStart w:id="272" w:name="_Toc6504"/>
      <w:r>
        <w:rPr>
          <w:rFonts w:hint="eastAsia" w:ascii="宋体" w:hAnsi="宋体" w:eastAsia="宋体" w:cs="宋体"/>
          <w:b/>
          <w:bCs/>
          <w:sz w:val="24"/>
          <w:szCs w:val="24"/>
          <w:highlight w:val="none"/>
        </w:rPr>
        <w:br w:type="page"/>
      </w:r>
    </w:p>
    <w:p w14:paraId="5595E7AC">
      <w:pPr>
        <w:bidi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第七部分</w:t>
      </w:r>
      <w:bookmarkStart w:id="273" w:name="_Toc86202632"/>
      <w:r>
        <w:rPr>
          <w:rFonts w:hint="eastAsia" w:ascii="宋体" w:hAnsi="宋体" w:eastAsia="宋体" w:cs="宋体"/>
          <w:b/>
          <w:bCs/>
          <w:sz w:val="24"/>
          <w:szCs w:val="24"/>
          <w:highlight w:val="none"/>
        </w:rPr>
        <w:t xml:space="preserve">  </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格式</w:t>
      </w:r>
      <w:bookmarkEnd w:id="132"/>
      <w:bookmarkEnd w:id="133"/>
      <w:bookmarkEnd w:id="134"/>
      <w:bookmarkEnd w:id="135"/>
      <w:bookmarkEnd w:id="136"/>
      <w:bookmarkEnd w:id="137"/>
      <w:bookmarkEnd w:id="138"/>
      <w:bookmarkEnd w:id="271"/>
      <w:bookmarkEnd w:id="272"/>
      <w:bookmarkEnd w:id="273"/>
    </w:p>
    <w:p w14:paraId="671E2F0B">
      <w:pPr>
        <w:bidi w:val="0"/>
        <w:spacing w:line="360" w:lineRule="auto"/>
        <w:rPr>
          <w:rFonts w:hint="eastAsia" w:ascii="宋体" w:hAnsi="宋体" w:eastAsia="宋体" w:cs="宋体"/>
          <w:sz w:val="24"/>
          <w:szCs w:val="24"/>
          <w:highlight w:val="none"/>
        </w:rPr>
      </w:pPr>
    </w:p>
    <w:p w14:paraId="76105018">
      <w:pPr>
        <w:bidi w:val="0"/>
        <w:spacing w:line="360" w:lineRule="auto"/>
        <w:rPr>
          <w:rFonts w:hint="eastAsia" w:ascii="宋体" w:hAnsi="宋体" w:eastAsia="宋体" w:cs="宋体"/>
          <w:b/>
          <w:bCs/>
          <w:sz w:val="24"/>
          <w:szCs w:val="24"/>
          <w:highlight w:val="none"/>
          <w:lang w:eastAsia="zh-CN"/>
        </w:rPr>
      </w:pPr>
      <w:bookmarkStart w:id="274" w:name="_Toc326251062"/>
      <w:bookmarkStart w:id="275" w:name="_Toc86202633"/>
      <w:bookmarkStart w:id="276" w:name="_Toc13358"/>
      <w:bookmarkStart w:id="277" w:name="_Toc22511"/>
      <w:bookmarkStart w:id="278" w:name="_Toc175644062"/>
      <w:bookmarkStart w:id="279" w:name="_Toc22412"/>
      <w:bookmarkStart w:id="280" w:name="_Toc14442"/>
      <w:bookmarkStart w:id="281" w:name="_Toc326248015"/>
      <w:r>
        <w:rPr>
          <w:rFonts w:hint="eastAsia" w:ascii="宋体" w:hAnsi="宋体" w:eastAsia="宋体" w:cs="宋体"/>
          <w:b/>
          <w:bCs/>
          <w:sz w:val="24"/>
          <w:szCs w:val="24"/>
          <w:highlight w:val="none"/>
        </w:rPr>
        <w:t>一、</w:t>
      </w:r>
      <w:bookmarkEnd w:id="274"/>
      <w:bookmarkEnd w:id="275"/>
      <w:bookmarkEnd w:id="276"/>
      <w:bookmarkEnd w:id="277"/>
      <w:bookmarkEnd w:id="278"/>
      <w:r>
        <w:rPr>
          <w:rFonts w:hint="eastAsia" w:ascii="宋体" w:hAnsi="宋体" w:eastAsia="宋体" w:cs="宋体"/>
          <w:b/>
          <w:bCs/>
          <w:sz w:val="24"/>
          <w:szCs w:val="24"/>
          <w:highlight w:val="none"/>
          <w:lang w:eastAsia="zh-CN"/>
        </w:rPr>
        <w:t>供应商提交响应文件须知</w:t>
      </w:r>
    </w:p>
    <w:p w14:paraId="18D97CF3">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供应商应严格按照本采购文件第二部分供应商须知前附表要求提交的文件顺序编排商务技术响应文件部分，编排中涉及本部分内容的，应按照第三部分要求及本部分提供的内容和格式（所有格式的表格可扩展，但不得更改表格格式）填写提交，混乱的编排导致响应文件被误读或查找不到，后果由供应商自行承担；</w:t>
      </w:r>
    </w:p>
    <w:p w14:paraId="3850B351">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2.所附表格中要求回答的全部问题和信息都必须正面回答</w:t>
      </w:r>
      <w:r>
        <w:rPr>
          <w:rFonts w:hint="eastAsia" w:ascii="宋体" w:hAnsi="宋体" w:eastAsia="宋体" w:cs="宋体"/>
          <w:sz w:val="24"/>
          <w:szCs w:val="24"/>
          <w:highlight w:val="none"/>
          <w:lang w:eastAsia="zh-CN"/>
        </w:rPr>
        <w:t>；</w:t>
      </w:r>
    </w:p>
    <w:p w14:paraId="6CA7533B">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3.资格声明的签字人应保证全部声明和问题的回答及所附材料是真实的和准确的</w:t>
      </w:r>
      <w:r>
        <w:rPr>
          <w:rFonts w:hint="eastAsia" w:ascii="宋体" w:hAnsi="宋体" w:eastAsia="宋体" w:cs="宋体"/>
          <w:sz w:val="24"/>
          <w:szCs w:val="24"/>
          <w:highlight w:val="none"/>
          <w:lang w:eastAsia="zh-CN"/>
        </w:rPr>
        <w:t>；</w:t>
      </w:r>
    </w:p>
    <w:p w14:paraId="5A2686B9">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将应用</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提交的技术说明文件等资料并根据自己的判断，决定</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是否具备履行合同的合格性及能力</w:t>
      </w:r>
      <w:r>
        <w:rPr>
          <w:rFonts w:hint="eastAsia" w:ascii="宋体" w:hAnsi="宋体" w:eastAsia="宋体" w:cs="宋体"/>
          <w:sz w:val="24"/>
          <w:szCs w:val="24"/>
          <w:highlight w:val="none"/>
          <w:lang w:eastAsia="zh-CN"/>
        </w:rPr>
        <w:t>；</w:t>
      </w:r>
    </w:p>
    <w:p w14:paraId="0C0638C2">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w:t>
      </w:r>
      <w:r>
        <w:rPr>
          <w:rFonts w:hint="eastAsia" w:ascii="宋体" w:hAnsi="宋体" w:eastAsia="宋体" w:cs="宋体"/>
          <w:sz w:val="24"/>
          <w:szCs w:val="24"/>
          <w:highlight w:val="none"/>
          <w:lang w:eastAsia="zh-CN"/>
        </w:rPr>
        <w:t>书面</w:t>
      </w:r>
      <w:r>
        <w:rPr>
          <w:rFonts w:hint="eastAsia" w:ascii="宋体" w:hAnsi="宋体" w:eastAsia="宋体" w:cs="宋体"/>
          <w:sz w:val="24"/>
          <w:szCs w:val="24"/>
          <w:highlight w:val="none"/>
        </w:rPr>
        <w:t>材料将被妥善保存，但不退还</w:t>
      </w:r>
      <w:r>
        <w:rPr>
          <w:rFonts w:hint="eastAsia" w:ascii="宋体" w:hAnsi="宋体" w:eastAsia="宋体" w:cs="宋体"/>
          <w:sz w:val="24"/>
          <w:szCs w:val="24"/>
          <w:highlight w:val="none"/>
          <w:lang w:eastAsia="zh-CN"/>
        </w:rPr>
        <w:t>；</w:t>
      </w:r>
    </w:p>
    <w:p w14:paraId="5AF19341">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6.全部文件应按</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须知中规定的份数提交。</w:t>
      </w:r>
    </w:p>
    <w:p w14:paraId="34F36C8D">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w:t>
      </w:r>
      <w:bookmarkEnd w:id="279"/>
      <w:bookmarkEnd w:id="280"/>
      <w:bookmarkEnd w:id="281"/>
      <w:r>
        <w:rPr>
          <w:rFonts w:hint="eastAsia" w:ascii="宋体" w:hAnsi="宋体" w:eastAsia="宋体" w:cs="宋体"/>
          <w:b/>
          <w:bCs/>
          <w:sz w:val="24"/>
          <w:szCs w:val="24"/>
          <w:highlight w:val="none"/>
          <w:lang w:eastAsia="zh-CN"/>
        </w:rPr>
        <w:t>响应文件中部分格式内容</w:t>
      </w:r>
    </w:p>
    <w:p w14:paraId="3F0A81D2">
      <w:pPr>
        <w:bidi w:val="0"/>
        <w:spacing w:line="360" w:lineRule="auto"/>
        <w:rPr>
          <w:rFonts w:hint="eastAsia" w:ascii="宋体" w:hAnsi="宋体" w:eastAsia="宋体" w:cs="宋体"/>
          <w:sz w:val="24"/>
          <w:szCs w:val="24"/>
          <w:highlight w:val="none"/>
        </w:rPr>
      </w:pPr>
    </w:p>
    <w:p w14:paraId="182544E1">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98E08B3">
      <w:pPr>
        <w:pStyle w:val="21"/>
        <w:rPr>
          <w:rFonts w:hint="eastAsia" w:ascii="宋体" w:hAnsi="宋体" w:eastAsia="宋体" w:cs="宋体"/>
          <w:color w:val="auto"/>
          <w:highlight w:val="none"/>
        </w:rPr>
      </w:pPr>
    </w:p>
    <w:p w14:paraId="2C95C4DB">
      <w:pPr>
        <w:tabs>
          <w:tab w:val="left" w:pos="1680"/>
        </w:tabs>
        <w:snapToGrid w:val="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（格式）</w:t>
      </w:r>
    </w:p>
    <w:p w14:paraId="52CD5711">
      <w:pPr>
        <w:widowControl/>
        <w:snapToGrid w:val="0"/>
        <w:spacing w:line="440" w:lineRule="exact"/>
        <w:jc w:val="right"/>
        <w:rPr>
          <w:rFonts w:hint="eastAsia" w:ascii="宋体" w:hAnsi="宋体" w:eastAsia="宋体" w:cs="宋体"/>
          <w:color w:val="auto"/>
          <w:kern w:val="0"/>
          <w:sz w:val="28"/>
          <w:szCs w:val="28"/>
          <w:highlight w:val="none"/>
        </w:rPr>
      </w:pPr>
      <w:r>
        <w:rPr>
          <w:rFonts w:hint="eastAsia" w:ascii="宋体" w:hAnsi="宋体" w:eastAsia="宋体" w:cs="宋体"/>
          <w:b/>
          <w:color w:val="auto"/>
          <w:kern w:val="0"/>
          <w:sz w:val="28"/>
          <w:szCs w:val="28"/>
          <w:highlight w:val="none"/>
        </w:rPr>
        <w:t>（正/副）本</w:t>
      </w:r>
    </w:p>
    <w:p w14:paraId="6851BD4C">
      <w:pPr>
        <w:widowControl/>
        <w:snapToGrid w:val="0"/>
        <w:spacing w:line="440" w:lineRule="exac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6457D11A">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color w:val="auto"/>
          <w:spacing w:val="60"/>
          <w:kern w:val="0"/>
          <w:sz w:val="28"/>
          <w:szCs w:val="28"/>
          <w:highlight w:val="none"/>
        </w:rPr>
      </w:pPr>
    </w:p>
    <w:p w14:paraId="7ECDDEB0">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b/>
          <w:color w:val="auto"/>
          <w:spacing w:val="60"/>
          <w:kern w:val="0"/>
          <w:sz w:val="28"/>
          <w:szCs w:val="28"/>
          <w:highlight w:val="none"/>
          <w:u w:val="single"/>
        </w:rPr>
        <w:t xml:space="preserve">  </w:t>
      </w:r>
      <w:r>
        <w:rPr>
          <w:rFonts w:hint="eastAsia" w:ascii="宋体" w:hAnsi="宋体" w:eastAsia="宋体" w:cs="宋体"/>
          <w:b/>
          <w:color w:val="auto"/>
          <w:spacing w:val="60"/>
          <w:kern w:val="0"/>
          <w:sz w:val="28"/>
          <w:szCs w:val="28"/>
          <w:highlight w:val="none"/>
          <w:u w:val="single"/>
          <w:lang w:eastAsia="zh-CN"/>
        </w:rPr>
        <w:t>（</w:t>
      </w:r>
      <w:r>
        <w:rPr>
          <w:rFonts w:hint="eastAsia" w:ascii="宋体" w:hAnsi="宋体" w:eastAsia="宋体" w:cs="宋体"/>
          <w:b/>
          <w:color w:val="auto"/>
          <w:spacing w:val="60"/>
          <w:kern w:val="0"/>
          <w:sz w:val="28"/>
          <w:szCs w:val="28"/>
          <w:highlight w:val="none"/>
          <w:u w:val="single"/>
        </w:rPr>
        <w:t>项</w:t>
      </w:r>
      <w:r>
        <w:rPr>
          <w:rFonts w:hint="eastAsia" w:ascii="宋体" w:hAnsi="宋体" w:eastAsia="宋体" w:cs="宋体"/>
          <w:b/>
          <w:color w:val="auto"/>
          <w:spacing w:val="60"/>
          <w:kern w:val="0"/>
          <w:sz w:val="28"/>
          <w:szCs w:val="28"/>
          <w:highlight w:val="none"/>
          <w:u w:val="single"/>
          <w:lang w:val="en-US" w:eastAsia="zh-CN"/>
        </w:rPr>
        <w:t xml:space="preserve">   </w:t>
      </w:r>
      <w:r>
        <w:rPr>
          <w:rFonts w:hint="eastAsia" w:ascii="宋体" w:hAnsi="宋体" w:eastAsia="宋体" w:cs="宋体"/>
          <w:b/>
          <w:color w:val="auto"/>
          <w:spacing w:val="60"/>
          <w:kern w:val="0"/>
          <w:sz w:val="28"/>
          <w:szCs w:val="28"/>
          <w:highlight w:val="none"/>
          <w:u w:val="single"/>
        </w:rPr>
        <w:t>目</w:t>
      </w:r>
      <w:r>
        <w:rPr>
          <w:rFonts w:hint="eastAsia" w:ascii="宋体" w:hAnsi="宋体" w:eastAsia="宋体" w:cs="宋体"/>
          <w:b/>
          <w:color w:val="auto"/>
          <w:spacing w:val="60"/>
          <w:kern w:val="0"/>
          <w:sz w:val="28"/>
          <w:szCs w:val="28"/>
          <w:highlight w:val="none"/>
          <w:u w:val="single"/>
          <w:lang w:val="en-US" w:eastAsia="zh-CN"/>
        </w:rPr>
        <w:t xml:space="preserve">   </w:t>
      </w:r>
      <w:r>
        <w:rPr>
          <w:rFonts w:hint="eastAsia" w:ascii="宋体" w:hAnsi="宋体" w:eastAsia="宋体" w:cs="宋体"/>
          <w:b/>
          <w:color w:val="auto"/>
          <w:spacing w:val="60"/>
          <w:kern w:val="0"/>
          <w:sz w:val="28"/>
          <w:szCs w:val="28"/>
          <w:highlight w:val="none"/>
          <w:u w:val="single"/>
          <w:lang w:eastAsia="zh-CN"/>
        </w:rPr>
        <w:t>名</w:t>
      </w:r>
      <w:r>
        <w:rPr>
          <w:rFonts w:hint="eastAsia" w:ascii="宋体" w:hAnsi="宋体" w:eastAsia="宋体" w:cs="宋体"/>
          <w:b/>
          <w:color w:val="auto"/>
          <w:spacing w:val="60"/>
          <w:kern w:val="0"/>
          <w:sz w:val="28"/>
          <w:szCs w:val="28"/>
          <w:highlight w:val="none"/>
          <w:u w:val="single"/>
          <w:lang w:val="en-US" w:eastAsia="zh-CN"/>
        </w:rPr>
        <w:t xml:space="preserve">   </w:t>
      </w:r>
      <w:r>
        <w:rPr>
          <w:rFonts w:hint="eastAsia" w:ascii="宋体" w:hAnsi="宋体" w:eastAsia="宋体" w:cs="宋体"/>
          <w:b/>
          <w:color w:val="auto"/>
          <w:spacing w:val="60"/>
          <w:kern w:val="0"/>
          <w:sz w:val="28"/>
          <w:szCs w:val="28"/>
          <w:highlight w:val="none"/>
          <w:u w:val="single"/>
          <w:lang w:eastAsia="zh-CN"/>
        </w:rPr>
        <w:t>称）</w:t>
      </w:r>
      <w:r>
        <w:rPr>
          <w:rFonts w:hint="eastAsia" w:ascii="宋体" w:hAnsi="宋体" w:eastAsia="宋体" w:cs="宋体"/>
          <w:b/>
          <w:color w:val="auto"/>
          <w:spacing w:val="60"/>
          <w:kern w:val="0"/>
          <w:sz w:val="28"/>
          <w:szCs w:val="28"/>
          <w:highlight w:val="none"/>
          <w:u w:val="single"/>
        </w:rPr>
        <w:t xml:space="preserve">  </w:t>
      </w:r>
    </w:p>
    <w:p w14:paraId="19C1F0C7">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66CCC669">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3B6CC47E">
      <w:pPr>
        <w:keepNext w:val="0"/>
        <w:keepLines w:val="0"/>
        <w:pageBreakBefore w:val="0"/>
        <w:widowControl/>
        <w:kinsoku/>
        <w:wordWrap/>
        <w:overflowPunct/>
        <w:topLinePunct w:val="0"/>
        <w:autoSpaceDE/>
        <w:autoSpaceDN/>
        <w:bidi w:val="0"/>
        <w:adjustRightInd/>
        <w:snapToGrid w:val="0"/>
        <w:spacing w:line="440" w:lineRule="exact"/>
        <w:ind w:firstLine="2720" w:firstLineChars="850"/>
        <w:jc w:val="both"/>
        <w:textAlignment w:val="auto"/>
        <w:rPr>
          <w:rFonts w:hint="eastAsia" w:ascii="宋体" w:hAnsi="宋体" w:eastAsia="宋体" w:cs="宋体"/>
          <w:color w:val="auto"/>
          <w:kern w:val="0"/>
          <w:sz w:val="28"/>
          <w:szCs w:val="28"/>
          <w:highlight w:val="none"/>
          <w:u w:val="single"/>
        </w:rPr>
      </w:pPr>
      <w:r>
        <w:rPr>
          <w:rFonts w:hint="eastAsia" w:ascii="宋体" w:hAnsi="宋体" w:eastAsia="宋体" w:cs="宋体"/>
          <w:color w:val="auto"/>
          <w:spacing w:val="20"/>
          <w:kern w:val="0"/>
          <w:sz w:val="28"/>
          <w:szCs w:val="28"/>
          <w:highlight w:val="none"/>
          <w:lang w:eastAsia="zh-CN"/>
        </w:rPr>
        <w:t>项目编号：</w:t>
      </w:r>
      <w:r>
        <w:rPr>
          <w:rFonts w:hint="eastAsia" w:ascii="宋体" w:hAnsi="宋体" w:eastAsia="宋体" w:cs="宋体"/>
          <w:color w:val="auto"/>
          <w:kern w:val="0"/>
          <w:sz w:val="28"/>
          <w:szCs w:val="28"/>
          <w:highlight w:val="none"/>
          <w:u w:val="single"/>
        </w:rPr>
        <w:t xml:space="preserve">                </w:t>
      </w:r>
    </w:p>
    <w:p w14:paraId="0D3F63C1">
      <w:pPr>
        <w:keepNext w:val="0"/>
        <w:keepLines w:val="0"/>
        <w:pageBreakBefore w:val="0"/>
        <w:widowControl/>
        <w:kinsoku/>
        <w:wordWrap/>
        <w:overflowPunct/>
        <w:topLinePunct w:val="0"/>
        <w:autoSpaceDE/>
        <w:autoSpaceDN/>
        <w:bidi w:val="0"/>
        <w:adjustRightInd/>
        <w:snapToGrid w:val="0"/>
        <w:spacing w:line="440" w:lineRule="exact"/>
        <w:ind w:firstLine="2720" w:firstLineChars="850"/>
        <w:jc w:val="both"/>
        <w:textAlignment w:val="auto"/>
        <w:rPr>
          <w:rFonts w:hint="eastAsia" w:ascii="宋体" w:hAnsi="宋体" w:eastAsia="宋体" w:cs="宋体"/>
          <w:color w:val="auto"/>
          <w:spacing w:val="20"/>
          <w:kern w:val="0"/>
          <w:sz w:val="28"/>
          <w:szCs w:val="28"/>
          <w:highlight w:val="none"/>
          <w:lang w:eastAsia="zh-CN"/>
        </w:rPr>
      </w:pPr>
    </w:p>
    <w:p w14:paraId="3C04F11A">
      <w:pPr>
        <w:keepNext w:val="0"/>
        <w:keepLines w:val="0"/>
        <w:pageBreakBefore w:val="0"/>
        <w:widowControl/>
        <w:kinsoku/>
        <w:wordWrap/>
        <w:overflowPunct/>
        <w:topLinePunct w:val="0"/>
        <w:autoSpaceDE/>
        <w:autoSpaceDN/>
        <w:bidi w:val="0"/>
        <w:adjustRightInd/>
        <w:snapToGrid w:val="0"/>
        <w:spacing w:line="440" w:lineRule="exact"/>
        <w:ind w:firstLine="2380" w:firstLineChars="850"/>
        <w:jc w:val="both"/>
        <w:textAlignment w:val="auto"/>
        <w:rPr>
          <w:rFonts w:hint="eastAsia" w:ascii="宋体" w:hAnsi="宋体" w:eastAsia="宋体" w:cs="宋体"/>
          <w:color w:val="auto"/>
          <w:kern w:val="0"/>
          <w:sz w:val="28"/>
          <w:szCs w:val="28"/>
          <w:highlight w:val="none"/>
          <w:u w:val="single"/>
        </w:rPr>
      </w:pPr>
    </w:p>
    <w:p w14:paraId="72ACC5CA">
      <w:pPr>
        <w:pStyle w:val="42"/>
        <w:rPr>
          <w:rFonts w:hint="eastAsia" w:ascii="宋体" w:hAnsi="宋体" w:eastAsia="宋体" w:cs="宋体"/>
          <w:highlight w:val="none"/>
          <w:lang w:val="en-US" w:eastAsia="zh-CN"/>
        </w:rPr>
      </w:pPr>
    </w:p>
    <w:p w14:paraId="774C2E4A">
      <w:pPr>
        <w:widowControl/>
        <w:snapToGrid w:val="0"/>
        <w:spacing w:line="440" w:lineRule="exact"/>
        <w:jc w:val="center"/>
        <w:rPr>
          <w:rFonts w:hint="eastAsia" w:ascii="宋体" w:hAnsi="宋体" w:eastAsia="宋体" w:cs="宋体"/>
          <w:color w:val="auto"/>
          <w:kern w:val="0"/>
          <w:sz w:val="28"/>
          <w:szCs w:val="28"/>
          <w:highlight w:val="none"/>
          <w:lang w:val="en-US"/>
        </w:rPr>
      </w:pPr>
      <w:r>
        <w:rPr>
          <w:rFonts w:hint="eastAsia" w:ascii="宋体" w:hAnsi="宋体" w:eastAsia="宋体" w:cs="宋体"/>
          <w:color w:val="auto"/>
          <w:spacing w:val="20"/>
          <w:kern w:val="0"/>
          <w:sz w:val="28"/>
          <w:szCs w:val="28"/>
          <w:highlight w:val="none"/>
          <w:lang w:val="en-US" w:eastAsia="zh-CN"/>
        </w:rPr>
        <w:t xml:space="preserve">   </w:t>
      </w:r>
    </w:p>
    <w:p w14:paraId="42663DA6">
      <w:pPr>
        <w:widowControl/>
        <w:snapToGrid w:val="0"/>
        <w:spacing w:line="1200" w:lineRule="exact"/>
        <w:jc w:val="center"/>
        <w:rPr>
          <w:rFonts w:hint="eastAsia" w:ascii="宋体" w:hAnsi="宋体" w:eastAsia="宋体" w:cs="宋体"/>
          <w:color w:val="auto"/>
          <w:kern w:val="0"/>
          <w:sz w:val="84"/>
          <w:szCs w:val="84"/>
          <w:highlight w:val="none"/>
        </w:rPr>
      </w:pPr>
      <w:r>
        <w:rPr>
          <w:rFonts w:hint="eastAsia" w:ascii="宋体" w:hAnsi="宋体" w:eastAsia="宋体" w:cs="宋体"/>
          <w:b/>
          <w:color w:val="auto"/>
          <w:kern w:val="0"/>
          <w:sz w:val="84"/>
          <w:szCs w:val="84"/>
          <w:highlight w:val="none"/>
          <w:lang w:eastAsia="zh-CN"/>
        </w:rPr>
        <w:t>响</w:t>
      </w:r>
      <w:r>
        <w:rPr>
          <w:rFonts w:hint="eastAsia" w:ascii="宋体" w:hAnsi="宋体" w:eastAsia="宋体" w:cs="宋体"/>
          <w:b/>
          <w:color w:val="auto"/>
          <w:kern w:val="0"/>
          <w:sz w:val="84"/>
          <w:szCs w:val="84"/>
          <w:highlight w:val="none"/>
          <w:lang w:val="en-US" w:eastAsia="zh-CN"/>
        </w:rPr>
        <w:t xml:space="preserve"> </w:t>
      </w:r>
      <w:r>
        <w:rPr>
          <w:rFonts w:hint="eastAsia" w:ascii="宋体" w:hAnsi="宋体" w:eastAsia="宋体" w:cs="宋体"/>
          <w:b/>
          <w:color w:val="auto"/>
          <w:kern w:val="0"/>
          <w:sz w:val="84"/>
          <w:szCs w:val="84"/>
          <w:highlight w:val="none"/>
          <w:lang w:eastAsia="zh-CN"/>
        </w:rPr>
        <w:t>应</w:t>
      </w:r>
      <w:r>
        <w:rPr>
          <w:rFonts w:hint="eastAsia" w:ascii="宋体" w:hAnsi="宋体" w:eastAsia="宋体" w:cs="宋体"/>
          <w:b/>
          <w:color w:val="auto"/>
          <w:kern w:val="0"/>
          <w:sz w:val="84"/>
          <w:szCs w:val="84"/>
          <w:highlight w:val="none"/>
        </w:rPr>
        <w:t xml:space="preserve"> 文 件</w:t>
      </w:r>
    </w:p>
    <w:p w14:paraId="4C1C6F3B">
      <w:pPr>
        <w:widowControl/>
        <w:snapToGrid w:val="0"/>
        <w:spacing w:line="44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1F86FB3E">
      <w:pPr>
        <w:widowControl/>
        <w:snapToGrid w:val="0"/>
        <w:spacing w:line="440" w:lineRule="exact"/>
        <w:jc w:val="left"/>
        <w:rPr>
          <w:rFonts w:hint="eastAsia" w:ascii="宋体" w:hAnsi="宋体" w:eastAsia="宋体" w:cs="宋体"/>
          <w:color w:val="auto"/>
          <w:kern w:val="0"/>
          <w:sz w:val="28"/>
          <w:szCs w:val="28"/>
          <w:highlight w:val="none"/>
        </w:rPr>
      </w:pPr>
    </w:p>
    <w:p w14:paraId="7F3E2C8A">
      <w:pPr>
        <w:widowControl/>
        <w:snapToGrid w:val="0"/>
        <w:spacing w:line="440" w:lineRule="exact"/>
        <w:jc w:val="left"/>
        <w:rPr>
          <w:rFonts w:hint="eastAsia" w:ascii="宋体" w:hAnsi="宋体" w:eastAsia="宋体" w:cs="宋体"/>
          <w:color w:val="auto"/>
          <w:kern w:val="0"/>
          <w:sz w:val="28"/>
          <w:szCs w:val="28"/>
          <w:highlight w:val="none"/>
        </w:rPr>
      </w:pPr>
    </w:p>
    <w:p w14:paraId="1F2E937A">
      <w:pPr>
        <w:widowControl/>
        <w:snapToGrid w:val="0"/>
        <w:spacing w:line="440" w:lineRule="exact"/>
        <w:jc w:val="left"/>
        <w:rPr>
          <w:rFonts w:hint="eastAsia" w:ascii="宋体" w:hAnsi="宋体" w:eastAsia="宋体" w:cs="宋体"/>
          <w:color w:val="auto"/>
          <w:kern w:val="0"/>
          <w:sz w:val="28"/>
          <w:szCs w:val="28"/>
          <w:highlight w:val="none"/>
        </w:rPr>
      </w:pPr>
    </w:p>
    <w:p w14:paraId="65059915">
      <w:pPr>
        <w:widowControl/>
        <w:snapToGrid w:val="0"/>
        <w:spacing w:line="440" w:lineRule="exact"/>
        <w:jc w:val="left"/>
        <w:rPr>
          <w:rFonts w:hint="eastAsia" w:ascii="宋体" w:hAnsi="宋体" w:eastAsia="宋体" w:cs="宋体"/>
          <w:color w:val="auto"/>
          <w:kern w:val="0"/>
          <w:sz w:val="28"/>
          <w:szCs w:val="28"/>
          <w:highlight w:val="none"/>
        </w:rPr>
      </w:pPr>
    </w:p>
    <w:p w14:paraId="63BDCF67">
      <w:pPr>
        <w:pStyle w:val="21"/>
        <w:rPr>
          <w:rFonts w:hint="eastAsia" w:ascii="宋体" w:hAnsi="宋体" w:eastAsia="宋体" w:cs="宋体"/>
          <w:color w:val="auto"/>
          <w:highlight w:val="none"/>
        </w:rPr>
      </w:pPr>
    </w:p>
    <w:p w14:paraId="70A8A230">
      <w:pPr>
        <w:widowControl/>
        <w:snapToGrid w:val="0"/>
        <w:spacing w:line="440" w:lineRule="exact"/>
        <w:jc w:val="left"/>
        <w:rPr>
          <w:rFonts w:hint="eastAsia" w:ascii="宋体" w:hAnsi="宋体" w:eastAsia="宋体" w:cs="宋体"/>
          <w:color w:val="auto"/>
          <w:kern w:val="0"/>
          <w:sz w:val="28"/>
          <w:szCs w:val="28"/>
          <w:highlight w:val="none"/>
        </w:rPr>
      </w:pPr>
    </w:p>
    <w:p w14:paraId="359780CB">
      <w:pPr>
        <w:widowControl/>
        <w:snapToGrid w:val="0"/>
        <w:spacing w:line="440" w:lineRule="exact"/>
        <w:jc w:val="left"/>
        <w:rPr>
          <w:rFonts w:hint="eastAsia" w:ascii="宋体" w:hAnsi="宋体" w:eastAsia="宋体" w:cs="宋体"/>
          <w:color w:val="auto"/>
          <w:kern w:val="0"/>
          <w:sz w:val="28"/>
          <w:szCs w:val="28"/>
          <w:highlight w:val="none"/>
        </w:rPr>
      </w:pPr>
    </w:p>
    <w:p w14:paraId="24D990C4">
      <w:pPr>
        <w:widowControl/>
        <w:snapToGrid w:val="0"/>
        <w:spacing w:line="440" w:lineRule="exact"/>
        <w:jc w:val="left"/>
        <w:rPr>
          <w:rFonts w:hint="eastAsia" w:ascii="宋体" w:hAnsi="宋体" w:eastAsia="宋体" w:cs="宋体"/>
          <w:color w:val="auto"/>
          <w:kern w:val="0"/>
          <w:sz w:val="28"/>
          <w:szCs w:val="28"/>
          <w:highlight w:val="none"/>
        </w:rPr>
      </w:pPr>
    </w:p>
    <w:p w14:paraId="23EE8003">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spacing w:val="-20"/>
          <w:kern w:val="0"/>
          <w:sz w:val="32"/>
          <w:szCs w:val="32"/>
          <w:highlight w:val="none"/>
          <w:u w:val="single"/>
        </w:rPr>
      </w:pPr>
      <w:r>
        <w:rPr>
          <w:rFonts w:hint="eastAsia" w:ascii="宋体" w:hAnsi="宋体" w:eastAsia="宋体" w:cs="宋体"/>
          <w:color w:val="auto"/>
          <w:kern w:val="0"/>
          <w:sz w:val="32"/>
          <w:szCs w:val="32"/>
          <w:highlight w:val="none"/>
          <w:lang w:eastAsia="zh-CN"/>
        </w:rPr>
        <w:t>供应商</w:t>
      </w:r>
      <w:r>
        <w:rPr>
          <w:rFonts w:hint="eastAsia" w:ascii="宋体" w:hAnsi="宋体" w:eastAsia="宋体" w:cs="宋体"/>
          <w:color w:val="auto"/>
          <w:kern w:val="0"/>
          <w:sz w:val="32"/>
          <w:szCs w:val="32"/>
          <w:highlight w:val="none"/>
        </w:rPr>
        <w:t>全称：</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spacing w:val="-20"/>
          <w:kern w:val="0"/>
          <w:sz w:val="32"/>
          <w:szCs w:val="32"/>
          <w:highlight w:val="none"/>
          <w:u w:val="single"/>
        </w:rPr>
        <w:t>（加盖公章）</w:t>
      </w:r>
    </w:p>
    <w:p w14:paraId="7D0D6592">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spacing w:val="-20"/>
          <w:kern w:val="0"/>
          <w:sz w:val="32"/>
          <w:szCs w:val="32"/>
          <w:highlight w:val="none"/>
          <w:u w:val="single"/>
        </w:rPr>
      </w:pPr>
    </w:p>
    <w:p w14:paraId="322D3DF9">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spacing w:val="-20"/>
          <w:kern w:val="0"/>
          <w:sz w:val="32"/>
          <w:szCs w:val="32"/>
          <w:highlight w:val="none"/>
        </w:rPr>
      </w:pPr>
      <w:r>
        <w:rPr>
          <w:rFonts w:hint="eastAsia" w:ascii="宋体" w:hAnsi="宋体" w:eastAsia="宋体" w:cs="宋体"/>
          <w:color w:val="auto"/>
          <w:spacing w:val="-20"/>
          <w:kern w:val="0"/>
          <w:sz w:val="32"/>
          <w:szCs w:val="32"/>
          <w:highlight w:val="none"/>
        </w:rPr>
        <w:t>法定代表人或</w:t>
      </w:r>
      <w:r>
        <w:rPr>
          <w:rFonts w:hint="eastAsia" w:ascii="宋体" w:hAnsi="宋体" w:eastAsia="宋体" w:cs="宋体"/>
          <w:color w:val="auto"/>
          <w:spacing w:val="-20"/>
          <w:kern w:val="0"/>
          <w:sz w:val="32"/>
          <w:szCs w:val="32"/>
          <w:highlight w:val="none"/>
          <w:lang w:eastAsia="zh-CN"/>
        </w:rPr>
        <w:t>委托代理</w:t>
      </w:r>
      <w:r>
        <w:rPr>
          <w:rFonts w:hint="eastAsia" w:ascii="宋体" w:hAnsi="宋体" w:eastAsia="宋体" w:cs="宋体"/>
          <w:color w:val="auto"/>
          <w:spacing w:val="-20"/>
          <w:kern w:val="0"/>
          <w:sz w:val="32"/>
          <w:szCs w:val="32"/>
          <w:highlight w:val="none"/>
        </w:rPr>
        <w:t>人：</w:t>
      </w:r>
      <w:r>
        <w:rPr>
          <w:rFonts w:hint="eastAsia" w:ascii="宋体" w:hAnsi="宋体" w:eastAsia="宋体" w:cs="宋体"/>
          <w:color w:val="auto"/>
          <w:spacing w:val="-20"/>
          <w:kern w:val="0"/>
          <w:sz w:val="32"/>
          <w:szCs w:val="32"/>
          <w:highlight w:val="none"/>
          <w:u w:val="single"/>
        </w:rPr>
        <w:t xml:space="preserve">      </w:t>
      </w:r>
      <w:r>
        <w:rPr>
          <w:rFonts w:hint="eastAsia" w:ascii="宋体" w:hAnsi="宋体" w:eastAsia="宋体" w:cs="宋体"/>
          <w:color w:val="auto"/>
          <w:spacing w:val="-20"/>
          <w:kern w:val="0"/>
          <w:sz w:val="32"/>
          <w:szCs w:val="32"/>
          <w:highlight w:val="none"/>
          <w:u w:val="single"/>
          <w:lang w:val="en-US" w:eastAsia="zh-CN"/>
        </w:rPr>
        <w:t xml:space="preserve">   </w:t>
      </w:r>
      <w:r>
        <w:rPr>
          <w:rFonts w:hint="eastAsia" w:ascii="宋体" w:hAnsi="宋体" w:eastAsia="宋体" w:cs="宋体"/>
          <w:color w:val="auto"/>
          <w:spacing w:val="-20"/>
          <w:kern w:val="0"/>
          <w:sz w:val="32"/>
          <w:szCs w:val="32"/>
          <w:highlight w:val="none"/>
          <w:u w:val="single"/>
        </w:rPr>
        <w:t xml:space="preserve">  </w:t>
      </w:r>
      <w:r>
        <w:rPr>
          <w:rFonts w:hint="eastAsia" w:ascii="宋体" w:hAnsi="宋体" w:eastAsia="宋体" w:cs="宋体"/>
          <w:color w:val="auto"/>
          <w:spacing w:val="-20"/>
          <w:kern w:val="0"/>
          <w:sz w:val="32"/>
          <w:szCs w:val="32"/>
          <w:highlight w:val="none"/>
          <w:u w:val="single"/>
          <w:lang w:val="en-US" w:eastAsia="zh-CN"/>
        </w:rPr>
        <w:t xml:space="preserve">      </w:t>
      </w:r>
      <w:r>
        <w:rPr>
          <w:rFonts w:hint="eastAsia" w:ascii="宋体" w:hAnsi="宋体" w:eastAsia="宋体" w:cs="宋体"/>
          <w:color w:val="auto"/>
          <w:spacing w:val="-20"/>
          <w:kern w:val="0"/>
          <w:sz w:val="32"/>
          <w:szCs w:val="32"/>
          <w:highlight w:val="none"/>
          <w:u w:val="single"/>
        </w:rPr>
        <w:t>（签字或盖章）</w:t>
      </w:r>
    </w:p>
    <w:p w14:paraId="76438ED3">
      <w:pPr>
        <w:widowControl/>
        <w:snapToGrid w:val="0"/>
        <w:spacing w:line="400" w:lineRule="exact"/>
        <w:jc w:val="center"/>
        <w:rPr>
          <w:rFonts w:hint="eastAsia" w:ascii="宋体" w:hAnsi="宋体" w:eastAsia="宋体" w:cs="宋体"/>
          <w:color w:val="auto"/>
          <w:kern w:val="0"/>
          <w:sz w:val="32"/>
          <w:szCs w:val="32"/>
          <w:highlight w:val="none"/>
        </w:rPr>
      </w:pPr>
    </w:p>
    <w:p w14:paraId="7B301EE8">
      <w:pPr>
        <w:widowControl/>
        <w:snapToGrid w:val="0"/>
        <w:spacing w:line="400" w:lineRule="exact"/>
        <w:jc w:val="center"/>
        <w:rPr>
          <w:rFonts w:hint="eastAsia" w:ascii="宋体" w:hAnsi="宋体" w:eastAsia="宋体" w:cs="宋体"/>
          <w:color w:val="auto"/>
          <w:kern w:val="0"/>
          <w:sz w:val="32"/>
          <w:szCs w:val="32"/>
          <w:highlight w:val="none"/>
        </w:rPr>
      </w:pPr>
    </w:p>
    <w:p w14:paraId="3C735584">
      <w:pPr>
        <w:widowControl/>
        <w:snapToGrid w:val="0"/>
        <w:spacing w:line="400" w:lineRule="exac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rPr>
        <w:t>年</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rPr>
        <w:t>月</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rPr>
        <w:t>日</w:t>
      </w:r>
    </w:p>
    <w:p w14:paraId="0548E003">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234625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目录（自拟）</w:t>
      </w:r>
    </w:p>
    <w:p w14:paraId="3C5FD5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宋体" w:hAnsi="宋体" w:eastAsia="宋体" w:cs="宋体"/>
          <w:b/>
          <w:color w:val="auto"/>
          <w:szCs w:val="21"/>
          <w:highlight w:val="none"/>
          <w:lang w:val="en-US" w:eastAsia="zh-CN"/>
        </w:rPr>
      </w:pPr>
      <w:r>
        <w:rPr>
          <w:rFonts w:hint="eastAsia" w:ascii="宋体" w:hAnsi="宋体" w:eastAsia="宋体" w:cs="宋体"/>
          <w:sz w:val="24"/>
          <w:szCs w:val="24"/>
          <w:highlight w:val="none"/>
          <w:lang w:val="en-US" w:eastAsia="zh-CN"/>
        </w:rPr>
        <w:br w:type="page"/>
      </w:r>
      <w:bookmarkStart w:id="282" w:name="_Toc7531"/>
      <w:r>
        <w:rPr>
          <w:rFonts w:hint="eastAsia" w:ascii="宋体" w:hAnsi="宋体" w:eastAsia="宋体" w:cs="宋体"/>
          <w:b/>
          <w:color w:val="auto"/>
          <w:sz w:val="36"/>
          <w:szCs w:val="36"/>
          <w:highlight w:val="none"/>
          <w:lang w:val="en-US" w:eastAsia="zh-CN"/>
        </w:rPr>
        <w:t>资格响应文件部分</w:t>
      </w:r>
      <w:bookmarkEnd w:id="282"/>
    </w:p>
    <w:p w14:paraId="2C7AC602">
      <w:pPr>
        <w:shd w:val="clear" w:color="auto" w:fill="auto"/>
        <w:spacing w:line="360" w:lineRule="auto"/>
        <w:jc w:val="center"/>
        <w:outlineLvl w:val="9"/>
        <w:rPr>
          <w:rFonts w:hint="eastAsia" w:ascii="宋体" w:hAnsi="宋体" w:eastAsia="宋体" w:cs="宋体"/>
          <w:b/>
          <w:color w:val="auto"/>
          <w:highlight w:val="none"/>
          <w:lang w:val="en-US" w:eastAsia="zh-CN"/>
        </w:rPr>
      </w:pPr>
    </w:p>
    <w:p w14:paraId="70E77080">
      <w:pPr>
        <w:shd w:val="clear" w:color="auto" w:fill="auto"/>
        <w:spacing w:line="360" w:lineRule="auto"/>
        <w:jc w:val="center"/>
        <w:outlineLvl w:val="9"/>
        <w:rPr>
          <w:rFonts w:hint="eastAsia" w:ascii="宋体" w:hAnsi="宋体" w:eastAsia="宋体" w:cs="宋体"/>
          <w:b/>
          <w:bCs/>
          <w:color w:val="auto"/>
          <w:sz w:val="32"/>
          <w:szCs w:val="32"/>
          <w:highlight w:val="none"/>
          <w:shd w:val="clear" w:color="auto" w:fill="auto"/>
          <w:lang w:val="en-US" w:eastAsia="zh-CN"/>
        </w:rPr>
      </w:pPr>
      <w:r>
        <w:rPr>
          <w:rFonts w:hint="eastAsia" w:ascii="宋体" w:hAnsi="宋体" w:eastAsia="宋体" w:cs="宋体"/>
          <w:b/>
          <w:color w:val="auto"/>
          <w:highlight w:val="none"/>
          <w:lang w:val="en-US" w:eastAsia="zh-CN"/>
        </w:rPr>
        <w:t>一、政府采购投标单位（供应商）信用承诺书</w:t>
      </w:r>
    </w:p>
    <w:p w14:paraId="1CDF7164">
      <w:pPr>
        <w:keepNext w:val="0"/>
        <w:keepLines w:val="0"/>
        <w:pageBreakBefore w:val="0"/>
        <w:widowControl w:val="0"/>
        <w:shd w:val="clear" w:color="auto" w:fill="auto"/>
        <w:tabs>
          <w:tab w:val="left" w:pos="7859"/>
        </w:tabs>
        <w:kinsoku/>
        <w:wordWrap/>
        <w:overflowPunct/>
        <w:topLinePunct w:val="0"/>
        <w:bidi w:val="0"/>
        <w:adjustRightInd/>
        <w:snapToGrid/>
        <w:spacing w:after="0" w:line="560" w:lineRule="exact"/>
        <w:ind w:right="0"/>
        <w:jc w:val="both"/>
        <w:textAlignment w:val="auto"/>
        <w:outlineLvl w:val="9"/>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color w:val="auto"/>
          <w:kern w:val="2"/>
          <w:sz w:val="24"/>
          <w:szCs w:val="24"/>
          <w:highlight w:val="none"/>
          <w:shd w:val="clear" w:color="auto" w:fill="auto"/>
          <w:lang w:val="en-US" w:eastAsia="zh-CN" w:bidi="ar-SA"/>
        </w:rPr>
        <w:t>采购人名称:</w:t>
      </w:r>
    </w:p>
    <w:p w14:paraId="7F3EF970">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本投标人</w:t>
      </w:r>
      <w:r>
        <w:rPr>
          <w:rFonts w:hint="eastAsia" w:ascii="宋体" w:hAnsi="宋体" w:eastAsia="宋体" w:cs="宋体"/>
          <w:color w:val="auto"/>
          <w:kern w:val="2"/>
          <w:sz w:val="24"/>
          <w:szCs w:val="24"/>
          <w:highlight w:val="none"/>
          <w:u w:val="single"/>
          <w:shd w:val="clear" w:color="auto" w:fill="auto"/>
          <w:lang w:val="en-US" w:eastAsia="zh-CN" w:bidi="ar-SA"/>
        </w:rPr>
        <w:t>（供应商）</w:t>
      </w:r>
      <w:r>
        <w:rPr>
          <w:rFonts w:hint="eastAsia" w:ascii="宋体" w:hAnsi="宋体" w:eastAsia="宋体" w:cs="宋体"/>
          <w:color w:val="auto"/>
          <w:kern w:val="2"/>
          <w:sz w:val="24"/>
          <w:szCs w:val="24"/>
          <w:highlight w:val="none"/>
          <w:shd w:val="clear" w:color="auto" w:fill="auto"/>
          <w:lang w:val="en-US" w:eastAsia="zh-CN" w:bidi="ar-SA"/>
        </w:rPr>
        <w:t>现参与</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r>
        <w:rPr>
          <w:rFonts w:hint="eastAsia" w:ascii="宋体" w:hAnsi="宋体" w:eastAsia="宋体" w:cs="宋体"/>
          <w:color w:val="auto"/>
          <w:kern w:val="2"/>
          <w:sz w:val="24"/>
          <w:szCs w:val="24"/>
          <w:highlight w:val="none"/>
          <w:shd w:val="clear" w:color="auto" w:fill="auto"/>
          <w:lang w:val="en-US" w:eastAsia="zh-CN" w:bidi="ar-SA"/>
        </w:rPr>
        <w:t xml:space="preserve"> 项目（项目编号：</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r>
        <w:rPr>
          <w:rFonts w:hint="eastAsia" w:ascii="宋体" w:hAnsi="宋体" w:eastAsia="宋体" w:cs="宋体"/>
          <w:color w:val="auto"/>
          <w:kern w:val="2"/>
          <w:sz w:val="24"/>
          <w:szCs w:val="24"/>
          <w:highlight w:val="none"/>
          <w:shd w:val="clear" w:color="auto" w:fill="auto"/>
          <w:lang w:val="en-US" w:eastAsia="zh-CN" w:bidi="ar-SA"/>
        </w:rPr>
        <w:t>）的政府采购项目，为维护政府采购市场秩序,遵循公开透明、公平竞争、公正原则和诚实信用原则,本单位/个人自愿做出以下承诺:</w:t>
      </w:r>
    </w:p>
    <w:p w14:paraId="185C4F78">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 承诺本单位/本人严格遵守国家法律、法规和规章，全面履行应尽的责任和义务,全面做到履约守信;具有独立承担民事责任的能力的承诺（具有市场监管部门或其他行政机关颁发的可以合法开展业务的执照或证书）。</w:t>
      </w:r>
    </w:p>
    <w:p w14:paraId="7B6F4C45">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2. 承诺本单位/本人具有良好的商业信誉和健全的财务会计制度的承诺。依据本项目招标（采购）文件相关规定，郑重承诺：我方具有良好的商业信誉和健全的财务会计制度，符合本项目文件规定的投标单位（响应供应商）资格要求。如有幸中标(成交)我方将按我方投标(响应)文件承诺，保证合同顺利履行。如有虚假或隐瞒，采购人可取消我方任何资格（投标/入围/签订合同），我方对此无任何异议，并愿意承担一切后果和责任。</w:t>
      </w:r>
    </w:p>
    <w:p w14:paraId="72D26045">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3. 承诺本单位/本人具有履行合同所必需的设备和专业技术能力，如上述承诺不真实，愿意按照政府采购有关法律法规的规定接受处罚。（应满足第一部分“磋商公告”投标人或供应商特定资格要求）；</w:t>
      </w:r>
    </w:p>
    <w:p w14:paraId="0CC09F4B">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4. 承诺本单位/本人有依法缴纳税收和社会保障资金的良好记录，依据本项目招标（采购）文件相关规定，郑重承诺：我公司在参加本项目招标前严格依法缴纳税收和给单位职工缴纳社会保障资金，有依法缴纳税收和社会保障资金的良好记录，符合本项目文件规定的供应商资格要求。如有虚假或隐瞒，我方愿意承担一切后果，并不再寻求任何旨在减轻或免除法律责任的辩解。</w:t>
      </w:r>
    </w:p>
    <w:p w14:paraId="1512F747">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5. 承诺本单位/本人参加政府采购活动前三年内，在经营活动中没有因违法经营受到刑事处罚或者责令停产停业、吊销许可证或者执照、较大数额罚款等行政处罚；在投标（响应）前查询了在信用中国网中的信用信息，本公司/本人未列入失信被执行人、重大税收违法案件当事人名单；查询了在中国政府采购网中的政府采购严重违法失信行为信息，本公司未列入政府采购严重违法失信行为记录名单（以开标后现场查询为准）。</w:t>
      </w:r>
    </w:p>
    <w:p w14:paraId="58B2D535">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6. 承诺本单位/本人提供的所有投标（响应）资料均合法、真实、有效,无任何伪造、篡改、虚假成分。</w:t>
      </w:r>
    </w:p>
    <w:p w14:paraId="3A384951">
      <w:pPr>
        <w:keepNext w:val="0"/>
        <w:keepLines w:val="0"/>
        <w:pageBreakBefore w:val="0"/>
        <w:widowControl w:val="0"/>
        <w:shd w:val="clear" w:color="auto" w:fill="auto"/>
        <w:tabs>
          <w:tab w:val="left" w:pos="7859"/>
        </w:tabs>
        <w:kinsoku/>
        <w:wordWrap w:val="0"/>
        <w:overflowPunct/>
        <w:topLinePunct w:val="0"/>
        <w:autoSpaceDE/>
        <w:autoSpaceDN/>
        <w:bidi w:val="0"/>
        <w:adjustRightInd/>
        <w:snapToGrid/>
        <w:spacing w:after="0" w:line="460" w:lineRule="exact"/>
        <w:ind w:right="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bCs/>
          <w:color w:val="auto"/>
          <w:kern w:val="2"/>
          <w:sz w:val="24"/>
          <w:szCs w:val="24"/>
          <w:highlight w:val="none"/>
          <w:shd w:val="clear" w:color="auto" w:fill="auto"/>
          <w:lang w:val="en-US" w:eastAsia="zh-CN" w:bidi="ar-SA"/>
        </w:rPr>
        <w:t>我公司上传电子投标(响应)文件所使用计算机的网卡MAC地址为：</w:t>
      </w:r>
      <w:r>
        <w:rPr>
          <w:rFonts w:hint="eastAsia" w:ascii="宋体" w:hAnsi="宋体" w:eastAsia="宋体" w:cs="宋体"/>
          <w:b/>
          <w:bCs/>
          <w:color w:val="auto"/>
          <w:kern w:val="2"/>
          <w:sz w:val="24"/>
          <w:szCs w:val="24"/>
          <w:highlight w:val="none"/>
          <w:u w:val="single"/>
          <w:shd w:val="clear" w:color="auto" w:fill="auto"/>
          <w:lang w:val="en-US" w:eastAsia="zh-CN" w:bidi="ar-SA"/>
        </w:rPr>
        <w:t xml:space="preserve">                  </w:t>
      </w:r>
      <w:r>
        <w:rPr>
          <w:rFonts w:hint="eastAsia" w:ascii="宋体" w:hAnsi="宋体" w:eastAsia="宋体" w:cs="宋体"/>
          <w:b/>
          <w:bCs/>
          <w:color w:val="auto"/>
          <w:kern w:val="2"/>
          <w:sz w:val="24"/>
          <w:szCs w:val="24"/>
          <w:highlight w:val="none"/>
          <w:shd w:val="clear" w:color="auto" w:fill="auto"/>
          <w:lang w:val="en-US" w:eastAsia="zh-CN" w:bidi="ar-SA"/>
        </w:rPr>
        <w:t>、CPU序列号为：</w:t>
      </w:r>
      <w:r>
        <w:rPr>
          <w:rFonts w:hint="eastAsia" w:ascii="宋体" w:hAnsi="宋体" w:eastAsia="宋体" w:cs="宋体"/>
          <w:b/>
          <w:bCs/>
          <w:color w:val="auto"/>
          <w:kern w:val="2"/>
          <w:sz w:val="24"/>
          <w:szCs w:val="24"/>
          <w:highlight w:val="none"/>
          <w:u w:val="single"/>
          <w:shd w:val="clear" w:color="auto" w:fill="auto"/>
          <w:lang w:val="en-US" w:eastAsia="zh-CN" w:bidi="ar-SA"/>
        </w:rPr>
        <w:t xml:space="preserve">                  </w:t>
      </w:r>
      <w:r>
        <w:rPr>
          <w:rFonts w:hint="eastAsia" w:ascii="宋体" w:hAnsi="宋体" w:eastAsia="宋体" w:cs="宋体"/>
          <w:b/>
          <w:bCs/>
          <w:color w:val="auto"/>
          <w:kern w:val="2"/>
          <w:sz w:val="24"/>
          <w:szCs w:val="24"/>
          <w:highlight w:val="none"/>
          <w:shd w:val="clear" w:color="auto" w:fill="auto"/>
          <w:lang w:val="en-US" w:eastAsia="zh-CN" w:bidi="ar-SA"/>
        </w:rPr>
        <w:t>和硬盘序列号为：</w:t>
      </w:r>
      <w:r>
        <w:rPr>
          <w:rFonts w:hint="eastAsia" w:ascii="宋体" w:hAnsi="宋体" w:eastAsia="宋体" w:cs="宋体"/>
          <w:b/>
          <w:bCs/>
          <w:color w:val="auto"/>
          <w:kern w:val="2"/>
          <w:sz w:val="24"/>
          <w:szCs w:val="24"/>
          <w:highlight w:val="none"/>
          <w:u w:val="single"/>
          <w:shd w:val="clear" w:color="auto" w:fill="auto"/>
          <w:lang w:val="en-US" w:eastAsia="zh-CN" w:bidi="ar-SA"/>
        </w:rPr>
        <w:t xml:space="preserve">                  </w:t>
      </w:r>
      <w:r>
        <w:rPr>
          <w:rFonts w:hint="eastAsia" w:ascii="宋体" w:hAnsi="宋体" w:eastAsia="宋体" w:cs="宋体"/>
          <w:b/>
          <w:bCs/>
          <w:color w:val="auto"/>
          <w:kern w:val="2"/>
          <w:sz w:val="24"/>
          <w:szCs w:val="24"/>
          <w:highlight w:val="none"/>
          <w:u w:val="none"/>
          <w:shd w:val="clear" w:color="auto" w:fill="auto"/>
          <w:lang w:val="en-US" w:eastAsia="zh-CN" w:bidi="ar-SA"/>
        </w:rPr>
        <w:t>IP地址</w:t>
      </w:r>
      <w:r>
        <w:rPr>
          <w:rFonts w:hint="eastAsia" w:ascii="宋体" w:hAnsi="宋体" w:eastAsia="宋体" w:cs="宋体"/>
          <w:b/>
          <w:bCs/>
          <w:color w:val="auto"/>
          <w:kern w:val="2"/>
          <w:sz w:val="24"/>
          <w:szCs w:val="24"/>
          <w:highlight w:val="none"/>
          <w:shd w:val="clear" w:color="auto" w:fill="auto"/>
          <w:lang w:val="en-US" w:eastAsia="zh-CN" w:bidi="ar-SA"/>
        </w:rPr>
        <w:t>为：</w:t>
      </w:r>
      <w:r>
        <w:rPr>
          <w:rFonts w:hint="eastAsia" w:ascii="宋体" w:hAnsi="宋体" w:eastAsia="宋体" w:cs="宋体"/>
          <w:b/>
          <w:bCs/>
          <w:color w:val="auto"/>
          <w:kern w:val="2"/>
          <w:sz w:val="24"/>
          <w:szCs w:val="24"/>
          <w:highlight w:val="none"/>
          <w:u w:val="single"/>
          <w:shd w:val="clear" w:color="auto" w:fill="auto"/>
          <w:lang w:val="en-US" w:eastAsia="zh-CN" w:bidi="ar-SA"/>
        </w:rPr>
        <w:t xml:space="preserve">                  </w:t>
      </w:r>
      <w:r>
        <w:rPr>
          <w:rFonts w:hint="eastAsia" w:ascii="宋体" w:hAnsi="宋体" w:eastAsia="宋体" w:cs="宋体"/>
          <w:color w:val="auto"/>
          <w:kern w:val="2"/>
          <w:sz w:val="24"/>
          <w:szCs w:val="24"/>
          <w:highlight w:val="none"/>
          <w:shd w:val="clear" w:color="auto" w:fill="auto"/>
          <w:lang w:val="en-US" w:eastAsia="zh-CN" w:bidi="ar-SA"/>
        </w:rPr>
        <w:t>并对所提供资料的真实性负责；如有虚假或隐瞒，招标（采购）人可取消我方任何资格（投标/中标/签订合同），我方对此无任何异议，并愿意承担一切后果和责任。</w:t>
      </w:r>
    </w:p>
    <w:p w14:paraId="23D5BB37">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7.为维护本次磋商工作的正常秩序，本公司特郑重承诺如下： </w:t>
      </w:r>
    </w:p>
    <w:p w14:paraId="4875B80C">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严格按照《中华人民共和国政府采购法》、《中华人民共和国政府采购法实施条例》、《政府采购竞争性磋商采购方式管理暂行办法》等有关法律法规、政策及《磋商文件》的规定，规范本公司的投标行为，保证做到合法参与本次磋商采购活动、正当竞争、廉洁经营。</w:t>
      </w:r>
    </w:p>
    <w:p w14:paraId="6937DB6B">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2）、本公司保证在本次磋商采购工作中做到： </w:t>
      </w:r>
    </w:p>
    <w:p w14:paraId="78425279">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（1）．不与其他供应商相互串通参与磋商采购、陪标，损害贵单位的合法权益； </w:t>
      </w:r>
    </w:p>
    <w:p w14:paraId="18AD5ACB">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（2）．不与用户串通参与磋商采购，损害采购人利益或他人的合法权益；</w:t>
      </w:r>
    </w:p>
    <w:p w14:paraId="2D0A20DC">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3）．不以向用户、采购代理机构或者磋商小组成员行贿的手段谋取成交；（包括送礼金礼品、有价证券、购物券、回扣、佣金、咨询费、劳务费、赞助费、宣传费、支付旅游费用、报销各种消费凭证、宴请、娱乐等）；</w:t>
      </w:r>
    </w:p>
    <w:p w14:paraId="205CC2F7">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（4）．不利用他人名义参与磋商采购或者以其他方式弄虚作假，谋取成交；</w:t>
      </w:r>
    </w:p>
    <w:p w14:paraId="4407A67A">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（5）．保证不以其他任何方式扰乱本次磋商采购工作；</w:t>
      </w:r>
    </w:p>
    <w:p w14:paraId="4B0BBB81">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（6）．保证严格遵守磋商采购会议纪律。</w:t>
      </w:r>
    </w:p>
    <w:p w14:paraId="6F8C4490">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3）、我公司承诺在本次磋商采购活动中，如有违反以上第2）条中的行为，同意贵方上报省级主管部门，按照《中华人民共和国政府采购法》《中华人民共和国政府采购法实施条例》等有关法律法规和磋商文件之规定给予进入不良信誉记录、扣除保证金等惩罚，我公司及项目参与人员完全接受。</w:t>
      </w:r>
    </w:p>
    <w:p w14:paraId="348B22F4">
      <w:pPr>
        <w:keepNext w:val="0"/>
        <w:keepLines w:val="0"/>
        <w:pageBreakBefore w:val="0"/>
        <w:widowControl w:val="0"/>
        <w:shd w:val="clear" w:color="auto" w:fill="auto"/>
        <w:tabs>
          <w:tab w:val="left" w:pos="7859"/>
        </w:tabs>
        <w:kinsoku/>
        <w:wordWrap/>
        <w:overflowPunct/>
        <w:topLinePunct w:val="0"/>
        <w:autoSpaceDE/>
        <w:autoSpaceDN/>
        <w:bidi w:val="0"/>
        <w:adjustRightInd/>
        <w:snapToGrid/>
        <w:spacing w:after="0" w:line="460" w:lineRule="exact"/>
        <w:ind w:left="0" w:right="0" w:firstLine="480" w:firstLineChars="2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8. 承诺本单位/本人若违背承诺约定,愿意依法承担相应的法律责任,并同意将不良行为在信用中国或中国政府采购网公示。</w:t>
      </w:r>
    </w:p>
    <w:p w14:paraId="616E7A62">
      <w:pPr>
        <w:bidi w:val="0"/>
        <w:spacing w:line="360" w:lineRule="auto"/>
        <w:ind w:firstLine="480" w:firstLineChars="200"/>
        <w:jc w:val="right"/>
        <w:rPr>
          <w:rFonts w:hint="eastAsia" w:ascii="宋体" w:hAnsi="宋体" w:eastAsia="宋体" w:cs="宋体"/>
          <w:color w:val="auto"/>
          <w:kern w:val="0"/>
          <w:sz w:val="24"/>
          <w:szCs w:val="24"/>
          <w:highlight w:val="none"/>
          <w:lang w:val="en-US" w:eastAsia="zh-CN" w:bidi="ar-SA"/>
        </w:rPr>
      </w:pPr>
    </w:p>
    <w:p w14:paraId="6EC6C77A">
      <w:pPr>
        <w:bidi w:val="0"/>
        <w:spacing w:line="360" w:lineRule="auto"/>
        <w:ind w:firstLine="480" w:firstLineChars="200"/>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（加盖公章）</w:t>
      </w:r>
    </w:p>
    <w:p w14:paraId="6921D9B4">
      <w:pPr>
        <w:bidi w:val="0"/>
        <w:spacing w:line="360" w:lineRule="auto"/>
        <w:ind w:firstLine="480" w:firstLineChars="200"/>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法定代表人或委托代理人：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（签字或签章）</w:t>
      </w:r>
    </w:p>
    <w:p w14:paraId="7AF4CE5F">
      <w:pPr>
        <w:keepNext w:val="0"/>
        <w:keepLines w:val="0"/>
        <w:pageBreakBefore w:val="0"/>
        <w:widowControl w:val="0"/>
        <w:shd w:val="clear" w:color="auto" w:fill="auto"/>
        <w:kinsoku/>
        <w:overflowPunct/>
        <w:topLinePunct w:val="0"/>
        <w:autoSpaceDE/>
        <w:autoSpaceDN/>
        <w:bidi w:val="0"/>
        <w:adjustRightInd/>
        <w:snapToGrid/>
        <w:spacing w:line="460" w:lineRule="exact"/>
        <w:jc w:val="right"/>
        <w:textAlignment w:val="auto"/>
        <w:rPr>
          <w:rFonts w:hint="eastAsia" w:ascii="宋体" w:hAnsi="宋体" w:eastAsia="宋体" w:cs="宋体"/>
          <w:b/>
          <w:color w:val="auto"/>
          <w:sz w:val="24"/>
          <w:szCs w:val="24"/>
          <w:highlight w:val="none"/>
          <w:shd w:val="clear" w:color="auto" w:fill="auto"/>
          <w:lang w:eastAsia="zh-CN"/>
        </w:rPr>
        <w:sectPr>
          <w:footerReference r:id="rId9" w:type="default"/>
          <w:pgSz w:w="11906" w:h="16838"/>
          <w:pgMar w:top="1440" w:right="1400" w:bottom="1440" w:left="1400" w:header="1134"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宋体" w:hAnsi="宋体" w:eastAsia="宋体" w:cs="宋体"/>
          <w:color w:val="auto"/>
          <w:kern w:val="0"/>
          <w:sz w:val="24"/>
          <w:szCs w:val="24"/>
          <w:highlight w:val="none"/>
          <w:lang w:val="en-US" w:eastAsia="zh-CN" w:bidi="ar-SA"/>
        </w:rPr>
        <w:t>日期：</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p>
    <w:p w14:paraId="7E393ECE">
      <w:pPr>
        <w:bidi w:val="0"/>
        <w:spacing w:line="360" w:lineRule="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附：</w:t>
      </w:r>
    </w:p>
    <w:p w14:paraId="57F5A625">
      <w:pPr>
        <w:bidi w:val="0"/>
        <w:spacing w:line="360" w:lineRule="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1.有效营业执照（或事业单位法人证书，或自然人身份证明，或其他非企业组织证明独立承担民事责任能力）。</w:t>
      </w:r>
    </w:p>
    <w:p w14:paraId="4B79AC05">
      <w:pPr>
        <w:bidi w:val="0"/>
        <w:spacing w:line="360" w:lineRule="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2.本承诺书为资格性审查的基本资质响应，供应商可重复上传</w:t>
      </w:r>
      <w:r>
        <w:rPr>
          <w:rFonts w:hint="eastAsia" w:ascii="宋体" w:hAnsi="宋体" w:cs="宋体"/>
          <w:b/>
          <w:bCs/>
          <w:sz w:val="22"/>
          <w:szCs w:val="22"/>
          <w:highlight w:val="none"/>
          <w:lang w:val="en-US" w:eastAsia="zh-CN"/>
        </w:rPr>
        <w:t>承诺书</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lang w:val="en-US" w:eastAsia="zh-CN"/>
        </w:rPr>
        <w:br w:type="page"/>
      </w:r>
    </w:p>
    <w:p w14:paraId="70E8C50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b/>
          <w:color w:val="auto"/>
          <w:highlight w:val="none"/>
          <w:lang w:val="en-US" w:eastAsia="zh-CN"/>
        </w:rPr>
        <w:t>二、中小企业声明函</w:t>
      </w:r>
    </w:p>
    <w:p w14:paraId="1443CDA4">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w:t>
      </w:r>
    </w:p>
    <w:p w14:paraId="5A770EC5">
      <w:pPr>
        <w:bidi w:val="0"/>
        <w:spacing w:line="360" w:lineRule="auto"/>
        <w:rPr>
          <w:rFonts w:hint="eastAsia" w:ascii="宋体" w:hAnsi="宋体" w:eastAsia="宋体" w:cs="宋体"/>
          <w:sz w:val="24"/>
          <w:szCs w:val="24"/>
          <w:highlight w:val="none"/>
        </w:rPr>
      </w:pPr>
    </w:p>
    <w:p w14:paraId="373AB41F">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（单位名称）的（</w:t>
      </w:r>
      <w:r>
        <w:rPr>
          <w:rFonts w:hint="eastAsia" w:ascii="宋体" w:hAnsi="宋体" w:eastAsia="宋体" w:cs="宋体"/>
          <w:sz w:val="24"/>
          <w:szCs w:val="24"/>
          <w:highlight w:val="none"/>
          <w:u w:val="single"/>
          <w:lang w:eastAsia="zh-CN"/>
        </w:rPr>
        <w:t>项目名称</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采购活动</w:t>
      </w:r>
      <w:r>
        <w:rPr>
          <w:rFonts w:hint="eastAsia" w:ascii="宋体" w:hAnsi="宋体" w:eastAsia="宋体" w:cs="宋体"/>
          <w:sz w:val="24"/>
          <w:szCs w:val="24"/>
          <w:highlight w:val="none"/>
          <w:lang w:val="en-US" w:eastAsia="zh-CN"/>
        </w:rPr>
        <w:t>，工程的施工单位全部为符合政策要求的中小企业。</w:t>
      </w:r>
      <w:r>
        <w:rPr>
          <w:rFonts w:hint="eastAsia" w:ascii="宋体" w:hAnsi="宋体" w:eastAsia="宋体" w:cs="宋体"/>
          <w:sz w:val="24"/>
          <w:szCs w:val="24"/>
          <w:highlight w:val="none"/>
        </w:rPr>
        <w:t>相关企业（含联合体中的中小企业、签订分包意向协议的中小企业）的具体情况如下：</w:t>
      </w:r>
    </w:p>
    <w:p w14:paraId="35E4F6E8">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w:t>
      </w:r>
      <w:r>
        <w:rPr>
          <w:rFonts w:hint="eastAsia" w:ascii="宋体" w:hAnsi="宋体" w:eastAsia="宋体" w:cs="宋体"/>
          <w:sz w:val="24"/>
          <w:szCs w:val="24"/>
          <w:highlight w:val="none"/>
          <w:lang w:eastAsia="zh-CN"/>
        </w:rPr>
        <w:t>企业</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万元，属于（中型企业、小型企业、微型企业）；</w:t>
      </w:r>
    </w:p>
    <w:p w14:paraId="5CA7C9D0">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w:t>
      </w:r>
      <w:r>
        <w:rPr>
          <w:rFonts w:hint="eastAsia" w:ascii="宋体" w:hAnsi="宋体" w:eastAsia="宋体" w:cs="宋体"/>
          <w:sz w:val="24"/>
          <w:szCs w:val="24"/>
          <w:highlight w:val="none"/>
          <w:lang w:eastAsia="zh-CN"/>
        </w:rPr>
        <w:t>企业</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万元，属于（中型企业、小型企业、微型企业）；</w:t>
      </w:r>
    </w:p>
    <w:p w14:paraId="584334A8">
      <w:pPr>
        <w:bidi w:val="0"/>
        <w:spacing w:line="360" w:lineRule="auto"/>
        <w:ind w:firstLine="480" w:firstLineChars="200"/>
        <w:rPr>
          <w:rFonts w:hint="eastAsia" w:ascii="宋体" w:hAnsi="宋体" w:eastAsia="宋体" w:cs="宋体"/>
          <w:sz w:val="24"/>
          <w:szCs w:val="24"/>
          <w:highlight w:val="none"/>
        </w:rPr>
      </w:pPr>
    </w:p>
    <w:p w14:paraId="47A2EE13">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1932F300">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2CAA25B5">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4BE2DC79">
      <w:pPr>
        <w:bidi w:val="0"/>
        <w:spacing w:line="360" w:lineRule="auto"/>
        <w:rPr>
          <w:rFonts w:hint="eastAsia" w:ascii="宋体" w:hAnsi="宋体" w:eastAsia="宋体" w:cs="宋体"/>
          <w:sz w:val="24"/>
          <w:szCs w:val="24"/>
          <w:highlight w:val="none"/>
        </w:rPr>
      </w:pPr>
    </w:p>
    <w:p w14:paraId="280B90A7">
      <w:pPr>
        <w:bidi w:val="0"/>
        <w:spacing w:line="360" w:lineRule="auto"/>
        <w:rPr>
          <w:rFonts w:hint="eastAsia" w:ascii="宋体" w:hAnsi="宋体" w:eastAsia="宋体" w:cs="宋体"/>
          <w:sz w:val="24"/>
          <w:szCs w:val="24"/>
          <w:highlight w:val="none"/>
        </w:rPr>
      </w:pPr>
    </w:p>
    <w:p w14:paraId="5EC90F88">
      <w:pPr>
        <w:bidi w:val="0"/>
        <w:spacing w:line="360" w:lineRule="auto"/>
        <w:ind w:left="0" w:leftChars="0" w:firstLine="2520" w:firstLineChars="105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（单位公章）</w:t>
      </w:r>
    </w:p>
    <w:p w14:paraId="30E8AF28">
      <w:pPr>
        <w:bidi w:val="0"/>
        <w:spacing w:line="360" w:lineRule="auto"/>
        <w:ind w:left="0" w:leftChars="0" w:firstLine="2520" w:firstLineChars="105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w:t>
      </w:r>
      <w:r>
        <w:rPr>
          <w:rFonts w:hint="eastAsia" w:ascii="宋体" w:hAnsi="宋体" w:eastAsia="宋体" w:cs="宋体"/>
          <w:sz w:val="24"/>
          <w:szCs w:val="24"/>
          <w:highlight w:val="none"/>
          <w:lang w:eastAsia="zh-CN"/>
        </w:rPr>
        <w:t>委托代理</w:t>
      </w:r>
      <w:r>
        <w:rPr>
          <w:rFonts w:hint="eastAsia" w:ascii="宋体" w:hAnsi="宋体" w:eastAsia="宋体" w:cs="宋体"/>
          <w:sz w:val="24"/>
          <w:szCs w:val="24"/>
          <w:highlight w:val="none"/>
        </w:rPr>
        <w:t>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22B79ADB">
      <w:pPr>
        <w:bidi w:val="0"/>
        <w:spacing w:line="360" w:lineRule="auto"/>
        <w:ind w:left="0" w:leftChars="0" w:firstLine="2520" w:firstLineChars="10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3E46911">
      <w:pPr>
        <w:bidi w:val="0"/>
        <w:spacing w:line="360" w:lineRule="auto"/>
        <w:rPr>
          <w:rFonts w:hint="eastAsia" w:ascii="宋体" w:hAnsi="宋体" w:eastAsia="宋体" w:cs="宋体"/>
          <w:sz w:val="24"/>
          <w:szCs w:val="24"/>
          <w:highlight w:val="none"/>
        </w:rPr>
      </w:pPr>
    </w:p>
    <w:p w14:paraId="64641041">
      <w:pPr>
        <w:bidi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14:paraId="522D2BB4">
      <w:pPr>
        <w:bidi w:val="0"/>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1.从业人员、营业收入、资产总额填报上一年度数据，无上一年度数据的新成立企业可不填报。</w:t>
      </w:r>
    </w:p>
    <w:p w14:paraId="3CF08616">
      <w:pPr>
        <w:bidi w:val="0"/>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2.监狱企业、残疾人福利性单位视同为小、微企业，非上述企业类别可不提供残疾人福利性单位声明函、监狱企业证明文件，根据要求单独上传《中小企业声明函》。</w:t>
      </w:r>
    </w:p>
    <w:p w14:paraId="7D038C13">
      <w:pPr>
        <w:bidi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3.供应商根据国家统计局关于印发《统计上大中小微型企业划分办法（2017）》的通知自行核实是否属于小微企业。</w:t>
      </w:r>
    </w:p>
    <w:p w14:paraId="58A696C1">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059BA0D">
      <w:pPr>
        <w:bidi w:val="0"/>
        <w:spacing w:line="360" w:lineRule="auto"/>
        <w:rPr>
          <w:rFonts w:hint="eastAsia" w:ascii="宋体" w:hAnsi="宋体" w:eastAsia="宋体" w:cs="宋体"/>
          <w:sz w:val="24"/>
          <w:szCs w:val="24"/>
          <w:highlight w:val="none"/>
        </w:rPr>
      </w:pPr>
    </w:p>
    <w:p w14:paraId="1F63F41D">
      <w:pPr>
        <w:bidi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残疾人福利性单位声明函</w:t>
      </w:r>
    </w:p>
    <w:p w14:paraId="5D18903E">
      <w:pPr>
        <w:bidi w:val="0"/>
        <w:spacing w:line="360" w:lineRule="auto"/>
        <w:rPr>
          <w:rFonts w:hint="eastAsia" w:ascii="宋体" w:hAnsi="宋体" w:eastAsia="宋体" w:cs="宋体"/>
          <w:sz w:val="24"/>
          <w:szCs w:val="24"/>
          <w:highlight w:val="none"/>
        </w:rPr>
      </w:pPr>
    </w:p>
    <w:p w14:paraId="733A841F">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民政部</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项目名称</w:t>
      </w:r>
      <w:r>
        <w:rPr>
          <w:rFonts w:hint="eastAsia" w:ascii="宋体" w:hAnsi="宋体" w:eastAsia="宋体" w:cs="宋体"/>
          <w:sz w:val="24"/>
          <w:szCs w:val="24"/>
          <w:highlight w:val="none"/>
          <w:u w:val="single"/>
        </w:rPr>
        <w:t>）项目（项目编号：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采购活动提供本单位承担的工程（由本单位</w:t>
      </w:r>
      <w:r>
        <w:rPr>
          <w:rFonts w:hint="eastAsia" w:ascii="宋体" w:hAnsi="宋体" w:eastAsia="宋体" w:cs="宋体"/>
          <w:sz w:val="24"/>
          <w:szCs w:val="24"/>
          <w:highlight w:val="none"/>
          <w:lang w:eastAsia="zh-CN"/>
        </w:rPr>
        <w:t>提供服务</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制造货物</w:t>
      </w:r>
      <w:r>
        <w:rPr>
          <w:rFonts w:hint="eastAsia" w:ascii="宋体" w:hAnsi="宋体" w:eastAsia="宋体" w:cs="宋体"/>
          <w:sz w:val="24"/>
          <w:szCs w:val="24"/>
          <w:highlight w:val="none"/>
        </w:rPr>
        <w:t>），或者提供其他残疾人福利性单位制造的货物（不包括使用非残疾人福利性单位注册商标的货物）。</w:t>
      </w:r>
    </w:p>
    <w:p w14:paraId="34EC1FC5">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77A7B4F3">
      <w:pPr>
        <w:bidi w:val="0"/>
        <w:spacing w:line="360" w:lineRule="auto"/>
        <w:ind w:firstLine="480" w:firstLineChars="200"/>
        <w:rPr>
          <w:rFonts w:hint="eastAsia" w:ascii="宋体" w:hAnsi="宋体" w:eastAsia="宋体" w:cs="宋体"/>
          <w:sz w:val="24"/>
          <w:szCs w:val="24"/>
          <w:highlight w:val="none"/>
        </w:rPr>
      </w:pPr>
    </w:p>
    <w:p w14:paraId="5DB0B1D3">
      <w:pPr>
        <w:bidi w:val="0"/>
        <w:spacing w:line="360" w:lineRule="auto"/>
        <w:ind w:firstLine="480" w:firstLineChars="200"/>
        <w:rPr>
          <w:rFonts w:hint="eastAsia" w:ascii="宋体" w:hAnsi="宋体" w:eastAsia="宋体" w:cs="宋体"/>
          <w:sz w:val="24"/>
          <w:szCs w:val="24"/>
          <w:highlight w:val="none"/>
        </w:rPr>
      </w:pPr>
    </w:p>
    <w:p w14:paraId="6297C641">
      <w:pPr>
        <w:bidi w:val="0"/>
        <w:spacing w:line="360" w:lineRule="auto"/>
        <w:ind w:left="0" w:leftChars="0" w:firstLine="2318" w:firstLineChars="96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（单位公章）</w:t>
      </w:r>
    </w:p>
    <w:p w14:paraId="40A49869">
      <w:pPr>
        <w:bidi w:val="0"/>
        <w:spacing w:line="360" w:lineRule="auto"/>
        <w:ind w:left="0" w:leftChars="0" w:firstLine="2318" w:firstLineChars="966"/>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w:t>
      </w:r>
      <w:r>
        <w:rPr>
          <w:rFonts w:hint="eastAsia" w:ascii="宋体" w:hAnsi="宋体" w:eastAsia="宋体" w:cs="宋体"/>
          <w:sz w:val="24"/>
          <w:szCs w:val="24"/>
          <w:highlight w:val="none"/>
          <w:lang w:eastAsia="zh-CN"/>
        </w:rPr>
        <w:t>委托代理</w:t>
      </w:r>
      <w:r>
        <w:rPr>
          <w:rFonts w:hint="eastAsia" w:ascii="宋体" w:hAnsi="宋体" w:eastAsia="宋体" w:cs="宋体"/>
          <w:sz w:val="24"/>
          <w:szCs w:val="24"/>
          <w:highlight w:val="none"/>
        </w:rPr>
        <w:t>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344A6591">
      <w:pPr>
        <w:bidi w:val="0"/>
        <w:spacing w:line="360" w:lineRule="auto"/>
        <w:ind w:left="0" w:leftChars="0" w:firstLine="2318" w:firstLineChars="966"/>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3D38A6">
      <w:pPr>
        <w:bidi w:val="0"/>
        <w:spacing w:line="360" w:lineRule="auto"/>
        <w:ind w:firstLine="480" w:firstLineChars="200"/>
        <w:rPr>
          <w:rFonts w:hint="eastAsia" w:ascii="宋体" w:hAnsi="宋体" w:eastAsia="宋体" w:cs="宋体"/>
          <w:sz w:val="24"/>
          <w:szCs w:val="24"/>
          <w:highlight w:val="none"/>
        </w:rPr>
      </w:pPr>
    </w:p>
    <w:p w14:paraId="0FFD284D">
      <w:pPr>
        <w:bidi w:val="0"/>
        <w:spacing w:line="360" w:lineRule="auto"/>
        <w:ind w:firstLine="480" w:firstLineChars="200"/>
        <w:rPr>
          <w:rFonts w:hint="eastAsia" w:ascii="宋体" w:hAnsi="宋体" w:eastAsia="宋体" w:cs="宋体"/>
          <w:sz w:val="24"/>
          <w:szCs w:val="24"/>
          <w:highlight w:val="none"/>
        </w:rPr>
      </w:pPr>
    </w:p>
    <w:p w14:paraId="0BD6AFAB">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为残疾人福利性单位的，代理机构随中标结果同时公告其《残疾人福利性单位声明函》</w:t>
      </w:r>
    </w:p>
    <w:p w14:paraId="6D049F84">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C2AC4F">
      <w:pPr>
        <w:bidi w:val="0"/>
        <w:spacing w:line="360" w:lineRule="auto"/>
        <w:rPr>
          <w:rFonts w:hint="eastAsia" w:ascii="宋体" w:hAnsi="宋体" w:eastAsia="宋体" w:cs="宋体"/>
          <w:sz w:val="24"/>
          <w:szCs w:val="24"/>
          <w:highlight w:val="none"/>
        </w:rPr>
      </w:pPr>
    </w:p>
    <w:p w14:paraId="71500A10">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监狱企业证明文件</w:t>
      </w:r>
    </w:p>
    <w:p w14:paraId="68010871">
      <w:pPr>
        <w:bidi w:val="0"/>
        <w:spacing w:line="360" w:lineRule="auto"/>
        <w:rPr>
          <w:rFonts w:hint="eastAsia" w:ascii="宋体" w:hAnsi="宋体" w:eastAsia="宋体" w:cs="宋体"/>
          <w:sz w:val="24"/>
          <w:szCs w:val="24"/>
          <w:highlight w:val="none"/>
          <w:lang w:val="en-US" w:eastAsia="zh-CN"/>
        </w:rPr>
      </w:pPr>
    </w:p>
    <w:p w14:paraId="2C0E4F33">
      <w:pPr>
        <w:bidi w:val="0"/>
        <w:spacing w:line="360" w:lineRule="auto"/>
        <w:rPr>
          <w:rFonts w:hint="eastAsia" w:ascii="宋体" w:hAnsi="宋体" w:eastAsia="宋体" w:cs="宋体"/>
          <w:sz w:val="24"/>
          <w:szCs w:val="24"/>
          <w:highlight w:val="none"/>
          <w:lang w:val="en-US" w:eastAsia="zh-CN"/>
        </w:rPr>
      </w:pPr>
    </w:p>
    <w:p w14:paraId="1ED344FD">
      <w:pPr>
        <w:bidi w:val="0"/>
        <w:spacing w:line="360" w:lineRule="auto"/>
        <w:rPr>
          <w:rFonts w:hint="eastAsia" w:ascii="宋体" w:hAnsi="宋体" w:eastAsia="宋体" w:cs="宋体"/>
          <w:sz w:val="24"/>
          <w:szCs w:val="24"/>
          <w:highlight w:val="none"/>
          <w:lang w:val="en-US" w:eastAsia="zh-CN"/>
        </w:rPr>
      </w:pPr>
    </w:p>
    <w:p w14:paraId="7F779C5F">
      <w:pPr>
        <w:bidi w:val="0"/>
        <w:spacing w:line="360" w:lineRule="auto"/>
        <w:rPr>
          <w:rFonts w:hint="eastAsia" w:ascii="宋体" w:hAnsi="宋体" w:eastAsia="宋体" w:cs="宋体"/>
          <w:sz w:val="24"/>
          <w:szCs w:val="24"/>
          <w:highlight w:val="none"/>
          <w:lang w:val="en-US" w:eastAsia="zh-CN"/>
        </w:rPr>
      </w:pPr>
    </w:p>
    <w:p w14:paraId="394AEB26">
      <w:pPr>
        <w:bidi w:val="0"/>
        <w:spacing w:line="360" w:lineRule="auto"/>
        <w:rPr>
          <w:rFonts w:hint="eastAsia" w:ascii="宋体" w:hAnsi="宋体" w:eastAsia="宋体" w:cs="宋体"/>
          <w:sz w:val="24"/>
          <w:szCs w:val="24"/>
          <w:highlight w:val="none"/>
          <w:lang w:val="en-US" w:eastAsia="zh-CN"/>
        </w:rPr>
      </w:pPr>
    </w:p>
    <w:p w14:paraId="3FB0B6B2">
      <w:pPr>
        <w:bidi w:val="0"/>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说明：监狱企业须提供由省级以上监狱管理局、戒毒管理局（含新疆生产建设兵团）出具的“属于监狱企业的证明文件”。</w:t>
      </w:r>
    </w:p>
    <w:p w14:paraId="235715AF">
      <w:pPr>
        <w:pStyle w:val="6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snapToGrid w:val="0"/>
          <w:szCs w:val="21"/>
          <w:highlight w:val="none"/>
        </w:rPr>
        <w:br w:type="page"/>
      </w:r>
    </w:p>
    <w:p w14:paraId="60A41F8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三、特定资格要求的证明资料及相关资料。</w:t>
      </w:r>
    </w:p>
    <w:p w14:paraId="20878185">
      <w:pP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br w:type="page"/>
      </w:r>
    </w:p>
    <w:p w14:paraId="1ABE31B3">
      <w:pPr>
        <w:pStyle w:val="42"/>
        <w:rPr>
          <w:rFonts w:hint="eastAsia" w:ascii="宋体" w:hAnsi="宋体" w:eastAsia="宋体" w:cs="宋体"/>
          <w:highlight w:val="none"/>
          <w:lang w:val="en-US" w:eastAsia="zh-CN"/>
        </w:rPr>
      </w:pPr>
    </w:p>
    <w:p w14:paraId="014E089C">
      <w:pPr>
        <w:bidi w:val="0"/>
        <w:spacing w:line="360" w:lineRule="auto"/>
        <w:jc w:val="center"/>
        <w:outlineLvl w:val="1"/>
        <w:rPr>
          <w:rFonts w:hint="eastAsia" w:ascii="宋体" w:hAnsi="宋体" w:eastAsia="宋体" w:cs="宋体"/>
          <w:sz w:val="24"/>
          <w:szCs w:val="24"/>
          <w:highlight w:val="none"/>
          <w:lang w:val="en-US" w:eastAsia="zh-CN"/>
        </w:rPr>
      </w:pPr>
      <w:bookmarkStart w:id="283" w:name="_Toc12365"/>
      <w:r>
        <w:rPr>
          <w:rFonts w:hint="eastAsia" w:ascii="宋体" w:hAnsi="宋体" w:eastAsia="宋体" w:cs="宋体"/>
          <w:b/>
          <w:bCs/>
          <w:sz w:val="24"/>
          <w:szCs w:val="24"/>
          <w:highlight w:val="none"/>
          <w:lang w:val="en-US" w:eastAsia="zh-CN"/>
        </w:rPr>
        <w:t>报价要求响应文件部分</w:t>
      </w:r>
      <w:bookmarkEnd w:id="283"/>
    </w:p>
    <w:p w14:paraId="7351BB84">
      <w:pPr>
        <w:numPr>
          <w:ilvl w:val="0"/>
          <w:numId w:val="0"/>
        </w:numPr>
        <w:bidi w:val="0"/>
        <w:spacing w:line="360" w:lineRule="auto"/>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一、报价一览表</w:t>
      </w:r>
    </w:p>
    <w:p w14:paraId="4F595550">
      <w:pPr>
        <w:pStyle w:val="2"/>
        <w:widowControl w:val="0"/>
        <w:numPr>
          <w:ilvl w:val="0"/>
          <w:numId w:val="0"/>
        </w:numPr>
        <w:jc w:val="both"/>
        <w:rPr>
          <w:rFonts w:hint="eastAsia" w:ascii="宋体" w:hAnsi="宋体" w:eastAsia="宋体" w:cs="宋体"/>
          <w:highlight w:val="none"/>
          <w:lang w:val="en-US" w:eastAsia="zh-CN"/>
        </w:rPr>
      </w:pPr>
    </w:p>
    <w:p w14:paraId="1647A14A">
      <w:pPr>
        <w:bidi w:val="0"/>
        <w:spacing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报价一览表</w:t>
      </w:r>
    </w:p>
    <w:p w14:paraId="3C23C2B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项目名称：</w:t>
      </w:r>
      <w:r>
        <w:rPr>
          <w:rFonts w:hint="eastAsia" w:ascii="宋体" w:hAnsi="宋体" w:eastAsia="宋体" w:cs="宋体"/>
          <w:sz w:val="24"/>
          <w:szCs w:val="24"/>
          <w:highlight w:val="none"/>
          <w:u w:val="single"/>
          <w:lang w:val="en-US" w:eastAsia="zh-CN"/>
        </w:rPr>
        <w:t xml:space="preserve">            </w:t>
      </w:r>
    </w:p>
    <w:p w14:paraId="72497ED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项目编号：</w:t>
      </w:r>
      <w:r>
        <w:rPr>
          <w:rFonts w:hint="eastAsia" w:ascii="宋体" w:hAnsi="宋体" w:eastAsia="宋体" w:cs="宋体"/>
          <w:sz w:val="24"/>
          <w:szCs w:val="24"/>
          <w:highlight w:val="none"/>
          <w:u w:val="single"/>
          <w:lang w:val="en-US" w:eastAsia="zh-CN"/>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6699"/>
      </w:tblGrid>
      <w:tr w14:paraId="190D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2292" w:type="dxa"/>
            <w:noWrap w:val="0"/>
            <w:vAlign w:val="center"/>
          </w:tcPr>
          <w:p w14:paraId="4644B7B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报价</w:t>
            </w:r>
          </w:p>
          <w:p w14:paraId="3F5F20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（人民币）</w:t>
            </w:r>
          </w:p>
        </w:tc>
        <w:tc>
          <w:tcPr>
            <w:tcW w:w="6699" w:type="dxa"/>
            <w:noWrap w:val="0"/>
            <w:vAlign w:val="center"/>
          </w:tcPr>
          <w:p w14:paraId="18F50B2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p>
          <w:p w14:paraId="057644C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tc>
      </w:tr>
      <w:tr w14:paraId="343E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2292" w:type="dxa"/>
            <w:noWrap w:val="0"/>
            <w:vAlign w:val="center"/>
          </w:tcPr>
          <w:p w14:paraId="3935B15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工期</w:t>
            </w:r>
          </w:p>
        </w:tc>
        <w:tc>
          <w:tcPr>
            <w:tcW w:w="6699" w:type="dxa"/>
            <w:noWrap w:val="0"/>
            <w:vAlign w:val="center"/>
          </w:tcPr>
          <w:p w14:paraId="759E339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10ED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2292" w:type="dxa"/>
            <w:noWrap w:val="0"/>
            <w:vAlign w:val="center"/>
          </w:tcPr>
          <w:p w14:paraId="2110AD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w:t>
            </w:r>
          </w:p>
        </w:tc>
        <w:tc>
          <w:tcPr>
            <w:tcW w:w="6699" w:type="dxa"/>
            <w:noWrap w:val="0"/>
            <w:vAlign w:val="center"/>
          </w:tcPr>
          <w:p w14:paraId="6AFE95F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4037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2292" w:type="dxa"/>
            <w:noWrap w:val="0"/>
            <w:vAlign w:val="center"/>
          </w:tcPr>
          <w:p w14:paraId="27480C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经理</w:t>
            </w:r>
          </w:p>
        </w:tc>
        <w:tc>
          <w:tcPr>
            <w:tcW w:w="6699" w:type="dxa"/>
            <w:noWrap w:val="0"/>
            <w:vAlign w:val="center"/>
          </w:tcPr>
          <w:p w14:paraId="4572DD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017A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2292" w:type="dxa"/>
            <w:noWrap w:val="0"/>
            <w:vAlign w:val="center"/>
          </w:tcPr>
          <w:p w14:paraId="59DD38C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注</w:t>
            </w:r>
          </w:p>
        </w:tc>
        <w:tc>
          <w:tcPr>
            <w:tcW w:w="6699" w:type="dxa"/>
            <w:noWrap w:val="0"/>
            <w:vAlign w:val="center"/>
          </w:tcPr>
          <w:p w14:paraId="78B7643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bl>
    <w:p w14:paraId="71A9BAFF">
      <w:pPr>
        <w:bidi w:val="0"/>
        <w:spacing w:line="360" w:lineRule="auto"/>
        <w:ind w:firstLine="420" w:firstLineChars="200"/>
        <w:jc w:val="right"/>
        <w:rPr>
          <w:rFonts w:hint="eastAsia" w:ascii="宋体" w:hAnsi="宋体" w:eastAsia="宋体" w:cs="宋体"/>
          <w:color w:val="auto"/>
          <w:kern w:val="0"/>
          <w:sz w:val="21"/>
          <w:szCs w:val="21"/>
          <w:highlight w:val="none"/>
          <w:lang w:val="en-US" w:eastAsia="zh-CN" w:bidi="ar-SA"/>
        </w:rPr>
      </w:pPr>
    </w:p>
    <w:p w14:paraId="0E537A03">
      <w:pPr>
        <w:bidi w:val="0"/>
        <w:spacing w:line="360" w:lineRule="auto"/>
        <w:ind w:firstLine="480" w:firstLineChars="200"/>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（加盖公章）</w:t>
      </w:r>
    </w:p>
    <w:p w14:paraId="42FCFA6E">
      <w:pPr>
        <w:bidi w:val="0"/>
        <w:spacing w:line="360" w:lineRule="auto"/>
        <w:ind w:firstLine="480" w:firstLineChars="200"/>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法定代表人或委托代理人：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（签字或签章）</w:t>
      </w:r>
    </w:p>
    <w:p w14:paraId="6B454608">
      <w:pPr>
        <w:wordWrap w:val="0"/>
        <w:bidi w:val="0"/>
        <w:spacing w:line="360" w:lineRule="auto"/>
        <w:ind w:firstLine="480" w:firstLineChars="200"/>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日期：</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日 </w:t>
      </w:r>
    </w:p>
    <w:p w14:paraId="4B7DB1D2">
      <w:p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br w:type="page"/>
      </w:r>
    </w:p>
    <w:p w14:paraId="5BAB4BDA">
      <w:pPr>
        <w:wordWrap w:val="0"/>
        <w:bidi w:val="0"/>
        <w:spacing w:line="36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二、已标价工程量清单</w:t>
      </w:r>
    </w:p>
    <w:p w14:paraId="31E8639A">
      <w:pPr>
        <w:wordWrap w:val="0"/>
        <w:bidi w:val="0"/>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w:t>
      </w:r>
    </w:p>
    <w:p w14:paraId="5F0A44F0">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60D3B045">
      <w:pPr>
        <w:bidi w:val="0"/>
        <w:spacing w:line="360" w:lineRule="auto"/>
        <w:ind w:firstLine="420" w:firstLineChars="0"/>
        <w:jc w:val="center"/>
        <w:outlineLvl w:val="1"/>
        <w:rPr>
          <w:rFonts w:hint="eastAsia" w:ascii="宋体" w:hAnsi="宋体" w:eastAsia="宋体" w:cs="宋体"/>
          <w:b/>
          <w:bCs/>
          <w:sz w:val="24"/>
          <w:szCs w:val="24"/>
          <w:highlight w:val="none"/>
          <w:lang w:val="en-US" w:eastAsia="zh-CN"/>
        </w:rPr>
      </w:pPr>
      <w:bookmarkStart w:id="284" w:name="_Toc32021"/>
      <w:r>
        <w:rPr>
          <w:rFonts w:hint="eastAsia" w:ascii="宋体" w:hAnsi="宋体" w:eastAsia="宋体" w:cs="宋体"/>
          <w:b/>
          <w:bCs/>
          <w:sz w:val="24"/>
          <w:szCs w:val="24"/>
          <w:highlight w:val="none"/>
          <w:lang w:val="en-US" w:eastAsia="zh-CN"/>
        </w:rPr>
        <w:t>商务技术响应文件部分</w:t>
      </w:r>
      <w:bookmarkEnd w:id="284"/>
    </w:p>
    <w:p w14:paraId="3F00437C">
      <w:pPr>
        <w:bidi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商务资信</w:t>
      </w:r>
    </w:p>
    <w:p w14:paraId="29FC625F">
      <w:pPr>
        <w:bidi w:val="0"/>
        <w:spacing w:line="360" w:lineRule="auto"/>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一、响 应 函</w:t>
      </w:r>
    </w:p>
    <w:p w14:paraId="4FDF974C">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响 应 函</w:t>
      </w:r>
    </w:p>
    <w:p w14:paraId="3B1CB1DC">
      <w:pPr>
        <w:bidi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u w:val="single"/>
        </w:rPr>
        <w:t xml:space="preserve">              </w:t>
      </w:r>
    </w:p>
    <w:p w14:paraId="66966C60">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全称)授权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代表姓名)            (</w:t>
      </w:r>
      <w:r>
        <w:rPr>
          <w:rFonts w:hint="eastAsia" w:ascii="宋体" w:hAnsi="宋体" w:eastAsia="宋体" w:cs="宋体"/>
          <w:sz w:val="24"/>
          <w:szCs w:val="24"/>
          <w:highlight w:val="none"/>
          <w:lang w:eastAsia="zh-CN"/>
        </w:rPr>
        <w:t>身份证号码</w:t>
      </w:r>
      <w:r>
        <w:rPr>
          <w:rFonts w:hint="eastAsia" w:ascii="宋体" w:hAnsi="宋体" w:eastAsia="宋体" w:cs="宋体"/>
          <w:sz w:val="24"/>
          <w:szCs w:val="24"/>
          <w:highlight w:val="none"/>
        </w:rPr>
        <w:t>)为我方代表，参加贵方组织的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lang w:eastAsia="zh-CN"/>
        </w:rPr>
        <w:t>竞争性磋商</w:t>
      </w:r>
      <w:r>
        <w:rPr>
          <w:rFonts w:hint="eastAsia" w:ascii="宋体" w:hAnsi="宋体" w:eastAsia="宋体" w:cs="宋体"/>
          <w:sz w:val="24"/>
          <w:szCs w:val="24"/>
          <w:highlight w:val="none"/>
        </w:rPr>
        <w:t>的有关活动，并对此项目进行报价。为此：</w:t>
      </w:r>
    </w:p>
    <w:p w14:paraId="5CDE485D">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1、我方同意在本项目</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中规定的</w:t>
      </w:r>
      <w:r>
        <w:rPr>
          <w:rFonts w:hint="eastAsia" w:ascii="宋体" w:hAnsi="宋体" w:eastAsia="宋体" w:cs="宋体"/>
          <w:sz w:val="24"/>
          <w:szCs w:val="24"/>
          <w:highlight w:val="none"/>
          <w:lang w:eastAsia="zh-CN"/>
        </w:rPr>
        <w:t>开标会议</w:t>
      </w:r>
      <w:r>
        <w:rPr>
          <w:rFonts w:hint="eastAsia" w:ascii="宋体" w:hAnsi="宋体" w:eastAsia="宋体" w:cs="宋体"/>
          <w:sz w:val="24"/>
          <w:szCs w:val="24"/>
          <w:highlight w:val="none"/>
        </w:rPr>
        <w:t>日起的有效期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日历天</w:t>
      </w:r>
      <w:r>
        <w:rPr>
          <w:rFonts w:hint="eastAsia" w:ascii="宋体" w:hAnsi="宋体" w:eastAsia="宋体" w:cs="宋体"/>
          <w:sz w:val="24"/>
          <w:szCs w:val="24"/>
          <w:highlight w:val="none"/>
        </w:rPr>
        <w:t>内遵守本</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中的承诺且在此期限期满之前均具有约束力。</w:t>
      </w:r>
    </w:p>
    <w:p w14:paraId="2A9BA63F">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2、我方承诺已经具备《中华人民共和国政府采购法》中规定的参加政府采购活动的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应当具备的全部条件。</w:t>
      </w:r>
    </w:p>
    <w:p w14:paraId="0A2DA865">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3、提供规定的全部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，包括</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正本、副本。</w:t>
      </w:r>
    </w:p>
    <w:p w14:paraId="43508862">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4、我方承诺：完全理解报价超过</w:t>
      </w:r>
      <w:r>
        <w:rPr>
          <w:rFonts w:hint="eastAsia" w:ascii="宋体" w:hAnsi="宋体" w:eastAsia="宋体" w:cs="宋体"/>
          <w:sz w:val="24"/>
          <w:szCs w:val="24"/>
          <w:highlight w:val="none"/>
          <w:lang w:eastAsia="zh-CN"/>
        </w:rPr>
        <w:t>开标会议</w:t>
      </w:r>
      <w:r>
        <w:rPr>
          <w:rFonts w:hint="eastAsia" w:ascii="宋体" w:hAnsi="宋体" w:eastAsia="宋体" w:cs="宋体"/>
          <w:sz w:val="24"/>
          <w:szCs w:val="24"/>
          <w:highlight w:val="none"/>
        </w:rPr>
        <w:t>时公布的预算金额时，将被拒绝。</w:t>
      </w:r>
    </w:p>
    <w:p w14:paraId="3509CE38">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5、保证忠实地执行双方所签订的合同，并承担合同规定的责任和义务。</w:t>
      </w:r>
    </w:p>
    <w:p w14:paraId="7A6F2D91">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6、承诺完全满足和响应</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中的各项商务和技术要求，若有偏差，已在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商务条款偏离表中予以明确特别说明。</w:t>
      </w:r>
    </w:p>
    <w:p w14:paraId="67D2FAB9">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7、保证遵守</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的规定。</w:t>
      </w:r>
    </w:p>
    <w:p w14:paraId="35A4910D">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8、如果在</w:t>
      </w:r>
      <w:r>
        <w:rPr>
          <w:rFonts w:hint="eastAsia" w:ascii="宋体" w:hAnsi="宋体" w:eastAsia="宋体" w:cs="宋体"/>
          <w:sz w:val="24"/>
          <w:szCs w:val="24"/>
          <w:highlight w:val="none"/>
          <w:lang w:eastAsia="zh-CN"/>
        </w:rPr>
        <w:t>开标会议</w:t>
      </w:r>
      <w:r>
        <w:rPr>
          <w:rFonts w:hint="eastAsia" w:ascii="宋体" w:hAnsi="宋体" w:eastAsia="宋体" w:cs="宋体"/>
          <w:sz w:val="24"/>
          <w:szCs w:val="24"/>
          <w:highlight w:val="none"/>
        </w:rPr>
        <w:t>后规定的有效期内撤回</w:t>
      </w:r>
      <w:r>
        <w:rPr>
          <w:rFonts w:hint="eastAsia" w:ascii="宋体" w:hAnsi="宋体" w:eastAsia="宋体" w:cs="宋体"/>
          <w:sz w:val="24"/>
          <w:szCs w:val="24"/>
          <w:highlight w:val="none"/>
          <w:lang w:eastAsia="zh-CN"/>
        </w:rPr>
        <w:t>投标响应</w:t>
      </w:r>
      <w:r>
        <w:rPr>
          <w:rFonts w:hint="eastAsia" w:ascii="宋体" w:hAnsi="宋体" w:eastAsia="宋体" w:cs="宋体"/>
          <w:sz w:val="24"/>
          <w:szCs w:val="24"/>
          <w:highlight w:val="none"/>
        </w:rPr>
        <w:t>，我方的</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可被贵方没收。</w:t>
      </w:r>
    </w:p>
    <w:p w14:paraId="5AC94AC2">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9、我方完全理解贵方不一定接受最低价的</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 xml:space="preserve">。                             </w:t>
      </w:r>
    </w:p>
    <w:p w14:paraId="226A2F97">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10、我方愿意向贵方提供任何与本项</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有关的数据、情况和技术资料。若贵方需要，我方愿意提供我方做出的一切承诺的证明材料。</w:t>
      </w:r>
    </w:p>
    <w:p w14:paraId="63CD8C65">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11、我方已详细审核全部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，包括</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修改书（如有的话）、参考资料及有关附件，确认无误。</w:t>
      </w:r>
    </w:p>
    <w:p w14:paraId="59697631">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12、我方承诺接受</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中《合同条款》的全部条款且无任何异议。</w:t>
      </w:r>
    </w:p>
    <w:p w14:paraId="14B6417D">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B2835D8">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（1）提供虚假材料谋取成交、成交的；</w:t>
      </w:r>
    </w:p>
    <w:p w14:paraId="394118F3">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（2）采取不正当手段诋毁、排挤其他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w:t>
      </w:r>
    </w:p>
    <w:p w14:paraId="25F6E966">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（3）与采购人、其它</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或者采购代理机构工作人员恶意串通的；</w:t>
      </w:r>
    </w:p>
    <w:p w14:paraId="397CF672">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（4）向采购人、采购代理机构工作人员行贿或者提供其他不正当利益的；</w:t>
      </w:r>
    </w:p>
    <w:p w14:paraId="0E1F8AB7">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（5）未经采购代理机构同意，在采购过程中与采购人进行协商谈判的；</w:t>
      </w:r>
    </w:p>
    <w:p w14:paraId="2D37CF57">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（6）拒绝有关部门监督检查或提供虚假情况的。</w:t>
      </w:r>
    </w:p>
    <w:p w14:paraId="18BCF9E0">
      <w:pPr>
        <w:bidi w:val="0"/>
        <w:spacing w:line="360" w:lineRule="auto"/>
        <w:rPr>
          <w:rFonts w:hint="eastAsia" w:ascii="宋体" w:hAnsi="宋体" w:eastAsia="宋体" w:cs="宋体"/>
          <w:sz w:val="24"/>
          <w:szCs w:val="24"/>
          <w:highlight w:val="none"/>
        </w:rPr>
      </w:pPr>
    </w:p>
    <w:p w14:paraId="2C0956A0">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所有有关本次</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的一切往来联系方式为：</w:t>
      </w:r>
    </w:p>
    <w:p w14:paraId="5E4FE7BF">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邮编：</w:t>
      </w:r>
      <w:r>
        <w:rPr>
          <w:rFonts w:hint="eastAsia" w:ascii="宋体" w:hAnsi="宋体" w:eastAsia="宋体" w:cs="宋体"/>
          <w:sz w:val="24"/>
          <w:szCs w:val="24"/>
          <w:highlight w:val="none"/>
        </w:rPr>
        <w:tab/>
      </w:r>
    </w:p>
    <w:p w14:paraId="2BEBB6D2">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传真：</w:t>
      </w:r>
    </w:p>
    <w:p w14:paraId="6CFBAA21">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代表姓名：</w:t>
      </w:r>
    </w:p>
    <w:p w14:paraId="715A8AE2">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代表联系电话：</w:t>
      </w:r>
    </w:p>
    <w:p w14:paraId="67D8427E">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E-mail：</w:t>
      </w:r>
    </w:p>
    <w:p w14:paraId="3C2A8C0A">
      <w:pPr>
        <w:bidi w:val="0"/>
        <w:spacing w:line="360" w:lineRule="auto"/>
        <w:rPr>
          <w:rFonts w:hint="eastAsia" w:ascii="宋体" w:hAnsi="宋体" w:eastAsia="宋体" w:cs="宋体"/>
          <w:sz w:val="24"/>
          <w:szCs w:val="24"/>
          <w:highlight w:val="none"/>
        </w:rPr>
      </w:pPr>
    </w:p>
    <w:p w14:paraId="6D00882C">
      <w:pPr>
        <w:bidi w:val="0"/>
        <w:spacing w:line="360" w:lineRule="auto"/>
        <w:rPr>
          <w:rFonts w:hint="eastAsia" w:ascii="宋体" w:hAnsi="宋体" w:eastAsia="宋体" w:cs="宋体"/>
          <w:sz w:val="24"/>
          <w:szCs w:val="24"/>
          <w:highlight w:val="none"/>
        </w:rPr>
      </w:pPr>
    </w:p>
    <w:p w14:paraId="74E8AC88">
      <w:pPr>
        <w:bidi w:val="0"/>
        <w:spacing w:line="360" w:lineRule="auto"/>
        <w:rPr>
          <w:rFonts w:hint="eastAsia" w:ascii="宋体" w:hAnsi="宋体" w:eastAsia="宋体" w:cs="宋体"/>
          <w:sz w:val="24"/>
          <w:szCs w:val="24"/>
          <w:highlight w:val="none"/>
        </w:rPr>
      </w:pPr>
    </w:p>
    <w:p w14:paraId="1FAFA60A">
      <w:pPr>
        <w:bidi w:val="0"/>
        <w:spacing w:line="360" w:lineRule="auto"/>
        <w:rPr>
          <w:rFonts w:hint="eastAsia" w:ascii="宋体" w:hAnsi="宋体" w:eastAsia="宋体" w:cs="宋体"/>
          <w:sz w:val="24"/>
          <w:szCs w:val="24"/>
          <w:highlight w:val="none"/>
        </w:rPr>
      </w:pPr>
    </w:p>
    <w:p w14:paraId="6BB22E9A">
      <w:pPr>
        <w:bidi w:val="0"/>
        <w:spacing w:line="360" w:lineRule="auto"/>
        <w:rPr>
          <w:rFonts w:hint="eastAsia" w:ascii="宋体" w:hAnsi="宋体" w:eastAsia="宋体" w:cs="宋体"/>
          <w:sz w:val="24"/>
          <w:szCs w:val="24"/>
          <w:highlight w:val="none"/>
        </w:rPr>
      </w:pPr>
    </w:p>
    <w:p w14:paraId="12813FBD">
      <w:pPr>
        <w:pStyle w:val="21"/>
        <w:rPr>
          <w:rFonts w:hint="eastAsia" w:ascii="宋体" w:hAnsi="宋体" w:eastAsia="宋体" w:cs="宋体"/>
          <w:color w:val="auto"/>
          <w:highlight w:val="none"/>
        </w:rPr>
      </w:pPr>
    </w:p>
    <w:p w14:paraId="78D8AA63">
      <w:pPr>
        <w:pStyle w:val="21"/>
        <w:rPr>
          <w:rFonts w:hint="eastAsia" w:ascii="宋体" w:hAnsi="宋体" w:eastAsia="宋体" w:cs="宋体"/>
          <w:color w:val="auto"/>
          <w:highlight w:val="none"/>
        </w:rPr>
      </w:pPr>
    </w:p>
    <w:p w14:paraId="5A09AB4E">
      <w:pPr>
        <w:bidi w:val="0"/>
        <w:spacing w:line="360" w:lineRule="auto"/>
        <w:ind w:firstLine="480" w:firstLineChars="200"/>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（加盖公章）</w:t>
      </w:r>
    </w:p>
    <w:p w14:paraId="7521EE0A">
      <w:pPr>
        <w:bidi w:val="0"/>
        <w:spacing w:line="360" w:lineRule="auto"/>
        <w:ind w:firstLine="480" w:firstLineChars="200"/>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法定代表人或委托代理人：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（签字或签章）</w:t>
      </w:r>
    </w:p>
    <w:p w14:paraId="7592DFC3">
      <w:pPr>
        <w:wordWrap w:val="0"/>
        <w:bidi w:val="0"/>
        <w:spacing w:line="360" w:lineRule="auto"/>
        <w:ind w:firstLine="480" w:firstLineChars="200"/>
        <w:jc w:val="righ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4"/>
          <w:szCs w:val="24"/>
          <w:highlight w:val="none"/>
          <w:lang w:val="en-US" w:eastAsia="zh-CN" w:bidi="ar-SA"/>
        </w:rPr>
        <w:t>日期：</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日     </w:t>
      </w:r>
      <w:r>
        <w:rPr>
          <w:rFonts w:hint="eastAsia" w:ascii="宋体" w:hAnsi="宋体" w:eastAsia="宋体" w:cs="宋体"/>
          <w:color w:val="auto"/>
          <w:kern w:val="0"/>
          <w:sz w:val="21"/>
          <w:szCs w:val="21"/>
          <w:highlight w:val="none"/>
          <w:lang w:val="en-US" w:eastAsia="zh-CN" w:bidi="ar-SA"/>
        </w:rPr>
        <w:t xml:space="preserve">      </w:t>
      </w:r>
    </w:p>
    <w:p w14:paraId="3330E31F">
      <w:pPr>
        <w:snapToGrid w:val="0"/>
        <w:spacing w:line="480" w:lineRule="exact"/>
        <w:rPr>
          <w:rFonts w:hint="eastAsia" w:ascii="宋体" w:hAnsi="宋体" w:eastAsia="宋体" w:cs="宋体"/>
          <w:color w:val="auto"/>
          <w:szCs w:val="21"/>
          <w:highlight w:val="none"/>
        </w:rPr>
      </w:pPr>
    </w:p>
    <w:p w14:paraId="5EA073A8">
      <w:pPr>
        <w:bidi w:val="0"/>
        <w:spacing w:line="360" w:lineRule="auto"/>
        <w:rPr>
          <w:rFonts w:hint="eastAsia" w:ascii="宋体" w:hAnsi="宋体" w:eastAsia="宋体" w:cs="宋体"/>
          <w:sz w:val="24"/>
          <w:szCs w:val="24"/>
          <w:highlight w:val="none"/>
          <w:lang w:val="en-US" w:eastAsia="zh-CN"/>
        </w:rPr>
      </w:pPr>
    </w:p>
    <w:p w14:paraId="5004D6EB">
      <w:pPr>
        <w:bidi w:val="0"/>
        <w:spacing w:line="360" w:lineRule="auto"/>
        <w:rPr>
          <w:rFonts w:hint="eastAsia" w:ascii="宋体" w:hAnsi="宋体" w:eastAsia="宋体" w:cs="宋体"/>
          <w:sz w:val="24"/>
          <w:szCs w:val="24"/>
          <w:highlight w:val="none"/>
          <w:lang w:val="en-US" w:eastAsia="zh-CN"/>
        </w:rPr>
      </w:pPr>
    </w:p>
    <w:p w14:paraId="5506B065">
      <w:pPr>
        <w:bidi w:val="0"/>
        <w:spacing w:line="360" w:lineRule="auto"/>
        <w:rPr>
          <w:rFonts w:hint="eastAsia" w:ascii="宋体" w:hAnsi="宋体" w:eastAsia="宋体" w:cs="宋体"/>
          <w:sz w:val="24"/>
          <w:szCs w:val="24"/>
          <w:highlight w:val="none"/>
          <w:lang w:val="en-US" w:eastAsia="zh-CN"/>
        </w:rPr>
      </w:pPr>
    </w:p>
    <w:p w14:paraId="7A9E8C2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0F2C9756">
      <w:pPr>
        <w:numPr>
          <w:ilvl w:val="0"/>
          <w:numId w:val="7"/>
        </w:numPr>
        <w:bidi w:val="0"/>
        <w:spacing w:line="360" w:lineRule="auto"/>
        <w:ind w:left="0" w:leftChars="0" w:firstLine="0" w:firstLineChars="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授权委托书</w:t>
      </w:r>
    </w:p>
    <w:p w14:paraId="7CEB64C4">
      <w:pPr>
        <w:pStyle w:val="21"/>
        <w:numPr>
          <w:ilvl w:val="0"/>
          <w:numId w:val="0"/>
        </w:numPr>
        <w:ind w:leftChars="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授权委托书</w:t>
      </w:r>
    </w:p>
    <w:p w14:paraId="278C194A">
      <w:pPr>
        <w:rPr>
          <w:rFonts w:hint="eastAsia" w:ascii="宋体" w:hAnsi="宋体" w:eastAsia="宋体" w:cs="宋体"/>
          <w:highlight w:val="none"/>
        </w:rPr>
      </w:pPr>
    </w:p>
    <w:p w14:paraId="36DFB44C">
      <w:pPr>
        <w:spacing w:before="65" w:line="360" w:lineRule="auto"/>
        <w:ind w:left="126" w:right="114" w:firstLine="540"/>
        <w:jc w:val="left"/>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rPr>
        <w:t>本授权委托书声明：我</w:t>
      </w:r>
      <w:r>
        <w:rPr>
          <w:rFonts w:hint="eastAsia" w:ascii="宋体" w:hAnsi="宋体" w:eastAsia="宋体" w:cs="宋体"/>
          <w:spacing w:val="6"/>
          <w:sz w:val="24"/>
          <w:szCs w:val="24"/>
          <w:highlight w:val="none"/>
          <w:u w:val="single"/>
        </w:rPr>
        <w:t xml:space="preserve">             (姓名)</w:t>
      </w:r>
      <w:r>
        <w:rPr>
          <w:rFonts w:hint="eastAsia" w:ascii="宋体" w:hAnsi="宋体" w:eastAsia="宋体" w:cs="宋体"/>
          <w:spacing w:val="6"/>
          <w:sz w:val="24"/>
          <w:szCs w:val="24"/>
          <w:highlight w:val="none"/>
        </w:rPr>
        <w:t>系</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u w:val="single"/>
          <w:lang w:eastAsia="zh-CN"/>
        </w:rPr>
        <w:t>供应商</w:t>
      </w:r>
      <w:r>
        <w:rPr>
          <w:rFonts w:hint="eastAsia" w:ascii="宋体" w:hAnsi="宋体" w:eastAsia="宋体" w:cs="宋体"/>
          <w:spacing w:val="6"/>
          <w:sz w:val="24"/>
          <w:szCs w:val="24"/>
          <w:highlight w:val="none"/>
          <w:u w:val="single"/>
        </w:rPr>
        <w:t>全称)</w:t>
      </w:r>
      <w:r>
        <w:rPr>
          <w:rFonts w:hint="eastAsia" w:ascii="宋体" w:hAnsi="宋体" w:eastAsia="宋体" w:cs="宋体"/>
          <w:spacing w:val="6"/>
          <w:sz w:val="24"/>
          <w:szCs w:val="24"/>
          <w:highlight w:val="none"/>
        </w:rPr>
        <w:t>的法定代表人</w:t>
      </w:r>
      <w:r>
        <w:rPr>
          <w:rFonts w:hint="eastAsia" w:ascii="宋体" w:hAnsi="宋体" w:eastAsia="宋体" w:cs="宋体"/>
          <w:spacing w:val="6"/>
          <w:sz w:val="24"/>
          <w:szCs w:val="24"/>
          <w:highlight w:val="none"/>
          <w:lang w:eastAsia="zh-CN"/>
        </w:rPr>
        <w:t>。</w:t>
      </w:r>
    </w:p>
    <w:p w14:paraId="29D98783">
      <w:pPr>
        <w:spacing w:before="65" w:line="360" w:lineRule="auto"/>
        <w:ind w:left="126" w:right="114" w:firstLine="540"/>
        <w:jc w:val="left"/>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根据实际情况我单位采用方式</w:t>
      </w:r>
      <w:r>
        <w:rPr>
          <w:rFonts w:hint="eastAsia" w:ascii="宋体" w:hAnsi="宋体" w:eastAsia="宋体" w:cs="宋体"/>
          <w:spacing w:val="6"/>
          <w:sz w:val="24"/>
          <w:szCs w:val="24"/>
          <w:highlight w:val="none"/>
          <w:u w:val="single"/>
          <w:lang w:val="en-US" w:eastAsia="zh-CN"/>
        </w:rPr>
        <w:t xml:space="preserve">   </w:t>
      </w:r>
      <w:r>
        <w:rPr>
          <w:rFonts w:hint="eastAsia" w:ascii="宋体" w:hAnsi="宋体" w:eastAsia="宋体" w:cs="宋体"/>
          <w:spacing w:val="6"/>
          <w:sz w:val="24"/>
          <w:szCs w:val="24"/>
          <w:highlight w:val="none"/>
          <w:u w:val="none"/>
          <w:lang w:val="en-US" w:eastAsia="zh-CN"/>
        </w:rPr>
        <w:t>（1或2）</w:t>
      </w:r>
      <w:r>
        <w:rPr>
          <w:rFonts w:hint="eastAsia" w:ascii="宋体" w:hAnsi="宋体" w:eastAsia="宋体" w:cs="宋体"/>
          <w:spacing w:val="6"/>
          <w:sz w:val="24"/>
          <w:szCs w:val="24"/>
          <w:highlight w:val="none"/>
          <w:lang w:val="en-US" w:eastAsia="zh-CN"/>
        </w:rPr>
        <w:t>参加</w:t>
      </w:r>
      <w:r>
        <w:rPr>
          <w:rFonts w:hint="eastAsia" w:ascii="宋体" w:hAnsi="宋体" w:eastAsia="宋体" w:cs="宋体"/>
          <w:spacing w:val="6"/>
          <w:sz w:val="24"/>
          <w:szCs w:val="24"/>
          <w:highlight w:val="none"/>
          <w:u w:val="single"/>
          <w:lang w:val="en-US" w:eastAsia="zh-CN"/>
        </w:rPr>
        <w:t xml:space="preserve">          （项目名称）</w:t>
      </w:r>
      <w:r>
        <w:rPr>
          <w:rFonts w:hint="eastAsia" w:ascii="宋体" w:hAnsi="宋体" w:eastAsia="宋体" w:cs="宋体"/>
          <w:spacing w:val="6"/>
          <w:sz w:val="24"/>
          <w:szCs w:val="24"/>
          <w:highlight w:val="none"/>
          <w:lang w:val="en-US" w:eastAsia="zh-CN"/>
        </w:rPr>
        <w:t>响应活动：</w:t>
      </w:r>
    </w:p>
    <w:p w14:paraId="2EC7EBAF">
      <w:pPr>
        <w:spacing w:before="65" w:line="360" w:lineRule="auto"/>
        <w:ind w:left="126" w:right="114" w:firstLine="540"/>
        <w:jc w:val="left"/>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方式1：法定代表人</w:t>
      </w:r>
      <w:r>
        <w:rPr>
          <w:rFonts w:hint="eastAsia" w:ascii="宋体" w:hAnsi="宋体" w:eastAsia="宋体" w:cs="宋体"/>
          <w:spacing w:val="6"/>
          <w:sz w:val="24"/>
          <w:szCs w:val="24"/>
          <w:highlight w:val="none"/>
          <w:u w:val="single"/>
        </w:rPr>
        <w:t xml:space="preserve">             (姓名)</w:t>
      </w:r>
      <w:r>
        <w:rPr>
          <w:rFonts w:hint="eastAsia" w:ascii="宋体" w:hAnsi="宋体" w:eastAsia="宋体" w:cs="宋体"/>
          <w:spacing w:val="6"/>
          <w:sz w:val="24"/>
          <w:szCs w:val="24"/>
          <w:highlight w:val="none"/>
        </w:rPr>
        <w:t>以本公司名义响应活动。</w:t>
      </w:r>
    </w:p>
    <w:p w14:paraId="5DE093D0">
      <w:pPr>
        <w:spacing w:before="65" w:line="360" w:lineRule="auto"/>
        <w:ind w:left="126" w:right="114" w:firstLine="540"/>
        <w:jc w:val="left"/>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lang w:val="en-US" w:eastAsia="zh-CN"/>
        </w:rPr>
        <w:t>方式2：</w:t>
      </w:r>
      <w:r>
        <w:rPr>
          <w:rFonts w:hint="eastAsia" w:ascii="宋体" w:hAnsi="宋体" w:eastAsia="宋体" w:cs="宋体"/>
          <w:spacing w:val="6"/>
          <w:sz w:val="24"/>
          <w:szCs w:val="24"/>
          <w:highlight w:val="none"/>
        </w:rPr>
        <w:t xml:space="preserve">授权委托 </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u w:val="single"/>
          <w:lang w:val="en-US" w:eastAsia="zh-CN"/>
        </w:rPr>
        <w:t xml:space="preserve"> </w:t>
      </w:r>
      <w:r>
        <w:rPr>
          <w:rFonts w:hint="eastAsia" w:ascii="宋体" w:hAnsi="宋体" w:eastAsia="宋体" w:cs="宋体"/>
          <w:spacing w:val="6"/>
          <w:sz w:val="24"/>
          <w:szCs w:val="24"/>
          <w:highlight w:val="none"/>
          <w:u w:val="single"/>
        </w:rPr>
        <w:t>(姓名)</w:t>
      </w:r>
      <w:r>
        <w:rPr>
          <w:rFonts w:hint="eastAsia" w:ascii="宋体" w:hAnsi="宋体" w:eastAsia="宋体" w:cs="宋体"/>
          <w:spacing w:val="6"/>
          <w:sz w:val="24"/>
          <w:szCs w:val="24"/>
          <w:highlight w:val="none"/>
          <w:u w:val="none"/>
          <w:lang w:eastAsia="zh-CN"/>
        </w:rPr>
        <w:t>作</w:t>
      </w:r>
      <w:r>
        <w:rPr>
          <w:rFonts w:hint="eastAsia" w:ascii="宋体" w:hAnsi="宋体" w:eastAsia="宋体" w:cs="宋体"/>
          <w:spacing w:val="6"/>
          <w:sz w:val="24"/>
          <w:szCs w:val="24"/>
          <w:highlight w:val="none"/>
        </w:rPr>
        <w:t>为我公司代理人，以本公司名义参加响应活动。</w:t>
      </w:r>
    </w:p>
    <w:p w14:paraId="4A98D9B3">
      <w:pPr>
        <w:spacing w:before="65" w:line="360" w:lineRule="auto"/>
        <w:ind w:left="126" w:right="114" w:firstLine="540"/>
        <w:jc w:val="left"/>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lang w:eastAsia="zh-CN"/>
        </w:rPr>
        <w:t>无论上述哪种方式</w:t>
      </w:r>
      <w:r>
        <w:rPr>
          <w:rFonts w:hint="eastAsia" w:ascii="宋体" w:hAnsi="宋体" w:eastAsia="宋体" w:cs="宋体"/>
          <w:spacing w:val="6"/>
          <w:sz w:val="24"/>
          <w:szCs w:val="24"/>
          <w:highlight w:val="none"/>
        </w:rPr>
        <w:t>在开标、评标、合同谈判、签署合同过程中所签署的一切文件和处理与之有关的一切事务，我</w:t>
      </w:r>
      <w:r>
        <w:rPr>
          <w:rFonts w:hint="eastAsia" w:ascii="宋体" w:hAnsi="宋体" w:eastAsia="宋体" w:cs="宋体"/>
          <w:spacing w:val="6"/>
          <w:sz w:val="24"/>
          <w:szCs w:val="24"/>
          <w:highlight w:val="none"/>
          <w:lang w:eastAsia="zh-CN"/>
        </w:rPr>
        <w:t>方</w:t>
      </w:r>
      <w:r>
        <w:rPr>
          <w:rFonts w:hint="eastAsia" w:ascii="宋体" w:hAnsi="宋体" w:eastAsia="宋体" w:cs="宋体"/>
          <w:spacing w:val="6"/>
          <w:sz w:val="24"/>
          <w:szCs w:val="24"/>
          <w:highlight w:val="none"/>
        </w:rPr>
        <w:t>均予以承认</w:t>
      </w:r>
      <w:r>
        <w:rPr>
          <w:rFonts w:hint="eastAsia" w:ascii="宋体" w:hAnsi="宋体" w:eastAsia="宋体" w:cs="宋体"/>
          <w:spacing w:val="6"/>
          <w:sz w:val="24"/>
          <w:szCs w:val="24"/>
          <w:highlight w:val="none"/>
          <w:lang w:eastAsia="zh-CN"/>
        </w:rPr>
        <w:t>，</w:t>
      </w:r>
      <w:r>
        <w:rPr>
          <w:rFonts w:hint="eastAsia" w:ascii="宋体" w:hAnsi="宋体" w:eastAsia="宋体" w:cs="宋体"/>
          <w:spacing w:val="6"/>
          <w:sz w:val="24"/>
          <w:szCs w:val="24"/>
          <w:highlight w:val="none"/>
          <w:lang w:val="en-US" w:eastAsia="zh-CN"/>
        </w:rPr>
        <w:t>其法律后果由我方承担</w:t>
      </w: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lang w:eastAsia="zh-CN"/>
        </w:rPr>
        <w:t>代理人无转委托权。</w:t>
      </w:r>
    </w:p>
    <w:p w14:paraId="5CB142B9">
      <w:pPr>
        <w:spacing w:before="65" w:line="360" w:lineRule="auto"/>
        <w:ind w:left="126" w:right="114" w:firstLine="540"/>
        <w:jc w:val="left"/>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特此委托</w:t>
      </w:r>
      <w:r>
        <w:rPr>
          <w:rFonts w:hint="eastAsia" w:ascii="宋体" w:hAnsi="宋体" w:eastAsia="宋体" w:cs="宋体"/>
          <w:spacing w:val="4"/>
          <w:sz w:val="24"/>
          <w:szCs w:val="24"/>
          <w:highlight w:val="none"/>
        </w:rPr>
        <w:t>。</w:t>
      </w:r>
    </w:p>
    <w:p w14:paraId="65C21C01">
      <w:pPr>
        <w:bidi w:val="0"/>
        <w:spacing w:line="360" w:lineRule="auto"/>
        <w:ind w:left="0" w:leftChars="0" w:firstLine="3780" w:firstLineChars="1575"/>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color w:val="auto"/>
          <w:kern w:val="0"/>
          <w:sz w:val="24"/>
          <w:szCs w:val="24"/>
          <w:highlight w:val="none"/>
          <w:lang w:val="en-US" w:eastAsia="zh-CN" w:bidi="ar-SA"/>
        </w:rPr>
        <w:t>（加盖公章）</w:t>
      </w:r>
      <w:r>
        <w:rPr>
          <w:rFonts w:hint="eastAsia" w:ascii="宋体" w:hAnsi="宋体" w:eastAsia="宋体" w:cs="宋体"/>
          <w:sz w:val="24"/>
          <w:szCs w:val="24"/>
          <w:highlight w:val="none"/>
        </w:rPr>
        <w:t xml:space="preserve"> </w:t>
      </w:r>
    </w:p>
    <w:p w14:paraId="42CDB53F">
      <w:pPr>
        <w:bidi w:val="0"/>
        <w:spacing w:line="360" w:lineRule="auto"/>
        <w:ind w:left="0" w:leftChars="0" w:firstLine="4260" w:firstLineChars="1775"/>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签字或签章)</w:t>
      </w:r>
    </w:p>
    <w:p w14:paraId="0FE9C9EE">
      <w:pPr>
        <w:bidi w:val="0"/>
        <w:spacing w:line="360" w:lineRule="auto"/>
        <w:ind w:left="0" w:leftChars="0" w:firstLine="4260" w:firstLineChars="177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委托代理人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签字或签章)</w:t>
      </w:r>
    </w:p>
    <w:p w14:paraId="461CEF5E">
      <w:pPr>
        <w:spacing w:before="1" w:line="230" w:lineRule="auto"/>
        <w:ind w:left="58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日期：</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rPr>
        <w:t>年</w:t>
      </w:r>
      <w:r>
        <w:rPr>
          <w:rFonts w:hint="eastAsia" w:ascii="宋体" w:hAnsi="宋体" w:eastAsia="宋体" w:cs="宋体"/>
          <w:spacing w:val="-1"/>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C3B3838">
      <w:pPr>
        <w:pStyle w:val="21"/>
        <w:rPr>
          <w:rFonts w:hint="eastAsia" w:ascii="宋体" w:hAnsi="宋体" w:eastAsia="宋体" w:cs="宋体"/>
          <w:highlight w:val="none"/>
        </w:rPr>
      </w:pPr>
    </w:p>
    <w:p w14:paraId="3D3F89F1">
      <w:pPr>
        <w:bidi w:val="0"/>
        <w:rPr>
          <w:rFonts w:hint="eastAsia" w:ascii="宋体" w:hAnsi="宋体" w:eastAsia="宋体" w:cs="宋体"/>
          <w:b/>
          <w:bCs/>
          <w:sz w:val="22"/>
          <w:szCs w:val="28"/>
          <w:highlight w:val="none"/>
          <w:lang w:eastAsia="zh-CN"/>
        </w:rPr>
      </w:pPr>
      <w:r>
        <w:rPr>
          <w:rFonts w:hint="eastAsia" w:ascii="宋体" w:hAnsi="宋体" w:eastAsia="宋体" w:cs="宋体"/>
          <w:b/>
          <w:bCs/>
          <w:sz w:val="22"/>
          <w:szCs w:val="28"/>
          <w:highlight w:val="none"/>
        </w:rPr>
        <w:t>注：</w:t>
      </w:r>
      <w:r>
        <w:rPr>
          <w:rFonts w:hint="eastAsia" w:ascii="宋体" w:hAnsi="宋体" w:eastAsia="宋体" w:cs="宋体"/>
          <w:b/>
          <w:bCs/>
          <w:sz w:val="22"/>
          <w:szCs w:val="28"/>
          <w:highlight w:val="none"/>
          <w:lang w:val="en-US" w:eastAsia="zh-CN"/>
        </w:rPr>
        <w:t>1.</w:t>
      </w:r>
      <w:r>
        <w:rPr>
          <w:rFonts w:hint="eastAsia" w:ascii="宋体" w:hAnsi="宋体" w:eastAsia="宋体" w:cs="宋体"/>
          <w:b/>
          <w:bCs/>
          <w:sz w:val="22"/>
          <w:szCs w:val="28"/>
          <w:highlight w:val="none"/>
          <w:lang w:eastAsia="zh-CN"/>
        </w:rPr>
        <w:t>若法定代表人参加响应活动的，方式</w:t>
      </w:r>
      <w:r>
        <w:rPr>
          <w:rFonts w:hint="eastAsia" w:ascii="宋体" w:hAnsi="宋体" w:eastAsia="宋体" w:cs="宋体"/>
          <w:b/>
          <w:bCs/>
          <w:sz w:val="22"/>
          <w:szCs w:val="28"/>
          <w:highlight w:val="none"/>
          <w:lang w:val="en-US" w:eastAsia="zh-CN"/>
        </w:rPr>
        <w:t>2</w:t>
      </w:r>
      <w:r>
        <w:rPr>
          <w:rFonts w:hint="eastAsia" w:ascii="宋体" w:hAnsi="宋体" w:eastAsia="宋体" w:cs="宋体"/>
          <w:b/>
          <w:bCs/>
          <w:sz w:val="22"/>
          <w:szCs w:val="28"/>
          <w:highlight w:val="none"/>
          <w:lang w:eastAsia="zh-CN"/>
        </w:rPr>
        <w:t>及代理人签字不必填写，代理人身份证无需提供，均以</w:t>
      </w:r>
      <w:r>
        <w:rPr>
          <w:rFonts w:hint="eastAsia" w:ascii="宋体" w:hAnsi="宋体" w:eastAsia="宋体" w:cs="宋体"/>
          <w:b/>
          <w:bCs/>
          <w:sz w:val="22"/>
          <w:szCs w:val="28"/>
          <w:highlight w:val="none"/>
          <w:lang w:val="en-US" w:eastAsia="zh-CN"/>
        </w:rPr>
        <w:t>/代替</w:t>
      </w:r>
      <w:r>
        <w:rPr>
          <w:rFonts w:hint="eastAsia" w:ascii="宋体" w:hAnsi="宋体" w:eastAsia="宋体" w:cs="宋体"/>
          <w:b/>
          <w:bCs/>
          <w:sz w:val="22"/>
          <w:szCs w:val="28"/>
          <w:highlight w:val="none"/>
          <w:lang w:eastAsia="zh-CN"/>
        </w:rPr>
        <w:t>。</w:t>
      </w:r>
    </w:p>
    <w:p w14:paraId="703D9A4B">
      <w:pPr>
        <w:numPr>
          <w:ilvl w:val="0"/>
          <w:numId w:val="0"/>
        </w:numPr>
        <w:bidi w:val="0"/>
        <w:rPr>
          <w:rFonts w:hint="eastAsia" w:ascii="宋体" w:hAnsi="宋体" w:eastAsia="宋体" w:cs="宋体"/>
          <w:highlight w:val="none"/>
        </w:rPr>
      </w:pPr>
      <w:r>
        <w:rPr>
          <w:rFonts w:hint="eastAsia" w:ascii="宋体" w:hAnsi="宋体" w:eastAsia="宋体" w:cs="宋体"/>
          <w:b/>
          <w:bCs/>
          <w:sz w:val="22"/>
          <w:szCs w:val="28"/>
          <w:highlight w:val="none"/>
          <w:lang w:val="en-US" w:eastAsia="zh-CN"/>
        </w:rPr>
        <w:t>2.若委托代理人</w:t>
      </w:r>
      <w:r>
        <w:rPr>
          <w:rFonts w:hint="eastAsia" w:ascii="宋体" w:hAnsi="宋体" w:eastAsia="宋体" w:cs="宋体"/>
          <w:b/>
          <w:bCs/>
          <w:sz w:val="22"/>
          <w:szCs w:val="28"/>
          <w:highlight w:val="none"/>
          <w:lang w:eastAsia="zh-CN"/>
        </w:rPr>
        <w:t>参加响应活动的，方式</w:t>
      </w:r>
      <w:r>
        <w:rPr>
          <w:rFonts w:hint="eastAsia" w:ascii="宋体" w:hAnsi="宋体" w:eastAsia="宋体" w:cs="宋体"/>
          <w:b/>
          <w:bCs/>
          <w:sz w:val="22"/>
          <w:szCs w:val="28"/>
          <w:highlight w:val="none"/>
          <w:lang w:val="en-US" w:eastAsia="zh-CN"/>
        </w:rPr>
        <w:t>1</w:t>
      </w:r>
      <w:r>
        <w:rPr>
          <w:rFonts w:hint="eastAsia" w:ascii="宋体" w:hAnsi="宋体" w:eastAsia="宋体" w:cs="宋体"/>
          <w:b/>
          <w:bCs/>
          <w:sz w:val="22"/>
          <w:szCs w:val="28"/>
          <w:highlight w:val="none"/>
          <w:lang w:eastAsia="zh-CN"/>
        </w:rPr>
        <w:t>不必填写，以</w:t>
      </w:r>
      <w:r>
        <w:rPr>
          <w:rFonts w:hint="eastAsia" w:ascii="宋体" w:hAnsi="宋体" w:eastAsia="宋体" w:cs="宋体"/>
          <w:b/>
          <w:bCs/>
          <w:sz w:val="22"/>
          <w:szCs w:val="28"/>
          <w:highlight w:val="none"/>
          <w:lang w:val="en-US" w:eastAsia="zh-CN"/>
        </w:rPr>
        <w:t>/代替</w:t>
      </w:r>
      <w:r>
        <w:rPr>
          <w:rFonts w:hint="eastAsia" w:ascii="宋体" w:hAnsi="宋体" w:eastAsia="宋体" w:cs="宋体"/>
          <w:b/>
          <w:bCs/>
          <w:sz w:val="22"/>
          <w:szCs w:val="28"/>
          <w:highlight w:val="none"/>
          <w:lang w:eastAsia="zh-CN"/>
        </w:rPr>
        <w:t>，</w:t>
      </w:r>
    </w:p>
    <w:p w14:paraId="71FE0EEB">
      <w:pPr>
        <w:spacing w:line="128" w:lineRule="exact"/>
        <w:rPr>
          <w:rFonts w:hint="eastAsia" w:ascii="宋体" w:hAnsi="宋体" w:eastAsia="宋体" w:cs="宋体"/>
          <w:sz w:val="24"/>
          <w:szCs w:val="24"/>
          <w:highlight w:val="none"/>
        </w:rPr>
      </w:pPr>
    </w:p>
    <w:tbl>
      <w:tblPr>
        <w:tblStyle w:val="92"/>
        <w:tblW w:w="8079" w:type="dxa"/>
        <w:tblInd w:w="5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04"/>
        <w:gridCol w:w="3975"/>
      </w:tblGrid>
      <w:tr w14:paraId="5A9C8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5" w:hRule="atLeast"/>
        </w:trPr>
        <w:tc>
          <w:tcPr>
            <w:tcW w:w="4104" w:type="dxa"/>
            <w:vAlign w:val="top"/>
          </w:tcPr>
          <w:p w14:paraId="36868A4E">
            <w:pPr>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2237105</wp:posOffset>
                      </wp:positionH>
                      <wp:positionV relativeFrom="paragraph">
                        <wp:posOffset>489585</wp:posOffset>
                      </wp:positionV>
                      <wp:extent cx="735330" cy="476250"/>
                      <wp:effectExtent l="4445" t="4445" r="22225" b="14605"/>
                      <wp:wrapNone/>
                      <wp:docPr id="130" name="文本框 130"/>
                      <wp:cNvGraphicFramePr/>
                      <a:graphic xmlns:a="http://schemas.openxmlformats.org/drawingml/2006/main">
                        <a:graphicData uri="http://schemas.microsoft.com/office/word/2010/wordprocessingShape">
                          <wps:wsp>
                            <wps:cNvSpPr txBox="1"/>
                            <wps:spPr>
                              <a:xfrm>
                                <a:off x="3413125" y="7013575"/>
                                <a:ext cx="735330" cy="476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E04C2BF">
                                  <w:pPr>
                                    <w:rPr>
                                      <w:rFonts w:hint="eastAsia" w:eastAsia="宋体"/>
                                      <w:lang w:eastAsia="zh-CN"/>
                                    </w:rPr>
                                  </w:pPr>
                                  <w:r>
                                    <w:rPr>
                                      <w:rFonts w:hint="eastAsia" w:eastAsia="宋体"/>
                                      <w:lang w:eastAsia="zh-CN"/>
                                    </w:rPr>
                                    <w:t>法定代表人身份证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6.15pt;margin-top:38.55pt;height:37.5pt;width:57.9pt;z-index:251661312;mso-width-relative:page;mso-height-relative:page;" fillcolor="#FFFFFF [3201]" filled="t" stroked="t" coordsize="21600,21600" o:gfxdata="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T6gWhNcAAAAKAQAADwAAAAAAAAABACAAAAAiAAAAZHJzL2Rvd25yZXYueG1sUEsBAhQA&#10;FAAAAAgAh07iQKPb+/BlAgAAxgQAAA4AAAAAAAAAAQAgAAAAJgEAAGRycy9lMm9Eb2MueG1sUEsF&#10;BgAAAAAGAAYAWQEAAP0FAAAAAA==&#10;">
                      <v:fill on="t" focussize="0,0"/>
                      <v:stroke weight="0.5pt" color="#000000 [3204]" joinstyle="round"/>
                      <v:imagedata o:title=""/>
                      <o:lock v:ext="edit" aspectratio="f"/>
                      <v:textbox>
                        <w:txbxContent>
                          <w:p w14:paraId="7E04C2BF">
                            <w:pPr>
                              <w:rPr>
                                <w:rFonts w:hint="eastAsia" w:eastAsia="宋体"/>
                                <w:lang w:eastAsia="zh-CN"/>
                              </w:rPr>
                            </w:pPr>
                            <w:r>
                              <w:rPr>
                                <w:rFonts w:hint="eastAsia" w:eastAsia="宋体"/>
                                <w:lang w:eastAsia="zh-CN"/>
                              </w:rPr>
                              <w:t>法定代表人身份证</w:t>
                            </w:r>
                          </w:p>
                        </w:txbxContent>
                      </v:textbox>
                    </v:shape>
                  </w:pict>
                </mc:Fallback>
              </mc:AlternateContent>
            </w:r>
          </w:p>
        </w:tc>
        <w:tc>
          <w:tcPr>
            <w:tcW w:w="3975" w:type="dxa"/>
            <w:vAlign w:val="top"/>
          </w:tcPr>
          <w:p w14:paraId="58A38180">
            <w:pPr>
              <w:rPr>
                <w:rFonts w:hint="eastAsia" w:ascii="宋体" w:hAnsi="宋体" w:eastAsia="宋体" w:cs="宋体"/>
                <w:sz w:val="24"/>
                <w:szCs w:val="24"/>
                <w:highlight w:val="none"/>
              </w:rPr>
            </w:pPr>
          </w:p>
        </w:tc>
      </w:tr>
      <w:tr w14:paraId="6E7AC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5" w:hRule="atLeast"/>
        </w:trPr>
        <w:tc>
          <w:tcPr>
            <w:tcW w:w="4104" w:type="dxa"/>
            <w:vAlign w:val="top"/>
          </w:tcPr>
          <w:p w14:paraId="1D89D9DA">
            <w:pPr>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2304415</wp:posOffset>
                      </wp:positionH>
                      <wp:positionV relativeFrom="paragraph">
                        <wp:posOffset>464185</wp:posOffset>
                      </wp:positionV>
                      <wp:extent cx="735330" cy="546735"/>
                      <wp:effectExtent l="4445" t="4445" r="22225" b="20320"/>
                      <wp:wrapNone/>
                      <wp:docPr id="131" name="文本框 131"/>
                      <wp:cNvGraphicFramePr/>
                      <a:graphic xmlns:a="http://schemas.openxmlformats.org/drawingml/2006/main">
                        <a:graphicData uri="http://schemas.microsoft.com/office/word/2010/wordprocessingShape">
                          <wps:wsp>
                            <wps:cNvSpPr txBox="1"/>
                            <wps:spPr>
                              <a:xfrm>
                                <a:off x="3386455" y="8251825"/>
                                <a:ext cx="735330" cy="546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AE292F3">
                                  <w:pPr>
                                    <w:rPr>
                                      <w:rFonts w:hint="eastAsia" w:eastAsia="宋体"/>
                                      <w:lang w:eastAsia="zh-CN"/>
                                    </w:rPr>
                                  </w:pPr>
                                  <w:r>
                                    <w:rPr>
                                      <w:rFonts w:hint="eastAsia"/>
                                      <w:lang w:eastAsia="zh-CN"/>
                                    </w:rPr>
                                    <w:t>委托</w:t>
                                  </w:r>
                                  <w:r>
                                    <w:rPr>
                                      <w:rFonts w:hint="eastAsia" w:eastAsia="宋体"/>
                                      <w:lang w:eastAsia="zh-CN"/>
                                    </w:rPr>
                                    <w:t>代理人身份证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45pt;margin-top:36.55pt;height:43.05pt;width:57.9pt;z-index:251662336;mso-width-relative:page;mso-height-relative:page;" fillcolor="#FFFFFF [3201]" filled="t" stroked="t" coordsize="21600,21600" o:gfxdata="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Cv25M2AAAAAoBAAAPAAAAAAAAAAEAIAAAACIAAABkcnMvZG93bnJldi54bWxQSwECFAAU&#10;AAAACACHTuJAXkUwcGMCAADGBAAADgAAAAAAAAABACAAAAAnAQAAZHJzL2Uyb0RvYy54bWxQSwUG&#10;AAAAAAYABgBZAQAA/AUAAAAA&#10;">
                      <v:fill on="t" focussize="0,0"/>
                      <v:stroke weight="0.5pt" color="#000000 [3204]" joinstyle="round"/>
                      <v:imagedata o:title=""/>
                      <o:lock v:ext="edit" aspectratio="f"/>
                      <v:textbox>
                        <w:txbxContent>
                          <w:p w14:paraId="0AE292F3">
                            <w:pPr>
                              <w:rPr>
                                <w:rFonts w:hint="eastAsia" w:eastAsia="宋体"/>
                                <w:lang w:eastAsia="zh-CN"/>
                              </w:rPr>
                            </w:pPr>
                            <w:r>
                              <w:rPr>
                                <w:rFonts w:hint="eastAsia"/>
                                <w:lang w:eastAsia="zh-CN"/>
                              </w:rPr>
                              <w:t>委托</w:t>
                            </w:r>
                            <w:r>
                              <w:rPr>
                                <w:rFonts w:hint="eastAsia" w:eastAsia="宋体"/>
                                <w:lang w:eastAsia="zh-CN"/>
                              </w:rPr>
                              <w:t>代理人身份证</w:t>
                            </w:r>
                          </w:p>
                        </w:txbxContent>
                      </v:textbox>
                    </v:shape>
                  </w:pict>
                </mc:Fallback>
              </mc:AlternateContent>
            </w:r>
          </w:p>
        </w:tc>
        <w:tc>
          <w:tcPr>
            <w:tcW w:w="3975" w:type="dxa"/>
            <w:vAlign w:val="top"/>
          </w:tcPr>
          <w:p w14:paraId="7724CAE7">
            <w:pPr>
              <w:rPr>
                <w:rFonts w:hint="eastAsia" w:ascii="宋体" w:hAnsi="宋体" w:eastAsia="宋体" w:cs="宋体"/>
                <w:sz w:val="24"/>
                <w:szCs w:val="24"/>
                <w:highlight w:val="none"/>
              </w:rPr>
            </w:pPr>
          </w:p>
        </w:tc>
      </w:tr>
    </w:tbl>
    <w:p w14:paraId="7689A446">
      <w:pPr>
        <w:rPr>
          <w:rFonts w:hint="eastAsia" w:ascii="宋体" w:hAnsi="宋体" w:eastAsia="宋体" w:cs="宋体"/>
          <w:sz w:val="24"/>
          <w:szCs w:val="24"/>
          <w:highlight w:val="none"/>
        </w:rPr>
      </w:pPr>
    </w:p>
    <w:p w14:paraId="4B0F0444">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40E7378B">
      <w:pPr>
        <w:bidi w:val="0"/>
        <w:spacing w:line="36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三、供应商基本情况表</w:t>
      </w:r>
    </w:p>
    <w:p w14:paraId="19B9059C">
      <w:pPr>
        <w:pStyle w:val="2"/>
        <w:jc w:val="center"/>
        <w:rPr>
          <w:rFonts w:hint="eastAsia" w:ascii="宋体" w:hAnsi="宋体" w:eastAsia="宋体" w:cs="宋体"/>
          <w:highlight w:val="none"/>
        </w:rPr>
      </w:pPr>
      <w:r>
        <w:rPr>
          <w:rFonts w:hint="eastAsia" w:ascii="宋体" w:hAnsi="宋体" w:eastAsia="宋体" w:cs="宋体"/>
          <w:b/>
          <w:bCs/>
          <w:sz w:val="24"/>
          <w:szCs w:val="24"/>
          <w:highlight w:val="none"/>
          <w:lang w:val="en-US" w:eastAsia="zh-CN"/>
        </w:rPr>
        <w:t>供应商基本情况表</w:t>
      </w:r>
    </w:p>
    <w:tbl>
      <w:tblPr>
        <w:tblStyle w:val="33"/>
        <w:tblpPr w:leftFromText="180" w:rightFromText="180" w:vertAnchor="text" w:horzAnchor="page" w:tblpX="1617" w:tblpY="51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5"/>
        <w:gridCol w:w="1032"/>
        <w:gridCol w:w="102"/>
        <w:gridCol w:w="1140"/>
        <w:gridCol w:w="790"/>
        <w:gridCol w:w="62"/>
        <w:gridCol w:w="302"/>
        <w:gridCol w:w="851"/>
        <w:gridCol w:w="285"/>
        <w:gridCol w:w="388"/>
        <w:gridCol w:w="748"/>
        <w:gridCol w:w="1142"/>
      </w:tblGrid>
      <w:tr w14:paraId="4C2D8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045" w:type="dxa"/>
            <w:vAlign w:val="center"/>
          </w:tcPr>
          <w:p w14:paraId="1C63BBAF">
            <w:pPr>
              <w:keepNext w:val="0"/>
              <w:keepLines w:val="0"/>
              <w:suppressLineNumbers w:val="0"/>
              <w:spacing w:before="0" w:beforeAutospacing="0" w:after="0" w:afterAutospacing="0"/>
              <w:ind w:left="0" w:right="0"/>
              <w:jc w:val="center"/>
              <w:rPr>
                <w:rFonts w:hint="eastAsia" w:ascii="宋体" w:hAnsi="宋体" w:eastAsia="宋体" w:cs="宋体"/>
                <w:sz w:val="22"/>
                <w:highlight w:val="none"/>
              </w:rPr>
            </w:pPr>
            <w:r>
              <w:rPr>
                <w:rFonts w:hint="eastAsia" w:ascii="宋体" w:hAnsi="宋体" w:eastAsia="宋体" w:cs="宋体"/>
                <w:b/>
                <w:snapToGrid w:val="0"/>
                <w:color w:val="auto"/>
                <w:szCs w:val="21"/>
                <w:highlight w:val="none"/>
              </w:rPr>
              <w:br w:type="page"/>
            </w:r>
            <w:r>
              <w:rPr>
                <w:rStyle w:val="84"/>
                <w:rFonts w:hint="eastAsia" w:ascii="宋体" w:hAnsi="宋体" w:eastAsia="宋体" w:cs="宋体"/>
                <w:b w:val="0"/>
                <w:i w:val="0"/>
                <w:caps w:val="0"/>
                <w:spacing w:val="0"/>
                <w:w w:val="100"/>
                <w:kern w:val="2"/>
                <w:sz w:val="24"/>
                <w:highlight w:val="none"/>
                <w:lang w:val="en-US" w:eastAsia="zh-CN" w:bidi="ar-SA"/>
              </w:rPr>
              <w:t>供应商名称</w:t>
            </w:r>
          </w:p>
        </w:tc>
        <w:tc>
          <w:tcPr>
            <w:tcW w:w="6842" w:type="dxa"/>
            <w:gridSpan w:val="11"/>
            <w:vAlign w:val="center"/>
          </w:tcPr>
          <w:p w14:paraId="78975B59">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r>
      <w:tr w14:paraId="36147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045" w:type="dxa"/>
            <w:vAlign w:val="center"/>
          </w:tcPr>
          <w:p w14:paraId="4F362E09">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注册地址</w:t>
            </w:r>
          </w:p>
        </w:tc>
        <w:tc>
          <w:tcPr>
            <w:tcW w:w="3126" w:type="dxa"/>
            <w:gridSpan w:val="5"/>
            <w:vAlign w:val="center"/>
          </w:tcPr>
          <w:p w14:paraId="73855BAF">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c>
          <w:tcPr>
            <w:tcW w:w="1153" w:type="dxa"/>
            <w:gridSpan w:val="2"/>
            <w:vAlign w:val="center"/>
          </w:tcPr>
          <w:p w14:paraId="4191697D">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邮政编码</w:t>
            </w:r>
          </w:p>
        </w:tc>
        <w:tc>
          <w:tcPr>
            <w:tcW w:w="2563" w:type="dxa"/>
            <w:gridSpan w:val="4"/>
            <w:vAlign w:val="center"/>
          </w:tcPr>
          <w:p w14:paraId="0DCD2FEA">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r>
      <w:tr w14:paraId="42BA8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vMerge w:val="restart"/>
            <w:vAlign w:val="center"/>
          </w:tcPr>
          <w:p w14:paraId="293C2043">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联系方式</w:t>
            </w:r>
          </w:p>
        </w:tc>
        <w:tc>
          <w:tcPr>
            <w:tcW w:w="1032" w:type="dxa"/>
            <w:vAlign w:val="center"/>
          </w:tcPr>
          <w:p w14:paraId="21AA8EA4">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联系人</w:t>
            </w:r>
          </w:p>
        </w:tc>
        <w:tc>
          <w:tcPr>
            <w:tcW w:w="2094" w:type="dxa"/>
            <w:gridSpan w:val="4"/>
            <w:vAlign w:val="center"/>
          </w:tcPr>
          <w:p w14:paraId="69D8A321">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c>
          <w:tcPr>
            <w:tcW w:w="1153" w:type="dxa"/>
            <w:gridSpan w:val="2"/>
            <w:vAlign w:val="center"/>
          </w:tcPr>
          <w:p w14:paraId="36C8573B">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电话</w:t>
            </w:r>
          </w:p>
        </w:tc>
        <w:tc>
          <w:tcPr>
            <w:tcW w:w="2563" w:type="dxa"/>
            <w:gridSpan w:val="4"/>
            <w:vAlign w:val="center"/>
          </w:tcPr>
          <w:p w14:paraId="7CE93755">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r>
      <w:tr w14:paraId="4AD7A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vMerge w:val="continue"/>
            <w:tcBorders>
              <w:top w:val="nil"/>
            </w:tcBorders>
            <w:vAlign w:val="center"/>
          </w:tcPr>
          <w:p w14:paraId="67297814">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
                <w:szCs w:val="2"/>
                <w:highlight w:val="none"/>
              </w:rPr>
            </w:pPr>
          </w:p>
        </w:tc>
        <w:tc>
          <w:tcPr>
            <w:tcW w:w="1032" w:type="dxa"/>
            <w:vAlign w:val="center"/>
          </w:tcPr>
          <w:p w14:paraId="0C8330E2">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传真</w:t>
            </w:r>
          </w:p>
        </w:tc>
        <w:tc>
          <w:tcPr>
            <w:tcW w:w="2094" w:type="dxa"/>
            <w:gridSpan w:val="4"/>
            <w:vAlign w:val="center"/>
          </w:tcPr>
          <w:p w14:paraId="249670E2">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c>
          <w:tcPr>
            <w:tcW w:w="1153" w:type="dxa"/>
            <w:gridSpan w:val="2"/>
            <w:vAlign w:val="center"/>
          </w:tcPr>
          <w:p w14:paraId="030E8B8A">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网址</w:t>
            </w:r>
          </w:p>
        </w:tc>
        <w:tc>
          <w:tcPr>
            <w:tcW w:w="2563" w:type="dxa"/>
            <w:gridSpan w:val="4"/>
            <w:vAlign w:val="center"/>
          </w:tcPr>
          <w:p w14:paraId="460A8EB7">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r>
      <w:tr w14:paraId="5F9DE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vAlign w:val="center"/>
          </w:tcPr>
          <w:p w14:paraId="00C639E0">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组织结构</w:t>
            </w:r>
          </w:p>
        </w:tc>
        <w:tc>
          <w:tcPr>
            <w:tcW w:w="6842" w:type="dxa"/>
            <w:gridSpan w:val="11"/>
            <w:vAlign w:val="center"/>
          </w:tcPr>
          <w:p w14:paraId="6CE762B0">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r>
      <w:tr w14:paraId="53636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045" w:type="dxa"/>
            <w:vAlign w:val="center"/>
          </w:tcPr>
          <w:p w14:paraId="4F4F1BDB">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法定代表人</w:t>
            </w:r>
          </w:p>
        </w:tc>
        <w:tc>
          <w:tcPr>
            <w:tcW w:w="1134" w:type="dxa"/>
            <w:gridSpan w:val="2"/>
            <w:vAlign w:val="center"/>
          </w:tcPr>
          <w:p w14:paraId="1E56E5C7">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姓名</w:t>
            </w:r>
          </w:p>
        </w:tc>
        <w:tc>
          <w:tcPr>
            <w:tcW w:w="1140" w:type="dxa"/>
            <w:vAlign w:val="center"/>
          </w:tcPr>
          <w:p w14:paraId="4B18CC2C">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c>
          <w:tcPr>
            <w:tcW w:w="1154" w:type="dxa"/>
            <w:gridSpan w:val="3"/>
            <w:vAlign w:val="center"/>
          </w:tcPr>
          <w:p w14:paraId="589A1F63">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技术职称</w:t>
            </w:r>
          </w:p>
        </w:tc>
        <w:tc>
          <w:tcPr>
            <w:tcW w:w="1136" w:type="dxa"/>
            <w:gridSpan w:val="2"/>
            <w:vAlign w:val="center"/>
          </w:tcPr>
          <w:p w14:paraId="63BB3DD5">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c>
          <w:tcPr>
            <w:tcW w:w="1136" w:type="dxa"/>
            <w:gridSpan w:val="2"/>
            <w:vAlign w:val="center"/>
          </w:tcPr>
          <w:p w14:paraId="60DBEC7D">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电话</w:t>
            </w:r>
          </w:p>
        </w:tc>
        <w:tc>
          <w:tcPr>
            <w:tcW w:w="1142" w:type="dxa"/>
            <w:vAlign w:val="center"/>
          </w:tcPr>
          <w:p w14:paraId="32EB6B9C">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r>
      <w:tr w14:paraId="2DD0B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045" w:type="dxa"/>
            <w:vAlign w:val="center"/>
          </w:tcPr>
          <w:p w14:paraId="5C5AFD0C">
            <w:pPr>
              <w:keepNext w:val="0"/>
              <w:keepLines w:val="0"/>
              <w:suppressLineNumbers w:val="0"/>
              <w:snapToGrid/>
              <w:spacing w:before="0" w:beforeAutospacing="0" w:after="0" w:afterAutospacing="0" w:line="240" w:lineRule="auto"/>
              <w:ind w:left="0" w:right="0"/>
              <w:jc w:val="center"/>
              <w:textAlignment w:val="baseline"/>
              <w:rPr>
                <w:rStyle w:val="84"/>
                <w:rFonts w:hint="eastAsia" w:ascii="宋体" w:hAnsi="宋体" w:eastAsia="宋体" w:cs="宋体"/>
                <w:b w:val="0"/>
                <w:i w:val="0"/>
                <w:caps w:val="0"/>
                <w:spacing w:val="0"/>
                <w:w w:val="100"/>
                <w:kern w:val="2"/>
                <w:sz w:val="24"/>
                <w:highlight w:val="none"/>
                <w:lang w:val="en-US" w:eastAsia="zh-CN" w:bidi="ar-SA"/>
              </w:rPr>
            </w:pPr>
            <w:r>
              <w:rPr>
                <w:rStyle w:val="84"/>
                <w:rFonts w:hint="eastAsia" w:ascii="宋体" w:hAnsi="宋体" w:eastAsia="宋体" w:cs="宋体"/>
                <w:b w:val="0"/>
                <w:i w:val="0"/>
                <w:caps w:val="0"/>
                <w:spacing w:val="0"/>
                <w:w w:val="100"/>
                <w:kern w:val="2"/>
                <w:sz w:val="24"/>
                <w:highlight w:val="none"/>
                <w:lang w:val="en-US" w:eastAsia="zh-CN" w:bidi="ar-SA"/>
              </w:rPr>
              <w:t>项目负责人</w:t>
            </w:r>
          </w:p>
          <w:p w14:paraId="74A3D834">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lang w:val="en-US"/>
              </w:rPr>
            </w:pPr>
            <w:r>
              <w:rPr>
                <w:rStyle w:val="84"/>
                <w:rFonts w:hint="eastAsia" w:ascii="宋体" w:hAnsi="宋体" w:eastAsia="宋体" w:cs="宋体"/>
                <w:b w:val="0"/>
                <w:i w:val="0"/>
                <w:caps w:val="0"/>
                <w:spacing w:val="0"/>
                <w:w w:val="100"/>
                <w:kern w:val="2"/>
                <w:sz w:val="24"/>
                <w:highlight w:val="none"/>
                <w:lang w:val="en-US" w:eastAsia="zh-CN" w:bidi="ar-SA"/>
              </w:rPr>
              <w:t>/项目经理</w:t>
            </w:r>
          </w:p>
        </w:tc>
        <w:tc>
          <w:tcPr>
            <w:tcW w:w="1134" w:type="dxa"/>
            <w:gridSpan w:val="2"/>
            <w:vAlign w:val="center"/>
          </w:tcPr>
          <w:p w14:paraId="58CDFDF5">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姓名</w:t>
            </w:r>
          </w:p>
        </w:tc>
        <w:tc>
          <w:tcPr>
            <w:tcW w:w="1140" w:type="dxa"/>
            <w:vAlign w:val="center"/>
          </w:tcPr>
          <w:p w14:paraId="38AD3F1A">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highlight w:val="none"/>
              </w:rPr>
            </w:pPr>
          </w:p>
        </w:tc>
        <w:tc>
          <w:tcPr>
            <w:tcW w:w="1154" w:type="dxa"/>
            <w:gridSpan w:val="3"/>
            <w:vAlign w:val="center"/>
          </w:tcPr>
          <w:p w14:paraId="09436AB5">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highlight w:val="none"/>
              </w:rPr>
            </w:pPr>
            <w:r>
              <w:rPr>
                <w:rStyle w:val="84"/>
                <w:rFonts w:hint="eastAsia" w:ascii="宋体" w:hAnsi="宋体" w:eastAsia="宋体" w:cs="宋体"/>
                <w:b w:val="0"/>
                <w:i w:val="0"/>
                <w:caps w:val="0"/>
                <w:spacing w:val="0"/>
                <w:w w:val="100"/>
                <w:kern w:val="2"/>
                <w:sz w:val="24"/>
                <w:highlight w:val="none"/>
                <w:lang w:val="en-US" w:eastAsia="zh-CN" w:bidi="ar-SA"/>
              </w:rPr>
              <w:t>技术职称</w:t>
            </w:r>
          </w:p>
        </w:tc>
        <w:tc>
          <w:tcPr>
            <w:tcW w:w="1136" w:type="dxa"/>
            <w:gridSpan w:val="2"/>
            <w:vAlign w:val="center"/>
          </w:tcPr>
          <w:p w14:paraId="7E8EA0F0">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highlight w:val="none"/>
              </w:rPr>
            </w:pPr>
          </w:p>
        </w:tc>
        <w:tc>
          <w:tcPr>
            <w:tcW w:w="1136" w:type="dxa"/>
            <w:gridSpan w:val="2"/>
            <w:vAlign w:val="center"/>
          </w:tcPr>
          <w:p w14:paraId="57857C7B">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highlight w:val="none"/>
              </w:rPr>
            </w:pPr>
            <w:r>
              <w:rPr>
                <w:rStyle w:val="84"/>
                <w:rFonts w:hint="eastAsia" w:ascii="宋体" w:hAnsi="宋体" w:eastAsia="宋体" w:cs="宋体"/>
                <w:b w:val="0"/>
                <w:i w:val="0"/>
                <w:caps w:val="0"/>
                <w:spacing w:val="0"/>
                <w:w w:val="100"/>
                <w:kern w:val="2"/>
                <w:sz w:val="24"/>
                <w:highlight w:val="none"/>
                <w:lang w:val="en-US" w:eastAsia="zh-CN" w:bidi="ar-SA"/>
              </w:rPr>
              <w:t>电话</w:t>
            </w:r>
          </w:p>
        </w:tc>
        <w:tc>
          <w:tcPr>
            <w:tcW w:w="1142" w:type="dxa"/>
            <w:vAlign w:val="center"/>
          </w:tcPr>
          <w:p w14:paraId="114330E2">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highlight w:val="none"/>
              </w:rPr>
            </w:pPr>
          </w:p>
        </w:tc>
      </w:tr>
      <w:tr w14:paraId="5778F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vAlign w:val="center"/>
          </w:tcPr>
          <w:p w14:paraId="5783F729">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成立时间</w:t>
            </w:r>
          </w:p>
        </w:tc>
        <w:tc>
          <w:tcPr>
            <w:tcW w:w="2274" w:type="dxa"/>
            <w:gridSpan w:val="3"/>
            <w:vAlign w:val="center"/>
          </w:tcPr>
          <w:p w14:paraId="32EB20F6">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c>
          <w:tcPr>
            <w:tcW w:w="4568" w:type="dxa"/>
            <w:gridSpan w:val="8"/>
            <w:vAlign w:val="center"/>
          </w:tcPr>
          <w:p w14:paraId="1A6332AC">
            <w:pPr>
              <w:keepNext w:val="0"/>
              <w:keepLines w:val="0"/>
              <w:suppressLineNumbers w:val="0"/>
              <w:snapToGrid/>
              <w:spacing w:before="0" w:beforeAutospacing="0" w:after="0" w:afterAutospacing="0" w:line="240" w:lineRule="auto"/>
              <w:ind w:left="0" w:right="0"/>
              <w:jc w:val="both"/>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员工总人数：</w:t>
            </w:r>
          </w:p>
        </w:tc>
      </w:tr>
      <w:tr w14:paraId="22FB8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vAlign w:val="center"/>
          </w:tcPr>
          <w:p w14:paraId="33729339">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企业资产总计</w:t>
            </w:r>
          </w:p>
        </w:tc>
        <w:tc>
          <w:tcPr>
            <w:tcW w:w="2274" w:type="dxa"/>
            <w:gridSpan w:val="3"/>
            <w:vAlign w:val="center"/>
          </w:tcPr>
          <w:p w14:paraId="1F74B557">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c>
          <w:tcPr>
            <w:tcW w:w="790" w:type="dxa"/>
            <w:vMerge w:val="restart"/>
            <w:vAlign w:val="center"/>
          </w:tcPr>
          <w:p w14:paraId="0FEC1495">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highlight w:val="none"/>
              </w:rPr>
            </w:pPr>
            <w:r>
              <w:rPr>
                <w:rStyle w:val="84"/>
                <w:rFonts w:hint="eastAsia" w:ascii="宋体" w:hAnsi="宋体" w:eastAsia="宋体" w:cs="宋体"/>
                <w:b w:val="0"/>
                <w:i w:val="0"/>
                <w:caps w:val="0"/>
                <w:spacing w:val="0"/>
                <w:w w:val="100"/>
                <w:kern w:val="2"/>
                <w:sz w:val="24"/>
                <w:highlight w:val="none"/>
                <w:lang w:val="en-US" w:eastAsia="zh-CN" w:bidi="ar-SA"/>
              </w:rPr>
              <w:t>其中</w:t>
            </w:r>
          </w:p>
        </w:tc>
        <w:tc>
          <w:tcPr>
            <w:tcW w:w="1888" w:type="dxa"/>
            <w:gridSpan w:val="5"/>
            <w:vAlign w:val="center"/>
          </w:tcPr>
          <w:p w14:paraId="43A16D29">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b w:val="0"/>
                <w:i w:val="0"/>
                <w:caps w:val="0"/>
                <w:spacing w:val="0"/>
                <w:w w:val="100"/>
                <w:kern w:val="2"/>
                <w:sz w:val="24"/>
                <w:szCs w:val="24"/>
                <w:highlight w:val="none"/>
                <w:lang w:val="en-US" w:eastAsia="zh-CN" w:bidi="ar-SA"/>
              </w:rPr>
            </w:pPr>
            <w:r>
              <w:rPr>
                <w:rStyle w:val="84"/>
                <w:rFonts w:hint="eastAsia" w:ascii="宋体" w:hAnsi="宋体" w:eastAsia="宋体" w:cs="宋体"/>
                <w:b w:val="0"/>
                <w:i w:val="0"/>
                <w:caps w:val="0"/>
                <w:spacing w:val="0"/>
                <w:w w:val="100"/>
                <w:kern w:val="2"/>
                <w:sz w:val="24"/>
                <w:highlight w:val="none"/>
                <w:lang w:val="en-US" w:eastAsia="zh-CN" w:bidi="ar-SA"/>
              </w:rPr>
              <w:t>职称</w:t>
            </w:r>
          </w:p>
        </w:tc>
        <w:tc>
          <w:tcPr>
            <w:tcW w:w="1890" w:type="dxa"/>
            <w:gridSpan w:val="2"/>
            <w:vAlign w:val="center"/>
          </w:tcPr>
          <w:p w14:paraId="21BBF5CD">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b w:val="0"/>
                <w:i w:val="0"/>
                <w:caps w:val="0"/>
                <w:spacing w:val="0"/>
                <w:w w:val="100"/>
                <w:kern w:val="2"/>
                <w:sz w:val="24"/>
                <w:szCs w:val="24"/>
                <w:highlight w:val="none"/>
                <w:lang w:val="en-US" w:eastAsia="zh-CN" w:bidi="ar-SA"/>
              </w:rPr>
            </w:pPr>
            <w:r>
              <w:rPr>
                <w:rStyle w:val="84"/>
                <w:rFonts w:hint="eastAsia" w:ascii="宋体" w:hAnsi="宋体" w:eastAsia="宋体" w:cs="宋体"/>
                <w:b w:val="0"/>
                <w:i w:val="0"/>
                <w:caps w:val="0"/>
                <w:spacing w:val="0"/>
                <w:w w:val="100"/>
                <w:kern w:val="2"/>
                <w:sz w:val="24"/>
                <w:highlight w:val="none"/>
                <w:lang w:val="en-US" w:eastAsia="zh-CN" w:bidi="ar-SA"/>
              </w:rPr>
              <w:t>人数</w:t>
            </w:r>
          </w:p>
        </w:tc>
      </w:tr>
      <w:tr w14:paraId="33A54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vAlign w:val="center"/>
          </w:tcPr>
          <w:p w14:paraId="68E498C1">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营业执照号</w:t>
            </w:r>
          </w:p>
        </w:tc>
        <w:tc>
          <w:tcPr>
            <w:tcW w:w="2274" w:type="dxa"/>
            <w:gridSpan w:val="3"/>
            <w:vAlign w:val="center"/>
          </w:tcPr>
          <w:p w14:paraId="56A5A1F6">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c>
          <w:tcPr>
            <w:tcW w:w="790" w:type="dxa"/>
            <w:vMerge w:val="continue"/>
            <w:vAlign w:val="center"/>
          </w:tcPr>
          <w:p w14:paraId="1A50FFC2">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highlight w:val="none"/>
              </w:rPr>
            </w:pPr>
          </w:p>
        </w:tc>
        <w:tc>
          <w:tcPr>
            <w:tcW w:w="1888" w:type="dxa"/>
            <w:gridSpan w:val="5"/>
            <w:vAlign w:val="center"/>
          </w:tcPr>
          <w:p w14:paraId="756868FB">
            <w:pPr>
              <w:keepNext w:val="0"/>
              <w:keepLines w:val="0"/>
              <w:suppressLineNumbers w:val="0"/>
              <w:snapToGrid/>
              <w:spacing w:before="0" w:beforeAutospacing="0" w:after="0" w:afterAutospacing="0" w:line="240" w:lineRule="auto"/>
              <w:ind w:left="0" w:right="0"/>
              <w:jc w:val="center"/>
              <w:textAlignment w:val="baseline"/>
              <w:rPr>
                <w:rStyle w:val="84"/>
                <w:rFonts w:hint="eastAsia" w:ascii="宋体" w:hAnsi="宋体" w:eastAsia="宋体" w:cs="宋体"/>
                <w:b w:val="0"/>
                <w:i w:val="0"/>
                <w:caps w:val="0"/>
                <w:spacing w:val="0"/>
                <w:w w:val="100"/>
                <w:kern w:val="2"/>
                <w:sz w:val="24"/>
                <w:highlight w:val="none"/>
                <w:lang w:val="en-US" w:eastAsia="zh-CN" w:bidi="ar-SA"/>
              </w:rPr>
            </w:pPr>
          </w:p>
        </w:tc>
        <w:tc>
          <w:tcPr>
            <w:tcW w:w="1890" w:type="dxa"/>
            <w:gridSpan w:val="2"/>
            <w:vAlign w:val="center"/>
          </w:tcPr>
          <w:p w14:paraId="26514CE5">
            <w:pPr>
              <w:keepNext w:val="0"/>
              <w:keepLines w:val="0"/>
              <w:suppressLineNumbers w:val="0"/>
              <w:snapToGrid/>
              <w:spacing w:before="0" w:beforeAutospacing="0" w:after="0" w:afterAutospacing="0" w:line="240" w:lineRule="auto"/>
              <w:ind w:left="0" w:right="0"/>
              <w:jc w:val="center"/>
              <w:textAlignment w:val="baseline"/>
              <w:rPr>
                <w:rStyle w:val="84"/>
                <w:rFonts w:hint="eastAsia" w:ascii="宋体" w:hAnsi="宋体" w:eastAsia="宋体" w:cs="宋体"/>
                <w:b w:val="0"/>
                <w:i w:val="0"/>
                <w:caps w:val="0"/>
                <w:spacing w:val="0"/>
                <w:w w:val="100"/>
                <w:kern w:val="2"/>
                <w:sz w:val="24"/>
                <w:highlight w:val="none"/>
                <w:lang w:val="en-US" w:eastAsia="zh-CN" w:bidi="ar-SA"/>
              </w:rPr>
            </w:pPr>
          </w:p>
        </w:tc>
      </w:tr>
      <w:tr w14:paraId="24641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45" w:type="dxa"/>
            <w:vAlign w:val="center"/>
          </w:tcPr>
          <w:p w14:paraId="76144852">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注册资金</w:t>
            </w:r>
          </w:p>
        </w:tc>
        <w:tc>
          <w:tcPr>
            <w:tcW w:w="2274" w:type="dxa"/>
            <w:gridSpan w:val="3"/>
            <w:vAlign w:val="center"/>
          </w:tcPr>
          <w:p w14:paraId="5140F9F4">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c>
          <w:tcPr>
            <w:tcW w:w="790" w:type="dxa"/>
            <w:vMerge w:val="continue"/>
            <w:vAlign w:val="center"/>
          </w:tcPr>
          <w:p w14:paraId="4F9DCB00">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highlight w:val="none"/>
              </w:rPr>
            </w:pPr>
          </w:p>
        </w:tc>
        <w:tc>
          <w:tcPr>
            <w:tcW w:w="1888" w:type="dxa"/>
            <w:gridSpan w:val="5"/>
            <w:vAlign w:val="center"/>
          </w:tcPr>
          <w:p w14:paraId="6C75FF48">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
                <w:szCs w:val="2"/>
                <w:highlight w:val="none"/>
              </w:rPr>
            </w:pPr>
          </w:p>
        </w:tc>
        <w:tc>
          <w:tcPr>
            <w:tcW w:w="1890" w:type="dxa"/>
            <w:gridSpan w:val="2"/>
            <w:vAlign w:val="center"/>
          </w:tcPr>
          <w:p w14:paraId="5EFE3B3F">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r>
      <w:tr w14:paraId="4BABD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045" w:type="dxa"/>
            <w:vAlign w:val="center"/>
          </w:tcPr>
          <w:p w14:paraId="5047AD6C">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开户银行</w:t>
            </w:r>
          </w:p>
        </w:tc>
        <w:tc>
          <w:tcPr>
            <w:tcW w:w="2274" w:type="dxa"/>
            <w:gridSpan w:val="3"/>
            <w:vAlign w:val="center"/>
          </w:tcPr>
          <w:p w14:paraId="02C27AFC">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c>
          <w:tcPr>
            <w:tcW w:w="790" w:type="dxa"/>
            <w:vMerge w:val="continue"/>
            <w:vAlign w:val="center"/>
          </w:tcPr>
          <w:p w14:paraId="564C40A7">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highlight w:val="none"/>
              </w:rPr>
            </w:pPr>
          </w:p>
        </w:tc>
        <w:tc>
          <w:tcPr>
            <w:tcW w:w="1888" w:type="dxa"/>
            <w:gridSpan w:val="5"/>
            <w:vAlign w:val="center"/>
          </w:tcPr>
          <w:p w14:paraId="23B689E5">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
                <w:szCs w:val="2"/>
                <w:highlight w:val="none"/>
              </w:rPr>
            </w:pPr>
          </w:p>
        </w:tc>
        <w:tc>
          <w:tcPr>
            <w:tcW w:w="1890" w:type="dxa"/>
            <w:gridSpan w:val="2"/>
            <w:vAlign w:val="center"/>
          </w:tcPr>
          <w:p w14:paraId="7D33BE4E">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r>
      <w:tr w14:paraId="031F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45" w:type="dxa"/>
            <w:vAlign w:val="center"/>
          </w:tcPr>
          <w:p w14:paraId="00E773BF">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账号</w:t>
            </w:r>
          </w:p>
        </w:tc>
        <w:tc>
          <w:tcPr>
            <w:tcW w:w="2274" w:type="dxa"/>
            <w:gridSpan w:val="3"/>
            <w:vAlign w:val="center"/>
          </w:tcPr>
          <w:p w14:paraId="6EEC6D76">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c>
          <w:tcPr>
            <w:tcW w:w="790" w:type="dxa"/>
            <w:vMerge w:val="continue"/>
            <w:vAlign w:val="center"/>
          </w:tcPr>
          <w:p w14:paraId="4096DB84">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highlight w:val="none"/>
              </w:rPr>
            </w:pPr>
          </w:p>
        </w:tc>
        <w:tc>
          <w:tcPr>
            <w:tcW w:w="1888" w:type="dxa"/>
            <w:gridSpan w:val="5"/>
            <w:vAlign w:val="center"/>
          </w:tcPr>
          <w:p w14:paraId="7E24750C">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highlight w:val="none"/>
              </w:rPr>
            </w:pPr>
          </w:p>
        </w:tc>
        <w:tc>
          <w:tcPr>
            <w:tcW w:w="1890" w:type="dxa"/>
            <w:gridSpan w:val="2"/>
            <w:vAlign w:val="center"/>
          </w:tcPr>
          <w:p w14:paraId="1D57B894">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highlight w:val="none"/>
              </w:rPr>
            </w:pPr>
          </w:p>
        </w:tc>
      </w:tr>
      <w:tr w14:paraId="6014F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0" w:hRule="atLeast"/>
        </w:trPr>
        <w:tc>
          <w:tcPr>
            <w:tcW w:w="2045" w:type="dxa"/>
            <w:vAlign w:val="center"/>
          </w:tcPr>
          <w:p w14:paraId="62620735">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经营范围</w:t>
            </w:r>
          </w:p>
        </w:tc>
        <w:tc>
          <w:tcPr>
            <w:tcW w:w="6842" w:type="dxa"/>
            <w:gridSpan w:val="11"/>
            <w:vAlign w:val="center"/>
          </w:tcPr>
          <w:p w14:paraId="590E98DA">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r>
      <w:tr w14:paraId="00A41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2045" w:type="dxa"/>
            <w:vAlign w:val="center"/>
          </w:tcPr>
          <w:p w14:paraId="65B2E180">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r>
              <w:rPr>
                <w:rStyle w:val="84"/>
                <w:rFonts w:hint="eastAsia" w:ascii="宋体" w:hAnsi="宋体" w:eastAsia="宋体" w:cs="宋体"/>
                <w:b w:val="0"/>
                <w:i w:val="0"/>
                <w:caps w:val="0"/>
                <w:spacing w:val="0"/>
                <w:w w:val="100"/>
                <w:kern w:val="2"/>
                <w:sz w:val="24"/>
                <w:highlight w:val="none"/>
                <w:lang w:val="en-US" w:eastAsia="zh-CN" w:bidi="ar-SA"/>
              </w:rPr>
              <w:t>备注</w:t>
            </w:r>
          </w:p>
        </w:tc>
        <w:tc>
          <w:tcPr>
            <w:tcW w:w="6842" w:type="dxa"/>
            <w:gridSpan w:val="11"/>
            <w:vAlign w:val="center"/>
          </w:tcPr>
          <w:p w14:paraId="43DDACB7">
            <w:pPr>
              <w:keepNext w:val="0"/>
              <w:keepLines w:val="0"/>
              <w:suppressLineNumbers w:val="0"/>
              <w:snapToGrid/>
              <w:spacing w:before="0" w:beforeAutospacing="0" w:after="0" w:afterAutospacing="0" w:line="240" w:lineRule="auto"/>
              <w:ind w:left="0" w:right="0"/>
              <w:jc w:val="center"/>
              <w:textAlignment w:val="baseline"/>
              <w:rPr>
                <w:rFonts w:hint="eastAsia" w:ascii="宋体" w:hAnsi="宋体" w:eastAsia="宋体" w:cs="宋体"/>
                <w:sz w:val="22"/>
                <w:highlight w:val="none"/>
              </w:rPr>
            </w:pPr>
          </w:p>
        </w:tc>
      </w:tr>
    </w:tbl>
    <w:p w14:paraId="0E0785CC">
      <w:pPr>
        <w:rPr>
          <w:rFonts w:hint="eastAsia" w:ascii="宋体" w:hAnsi="宋体" w:eastAsia="宋体" w:cs="宋体"/>
          <w:b/>
          <w:bCs/>
          <w:sz w:val="24"/>
          <w:szCs w:val="24"/>
          <w:highlight w:val="none"/>
          <w:lang w:val="en-US" w:eastAsia="zh-CN"/>
        </w:rPr>
      </w:pPr>
    </w:p>
    <w:p w14:paraId="5751B512">
      <w:pPr>
        <w:bidi w:val="0"/>
        <w:spacing w:line="360" w:lineRule="auto"/>
        <w:jc w:val="both"/>
        <w:rPr>
          <w:rFonts w:hint="eastAsia" w:ascii="宋体" w:hAnsi="宋体" w:eastAsia="宋体" w:cs="宋体"/>
          <w:b/>
          <w:bCs/>
          <w:sz w:val="24"/>
          <w:szCs w:val="24"/>
          <w:highlight w:val="none"/>
          <w:lang w:val="en-US" w:eastAsia="zh-CN"/>
        </w:rPr>
      </w:pPr>
    </w:p>
    <w:p w14:paraId="061A72D6">
      <w:pPr>
        <w:bidi w:val="0"/>
        <w:spacing w:line="360" w:lineRule="auto"/>
        <w:jc w:val="both"/>
        <w:rPr>
          <w:rFonts w:hint="eastAsia" w:ascii="宋体" w:hAnsi="宋体" w:eastAsia="宋体" w:cs="宋体"/>
          <w:b/>
          <w:bCs/>
          <w:sz w:val="24"/>
          <w:szCs w:val="24"/>
          <w:highlight w:val="none"/>
          <w:lang w:val="en-US" w:eastAsia="zh-CN"/>
        </w:rPr>
      </w:pPr>
    </w:p>
    <w:p w14:paraId="5BD291B6">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52F40627">
      <w:pPr>
        <w:bidi w:val="0"/>
        <w:spacing w:line="36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四、银行开户许可证或基本存款账户信息及磋商保证金缴纳凭证（支票、汇票、本票或者金融机构、担保机构出具的保函等有效凭证）</w:t>
      </w:r>
    </w:p>
    <w:p w14:paraId="5EB9A83B">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3F5F2A2B">
      <w:pPr>
        <w:bidi w:val="0"/>
        <w:spacing w:line="36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五、同类项目案例及相关证明资料</w:t>
      </w:r>
    </w:p>
    <w:p w14:paraId="46C564EB">
      <w:pPr>
        <w:bidi w:val="0"/>
        <w:spacing w:line="360" w:lineRule="auto"/>
        <w:rPr>
          <w:rFonts w:hint="eastAsia" w:ascii="宋体" w:hAnsi="宋体" w:eastAsia="宋体" w:cs="宋体"/>
          <w:sz w:val="24"/>
          <w:szCs w:val="24"/>
          <w:highlight w:val="none"/>
          <w:lang w:eastAsia="zh-CN"/>
        </w:rPr>
      </w:pPr>
    </w:p>
    <w:p w14:paraId="0E73D075">
      <w:pPr>
        <w:bidi w:val="0"/>
        <w:spacing w:line="360" w:lineRule="auto"/>
        <w:rPr>
          <w:rFonts w:hint="eastAsia" w:ascii="宋体" w:hAnsi="宋体" w:eastAsia="宋体" w:cs="宋体"/>
          <w:sz w:val="24"/>
          <w:szCs w:val="24"/>
          <w:highlight w:val="none"/>
          <w:lang w:eastAsia="zh-CN"/>
        </w:rPr>
      </w:pPr>
    </w:p>
    <w:p w14:paraId="0A9ED7C5">
      <w:pPr>
        <w:bidi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同类项目案例一览表</w:t>
      </w:r>
    </w:p>
    <w:p w14:paraId="192AB7B1">
      <w:pPr>
        <w:bidi w:val="0"/>
        <w:spacing w:line="360" w:lineRule="auto"/>
        <w:rPr>
          <w:rFonts w:hint="eastAsia" w:ascii="宋体" w:hAnsi="宋体" w:eastAsia="宋体" w:cs="宋体"/>
          <w:sz w:val="24"/>
          <w:szCs w:val="24"/>
          <w:highlight w:val="none"/>
          <w:lang w:eastAsia="zh-CN"/>
        </w:rPr>
      </w:pPr>
    </w:p>
    <w:p w14:paraId="5BE8EB2C">
      <w:pPr>
        <w:bidi w:val="0"/>
        <w:spacing w:line="360" w:lineRule="auto"/>
        <w:rPr>
          <w:rFonts w:hint="eastAsia" w:ascii="宋体" w:hAnsi="宋体" w:eastAsia="宋体" w:cs="宋体"/>
          <w:sz w:val="24"/>
          <w:szCs w:val="24"/>
          <w:highlight w:val="none"/>
          <w:lang w:eastAsia="zh-CN"/>
        </w:rPr>
      </w:pPr>
    </w:p>
    <w:tbl>
      <w:tblPr>
        <w:tblStyle w:val="33"/>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759"/>
        <w:gridCol w:w="1275"/>
        <w:gridCol w:w="1515"/>
        <w:gridCol w:w="1275"/>
        <w:gridCol w:w="1575"/>
        <w:gridCol w:w="882"/>
      </w:tblGrid>
      <w:tr w14:paraId="5C6C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016" w:type="dxa"/>
            <w:noWrap w:val="0"/>
            <w:vAlign w:val="center"/>
          </w:tcPr>
          <w:p w14:paraId="0777FB65">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序号</w:t>
            </w:r>
          </w:p>
        </w:tc>
        <w:tc>
          <w:tcPr>
            <w:tcW w:w="1759" w:type="dxa"/>
            <w:noWrap w:val="0"/>
            <w:vAlign w:val="center"/>
          </w:tcPr>
          <w:p w14:paraId="6C5C32C4">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br w:type="page"/>
            </w:r>
            <w:r>
              <w:rPr>
                <w:rFonts w:hint="eastAsia" w:ascii="宋体" w:hAnsi="宋体" w:eastAsia="宋体" w:cs="宋体"/>
                <w:sz w:val="24"/>
                <w:szCs w:val="24"/>
                <w:highlight w:val="none"/>
                <w:lang w:val="en-US" w:eastAsia="zh-CN"/>
              </w:rPr>
              <w:t>甲方单位全称</w:t>
            </w:r>
          </w:p>
        </w:tc>
        <w:tc>
          <w:tcPr>
            <w:tcW w:w="1275" w:type="dxa"/>
            <w:noWrap w:val="0"/>
            <w:vAlign w:val="center"/>
          </w:tcPr>
          <w:p w14:paraId="12A9D0CC">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合同金额</w:t>
            </w:r>
          </w:p>
        </w:tc>
        <w:tc>
          <w:tcPr>
            <w:tcW w:w="1515" w:type="dxa"/>
            <w:noWrap w:val="0"/>
            <w:vAlign w:val="center"/>
          </w:tcPr>
          <w:p w14:paraId="779903DE">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签订时间</w:t>
            </w:r>
          </w:p>
        </w:tc>
        <w:tc>
          <w:tcPr>
            <w:tcW w:w="1275" w:type="dxa"/>
            <w:noWrap w:val="0"/>
            <w:vAlign w:val="center"/>
          </w:tcPr>
          <w:p w14:paraId="73A114A4">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p>
        </w:tc>
        <w:tc>
          <w:tcPr>
            <w:tcW w:w="1575" w:type="dxa"/>
            <w:noWrap w:val="0"/>
            <w:vAlign w:val="center"/>
          </w:tcPr>
          <w:p w14:paraId="62DC9B8B">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w:t>
            </w:r>
          </w:p>
        </w:tc>
        <w:tc>
          <w:tcPr>
            <w:tcW w:w="882" w:type="dxa"/>
            <w:noWrap w:val="0"/>
            <w:vAlign w:val="center"/>
          </w:tcPr>
          <w:p w14:paraId="459E0460">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r>
      <w:tr w14:paraId="12A2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16" w:type="dxa"/>
            <w:noWrap w:val="0"/>
            <w:vAlign w:val="center"/>
          </w:tcPr>
          <w:p w14:paraId="7855B021">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759" w:type="dxa"/>
            <w:noWrap w:val="0"/>
            <w:vAlign w:val="center"/>
          </w:tcPr>
          <w:p w14:paraId="6A57552F">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275" w:type="dxa"/>
            <w:noWrap w:val="0"/>
            <w:vAlign w:val="center"/>
          </w:tcPr>
          <w:p w14:paraId="1AAD4C42">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515" w:type="dxa"/>
            <w:noWrap w:val="0"/>
            <w:vAlign w:val="center"/>
          </w:tcPr>
          <w:p w14:paraId="5C6346EF">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275" w:type="dxa"/>
            <w:noWrap w:val="0"/>
            <w:vAlign w:val="center"/>
          </w:tcPr>
          <w:p w14:paraId="3E5D38AC">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575" w:type="dxa"/>
            <w:noWrap w:val="0"/>
            <w:vAlign w:val="center"/>
          </w:tcPr>
          <w:p w14:paraId="3200DBF4">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882" w:type="dxa"/>
            <w:noWrap w:val="0"/>
            <w:vAlign w:val="center"/>
          </w:tcPr>
          <w:p w14:paraId="59A821E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r>
      <w:tr w14:paraId="22B6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16" w:type="dxa"/>
            <w:noWrap w:val="0"/>
            <w:vAlign w:val="center"/>
          </w:tcPr>
          <w:p w14:paraId="5DCEEAEA">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759" w:type="dxa"/>
            <w:noWrap w:val="0"/>
            <w:vAlign w:val="center"/>
          </w:tcPr>
          <w:p w14:paraId="72308E30">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275" w:type="dxa"/>
            <w:noWrap w:val="0"/>
            <w:vAlign w:val="center"/>
          </w:tcPr>
          <w:p w14:paraId="7F13375C">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515" w:type="dxa"/>
            <w:noWrap w:val="0"/>
            <w:vAlign w:val="center"/>
          </w:tcPr>
          <w:p w14:paraId="4A9022A7">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275" w:type="dxa"/>
            <w:noWrap w:val="0"/>
            <w:vAlign w:val="center"/>
          </w:tcPr>
          <w:p w14:paraId="0E03E0D0">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575" w:type="dxa"/>
            <w:noWrap w:val="0"/>
            <w:vAlign w:val="center"/>
          </w:tcPr>
          <w:p w14:paraId="5B1560C1">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882" w:type="dxa"/>
            <w:noWrap w:val="0"/>
            <w:vAlign w:val="center"/>
          </w:tcPr>
          <w:p w14:paraId="1AD148A4">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r>
      <w:tr w14:paraId="7F95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16" w:type="dxa"/>
            <w:noWrap w:val="0"/>
            <w:vAlign w:val="center"/>
          </w:tcPr>
          <w:p w14:paraId="715CE4F5">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759" w:type="dxa"/>
            <w:noWrap w:val="0"/>
            <w:vAlign w:val="center"/>
          </w:tcPr>
          <w:p w14:paraId="19924D41">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275" w:type="dxa"/>
            <w:noWrap w:val="0"/>
            <w:vAlign w:val="center"/>
          </w:tcPr>
          <w:p w14:paraId="7CD793F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515" w:type="dxa"/>
            <w:noWrap w:val="0"/>
            <w:vAlign w:val="center"/>
          </w:tcPr>
          <w:p w14:paraId="565A2728">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275" w:type="dxa"/>
            <w:noWrap w:val="0"/>
            <w:vAlign w:val="center"/>
          </w:tcPr>
          <w:p w14:paraId="7956B62C">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575" w:type="dxa"/>
            <w:noWrap w:val="0"/>
            <w:vAlign w:val="center"/>
          </w:tcPr>
          <w:p w14:paraId="1DBFC335">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882" w:type="dxa"/>
            <w:noWrap w:val="0"/>
            <w:vAlign w:val="center"/>
          </w:tcPr>
          <w:p w14:paraId="473B833E">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r>
      <w:tr w14:paraId="304C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16" w:type="dxa"/>
            <w:noWrap w:val="0"/>
            <w:vAlign w:val="center"/>
          </w:tcPr>
          <w:p w14:paraId="3909ABDD">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759" w:type="dxa"/>
            <w:noWrap w:val="0"/>
            <w:vAlign w:val="center"/>
          </w:tcPr>
          <w:p w14:paraId="7E4A95ED">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275" w:type="dxa"/>
            <w:noWrap w:val="0"/>
            <w:vAlign w:val="center"/>
          </w:tcPr>
          <w:p w14:paraId="17C613E0">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515" w:type="dxa"/>
            <w:noWrap w:val="0"/>
            <w:vAlign w:val="center"/>
          </w:tcPr>
          <w:p w14:paraId="1CB30F1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275" w:type="dxa"/>
            <w:noWrap w:val="0"/>
            <w:vAlign w:val="center"/>
          </w:tcPr>
          <w:p w14:paraId="4B2DD595">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575" w:type="dxa"/>
            <w:noWrap w:val="0"/>
            <w:vAlign w:val="center"/>
          </w:tcPr>
          <w:p w14:paraId="69B7E25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882" w:type="dxa"/>
            <w:noWrap w:val="0"/>
            <w:vAlign w:val="center"/>
          </w:tcPr>
          <w:p w14:paraId="40E9C4A2">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r>
      <w:tr w14:paraId="54BC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16" w:type="dxa"/>
            <w:noWrap w:val="0"/>
            <w:vAlign w:val="center"/>
          </w:tcPr>
          <w:p w14:paraId="061C051A">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759" w:type="dxa"/>
            <w:noWrap w:val="0"/>
            <w:vAlign w:val="center"/>
          </w:tcPr>
          <w:p w14:paraId="14C7BACE">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275" w:type="dxa"/>
            <w:noWrap w:val="0"/>
            <w:vAlign w:val="center"/>
          </w:tcPr>
          <w:p w14:paraId="18C45DA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515" w:type="dxa"/>
            <w:noWrap w:val="0"/>
            <w:vAlign w:val="center"/>
          </w:tcPr>
          <w:p w14:paraId="1CFF94ED">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275" w:type="dxa"/>
            <w:noWrap w:val="0"/>
            <w:vAlign w:val="center"/>
          </w:tcPr>
          <w:p w14:paraId="317336DA">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575" w:type="dxa"/>
            <w:noWrap w:val="0"/>
            <w:vAlign w:val="center"/>
          </w:tcPr>
          <w:p w14:paraId="76AA6B7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882" w:type="dxa"/>
            <w:noWrap w:val="0"/>
            <w:vAlign w:val="center"/>
          </w:tcPr>
          <w:p w14:paraId="09B35F65">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r>
      <w:tr w14:paraId="4F35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16" w:type="dxa"/>
            <w:noWrap w:val="0"/>
            <w:vAlign w:val="center"/>
          </w:tcPr>
          <w:p w14:paraId="4A30600F">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759" w:type="dxa"/>
            <w:noWrap w:val="0"/>
            <w:vAlign w:val="center"/>
          </w:tcPr>
          <w:p w14:paraId="20E0C0CA">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275" w:type="dxa"/>
            <w:noWrap w:val="0"/>
            <w:vAlign w:val="center"/>
          </w:tcPr>
          <w:p w14:paraId="31910F7B">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515" w:type="dxa"/>
            <w:noWrap w:val="0"/>
            <w:vAlign w:val="center"/>
          </w:tcPr>
          <w:p w14:paraId="0F19D31E">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275" w:type="dxa"/>
            <w:noWrap w:val="0"/>
            <w:vAlign w:val="center"/>
          </w:tcPr>
          <w:p w14:paraId="29C266E5">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575" w:type="dxa"/>
            <w:noWrap w:val="0"/>
            <w:vAlign w:val="center"/>
          </w:tcPr>
          <w:p w14:paraId="7A4E63E4">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882" w:type="dxa"/>
            <w:noWrap w:val="0"/>
            <w:vAlign w:val="center"/>
          </w:tcPr>
          <w:p w14:paraId="77CFFE0C">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r>
      <w:tr w14:paraId="5CE7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16" w:type="dxa"/>
            <w:noWrap w:val="0"/>
            <w:vAlign w:val="center"/>
          </w:tcPr>
          <w:p w14:paraId="7B368EB8">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759" w:type="dxa"/>
            <w:noWrap w:val="0"/>
            <w:vAlign w:val="center"/>
          </w:tcPr>
          <w:p w14:paraId="4209E664">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275" w:type="dxa"/>
            <w:noWrap w:val="0"/>
            <w:vAlign w:val="center"/>
          </w:tcPr>
          <w:p w14:paraId="11109763">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515" w:type="dxa"/>
            <w:noWrap w:val="0"/>
            <w:vAlign w:val="center"/>
          </w:tcPr>
          <w:p w14:paraId="747702B1">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275" w:type="dxa"/>
            <w:noWrap w:val="0"/>
            <w:vAlign w:val="center"/>
          </w:tcPr>
          <w:p w14:paraId="2ABD3D7C">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1575" w:type="dxa"/>
            <w:noWrap w:val="0"/>
            <w:vAlign w:val="center"/>
          </w:tcPr>
          <w:p w14:paraId="53B21922">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c>
          <w:tcPr>
            <w:tcW w:w="882" w:type="dxa"/>
            <w:noWrap w:val="0"/>
            <w:vAlign w:val="center"/>
          </w:tcPr>
          <w:p w14:paraId="09F1FE3D">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val="en-US" w:eastAsia="zh-CN"/>
              </w:rPr>
            </w:pPr>
          </w:p>
        </w:tc>
      </w:tr>
    </w:tbl>
    <w:p w14:paraId="16C867C7">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备注：</w:t>
      </w:r>
    </w:p>
    <w:p w14:paraId="336D0C7A">
      <w:pPr>
        <w:widowControl w:val="0"/>
        <w:numPr>
          <w:ilvl w:val="0"/>
          <w:numId w:val="0"/>
        </w:numP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kern w:val="0"/>
          <w:sz w:val="21"/>
          <w:szCs w:val="21"/>
          <w:highlight w:val="none"/>
          <w:lang w:val="en-US" w:eastAsia="zh-CN" w:bidi="ar-SA"/>
        </w:rPr>
        <w:t>1、此表如内容填写不下，可另附页。</w:t>
      </w:r>
    </w:p>
    <w:p w14:paraId="6DE7F51B">
      <w:pPr>
        <w:bidi w:val="0"/>
        <w:spacing w:line="360" w:lineRule="auto"/>
        <w:rPr>
          <w:rFonts w:hint="eastAsia" w:ascii="宋体" w:hAnsi="宋体" w:eastAsia="宋体" w:cs="宋体"/>
          <w:sz w:val="24"/>
          <w:szCs w:val="24"/>
          <w:highlight w:val="none"/>
          <w:lang w:eastAsia="zh-CN"/>
        </w:rPr>
      </w:pPr>
    </w:p>
    <w:p w14:paraId="2787B11F">
      <w:pPr>
        <w:bidi w:val="0"/>
        <w:spacing w:line="360" w:lineRule="auto"/>
        <w:rPr>
          <w:rFonts w:hint="eastAsia" w:ascii="宋体" w:hAnsi="宋体" w:eastAsia="宋体" w:cs="宋体"/>
          <w:sz w:val="24"/>
          <w:szCs w:val="24"/>
          <w:highlight w:val="none"/>
          <w:lang w:eastAsia="zh-CN"/>
        </w:rPr>
      </w:pPr>
    </w:p>
    <w:p w14:paraId="2A6C3715">
      <w:pPr>
        <w:bidi w:val="0"/>
        <w:spacing w:line="360" w:lineRule="auto"/>
        <w:ind w:firstLine="480" w:firstLineChars="200"/>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（加盖公章）</w:t>
      </w:r>
    </w:p>
    <w:p w14:paraId="29316F3D">
      <w:pPr>
        <w:bidi w:val="0"/>
        <w:spacing w:line="360" w:lineRule="auto"/>
        <w:ind w:firstLine="480" w:firstLineChars="200"/>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法定代表人或委托代理人：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（签字或签章）</w:t>
      </w:r>
    </w:p>
    <w:p w14:paraId="6A5917BC">
      <w:pPr>
        <w:wordWrap w:val="0"/>
        <w:bidi w:val="0"/>
        <w:spacing w:line="360" w:lineRule="auto"/>
        <w:ind w:firstLine="480" w:firstLineChars="200"/>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日期：</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日  </w:t>
      </w:r>
    </w:p>
    <w:p w14:paraId="6516010E">
      <w:p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br w:type="page"/>
      </w:r>
    </w:p>
    <w:p w14:paraId="7270DC23">
      <w:pPr>
        <w:bidi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同类项目案例（序号   ）</w:t>
      </w:r>
    </w:p>
    <w:tbl>
      <w:tblPr>
        <w:tblStyle w:val="33"/>
        <w:tblpPr w:leftFromText="180" w:rightFromText="180" w:vertAnchor="text" w:horzAnchor="page" w:tblpX="1750" w:tblpY="33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6253"/>
      </w:tblGrid>
      <w:tr w14:paraId="55F61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68" w:type="dxa"/>
            <w:vAlign w:val="center"/>
          </w:tcPr>
          <w:p w14:paraId="5E1BD07A">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253" w:type="dxa"/>
            <w:vAlign w:val="center"/>
          </w:tcPr>
          <w:p w14:paraId="2DF3A0C1">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p>
        </w:tc>
      </w:tr>
      <w:tr w14:paraId="256F6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68" w:type="dxa"/>
            <w:vAlign w:val="center"/>
          </w:tcPr>
          <w:p w14:paraId="063746DC">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项目所在地</w:t>
            </w:r>
          </w:p>
        </w:tc>
        <w:tc>
          <w:tcPr>
            <w:tcW w:w="6253" w:type="dxa"/>
            <w:vAlign w:val="center"/>
          </w:tcPr>
          <w:p w14:paraId="2B3B39EA">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p>
        </w:tc>
      </w:tr>
      <w:tr w14:paraId="12564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68" w:type="dxa"/>
            <w:vAlign w:val="center"/>
          </w:tcPr>
          <w:p w14:paraId="46FAC0E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名称</w:t>
            </w:r>
          </w:p>
        </w:tc>
        <w:tc>
          <w:tcPr>
            <w:tcW w:w="6253" w:type="dxa"/>
            <w:vAlign w:val="center"/>
          </w:tcPr>
          <w:p w14:paraId="471FD2E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p>
        </w:tc>
      </w:tr>
      <w:tr w14:paraId="2AA6E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68" w:type="dxa"/>
            <w:vAlign w:val="center"/>
          </w:tcPr>
          <w:p w14:paraId="3FAD6AC3">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地址</w:t>
            </w:r>
          </w:p>
        </w:tc>
        <w:tc>
          <w:tcPr>
            <w:tcW w:w="6253" w:type="dxa"/>
            <w:vAlign w:val="center"/>
          </w:tcPr>
          <w:p w14:paraId="49A89511">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p>
        </w:tc>
      </w:tr>
      <w:tr w14:paraId="6966A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68" w:type="dxa"/>
            <w:vAlign w:val="center"/>
          </w:tcPr>
          <w:p w14:paraId="62D47E65">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发包人联系人及</w:t>
            </w:r>
            <w:r>
              <w:rPr>
                <w:rFonts w:hint="eastAsia" w:ascii="宋体" w:hAnsi="宋体" w:eastAsia="宋体" w:cs="宋体"/>
                <w:sz w:val="24"/>
                <w:szCs w:val="24"/>
                <w:highlight w:val="none"/>
              </w:rPr>
              <w:t>电话</w:t>
            </w:r>
          </w:p>
        </w:tc>
        <w:tc>
          <w:tcPr>
            <w:tcW w:w="6253" w:type="dxa"/>
            <w:vAlign w:val="center"/>
          </w:tcPr>
          <w:p w14:paraId="3E47CF6B">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p>
        </w:tc>
      </w:tr>
      <w:tr w14:paraId="534E7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68" w:type="dxa"/>
            <w:vAlign w:val="center"/>
          </w:tcPr>
          <w:p w14:paraId="2B7D5D21">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合同价格</w:t>
            </w:r>
          </w:p>
        </w:tc>
        <w:tc>
          <w:tcPr>
            <w:tcW w:w="6253" w:type="dxa"/>
            <w:vAlign w:val="center"/>
          </w:tcPr>
          <w:p w14:paraId="4341A04C">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p>
        </w:tc>
      </w:tr>
      <w:tr w14:paraId="3D88A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68" w:type="dxa"/>
            <w:vAlign w:val="center"/>
          </w:tcPr>
          <w:p w14:paraId="5422EEBE">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项目经理</w:t>
            </w:r>
          </w:p>
        </w:tc>
        <w:tc>
          <w:tcPr>
            <w:tcW w:w="6253" w:type="dxa"/>
            <w:vAlign w:val="center"/>
          </w:tcPr>
          <w:p w14:paraId="1F11DDF0">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p>
        </w:tc>
      </w:tr>
      <w:tr w14:paraId="07CEA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68" w:type="dxa"/>
            <w:vAlign w:val="center"/>
          </w:tcPr>
          <w:p w14:paraId="0DA6E0A9">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6253" w:type="dxa"/>
            <w:vAlign w:val="center"/>
          </w:tcPr>
          <w:p w14:paraId="3B211A16">
            <w:pPr>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none"/>
              </w:rPr>
            </w:pPr>
          </w:p>
        </w:tc>
      </w:tr>
    </w:tbl>
    <w:p w14:paraId="7758AE97">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p w14:paraId="0B205D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1、2023年5月至递交响应文件截止时间的同类项目案例，要求以签订时间为准的正式合同作为证明。(必须提供与最终用户签订的合同首页、合同金额所在页、签字盖章页的复印件)。</w:t>
      </w:r>
    </w:p>
    <w:p w14:paraId="51191B6A">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2、此表如打印不下，可另附页。</w:t>
      </w:r>
    </w:p>
    <w:p w14:paraId="5A8BCDB4">
      <w:pPr>
        <w:bidi w:val="0"/>
        <w:spacing w:line="360" w:lineRule="auto"/>
        <w:ind w:firstLine="480" w:firstLineChars="200"/>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（加盖公章）</w:t>
      </w:r>
    </w:p>
    <w:p w14:paraId="5C54ED86">
      <w:pPr>
        <w:bidi w:val="0"/>
        <w:spacing w:line="360" w:lineRule="auto"/>
        <w:ind w:firstLine="480" w:firstLineChars="200"/>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法定代表人或委托代理人：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（签字或签章）</w:t>
      </w:r>
    </w:p>
    <w:p w14:paraId="5A9ADE33">
      <w:pPr>
        <w:wordWrap w:val="0"/>
        <w:bidi w:val="0"/>
        <w:spacing w:line="360" w:lineRule="auto"/>
        <w:ind w:firstLine="480" w:firstLineChars="200"/>
        <w:jc w:val="righ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4"/>
          <w:szCs w:val="24"/>
          <w:highlight w:val="none"/>
          <w:lang w:val="en-US" w:eastAsia="zh-CN" w:bidi="ar-SA"/>
        </w:rPr>
        <w:t>日期：</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日     </w:t>
      </w:r>
      <w:r>
        <w:rPr>
          <w:rFonts w:hint="eastAsia" w:ascii="宋体" w:hAnsi="宋体" w:eastAsia="宋体" w:cs="宋体"/>
          <w:color w:val="auto"/>
          <w:kern w:val="0"/>
          <w:sz w:val="21"/>
          <w:szCs w:val="21"/>
          <w:highlight w:val="none"/>
          <w:lang w:val="en-US" w:eastAsia="zh-CN" w:bidi="ar-SA"/>
        </w:rPr>
        <w:t xml:space="preserve">        </w:t>
      </w:r>
    </w:p>
    <w:p w14:paraId="5FE4F5F6">
      <w:pPr>
        <w:bidi w:val="0"/>
        <w:spacing w:line="36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eastAsia="zh-CN"/>
        </w:rPr>
        <w:br w:type="page"/>
      </w:r>
    </w:p>
    <w:p w14:paraId="6E87C610">
      <w:pPr>
        <w:bidi w:val="0"/>
        <w:spacing w:line="36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六、政策性要求文件</w:t>
      </w:r>
    </w:p>
    <w:p w14:paraId="397371C8">
      <w:pPr>
        <w:tabs>
          <w:tab w:val="left" w:pos="1680"/>
        </w:tabs>
        <w:snapToGrid w:val="0"/>
        <w:spacing w:line="360" w:lineRule="auto"/>
        <w:rPr>
          <w:rFonts w:hint="eastAsia" w:ascii="宋体" w:hAnsi="宋体" w:eastAsia="宋体" w:cs="宋体"/>
          <w:b/>
          <w:kern w:val="0"/>
          <w:sz w:val="24"/>
          <w:highlight w:val="none"/>
        </w:rPr>
      </w:pPr>
    </w:p>
    <w:p w14:paraId="47860BF3">
      <w:pPr>
        <w:tabs>
          <w:tab w:val="left" w:pos="1680"/>
        </w:tabs>
        <w:snapToGrid w:val="0"/>
        <w:spacing w:line="360" w:lineRule="auto"/>
        <w:rPr>
          <w:rFonts w:hint="eastAsia" w:ascii="宋体" w:hAnsi="宋体" w:eastAsia="宋体" w:cs="宋体"/>
          <w:sz w:val="24"/>
          <w:highlight w:val="none"/>
        </w:rPr>
      </w:pPr>
      <w:r>
        <w:rPr>
          <w:rFonts w:hint="eastAsia" w:ascii="宋体" w:hAnsi="宋体" w:eastAsia="宋体" w:cs="宋体"/>
          <w:b/>
          <w:kern w:val="0"/>
          <w:sz w:val="24"/>
          <w:highlight w:val="none"/>
        </w:rPr>
        <w:t>（一）</w:t>
      </w:r>
      <w:r>
        <w:rPr>
          <w:rFonts w:hint="eastAsia" w:ascii="宋体" w:hAnsi="宋体" w:eastAsia="宋体" w:cs="宋体"/>
          <w:b/>
          <w:sz w:val="24"/>
          <w:highlight w:val="none"/>
        </w:rPr>
        <w:t>环保节能产品证明材料</w:t>
      </w:r>
      <w:r>
        <w:rPr>
          <w:rFonts w:hint="eastAsia" w:ascii="宋体" w:hAnsi="宋体" w:eastAsia="宋体" w:cs="宋体"/>
          <w:b/>
          <w:kern w:val="0"/>
          <w:sz w:val="24"/>
          <w:highlight w:val="none"/>
        </w:rPr>
        <w:t>（如不涉及，此函可不提供）</w:t>
      </w:r>
    </w:p>
    <w:p w14:paraId="672B79A5">
      <w:pPr>
        <w:tabs>
          <w:tab w:val="left" w:pos="1680"/>
        </w:tabs>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（1）强制节能产品明细表格式（以包为单位分别填写，如本项目所投产品中不涉及强制节能产品，此表可不提供）</w:t>
      </w:r>
    </w:p>
    <w:p w14:paraId="0FA1E58F">
      <w:pPr>
        <w:tabs>
          <w:tab w:val="left" w:pos="1680"/>
        </w:tabs>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强制节能产品明细表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1FCE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2AD84C42">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955" w:type="dxa"/>
            <w:noWrap w:val="0"/>
            <w:vAlign w:val="center"/>
          </w:tcPr>
          <w:p w14:paraId="4BC28350">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产品名称</w:t>
            </w:r>
          </w:p>
        </w:tc>
        <w:tc>
          <w:tcPr>
            <w:tcW w:w="955" w:type="dxa"/>
            <w:noWrap w:val="0"/>
            <w:vAlign w:val="center"/>
          </w:tcPr>
          <w:p w14:paraId="35220170">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制造商</w:t>
            </w:r>
          </w:p>
        </w:tc>
        <w:tc>
          <w:tcPr>
            <w:tcW w:w="955" w:type="dxa"/>
            <w:noWrap w:val="0"/>
            <w:vAlign w:val="center"/>
          </w:tcPr>
          <w:p w14:paraId="7E980A7A">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产品型号</w:t>
            </w:r>
          </w:p>
        </w:tc>
        <w:tc>
          <w:tcPr>
            <w:tcW w:w="1637" w:type="dxa"/>
            <w:noWrap w:val="0"/>
            <w:vAlign w:val="center"/>
          </w:tcPr>
          <w:p w14:paraId="1265016E">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节能产品认证证书号</w:t>
            </w:r>
          </w:p>
        </w:tc>
        <w:tc>
          <w:tcPr>
            <w:tcW w:w="1860" w:type="dxa"/>
            <w:noWrap w:val="0"/>
            <w:vAlign w:val="center"/>
          </w:tcPr>
          <w:p w14:paraId="7919ABA4">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认证证书有效截止日期</w:t>
            </w:r>
          </w:p>
        </w:tc>
        <w:tc>
          <w:tcPr>
            <w:tcW w:w="1850" w:type="dxa"/>
            <w:noWrap w:val="0"/>
            <w:vAlign w:val="center"/>
          </w:tcPr>
          <w:p w14:paraId="7E20A939">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认证机构名录</w:t>
            </w:r>
          </w:p>
        </w:tc>
      </w:tr>
      <w:tr w14:paraId="4AFE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066FB38D">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14:paraId="677486A3">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14:paraId="7DECBD42">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14:paraId="74EFED42">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637" w:type="dxa"/>
            <w:noWrap w:val="0"/>
            <w:vAlign w:val="top"/>
          </w:tcPr>
          <w:p w14:paraId="2A7C6BDD">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60" w:type="dxa"/>
            <w:noWrap w:val="0"/>
            <w:vAlign w:val="top"/>
          </w:tcPr>
          <w:p w14:paraId="7642D0A3">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50" w:type="dxa"/>
            <w:noWrap w:val="0"/>
            <w:vAlign w:val="top"/>
          </w:tcPr>
          <w:p w14:paraId="594A2D84">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r w14:paraId="0AEC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0D90A391">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14:paraId="6DFEF9DD">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14:paraId="6A0E5212">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14:paraId="2FCC0539">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637" w:type="dxa"/>
            <w:noWrap w:val="0"/>
            <w:vAlign w:val="top"/>
          </w:tcPr>
          <w:p w14:paraId="3310523D">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60" w:type="dxa"/>
            <w:noWrap w:val="0"/>
            <w:vAlign w:val="top"/>
          </w:tcPr>
          <w:p w14:paraId="1AA294E3">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50" w:type="dxa"/>
            <w:noWrap w:val="0"/>
            <w:vAlign w:val="top"/>
          </w:tcPr>
          <w:p w14:paraId="38676D34">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r w14:paraId="0429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0D753064">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14:paraId="0D93280A">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14:paraId="02682D90">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14:paraId="06741588">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637" w:type="dxa"/>
            <w:noWrap w:val="0"/>
            <w:vAlign w:val="top"/>
          </w:tcPr>
          <w:p w14:paraId="37329707">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60" w:type="dxa"/>
            <w:noWrap w:val="0"/>
            <w:vAlign w:val="top"/>
          </w:tcPr>
          <w:p w14:paraId="6CE8997C">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50" w:type="dxa"/>
            <w:noWrap w:val="0"/>
            <w:vAlign w:val="top"/>
          </w:tcPr>
          <w:p w14:paraId="670CD0B4">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bl>
    <w:p w14:paraId="105758E4">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673B2995">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注：</w:t>
      </w:r>
    </w:p>
    <w:p w14:paraId="35AE1D49">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1．采购货物中如含有强制节能产品的，须如实填写强制节能产品明细表；</w:t>
      </w:r>
    </w:p>
    <w:p w14:paraId="72A512D3">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 提供所投产品获得国家确定的认证机构出具的、处于有效期之内的产品认证证书。</w:t>
      </w:r>
    </w:p>
    <w:p w14:paraId="00F670D1">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3．所投报信息安全产品属于《信息安全产品强制性认证目录》中的产品，表格格式参照本项明细表提供，有效认证证书扫描件或影印件附后。</w:t>
      </w:r>
    </w:p>
    <w:p w14:paraId="40483EFD">
      <w:pPr>
        <w:tabs>
          <w:tab w:val="left" w:pos="1680"/>
        </w:tabs>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（2）对非实质性要求的响应内容</w:t>
      </w:r>
    </w:p>
    <w:p w14:paraId="689F5282">
      <w:pPr>
        <w:tabs>
          <w:tab w:val="left" w:pos="1680"/>
        </w:tabs>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非政府强制采购产品明细表格式（若有的话，以包为单位分别填写）</w:t>
      </w:r>
    </w:p>
    <w:p w14:paraId="05A0B8C4">
      <w:pPr>
        <w:tabs>
          <w:tab w:val="left" w:pos="1680"/>
        </w:tabs>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非政府强制采购产品明细表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901"/>
        <w:gridCol w:w="753"/>
        <w:gridCol w:w="901"/>
        <w:gridCol w:w="1345"/>
        <w:gridCol w:w="1789"/>
        <w:gridCol w:w="3334"/>
      </w:tblGrid>
      <w:tr w14:paraId="11C9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571239A">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09C3FA8">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产品名称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EBBF21C">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制造商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889ECB6">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产品型号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A9F2BA8">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产品认证证书号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B123BCA">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认证证书有效截止日期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6313815">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本产品报价金额占本包总报价金额比重（%）</w:t>
            </w:r>
          </w:p>
        </w:tc>
      </w:tr>
      <w:tr w14:paraId="577B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43082F5D">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47560FB1">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6F44422C">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4B5184CC">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00ABAE23">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094604BD">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68A686D7">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rPr>
            </w:pPr>
          </w:p>
        </w:tc>
      </w:tr>
      <w:tr w14:paraId="5388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506B6B48">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665E8A2E">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F22CE88">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1583FE01">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0DA644C2">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32B0787D">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7357BE8D">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rPr>
            </w:pPr>
          </w:p>
        </w:tc>
      </w:tr>
    </w:tbl>
    <w:p w14:paraId="34646786">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注：认证证书附后。</w:t>
      </w:r>
    </w:p>
    <w:p w14:paraId="653E9916">
      <w:pPr>
        <w:rPr>
          <w:rFonts w:hint="eastAsia" w:ascii="宋体" w:hAnsi="宋体" w:eastAsia="宋体" w:cs="宋体"/>
          <w:bCs/>
          <w:sz w:val="24"/>
          <w:highlight w:val="none"/>
        </w:rPr>
      </w:pPr>
    </w:p>
    <w:p w14:paraId="7D794022">
      <w:pPr>
        <w:rPr>
          <w:rFonts w:hint="eastAsia" w:ascii="宋体" w:hAnsi="宋体" w:eastAsia="宋体" w:cs="宋体"/>
          <w:b/>
          <w:sz w:val="24"/>
          <w:highlight w:val="none"/>
        </w:rPr>
      </w:pPr>
      <w:r>
        <w:rPr>
          <w:rFonts w:hint="eastAsia" w:ascii="宋体" w:hAnsi="宋体" w:eastAsia="宋体" w:cs="宋体"/>
          <w:b/>
          <w:sz w:val="24"/>
          <w:highlight w:val="none"/>
        </w:rPr>
        <w:br w:type="page"/>
      </w:r>
    </w:p>
    <w:p w14:paraId="0A96E3E6">
      <w:pPr>
        <w:spacing w:line="480" w:lineRule="exact"/>
        <w:rPr>
          <w:rFonts w:hint="eastAsia" w:ascii="宋体" w:hAnsi="宋体" w:eastAsia="宋体" w:cs="宋体"/>
          <w:b/>
          <w:sz w:val="24"/>
          <w:highlight w:val="none"/>
        </w:rPr>
      </w:pPr>
      <w:r>
        <w:rPr>
          <w:rFonts w:hint="eastAsia" w:ascii="宋体" w:hAnsi="宋体" w:eastAsia="宋体" w:cs="宋体"/>
          <w:b/>
          <w:sz w:val="24"/>
          <w:highlight w:val="none"/>
        </w:rPr>
        <w:t>（二）正版软件承诺格式</w:t>
      </w:r>
      <w:r>
        <w:rPr>
          <w:rFonts w:hint="eastAsia" w:ascii="宋体" w:hAnsi="宋体" w:eastAsia="宋体" w:cs="宋体"/>
          <w:b/>
          <w:kern w:val="0"/>
          <w:sz w:val="24"/>
          <w:highlight w:val="none"/>
        </w:rPr>
        <w:t>（如不涉及，此函可不提供）</w:t>
      </w:r>
    </w:p>
    <w:p w14:paraId="058E753F">
      <w:pPr>
        <w:spacing w:line="480" w:lineRule="exact"/>
        <w:jc w:val="center"/>
        <w:rPr>
          <w:rFonts w:hint="eastAsia" w:ascii="宋体" w:hAnsi="宋体" w:eastAsia="宋体" w:cs="宋体"/>
          <w:b/>
          <w:sz w:val="24"/>
          <w:highlight w:val="none"/>
        </w:rPr>
      </w:pPr>
    </w:p>
    <w:p w14:paraId="56655A00">
      <w:pPr>
        <w:spacing w:line="480" w:lineRule="exact"/>
        <w:jc w:val="center"/>
        <w:rPr>
          <w:rFonts w:hint="eastAsia" w:ascii="宋体" w:hAnsi="宋体" w:eastAsia="宋体" w:cs="宋体"/>
          <w:b/>
          <w:sz w:val="24"/>
          <w:highlight w:val="none"/>
        </w:rPr>
      </w:pPr>
      <w:r>
        <w:rPr>
          <w:rFonts w:hint="eastAsia" w:ascii="宋体" w:hAnsi="宋体" w:eastAsia="宋体" w:cs="宋体"/>
          <w:b/>
          <w:sz w:val="24"/>
          <w:highlight w:val="none"/>
        </w:rPr>
        <w:t>正版软件承诺</w:t>
      </w:r>
    </w:p>
    <w:p w14:paraId="09EEB6AA">
      <w:pPr>
        <w:widowControl/>
        <w:snapToGrid w:val="0"/>
        <w:spacing w:line="360" w:lineRule="auto"/>
        <w:jc w:val="left"/>
        <w:rPr>
          <w:rFonts w:hint="eastAsia" w:ascii="宋体" w:hAnsi="宋体" w:eastAsia="宋体" w:cs="宋体"/>
          <w:kern w:val="0"/>
          <w:sz w:val="24"/>
          <w:highlight w:val="none"/>
          <w:u w:val="single"/>
        </w:rPr>
      </w:pPr>
    </w:p>
    <w:p w14:paraId="29D3CCFD">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u w:val="single"/>
        </w:rPr>
        <w:t xml:space="preserve">  </w:t>
      </w:r>
      <w:r>
        <w:rPr>
          <w:rFonts w:hint="eastAsia" w:ascii="宋体" w:hAnsi="宋体" w:eastAsia="宋体" w:cs="宋体"/>
          <w:kern w:val="0"/>
          <w:sz w:val="24"/>
          <w:highlight w:val="none"/>
          <w:u w:val="single"/>
          <w:lang w:eastAsia="zh-CN"/>
        </w:rPr>
        <w:t>采购人</w:t>
      </w:r>
      <w:r>
        <w:rPr>
          <w:rFonts w:hint="eastAsia" w:ascii="宋体" w:hAnsi="宋体" w:eastAsia="宋体" w:cs="宋体"/>
          <w:sz w:val="24"/>
          <w:highlight w:val="none"/>
          <w:u w:val="single"/>
        </w:rPr>
        <w:t xml:space="preserve">  ：</w:t>
      </w:r>
    </w:p>
    <w:p w14:paraId="4574DBE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w:t>
      </w:r>
      <w:r>
        <w:rPr>
          <w:rFonts w:hint="eastAsia" w:ascii="宋体" w:hAnsi="宋体" w:eastAsia="宋体" w:cs="宋体"/>
          <w:sz w:val="24"/>
          <w:highlight w:val="none"/>
          <w:lang w:eastAsia="zh-CN"/>
        </w:rPr>
        <w:t>单位</w:t>
      </w:r>
      <w:r>
        <w:rPr>
          <w:rFonts w:hint="eastAsia" w:ascii="宋体" w:hAnsi="宋体" w:eastAsia="宋体" w:cs="宋体"/>
          <w:sz w:val="24"/>
          <w:highlight w:val="none"/>
        </w:rPr>
        <w:t>现参与</w:t>
      </w:r>
      <w:r>
        <w:rPr>
          <w:rFonts w:hint="eastAsia" w:ascii="宋体" w:hAnsi="宋体" w:eastAsia="宋体" w:cs="宋体"/>
          <w:sz w:val="24"/>
          <w:highlight w:val="none"/>
          <w:u w:val="single"/>
          <w:lang w:val="en-US" w:eastAsia="zh-CN"/>
        </w:rPr>
        <w:t>（项目名称）、（项目编号：      ）</w:t>
      </w:r>
      <w:r>
        <w:rPr>
          <w:rFonts w:hint="eastAsia" w:ascii="宋体" w:hAnsi="宋体" w:eastAsia="宋体" w:cs="宋体"/>
          <w:sz w:val="24"/>
          <w:highlight w:val="none"/>
        </w:rPr>
        <w:t>的采购活动，本公司承诺投报的计算机产品预装正版操作系统，投报的硬件产品内的预装软件为正版软件。</w:t>
      </w:r>
    </w:p>
    <w:p w14:paraId="431F1FB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如上述声明不真实，愿意按照政府采购有关法律法规的规定接受处罚。</w:t>
      </w:r>
    </w:p>
    <w:p w14:paraId="15A90C4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特此声明</w:t>
      </w:r>
    </w:p>
    <w:p w14:paraId="067894A8">
      <w:pPr>
        <w:snapToGrid w:val="0"/>
        <w:spacing w:line="520" w:lineRule="exact"/>
        <w:rPr>
          <w:rFonts w:hint="eastAsia" w:ascii="宋体" w:hAnsi="宋体" w:eastAsia="宋体" w:cs="宋体"/>
          <w:sz w:val="24"/>
          <w:highlight w:val="none"/>
        </w:rPr>
      </w:pPr>
    </w:p>
    <w:p w14:paraId="350E3280">
      <w:pPr>
        <w:snapToGrid w:val="0"/>
        <w:spacing w:line="480" w:lineRule="exact"/>
        <w:rPr>
          <w:rFonts w:hint="eastAsia" w:ascii="宋体" w:hAnsi="宋体" w:eastAsia="宋体" w:cs="宋体"/>
          <w:sz w:val="24"/>
          <w:highlight w:val="none"/>
        </w:rPr>
      </w:pPr>
    </w:p>
    <w:p w14:paraId="54874F69">
      <w:pPr>
        <w:snapToGrid w:val="0"/>
        <w:spacing w:line="480" w:lineRule="exact"/>
        <w:rPr>
          <w:rFonts w:hint="eastAsia" w:ascii="宋体" w:hAnsi="宋体" w:eastAsia="宋体" w:cs="宋体"/>
          <w:sz w:val="24"/>
          <w:highlight w:val="none"/>
        </w:rPr>
      </w:pPr>
    </w:p>
    <w:p w14:paraId="12E84291">
      <w:pPr>
        <w:widowControl/>
        <w:tabs>
          <w:tab w:val="left" w:pos="4000"/>
        </w:tabs>
        <w:snapToGrid w:val="0"/>
        <w:spacing w:line="360" w:lineRule="auto"/>
        <w:ind w:firstLine="3120" w:firstLineChars="13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供应商</w:t>
      </w:r>
      <w:r>
        <w:rPr>
          <w:rFonts w:hint="eastAsia" w:ascii="宋体" w:hAnsi="宋体" w:eastAsia="宋体" w:cs="宋体"/>
          <w:kern w:val="0"/>
          <w:sz w:val="24"/>
          <w:highlight w:val="none"/>
        </w:rPr>
        <w:t>全称(加盖公章)：</w:t>
      </w:r>
    </w:p>
    <w:p w14:paraId="5A3F51D3">
      <w:pPr>
        <w:widowControl/>
        <w:tabs>
          <w:tab w:val="left" w:pos="4000"/>
        </w:tabs>
        <w:snapToGrid w:val="0"/>
        <w:spacing w:line="360" w:lineRule="auto"/>
        <w:ind w:firstLine="3120" w:firstLineChars="1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日   期：</w:t>
      </w:r>
    </w:p>
    <w:p w14:paraId="6195BC71">
      <w:pPr>
        <w:widowControl/>
        <w:snapToGrid w:val="0"/>
        <w:spacing w:line="360" w:lineRule="auto"/>
        <w:jc w:val="left"/>
        <w:rPr>
          <w:rFonts w:hint="eastAsia" w:ascii="宋体" w:hAnsi="宋体" w:eastAsia="宋体" w:cs="宋体"/>
          <w:b/>
          <w:kern w:val="0"/>
          <w:sz w:val="24"/>
          <w:highlight w:val="none"/>
        </w:rPr>
      </w:pPr>
    </w:p>
    <w:p w14:paraId="53776BE2">
      <w:pPr>
        <w:spacing w:line="480" w:lineRule="exact"/>
        <w:rPr>
          <w:rFonts w:hint="eastAsia" w:ascii="宋体" w:hAnsi="宋体" w:eastAsia="宋体" w:cs="宋体"/>
          <w:b/>
          <w:sz w:val="24"/>
          <w:highlight w:val="none"/>
        </w:rPr>
      </w:pPr>
    </w:p>
    <w:p w14:paraId="66595581">
      <w:pPr>
        <w:spacing w:line="480" w:lineRule="exac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（三）商品包装和快递包装承诺格式（若有的话，以包为单位分别填写。如不涉及，此函可不提供）</w:t>
      </w:r>
    </w:p>
    <w:p w14:paraId="21FA1B1C">
      <w:pPr>
        <w:spacing w:line="480" w:lineRule="exact"/>
        <w:ind w:firstLine="2289" w:firstLineChars="950"/>
        <w:rPr>
          <w:rFonts w:hint="eastAsia" w:ascii="宋体" w:hAnsi="宋体" w:eastAsia="宋体" w:cs="宋体"/>
          <w:b/>
          <w:sz w:val="24"/>
          <w:highlight w:val="none"/>
        </w:rPr>
      </w:pPr>
    </w:p>
    <w:p w14:paraId="6B0181FE">
      <w:pPr>
        <w:spacing w:line="480" w:lineRule="exact"/>
        <w:jc w:val="center"/>
        <w:rPr>
          <w:rFonts w:hint="eastAsia" w:ascii="宋体" w:hAnsi="宋体" w:eastAsia="宋体" w:cs="宋体"/>
          <w:b/>
          <w:sz w:val="24"/>
          <w:highlight w:val="none"/>
        </w:rPr>
      </w:pPr>
      <w:r>
        <w:rPr>
          <w:rFonts w:hint="eastAsia" w:ascii="宋体" w:hAnsi="宋体" w:eastAsia="宋体" w:cs="宋体"/>
          <w:b/>
          <w:sz w:val="24"/>
          <w:highlight w:val="none"/>
        </w:rPr>
        <w:t>商 品 包 装 和 快 递 包 装 承 诺</w:t>
      </w:r>
    </w:p>
    <w:p w14:paraId="09D5B910">
      <w:pPr>
        <w:snapToGrid w:val="0"/>
        <w:spacing w:line="360" w:lineRule="auto"/>
        <w:ind w:firstLine="480" w:firstLineChars="200"/>
        <w:rPr>
          <w:rFonts w:hint="eastAsia" w:ascii="宋体" w:hAnsi="宋体" w:eastAsia="宋体" w:cs="宋体"/>
          <w:sz w:val="24"/>
          <w:highlight w:val="none"/>
        </w:rPr>
      </w:pPr>
    </w:p>
    <w:p w14:paraId="24C669B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本单位</w:t>
      </w:r>
      <w:r>
        <w:rPr>
          <w:rFonts w:hint="eastAsia" w:ascii="宋体" w:hAnsi="宋体" w:eastAsia="宋体" w:cs="宋体"/>
          <w:sz w:val="24"/>
          <w:highlight w:val="none"/>
        </w:rPr>
        <w:t>现参与</w:t>
      </w:r>
      <w:r>
        <w:rPr>
          <w:rFonts w:hint="eastAsia" w:ascii="宋体" w:hAnsi="宋体" w:eastAsia="宋体" w:cs="宋体"/>
          <w:sz w:val="24"/>
          <w:highlight w:val="none"/>
          <w:u w:val="single"/>
          <w:lang w:val="en-US" w:eastAsia="zh-CN"/>
        </w:rPr>
        <w:t>（项目名称）、（项目编号：       ）</w:t>
      </w:r>
      <w:r>
        <w:rPr>
          <w:rFonts w:hint="eastAsia" w:ascii="宋体" w:hAnsi="宋体" w:eastAsia="宋体" w:cs="宋体"/>
          <w:sz w:val="24"/>
          <w:highlight w:val="none"/>
        </w:rPr>
        <w:t>的采购活动，本公司承诺所供商品包装符合《商品包装政府采购需求标准（试行）》，快递包装符合《快递包装政府采购需求标准（试行）》。</w:t>
      </w:r>
    </w:p>
    <w:p w14:paraId="78B75528">
      <w:pPr>
        <w:snapToGrid w:val="0"/>
        <w:spacing w:line="360" w:lineRule="auto"/>
        <w:ind w:firstLine="480" w:firstLineChars="200"/>
        <w:rPr>
          <w:rFonts w:hint="eastAsia" w:ascii="宋体" w:hAnsi="宋体" w:eastAsia="宋体" w:cs="宋体"/>
          <w:sz w:val="24"/>
          <w:highlight w:val="none"/>
        </w:rPr>
      </w:pPr>
    </w:p>
    <w:p w14:paraId="28CCEBD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如上述声明不真实，愿意按照政府采购有关法律法规的规定接受处罚。</w:t>
      </w:r>
    </w:p>
    <w:p w14:paraId="602420A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特此声明</w:t>
      </w:r>
    </w:p>
    <w:p w14:paraId="03F57535">
      <w:pPr>
        <w:widowControl/>
        <w:tabs>
          <w:tab w:val="left" w:pos="4000"/>
        </w:tabs>
        <w:snapToGrid w:val="0"/>
        <w:spacing w:line="360" w:lineRule="auto"/>
        <w:ind w:firstLine="3120" w:firstLineChars="1300"/>
        <w:jc w:val="left"/>
        <w:rPr>
          <w:rFonts w:hint="eastAsia" w:ascii="宋体" w:hAnsi="宋体" w:eastAsia="宋体" w:cs="宋体"/>
          <w:kern w:val="0"/>
          <w:sz w:val="24"/>
          <w:highlight w:val="none"/>
        </w:rPr>
      </w:pPr>
    </w:p>
    <w:p w14:paraId="30AFCCCC">
      <w:pPr>
        <w:widowControl/>
        <w:tabs>
          <w:tab w:val="left" w:pos="4000"/>
        </w:tabs>
        <w:snapToGrid w:val="0"/>
        <w:spacing w:line="360" w:lineRule="auto"/>
        <w:ind w:firstLine="3120" w:firstLineChars="1300"/>
        <w:jc w:val="left"/>
        <w:rPr>
          <w:rFonts w:hint="eastAsia" w:ascii="宋体" w:hAnsi="宋体" w:eastAsia="宋体" w:cs="宋体"/>
          <w:kern w:val="0"/>
          <w:sz w:val="24"/>
          <w:highlight w:val="none"/>
        </w:rPr>
      </w:pPr>
    </w:p>
    <w:p w14:paraId="0EF74C22">
      <w:pPr>
        <w:widowControl/>
        <w:tabs>
          <w:tab w:val="left" w:pos="4000"/>
        </w:tabs>
        <w:snapToGrid w:val="0"/>
        <w:spacing w:line="360" w:lineRule="auto"/>
        <w:ind w:firstLine="4080" w:firstLineChars="17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供应商</w:t>
      </w:r>
      <w:r>
        <w:rPr>
          <w:rFonts w:hint="eastAsia" w:ascii="宋体" w:hAnsi="宋体" w:eastAsia="宋体" w:cs="宋体"/>
          <w:kern w:val="0"/>
          <w:sz w:val="24"/>
          <w:highlight w:val="none"/>
        </w:rPr>
        <w:t>全称(加盖公章)：</w:t>
      </w:r>
    </w:p>
    <w:p w14:paraId="25B22AB1">
      <w:pPr>
        <w:widowControl/>
        <w:tabs>
          <w:tab w:val="left" w:pos="4000"/>
        </w:tabs>
        <w:snapToGrid w:val="0"/>
        <w:spacing w:line="360" w:lineRule="auto"/>
        <w:ind w:firstLine="4080" w:firstLineChars="17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日   期：</w:t>
      </w:r>
    </w:p>
    <w:p w14:paraId="4A2939D6">
      <w:pPr>
        <w:widowControl/>
        <w:snapToGrid w:val="0"/>
        <w:spacing w:line="360" w:lineRule="auto"/>
        <w:jc w:val="left"/>
        <w:rPr>
          <w:rFonts w:hint="eastAsia" w:ascii="宋体" w:hAnsi="宋体" w:eastAsia="宋体" w:cs="宋体"/>
          <w:b/>
          <w:sz w:val="24"/>
          <w:highlight w:val="none"/>
        </w:rPr>
      </w:pPr>
    </w:p>
    <w:p w14:paraId="3E1D1A58">
      <w:pPr>
        <w:rPr>
          <w:rFonts w:hint="eastAsia" w:ascii="宋体" w:hAnsi="宋体" w:eastAsia="宋体" w:cs="宋体"/>
          <w:b/>
          <w:kern w:val="0"/>
          <w:sz w:val="24"/>
          <w:highlight w:val="none"/>
        </w:rPr>
      </w:pPr>
    </w:p>
    <w:p w14:paraId="0BC867C1">
      <w:pPr>
        <w:rPr>
          <w:rFonts w:hint="eastAsia" w:ascii="宋体" w:hAnsi="宋体" w:eastAsia="宋体" w:cs="宋体"/>
          <w:highlight w:val="none"/>
        </w:rPr>
      </w:pPr>
    </w:p>
    <w:p w14:paraId="1361DEC9">
      <w:pPr>
        <w:widowControl/>
        <w:tabs>
          <w:tab w:val="left" w:pos="4000"/>
        </w:tabs>
        <w:snapToGrid w:val="0"/>
        <w:spacing w:line="360" w:lineRule="auto"/>
        <w:ind w:firstLine="4578" w:firstLineChars="1900"/>
        <w:jc w:val="left"/>
        <w:rPr>
          <w:rFonts w:hint="eastAsia" w:ascii="宋体" w:hAnsi="宋体" w:eastAsia="宋体" w:cs="宋体"/>
          <w:kern w:val="0"/>
          <w:sz w:val="24"/>
          <w:highlight w:val="none"/>
        </w:rPr>
      </w:pPr>
      <w:r>
        <w:rPr>
          <w:rFonts w:hint="eastAsia" w:ascii="宋体" w:hAnsi="宋体" w:eastAsia="宋体" w:cs="宋体"/>
          <w:b/>
          <w:kern w:val="0"/>
          <w:sz w:val="24"/>
          <w:highlight w:val="none"/>
        </w:rPr>
        <w:br w:type="page"/>
      </w:r>
    </w:p>
    <w:p w14:paraId="383A73F4">
      <w:pPr>
        <w:pStyle w:val="53"/>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b/>
          <w:sz w:val="24"/>
          <w:highlight w:val="none"/>
          <w:lang w:eastAsia="zh-CN"/>
        </w:rPr>
        <w:t>四</w:t>
      </w:r>
      <w:r>
        <w:rPr>
          <w:rFonts w:hint="eastAsia" w:ascii="宋体" w:hAnsi="宋体" w:eastAsia="宋体" w:cs="宋体"/>
          <w:b/>
          <w:sz w:val="24"/>
          <w:highlight w:val="none"/>
        </w:rPr>
        <w:t>）创新产品或创新服务明细表（若有的话，以包为单位分别填写，如不涉及，此表可不提供）</w:t>
      </w:r>
    </w:p>
    <w:p w14:paraId="4ED00979">
      <w:pPr>
        <w:spacing w:line="360" w:lineRule="auto"/>
        <w:jc w:val="center"/>
        <w:rPr>
          <w:rFonts w:hint="eastAsia" w:ascii="宋体" w:hAnsi="宋体" w:eastAsia="宋体" w:cs="宋体"/>
          <w:b/>
          <w:spacing w:val="6"/>
          <w:sz w:val="24"/>
          <w:highlight w:val="none"/>
        </w:rPr>
      </w:pPr>
      <w:r>
        <w:rPr>
          <w:rFonts w:hint="eastAsia" w:ascii="宋体" w:hAnsi="宋体" w:eastAsia="宋体" w:cs="宋体"/>
          <w:b/>
          <w:spacing w:val="6"/>
          <w:sz w:val="24"/>
          <w:highlight w:val="none"/>
        </w:rPr>
        <w:t>创新产品或创新服务明细表</w:t>
      </w:r>
    </w:p>
    <w:p w14:paraId="3FEFB7FA">
      <w:pPr>
        <w:spacing w:line="360" w:lineRule="auto"/>
        <w:rPr>
          <w:rFonts w:hint="eastAsia" w:ascii="宋体" w:hAnsi="宋体" w:eastAsia="宋体" w:cs="宋体"/>
          <w:sz w:val="24"/>
          <w:highlight w:val="none"/>
        </w:rPr>
      </w:pPr>
      <w:r>
        <w:rPr>
          <w:rFonts w:hint="eastAsia" w:ascii="宋体" w:hAnsi="宋体" w:eastAsia="宋体" w:cs="宋体"/>
          <w:sz w:val="24"/>
          <w:highlight w:val="none"/>
        </w:rPr>
        <w:t>项目名称：</w:t>
      </w:r>
    </w:p>
    <w:p w14:paraId="291115F6">
      <w:pPr>
        <w:spacing w:line="360" w:lineRule="auto"/>
        <w:rPr>
          <w:rFonts w:hint="eastAsia" w:ascii="宋体" w:hAnsi="宋体" w:eastAsia="宋体" w:cs="宋体"/>
          <w:sz w:val="24"/>
          <w:highlight w:val="none"/>
        </w:rPr>
      </w:pPr>
      <w:r>
        <w:rPr>
          <w:rFonts w:hint="eastAsia" w:ascii="宋体" w:hAnsi="宋体" w:eastAsia="宋体" w:cs="宋体"/>
          <w:sz w:val="24"/>
          <w:highlight w:val="none"/>
        </w:rPr>
        <w:t>项目编号：</w:t>
      </w:r>
    </w:p>
    <w:p w14:paraId="065EAB00">
      <w:pPr>
        <w:spacing w:line="360" w:lineRule="auto"/>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p>
    <w:p w14:paraId="2C11B330">
      <w:pPr>
        <w:spacing w:line="360" w:lineRule="auto"/>
        <w:jc w:val="right"/>
        <w:rPr>
          <w:rFonts w:hint="eastAsia" w:ascii="宋体" w:hAnsi="宋体" w:eastAsia="宋体" w:cs="宋体"/>
          <w:sz w:val="24"/>
          <w:highlight w:val="none"/>
        </w:rPr>
      </w:pPr>
      <w:r>
        <w:rPr>
          <w:rFonts w:hint="eastAsia" w:ascii="宋体" w:hAnsi="宋体" w:eastAsia="宋体" w:cs="宋体"/>
          <w:sz w:val="24"/>
          <w:highlight w:val="none"/>
        </w:rPr>
        <w:t xml:space="preserve"> 货币：人民币/元</w:t>
      </w:r>
    </w:p>
    <w:tbl>
      <w:tblPr>
        <w:tblStyle w:val="33"/>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0B9B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668" w:type="dxa"/>
            <w:noWrap w:val="0"/>
            <w:vAlign w:val="center"/>
          </w:tcPr>
          <w:p w14:paraId="6AF266CF">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447" w:type="dxa"/>
            <w:noWrap w:val="0"/>
            <w:vAlign w:val="center"/>
          </w:tcPr>
          <w:p w14:paraId="66AD7DE1">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货物名称</w:t>
            </w:r>
          </w:p>
        </w:tc>
        <w:tc>
          <w:tcPr>
            <w:tcW w:w="992" w:type="dxa"/>
            <w:noWrap w:val="0"/>
            <w:vAlign w:val="center"/>
          </w:tcPr>
          <w:p w14:paraId="0EEF5594">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品牌</w:t>
            </w:r>
          </w:p>
        </w:tc>
        <w:tc>
          <w:tcPr>
            <w:tcW w:w="1134" w:type="dxa"/>
            <w:tcBorders>
              <w:bottom w:val="single" w:color="auto" w:sz="4" w:space="0"/>
            </w:tcBorders>
            <w:noWrap w:val="0"/>
            <w:vAlign w:val="center"/>
          </w:tcPr>
          <w:p w14:paraId="191E8693">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规格型号</w:t>
            </w:r>
          </w:p>
        </w:tc>
        <w:tc>
          <w:tcPr>
            <w:tcW w:w="1276" w:type="dxa"/>
            <w:tcBorders>
              <w:bottom w:val="single" w:color="auto" w:sz="4" w:space="0"/>
            </w:tcBorders>
            <w:noWrap w:val="0"/>
            <w:vAlign w:val="center"/>
          </w:tcPr>
          <w:p w14:paraId="34C00BB7">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产地及厂家</w:t>
            </w:r>
          </w:p>
        </w:tc>
        <w:tc>
          <w:tcPr>
            <w:tcW w:w="708" w:type="dxa"/>
            <w:tcBorders>
              <w:bottom w:val="single" w:color="auto" w:sz="4" w:space="0"/>
            </w:tcBorders>
            <w:noWrap w:val="0"/>
            <w:vAlign w:val="center"/>
          </w:tcPr>
          <w:p w14:paraId="49136B7C">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数量</w:t>
            </w:r>
          </w:p>
        </w:tc>
        <w:tc>
          <w:tcPr>
            <w:tcW w:w="1134" w:type="dxa"/>
            <w:tcBorders>
              <w:bottom w:val="single" w:color="auto" w:sz="4" w:space="0"/>
            </w:tcBorders>
            <w:noWrap w:val="0"/>
            <w:vAlign w:val="center"/>
          </w:tcPr>
          <w:p w14:paraId="33FE16DB">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单价</w:t>
            </w:r>
          </w:p>
        </w:tc>
        <w:tc>
          <w:tcPr>
            <w:tcW w:w="1630" w:type="dxa"/>
            <w:tcBorders>
              <w:bottom w:val="single" w:color="auto" w:sz="4" w:space="0"/>
            </w:tcBorders>
            <w:noWrap w:val="0"/>
            <w:vAlign w:val="center"/>
          </w:tcPr>
          <w:p w14:paraId="46FFE11A">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4"/>
                <w:highlight w:val="none"/>
              </w:rPr>
            </w:pPr>
            <w:r>
              <w:rPr>
                <w:rFonts w:hint="eastAsia" w:ascii="宋体" w:hAnsi="宋体" w:eastAsia="宋体" w:cs="宋体"/>
                <w:b/>
                <w:sz w:val="24"/>
                <w:highlight w:val="none"/>
              </w:rPr>
              <w:t>总价</w:t>
            </w:r>
          </w:p>
        </w:tc>
      </w:tr>
      <w:tr w14:paraId="7CA7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7D17EF0D">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none"/>
              </w:rPr>
            </w:pPr>
          </w:p>
        </w:tc>
        <w:tc>
          <w:tcPr>
            <w:tcW w:w="1447" w:type="dxa"/>
            <w:noWrap w:val="0"/>
            <w:vAlign w:val="center"/>
          </w:tcPr>
          <w:p w14:paraId="43E06697">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none"/>
              </w:rPr>
            </w:pPr>
          </w:p>
        </w:tc>
        <w:tc>
          <w:tcPr>
            <w:tcW w:w="992" w:type="dxa"/>
            <w:noWrap w:val="0"/>
            <w:vAlign w:val="center"/>
          </w:tcPr>
          <w:p w14:paraId="257BD4FE">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none"/>
              </w:rPr>
            </w:pPr>
          </w:p>
        </w:tc>
        <w:tc>
          <w:tcPr>
            <w:tcW w:w="1134" w:type="dxa"/>
            <w:tcBorders>
              <w:top w:val="single" w:color="auto" w:sz="4" w:space="0"/>
              <w:bottom w:val="single" w:color="auto" w:sz="4" w:space="0"/>
            </w:tcBorders>
            <w:noWrap w:val="0"/>
            <w:vAlign w:val="center"/>
          </w:tcPr>
          <w:p w14:paraId="09415262">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none"/>
                <w:vertAlign w:val="superscript"/>
              </w:rPr>
            </w:pPr>
          </w:p>
        </w:tc>
        <w:tc>
          <w:tcPr>
            <w:tcW w:w="1276" w:type="dxa"/>
            <w:tcBorders>
              <w:top w:val="single" w:color="auto" w:sz="4" w:space="0"/>
              <w:bottom w:val="single" w:color="auto" w:sz="4" w:space="0"/>
            </w:tcBorders>
            <w:noWrap w:val="0"/>
            <w:vAlign w:val="center"/>
          </w:tcPr>
          <w:p w14:paraId="4DF9950B">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none"/>
                <w:vertAlign w:val="superscript"/>
              </w:rPr>
            </w:pPr>
          </w:p>
        </w:tc>
        <w:tc>
          <w:tcPr>
            <w:tcW w:w="708" w:type="dxa"/>
            <w:tcBorders>
              <w:top w:val="single" w:color="auto" w:sz="4" w:space="0"/>
            </w:tcBorders>
            <w:noWrap w:val="0"/>
            <w:vAlign w:val="center"/>
          </w:tcPr>
          <w:p w14:paraId="68460CD1">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none"/>
              </w:rPr>
            </w:pPr>
          </w:p>
        </w:tc>
        <w:tc>
          <w:tcPr>
            <w:tcW w:w="1134" w:type="dxa"/>
            <w:tcBorders>
              <w:top w:val="single" w:color="auto" w:sz="4" w:space="0"/>
            </w:tcBorders>
            <w:noWrap w:val="0"/>
            <w:vAlign w:val="center"/>
          </w:tcPr>
          <w:p w14:paraId="5F26E12E">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none"/>
              </w:rPr>
            </w:pPr>
          </w:p>
        </w:tc>
        <w:tc>
          <w:tcPr>
            <w:tcW w:w="1630" w:type="dxa"/>
            <w:tcBorders>
              <w:top w:val="single" w:color="auto" w:sz="4" w:space="0"/>
            </w:tcBorders>
            <w:noWrap w:val="0"/>
            <w:vAlign w:val="center"/>
          </w:tcPr>
          <w:p w14:paraId="3C09C141">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none"/>
              </w:rPr>
            </w:pPr>
          </w:p>
        </w:tc>
      </w:tr>
      <w:tr w14:paraId="770A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00C318DB">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none"/>
              </w:rPr>
            </w:pPr>
          </w:p>
        </w:tc>
        <w:tc>
          <w:tcPr>
            <w:tcW w:w="1447" w:type="dxa"/>
            <w:noWrap w:val="0"/>
            <w:vAlign w:val="center"/>
          </w:tcPr>
          <w:p w14:paraId="6D626694">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none"/>
              </w:rPr>
            </w:pPr>
          </w:p>
        </w:tc>
        <w:tc>
          <w:tcPr>
            <w:tcW w:w="992" w:type="dxa"/>
            <w:noWrap w:val="0"/>
            <w:vAlign w:val="center"/>
          </w:tcPr>
          <w:p w14:paraId="6729BD65">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none"/>
              </w:rPr>
            </w:pPr>
          </w:p>
        </w:tc>
        <w:tc>
          <w:tcPr>
            <w:tcW w:w="1134" w:type="dxa"/>
            <w:tcBorders>
              <w:top w:val="single" w:color="auto" w:sz="4" w:space="0"/>
              <w:bottom w:val="single" w:color="auto" w:sz="4" w:space="0"/>
            </w:tcBorders>
            <w:noWrap w:val="0"/>
            <w:vAlign w:val="center"/>
          </w:tcPr>
          <w:p w14:paraId="3F0A9FC8">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none"/>
                <w:vertAlign w:val="superscript"/>
              </w:rPr>
            </w:pPr>
          </w:p>
        </w:tc>
        <w:tc>
          <w:tcPr>
            <w:tcW w:w="1276" w:type="dxa"/>
            <w:tcBorders>
              <w:top w:val="single" w:color="auto" w:sz="4" w:space="0"/>
              <w:bottom w:val="single" w:color="auto" w:sz="4" w:space="0"/>
            </w:tcBorders>
            <w:noWrap w:val="0"/>
            <w:vAlign w:val="center"/>
          </w:tcPr>
          <w:p w14:paraId="650F342E">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none"/>
                <w:vertAlign w:val="superscript"/>
              </w:rPr>
            </w:pPr>
          </w:p>
        </w:tc>
        <w:tc>
          <w:tcPr>
            <w:tcW w:w="708" w:type="dxa"/>
            <w:tcBorders>
              <w:top w:val="single" w:color="auto" w:sz="4" w:space="0"/>
            </w:tcBorders>
            <w:noWrap w:val="0"/>
            <w:vAlign w:val="center"/>
          </w:tcPr>
          <w:p w14:paraId="5F6DC97D">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none"/>
              </w:rPr>
            </w:pPr>
          </w:p>
        </w:tc>
        <w:tc>
          <w:tcPr>
            <w:tcW w:w="1134" w:type="dxa"/>
            <w:tcBorders>
              <w:top w:val="single" w:color="auto" w:sz="4" w:space="0"/>
            </w:tcBorders>
            <w:noWrap w:val="0"/>
            <w:vAlign w:val="center"/>
          </w:tcPr>
          <w:p w14:paraId="308AFD30">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none"/>
              </w:rPr>
            </w:pPr>
          </w:p>
        </w:tc>
        <w:tc>
          <w:tcPr>
            <w:tcW w:w="1630" w:type="dxa"/>
            <w:tcBorders>
              <w:top w:val="single" w:color="auto" w:sz="4" w:space="0"/>
            </w:tcBorders>
            <w:noWrap w:val="0"/>
            <w:vAlign w:val="center"/>
          </w:tcPr>
          <w:p w14:paraId="6D671360">
            <w:pPr>
              <w:keepNext w:val="0"/>
              <w:keepLines w:val="0"/>
              <w:suppressLineNumbers w:val="0"/>
              <w:spacing w:before="0" w:beforeAutospacing="0" w:after="0" w:afterAutospacing="0" w:line="360" w:lineRule="auto"/>
              <w:ind w:left="0" w:right="0"/>
              <w:jc w:val="center"/>
              <w:rPr>
                <w:rFonts w:hint="eastAsia" w:ascii="宋体" w:hAnsi="宋体" w:eastAsia="宋体" w:cs="宋体"/>
                <w:bCs/>
                <w:szCs w:val="21"/>
                <w:highlight w:val="none"/>
              </w:rPr>
            </w:pPr>
          </w:p>
        </w:tc>
      </w:tr>
      <w:tr w14:paraId="2B8B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7F816699">
            <w:pPr>
              <w:keepNext w:val="0"/>
              <w:keepLines w:val="0"/>
              <w:suppressLineNumbers w:val="0"/>
              <w:spacing w:before="0" w:beforeAutospacing="0" w:after="0" w:afterAutospacing="0" w:line="240" w:lineRule="exact"/>
              <w:ind w:left="0" w:right="0"/>
              <w:jc w:val="left"/>
              <w:rPr>
                <w:rFonts w:hint="eastAsia" w:ascii="宋体" w:hAnsi="宋体" w:eastAsia="宋体" w:cs="宋体"/>
                <w:b/>
                <w:sz w:val="24"/>
                <w:highlight w:val="none"/>
              </w:rPr>
            </w:pPr>
            <w:r>
              <w:rPr>
                <w:rFonts w:hint="eastAsia" w:ascii="宋体" w:hAnsi="宋体" w:eastAsia="宋体" w:cs="宋体"/>
                <w:bCs/>
                <w:sz w:val="24"/>
                <w:highlight w:val="none"/>
              </w:rPr>
              <w:t>创新产品或创新服务价格合计：</w:t>
            </w:r>
          </w:p>
        </w:tc>
      </w:tr>
    </w:tbl>
    <w:p w14:paraId="4707C4E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说明： </w:t>
      </w:r>
    </w:p>
    <w:p w14:paraId="75C973D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如实填写表格，无相应内容可填的，填写“无”、“未测试”、“没有相应指标”等明确的回答文字，或用“/”来表示。</w:t>
      </w:r>
    </w:p>
    <w:p w14:paraId="5932298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投报产品包含创新产品或创新服务，需填写此表后，提供《山西省创新产品和服务推荐清单》。</w:t>
      </w:r>
    </w:p>
    <w:p w14:paraId="1E59440C">
      <w:pPr>
        <w:spacing w:line="440" w:lineRule="exact"/>
        <w:jc w:val="center"/>
        <w:rPr>
          <w:rFonts w:hint="eastAsia" w:ascii="宋体" w:hAnsi="宋体" w:eastAsia="宋体" w:cs="宋体"/>
          <w:sz w:val="24"/>
          <w:highlight w:val="none"/>
        </w:rPr>
      </w:pPr>
    </w:p>
    <w:p w14:paraId="703423CF">
      <w:pPr>
        <w:spacing w:line="440" w:lineRule="exact"/>
        <w:jc w:val="center"/>
        <w:rPr>
          <w:rFonts w:hint="eastAsia" w:ascii="宋体" w:hAnsi="宋体" w:eastAsia="宋体" w:cs="宋体"/>
          <w:sz w:val="24"/>
          <w:highlight w:val="none"/>
        </w:rPr>
      </w:pPr>
    </w:p>
    <w:p w14:paraId="70A1307E">
      <w:pPr>
        <w:spacing w:line="440" w:lineRule="exact"/>
        <w:jc w:val="center"/>
        <w:rPr>
          <w:rFonts w:hint="eastAsia" w:ascii="宋体" w:hAnsi="宋体" w:eastAsia="宋体" w:cs="宋体"/>
          <w:sz w:val="24"/>
          <w:highlight w:val="none"/>
        </w:rPr>
      </w:pPr>
    </w:p>
    <w:p w14:paraId="4880FA2D">
      <w:pPr>
        <w:widowControl/>
        <w:tabs>
          <w:tab w:val="left" w:pos="4000"/>
        </w:tabs>
        <w:snapToGrid w:val="0"/>
        <w:spacing w:line="360" w:lineRule="auto"/>
        <w:ind w:firstLine="4080" w:firstLineChars="1700"/>
        <w:jc w:val="left"/>
        <w:rPr>
          <w:rFonts w:hint="eastAsia" w:ascii="宋体" w:hAnsi="宋体" w:eastAsia="宋体" w:cs="宋体"/>
          <w:kern w:val="0"/>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kern w:val="0"/>
          <w:sz w:val="24"/>
          <w:highlight w:val="none"/>
        </w:rPr>
        <w:t>全称(加盖公章)：</w:t>
      </w:r>
    </w:p>
    <w:p w14:paraId="4DE9670A">
      <w:pPr>
        <w:widowControl/>
        <w:tabs>
          <w:tab w:val="left" w:pos="4000"/>
        </w:tabs>
        <w:snapToGrid w:val="0"/>
        <w:spacing w:line="360" w:lineRule="auto"/>
        <w:ind w:firstLine="4080" w:firstLineChars="17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日   期：</w:t>
      </w:r>
    </w:p>
    <w:p w14:paraId="7C04E76D">
      <w:pPr>
        <w:tabs>
          <w:tab w:val="left" w:pos="4860"/>
        </w:tabs>
        <w:spacing w:line="360" w:lineRule="auto"/>
        <w:ind w:right="1560" w:firstLine="482" w:firstLineChars="200"/>
        <w:jc w:val="right"/>
        <w:rPr>
          <w:rFonts w:hint="eastAsia" w:ascii="宋体" w:hAnsi="宋体" w:eastAsia="宋体" w:cs="宋体"/>
          <w:b/>
          <w:sz w:val="24"/>
          <w:szCs w:val="24"/>
          <w:highlight w:val="none"/>
        </w:rPr>
      </w:pPr>
    </w:p>
    <w:p w14:paraId="12D6853E">
      <w:pP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br w:type="page"/>
      </w:r>
    </w:p>
    <w:p w14:paraId="2F78A61B">
      <w:pPr>
        <w:pStyle w:val="53"/>
        <w:snapToGrid w:val="0"/>
        <w:spacing w:line="360" w:lineRule="auto"/>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（五）关于符合本国产品标准的声明函（</w:t>
      </w:r>
      <w:r>
        <w:rPr>
          <w:rFonts w:hint="eastAsia" w:ascii="宋体" w:hAnsi="宋体" w:eastAsia="宋体" w:cs="宋体"/>
          <w:b/>
          <w:sz w:val="24"/>
          <w:highlight w:val="none"/>
          <w:lang w:val="en-US" w:eastAsia="zh-CN"/>
        </w:rPr>
        <w:t>如涉及</w:t>
      </w:r>
      <w:r>
        <w:rPr>
          <w:rFonts w:hint="eastAsia" w:ascii="宋体" w:hAnsi="宋体" w:eastAsia="宋体" w:cs="宋体"/>
          <w:b/>
          <w:sz w:val="24"/>
          <w:highlight w:val="none"/>
          <w:lang w:eastAsia="zh-CN"/>
        </w:rPr>
        <w:t>）</w:t>
      </w:r>
    </w:p>
    <w:p w14:paraId="6208FA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本公司（单位）郑重声明，根据《国务院办公厅关于在政府采购中实施本国产品标准及相关政策的通知》（国办发〔2025〕34号）的规定，本公司（单位）提供的以下产品属于本国产品。具体情况如下：</w:t>
      </w:r>
    </w:p>
    <w:p w14:paraId="17DB30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（产品名称1）</w:t>
      </w:r>
      <w:r>
        <w:rPr>
          <w:rFonts w:hint="eastAsia" w:ascii="宋体" w:hAnsi="宋体" w:eastAsia="宋体" w:cs="宋体"/>
          <w:sz w:val="24"/>
          <w:szCs w:val="24"/>
          <w:u w:val="single"/>
          <w:vertAlign w:val="superscript"/>
        </w:rPr>
        <w:t>1</w:t>
      </w:r>
      <w:r>
        <w:rPr>
          <w:rFonts w:hint="eastAsia" w:ascii="宋体" w:hAnsi="宋体" w:eastAsia="宋体" w:cs="宋体"/>
          <w:sz w:val="24"/>
          <w:szCs w:val="24"/>
        </w:rPr>
        <w:t>，生产厂为</w:t>
      </w:r>
      <w:r>
        <w:rPr>
          <w:rFonts w:hint="eastAsia" w:ascii="宋体" w:hAnsi="宋体" w:eastAsia="宋体" w:cs="宋体"/>
          <w:sz w:val="24"/>
          <w:szCs w:val="24"/>
          <w:u w:val="single"/>
          <w:vertAlign w:val="baseline"/>
        </w:rPr>
        <w:t>（厂名）</w:t>
      </w:r>
      <w:r>
        <w:rPr>
          <w:rFonts w:hint="eastAsia" w:ascii="宋体" w:hAnsi="宋体" w:eastAsia="宋体" w:cs="宋体"/>
          <w:sz w:val="24"/>
          <w:szCs w:val="24"/>
          <w:u w:val="single"/>
          <w:vertAlign w:val="superscript"/>
        </w:rPr>
        <w:t>2</w:t>
      </w:r>
      <w:r>
        <w:rPr>
          <w:rFonts w:hint="eastAsia" w:ascii="宋体" w:hAnsi="宋体" w:eastAsia="宋体" w:cs="宋体"/>
          <w:sz w:val="24"/>
          <w:szCs w:val="24"/>
        </w:rPr>
        <w:t>，厂址为</w:t>
      </w:r>
      <w:r>
        <w:rPr>
          <w:rFonts w:hint="eastAsia" w:ascii="宋体" w:hAnsi="宋体" w:eastAsia="宋体" w:cs="宋体"/>
          <w:sz w:val="24"/>
          <w:szCs w:val="24"/>
          <w:u w:val="single"/>
        </w:rPr>
        <w:t>（生产厂址）</w:t>
      </w:r>
      <w:r>
        <w:rPr>
          <w:rFonts w:hint="eastAsia" w:ascii="宋体" w:hAnsi="宋体" w:eastAsia="宋体" w:cs="宋体"/>
          <w:sz w:val="24"/>
          <w:szCs w:val="24"/>
        </w:rPr>
        <w:t>。</w:t>
      </w:r>
      <w:r>
        <w:rPr>
          <w:rFonts w:hint="eastAsia" w:ascii="宋体" w:hAnsi="宋体" w:eastAsia="宋体" w:cs="宋体"/>
          <w:sz w:val="24"/>
          <w:szCs w:val="24"/>
          <w:u w:val="single"/>
        </w:rPr>
        <w:t>（产品名称1）</w:t>
      </w:r>
      <w:r>
        <w:rPr>
          <w:rFonts w:hint="eastAsia" w:ascii="宋体" w:hAnsi="宋体" w:eastAsia="宋体" w:cs="宋体"/>
          <w:sz w:val="24"/>
          <w:szCs w:val="24"/>
        </w:rPr>
        <w:t>的中国境内生产的组件成本占比</w:t>
      </w:r>
      <w:r>
        <w:rPr>
          <w:rFonts w:hint="eastAsia" w:ascii="宋体" w:hAnsi="宋体" w:eastAsia="宋体" w:cs="宋体"/>
          <w:sz w:val="24"/>
          <w:szCs w:val="24"/>
          <w:u w:val="single"/>
        </w:rPr>
        <w:t>≥（规定比例）</w:t>
      </w:r>
      <w:r>
        <w:rPr>
          <w:rFonts w:hint="eastAsia" w:ascii="宋体" w:hAnsi="宋体" w:eastAsia="宋体" w:cs="宋体"/>
          <w:sz w:val="24"/>
          <w:szCs w:val="24"/>
          <w:vertAlign w:val="superscript"/>
        </w:rPr>
        <w:t>3</w:t>
      </w:r>
      <w:r>
        <w:rPr>
          <w:rFonts w:hint="eastAsia" w:ascii="宋体" w:hAnsi="宋体" w:eastAsia="宋体" w:cs="宋体"/>
          <w:sz w:val="24"/>
          <w:szCs w:val="24"/>
        </w:rPr>
        <w:t>。</w:t>
      </w:r>
      <w:r>
        <w:rPr>
          <w:rFonts w:hint="eastAsia" w:ascii="宋体" w:hAnsi="宋体" w:eastAsia="宋体" w:cs="宋体"/>
          <w:sz w:val="24"/>
          <w:szCs w:val="24"/>
          <w:u w:val="single"/>
        </w:rPr>
        <w:t>（产品名称1）</w:t>
      </w:r>
      <w:r>
        <w:rPr>
          <w:rFonts w:hint="eastAsia" w:ascii="宋体" w:hAnsi="宋体" w:eastAsia="宋体" w:cs="宋体"/>
          <w:sz w:val="24"/>
          <w:szCs w:val="24"/>
        </w:rPr>
        <w:t>的</w:t>
      </w:r>
      <w:r>
        <w:rPr>
          <w:rFonts w:hint="eastAsia" w:ascii="宋体" w:hAnsi="宋体" w:eastAsia="宋体" w:cs="宋体"/>
          <w:sz w:val="24"/>
          <w:szCs w:val="24"/>
          <w:u w:val="single"/>
        </w:rPr>
        <w:t>（关键组件）</w:t>
      </w:r>
      <w:r>
        <w:rPr>
          <w:rFonts w:hint="eastAsia" w:ascii="宋体" w:hAnsi="宋体" w:eastAsia="宋体" w:cs="宋体"/>
          <w:sz w:val="24"/>
          <w:szCs w:val="24"/>
          <w:u w:val="single"/>
          <w:vertAlign w:val="superscript"/>
        </w:rPr>
        <w:t>4</w:t>
      </w:r>
      <w:r>
        <w:rPr>
          <w:rFonts w:hint="eastAsia" w:ascii="宋体" w:hAnsi="宋体" w:eastAsia="宋体" w:cs="宋体"/>
          <w:sz w:val="24"/>
          <w:szCs w:val="24"/>
        </w:rPr>
        <w:t>在中国境内生产。</w:t>
      </w:r>
      <w:r>
        <w:rPr>
          <w:rFonts w:hint="eastAsia" w:ascii="宋体" w:hAnsi="宋体" w:eastAsia="宋体" w:cs="宋体"/>
          <w:sz w:val="24"/>
          <w:szCs w:val="24"/>
          <w:u w:val="single"/>
        </w:rPr>
        <w:t>（产品名称1）</w:t>
      </w:r>
      <w:r>
        <w:rPr>
          <w:rFonts w:hint="eastAsia" w:ascii="宋体" w:hAnsi="宋体" w:eastAsia="宋体" w:cs="宋体"/>
          <w:sz w:val="24"/>
          <w:szCs w:val="24"/>
        </w:rPr>
        <w:t>的</w:t>
      </w:r>
      <w:r>
        <w:rPr>
          <w:rFonts w:hint="eastAsia" w:ascii="宋体" w:hAnsi="宋体" w:eastAsia="宋体" w:cs="宋体"/>
          <w:sz w:val="24"/>
          <w:szCs w:val="24"/>
          <w:u w:val="single"/>
        </w:rPr>
        <w:t>（关键工序）</w:t>
      </w:r>
      <w:r>
        <w:rPr>
          <w:rFonts w:hint="eastAsia" w:ascii="宋体" w:hAnsi="宋体" w:eastAsia="宋体" w:cs="宋体"/>
          <w:sz w:val="24"/>
          <w:szCs w:val="24"/>
          <w:u w:val="single"/>
          <w:vertAlign w:val="superscript"/>
        </w:rPr>
        <w:t>5</w:t>
      </w:r>
      <w:r>
        <w:rPr>
          <w:rFonts w:hint="eastAsia" w:ascii="宋体" w:hAnsi="宋体" w:eastAsia="宋体" w:cs="宋体"/>
          <w:sz w:val="24"/>
          <w:szCs w:val="24"/>
        </w:rPr>
        <w:t>在中国境内完成。</w:t>
      </w:r>
    </w:p>
    <w:p w14:paraId="6CF437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（产品名称2）</w:t>
      </w:r>
      <w:r>
        <w:rPr>
          <w:rFonts w:hint="eastAsia" w:ascii="宋体" w:hAnsi="宋体" w:eastAsia="宋体" w:cs="宋体"/>
          <w:sz w:val="24"/>
          <w:szCs w:val="24"/>
        </w:rPr>
        <w:t>，生产厂为</w:t>
      </w:r>
      <w:r>
        <w:rPr>
          <w:rFonts w:hint="eastAsia" w:ascii="宋体" w:hAnsi="宋体" w:eastAsia="宋体" w:cs="宋体"/>
          <w:sz w:val="24"/>
          <w:szCs w:val="24"/>
          <w:u w:val="single"/>
        </w:rPr>
        <w:t>（厂名）</w:t>
      </w:r>
      <w:r>
        <w:rPr>
          <w:rFonts w:hint="eastAsia" w:ascii="宋体" w:hAnsi="宋体" w:eastAsia="宋体" w:cs="宋体"/>
          <w:sz w:val="24"/>
          <w:szCs w:val="24"/>
        </w:rPr>
        <w:t>，厂址为</w:t>
      </w:r>
      <w:r>
        <w:rPr>
          <w:rFonts w:hint="eastAsia" w:ascii="宋体" w:hAnsi="宋体" w:eastAsia="宋体" w:cs="宋体"/>
          <w:sz w:val="24"/>
          <w:szCs w:val="24"/>
          <w:u w:val="single"/>
        </w:rPr>
        <w:t>（生产厂址）</w:t>
      </w:r>
      <w:r>
        <w:rPr>
          <w:rFonts w:hint="eastAsia" w:ascii="宋体" w:hAnsi="宋体" w:eastAsia="宋体" w:cs="宋体"/>
          <w:sz w:val="24"/>
          <w:szCs w:val="24"/>
        </w:rPr>
        <w:t>。</w:t>
      </w:r>
      <w:r>
        <w:rPr>
          <w:rFonts w:hint="eastAsia" w:ascii="宋体" w:hAnsi="宋体" w:eastAsia="宋体" w:cs="宋体"/>
          <w:sz w:val="24"/>
          <w:szCs w:val="24"/>
          <w:u w:val="single"/>
        </w:rPr>
        <w:t>（产品名称2）</w:t>
      </w:r>
      <w:r>
        <w:rPr>
          <w:rFonts w:hint="eastAsia" w:ascii="宋体" w:hAnsi="宋体" w:eastAsia="宋体" w:cs="宋体"/>
          <w:sz w:val="24"/>
          <w:szCs w:val="24"/>
        </w:rPr>
        <w:t>的中国境内生产的组件成本占比≥</w:t>
      </w:r>
      <w:r>
        <w:rPr>
          <w:rFonts w:hint="eastAsia" w:ascii="宋体" w:hAnsi="宋体" w:eastAsia="宋体" w:cs="宋体"/>
          <w:sz w:val="24"/>
          <w:szCs w:val="24"/>
          <w:u w:val="single"/>
        </w:rPr>
        <w:t>（规定比例）</w:t>
      </w:r>
      <w:r>
        <w:rPr>
          <w:rFonts w:hint="eastAsia" w:ascii="宋体" w:hAnsi="宋体" w:eastAsia="宋体" w:cs="宋体"/>
          <w:sz w:val="24"/>
          <w:szCs w:val="24"/>
        </w:rPr>
        <w:t>。</w:t>
      </w:r>
      <w:r>
        <w:rPr>
          <w:rFonts w:hint="eastAsia" w:ascii="宋体" w:hAnsi="宋体" w:eastAsia="宋体" w:cs="宋体"/>
          <w:sz w:val="24"/>
          <w:szCs w:val="24"/>
          <w:u w:val="single"/>
        </w:rPr>
        <w:t>（产品名称2）</w:t>
      </w:r>
      <w:r>
        <w:rPr>
          <w:rFonts w:hint="eastAsia" w:ascii="宋体" w:hAnsi="宋体" w:eastAsia="宋体" w:cs="宋体"/>
          <w:sz w:val="24"/>
          <w:szCs w:val="24"/>
        </w:rPr>
        <w:t>的</w:t>
      </w:r>
      <w:r>
        <w:rPr>
          <w:rFonts w:hint="eastAsia" w:ascii="宋体" w:hAnsi="宋体" w:eastAsia="宋体" w:cs="宋体"/>
          <w:sz w:val="24"/>
          <w:szCs w:val="24"/>
          <w:u w:val="single"/>
        </w:rPr>
        <w:t>（关键组件）</w:t>
      </w:r>
      <w:r>
        <w:rPr>
          <w:rFonts w:hint="eastAsia" w:ascii="宋体" w:hAnsi="宋体" w:eastAsia="宋体" w:cs="宋体"/>
          <w:sz w:val="24"/>
          <w:szCs w:val="24"/>
        </w:rPr>
        <w:t>在中国境内生产。（产品名称2）的（关键工序）在中国境内完成。</w:t>
      </w:r>
    </w:p>
    <w:p w14:paraId="01106F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14:paraId="286D54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本公司（单位）对上述声明内容的真实性负责。如有虚假，愿承担相应法律责任。</w:t>
      </w:r>
    </w:p>
    <w:p w14:paraId="1F603A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14:paraId="5F2F5839">
      <w:pPr>
        <w:snapToGrid w:val="0"/>
        <w:spacing w:line="480" w:lineRule="exact"/>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highlight w:val="none"/>
        </w:rPr>
        <w:t>（单位公章）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 </w:t>
      </w:r>
    </w:p>
    <w:p w14:paraId="3DC01938">
      <w:pPr>
        <w:pStyle w:val="4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righ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24D53422">
      <w:pPr>
        <w:bidi w:val="0"/>
        <w:rPr>
          <w:rFonts w:hint="eastAsia" w:ascii="宋体" w:hAnsi="宋体" w:eastAsia="宋体" w:cs="宋体"/>
          <w:sz w:val="24"/>
          <w:szCs w:val="24"/>
        </w:rPr>
      </w:pPr>
      <w:r>
        <w:rPr>
          <w:rFonts w:hint="eastAsia" w:ascii="宋体" w:hAnsi="宋体" w:eastAsia="宋体" w:cs="宋体"/>
          <w:sz w:val="24"/>
          <w:szCs w:val="24"/>
        </w:rPr>
        <w:t>__________________</w:t>
      </w:r>
    </w:p>
    <w:p w14:paraId="5F566ABD">
      <w:pPr>
        <w:bidi w:val="0"/>
        <w:rPr>
          <w:rFonts w:hint="eastAsia" w:ascii="宋体" w:hAnsi="宋体" w:eastAsia="宋体" w:cs="宋体"/>
          <w:sz w:val="24"/>
          <w:szCs w:val="24"/>
        </w:rPr>
      </w:pPr>
      <w:r>
        <w:rPr>
          <w:rFonts w:hint="eastAsia" w:ascii="宋体" w:hAnsi="宋体" w:eastAsia="宋体" w:cs="宋体"/>
          <w:sz w:val="24"/>
          <w:szCs w:val="24"/>
        </w:rPr>
        <w:t>1.产品如有型号，请在“产品名称”栏一并填写。</w:t>
      </w:r>
    </w:p>
    <w:p w14:paraId="6F5E18EF">
      <w:pPr>
        <w:bidi w:val="0"/>
        <w:rPr>
          <w:rFonts w:hint="eastAsia" w:ascii="宋体" w:hAnsi="宋体" w:eastAsia="宋体" w:cs="宋体"/>
          <w:sz w:val="24"/>
          <w:szCs w:val="24"/>
        </w:rPr>
      </w:pPr>
      <w:r>
        <w:rPr>
          <w:rFonts w:hint="eastAsia" w:ascii="宋体" w:hAnsi="宋体" w:eastAsia="宋体" w:cs="宋体"/>
          <w:sz w:val="24"/>
          <w:szCs w:val="24"/>
        </w:rPr>
        <w:t>2.生产厂名与厂址应与生产厂营业执照载明的相关信息保持一致。</w:t>
      </w:r>
    </w:p>
    <w:p w14:paraId="1CF18F97">
      <w:pPr>
        <w:bidi w:val="0"/>
        <w:rPr>
          <w:rFonts w:hint="eastAsia" w:ascii="宋体" w:hAnsi="宋体" w:eastAsia="宋体" w:cs="宋体"/>
          <w:sz w:val="24"/>
          <w:szCs w:val="24"/>
        </w:rPr>
      </w:pPr>
      <w:r>
        <w:rPr>
          <w:rFonts w:hint="eastAsia" w:ascii="宋体" w:hAnsi="宋体" w:eastAsia="宋体" w:cs="宋体"/>
          <w:sz w:val="24"/>
          <w:szCs w:val="24"/>
        </w:rPr>
        <w:t>3.该产品的中国境内生产的组件成本占比相关要求实施前，“规定比例”栏可不填，下同。</w:t>
      </w:r>
    </w:p>
    <w:p w14:paraId="7F017136">
      <w:pPr>
        <w:bidi w:val="0"/>
        <w:rPr>
          <w:rFonts w:hint="eastAsia" w:ascii="宋体" w:hAnsi="宋体" w:eastAsia="宋体" w:cs="宋体"/>
          <w:sz w:val="24"/>
          <w:szCs w:val="24"/>
        </w:rPr>
      </w:pPr>
      <w:r>
        <w:rPr>
          <w:rFonts w:hint="eastAsia" w:ascii="宋体" w:hAnsi="宋体" w:eastAsia="宋体" w:cs="宋体"/>
          <w:sz w:val="24"/>
          <w:szCs w:val="24"/>
        </w:rPr>
        <w:t>4.该产品的关键组件要求实施前，“关键组件”栏可不填，下同。</w:t>
      </w:r>
    </w:p>
    <w:p w14:paraId="2A5279BF">
      <w:pPr>
        <w:bidi w:val="0"/>
        <w:rPr>
          <w:rFonts w:hint="eastAsia" w:ascii="宋体" w:hAnsi="宋体" w:eastAsia="宋体" w:cs="宋体"/>
          <w:sz w:val="24"/>
          <w:szCs w:val="24"/>
          <w:lang w:eastAsia="zh-CN"/>
        </w:rPr>
      </w:pPr>
      <w:r>
        <w:rPr>
          <w:rFonts w:hint="eastAsia" w:ascii="宋体" w:hAnsi="宋体" w:eastAsia="宋体" w:cs="宋体"/>
          <w:sz w:val="24"/>
          <w:szCs w:val="24"/>
        </w:rPr>
        <w:t>5.该产品的关键工序要求实施前，“关键工序”栏可不填，下同。</w:t>
      </w:r>
    </w:p>
    <w:p w14:paraId="5D73BC6B">
      <w:pPr>
        <w:keepNext/>
        <w:snapToGrid w:val="0"/>
        <w:spacing w:line="360" w:lineRule="auto"/>
        <w:rPr>
          <w:rFonts w:hint="eastAsia" w:ascii="宋体" w:hAnsi="宋体" w:eastAsia="宋体" w:cs="宋体"/>
          <w:b/>
          <w:color w:val="auto"/>
          <w:sz w:val="24"/>
          <w:szCs w:val="24"/>
          <w:highlight w:val="none"/>
          <w:lang w:val="en-US" w:eastAsia="zh-CN"/>
        </w:rPr>
      </w:pPr>
    </w:p>
    <w:p w14:paraId="112BA33A">
      <w:pPr>
        <w:keepNext/>
        <w:snapToGrid w:val="0"/>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注：</w:t>
      </w:r>
    </w:p>
    <w:p w14:paraId="050E5862">
      <w:pPr>
        <w:keepNext/>
        <w:snapToGrid w:val="0"/>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1、供应商提供虚假《声明函》、虚假证明文件谋取中标、成交的，依照《中华人民共和国政府采购法》等法律法规规定追究相应责任。</w:t>
      </w:r>
    </w:p>
    <w:p w14:paraId="0009C5B8">
      <w:pPr>
        <w:keepNext/>
        <w:snapToGrid w:val="0"/>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、采购人、采购代理机构</w:t>
      </w:r>
      <w:r>
        <w:rPr>
          <w:rFonts w:hint="eastAsia" w:ascii="宋体" w:hAnsi="宋体" w:eastAsia="宋体" w:cs="宋体"/>
          <w:b/>
          <w:color w:val="auto"/>
          <w:sz w:val="24"/>
          <w:szCs w:val="24"/>
          <w:highlight w:val="none"/>
          <w:lang w:val="en-US" w:eastAsia="zh-CN"/>
        </w:rPr>
        <w:t>将</w:t>
      </w:r>
      <w:r>
        <w:rPr>
          <w:rFonts w:hint="eastAsia" w:ascii="宋体" w:hAnsi="宋体" w:eastAsia="宋体" w:cs="宋体"/>
          <w:b/>
          <w:color w:val="auto"/>
          <w:sz w:val="24"/>
          <w:szCs w:val="24"/>
          <w:highlight w:val="none"/>
          <w:lang w:eastAsia="zh-CN"/>
        </w:rPr>
        <w:t>随中标、成交结果同时公告中标、成交供应商提供的《声明函》。</w:t>
      </w:r>
    </w:p>
    <w:p w14:paraId="5D656956">
      <w:pPr>
        <w:snapToGrid w:val="0"/>
        <w:spacing w:line="480" w:lineRule="exact"/>
        <w:ind w:firstLine="480" w:firstLineChars="200"/>
        <w:jc w:val="right"/>
        <w:rPr>
          <w:rFonts w:hint="eastAsia" w:ascii="宋体" w:hAnsi="宋体" w:eastAsia="宋体" w:cs="宋体"/>
          <w:sz w:val="24"/>
          <w:szCs w:val="24"/>
          <w:highlight w:val="none"/>
        </w:rPr>
      </w:pPr>
    </w:p>
    <w:p w14:paraId="652A52BF">
      <w:pP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br w:type="page"/>
      </w:r>
    </w:p>
    <w:p w14:paraId="373C99ED">
      <w:pPr>
        <w:rPr>
          <w:rFonts w:hint="eastAsia" w:ascii="宋体" w:hAnsi="宋体" w:eastAsia="宋体" w:cs="宋体"/>
          <w:highlight w:val="none"/>
          <w:lang w:eastAsia="zh-CN"/>
        </w:rPr>
      </w:pPr>
      <w:r>
        <w:rPr>
          <w:rFonts w:hint="eastAsia" w:ascii="宋体" w:hAnsi="宋体" w:eastAsia="宋体" w:cs="宋体"/>
          <w:b/>
          <w:bCs/>
          <w:sz w:val="24"/>
          <w:szCs w:val="24"/>
          <w:highlight w:val="none"/>
          <w:lang w:val="en-US" w:eastAsia="zh-CN"/>
        </w:rPr>
        <w:t>七、供应商认为需要提供的其他商务材料</w:t>
      </w:r>
    </w:p>
    <w:p w14:paraId="5986D6FE">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5ACE7A5A">
      <w:pPr>
        <w:numPr>
          <w:ilvl w:val="0"/>
          <w:numId w:val="0"/>
        </w:num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八、商务响应偏离表</w:t>
      </w:r>
    </w:p>
    <w:p w14:paraId="72C8F8C3">
      <w:pPr>
        <w:shd w:val="clear"/>
        <w:snapToGrid w:val="0"/>
        <w:spacing w:line="240" w:lineRule="auto"/>
        <w:jc w:val="left"/>
        <w:rPr>
          <w:rFonts w:hint="eastAsia" w:ascii="宋体" w:hAnsi="宋体" w:eastAsia="宋体" w:cs="宋体"/>
          <w:sz w:val="24"/>
          <w:szCs w:val="24"/>
          <w:highlight w:val="none"/>
          <w:lang w:val="en-US" w:eastAsia="zh-CN"/>
        </w:rPr>
      </w:pPr>
    </w:p>
    <w:p w14:paraId="5A433783">
      <w:pPr>
        <w:shd w:val="clear"/>
        <w:snapToGrid w:val="0"/>
        <w:spacing w:line="240" w:lineRule="auto"/>
        <w:jc w:val="left"/>
        <w:rPr>
          <w:rFonts w:hint="eastAsia" w:ascii="宋体" w:hAnsi="宋体" w:eastAsia="宋体" w:cs="宋体"/>
          <w:sz w:val="24"/>
          <w:szCs w:val="24"/>
          <w:highlight w:val="none"/>
          <w:lang w:val="en-US" w:eastAsia="zh-CN"/>
        </w:rPr>
      </w:pPr>
    </w:p>
    <w:p w14:paraId="73DE09C0">
      <w:pPr>
        <w:shd w:val="clear"/>
        <w:snapToGrid w:val="0"/>
        <w:spacing w:line="240" w:lineRule="auto"/>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项目名称：</w:t>
      </w:r>
      <w:r>
        <w:rPr>
          <w:rFonts w:hint="eastAsia" w:ascii="宋体" w:hAnsi="宋体" w:eastAsia="宋体" w:cs="宋体"/>
          <w:sz w:val="24"/>
          <w:szCs w:val="24"/>
          <w:highlight w:val="none"/>
          <w:u w:val="single"/>
          <w:lang w:val="en-US" w:eastAsia="zh-CN"/>
        </w:rPr>
        <w:t xml:space="preserve">               </w:t>
      </w:r>
    </w:p>
    <w:p w14:paraId="6284095D">
      <w:pPr>
        <w:shd w:val="clear"/>
        <w:snapToGrid w:val="0"/>
        <w:spacing w:line="240" w:lineRule="auto"/>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项目编号：</w:t>
      </w:r>
      <w:r>
        <w:rPr>
          <w:rFonts w:hint="eastAsia" w:ascii="宋体" w:hAnsi="宋体" w:eastAsia="宋体" w:cs="宋体"/>
          <w:sz w:val="24"/>
          <w:szCs w:val="24"/>
          <w:highlight w:val="none"/>
          <w:u w:val="single"/>
          <w:lang w:val="en-US" w:eastAsia="zh-CN"/>
        </w:rPr>
        <w:t xml:space="preserve">               </w:t>
      </w:r>
    </w:p>
    <w:tbl>
      <w:tblPr>
        <w:tblStyle w:val="33"/>
        <w:tblpPr w:leftFromText="180" w:rightFromText="180" w:vertAnchor="text" w:horzAnchor="page" w:tblpX="1261" w:tblpY="267"/>
        <w:tblOverlap w:val="never"/>
        <w:tblW w:w="95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33"/>
        <w:gridCol w:w="2224"/>
        <w:gridCol w:w="2245"/>
        <w:gridCol w:w="2045"/>
        <w:gridCol w:w="1389"/>
        <w:gridCol w:w="1064"/>
      </w:tblGrid>
      <w:tr w14:paraId="7FB9A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9500" w:type="dxa"/>
            <w:gridSpan w:val="6"/>
            <w:noWrap w:val="0"/>
            <w:vAlign w:val="center"/>
          </w:tcPr>
          <w:p w14:paraId="5A737FCA">
            <w:pPr>
              <w:keepNext w:val="0"/>
              <w:keepLines w:val="0"/>
              <w:pageBreakBefore w:val="0"/>
              <w:widowControl w:val="0"/>
              <w:numPr>
                <w:ilvl w:val="0"/>
                <w:numId w:val="0"/>
              </w:numPr>
              <w:suppressLineNumbers w:val="0"/>
              <w:shd w:val="clear"/>
              <w:tabs>
                <w:tab w:val="left" w:pos="4000"/>
              </w:tabs>
              <w:kinsoku/>
              <w:wordWrap/>
              <w:overflowPunct/>
              <w:topLinePunct w:val="0"/>
              <w:autoSpaceDE/>
              <w:autoSpaceDN/>
              <w:bidi w:val="0"/>
              <w:adjustRightInd/>
              <w:snapToGrid w:val="0"/>
              <w:spacing w:before="0" w:beforeAutospacing="0" w:after="0" w:afterAutospacing="0" w:line="0" w:lineRule="atLeas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1"/>
                <w:szCs w:val="21"/>
                <w:highlight w:val="none"/>
                <w:lang w:val="en-US" w:eastAsia="zh-CN"/>
              </w:rPr>
              <w:t>商务响应偏离表</w:t>
            </w:r>
          </w:p>
        </w:tc>
      </w:tr>
      <w:tr w14:paraId="3A07A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9" w:hRule="atLeast"/>
          <w:jc w:val="center"/>
        </w:trPr>
        <w:tc>
          <w:tcPr>
            <w:tcW w:w="533" w:type="dxa"/>
            <w:tcBorders>
              <w:right w:val="single" w:color="auto" w:sz="4" w:space="0"/>
            </w:tcBorders>
            <w:noWrap w:val="0"/>
            <w:vAlign w:val="center"/>
          </w:tcPr>
          <w:p w14:paraId="15EE8705">
            <w:pPr>
              <w:keepNext w:val="0"/>
              <w:keepLines w:val="0"/>
              <w:suppressLineNumbers w:val="0"/>
              <w:shd w:val="clear"/>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序号</w:t>
            </w:r>
          </w:p>
        </w:tc>
        <w:tc>
          <w:tcPr>
            <w:tcW w:w="2224" w:type="dxa"/>
            <w:noWrap w:val="0"/>
            <w:vAlign w:val="center"/>
          </w:tcPr>
          <w:p w14:paraId="29FF516B">
            <w:pPr>
              <w:keepNext w:val="0"/>
              <w:keepLines w:val="0"/>
              <w:suppressLineNumbers w:val="0"/>
              <w:shd w:val="clear"/>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商务条款</w:t>
            </w:r>
          </w:p>
        </w:tc>
        <w:tc>
          <w:tcPr>
            <w:tcW w:w="2245" w:type="dxa"/>
            <w:noWrap w:val="0"/>
            <w:vAlign w:val="center"/>
          </w:tcPr>
          <w:p w14:paraId="2203C52B">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采购文件</w:t>
            </w:r>
          </w:p>
          <w:p w14:paraId="3644EB23">
            <w:pPr>
              <w:keepNext w:val="0"/>
              <w:keepLines w:val="0"/>
              <w:suppressLineNumbers w:val="0"/>
              <w:shd w:val="clear"/>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商务要求</w:t>
            </w:r>
          </w:p>
        </w:tc>
        <w:tc>
          <w:tcPr>
            <w:tcW w:w="2045" w:type="dxa"/>
            <w:noWrap w:val="0"/>
            <w:vAlign w:val="center"/>
          </w:tcPr>
          <w:p w14:paraId="0F011E55">
            <w:pPr>
              <w:keepNext w:val="0"/>
              <w:keepLines w:val="0"/>
              <w:suppressLineNumbers w:val="0"/>
              <w:shd w:val="clear"/>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响应文件对应商务要求</w:t>
            </w:r>
          </w:p>
        </w:tc>
        <w:tc>
          <w:tcPr>
            <w:tcW w:w="1389" w:type="dxa"/>
            <w:noWrap w:val="0"/>
            <w:vAlign w:val="center"/>
          </w:tcPr>
          <w:p w14:paraId="7CFEEE5A">
            <w:pPr>
              <w:keepNext w:val="0"/>
              <w:keepLines w:val="0"/>
              <w:suppressLineNumbers w:val="0"/>
              <w:shd w:val="clear"/>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偏离情况</w:t>
            </w:r>
          </w:p>
        </w:tc>
        <w:tc>
          <w:tcPr>
            <w:tcW w:w="1064" w:type="dxa"/>
            <w:noWrap w:val="0"/>
            <w:vAlign w:val="center"/>
          </w:tcPr>
          <w:p w14:paraId="1B996407">
            <w:pPr>
              <w:keepNext w:val="0"/>
              <w:keepLines w:val="0"/>
              <w:suppressLineNumbers w:val="0"/>
              <w:shd w:val="clear"/>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备注</w:t>
            </w:r>
          </w:p>
        </w:tc>
      </w:tr>
      <w:tr w14:paraId="4C376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533" w:type="dxa"/>
            <w:tcBorders>
              <w:right w:val="single" w:color="auto" w:sz="4" w:space="0"/>
            </w:tcBorders>
            <w:noWrap w:val="0"/>
            <w:vAlign w:val="center"/>
          </w:tcPr>
          <w:p w14:paraId="65BE24B8">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224" w:type="dxa"/>
            <w:noWrap w:val="0"/>
            <w:vAlign w:val="center"/>
          </w:tcPr>
          <w:p w14:paraId="718C5918">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2245" w:type="dxa"/>
            <w:noWrap w:val="0"/>
            <w:vAlign w:val="center"/>
          </w:tcPr>
          <w:p w14:paraId="66C54936">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2045" w:type="dxa"/>
            <w:noWrap w:val="0"/>
            <w:vAlign w:val="center"/>
          </w:tcPr>
          <w:p w14:paraId="37957F9A">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389" w:type="dxa"/>
            <w:noWrap w:val="0"/>
            <w:vAlign w:val="center"/>
          </w:tcPr>
          <w:p w14:paraId="4E671CBC">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064" w:type="dxa"/>
            <w:noWrap w:val="0"/>
            <w:vAlign w:val="center"/>
          </w:tcPr>
          <w:p w14:paraId="00C3758B">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r>
      <w:tr w14:paraId="52F49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533" w:type="dxa"/>
            <w:tcBorders>
              <w:right w:val="single" w:color="auto" w:sz="4" w:space="0"/>
            </w:tcBorders>
            <w:noWrap w:val="0"/>
            <w:vAlign w:val="center"/>
          </w:tcPr>
          <w:p w14:paraId="2F077734">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224" w:type="dxa"/>
            <w:noWrap w:val="0"/>
            <w:vAlign w:val="center"/>
          </w:tcPr>
          <w:p w14:paraId="22CC2C8C">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2245" w:type="dxa"/>
            <w:noWrap w:val="0"/>
            <w:vAlign w:val="center"/>
          </w:tcPr>
          <w:p w14:paraId="6F7F9B07">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2045" w:type="dxa"/>
            <w:noWrap w:val="0"/>
            <w:vAlign w:val="center"/>
          </w:tcPr>
          <w:p w14:paraId="4FF4500A">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389" w:type="dxa"/>
            <w:noWrap w:val="0"/>
            <w:vAlign w:val="center"/>
          </w:tcPr>
          <w:p w14:paraId="448B3BF7">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064" w:type="dxa"/>
            <w:noWrap w:val="0"/>
            <w:vAlign w:val="center"/>
          </w:tcPr>
          <w:p w14:paraId="323F3259">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r>
      <w:tr w14:paraId="00A52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533" w:type="dxa"/>
            <w:tcBorders>
              <w:right w:val="single" w:color="auto" w:sz="4" w:space="0"/>
            </w:tcBorders>
            <w:noWrap w:val="0"/>
            <w:vAlign w:val="center"/>
          </w:tcPr>
          <w:p w14:paraId="1FB9C566">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224" w:type="dxa"/>
            <w:noWrap w:val="0"/>
            <w:vAlign w:val="center"/>
          </w:tcPr>
          <w:p w14:paraId="398680DF">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2245" w:type="dxa"/>
            <w:noWrap w:val="0"/>
            <w:vAlign w:val="center"/>
          </w:tcPr>
          <w:p w14:paraId="14F7F221">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2045" w:type="dxa"/>
            <w:noWrap w:val="0"/>
            <w:vAlign w:val="center"/>
          </w:tcPr>
          <w:p w14:paraId="0655F332">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389" w:type="dxa"/>
            <w:noWrap w:val="0"/>
            <w:vAlign w:val="center"/>
          </w:tcPr>
          <w:p w14:paraId="27724A73">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064" w:type="dxa"/>
            <w:noWrap w:val="0"/>
            <w:vAlign w:val="center"/>
          </w:tcPr>
          <w:p w14:paraId="2B2CC86E">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r>
      <w:tr w14:paraId="5615F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533" w:type="dxa"/>
            <w:tcBorders>
              <w:right w:val="single" w:color="auto" w:sz="4" w:space="0"/>
            </w:tcBorders>
            <w:noWrap w:val="0"/>
            <w:vAlign w:val="center"/>
          </w:tcPr>
          <w:p w14:paraId="739D71CB">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2224" w:type="dxa"/>
            <w:noWrap w:val="0"/>
            <w:vAlign w:val="center"/>
          </w:tcPr>
          <w:p w14:paraId="1AF1D9C9">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2245" w:type="dxa"/>
            <w:noWrap w:val="0"/>
            <w:vAlign w:val="center"/>
          </w:tcPr>
          <w:p w14:paraId="6AA495A6">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2045" w:type="dxa"/>
            <w:noWrap w:val="0"/>
            <w:vAlign w:val="center"/>
          </w:tcPr>
          <w:p w14:paraId="7A5BA023">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389" w:type="dxa"/>
            <w:noWrap w:val="0"/>
            <w:vAlign w:val="center"/>
          </w:tcPr>
          <w:p w14:paraId="1652D9F7">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064" w:type="dxa"/>
            <w:noWrap w:val="0"/>
            <w:vAlign w:val="center"/>
          </w:tcPr>
          <w:p w14:paraId="749CF594">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r>
    </w:tbl>
    <w:p w14:paraId="1CF11568">
      <w:pPr>
        <w:numPr>
          <w:ilvl w:val="0"/>
          <w:numId w:val="0"/>
        </w:numPr>
        <w:rPr>
          <w:rFonts w:hint="eastAsia" w:ascii="宋体" w:hAnsi="宋体" w:eastAsia="宋体" w:cs="宋体"/>
          <w:b/>
          <w:bCs/>
          <w:color w:val="auto"/>
          <w:kern w:val="0"/>
          <w:sz w:val="24"/>
          <w:szCs w:val="24"/>
          <w:highlight w:val="none"/>
          <w:lang w:val="en-US" w:eastAsia="zh-CN" w:bidi="ar-SA"/>
        </w:rPr>
      </w:pPr>
    </w:p>
    <w:p w14:paraId="564ED1C8">
      <w:pPr>
        <w:numPr>
          <w:ilvl w:val="0"/>
          <w:numId w:val="0"/>
        </w:numPr>
        <w:rPr>
          <w:rFonts w:hint="eastAsia" w:ascii="宋体" w:hAnsi="宋体" w:eastAsia="宋体" w:cs="宋体"/>
          <w:b/>
          <w:bCs/>
          <w:color w:val="auto"/>
          <w:kern w:val="0"/>
          <w:sz w:val="24"/>
          <w:szCs w:val="24"/>
          <w:highlight w:val="none"/>
          <w:lang w:val="en-US" w:eastAsia="zh-CN" w:bidi="ar-SA"/>
        </w:rPr>
      </w:pPr>
    </w:p>
    <w:p w14:paraId="4949726B">
      <w:pPr>
        <w:numPr>
          <w:ilvl w:val="0"/>
          <w:numId w:val="0"/>
        </w:numPr>
        <w:rPr>
          <w:rFonts w:hint="eastAsia" w:ascii="宋体" w:hAnsi="宋体" w:eastAsia="宋体" w:cs="宋体"/>
          <w:b/>
          <w:bCs/>
          <w:color w:val="auto"/>
          <w:kern w:val="0"/>
          <w:sz w:val="24"/>
          <w:szCs w:val="24"/>
          <w:highlight w:val="none"/>
          <w:lang w:val="en-US" w:eastAsia="zh-CN" w:bidi="ar-SA"/>
        </w:rPr>
      </w:pPr>
    </w:p>
    <w:p w14:paraId="52F545C0">
      <w:pPr>
        <w:numPr>
          <w:ilvl w:val="0"/>
          <w:numId w:val="0"/>
        </w:numP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注：1．商务响应偏离表：</w:t>
      </w:r>
      <w:r>
        <w:rPr>
          <w:rFonts w:hint="eastAsia" w:ascii="宋体" w:hAnsi="宋体" w:eastAsia="宋体" w:cs="宋体"/>
          <w:b w:val="0"/>
          <w:bCs w:val="0"/>
          <w:color w:val="auto"/>
          <w:kern w:val="0"/>
          <w:sz w:val="24"/>
          <w:szCs w:val="24"/>
          <w:highlight w:val="none"/>
          <w:lang w:val="en-US" w:eastAsia="zh-CN" w:bidi="ar-SA"/>
        </w:rPr>
        <w:t>供应商可根据本磋商文件商务要求编制此表，在此表中客观真实的做出响应。</w:t>
      </w:r>
    </w:p>
    <w:p w14:paraId="6FAC7183">
      <w:pPr>
        <w:keepNext w:val="0"/>
        <w:keepLines w:val="0"/>
        <w:pageBreakBefore w:val="0"/>
        <w:shd w:val="clear"/>
        <w:kinsoku/>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2.偏离情况可以用符号“+、=、-”分别表示正偏离、无偏离、负偏离，也可以在偏离情况中填写“无偏离”／“负偏离”／“正偏离”，必须逐次对应响应。</w:t>
      </w:r>
    </w:p>
    <w:p w14:paraId="7A3F95A5">
      <w:pPr>
        <w:keepNext w:val="0"/>
        <w:keepLines w:val="0"/>
        <w:pageBreakBefore w:val="0"/>
        <w:numPr>
          <w:ilvl w:val="0"/>
          <w:numId w:val="0"/>
        </w:numPr>
        <w:shd w:val="clear"/>
        <w:kinsoku/>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3.供应商对磋商文件中实质性的负偏离将导致响应被拒绝。</w:t>
      </w:r>
    </w:p>
    <w:p w14:paraId="6ABE9BE8">
      <w:pPr>
        <w:keepNext w:val="0"/>
        <w:keepLines w:val="0"/>
        <w:pageBreakBefore w:val="0"/>
        <w:shd w:val="clear"/>
        <w:kinsoku/>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4"/>
          <w:szCs w:val="24"/>
          <w:highlight w:val="none"/>
          <w:lang w:val="en-US" w:eastAsia="zh-CN" w:bidi="ar-SA"/>
        </w:rPr>
        <w:t>4.供应商保证：除商务和技术偏差表列出的偏差外，供应商响应采购文件的全部要求</w:t>
      </w:r>
      <w:r>
        <w:rPr>
          <w:rFonts w:hint="eastAsia" w:ascii="宋体" w:hAnsi="宋体" w:eastAsia="宋体" w:cs="宋体"/>
          <w:b/>
          <w:bCs/>
          <w:color w:val="auto"/>
          <w:kern w:val="0"/>
          <w:sz w:val="22"/>
          <w:szCs w:val="22"/>
          <w:highlight w:val="none"/>
          <w:lang w:val="en-US" w:eastAsia="zh-CN" w:bidi="ar-SA"/>
        </w:rPr>
        <w:t>。</w:t>
      </w:r>
    </w:p>
    <w:p w14:paraId="03A91241">
      <w:pPr>
        <w:shd w:val="clear"/>
        <w:bidi w:val="0"/>
        <w:spacing w:line="360" w:lineRule="auto"/>
        <w:jc w:val="right"/>
        <w:rPr>
          <w:rFonts w:hint="eastAsia" w:ascii="宋体" w:hAnsi="宋体" w:eastAsia="宋体" w:cs="宋体"/>
          <w:color w:val="auto"/>
          <w:kern w:val="0"/>
          <w:sz w:val="24"/>
          <w:szCs w:val="24"/>
          <w:highlight w:val="none"/>
          <w:lang w:val="en-US" w:eastAsia="zh-CN" w:bidi="ar-SA"/>
        </w:rPr>
      </w:pPr>
    </w:p>
    <w:p w14:paraId="5F99409E">
      <w:pPr>
        <w:shd w:val="clear"/>
        <w:bidi w:val="0"/>
        <w:spacing w:line="360" w:lineRule="auto"/>
        <w:jc w:val="right"/>
        <w:rPr>
          <w:rFonts w:hint="eastAsia" w:ascii="宋体" w:hAnsi="宋体" w:eastAsia="宋体" w:cs="宋体"/>
          <w:color w:val="auto"/>
          <w:kern w:val="0"/>
          <w:sz w:val="24"/>
          <w:szCs w:val="24"/>
          <w:highlight w:val="none"/>
          <w:lang w:val="en-US" w:eastAsia="zh-CN" w:bidi="ar-SA"/>
        </w:rPr>
      </w:pPr>
    </w:p>
    <w:p w14:paraId="0512B1A4">
      <w:pPr>
        <w:shd w:val="clear"/>
        <w:bidi w:val="0"/>
        <w:spacing w:line="360" w:lineRule="auto"/>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（加盖公章）</w:t>
      </w:r>
    </w:p>
    <w:p w14:paraId="1F673676">
      <w:pPr>
        <w:shd w:val="clear"/>
        <w:bidi w:val="0"/>
        <w:spacing w:line="360" w:lineRule="auto"/>
        <w:ind w:firstLine="480" w:firstLineChars="200"/>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法定代表人或委托代理人：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（签字或签章）</w:t>
      </w:r>
    </w:p>
    <w:p w14:paraId="27FF7D80">
      <w:pPr>
        <w:shd w:val="clear"/>
        <w:jc w:val="right"/>
        <w:rPr>
          <w:rFonts w:hint="eastAsia" w:ascii="宋体" w:hAnsi="宋体" w:eastAsia="宋体" w:cs="宋体"/>
          <w:sz w:val="24"/>
          <w:szCs w:val="24"/>
          <w:highlight w:val="none"/>
          <w:lang w:eastAsia="zh-CN"/>
        </w:rPr>
      </w:pPr>
      <w:r>
        <w:rPr>
          <w:rFonts w:hint="eastAsia" w:ascii="宋体" w:hAnsi="宋体" w:eastAsia="宋体" w:cs="宋体"/>
          <w:color w:val="auto"/>
          <w:kern w:val="0"/>
          <w:sz w:val="24"/>
          <w:szCs w:val="24"/>
          <w:highlight w:val="none"/>
          <w:lang w:val="en-US" w:eastAsia="zh-CN" w:bidi="ar-SA"/>
        </w:rPr>
        <w:t>日期：</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p>
    <w:p w14:paraId="61CC47C9">
      <w:pPr>
        <w:numPr>
          <w:ilvl w:val="0"/>
          <w:numId w:val="0"/>
        </w:numPr>
        <w:rPr>
          <w:rFonts w:hint="eastAsia" w:ascii="宋体" w:hAnsi="宋体" w:eastAsia="宋体" w:cs="宋体"/>
          <w:highlight w:val="none"/>
          <w:lang w:val="en-US" w:eastAsia="zh-CN"/>
        </w:rPr>
      </w:pPr>
    </w:p>
    <w:p w14:paraId="79C9803E">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027230E8">
      <w:pPr>
        <w:bidi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技术（格式自拟）</w:t>
      </w:r>
    </w:p>
    <w:p w14:paraId="7D4A5FEC">
      <w:pPr>
        <w:pStyle w:val="42"/>
        <w:rPr>
          <w:rFonts w:hint="eastAsia" w:ascii="宋体" w:hAnsi="宋体" w:eastAsia="宋体" w:cs="宋体"/>
          <w:highlight w:val="none"/>
          <w:lang w:val="en-US" w:eastAsia="zh-CN"/>
        </w:rPr>
      </w:pPr>
    </w:p>
    <w:p w14:paraId="72A7E0C1">
      <w:pPr>
        <w:rPr>
          <w:rFonts w:hint="eastAsia" w:ascii="宋体" w:hAnsi="宋体" w:eastAsia="宋体" w:cs="宋体"/>
          <w:b/>
          <w:bCs/>
          <w:sz w:val="24"/>
          <w:szCs w:val="24"/>
          <w:highlight w:val="none"/>
          <w:lang w:val="en-US" w:eastAsia="zh-CN"/>
        </w:rPr>
      </w:pPr>
      <w:bookmarkStart w:id="285" w:name="_Toc30210"/>
      <w:bookmarkStart w:id="286" w:name="_Toc385234442"/>
      <w:bookmarkStart w:id="287" w:name="_Toc424555853"/>
      <w:bookmarkStart w:id="288" w:name="_Toc21183"/>
      <w:bookmarkStart w:id="289" w:name="_Toc29064"/>
      <w:r>
        <w:rPr>
          <w:rFonts w:hint="eastAsia" w:ascii="宋体" w:hAnsi="宋体" w:eastAsia="宋体" w:cs="宋体"/>
          <w:b/>
          <w:bCs/>
          <w:sz w:val="24"/>
          <w:szCs w:val="24"/>
          <w:highlight w:val="none"/>
          <w:lang w:val="en-US" w:eastAsia="zh-CN"/>
        </w:rPr>
        <w:t>一、施工组织设计</w:t>
      </w:r>
    </w:p>
    <w:p w14:paraId="27FA75BF">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highlight w:val="none"/>
          <w:lang w:eastAsia="zh-CN"/>
        </w:rPr>
        <w:t>供应商</w:t>
      </w:r>
      <w:r>
        <w:rPr>
          <w:rFonts w:hint="eastAsia" w:ascii="宋体" w:hAnsi="宋体" w:eastAsia="宋体" w:cs="宋体"/>
          <w:sz w:val="24"/>
          <w:szCs w:val="24"/>
          <w:highlight w:val="none"/>
        </w:rPr>
        <w:t>应根据磋商文件情况，参考以下要点编制本工程的施工组织设计：（不限以下内容）</w:t>
      </w:r>
    </w:p>
    <w:p w14:paraId="383C75AF">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（1）施工方案全面完整、合理、针对性强、切实可行；</w:t>
      </w:r>
    </w:p>
    <w:p w14:paraId="685CE5AB">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（2）项目班子机构健全、人员齐备，劳动力计划安排合理；</w:t>
      </w:r>
    </w:p>
    <w:p w14:paraId="37A69BBC">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材料供应安排</w:t>
      </w:r>
      <w:r>
        <w:rPr>
          <w:rFonts w:hint="eastAsia" w:ascii="宋体" w:hAnsi="宋体" w:eastAsia="宋体" w:cs="宋体"/>
          <w:sz w:val="24"/>
          <w:szCs w:val="24"/>
          <w:highlight w:val="none"/>
        </w:rPr>
        <w:t>合理；</w:t>
      </w:r>
    </w:p>
    <w:p w14:paraId="6794859F">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（4）关键部位施工方法明确、切实可行；</w:t>
      </w:r>
    </w:p>
    <w:p w14:paraId="76CEA7C8">
      <w:pPr>
        <w:numPr>
          <w:ilvl w:val="0"/>
          <w:numId w:val="8"/>
        </w:num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机</w:t>
      </w:r>
      <w:r>
        <w:rPr>
          <w:rFonts w:hint="eastAsia" w:ascii="宋体" w:hAnsi="宋体" w:eastAsia="宋体" w:cs="宋体"/>
          <w:sz w:val="24"/>
          <w:szCs w:val="24"/>
          <w:highlight w:val="none"/>
          <w:lang w:val="en-US" w:eastAsia="zh-CN"/>
        </w:rPr>
        <w:t>具</w:t>
      </w:r>
      <w:r>
        <w:rPr>
          <w:rFonts w:hint="eastAsia" w:ascii="宋体" w:hAnsi="宋体" w:eastAsia="宋体" w:cs="宋体"/>
          <w:sz w:val="24"/>
          <w:szCs w:val="24"/>
          <w:highlight w:val="none"/>
        </w:rPr>
        <w:t>设备配置满足本工程施工要求；</w:t>
      </w:r>
    </w:p>
    <w:p w14:paraId="714A35BA">
      <w:pPr>
        <w:numPr>
          <w:ilvl w:val="0"/>
          <w:numId w:val="8"/>
        </w:num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工程进度计划与措施；</w:t>
      </w:r>
    </w:p>
    <w:p w14:paraId="70E334ED">
      <w:pPr>
        <w:numPr>
          <w:ilvl w:val="0"/>
          <w:numId w:val="8"/>
        </w:num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质量保证体系与措施</w:t>
      </w:r>
      <w:r>
        <w:rPr>
          <w:rFonts w:hint="eastAsia" w:ascii="宋体" w:hAnsi="宋体" w:eastAsia="宋体" w:cs="宋体"/>
          <w:sz w:val="24"/>
          <w:szCs w:val="24"/>
          <w:highlight w:val="none"/>
        </w:rPr>
        <w:t>满足磋商文件要求，保证措施切实可行；</w:t>
      </w:r>
    </w:p>
    <w:p w14:paraId="7326F863">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安全保证体系与措施</w:t>
      </w:r>
    </w:p>
    <w:p w14:paraId="54BF93E8">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施工现场采用环保、消防、降噪声、安全文明等施工技术措施；</w:t>
      </w:r>
    </w:p>
    <w:p w14:paraId="0DFAAE06">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US" w:eastAsia="zh-CN"/>
        </w:rPr>
        <w:t>有提供夜间施工方案、生活性和生产性临时设施方案、环境保护及环境检测方案、施工验收方案等其他施工技术措施</w:t>
      </w:r>
      <w:r>
        <w:rPr>
          <w:rFonts w:hint="eastAsia" w:ascii="宋体" w:hAnsi="宋体" w:eastAsia="宋体" w:cs="宋体"/>
          <w:sz w:val="24"/>
          <w:szCs w:val="24"/>
          <w:highlight w:val="none"/>
        </w:rPr>
        <w:t xml:space="preserve">；     </w:t>
      </w:r>
    </w:p>
    <w:p w14:paraId="2D705AE5">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）具有可行的提高工程质量、保证工期、降低造价的合理化建议；</w:t>
      </w:r>
    </w:p>
    <w:p w14:paraId="1264CBD6">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）在施工中采用具有切实可行的新技术、新材料、新工艺、新设备；</w:t>
      </w:r>
    </w:p>
    <w:p w14:paraId="5D4B6A25">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 施工组织设计除采用文字表述外可附下列图表，图表及格式要求附后。</w:t>
      </w:r>
    </w:p>
    <w:p w14:paraId="5106C79D">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附表一  拟投入的主要施工设备表</w:t>
      </w:r>
    </w:p>
    <w:p w14:paraId="6B73E539">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附表二  拟配备的试验和检测仪器设备表</w:t>
      </w:r>
    </w:p>
    <w:p w14:paraId="4D3297D0">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附表三  项目管理班子配备情况表</w:t>
      </w:r>
    </w:p>
    <w:p w14:paraId="49CF7B6D">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附表四  项目</w:t>
      </w:r>
      <w:r>
        <w:rPr>
          <w:rFonts w:hint="eastAsia" w:ascii="宋体" w:hAnsi="宋体" w:eastAsia="宋体" w:cs="宋体"/>
          <w:sz w:val="24"/>
          <w:szCs w:val="24"/>
          <w:highlight w:val="none"/>
          <w:lang w:eastAsia="zh-CN"/>
        </w:rPr>
        <w:t>经理</w:t>
      </w:r>
      <w:r>
        <w:rPr>
          <w:rFonts w:hint="eastAsia" w:ascii="宋体" w:hAnsi="宋体" w:eastAsia="宋体" w:cs="宋体"/>
          <w:sz w:val="24"/>
          <w:szCs w:val="24"/>
          <w:highlight w:val="none"/>
        </w:rPr>
        <w:t>简历表</w:t>
      </w:r>
    </w:p>
    <w:p w14:paraId="192814C5">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附表五  项目</w:t>
      </w:r>
      <w:r>
        <w:rPr>
          <w:rFonts w:hint="eastAsia" w:ascii="宋体" w:hAnsi="宋体" w:eastAsia="宋体" w:cs="宋体"/>
          <w:sz w:val="24"/>
          <w:szCs w:val="24"/>
          <w:highlight w:val="none"/>
          <w:lang w:val="en-US" w:eastAsia="zh-CN"/>
        </w:rPr>
        <w:t>副</w:t>
      </w:r>
      <w:r>
        <w:rPr>
          <w:rFonts w:hint="eastAsia" w:ascii="宋体" w:hAnsi="宋体" w:eastAsia="宋体" w:cs="宋体"/>
          <w:sz w:val="24"/>
          <w:szCs w:val="24"/>
          <w:highlight w:val="none"/>
          <w:lang w:eastAsia="zh-CN"/>
        </w:rPr>
        <w:t>经理</w:t>
      </w:r>
      <w:r>
        <w:rPr>
          <w:rFonts w:hint="eastAsia" w:ascii="宋体" w:hAnsi="宋体" w:eastAsia="宋体" w:cs="宋体"/>
          <w:sz w:val="24"/>
          <w:szCs w:val="24"/>
          <w:highlight w:val="none"/>
        </w:rPr>
        <w:t>简历表</w:t>
      </w:r>
    </w:p>
    <w:p w14:paraId="72A5A1E0">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附表六  技术负责人简历表</w:t>
      </w:r>
    </w:p>
    <w:p w14:paraId="17B4500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附表七  劳动力计划表</w:t>
      </w:r>
    </w:p>
    <w:p w14:paraId="4CEF3A47">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b/>
          <w:bCs/>
          <w:sz w:val="24"/>
          <w:szCs w:val="24"/>
          <w:highlight w:val="green"/>
        </w:rPr>
      </w:pPr>
      <w:r>
        <w:rPr>
          <w:rFonts w:hint="eastAsia" w:ascii="宋体" w:hAnsi="宋体" w:eastAsia="宋体" w:cs="宋体"/>
          <w:sz w:val="24"/>
          <w:szCs w:val="24"/>
          <w:highlight w:val="none"/>
        </w:rPr>
        <w:t>附表</w:t>
      </w:r>
      <w:r>
        <w:rPr>
          <w:rFonts w:hint="eastAsia" w:ascii="宋体" w:hAnsi="宋体" w:eastAsia="宋体" w:cs="宋体"/>
          <w:sz w:val="24"/>
          <w:szCs w:val="24"/>
          <w:highlight w:val="none"/>
          <w:lang w:val="en-US" w:eastAsia="zh-CN"/>
        </w:rPr>
        <w:t xml:space="preserve">八  </w:t>
      </w:r>
      <w:r>
        <w:rPr>
          <w:rFonts w:hint="eastAsia" w:ascii="宋体" w:hAnsi="宋体" w:eastAsia="宋体" w:cs="宋体"/>
          <w:sz w:val="24"/>
          <w:szCs w:val="24"/>
          <w:highlight w:val="none"/>
        </w:rPr>
        <w:t>计划开、竣工日期和施工进度网络图</w:t>
      </w:r>
      <w:r>
        <w:rPr>
          <w:rFonts w:hint="eastAsia" w:ascii="宋体" w:hAnsi="宋体" w:eastAsia="宋体" w:cs="宋体"/>
          <w:sz w:val="24"/>
          <w:szCs w:val="24"/>
          <w:highlight w:val="none"/>
        </w:rPr>
        <w:br w:type="page"/>
      </w:r>
      <w:r>
        <w:rPr>
          <w:rFonts w:hint="eastAsia" w:ascii="宋体" w:hAnsi="宋体" w:eastAsia="宋体" w:cs="宋体"/>
          <w:b/>
          <w:bCs/>
          <w:snapToGrid/>
          <w:color w:val="000000"/>
          <w:kern w:val="0"/>
          <w:sz w:val="24"/>
          <w:szCs w:val="24"/>
          <w:highlight w:val="none"/>
          <w:lang w:val="en-US" w:eastAsia="zh-CN" w:bidi="ar"/>
        </w:rPr>
        <w:t>附表一：拟投入的主要施工设备表</w:t>
      </w:r>
    </w:p>
    <w:p w14:paraId="5B7A46E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 xml:space="preserve"> </w:t>
      </w:r>
    </w:p>
    <w:p w14:paraId="33C4576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0"/>
        <w:gridCol w:w="923"/>
        <w:gridCol w:w="886"/>
        <w:gridCol w:w="686"/>
        <w:gridCol w:w="864"/>
        <w:gridCol w:w="764"/>
        <w:gridCol w:w="1098"/>
        <w:gridCol w:w="892"/>
        <w:gridCol w:w="1035"/>
        <w:gridCol w:w="699"/>
      </w:tblGrid>
      <w:tr w14:paraId="069E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0962E">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序号</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73C58">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设备名称</w:t>
            </w: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B8F8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型号</w:t>
            </w:r>
          </w:p>
          <w:p w14:paraId="3E45F0F8">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规格</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A4CF7">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数量</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D23E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国别</w:t>
            </w:r>
          </w:p>
          <w:p w14:paraId="7846B9C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产地</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11B3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制造</w:t>
            </w:r>
          </w:p>
          <w:p w14:paraId="5FD926A4">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年份</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40B7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额定功率（KW）</w:t>
            </w:r>
          </w:p>
        </w:tc>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B483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生产</w:t>
            </w:r>
          </w:p>
          <w:p w14:paraId="408DC40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能力</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8C41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用于施工部位</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C30B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备注</w:t>
            </w:r>
          </w:p>
        </w:tc>
      </w:tr>
      <w:tr w14:paraId="1508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ED4D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17DB7">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9796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80235">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D6EEF">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0BB17">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D5CA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1D84F">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B6BF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1DF5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0BAD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2D9B1">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1F16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57A1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BD611">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A6C15">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2847F">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6A28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D63B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76E78">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F753E">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2D7A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top"/>
          </w:tcPr>
          <w:p w14:paraId="006E0E9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top"/>
          </w:tcPr>
          <w:p w14:paraId="0FD36FB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top"/>
          </w:tcPr>
          <w:p w14:paraId="44779367">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top"/>
          </w:tcPr>
          <w:p w14:paraId="0B80F5E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top"/>
          </w:tcPr>
          <w:p w14:paraId="4E4A686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top"/>
          </w:tcPr>
          <w:p w14:paraId="2FBF2D77">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top"/>
          </w:tcPr>
          <w:p w14:paraId="1DF0913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92" w:type="dxa"/>
            <w:tcBorders>
              <w:top w:val="single" w:color="auto" w:sz="4" w:space="0"/>
              <w:left w:val="single" w:color="auto" w:sz="4" w:space="0"/>
              <w:bottom w:val="single" w:color="auto" w:sz="4" w:space="0"/>
              <w:right w:val="single" w:color="auto" w:sz="4" w:space="0"/>
            </w:tcBorders>
            <w:shd w:val="clear" w:color="auto" w:fill="auto"/>
            <w:noWrap/>
            <w:vAlign w:val="top"/>
          </w:tcPr>
          <w:p w14:paraId="035E059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top"/>
          </w:tcPr>
          <w:p w14:paraId="46FCE49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top"/>
          </w:tcPr>
          <w:p w14:paraId="07BFE184">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53E2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top"/>
          </w:tcPr>
          <w:p w14:paraId="646B6948">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top"/>
          </w:tcPr>
          <w:p w14:paraId="670BF49E">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top"/>
          </w:tcPr>
          <w:p w14:paraId="785BFD2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top"/>
          </w:tcPr>
          <w:p w14:paraId="486ED42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top"/>
          </w:tcPr>
          <w:p w14:paraId="4FDE1E3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top"/>
          </w:tcPr>
          <w:p w14:paraId="4D8827E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top"/>
          </w:tcPr>
          <w:p w14:paraId="4EDE80E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92" w:type="dxa"/>
            <w:tcBorders>
              <w:top w:val="single" w:color="auto" w:sz="4" w:space="0"/>
              <w:left w:val="single" w:color="auto" w:sz="4" w:space="0"/>
              <w:bottom w:val="single" w:color="auto" w:sz="4" w:space="0"/>
              <w:right w:val="single" w:color="auto" w:sz="4" w:space="0"/>
            </w:tcBorders>
            <w:shd w:val="clear" w:color="auto" w:fill="auto"/>
            <w:noWrap/>
            <w:vAlign w:val="top"/>
          </w:tcPr>
          <w:p w14:paraId="659D0FE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top"/>
          </w:tcPr>
          <w:p w14:paraId="5A63F031">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top"/>
          </w:tcPr>
          <w:p w14:paraId="2925091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564E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top"/>
          </w:tcPr>
          <w:p w14:paraId="6C133264">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top"/>
          </w:tcPr>
          <w:p w14:paraId="28A72301">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top"/>
          </w:tcPr>
          <w:p w14:paraId="212A39D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top"/>
          </w:tcPr>
          <w:p w14:paraId="37E447A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top"/>
          </w:tcPr>
          <w:p w14:paraId="41E94F8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top"/>
          </w:tcPr>
          <w:p w14:paraId="07177EF8">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top"/>
          </w:tcPr>
          <w:p w14:paraId="72D4194F">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92" w:type="dxa"/>
            <w:tcBorders>
              <w:top w:val="single" w:color="auto" w:sz="4" w:space="0"/>
              <w:left w:val="single" w:color="auto" w:sz="4" w:space="0"/>
              <w:bottom w:val="single" w:color="auto" w:sz="4" w:space="0"/>
              <w:right w:val="single" w:color="auto" w:sz="4" w:space="0"/>
            </w:tcBorders>
            <w:shd w:val="clear" w:color="auto" w:fill="auto"/>
            <w:noWrap/>
            <w:vAlign w:val="top"/>
          </w:tcPr>
          <w:p w14:paraId="385986C1">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top"/>
          </w:tcPr>
          <w:p w14:paraId="3DA03391">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top"/>
          </w:tcPr>
          <w:p w14:paraId="0C673234">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2EE7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top"/>
          </w:tcPr>
          <w:p w14:paraId="1D49D60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top"/>
          </w:tcPr>
          <w:p w14:paraId="14E331A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top"/>
          </w:tcPr>
          <w:p w14:paraId="1218824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top"/>
          </w:tcPr>
          <w:p w14:paraId="0988577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top"/>
          </w:tcPr>
          <w:p w14:paraId="49FDCEFF">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top"/>
          </w:tcPr>
          <w:p w14:paraId="4557C58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top"/>
          </w:tcPr>
          <w:p w14:paraId="4751AD8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92" w:type="dxa"/>
            <w:tcBorders>
              <w:top w:val="single" w:color="auto" w:sz="4" w:space="0"/>
              <w:left w:val="single" w:color="auto" w:sz="4" w:space="0"/>
              <w:bottom w:val="single" w:color="auto" w:sz="4" w:space="0"/>
              <w:right w:val="single" w:color="auto" w:sz="4" w:space="0"/>
            </w:tcBorders>
            <w:shd w:val="clear" w:color="auto" w:fill="auto"/>
            <w:noWrap/>
            <w:vAlign w:val="top"/>
          </w:tcPr>
          <w:p w14:paraId="059685E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top"/>
          </w:tcPr>
          <w:p w14:paraId="2D1B6EC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top"/>
          </w:tcPr>
          <w:p w14:paraId="60F55B0F">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bl>
    <w:p w14:paraId="0BE19CC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 xml:space="preserve"> </w:t>
      </w:r>
    </w:p>
    <w:p w14:paraId="7D9B713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b/>
          <w:bCs/>
          <w:sz w:val="24"/>
          <w:szCs w:val="24"/>
          <w:highlight w:val="none"/>
        </w:rPr>
      </w:pPr>
      <w:r>
        <w:rPr>
          <w:rFonts w:hint="eastAsia" w:ascii="宋体" w:hAnsi="宋体" w:eastAsia="宋体" w:cs="宋体"/>
          <w:b/>
          <w:bCs/>
          <w:snapToGrid/>
          <w:color w:val="000000"/>
          <w:kern w:val="0"/>
          <w:sz w:val="24"/>
          <w:szCs w:val="24"/>
          <w:highlight w:val="none"/>
          <w:lang w:val="en-US" w:eastAsia="zh-CN" w:bidi="ar"/>
        </w:rPr>
        <w:t>附表二：拟配备的试验和检测仪器设备表</w:t>
      </w:r>
    </w:p>
    <w:p w14:paraId="602B4F3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 xml:space="preserve"> </w:t>
      </w:r>
    </w:p>
    <w:p w14:paraId="37B8F42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4"/>
        <w:gridCol w:w="1177"/>
        <w:gridCol w:w="822"/>
        <w:gridCol w:w="1073"/>
        <w:gridCol w:w="727"/>
        <w:gridCol w:w="800"/>
        <w:gridCol w:w="1312"/>
        <w:gridCol w:w="1151"/>
        <w:gridCol w:w="742"/>
      </w:tblGrid>
      <w:tr w14:paraId="0EC0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1A5E4">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序号</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0896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仪器设备名称</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46A0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型号</w:t>
            </w:r>
          </w:p>
          <w:p w14:paraId="2E140187">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规格</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FD73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数量</w:t>
            </w:r>
          </w:p>
        </w:tc>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9D80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国别</w:t>
            </w:r>
          </w:p>
          <w:p w14:paraId="5672F935">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产地</w:t>
            </w: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9DCC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制造</w:t>
            </w:r>
          </w:p>
          <w:p w14:paraId="010DD92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年份</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D6CD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已使用台时数</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1FBC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用途</w:t>
            </w:r>
          </w:p>
        </w:tc>
        <w:tc>
          <w:tcPr>
            <w:tcW w:w="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A7B1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备注</w:t>
            </w:r>
          </w:p>
        </w:tc>
      </w:tr>
      <w:tr w14:paraId="4606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6114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E919E">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15EA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2F147">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CDF9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5D41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8415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9FC2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F7F25">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6439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D25E8">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60FC7">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A7A7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6D16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A481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5A18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D8BA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0103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4F0BE">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1CC5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top"/>
          </w:tcPr>
          <w:p w14:paraId="54108905">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77" w:type="dxa"/>
            <w:tcBorders>
              <w:top w:val="single" w:color="auto" w:sz="4" w:space="0"/>
              <w:left w:val="single" w:color="auto" w:sz="4" w:space="0"/>
              <w:bottom w:val="single" w:color="auto" w:sz="4" w:space="0"/>
              <w:right w:val="single" w:color="auto" w:sz="4" w:space="0"/>
            </w:tcBorders>
            <w:shd w:val="clear" w:color="auto" w:fill="auto"/>
            <w:noWrap/>
            <w:vAlign w:val="top"/>
          </w:tcPr>
          <w:p w14:paraId="26A26B4E">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top"/>
          </w:tcPr>
          <w:p w14:paraId="3CC8D508">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top"/>
          </w:tcPr>
          <w:p w14:paraId="06F0AB57">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27" w:type="dxa"/>
            <w:tcBorders>
              <w:top w:val="single" w:color="auto" w:sz="4" w:space="0"/>
              <w:left w:val="single" w:color="auto" w:sz="4" w:space="0"/>
              <w:bottom w:val="single" w:color="auto" w:sz="4" w:space="0"/>
              <w:right w:val="single" w:color="auto" w:sz="4" w:space="0"/>
            </w:tcBorders>
            <w:shd w:val="clear" w:color="auto" w:fill="auto"/>
            <w:noWrap/>
            <w:vAlign w:val="top"/>
          </w:tcPr>
          <w:p w14:paraId="44D1A34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top"/>
          </w:tcPr>
          <w:p w14:paraId="7F4C7CF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top"/>
          </w:tcPr>
          <w:p w14:paraId="7691AED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top"/>
          </w:tcPr>
          <w:p w14:paraId="6C40F27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42" w:type="dxa"/>
            <w:tcBorders>
              <w:top w:val="single" w:color="auto" w:sz="4" w:space="0"/>
              <w:left w:val="single" w:color="auto" w:sz="4" w:space="0"/>
              <w:bottom w:val="single" w:color="auto" w:sz="4" w:space="0"/>
              <w:right w:val="single" w:color="auto" w:sz="4" w:space="0"/>
            </w:tcBorders>
            <w:shd w:val="clear" w:color="auto" w:fill="auto"/>
            <w:noWrap/>
            <w:vAlign w:val="top"/>
          </w:tcPr>
          <w:p w14:paraId="234FA0D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0703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top"/>
          </w:tcPr>
          <w:p w14:paraId="3B2AD49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77" w:type="dxa"/>
            <w:tcBorders>
              <w:top w:val="single" w:color="auto" w:sz="4" w:space="0"/>
              <w:left w:val="single" w:color="auto" w:sz="4" w:space="0"/>
              <w:bottom w:val="single" w:color="auto" w:sz="4" w:space="0"/>
              <w:right w:val="single" w:color="auto" w:sz="4" w:space="0"/>
            </w:tcBorders>
            <w:shd w:val="clear" w:color="auto" w:fill="auto"/>
            <w:noWrap/>
            <w:vAlign w:val="top"/>
          </w:tcPr>
          <w:p w14:paraId="1234C3E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top"/>
          </w:tcPr>
          <w:p w14:paraId="697E72C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top"/>
          </w:tcPr>
          <w:p w14:paraId="50D000C8">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27" w:type="dxa"/>
            <w:tcBorders>
              <w:top w:val="single" w:color="auto" w:sz="4" w:space="0"/>
              <w:left w:val="single" w:color="auto" w:sz="4" w:space="0"/>
              <w:bottom w:val="single" w:color="auto" w:sz="4" w:space="0"/>
              <w:right w:val="single" w:color="auto" w:sz="4" w:space="0"/>
            </w:tcBorders>
            <w:shd w:val="clear" w:color="auto" w:fill="auto"/>
            <w:noWrap/>
            <w:vAlign w:val="top"/>
          </w:tcPr>
          <w:p w14:paraId="77EF4A1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top"/>
          </w:tcPr>
          <w:p w14:paraId="3C2601AE">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top"/>
          </w:tcPr>
          <w:p w14:paraId="7959D39F">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top"/>
          </w:tcPr>
          <w:p w14:paraId="33CCCBC7">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42" w:type="dxa"/>
            <w:tcBorders>
              <w:top w:val="single" w:color="auto" w:sz="4" w:space="0"/>
              <w:left w:val="single" w:color="auto" w:sz="4" w:space="0"/>
              <w:bottom w:val="single" w:color="auto" w:sz="4" w:space="0"/>
              <w:right w:val="single" w:color="auto" w:sz="4" w:space="0"/>
            </w:tcBorders>
            <w:shd w:val="clear" w:color="auto" w:fill="auto"/>
            <w:noWrap/>
            <w:vAlign w:val="top"/>
          </w:tcPr>
          <w:p w14:paraId="38EA0ED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0AC1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top"/>
          </w:tcPr>
          <w:p w14:paraId="0C110BC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77" w:type="dxa"/>
            <w:tcBorders>
              <w:top w:val="single" w:color="auto" w:sz="4" w:space="0"/>
              <w:left w:val="single" w:color="auto" w:sz="4" w:space="0"/>
              <w:bottom w:val="single" w:color="auto" w:sz="4" w:space="0"/>
              <w:right w:val="single" w:color="auto" w:sz="4" w:space="0"/>
            </w:tcBorders>
            <w:shd w:val="clear" w:color="auto" w:fill="auto"/>
            <w:noWrap/>
            <w:vAlign w:val="top"/>
          </w:tcPr>
          <w:p w14:paraId="1F401B5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top"/>
          </w:tcPr>
          <w:p w14:paraId="2611D13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top"/>
          </w:tcPr>
          <w:p w14:paraId="4A84F2B8">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27" w:type="dxa"/>
            <w:tcBorders>
              <w:top w:val="single" w:color="auto" w:sz="4" w:space="0"/>
              <w:left w:val="single" w:color="auto" w:sz="4" w:space="0"/>
              <w:bottom w:val="single" w:color="auto" w:sz="4" w:space="0"/>
              <w:right w:val="single" w:color="auto" w:sz="4" w:space="0"/>
            </w:tcBorders>
            <w:shd w:val="clear" w:color="auto" w:fill="auto"/>
            <w:noWrap/>
            <w:vAlign w:val="top"/>
          </w:tcPr>
          <w:p w14:paraId="3E30BA4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top"/>
          </w:tcPr>
          <w:p w14:paraId="36EFACE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top"/>
          </w:tcPr>
          <w:p w14:paraId="6372CA4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top"/>
          </w:tcPr>
          <w:p w14:paraId="04F0B57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42" w:type="dxa"/>
            <w:tcBorders>
              <w:top w:val="single" w:color="auto" w:sz="4" w:space="0"/>
              <w:left w:val="single" w:color="auto" w:sz="4" w:space="0"/>
              <w:bottom w:val="single" w:color="auto" w:sz="4" w:space="0"/>
              <w:right w:val="single" w:color="auto" w:sz="4" w:space="0"/>
            </w:tcBorders>
            <w:shd w:val="clear" w:color="auto" w:fill="auto"/>
            <w:noWrap/>
            <w:vAlign w:val="top"/>
          </w:tcPr>
          <w:p w14:paraId="0CBC290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5AD3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top"/>
          </w:tcPr>
          <w:p w14:paraId="38E422D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77" w:type="dxa"/>
            <w:tcBorders>
              <w:top w:val="single" w:color="auto" w:sz="4" w:space="0"/>
              <w:left w:val="single" w:color="auto" w:sz="4" w:space="0"/>
              <w:bottom w:val="single" w:color="auto" w:sz="4" w:space="0"/>
              <w:right w:val="single" w:color="auto" w:sz="4" w:space="0"/>
            </w:tcBorders>
            <w:shd w:val="clear" w:color="auto" w:fill="auto"/>
            <w:noWrap/>
            <w:vAlign w:val="top"/>
          </w:tcPr>
          <w:p w14:paraId="36B5769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top"/>
          </w:tcPr>
          <w:p w14:paraId="2926186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top"/>
          </w:tcPr>
          <w:p w14:paraId="710B630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27" w:type="dxa"/>
            <w:tcBorders>
              <w:top w:val="single" w:color="auto" w:sz="4" w:space="0"/>
              <w:left w:val="single" w:color="auto" w:sz="4" w:space="0"/>
              <w:bottom w:val="single" w:color="auto" w:sz="4" w:space="0"/>
              <w:right w:val="single" w:color="auto" w:sz="4" w:space="0"/>
            </w:tcBorders>
            <w:shd w:val="clear" w:color="auto" w:fill="auto"/>
            <w:noWrap/>
            <w:vAlign w:val="top"/>
          </w:tcPr>
          <w:p w14:paraId="1A928D6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top"/>
          </w:tcPr>
          <w:p w14:paraId="28A6696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top"/>
          </w:tcPr>
          <w:p w14:paraId="4C6251B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top"/>
          </w:tcPr>
          <w:p w14:paraId="3BB65BF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742" w:type="dxa"/>
            <w:tcBorders>
              <w:top w:val="single" w:color="auto" w:sz="4" w:space="0"/>
              <w:left w:val="single" w:color="auto" w:sz="4" w:space="0"/>
              <w:bottom w:val="single" w:color="auto" w:sz="4" w:space="0"/>
              <w:right w:val="single" w:color="auto" w:sz="4" w:space="0"/>
            </w:tcBorders>
            <w:shd w:val="clear" w:color="auto" w:fill="auto"/>
            <w:noWrap/>
            <w:vAlign w:val="top"/>
          </w:tcPr>
          <w:p w14:paraId="79B4D79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bl>
    <w:p w14:paraId="6D47B32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 xml:space="preserve"> </w:t>
      </w:r>
    </w:p>
    <w:p w14:paraId="0064BD91">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b/>
          <w:bCs/>
          <w:sz w:val="24"/>
          <w:szCs w:val="24"/>
          <w:highlight w:val="none"/>
        </w:rPr>
      </w:pPr>
      <w:r>
        <w:rPr>
          <w:rFonts w:hint="eastAsia" w:ascii="宋体" w:hAnsi="宋体" w:eastAsia="宋体" w:cs="宋体"/>
          <w:b/>
          <w:bCs/>
          <w:snapToGrid/>
          <w:color w:val="000000"/>
          <w:kern w:val="0"/>
          <w:sz w:val="24"/>
          <w:szCs w:val="24"/>
          <w:highlight w:val="none"/>
          <w:lang w:val="en-US" w:eastAsia="zh-CN" w:bidi="ar"/>
        </w:rPr>
        <w:br w:type="page"/>
      </w:r>
      <w:r>
        <w:rPr>
          <w:rFonts w:hint="eastAsia" w:ascii="宋体" w:hAnsi="宋体" w:eastAsia="宋体" w:cs="宋体"/>
          <w:b/>
          <w:bCs/>
          <w:snapToGrid/>
          <w:color w:val="000000"/>
          <w:kern w:val="0"/>
          <w:sz w:val="24"/>
          <w:szCs w:val="24"/>
          <w:highlight w:val="none"/>
          <w:lang w:val="en-US" w:eastAsia="zh-CN" w:bidi="ar"/>
        </w:rPr>
        <w:t>附表三：项目管理班子配备情况表</w:t>
      </w:r>
    </w:p>
    <w:tbl>
      <w:tblPr>
        <w:tblStyle w:val="33"/>
        <w:tblW w:w="89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8"/>
        <w:gridCol w:w="720"/>
        <w:gridCol w:w="720"/>
        <w:gridCol w:w="888"/>
        <w:gridCol w:w="888"/>
        <w:gridCol w:w="888"/>
        <w:gridCol w:w="888"/>
        <w:gridCol w:w="1488"/>
        <w:gridCol w:w="889"/>
        <w:gridCol w:w="911"/>
      </w:tblGrid>
      <w:tr w14:paraId="43D2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49170A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kern w:val="0"/>
                <w:sz w:val="24"/>
                <w:szCs w:val="24"/>
                <w:highlight w:val="none"/>
              </w:rPr>
            </w:pPr>
            <w:r>
              <w:rPr>
                <w:rFonts w:hint="eastAsia" w:ascii="宋体" w:hAnsi="宋体" w:eastAsia="宋体" w:cs="宋体"/>
                <w:snapToGrid/>
                <w:color w:val="000000"/>
                <w:kern w:val="0"/>
                <w:sz w:val="24"/>
                <w:szCs w:val="24"/>
                <w:highlight w:val="none"/>
                <w:lang w:val="en-US" w:eastAsia="zh-CN" w:bidi="ar"/>
              </w:rPr>
              <w:t>职务</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D4A03F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kern w:val="0"/>
                <w:sz w:val="24"/>
                <w:szCs w:val="24"/>
                <w:highlight w:val="none"/>
              </w:rPr>
            </w:pPr>
            <w:r>
              <w:rPr>
                <w:rFonts w:hint="eastAsia" w:ascii="宋体" w:hAnsi="宋体" w:eastAsia="宋体" w:cs="宋体"/>
                <w:snapToGrid/>
                <w:color w:val="000000"/>
                <w:kern w:val="0"/>
                <w:sz w:val="24"/>
                <w:szCs w:val="24"/>
                <w:highlight w:val="none"/>
                <w:lang w:val="en-US" w:eastAsia="zh-CN" w:bidi="ar"/>
              </w:rPr>
              <w:t>姓名</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405DAB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kern w:val="0"/>
                <w:sz w:val="24"/>
                <w:szCs w:val="24"/>
                <w:highlight w:val="none"/>
              </w:rPr>
            </w:pPr>
            <w:r>
              <w:rPr>
                <w:rFonts w:hint="eastAsia" w:ascii="宋体" w:hAnsi="宋体" w:eastAsia="宋体" w:cs="宋体"/>
                <w:snapToGrid/>
                <w:color w:val="000000"/>
                <w:kern w:val="0"/>
                <w:sz w:val="24"/>
                <w:szCs w:val="24"/>
                <w:highlight w:val="none"/>
                <w:lang w:val="en-US" w:eastAsia="zh-CN" w:bidi="ar"/>
              </w:rPr>
              <w:t>职称</w:t>
            </w:r>
          </w:p>
        </w:tc>
        <w:tc>
          <w:tcPr>
            <w:tcW w:w="504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1CB4EA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kern w:val="0"/>
                <w:sz w:val="24"/>
                <w:szCs w:val="24"/>
                <w:highlight w:val="none"/>
              </w:rPr>
            </w:pPr>
            <w:r>
              <w:rPr>
                <w:rFonts w:hint="eastAsia" w:ascii="宋体" w:hAnsi="宋体" w:eastAsia="宋体" w:cs="宋体"/>
                <w:snapToGrid/>
                <w:color w:val="000000"/>
                <w:kern w:val="0"/>
                <w:sz w:val="24"/>
                <w:szCs w:val="24"/>
                <w:highlight w:val="none"/>
                <w:lang w:val="en-US" w:eastAsia="zh-CN" w:bidi="ar"/>
              </w:rPr>
              <w:t>上岗资格证明</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C8004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kern w:val="0"/>
                <w:sz w:val="24"/>
                <w:szCs w:val="24"/>
                <w:highlight w:val="none"/>
              </w:rPr>
            </w:pPr>
            <w:r>
              <w:rPr>
                <w:rFonts w:hint="eastAsia" w:ascii="宋体" w:hAnsi="宋体" w:eastAsia="宋体" w:cs="宋体"/>
                <w:snapToGrid/>
                <w:color w:val="000000"/>
                <w:kern w:val="0"/>
                <w:sz w:val="24"/>
                <w:szCs w:val="24"/>
                <w:highlight w:val="none"/>
                <w:lang w:val="en-US" w:eastAsia="zh-CN" w:bidi="ar"/>
              </w:rPr>
              <w:t>已承担在建工程情况</w:t>
            </w:r>
          </w:p>
        </w:tc>
      </w:tr>
      <w:tr w14:paraId="74B8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E7E1C8">
            <w:pPr>
              <w:keepNext w:val="0"/>
              <w:keepLines w:val="0"/>
              <w:suppressLineNumbers w:val="0"/>
              <w:spacing w:before="0" w:beforeAutospacing="0" w:after="0" w:afterAutospacing="0"/>
              <w:ind w:left="0" w:right="0"/>
              <w:rPr>
                <w:rFonts w:hint="eastAsia" w:ascii="宋体" w:hAnsi="宋体" w:eastAsia="宋体" w:cs="宋体"/>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138D2C">
            <w:pPr>
              <w:keepNext w:val="0"/>
              <w:keepLines w:val="0"/>
              <w:suppressLineNumbers w:val="0"/>
              <w:spacing w:before="0" w:beforeAutospacing="0" w:after="0" w:afterAutospacing="0"/>
              <w:ind w:left="0" w:right="0"/>
              <w:rPr>
                <w:rFonts w:hint="eastAsia" w:ascii="宋体" w:hAnsi="宋体" w:eastAsia="宋体" w:cs="宋体"/>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2B92B0">
            <w:pPr>
              <w:keepNext w:val="0"/>
              <w:keepLines w:val="0"/>
              <w:suppressLineNumbers w:val="0"/>
              <w:spacing w:before="0" w:beforeAutospacing="0" w:after="0" w:afterAutospacing="0"/>
              <w:ind w:left="0" w:right="0"/>
              <w:rPr>
                <w:rFonts w:hint="eastAsia" w:ascii="宋体" w:hAnsi="宋体" w:eastAsia="宋体" w:cs="宋体"/>
                <w:sz w:val="20"/>
                <w:szCs w:val="20"/>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2DC8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kern w:val="0"/>
                <w:sz w:val="24"/>
                <w:szCs w:val="24"/>
                <w:highlight w:val="none"/>
              </w:rPr>
            </w:pPr>
            <w:r>
              <w:rPr>
                <w:rFonts w:hint="eastAsia" w:ascii="宋体" w:hAnsi="宋体" w:eastAsia="宋体" w:cs="宋体"/>
                <w:snapToGrid/>
                <w:color w:val="000000"/>
                <w:kern w:val="0"/>
                <w:sz w:val="24"/>
                <w:szCs w:val="24"/>
                <w:highlight w:val="none"/>
                <w:lang w:val="en-US" w:eastAsia="zh-CN" w:bidi="ar"/>
              </w:rPr>
              <w:t>证书</w:t>
            </w:r>
          </w:p>
          <w:p w14:paraId="26A9F2C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kern w:val="0"/>
                <w:sz w:val="24"/>
                <w:szCs w:val="24"/>
                <w:highlight w:val="none"/>
              </w:rPr>
            </w:pPr>
            <w:r>
              <w:rPr>
                <w:rFonts w:hint="eastAsia" w:ascii="宋体" w:hAnsi="宋体" w:eastAsia="宋体" w:cs="宋体"/>
                <w:snapToGrid/>
                <w:color w:val="000000"/>
                <w:kern w:val="0"/>
                <w:sz w:val="24"/>
                <w:szCs w:val="24"/>
                <w:highlight w:val="none"/>
                <w:lang w:val="en-US" w:eastAsia="zh-CN" w:bidi="ar"/>
              </w:rPr>
              <w:t>名称</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C901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kern w:val="0"/>
                <w:sz w:val="24"/>
                <w:szCs w:val="24"/>
                <w:highlight w:val="none"/>
              </w:rPr>
            </w:pPr>
            <w:r>
              <w:rPr>
                <w:rFonts w:hint="eastAsia" w:ascii="宋体" w:hAnsi="宋体" w:eastAsia="宋体" w:cs="宋体"/>
                <w:snapToGrid/>
                <w:color w:val="000000"/>
                <w:kern w:val="0"/>
                <w:sz w:val="24"/>
                <w:szCs w:val="24"/>
                <w:highlight w:val="none"/>
                <w:lang w:val="en-US" w:eastAsia="zh-CN" w:bidi="ar"/>
              </w:rPr>
              <w:t>级别</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0646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kern w:val="0"/>
                <w:sz w:val="24"/>
                <w:szCs w:val="24"/>
                <w:highlight w:val="none"/>
              </w:rPr>
            </w:pPr>
            <w:r>
              <w:rPr>
                <w:rFonts w:hint="eastAsia" w:ascii="宋体" w:hAnsi="宋体" w:eastAsia="宋体" w:cs="宋体"/>
                <w:snapToGrid/>
                <w:color w:val="000000"/>
                <w:kern w:val="0"/>
                <w:sz w:val="24"/>
                <w:szCs w:val="24"/>
                <w:highlight w:val="none"/>
                <w:lang w:val="en-US" w:eastAsia="zh-CN" w:bidi="ar"/>
              </w:rPr>
              <w:t>证号</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E32D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kern w:val="0"/>
                <w:sz w:val="24"/>
                <w:szCs w:val="24"/>
                <w:highlight w:val="none"/>
              </w:rPr>
            </w:pPr>
            <w:r>
              <w:rPr>
                <w:rFonts w:hint="eastAsia" w:ascii="宋体" w:hAnsi="宋体" w:eastAsia="宋体" w:cs="宋体"/>
                <w:snapToGrid/>
                <w:color w:val="000000"/>
                <w:kern w:val="0"/>
                <w:sz w:val="24"/>
                <w:szCs w:val="24"/>
                <w:highlight w:val="none"/>
                <w:lang w:val="en-US" w:eastAsia="zh-CN" w:bidi="ar"/>
              </w:rPr>
              <w:t>专业</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37CF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kern w:val="0"/>
                <w:sz w:val="24"/>
                <w:szCs w:val="24"/>
                <w:highlight w:val="none"/>
              </w:rPr>
            </w:pPr>
            <w:r>
              <w:rPr>
                <w:rFonts w:hint="eastAsia" w:ascii="宋体" w:hAnsi="宋体" w:eastAsia="宋体" w:cs="宋体"/>
                <w:snapToGrid/>
                <w:color w:val="000000"/>
                <w:kern w:val="0"/>
                <w:sz w:val="24"/>
                <w:szCs w:val="24"/>
                <w:highlight w:val="none"/>
                <w:lang w:val="en-US" w:eastAsia="zh-CN" w:bidi="ar"/>
              </w:rPr>
              <w:t>原服务单位</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E26E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kern w:val="0"/>
                <w:sz w:val="24"/>
                <w:szCs w:val="24"/>
                <w:highlight w:val="none"/>
              </w:rPr>
            </w:pPr>
            <w:r>
              <w:rPr>
                <w:rFonts w:hint="eastAsia" w:ascii="宋体" w:hAnsi="宋体" w:eastAsia="宋体" w:cs="宋体"/>
                <w:snapToGrid/>
                <w:color w:val="000000"/>
                <w:kern w:val="0"/>
                <w:sz w:val="24"/>
                <w:szCs w:val="24"/>
                <w:highlight w:val="none"/>
                <w:lang w:val="en-US" w:eastAsia="zh-CN" w:bidi="ar"/>
              </w:rPr>
              <w:t>项目数</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C6B7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kern w:val="0"/>
                <w:sz w:val="24"/>
                <w:szCs w:val="24"/>
                <w:highlight w:val="none"/>
              </w:rPr>
            </w:pPr>
            <w:r>
              <w:rPr>
                <w:rFonts w:hint="eastAsia" w:ascii="宋体" w:hAnsi="宋体" w:eastAsia="宋体" w:cs="宋体"/>
                <w:snapToGrid/>
                <w:color w:val="000000"/>
                <w:kern w:val="0"/>
                <w:sz w:val="24"/>
                <w:szCs w:val="24"/>
                <w:highlight w:val="none"/>
                <w:lang w:val="en-US" w:eastAsia="zh-CN" w:bidi="ar"/>
              </w:rPr>
              <w:t>主要项目名称</w:t>
            </w:r>
          </w:p>
        </w:tc>
      </w:tr>
      <w:tr w14:paraId="0602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top"/>
          </w:tcPr>
          <w:p w14:paraId="6E8DFCA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top"/>
          </w:tcPr>
          <w:p w14:paraId="6305EB2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top"/>
          </w:tcPr>
          <w:p w14:paraId="161CA8B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6A7C834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7AF8A00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04154E0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68DC0BA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top"/>
          </w:tcPr>
          <w:p w14:paraId="235C994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top"/>
          </w:tcPr>
          <w:p w14:paraId="1FDBEBF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top"/>
          </w:tcPr>
          <w:p w14:paraId="4EF218D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r>
      <w:tr w14:paraId="33C7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top"/>
          </w:tcPr>
          <w:p w14:paraId="7851766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top"/>
          </w:tcPr>
          <w:p w14:paraId="0C09847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top"/>
          </w:tcPr>
          <w:p w14:paraId="4B3A47D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62A7168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2DDD3B4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3A636AE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6202659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top"/>
          </w:tcPr>
          <w:p w14:paraId="7E90B78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top"/>
          </w:tcPr>
          <w:p w14:paraId="5215774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top"/>
          </w:tcPr>
          <w:p w14:paraId="326EB7F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r>
      <w:tr w14:paraId="4074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top"/>
          </w:tcPr>
          <w:p w14:paraId="707D604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top"/>
          </w:tcPr>
          <w:p w14:paraId="438869A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top"/>
          </w:tcPr>
          <w:p w14:paraId="54CF2D0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38C22C0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2BF5FFC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126589A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08580E2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top"/>
          </w:tcPr>
          <w:p w14:paraId="06A4408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top"/>
          </w:tcPr>
          <w:p w14:paraId="4ED53AD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top"/>
          </w:tcPr>
          <w:p w14:paraId="5AA0554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r>
      <w:tr w14:paraId="3009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top"/>
          </w:tcPr>
          <w:p w14:paraId="57F97DE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top"/>
          </w:tcPr>
          <w:p w14:paraId="638768C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top"/>
          </w:tcPr>
          <w:p w14:paraId="4D74ABE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70C4A2F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0AD7661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7873907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54D38D5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top"/>
          </w:tcPr>
          <w:p w14:paraId="338B168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top"/>
          </w:tcPr>
          <w:p w14:paraId="1FE7010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top"/>
          </w:tcPr>
          <w:p w14:paraId="3E5521C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r>
      <w:tr w14:paraId="45BD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top"/>
          </w:tcPr>
          <w:p w14:paraId="516B0A8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top"/>
          </w:tcPr>
          <w:p w14:paraId="31200A6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top"/>
          </w:tcPr>
          <w:p w14:paraId="16E5EB5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3620B02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2197D41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48CE688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top"/>
          </w:tcPr>
          <w:p w14:paraId="3E78844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top"/>
          </w:tcPr>
          <w:p w14:paraId="00E6F73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top"/>
          </w:tcPr>
          <w:p w14:paraId="3332A16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top"/>
          </w:tcPr>
          <w:p w14:paraId="16A77E7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r>
    </w:tbl>
    <w:p w14:paraId="42139D07">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b/>
          <w:bCs/>
          <w:sz w:val="24"/>
          <w:szCs w:val="24"/>
          <w:highlight w:val="none"/>
        </w:rPr>
      </w:pPr>
      <w:r>
        <w:rPr>
          <w:rFonts w:hint="eastAsia" w:ascii="宋体" w:hAnsi="宋体" w:eastAsia="宋体" w:cs="宋体"/>
          <w:b/>
          <w:bCs/>
          <w:snapToGrid/>
          <w:color w:val="000000"/>
          <w:kern w:val="0"/>
          <w:sz w:val="24"/>
          <w:szCs w:val="24"/>
          <w:highlight w:val="none"/>
          <w:lang w:val="en-US" w:eastAsia="zh-CN" w:bidi="ar"/>
        </w:rPr>
        <w:t xml:space="preserve"> </w:t>
      </w:r>
    </w:p>
    <w:p w14:paraId="5B80CD4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b/>
          <w:bCs/>
          <w:sz w:val="24"/>
          <w:szCs w:val="24"/>
          <w:highlight w:val="none"/>
        </w:rPr>
      </w:pPr>
      <w:r>
        <w:rPr>
          <w:rFonts w:hint="eastAsia" w:ascii="宋体" w:hAnsi="宋体" w:eastAsia="宋体" w:cs="宋体"/>
          <w:b/>
          <w:bCs/>
          <w:snapToGrid/>
          <w:color w:val="000000"/>
          <w:kern w:val="0"/>
          <w:sz w:val="24"/>
          <w:szCs w:val="24"/>
          <w:highlight w:val="none"/>
          <w:lang w:val="en-US" w:eastAsia="zh-CN" w:bidi="ar"/>
        </w:rPr>
        <w:t>附表四：项目经理简历表</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80"/>
        <w:gridCol w:w="1480"/>
        <w:gridCol w:w="1480"/>
        <w:gridCol w:w="1608"/>
        <w:gridCol w:w="1481"/>
        <w:gridCol w:w="1481"/>
      </w:tblGrid>
      <w:tr w14:paraId="2F4B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D969B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姓名</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7656ED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1A368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性别</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B5C17C5">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68500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年龄</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13FE6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55D1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9CBB66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职务</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CB4DC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E7DB38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职称</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778181">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EECCB8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学历</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C1891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651E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68042B44">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参加工作时间</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A3651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3089"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5A82B5F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从事年限</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BCC3AF">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69C3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6D4AB5E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color w:val="000000"/>
                <w:kern w:val="0"/>
                <w:sz w:val="24"/>
                <w:szCs w:val="24"/>
                <w:highlight w:val="none"/>
                <w:lang w:val="en-US" w:eastAsia="zh-CN" w:bidi="ar"/>
              </w:rPr>
            </w:pPr>
            <w:r>
              <w:rPr>
                <w:rFonts w:hint="eastAsia" w:ascii="宋体" w:hAnsi="宋体" w:eastAsia="宋体" w:cs="宋体"/>
                <w:snapToGrid/>
                <w:color w:val="000000"/>
                <w:kern w:val="0"/>
                <w:sz w:val="24"/>
                <w:szCs w:val="24"/>
                <w:highlight w:val="none"/>
                <w:lang w:val="en-US" w:eastAsia="zh-CN" w:bidi="ar"/>
              </w:rPr>
              <w:t>联系方式</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945E655">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3089"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66AEB23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color w:val="000000"/>
                <w:kern w:val="0"/>
                <w:sz w:val="24"/>
                <w:szCs w:val="24"/>
                <w:highlight w:val="none"/>
                <w:lang w:val="en-US" w:eastAsia="zh-CN" w:bidi="ar"/>
              </w:rPr>
            </w:pPr>
            <w:r>
              <w:rPr>
                <w:rFonts w:hint="eastAsia" w:ascii="宋体" w:hAnsi="宋体" w:eastAsia="宋体" w:cs="宋体"/>
                <w:snapToGrid/>
                <w:color w:val="000000"/>
                <w:kern w:val="0"/>
                <w:sz w:val="24"/>
                <w:szCs w:val="24"/>
                <w:highlight w:val="none"/>
                <w:lang w:val="en-US" w:eastAsia="zh-CN" w:bidi="ar"/>
              </w:rPr>
              <w:t>联系地址</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9EE8D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676F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2423703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资格证书编号</w:t>
            </w:r>
          </w:p>
        </w:tc>
        <w:tc>
          <w:tcPr>
            <w:tcW w:w="6050"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14:paraId="621F36BE">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48B5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Borders>
              <w:top w:val="single" w:color="auto" w:sz="4" w:space="0"/>
              <w:left w:val="single" w:color="auto" w:sz="4" w:space="0"/>
              <w:bottom w:val="single" w:color="auto" w:sz="4" w:space="0"/>
              <w:right w:val="single" w:color="auto" w:sz="4" w:space="0"/>
            </w:tcBorders>
            <w:shd w:val="clear" w:color="auto" w:fill="auto"/>
            <w:noWrap/>
            <w:vAlign w:val="bottom"/>
          </w:tcPr>
          <w:p w14:paraId="2CB59BD8">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在建和已完工程项目情况</w:t>
            </w:r>
          </w:p>
        </w:tc>
      </w:tr>
      <w:tr w14:paraId="6B59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9A1FD5">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建设单位</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8332F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项目名称</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39AC6D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建设规模</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603836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开、竣工日期</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5C253D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在建或已完</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5EBEA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工程质量</w:t>
            </w:r>
          </w:p>
        </w:tc>
      </w:tr>
      <w:tr w14:paraId="7406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FF5FF4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8FEE5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4D2F65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E7C9B1">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B50D1D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DFC97E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5398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3179318">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57FEB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21C462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8568F2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286CCF">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7C6963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6BCA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94E8F0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21896C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7A13C81">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11F75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90ECE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AABF74">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bl>
    <w:p w14:paraId="08A4FA7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r>
        <w:rPr>
          <w:rFonts w:hint="eastAsia" w:ascii="宋体" w:hAnsi="宋体" w:eastAsia="宋体" w:cs="宋体"/>
          <w:snapToGrid/>
          <w:color w:val="000000"/>
          <w:kern w:val="0"/>
          <w:sz w:val="24"/>
          <w:szCs w:val="24"/>
          <w:highlight w:val="none"/>
          <w:lang w:val="en-US" w:eastAsia="zh-CN" w:bidi="ar"/>
        </w:rPr>
        <w:t>备注：后附项目经理证明材料</w:t>
      </w:r>
    </w:p>
    <w:p w14:paraId="5D7374C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snapToGrid/>
          <w:color w:val="000000"/>
          <w:kern w:val="0"/>
          <w:sz w:val="24"/>
          <w:szCs w:val="24"/>
          <w:highlight w:val="none"/>
          <w:lang w:val="en-US" w:eastAsia="zh-CN" w:bidi="ar"/>
        </w:rPr>
      </w:pPr>
      <w:r>
        <w:rPr>
          <w:rFonts w:hint="eastAsia" w:ascii="宋体" w:hAnsi="宋体" w:eastAsia="宋体" w:cs="宋体"/>
          <w:snapToGrid/>
          <w:color w:val="000000"/>
          <w:kern w:val="0"/>
          <w:sz w:val="24"/>
          <w:szCs w:val="24"/>
          <w:highlight w:val="none"/>
          <w:lang w:val="en-US" w:eastAsia="zh-CN" w:bidi="ar"/>
        </w:rPr>
        <w:br w:type="page"/>
      </w:r>
    </w:p>
    <w:p w14:paraId="2DF0E84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b/>
          <w:bCs/>
          <w:sz w:val="24"/>
          <w:szCs w:val="24"/>
          <w:highlight w:val="none"/>
        </w:rPr>
      </w:pPr>
      <w:r>
        <w:rPr>
          <w:rFonts w:hint="eastAsia" w:ascii="宋体" w:hAnsi="宋体" w:eastAsia="宋体" w:cs="宋体"/>
          <w:b/>
          <w:bCs/>
          <w:snapToGrid/>
          <w:color w:val="000000"/>
          <w:kern w:val="0"/>
          <w:sz w:val="24"/>
          <w:szCs w:val="24"/>
          <w:highlight w:val="none"/>
          <w:lang w:val="en-US" w:eastAsia="zh-CN" w:bidi="ar"/>
        </w:rPr>
        <w:t>附表五：项目副经理简历表</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80"/>
        <w:gridCol w:w="1480"/>
        <w:gridCol w:w="1480"/>
        <w:gridCol w:w="1608"/>
        <w:gridCol w:w="1481"/>
        <w:gridCol w:w="1481"/>
      </w:tblGrid>
      <w:tr w14:paraId="0738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3B5670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姓名</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8A6BEC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2F9D4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性别</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DC2BEE">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3EB29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年龄</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F13C545">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5992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14C0C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职务</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E0EEC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89F182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职称</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493C41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0EB627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学历</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3A16A8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228E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01E9CBB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参加工作时间</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F58159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3089"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7EB3094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从事年限</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AC6C23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2992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5E78DEC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color w:val="000000"/>
                <w:kern w:val="0"/>
                <w:sz w:val="24"/>
                <w:szCs w:val="24"/>
                <w:highlight w:val="none"/>
                <w:lang w:val="en-US" w:eastAsia="zh-CN" w:bidi="ar"/>
              </w:rPr>
            </w:pPr>
            <w:r>
              <w:rPr>
                <w:rFonts w:hint="eastAsia" w:ascii="宋体" w:hAnsi="宋体" w:eastAsia="宋体" w:cs="宋体"/>
                <w:snapToGrid/>
                <w:color w:val="000000"/>
                <w:kern w:val="0"/>
                <w:sz w:val="24"/>
                <w:szCs w:val="24"/>
                <w:highlight w:val="none"/>
                <w:lang w:val="en-US" w:eastAsia="zh-CN" w:bidi="ar"/>
              </w:rPr>
              <w:t>联系方式</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750C0B5">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3089"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73C78A11">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color w:val="000000"/>
                <w:kern w:val="0"/>
                <w:sz w:val="24"/>
                <w:szCs w:val="24"/>
                <w:highlight w:val="none"/>
                <w:lang w:val="en-US" w:eastAsia="zh-CN" w:bidi="ar"/>
              </w:rPr>
            </w:pPr>
            <w:r>
              <w:rPr>
                <w:rFonts w:hint="eastAsia" w:ascii="宋体" w:hAnsi="宋体" w:eastAsia="宋体" w:cs="宋体"/>
                <w:snapToGrid/>
                <w:color w:val="000000"/>
                <w:kern w:val="0"/>
                <w:sz w:val="24"/>
                <w:szCs w:val="24"/>
                <w:highlight w:val="none"/>
                <w:lang w:val="en-US" w:eastAsia="zh-CN" w:bidi="ar"/>
              </w:rPr>
              <w:t>联系地址</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4D7B638">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31B4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3D22297E">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资格证书编号</w:t>
            </w:r>
          </w:p>
        </w:tc>
        <w:tc>
          <w:tcPr>
            <w:tcW w:w="6050"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14:paraId="483DC98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11F8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Borders>
              <w:top w:val="single" w:color="auto" w:sz="4" w:space="0"/>
              <w:left w:val="single" w:color="auto" w:sz="4" w:space="0"/>
              <w:bottom w:val="single" w:color="auto" w:sz="4" w:space="0"/>
              <w:right w:val="single" w:color="auto" w:sz="4" w:space="0"/>
            </w:tcBorders>
            <w:shd w:val="clear" w:color="auto" w:fill="auto"/>
            <w:noWrap/>
            <w:vAlign w:val="bottom"/>
          </w:tcPr>
          <w:p w14:paraId="2184079E">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在建和已完工程项目情况</w:t>
            </w:r>
          </w:p>
        </w:tc>
      </w:tr>
      <w:tr w14:paraId="5418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2BE32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建设单位</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3C3BC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项目名称</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C0F6A0E">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建设规模</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444ACB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开、竣工日期</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2C5F9D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在建或已完</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2E55FE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工程质量</w:t>
            </w:r>
          </w:p>
        </w:tc>
      </w:tr>
      <w:tr w14:paraId="7E26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C206F85">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DAA9BE8">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BE7B2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1971D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9EB27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CC7A1D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141B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90B3DD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B37544">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D7404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6615DA8">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AAE40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8E28A3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4DA6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A96356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1248C1">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8ABD6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2448FA8">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CE54C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15133A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bl>
    <w:p w14:paraId="0C2DBA8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r>
        <w:rPr>
          <w:rFonts w:hint="eastAsia" w:ascii="宋体" w:hAnsi="宋体" w:eastAsia="宋体" w:cs="宋体"/>
          <w:snapToGrid/>
          <w:color w:val="000000"/>
          <w:kern w:val="0"/>
          <w:sz w:val="24"/>
          <w:szCs w:val="24"/>
          <w:highlight w:val="none"/>
          <w:lang w:val="en-US" w:eastAsia="zh-CN" w:bidi="ar"/>
        </w:rPr>
        <w:t>备注：后附项目副经理证明材料</w:t>
      </w:r>
    </w:p>
    <w:p w14:paraId="73E8FA8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snapToGrid/>
          <w:color w:val="000000"/>
          <w:kern w:val="0"/>
          <w:sz w:val="24"/>
          <w:szCs w:val="24"/>
          <w:highlight w:val="none"/>
          <w:lang w:val="en-US" w:eastAsia="zh-CN" w:bidi="ar"/>
        </w:rPr>
      </w:pPr>
    </w:p>
    <w:p w14:paraId="6012E94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b/>
          <w:bCs/>
          <w:kern w:val="0"/>
          <w:sz w:val="24"/>
          <w:szCs w:val="24"/>
          <w:highlight w:val="none"/>
        </w:rPr>
      </w:pPr>
      <w:r>
        <w:rPr>
          <w:rFonts w:hint="eastAsia" w:ascii="宋体" w:hAnsi="宋体" w:eastAsia="宋体" w:cs="宋体"/>
          <w:b/>
          <w:bCs/>
          <w:snapToGrid/>
          <w:color w:val="000000"/>
          <w:kern w:val="0"/>
          <w:sz w:val="24"/>
          <w:szCs w:val="24"/>
          <w:highlight w:val="none"/>
          <w:lang w:val="en-US" w:eastAsia="zh-CN" w:bidi="ar"/>
        </w:rPr>
        <w:t>附表六：技术负责人简历表</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80"/>
        <w:gridCol w:w="1480"/>
        <w:gridCol w:w="1480"/>
        <w:gridCol w:w="1608"/>
        <w:gridCol w:w="1481"/>
        <w:gridCol w:w="1481"/>
      </w:tblGrid>
      <w:tr w14:paraId="1A57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41FCCBF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姓名</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0388166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16FBEAA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性别</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top"/>
          </w:tcPr>
          <w:p w14:paraId="26F3FCC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top"/>
          </w:tcPr>
          <w:p w14:paraId="56570AC5">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年龄</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top"/>
          </w:tcPr>
          <w:p w14:paraId="7938C2F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59A0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3E16545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职务</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78577577">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1C656D0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职称</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top"/>
          </w:tcPr>
          <w:p w14:paraId="72FF129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top"/>
          </w:tcPr>
          <w:p w14:paraId="008FD01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学历</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top"/>
          </w:tcPr>
          <w:p w14:paraId="5AA0C734">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213E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14:paraId="10404D7F">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参加工作时间</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430C00B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3089"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14:paraId="292EFBE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从事技术负责人年限</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top"/>
          </w:tcPr>
          <w:p w14:paraId="41EEBBE1">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3F8C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14:paraId="520382F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资格证书名称及编号</w:t>
            </w:r>
          </w:p>
        </w:tc>
        <w:tc>
          <w:tcPr>
            <w:tcW w:w="6050" w:type="dxa"/>
            <w:gridSpan w:val="4"/>
            <w:tcBorders>
              <w:top w:val="single" w:color="auto" w:sz="4" w:space="0"/>
              <w:left w:val="single" w:color="auto" w:sz="4" w:space="0"/>
              <w:bottom w:val="single" w:color="auto" w:sz="4" w:space="0"/>
              <w:right w:val="single" w:color="auto" w:sz="4" w:space="0"/>
            </w:tcBorders>
            <w:shd w:val="clear" w:color="auto" w:fill="auto"/>
            <w:noWrap/>
            <w:vAlign w:val="top"/>
          </w:tcPr>
          <w:p w14:paraId="37CEA2C4">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2EF3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Borders>
              <w:top w:val="single" w:color="auto" w:sz="4" w:space="0"/>
              <w:left w:val="single" w:color="auto" w:sz="4" w:space="0"/>
              <w:bottom w:val="single" w:color="auto" w:sz="4" w:space="0"/>
              <w:right w:val="single" w:color="auto" w:sz="4" w:space="0"/>
            </w:tcBorders>
            <w:shd w:val="clear" w:color="auto" w:fill="auto"/>
            <w:noWrap/>
            <w:vAlign w:val="top"/>
          </w:tcPr>
          <w:p w14:paraId="392E6B61">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在建和已完工程项目情况</w:t>
            </w:r>
          </w:p>
        </w:tc>
      </w:tr>
      <w:tr w14:paraId="452E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187B9C27">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建设单位</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0515A71F">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项目名称</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3009547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建设规模</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top"/>
          </w:tcPr>
          <w:p w14:paraId="34C21F6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开、竣工日期</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top"/>
          </w:tcPr>
          <w:p w14:paraId="7308EC14">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在建或已完</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top"/>
          </w:tcPr>
          <w:p w14:paraId="176DA2F5">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工程质量</w:t>
            </w:r>
          </w:p>
        </w:tc>
      </w:tr>
      <w:tr w14:paraId="0C53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6B36218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22A2352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5A70D21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top"/>
          </w:tcPr>
          <w:p w14:paraId="1223678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top"/>
          </w:tcPr>
          <w:p w14:paraId="6E17608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top"/>
          </w:tcPr>
          <w:p w14:paraId="52A32E5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r>
      <w:tr w14:paraId="6D95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5AF5F0B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2482A53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0F478AE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top"/>
          </w:tcPr>
          <w:p w14:paraId="55F2E8F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top"/>
          </w:tcPr>
          <w:p w14:paraId="5226577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top"/>
          </w:tcPr>
          <w:p w14:paraId="2BE89EB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r>
      <w:tr w14:paraId="523F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5381919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3582856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top"/>
          </w:tcPr>
          <w:p w14:paraId="7F6DC2E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top"/>
          </w:tcPr>
          <w:p w14:paraId="2E94CEB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top"/>
          </w:tcPr>
          <w:p w14:paraId="0582C8F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top"/>
          </w:tcPr>
          <w:p w14:paraId="3FF04D5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p>
        </w:tc>
      </w:tr>
    </w:tbl>
    <w:p w14:paraId="0FEAD87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b/>
          <w:bCs/>
          <w:snapToGrid/>
          <w:color w:val="000000"/>
          <w:kern w:val="0"/>
          <w:sz w:val="24"/>
          <w:szCs w:val="24"/>
          <w:highlight w:val="none"/>
          <w:lang w:val="en-US" w:eastAsia="zh-CN" w:bidi="ar"/>
        </w:rPr>
      </w:pPr>
      <w:r>
        <w:rPr>
          <w:rFonts w:hint="eastAsia" w:ascii="宋体" w:hAnsi="宋体" w:eastAsia="宋体" w:cs="宋体"/>
          <w:b/>
          <w:bCs/>
          <w:snapToGrid/>
          <w:color w:val="000000"/>
          <w:kern w:val="0"/>
          <w:sz w:val="24"/>
          <w:szCs w:val="24"/>
          <w:highlight w:val="none"/>
          <w:lang w:val="en-US" w:eastAsia="zh-CN" w:bidi="ar"/>
        </w:rPr>
        <w:t xml:space="preserve"> </w:t>
      </w:r>
    </w:p>
    <w:p w14:paraId="72D4B77E">
      <w:pPr>
        <w:pStyle w:val="42"/>
        <w:rPr>
          <w:rFonts w:hint="eastAsia" w:ascii="宋体" w:hAnsi="宋体" w:eastAsia="宋体" w:cs="宋体"/>
        </w:rPr>
      </w:pPr>
    </w:p>
    <w:p w14:paraId="5477EACF">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b/>
          <w:bCs/>
          <w:sz w:val="24"/>
          <w:szCs w:val="24"/>
          <w:highlight w:val="none"/>
        </w:rPr>
      </w:pPr>
      <w:r>
        <w:rPr>
          <w:rFonts w:hint="eastAsia" w:ascii="宋体" w:hAnsi="宋体" w:eastAsia="宋体" w:cs="宋体"/>
          <w:b/>
          <w:bCs/>
          <w:snapToGrid/>
          <w:color w:val="000000"/>
          <w:kern w:val="0"/>
          <w:sz w:val="24"/>
          <w:szCs w:val="24"/>
          <w:highlight w:val="none"/>
          <w:lang w:val="en-US" w:eastAsia="zh-CN" w:bidi="ar"/>
        </w:rPr>
        <w:t>附表七：劳动力计划表</w:t>
      </w:r>
    </w:p>
    <w:p w14:paraId="445796D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410"/>
        <w:jc w:val="righ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单位：人</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93"/>
        <w:gridCol w:w="872"/>
        <w:gridCol w:w="1133"/>
        <w:gridCol w:w="1133"/>
        <w:gridCol w:w="875"/>
        <w:gridCol w:w="1133"/>
        <w:gridCol w:w="1133"/>
        <w:gridCol w:w="1343"/>
      </w:tblGrid>
      <w:tr w14:paraId="2BC3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42448">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工种</w:t>
            </w:r>
          </w:p>
        </w:tc>
        <w:tc>
          <w:tcPr>
            <w:tcW w:w="7622"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AEDFFA5">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按工程施工阶段投入劳动力情况</w:t>
            </w:r>
          </w:p>
        </w:tc>
      </w:tr>
      <w:tr w14:paraId="19E5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AB57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405FF">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BB1E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7F877">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A57A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DE0D7">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35E0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C1B91">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2DBC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B9FD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A0A7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FD5F8">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97FE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3858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7E33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0863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80A2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3694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shd w:val="clear" w:color="auto" w:fill="auto"/>
            <w:noWrap/>
            <w:vAlign w:val="top"/>
          </w:tcPr>
          <w:p w14:paraId="59A018B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top"/>
          </w:tcPr>
          <w:p w14:paraId="43F9FD8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top"/>
          </w:tcPr>
          <w:p w14:paraId="6D120CEF">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top"/>
          </w:tcPr>
          <w:p w14:paraId="56DDEF5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top"/>
          </w:tcPr>
          <w:p w14:paraId="5E20B9D5">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top"/>
          </w:tcPr>
          <w:p w14:paraId="4C29157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top"/>
          </w:tcPr>
          <w:p w14:paraId="164C53A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top"/>
          </w:tcPr>
          <w:p w14:paraId="2279D0B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235D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shd w:val="clear" w:color="auto" w:fill="auto"/>
            <w:noWrap/>
            <w:vAlign w:val="top"/>
          </w:tcPr>
          <w:p w14:paraId="04569FC1">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top"/>
          </w:tcPr>
          <w:p w14:paraId="6B416CAC">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top"/>
          </w:tcPr>
          <w:p w14:paraId="2665ACAA">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top"/>
          </w:tcPr>
          <w:p w14:paraId="7CA1F6F4">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top"/>
          </w:tcPr>
          <w:p w14:paraId="363751DB">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top"/>
          </w:tcPr>
          <w:p w14:paraId="2A859F83">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top"/>
          </w:tcPr>
          <w:p w14:paraId="6C4CE5EF">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top"/>
          </w:tcPr>
          <w:p w14:paraId="7D8CDF49">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r w14:paraId="7277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shd w:val="clear" w:color="auto" w:fill="auto"/>
            <w:noWrap/>
            <w:vAlign w:val="top"/>
          </w:tcPr>
          <w:p w14:paraId="2BFF1ED6">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top"/>
          </w:tcPr>
          <w:p w14:paraId="6279BF7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top"/>
          </w:tcPr>
          <w:p w14:paraId="294C8ADF">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top"/>
          </w:tcPr>
          <w:p w14:paraId="7927BAC0">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top"/>
          </w:tcPr>
          <w:p w14:paraId="779C9A42">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top"/>
          </w:tcPr>
          <w:p w14:paraId="1FFB66AE">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top"/>
          </w:tcPr>
          <w:p w14:paraId="5FD3879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top"/>
          </w:tcPr>
          <w:p w14:paraId="5575A71D">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p>
        </w:tc>
      </w:tr>
    </w:tbl>
    <w:p w14:paraId="0F2D3696">
      <w:pPr>
        <w:keepNext w:val="0"/>
        <w:keepLines w:val="0"/>
        <w:widowControl/>
        <w:suppressLineNumbers w:val="0"/>
        <w:kinsoku w:val="0"/>
        <w:topLinePunct/>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 xml:space="preserve"> </w:t>
      </w:r>
    </w:p>
    <w:p w14:paraId="26830DCE">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b/>
          <w:bCs/>
          <w:sz w:val="24"/>
          <w:szCs w:val="24"/>
          <w:highlight w:val="none"/>
        </w:rPr>
      </w:pPr>
      <w:r>
        <w:rPr>
          <w:rFonts w:hint="eastAsia" w:ascii="宋体" w:hAnsi="宋体" w:eastAsia="宋体" w:cs="宋体"/>
          <w:b/>
          <w:bCs/>
          <w:snapToGrid/>
          <w:color w:val="000000"/>
          <w:kern w:val="0"/>
          <w:sz w:val="24"/>
          <w:szCs w:val="24"/>
          <w:highlight w:val="none"/>
          <w:lang w:val="en-US" w:eastAsia="zh-CN" w:bidi="ar"/>
        </w:rPr>
        <w:t>附表八：计划开、竣工日期和施工进度网络图</w:t>
      </w:r>
    </w:p>
    <w:p w14:paraId="25B57C84">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 xml:space="preserve"> </w:t>
      </w:r>
    </w:p>
    <w:p w14:paraId="02E9BA6A">
      <w:pPr>
        <w:keepNext w:val="0"/>
        <w:keepLines w:val="0"/>
        <w:widowControl/>
        <w:suppressLineNumbers w:val="0"/>
        <w:kinsoku w:val="0"/>
        <w:autoSpaceDE w:val="0"/>
        <w:autoSpaceDN w:val="0"/>
        <w:adjustRightInd w:val="0"/>
        <w:snapToGrid w:val="0"/>
        <w:spacing w:before="0" w:beforeAutospacing="0" w:after="0" w:afterAutospacing="0" w:line="480" w:lineRule="auto"/>
        <w:ind w:left="0" w:right="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napToGrid/>
          <w:color w:val="000000"/>
          <w:kern w:val="0"/>
          <w:sz w:val="24"/>
          <w:szCs w:val="24"/>
          <w:highlight w:val="none"/>
          <w:lang w:val="en-US" w:eastAsia="zh-CN" w:bidi="ar"/>
        </w:rPr>
        <w:t xml:space="preserve"> 施工进度表可采用网络图（或横道图）表示。</w:t>
      </w:r>
    </w:p>
    <w:p w14:paraId="22060CDB">
      <w:pPr>
        <w:bidi w:val="0"/>
        <w:spacing w:line="360" w:lineRule="auto"/>
        <w:rPr>
          <w:rFonts w:hint="eastAsia" w:ascii="宋体" w:hAnsi="宋体" w:eastAsia="宋体" w:cs="宋体"/>
          <w:sz w:val="24"/>
          <w:szCs w:val="24"/>
          <w:highlight w:val="none"/>
        </w:rPr>
      </w:pPr>
    </w:p>
    <w:p w14:paraId="55F4A669">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34D7A9DD">
      <w:pPr>
        <w:pStyle w:val="42"/>
        <w:ind w:left="0"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二、供应商认为需要提供的其他技术材料</w:t>
      </w:r>
    </w:p>
    <w:p w14:paraId="16952449">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3510940A">
      <w:pPr>
        <w:numPr>
          <w:ilvl w:val="0"/>
          <w:numId w:val="0"/>
        </w:numPr>
        <w:tabs>
          <w:tab w:val="left" w:pos="4000"/>
        </w:tabs>
        <w:snapToGrid w:val="0"/>
        <w:spacing w:line="480" w:lineRule="exact"/>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三、技术响应偏离表</w:t>
      </w:r>
    </w:p>
    <w:p w14:paraId="7123ADCF">
      <w:pPr>
        <w:numPr>
          <w:ilvl w:val="0"/>
          <w:numId w:val="0"/>
        </w:numPr>
        <w:tabs>
          <w:tab w:val="left" w:pos="4000"/>
        </w:tabs>
        <w:snapToGrid w:val="0"/>
        <w:spacing w:line="480" w:lineRule="exact"/>
        <w:ind w:leftChars="200"/>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技术响应偏离表</w:t>
      </w:r>
    </w:p>
    <w:p w14:paraId="29C74E4F">
      <w:pPr>
        <w:snapToGrid w:val="0"/>
        <w:spacing w:line="240" w:lineRule="auto"/>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项目名称：</w:t>
      </w:r>
      <w:r>
        <w:rPr>
          <w:rFonts w:hint="eastAsia" w:ascii="宋体" w:hAnsi="宋体" w:eastAsia="宋体" w:cs="宋体"/>
          <w:sz w:val="24"/>
          <w:szCs w:val="24"/>
          <w:highlight w:val="none"/>
          <w:u w:val="single"/>
          <w:lang w:val="en-US" w:eastAsia="zh-CN"/>
        </w:rPr>
        <w:t xml:space="preserve">               </w:t>
      </w:r>
    </w:p>
    <w:p w14:paraId="47D74CF1">
      <w:pPr>
        <w:snapToGrid w:val="0"/>
        <w:spacing w:line="240" w:lineRule="auto"/>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项目编号：</w:t>
      </w:r>
      <w:r>
        <w:rPr>
          <w:rFonts w:hint="eastAsia" w:ascii="宋体" w:hAnsi="宋体" w:eastAsia="宋体" w:cs="宋体"/>
          <w:sz w:val="24"/>
          <w:szCs w:val="24"/>
          <w:highlight w:val="none"/>
          <w:u w:val="single"/>
          <w:lang w:val="en-US" w:eastAsia="zh-CN"/>
        </w:rPr>
        <w:t xml:space="preserve">               </w:t>
      </w:r>
    </w:p>
    <w:tbl>
      <w:tblPr>
        <w:tblStyle w:val="33"/>
        <w:tblpPr w:leftFromText="180" w:rightFromText="180" w:vertAnchor="text" w:horzAnchor="page" w:tblpXSpec="center" w:tblpY="29"/>
        <w:tblOverlap w:val="never"/>
        <w:tblW w:w="95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33"/>
        <w:gridCol w:w="2224"/>
        <w:gridCol w:w="2245"/>
        <w:gridCol w:w="2045"/>
        <w:gridCol w:w="1389"/>
        <w:gridCol w:w="1064"/>
      </w:tblGrid>
      <w:tr w14:paraId="3AEC1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9500" w:type="dxa"/>
            <w:gridSpan w:val="6"/>
            <w:noWrap w:val="0"/>
            <w:vAlign w:val="center"/>
          </w:tcPr>
          <w:p w14:paraId="4BCEFF05">
            <w:pPr>
              <w:keepNext w:val="0"/>
              <w:keepLines w:val="0"/>
              <w:pageBreakBefore w:val="0"/>
              <w:widowControl w:val="0"/>
              <w:numPr>
                <w:ilvl w:val="0"/>
                <w:numId w:val="0"/>
              </w:numPr>
              <w:suppressLineNumbers w:val="0"/>
              <w:shd w:val="clear"/>
              <w:tabs>
                <w:tab w:val="left" w:pos="4000"/>
              </w:tabs>
              <w:kinsoku/>
              <w:wordWrap/>
              <w:overflowPunct/>
              <w:topLinePunct w:val="0"/>
              <w:autoSpaceDE/>
              <w:autoSpaceDN/>
              <w:bidi w:val="0"/>
              <w:adjustRightInd/>
              <w:snapToGrid w:val="0"/>
              <w:spacing w:before="0" w:beforeAutospacing="0" w:after="0" w:afterAutospacing="0" w:line="0" w:lineRule="atLeast"/>
              <w:ind w:left="420" w:leftChars="20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1"/>
                <w:szCs w:val="21"/>
                <w:highlight w:val="none"/>
                <w:lang w:val="en-US" w:eastAsia="zh-CN"/>
              </w:rPr>
              <w:t>技术响应偏离表</w:t>
            </w:r>
          </w:p>
        </w:tc>
      </w:tr>
      <w:tr w14:paraId="57559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9" w:hRule="atLeast"/>
          <w:jc w:val="center"/>
        </w:trPr>
        <w:tc>
          <w:tcPr>
            <w:tcW w:w="533" w:type="dxa"/>
            <w:tcBorders>
              <w:right w:val="single" w:color="auto" w:sz="4" w:space="0"/>
            </w:tcBorders>
            <w:noWrap w:val="0"/>
            <w:vAlign w:val="center"/>
          </w:tcPr>
          <w:p w14:paraId="0DBE6BAC">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2224" w:type="dxa"/>
            <w:noWrap w:val="0"/>
            <w:vAlign w:val="center"/>
          </w:tcPr>
          <w:p w14:paraId="0FCD0F3D">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技术条款</w:t>
            </w:r>
          </w:p>
        </w:tc>
        <w:tc>
          <w:tcPr>
            <w:tcW w:w="2245" w:type="dxa"/>
            <w:noWrap w:val="0"/>
            <w:vAlign w:val="center"/>
          </w:tcPr>
          <w:p w14:paraId="4010734E">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采购文件</w:t>
            </w:r>
          </w:p>
          <w:p w14:paraId="1B8AEF5F">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技术要求及规格参数</w:t>
            </w:r>
          </w:p>
        </w:tc>
        <w:tc>
          <w:tcPr>
            <w:tcW w:w="2045" w:type="dxa"/>
            <w:noWrap w:val="0"/>
            <w:vAlign w:val="center"/>
          </w:tcPr>
          <w:p w14:paraId="1229AC7E">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响应文件对应技术要求及规格参数</w:t>
            </w:r>
          </w:p>
        </w:tc>
        <w:tc>
          <w:tcPr>
            <w:tcW w:w="1389" w:type="dxa"/>
            <w:noWrap w:val="0"/>
            <w:vAlign w:val="center"/>
          </w:tcPr>
          <w:p w14:paraId="6D986B24">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偏离情况</w:t>
            </w:r>
          </w:p>
        </w:tc>
        <w:tc>
          <w:tcPr>
            <w:tcW w:w="1064" w:type="dxa"/>
            <w:noWrap w:val="0"/>
            <w:vAlign w:val="center"/>
          </w:tcPr>
          <w:p w14:paraId="0586FCA0">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r>
      <w:tr w14:paraId="123A3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6" w:hRule="exact"/>
          <w:jc w:val="center"/>
        </w:trPr>
        <w:tc>
          <w:tcPr>
            <w:tcW w:w="533" w:type="dxa"/>
            <w:tcBorders>
              <w:right w:val="single" w:color="auto" w:sz="4" w:space="0"/>
            </w:tcBorders>
            <w:noWrap w:val="0"/>
            <w:vAlign w:val="center"/>
          </w:tcPr>
          <w:p w14:paraId="197C22D2">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224" w:type="dxa"/>
            <w:noWrap w:val="0"/>
            <w:vAlign w:val="center"/>
          </w:tcPr>
          <w:p w14:paraId="060D966F">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b w:val="0"/>
                <w:bCs w:val="0"/>
                <w:kern w:val="2"/>
                <w:sz w:val="22"/>
                <w:szCs w:val="22"/>
                <w:highlight w:val="none"/>
                <w:lang w:val="en-US" w:eastAsia="zh-CN" w:bidi="ar-SA"/>
              </w:rPr>
            </w:pPr>
          </w:p>
        </w:tc>
        <w:tc>
          <w:tcPr>
            <w:tcW w:w="2245" w:type="dxa"/>
            <w:noWrap w:val="0"/>
            <w:vAlign w:val="center"/>
          </w:tcPr>
          <w:p w14:paraId="7B4284D8">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b w:val="0"/>
                <w:bCs w:val="0"/>
                <w:kern w:val="2"/>
                <w:sz w:val="22"/>
                <w:szCs w:val="22"/>
                <w:highlight w:val="none"/>
                <w:lang w:val="en-US" w:eastAsia="zh-CN" w:bidi="ar-SA"/>
              </w:rPr>
            </w:pPr>
          </w:p>
        </w:tc>
        <w:tc>
          <w:tcPr>
            <w:tcW w:w="2045" w:type="dxa"/>
            <w:noWrap w:val="0"/>
            <w:vAlign w:val="center"/>
          </w:tcPr>
          <w:p w14:paraId="5558CF67">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389" w:type="dxa"/>
            <w:noWrap w:val="0"/>
            <w:vAlign w:val="center"/>
          </w:tcPr>
          <w:p w14:paraId="111EA072">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064" w:type="dxa"/>
            <w:noWrap w:val="0"/>
            <w:vAlign w:val="center"/>
          </w:tcPr>
          <w:p w14:paraId="69E9B2A5">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r>
      <w:tr w14:paraId="10C84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6" w:hRule="exact"/>
          <w:jc w:val="center"/>
        </w:trPr>
        <w:tc>
          <w:tcPr>
            <w:tcW w:w="533" w:type="dxa"/>
            <w:tcBorders>
              <w:right w:val="single" w:color="auto" w:sz="4" w:space="0"/>
            </w:tcBorders>
            <w:noWrap w:val="0"/>
            <w:vAlign w:val="center"/>
          </w:tcPr>
          <w:p w14:paraId="50E64D50">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224" w:type="dxa"/>
            <w:noWrap w:val="0"/>
            <w:vAlign w:val="center"/>
          </w:tcPr>
          <w:p w14:paraId="30DE8732">
            <w:pPr>
              <w:pStyle w:val="7"/>
              <w:keepNext/>
              <w:keepLines/>
              <w:pageBreakBefore w:val="0"/>
              <w:widowControl w:val="0"/>
              <w:suppressLineNumbers w:val="0"/>
              <w:shd w:val="clear"/>
              <w:kinsoku/>
              <w:wordWrap/>
              <w:overflowPunct/>
              <w:topLinePunct w:val="0"/>
              <w:autoSpaceDE/>
              <w:autoSpaceDN/>
              <w:bidi w:val="0"/>
              <w:adjustRightInd/>
              <w:snapToGrid/>
              <w:spacing w:before="0" w:beforeLines="0" w:beforeAutospacing="0" w:after="0" w:afterLines="0" w:afterAutospacing="0" w:line="0" w:lineRule="atLeast"/>
              <w:ind w:left="0" w:leftChars="0" w:right="0" w:rightChars="0"/>
              <w:jc w:val="center"/>
              <w:textAlignment w:val="auto"/>
              <w:rPr>
                <w:rFonts w:hint="eastAsia" w:ascii="宋体" w:hAnsi="宋体" w:eastAsia="宋体" w:cs="宋体"/>
                <w:sz w:val="24"/>
                <w:szCs w:val="24"/>
                <w:highlight w:val="none"/>
                <w:lang w:val="en-US" w:eastAsia="zh-CN"/>
              </w:rPr>
            </w:pPr>
          </w:p>
        </w:tc>
        <w:tc>
          <w:tcPr>
            <w:tcW w:w="2245" w:type="dxa"/>
            <w:noWrap w:val="0"/>
            <w:vAlign w:val="center"/>
          </w:tcPr>
          <w:p w14:paraId="3D976034">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2045" w:type="dxa"/>
            <w:noWrap w:val="0"/>
            <w:vAlign w:val="center"/>
          </w:tcPr>
          <w:p w14:paraId="1DBFD5F7">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389" w:type="dxa"/>
            <w:noWrap w:val="0"/>
            <w:vAlign w:val="center"/>
          </w:tcPr>
          <w:p w14:paraId="36AF1D30">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064" w:type="dxa"/>
            <w:noWrap w:val="0"/>
            <w:vAlign w:val="center"/>
          </w:tcPr>
          <w:p w14:paraId="0959E98C">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r>
      <w:tr w14:paraId="1ADDB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6" w:hRule="exact"/>
          <w:jc w:val="center"/>
        </w:trPr>
        <w:tc>
          <w:tcPr>
            <w:tcW w:w="533" w:type="dxa"/>
            <w:tcBorders>
              <w:right w:val="single" w:color="auto" w:sz="4" w:space="0"/>
            </w:tcBorders>
            <w:noWrap w:val="0"/>
            <w:vAlign w:val="center"/>
          </w:tcPr>
          <w:p w14:paraId="457D1730">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224" w:type="dxa"/>
            <w:noWrap w:val="0"/>
            <w:vAlign w:val="center"/>
          </w:tcPr>
          <w:p w14:paraId="30936BFE">
            <w:pPr>
              <w:pStyle w:val="7"/>
              <w:keepNext/>
              <w:keepLines/>
              <w:pageBreakBefore w:val="0"/>
              <w:widowControl w:val="0"/>
              <w:suppressLineNumbers w:val="0"/>
              <w:shd w:val="clear"/>
              <w:kinsoku/>
              <w:wordWrap/>
              <w:overflowPunct/>
              <w:topLinePunct w:val="0"/>
              <w:autoSpaceDE/>
              <w:autoSpaceDN/>
              <w:bidi w:val="0"/>
              <w:adjustRightInd/>
              <w:snapToGrid/>
              <w:spacing w:before="0" w:beforeLines="0" w:beforeAutospacing="0" w:after="0" w:afterLines="0" w:afterAutospacing="0" w:line="0" w:lineRule="atLeast"/>
              <w:ind w:left="0" w:leftChars="0" w:right="0" w:rightChars="0"/>
              <w:jc w:val="center"/>
              <w:textAlignment w:val="auto"/>
              <w:rPr>
                <w:rFonts w:hint="eastAsia" w:ascii="宋体" w:hAnsi="宋体" w:eastAsia="宋体" w:cs="宋体"/>
                <w:kern w:val="2"/>
                <w:sz w:val="24"/>
                <w:szCs w:val="24"/>
                <w:highlight w:val="none"/>
                <w:lang w:val="en-US" w:eastAsia="zh-CN" w:bidi="ar-SA"/>
              </w:rPr>
            </w:pPr>
          </w:p>
        </w:tc>
        <w:tc>
          <w:tcPr>
            <w:tcW w:w="2245" w:type="dxa"/>
            <w:noWrap w:val="0"/>
            <w:vAlign w:val="center"/>
          </w:tcPr>
          <w:p w14:paraId="2DA1A31A">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2045" w:type="dxa"/>
            <w:noWrap w:val="0"/>
            <w:vAlign w:val="center"/>
          </w:tcPr>
          <w:p w14:paraId="5A5706ED">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389" w:type="dxa"/>
            <w:noWrap w:val="0"/>
            <w:vAlign w:val="center"/>
          </w:tcPr>
          <w:p w14:paraId="1858606A">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064" w:type="dxa"/>
            <w:noWrap w:val="0"/>
            <w:vAlign w:val="center"/>
          </w:tcPr>
          <w:p w14:paraId="66C95054">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r>
      <w:tr w14:paraId="1C46D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6" w:hRule="exact"/>
          <w:jc w:val="center"/>
        </w:trPr>
        <w:tc>
          <w:tcPr>
            <w:tcW w:w="533" w:type="dxa"/>
            <w:tcBorders>
              <w:right w:val="single" w:color="auto" w:sz="4" w:space="0"/>
            </w:tcBorders>
            <w:noWrap w:val="0"/>
            <w:vAlign w:val="center"/>
          </w:tcPr>
          <w:p w14:paraId="42198CF1">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224" w:type="dxa"/>
            <w:noWrap w:val="0"/>
            <w:vAlign w:val="center"/>
          </w:tcPr>
          <w:p w14:paraId="370416DE">
            <w:pPr>
              <w:pStyle w:val="7"/>
              <w:keepNext/>
              <w:keepLines/>
              <w:pageBreakBefore w:val="0"/>
              <w:widowControl w:val="0"/>
              <w:suppressLineNumbers w:val="0"/>
              <w:shd w:val="clear"/>
              <w:kinsoku/>
              <w:wordWrap/>
              <w:overflowPunct/>
              <w:topLinePunct w:val="0"/>
              <w:autoSpaceDE/>
              <w:autoSpaceDN/>
              <w:bidi w:val="0"/>
              <w:adjustRightInd/>
              <w:snapToGrid/>
              <w:spacing w:before="0" w:beforeLines="0" w:beforeAutospacing="0" w:after="0" w:afterLines="0" w:afterAutospacing="0" w:line="0" w:lineRule="atLeast"/>
              <w:ind w:left="0" w:leftChars="0" w:right="0" w:rightChars="0"/>
              <w:jc w:val="center"/>
              <w:textAlignment w:val="auto"/>
              <w:rPr>
                <w:rFonts w:hint="eastAsia" w:ascii="宋体" w:hAnsi="宋体" w:eastAsia="宋体" w:cs="宋体"/>
                <w:b w:val="0"/>
                <w:bCs w:val="0"/>
                <w:kern w:val="2"/>
                <w:sz w:val="22"/>
                <w:szCs w:val="22"/>
                <w:highlight w:val="none"/>
                <w:lang w:val="en-US" w:eastAsia="zh-CN" w:bidi="ar-SA"/>
              </w:rPr>
            </w:pPr>
          </w:p>
        </w:tc>
        <w:tc>
          <w:tcPr>
            <w:tcW w:w="2245" w:type="dxa"/>
            <w:noWrap w:val="0"/>
            <w:vAlign w:val="center"/>
          </w:tcPr>
          <w:p w14:paraId="58F16456">
            <w:pPr>
              <w:pStyle w:val="7"/>
              <w:keepNext/>
              <w:keepLines/>
              <w:pageBreakBefore w:val="0"/>
              <w:widowControl w:val="0"/>
              <w:suppressLineNumbers w:val="0"/>
              <w:shd w:val="clear"/>
              <w:kinsoku/>
              <w:wordWrap/>
              <w:overflowPunct/>
              <w:topLinePunct w:val="0"/>
              <w:autoSpaceDE/>
              <w:autoSpaceDN/>
              <w:bidi w:val="0"/>
              <w:adjustRightInd/>
              <w:snapToGrid/>
              <w:spacing w:before="0" w:beforeLines="0" w:beforeAutospacing="0" w:after="0" w:afterLines="0" w:afterAutospacing="0" w:line="0" w:lineRule="atLeast"/>
              <w:ind w:left="0" w:leftChars="0" w:right="0" w:rightChars="0"/>
              <w:jc w:val="center"/>
              <w:textAlignment w:val="auto"/>
              <w:rPr>
                <w:rFonts w:hint="eastAsia" w:ascii="宋体" w:hAnsi="宋体" w:eastAsia="宋体" w:cs="宋体"/>
                <w:b w:val="0"/>
                <w:bCs w:val="0"/>
                <w:kern w:val="2"/>
                <w:sz w:val="22"/>
                <w:szCs w:val="22"/>
                <w:highlight w:val="none"/>
                <w:lang w:val="en-US" w:eastAsia="zh-CN" w:bidi="ar-SA"/>
              </w:rPr>
            </w:pPr>
          </w:p>
        </w:tc>
        <w:tc>
          <w:tcPr>
            <w:tcW w:w="2045" w:type="dxa"/>
            <w:noWrap w:val="0"/>
            <w:vAlign w:val="center"/>
          </w:tcPr>
          <w:p w14:paraId="6A4A00FB">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389" w:type="dxa"/>
            <w:noWrap w:val="0"/>
            <w:vAlign w:val="center"/>
          </w:tcPr>
          <w:p w14:paraId="1A6B1472">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064" w:type="dxa"/>
            <w:noWrap w:val="0"/>
            <w:vAlign w:val="center"/>
          </w:tcPr>
          <w:p w14:paraId="5F66DF8B">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r>
      <w:tr w14:paraId="04128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6" w:hRule="exact"/>
          <w:jc w:val="center"/>
        </w:trPr>
        <w:tc>
          <w:tcPr>
            <w:tcW w:w="533" w:type="dxa"/>
            <w:tcBorders>
              <w:right w:val="single" w:color="auto" w:sz="4" w:space="0"/>
            </w:tcBorders>
            <w:noWrap w:val="0"/>
            <w:vAlign w:val="center"/>
          </w:tcPr>
          <w:p w14:paraId="3F135731">
            <w:pPr>
              <w:keepNext w:val="0"/>
              <w:keepLines w:val="0"/>
              <w:suppressLineNumbers w:val="0"/>
              <w:shd w:val="clear"/>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2224" w:type="dxa"/>
            <w:noWrap w:val="0"/>
            <w:vAlign w:val="center"/>
          </w:tcPr>
          <w:p w14:paraId="36A450E5">
            <w:pPr>
              <w:keepNext w:val="0"/>
              <w:keepLines w:val="0"/>
              <w:suppressLineNumbers w:val="0"/>
              <w:shd w:val="clear"/>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highlight w:val="none"/>
                <w:lang w:val="en-US" w:eastAsia="zh-CN" w:bidi="ar-SA"/>
              </w:rPr>
            </w:pPr>
          </w:p>
        </w:tc>
        <w:tc>
          <w:tcPr>
            <w:tcW w:w="2245" w:type="dxa"/>
            <w:noWrap w:val="0"/>
            <w:vAlign w:val="center"/>
          </w:tcPr>
          <w:p w14:paraId="024B4732">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2045" w:type="dxa"/>
            <w:noWrap w:val="0"/>
            <w:vAlign w:val="center"/>
          </w:tcPr>
          <w:p w14:paraId="766DE40F">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389" w:type="dxa"/>
            <w:noWrap w:val="0"/>
            <w:vAlign w:val="center"/>
          </w:tcPr>
          <w:p w14:paraId="69C3F469">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064" w:type="dxa"/>
            <w:noWrap w:val="0"/>
            <w:vAlign w:val="center"/>
          </w:tcPr>
          <w:p w14:paraId="1FEEE992">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r>
      <w:tr w14:paraId="619BD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8" w:hRule="exact"/>
          <w:jc w:val="center"/>
        </w:trPr>
        <w:tc>
          <w:tcPr>
            <w:tcW w:w="533" w:type="dxa"/>
            <w:vAlign w:val="center"/>
          </w:tcPr>
          <w:p w14:paraId="180DD48B">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2224" w:type="dxa"/>
            <w:vAlign w:val="center"/>
          </w:tcPr>
          <w:p w14:paraId="4B8B40A0">
            <w:pPr>
              <w:keepNext w:val="0"/>
              <w:keepLines w:val="0"/>
              <w:suppressLineNumbers w:val="0"/>
              <w:shd w:val="clear"/>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2245" w:type="dxa"/>
            <w:vAlign w:val="center"/>
          </w:tcPr>
          <w:p w14:paraId="43196B5D">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2045" w:type="dxa"/>
            <w:vAlign w:val="center"/>
          </w:tcPr>
          <w:p w14:paraId="01C7A820">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389" w:type="dxa"/>
            <w:vAlign w:val="center"/>
          </w:tcPr>
          <w:p w14:paraId="1FEADDB5">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c>
          <w:tcPr>
            <w:tcW w:w="1064" w:type="dxa"/>
            <w:vAlign w:val="center"/>
          </w:tcPr>
          <w:p w14:paraId="320FEA0A">
            <w:pPr>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p>
        </w:tc>
      </w:tr>
    </w:tbl>
    <w:p w14:paraId="1D81A24C">
      <w:pPr>
        <w:bidi w:val="0"/>
        <w:spacing w:line="360" w:lineRule="auto"/>
        <w:jc w:val="left"/>
        <w:rPr>
          <w:rFonts w:hint="eastAsia" w:ascii="宋体" w:hAnsi="宋体" w:eastAsia="宋体" w:cs="宋体"/>
          <w:color w:val="auto"/>
          <w:kern w:val="0"/>
          <w:sz w:val="24"/>
          <w:szCs w:val="24"/>
          <w:highlight w:val="none"/>
          <w:lang w:val="en-US" w:eastAsia="zh-CN" w:bidi="ar-SA"/>
        </w:rPr>
      </w:pPr>
    </w:p>
    <w:p w14:paraId="7A998267">
      <w:pPr>
        <w:bidi w:val="0"/>
        <w:spacing w:line="360" w:lineRule="auto"/>
        <w:jc w:val="left"/>
        <w:rPr>
          <w:rFonts w:hint="eastAsia" w:ascii="宋体" w:hAnsi="宋体" w:eastAsia="宋体" w:cs="宋体"/>
          <w:color w:val="auto"/>
          <w:kern w:val="0"/>
          <w:sz w:val="24"/>
          <w:szCs w:val="24"/>
          <w:highlight w:val="none"/>
          <w:lang w:val="en-US" w:eastAsia="zh-CN" w:bidi="ar-SA"/>
        </w:rPr>
      </w:pPr>
    </w:p>
    <w:p w14:paraId="0EF6AF77">
      <w:pPr>
        <w:pStyle w:val="28"/>
        <w:keepNext w:val="0"/>
        <w:keepLines w:val="0"/>
        <w:pageBreakBefore w:val="0"/>
        <w:numPr>
          <w:ilvl w:val="0"/>
          <w:numId w:val="0"/>
        </w:numPr>
        <w:shd w:val="clear"/>
        <w:kinsoku/>
        <w:overflowPunct/>
        <w:topLinePunct w:val="0"/>
        <w:autoSpaceDE/>
        <w:autoSpaceDN/>
        <w:bidi w:val="0"/>
        <w:adjustRightInd/>
        <w:snapToGrid/>
        <w:spacing w:line="240" w:lineRule="auto"/>
        <w:ind w:firstLine="482"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注：1．技术响应偏离表：</w:t>
      </w:r>
      <w:r>
        <w:rPr>
          <w:rFonts w:hint="eastAsia" w:ascii="宋体" w:hAnsi="宋体" w:eastAsia="宋体" w:cs="宋体"/>
          <w:b w:val="0"/>
          <w:bCs w:val="0"/>
          <w:color w:val="auto"/>
          <w:kern w:val="0"/>
          <w:sz w:val="24"/>
          <w:szCs w:val="24"/>
          <w:highlight w:val="none"/>
          <w:lang w:val="en-US" w:eastAsia="zh-CN" w:bidi="ar-SA"/>
        </w:rPr>
        <w:t>此表为表样，响应单位必须把本项目的全部技术参数列入此表，并对技术参数进行逐一应答，行数可自行添加，但表式不变。</w:t>
      </w:r>
    </w:p>
    <w:p w14:paraId="384C4520">
      <w:pPr>
        <w:keepNext w:val="0"/>
        <w:keepLines w:val="0"/>
        <w:pageBreakBefore w:val="0"/>
        <w:shd w:val="clear"/>
        <w:kinsoku/>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2.偏离情况可以用符号“+、=、-”分别表示正偏离、无偏离、负偏离，也可以在偏离情况中填写“无偏离”／“负偏离”／“正偏离”，必须逐次对应响应。</w:t>
      </w:r>
    </w:p>
    <w:p w14:paraId="0C85BAC9">
      <w:pPr>
        <w:keepNext w:val="0"/>
        <w:keepLines w:val="0"/>
        <w:pageBreakBefore w:val="0"/>
        <w:numPr>
          <w:ilvl w:val="0"/>
          <w:numId w:val="0"/>
        </w:numPr>
        <w:shd w:val="clear"/>
        <w:kinsoku/>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3.供应商对磋商文件中实质性的负偏离将导致响应被拒绝。</w:t>
      </w:r>
    </w:p>
    <w:p w14:paraId="0FDD9760">
      <w:pPr>
        <w:keepNext w:val="0"/>
        <w:keepLines w:val="0"/>
        <w:pageBreakBefore w:val="0"/>
        <w:shd w:val="clear"/>
        <w:kinsoku/>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4"/>
          <w:szCs w:val="24"/>
          <w:highlight w:val="none"/>
          <w:lang w:val="en-US" w:eastAsia="zh-CN" w:bidi="ar-SA"/>
        </w:rPr>
        <w:t>4.供应商保证：除商务和技术偏差表列出的偏差外，供应商响应采购文件的全部要求</w:t>
      </w:r>
      <w:r>
        <w:rPr>
          <w:rFonts w:hint="eastAsia" w:ascii="宋体" w:hAnsi="宋体" w:eastAsia="宋体" w:cs="宋体"/>
          <w:b/>
          <w:bCs/>
          <w:color w:val="auto"/>
          <w:kern w:val="0"/>
          <w:sz w:val="22"/>
          <w:szCs w:val="22"/>
          <w:highlight w:val="none"/>
          <w:lang w:val="en-US" w:eastAsia="zh-CN" w:bidi="ar-SA"/>
        </w:rPr>
        <w:t>。</w:t>
      </w:r>
    </w:p>
    <w:p w14:paraId="241D54B4">
      <w:pPr>
        <w:shd w:val="clear"/>
        <w:bidi w:val="0"/>
        <w:spacing w:line="360" w:lineRule="auto"/>
        <w:jc w:val="right"/>
        <w:rPr>
          <w:rFonts w:hint="eastAsia" w:ascii="宋体" w:hAnsi="宋体" w:eastAsia="宋体" w:cs="宋体"/>
          <w:color w:val="auto"/>
          <w:kern w:val="0"/>
          <w:sz w:val="24"/>
          <w:szCs w:val="24"/>
          <w:highlight w:val="none"/>
          <w:lang w:val="en-US" w:eastAsia="zh-CN" w:bidi="ar-SA"/>
        </w:rPr>
      </w:pPr>
    </w:p>
    <w:p w14:paraId="6E08F9D6">
      <w:pPr>
        <w:shd w:val="clear"/>
        <w:bidi w:val="0"/>
        <w:spacing w:line="360" w:lineRule="auto"/>
        <w:jc w:val="right"/>
        <w:rPr>
          <w:rFonts w:hint="eastAsia" w:ascii="宋体" w:hAnsi="宋体" w:eastAsia="宋体" w:cs="宋体"/>
          <w:color w:val="auto"/>
          <w:kern w:val="0"/>
          <w:sz w:val="24"/>
          <w:szCs w:val="24"/>
          <w:highlight w:val="none"/>
          <w:lang w:val="en-US" w:eastAsia="zh-CN" w:bidi="ar-SA"/>
        </w:rPr>
      </w:pPr>
    </w:p>
    <w:p w14:paraId="1112D3E8">
      <w:pPr>
        <w:shd w:val="clear"/>
        <w:bidi w:val="0"/>
        <w:spacing w:line="360" w:lineRule="auto"/>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（加盖公章）</w:t>
      </w:r>
    </w:p>
    <w:p w14:paraId="77C67B4A">
      <w:pPr>
        <w:shd w:val="clear"/>
        <w:bidi w:val="0"/>
        <w:spacing w:line="360" w:lineRule="auto"/>
        <w:ind w:firstLine="480" w:firstLineChars="200"/>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法定代表人或委托代理人：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（签字或签章）</w:t>
      </w:r>
    </w:p>
    <w:p w14:paraId="2CF884C5">
      <w:pPr>
        <w:shd w:val="clear"/>
        <w:jc w:val="right"/>
        <w:rPr>
          <w:rFonts w:hint="eastAsia" w:ascii="宋体" w:hAnsi="宋体" w:eastAsia="宋体" w:cs="宋体"/>
          <w:sz w:val="24"/>
          <w:szCs w:val="24"/>
          <w:highlight w:val="none"/>
          <w:lang w:eastAsia="zh-CN"/>
        </w:rPr>
      </w:pPr>
      <w:r>
        <w:rPr>
          <w:rFonts w:hint="eastAsia" w:ascii="宋体" w:hAnsi="宋体" w:eastAsia="宋体" w:cs="宋体"/>
          <w:color w:val="auto"/>
          <w:kern w:val="0"/>
          <w:sz w:val="24"/>
          <w:szCs w:val="24"/>
          <w:highlight w:val="none"/>
          <w:lang w:val="en-US" w:eastAsia="zh-CN" w:bidi="ar-SA"/>
        </w:rPr>
        <w:t>日期：</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p>
    <w:bookmarkEnd w:id="285"/>
    <w:bookmarkEnd w:id="286"/>
    <w:bookmarkEnd w:id="287"/>
    <w:bookmarkEnd w:id="288"/>
    <w:bookmarkEnd w:id="289"/>
    <w:p w14:paraId="1F2D427B">
      <w:pPr>
        <w:rPr>
          <w:rFonts w:hint="eastAsia" w:ascii="宋体" w:hAnsi="宋体" w:eastAsia="宋体" w:cs="宋体"/>
          <w:b/>
          <w:bCs/>
          <w:sz w:val="24"/>
          <w:szCs w:val="24"/>
          <w:highlight w:val="none"/>
          <w:lang w:val="en-US" w:eastAsia="zh-CN"/>
        </w:rPr>
      </w:pPr>
    </w:p>
    <w:sectPr>
      <w:footerReference r:id="rId10" w:type="default"/>
      <w:pgSz w:w="11906" w:h="16838"/>
      <w:pgMar w:top="1417" w:right="1247" w:bottom="1417" w:left="1247"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0E105">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8D8E0">
    <w:pPr>
      <w:pStyle w:val="21"/>
      <w:tabs>
        <w:tab w:val="center" w:pos="4706"/>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50781">
    <w:pPr>
      <w:pStyle w:val="21"/>
      <w:tabs>
        <w:tab w:val="center" w:pos="470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AF7BE">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CAF7BE">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118AB">
    <w:pPr>
      <w:pStyle w:val="21"/>
      <w:tabs>
        <w:tab w:val="center" w:pos="4706"/>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14CBB">
                          <w:pPr>
                            <w:pStyle w:val="21"/>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014CBB">
                    <w:pPr>
                      <w:pStyle w:val="21"/>
                    </w:pPr>
                    <w:r>
                      <w:fldChar w:fldCharType="begin"/>
                    </w:r>
                    <w:r>
                      <w:instrText xml:space="preserve"> PAGE  \* MERGEFORMAT </w:instrText>
                    </w:r>
                    <w:r>
                      <w:fldChar w:fldCharType="separate"/>
                    </w:r>
                    <w:r>
                      <w:t>14</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E0B98">
    <w:pPr>
      <w:pStyle w:val="21"/>
      <w:tabs>
        <w:tab w:val="center" w:pos="4706"/>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5CC3D">
                          <w:pPr>
                            <w:pStyle w:val="21"/>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45CC3D">
                    <w:pPr>
                      <w:pStyle w:val="21"/>
                    </w:pPr>
                    <w:r>
                      <w:fldChar w:fldCharType="begin"/>
                    </w:r>
                    <w:r>
                      <w:instrText xml:space="preserve"> PAGE  \* MERGEFORMAT </w:instrText>
                    </w:r>
                    <w:r>
                      <w:fldChar w:fldCharType="separate"/>
                    </w:r>
                    <w:r>
                      <w:t>14</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7598">
    <w:pPr>
      <w:pStyle w:val="21"/>
      <w:jc w:val="center"/>
      <w:rPr>
        <w:rFonts w:ascii="Times New Roman" w:hAnsi="Times New Roman"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A6472">
                          <w:pPr>
                            <w:pStyle w:val="2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CDA6472">
                    <w:pPr>
                      <w:pStyle w:val="2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6E34">
    <w:pPr>
      <w:pStyle w:val="21"/>
      <w:ind w:firstLine="400"/>
      <w:jc w:val="center"/>
      <w:rPr>
        <w:rFonts w:eastAsia="仿宋_GB2312"/>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71064">
                          <w:pPr>
                            <w:pStyle w:val="21"/>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C471064">
                    <w:pPr>
                      <w:pStyle w:val="21"/>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5F2B8">
    <w:pPr>
      <w:pStyle w:val="22"/>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049517"/>
    <w:multiLevelType w:val="singleLevel"/>
    <w:tmpl w:val="EF049517"/>
    <w:lvl w:ilvl="0" w:tentative="0">
      <w:start w:val="2"/>
      <w:numFmt w:val="chineseCounting"/>
      <w:suff w:val="nothing"/>
      <w:lvlText w:val="%1、"/>
      <w:lvlJc w:val="left"/>
      <w:rPr>
        <w:rFonts w:hint="eastAsia"/>
      </w:rPr>
    </w:lvl>
  </w:abstractNum>
  <w:abstractNum w:abstractNumId="1">
    <w:nsid w:val="FF2AD96A"/>
    <w:multiLevelType w:val="singleLevel"/>
    <w:tmpl w:val="FF2AD96A"/>
    <w:lvl w:ilvl="0" w:tentative="0">
      <w:start w:val="1"/>
      <w:numFmt w:val="decimal"/>
      <w:pStyle w:val="17"/>
      <w:lvlText w:val="%1."/>
      <w:lvlJc w:val="left"/>
      <w:pPr>
        <w:tabs>
          <w:tab w:val="left" w:pos="2040"/>
        </w:tabs>
        <w:ind w:left="2040" w:hanging="360"/>
      </w:pPr>
    </w:lvl>
  </w:abstractNum>
  <w:abstractNum w:abstractNumId="2">
    <w:nsid w:val="018705A4"/>
    <w:multiLevelType w:val="singleLevel"/>
    <w:tmpl w:val="018705A4"/>
    <w:lvl w:ilvl="0" w:tentative="0">
      <w:start w:val="1"/>
      <w:numFmt w:val="decimal"/>
      <w:suff w:val="nothing"/>
      <w:lvlText w:val="（%1）"/>
      <w:lvlJc w:val="left"/>
    </w:lvl>
  </w:abstractNum>
  <w:abstractNum w:abstractNumId="3">
    <w:nsid w:val="0DA6CAAF"/>
    <w:multiLevelType w:val="singleLevel"/>
    <w:tmpl w:val="0DA6CAAF"/>
    <w:lvl w:ilvl="0" w:tentative="0">
      <w:start w:val="1"/>
      <w:numFmt w:val="decimal"/>
      <w:suff w:val="nothing"/>
      <w:lvlText w:val="%1、"/>
      <w:lvlJc w:val="left"/>
    </w:lvl>
  </w:abstractNum>
  <w:abstractNum w:abstractNumId="4">
    <w:nsid w:val="10BB9594"/>
    <w:multiLevelType w:val="singleLevel"/>
    <w:tmpl w:val="10BB9594"/>
    <w:lvl w:ilvl="0" w:tentative="0">
      <w:start w:val="4"/>
      <w:numFmt w:val="decimal"/>
      <w:suff w:val="nothing"/>
      <w:lvlText w:val="（%1）"/>
      <w:lvlJc w:val="left"/>
    </w:lvl>
  </w:abstractNum>
  <w:abstractNum w:abstractNumId="5">
    <w:nsid w:val="394B830B"/>
    <w:multiLevelType w:val="singleLevel"/>
    <w:tmpl w:val="394B830B"/>
    <w:lvl w:ilvl="0" w:tentative="0">
      <w:start w:val="1"/>
      <w:numFmt w:val="chineseCounting"/>
      <w:suff w:val="nothing"/>
      <w:lvlText w:val="（%1）"/>
      <w:lvlJc w:val="left"/>
      <w:rPr>
        <w:rFonts w:hint="eastAsia"/>
      </w:rPr>
    </w:lvl>
  </w:abstractNum>
  <w:abstractNum w:abstractNumId="6">
    <w:nsid w:val="43F4E5DB"/>
    <w:multiLevelType w:val="singleLevel"/>
    <w:tmpl w:val="43F4E5DB"/>
    <w:lvl w:ilvl="0" w:tentative="0">
      <w:start w:val="5"/>
      <w:numFmt w:val="decimal"/>
      <w:suff w:val="nothing"/>
      <w:lvlText w:val="（%1）"/>
      <w:lvlJc w:val="left"/>
    </w:lvl>
  </w:abstractNum>
  <w:abstractNum w:abstractNumId="7">
    <w:nsid w:val="4CA33422"/>
    <w:multiLevelType w:val="singleLevel"/>
    <w:tmpl w:val="4CA33422"/>
    <w:lvl w:ilvl="0" w:tentative="0">
      <w:start w:val="12"/>
      <w:numFmt w:val="chineseCounting"/>
      <w:lvlText w:val="(%1)"/>
      <w:lvlJc w:val="left"/>
      <w:pPr>
        <w:tabs>
          <w:tab w:val="left" w:pos="312"/>
        </w:tabs>
      </w:pPr>
      <w:rPr>
        <w:rFonts w:hint="eastAsia"/>
      </w:rPr>
    </w:lvl>
  </w:abstractNum>
  <w:num w:numId="1">
    <w:abstractNumId w:val="1"/>
  </w:num>
  <w:num w:numId="2">
    <w:abstractNumId w:val="5"/>
  </w:num>
  <w:num w:numId="3">
    <w:abstractNumId w:val="3"/>
  </w:num>
  <w:num w:numId="4">
    <w:abstractNumId w:val="4"/>
  </w:num>
  <w:num w:numId="5">
    <w:abstractNumId w:val="7"/>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OTEzYzAzNjEwNWJhNzlkM2ZjMTg0OGRhYjhhZjYifQ=="/>
  </w:docVars>
  <w:rsids>
    <w:rsidRoot w:val="001775DE"/>
    <w:rsid w:val="00071AF6"/>
    <w:rsid w:val="00083293"/>
    <w:rsid w:val="00084989"/>
    <w:rsid w:val="000850F7"/>
    <w:rsid w:val="00086281"/>
    <w:rsid w:val="00087645"/>
    <w:rsid w:val="000A71CC"/>
    <w:rsid w:val="000B4C91"/>
    <w:rsid w:val="000D1D93"/>
    <w:rsid w:val="000D4C31"/>
    <w:rsid w:val="001125BE"/>
    <w:rsid w:val="00152924"/>
    <w:rsid w:val="0016093B"/>
    <w:rsid w:val="0016513C"/>
    <w:rsid w:val="001775DE"/>
    <w:rsid w:val="0019058B"/>
    <w:rsid w:val="001A1AE8"/>
    <w:rsid w:val="001A7CCC"/>
    <w:rsid w:val="001B39CE"/>
    <w:rsid w:val="001B6857"/>
    <w:rsid w:val="001E4CC4"/>
    <w:rsid w:val="00205E33"/>
    <w:rsid w:val="00231BEA"/>
    <w:rsid w:val="00236BBA"/>
    <w:rsid w:val="002440F8"/>
    <w:rsid w:val="00271639"/>
    <w:rsid w:val="002869C2"/>
    <w:rsid w:val="002F27BF"/>
    <w:rsid w:val="00300B20"/>
    <w:rsid w:val="00314306"/>
    <w:rsid w:val="003154A3"/>
    <w:rsid w:val="00324E92"/>
    <w:rsid w:val="00334386"/>
    <w:rsid w:val="00341A43"/>
    <w:rsid w:val="003449CE"/>
    <w:rsid w:val="00345972"/>
    <w:rsid w:val="003508D5"/>
    <w:rsid w:val="00351392"/>
    <w:rsid w:val="00387293"/>
    <w:rsid w:val="0039160F"/>
    <w:rsid w:val="00397DB1"/>
    <w:rsid w:val="003B1332"/>
    <w:rsid w:val="003B6F69"/>
    <w:rsid w:val="003C1459"/>
    <w:rsid w:val="003F72C5"/>
    <w:rsid w:val="0045065B"/>
    <w:rsid w:val="0045328E"/>
    <w:rsid w:val="00461905"/>
    <w:rsid w:val="00493D2F"/>
    <w:rsid w:val="004967C6"/>
    <w:rsid w:val="004A797E"/>
    <w:rsid w:val="004C2D97"/>
    <w:rsid w:val="004D38C2"/>
    <w:rsid w:val="004F5517"/>
    <w:rsid w:val="00516970"/>
    <w:rsid w:val="00542121"/>
    <w:rsid w:val="0056327C"/>
    <w:rsid w:val="0058059C"/>
    <w:rsid w:val="005E56C1"/>
    <w:rsid w:val="006032E3"/>
    <w:rsid w:val="00606E54"/>
    <w:rsid w:val="00634FF8"/>
    <w:rsid w:val="00640670"/>
    <w:rsid w:val="006406CA"/>
    <w:rsid w:val="00650646"/>
    <w:rsid w:val="0067408D"/>
    <w:rsid w:val="006C1CFE"/>
    <w:rsid w:val="006C2197"/>
    <w:rsid w:val="006C490B"/>
    <w:rsid w:val="00733E26"/>
    <w:rsid w:val="00735F7F"/>
    <w:rsid w:val="00754026"/>
    <w:rsid w:val="00754D19"/>
    <w:rsid w:val="007602FB"/>
    <w:rsid w:val="00766472"/>
    <w:rsid w:val="007B4C06"/>
    <w:rsid w:val="007D05FE"/>
    <w:rsid w:val="00825238"/>
    <w:rsid w:val="00860EF6"/>
    <w:rsid w:val="0087584E"/>
    <w:rsid w:val="008C5F0F"/>
    <w:rsid w:val="008D7787"/>
    <w:rsid w:val="008E7B46"/>
    <w:rsid w:val="00927454"/>
    <w:rsid w:val="009312E3"/>
    <w:rsid w:val="00936C31"/>
    <w:rsid w:val="00941604"/>
    <w:rsid w:val="00943852"/>
    <w:rsid w:val="009530AC"/>
    <w:rsid w:val="00977C6F"/>
    <w:rsid w:val="009803DC"/>
    <w:rsid w:val="00984543"/>
    <w:rsid w:val="00995EDE"/>
    <w:rsid w:val="009A481A"/>
    <w:rsid w:val="009F01EC"/>
    <w:rsid w:val="00A3169A"/>
    <w:rsid w:val="00A32361"/>
    <w:rsid w:val="00A35425"/>
    <w:rsid w:val="00A53067"/>
    <w:rsid w:val="00A65C21"/>
    <w:rsid w:val="00A70005"/>
    <w:rsid w:val="00A908CB"/>
    <w:rsid w:val="00AC1CF3"/>
    <w:rsid w:val="00AC23A6"/>
    <w:rsid w:val="00AC5C6F"/>
    <w:rsid w:val="00AD0019"/>
    <w:rsid w:val="00AD16EC"/>
    <w:rsid w:val="00AD7891"/>
    <w:rsid w:val="00B03312"/>
    <w:rsid w:val="00B279AF"/>
    <w:rsid w:val="00B31169"/>
    <w:rsid w:val="00B63420"/>
    <w:rsid w:val="00B80E43"/>
    <w:rsid w:val="00B87647"/>
    <w:rsid w:val="00BC37B2"/>
    <w:rsid w:val="00BE14BC"/>
    <w:rsid w:val="00BE6139"/>
    <w:rsid w:val="00C1638B"/>
    <w:rsid w:val="00C3040B"/>
    <w:rsid w:val="00C45C99"/>
    <w:rsid w:val="00C52471"/>
    <w:rsid w:val="00C747EF"/>
    <w:rsid w:val="00C76211"/>
    <w:rsid w:val="00C85BB3"/>
    <w:rsid w:val="00C8798B"/>
    <w:rsid w:val="00C97530"/>
    <w:rsid w:val="00CA0AB3"/>
    <w:rsid w:val="00CB1668"/>
    <w:rsid w:val="00CB2CED"/>
    <w:rsid w:val="00CB7688"/>
    <w:rsid w:val="00CC3A18"/>
    <w:rsid w:val="00CD4EEC"/>
    <w:rsid w:val="00CE5FCC"/>
    <w:rsid w:val="00CE6F3A"/>
    <w:rsid w:val="00CF1CF7"/>
    <w:rsid w:val="00D107B1"/>
    <w:rsid w:val="00D1762C"/>
    <w:rsid w:val="00D35593"/>
    <w:rsid w:val="00D425E7"/>
    <w:rsid w:val="00D56F7B"/>
    <w:rsid w:val="00D8023F"/>
    <w:rsid w:val="00D81AD7"/>
    <w:rsid w:val="00D952F4"/>
    <w:rsid w:val="00D96A0F"/>
    <w:rsid w:val="00DD5A00"/>
    <w:rsid w:val="00DE0639"/>
    <w:rsid w:val="00DF743A"/>
    <w:rsid w:val="00E02170"/>
    <w:rsid w:val="00E14644"/>
    <w:rsid w:val="00E2568A"/>
    <w:rsid w:val="00E26C43"/>
    <w:rsid w:val="00E32713"/>
    <w:rsid w:val="00E65B99"/>
    <w:rsid w:val="00E96D97"/>
    <w:rsid w:val="00EB2568"/>
    <w:rsid w:val="00EB4F57"/>
    <w:rsid w:val="00EC5B32"/>
    <w:rsid w:val="00F152C3"/>
    <w:rsid w:val="00F32CFF"/>
    <w:rsid w:val="00F34EA2"/>
    <w:rsid w:val="00F41FB4"/>
    <w:rsid w:val="00F67999"/>
    <w:rsid w:val="00F97197"/>
    <w:rsid w:val="00F97E23"/>
    <w:rsid w:val="00FE2735"/>
    <w:rsid w:val="00FF2B0D"/>
    <w:rsid w:val="01172ED1"/>
    <w:rsid w:val="011E7D47"/>
    <w:rsid w:val="015574C8"/>
    <w:rsid w:val="015D0D5E"/>
    <w:rsid w:val="016A347B"/>
    <w:rsid w:val="017B7435"/>
    <w:rsid w:val="018D15B1"/>
    <w:rsid w:val="01A1728D"/>
    <w:rsid w:val="01A64EB5"/>
    <w:rsid w:val="01A70432"/>
    <w:rsid w:val="01A714F8"/>
    <w:rsid w:val="01D37C34"/>
    <w:rsid w:val="01D9111D"/>
    <w:rsid w:val="02057C5D"/>
    <w:rsid w:val="020F2769"/>
    <w:rsid w:val="021D04ED"/>
    <w:rsid w:val="021D5B09"/>
    <w:rsid w:val="0224362A"/>
    <w:rsid w:val="0229517E"/>
    <w:rsid w:val="022F27AC"/>
    <w:rsid w:val="028B3BC3"/>
    <w:rsid w:val="028D5197"/>
    <w:rsid w:val="029340B9"/>
    <w:rsid w:val="0296204C"/>
    <w:rsid w:val="02AD4A35"/>
    <w:rsid w:val="02ED1C6E"/>
    <w:rsid w:val="03082F4B"/>
    <w:rsid w:val="03261D94"/>
    <w:rsid w:val="0328245F"/>
    <w:rsid w:val="03294016"/>
    <w:rsid w:val="032B02FA"/>
    <w:rsid w:val="032B52CD"/>
    <w:rsid w:val="0345456D"/>
    <w:rsid w:val="034E1EDF"/>
    <w:rsid w:val="035C0CBA"/>
    <w:rsid w:val="03625F8C"/>
    <w:rsid w:val="03647BA8"/>
    <w:rsid w:val="037042FD"/>
    <w:rsid w:val="039F5935"/>
    <w:rsid w:val="03AD6AFB"/>
    <w:rsid w:val="03B57469"/>
    <w:rsid w:val="03B94152"/>
    <w:rsid w:val="03B97747"/>
    <w:rsid w:val="03C7138E"/>
    <w:rsid w:val="03D41C9C"/>
    <w:rsid w:val="03EB1586"/>
    <w:rsid w:val="03ED19A7"/>
    <w:rsid w:val="03FC3519"/>
    <w:rsid w:val="04072F29"/>
    <w:rsid w:val="041217B1"/>
    <w:rsid w:val="041C6DC3"/>
    <w:rsid w:val="044E51ED"/>
    <w:rsid w:val="045F7749"/>
    <w:rsid w:val="04610697"/>
    <w:rsid w:val="047C3C16"/>
    <w:rsid w:val="048443EC"/>
    <w:rsid w:val="04A421D0"/>
    <w:rsid w:val="04A604E7"/>
    <w:rsid w:val="04E029B6"/>
    <w:rsid w:val="04E1071E"/>
    <w:rsid w:val="04E6357A"/>
    <w:rsid w:val="05171224"/>
    <w:rsid w:val="054E43D8"/>
    <w:rsid w:val="05535C78"/>
    <w:rsid w:val="05924D4E"/>
    <w:rsid w:val="05BB7A49"/>
    <w:rsid w:val="05CE6918"/>
    <w:rsid w:val="05E67DD2"/>
    <w:rsid w:val="05E92543"/>
    <w:rsid w:val="05F257ED"/>
    <w:rsid w:val="05F84F77"/>
    <w:rsid w:val="06060184"/>
    <w:rsid w:val="0620509D"/>
    <w:rsid w:val="062076F2"/>
    <w:rsid w:val="063D7D54"/>
    <w:rsid w:val="064704D8"/>
    <w:rsid w:val="064C316F"/>
    <w:rsid w:val="064F4656"/>
    <w:rsid w:val="06503885"/>
    <w:rsid w:val="065A6640"/>
    <w:rsid w:val="066F314B"/>
    <w:rsid w:val="06720991"/>
    <w:rsid w:val="068943A3"/>
    <w:rsid w:val="068F0BD1"/>
    <w:rsid w:val="069703AE"/>
    <w:rsid w:val="06976151"/>
    <w:rsid w:val="069B7C33"/>
    <w:rsid w:val="06A15565"/>
    <w:rsid w:val="06A731DE"/>
    <w:rsid w:val="06A905A2"/>
    <w:rsid w:val="06B34B4A"/>
    <w:rsid w:val="06BE10A1"/>
    <w:rsid w:val="06CE6D9A"/>
    <w:rsid w:val="06F42F66"/>
    <w:rsid w:val="071466BD"/>
    <w:rsid w:val="071E2D9F"/>
    <w:rsid w:val="07255F99"/>
    <w:rsid w:val="07291836"/>
    <w:rsid w:val="0745494B"/>
    <w:rsid w:val="0754743C"/>
    <w:rsid w:val="07657A9C"/>
    <w:rsid w:val="07735BD4"/>
    <w:rsid w:val="079104C6"/>
    <w:rsid w:val="07B90E36"/>
    <w:rsid w:val="07D01B5E"/>
    <w:rsid w:val="07D17DB0"/>
    <w:rsid w:val="07D34695"/>
    <w:rsid w:val="07E40392"/>
    <w:rsid w:val="07EE6160"/>
    <w:rsid w:val="08007CEA"/>
    <w:rsid w:val="08064F81"/>
    <w:rsid w:val="08402709"/>
    <w:rsid w:val="08462A0A"/>
    <w:rsid w:val="08480CF5"/>
    <w:rsid w:val="084D4C10"/>
    <w:rsid w:val="088259E4"/>
    <w:rsid w:val="089E2D42"/>
    <w:rsid w:val="08B5618D"/>
    <w:rsid w:val="08D94001"/>
    <w:rsid w:val="091708E8"/>
    <w:rsid w:val="09223CE4"/>
    <w:rsid w:val="092509E7"/>
    <w:rsid w:val="092E4EA4"/>
    <w:rsid w:val="09310382"/>
    <w:rsid w:val="09360A5B"/>
    <w:rsid w:val="093D059E"/>
    <w:rsid w:val="09446B26"/>
    <w:rsid w:val="095073FA"/>
    <w:rsid w:val="095E7830"/>
    <w:rsid w:val="096867B1"/>
    <w:rsid w:val="096B7D90"/>
    <w:rsid w:val="0977515E"/>
    <w:rsid w:val="097D5E24"/>
    <w:rsid w:val="09A44896"/>
    <w:rsid w:val="09AB0D7A"/>
    <w:rsid w:val="09B1579E"/>
    <w:rsid w:val="09C13E54"/>
    <w:rsid w:val="09C92FBF"/>
    <w:rsid w:val="09CF1383"/>
    <w:rsid w:val="09D828AB"/>
    <w:rsid w:val="0A0539F8"/>
    <w:rsid w:val="0A0D6355"/>
    <w:rsid w:val="0A163AAE"/>
    <w:rsid w:val="0A1641A0"/>
    <w:rsid w:val="0A383973"/>
    <w:rsid w:val="0A6D5C72"/>
    <w:rsid w:val="0A6E6851"/>
    <w:rsid w:val="0A806F02"/>
    <w:rsid w:val="0A817E77"/>
    <w:rsid w:val="0AC534D0"/>
    <w:rsid w:val="0AC97FC1"/>
    <w:rsid w:val="0AD66DE5"/>
    <w:rsid w:val="0AE01D69"/>
    <w:rsid w:val="0AF25485"/>
    <w:rsid w:val="0AF418F3"/>
    <w:rsid w:val="0AF6101E"/>
    <w:rsid w:val="0B0220F2"/>
    <w:rsid w:val="0B0B419B"/>
    <w:rsid w:val="0B1A521D"/>
    <w:rsid w:val="0B372620"/>
    <w:rsid w:val="0B782E15"/>
    <w:rsid w:val="0B85342F"/>
    <w:rsid w:val="0B9959D7"/>
    <w:rsid w:val="0B9C4D2C"/>
    <w:rsid w:val="0BA044F9"/>
    <w:rsid w:val="0BA70945"/>
    <w:rsid w:val="0BA9349A"/>
    <w:rsid w:val="0BAA5B77"/>
    <w:rsid w:val="0BB049AA"/>
    <w:rsid w:val="0BB21B28"/>
    <w:rsid w:val="0BC12C59"/>
    <w:rsid w:val="0BD85FD5"/>
    <w:rsid w:val="0BF3440E"/>
    <w:rsid w:val="0C0656E1"/>
    <w:rsid w:val="0C0C6B63"/>
    <w:rsid w:val="0C121C65"/>
    <w:rsid w:val="0C126BE9"/>
    <w:rsid w:val="0C1652FC"/>
    <w:rsid w:val="0C2F5481"/>
    <w:rsid w:val="0C307DCD"/>
    <w:rsid w:val="0C4D2D03"/>
    <w:rsid w:val="0C5A1957"/>
    <w:rsid w:val="0C6433BC"/>
    <w:rsid w:val="0C670800"/>
    <w:rsid w:val="0C6C52D7"/>
    <w:rsid w:val="0C7544D6"/>
    <w:rsid w:val="0C8A0AFC"/>
    <w:rsid w:val="0CA93C73"/>
    <w:rsid w:val="0CC632E2"/>
    <w:rsid w:val="0CD345CA"/>
    <w:rsid w:val="0CE05BA0"/>
    <w:rsid w:val="0CEC27B0"/>
    <w:rsid w:val="0D040E13"/>
    <w:rsid w:val="0D057C42"/>
    <w:rsid w:val="0D082B23"/>
    <w:rsid w:val="0D0C0580"/>
    <w:rsid w:val="0D227284"/>
    <w:rsid w:val="0D470B14"/>
    <w:rsid w:val="0D56333E"/>
    <w:rsid w:val="0D6630D6"/>
    <w:rsid w:val="0D6B456F"/>
    <w:rsid w:val="0D813912"/>
    <w:rsid w:val="0D820740"/>
    <w:rsid w:val="0DA27C66"/>
    <w:rsid w:val="0DC97D7F"/>
    <w:rsid w:val="0E073380"/>
    <w:rsid w:val="0E0B63E3"/>
    <w:rsid w:val="0E1F5469"/>
    <w:rsid w:val="0E200A16"/>
    <w:rsid w:val="0E464EDF"/>
    <w:rsid w:val="0E5D5C51"/>
    <w:rsid w:val="0E716C53"/>
    <w:rsid w:val="0E776AAC"/>
    <w:rsid w:val="0E96765D"/>
    <w:rsid w:val="0E974495"/>
    <w:rsid w:val="0EA50CBE"/>
    <w:rsid w:val="0EA60386"/>
    <w:rsid w:val="0EB07454"/>
    <w:rsid w:val="0EB7697A"/>
    <w:rsid w:val="0EBC220F"/>
    <w:rsid w:val="0ECD4AE0"/>
    <w:rsid w:val="0ECE2A21"/>
    <w:rsid w:val="0EDA3D8F"/>
    <w:rsid w:val="0EFD2486"/>
    <w:rsid w:val="0F2505E2"/>
    <w:rsid w:val="0F2B7E7E"/>
    <w:rsid w:val="0F4124B8"/>
    <w:rsid w:val="0F4528D0"/>
    <w:rsid w:val="0F46523B"/>
    <w:rsid w:val="0F466338"/>
    <w:rsid w:val="0F5A3259"/>
    <w:rsid w:val="0F693FDF"/>
    <w:rsid w:val="0F712B50"/>
    <w:rsid w:val="0F746899"/>
    <w:rsid w:val="0F781459"/>
    <w:rsid w:val="0F8066B1"/>
    <w:rsid w:val="0FA66F93"/>
    <w:rsid w:val="0FA97975"/>
    <w:rsid w:val="0FCB50B0"/>
    <w:rsid w:val="0FD33048"/>
    <w:rsid w:val="0FD430B7"/>
    <w:rsid w:val="0FE84636"/>
    <w:rsid w:val="0FE94435"/>
    <w:rsid w:val="0FFC195A"/>
    <w:rsid w:val="100532BD"/>
    <w:rsid w:val="100A21CD"/>
    <w:rsid w:val="10273AC5"/>
    <w:rsid w:val="102B061B"/>
    <w:rsid w:val="10343CAC"/>
    <w:rsid w:val="103A2E27"/>
    <w:rsid w:val="105D4CEB"/>
    <w:rsid w:val="105E5792"/>
    <w:rsid w:val="107A00DD"/>
    <w:rsid w:val="108044EB"/>
    <w:rsid w:val="108B44BE"/>
    <w:rsid w:val="108F264E"/>
    <w:rsid w:val="109C6F65"/>
    <w:rsid w:val="10A33004"/>
    <w:rsid w:val="10BE4662"/>
    <w:rsid w:val="10CD7582"/>
    <w:rsid w:val="10CF7AEA"/>
    <w:rsid w:val="10D630F1"/>
    <w:rsid w:val="10DE7DAF"/>
    <w:rsid w:val="10E372D4"/>
    <w:rsid w:val="10E5231F"/>
    <w:rsid w:val="10E64273"/>
    <w:rsid w:val="10FB34DC"/>
    <w:rsid w:val="10FD676B"/>
    <w:rsid w:val="111A47C1"/>
    <w:rsid w:val="111D6303"/>
    <w:rsid w:val="11397984"/>
    <w:rsid w:val="11675810"/>
    <w:rsid w:val="11A76FC2"/>
    <w:rsid w:val="11B333DC"/>
    <w:rsid w:val="11D76D14"/>
    <w:rsid w:val="11DB10A5"/>
    <w:rsid w:val="11F2218B"/>
    <w:rsid w:val="12011292"/>
    <w:rsid w:val="1218397F"/>
    <w:rsid w:val="12196B79"/>
    <w:rsid w:val="12280F14"/>
    <w:rsid w:val="1228350E"/>
    <w:rsid w:val="12581691"/>
    <w:rsid w:val="125D4C15"/>
    <w:rsid w:val="12600A2B"/>
    <w:rsid w:val="127110AA"/>
    <w:rsid w:val="128672FF"/>
    <w:rsid w:val="12B409FA"/>
    <w:rsid w:val="12B617F0"/>
    <w:rsid w:val="12BC26F9"/>
    <w:rsid w:val="12CF1BB2"/>
    <w:rsid w:val="12D0761F"/>
    <w:rsid w:val="12E36D9D"/>
    <w:rsid w:val="12F978B7"/>
    <w:rsid w:val="12FE03F1"/>
    <w:rsid w:val="13064154"/>
    <w:rsid w:val="132C041A"/>
    <w:rsid w:val="135C5193"/>
    <w:rsid w:val="13704618"/>
    <w:rsid w:val="137203A4"/>
    <w:rsid w:val="137A7311"/>
    <w:rsid w:val="1394109B"/>
    <w:rsid w:val="13B42BFA"/>
    <w:rsid w:val="13CE33F5"/>
    <w:rsid w:val="13D46988"/>
    <w:rsid w:val="13D631D9"/>
    <w:rsid w:val="13D9039D"/>
    <w:rsid w:val="13F51227"/>
    <w:rsid w:val="14026B1F"/>
    <w:rsid w:val="140338C9"/>
    <w:rsid w:val="140C4787"/>
    <w:rsid w:val="14150E48"/>
    <w:rsid w:val="142002D5"/>
    <w:rsid w:val="144D1188"/>
    <w:rsid w:val="146E7535"/>
    <w:rsid w:val="148C60C3"/>
    <w:rsid w:val="149023BE"/>
    <w:rsid w:val="14A35E04"/>
    <w:rsid w:val="14B8490F"/>
    <w:rsid w:val="14D41A7F"/>
    <w:rsid w:val="14E11FCE"/>
    <w:rsid w:val="14E71B9F"/>
    <w:rsid w:val="14EB6135"/>
    <w:rsid w:val="14FA5682"/>
    <w:rsid w:val="150002A5"/>
    <w:rsid w:val="15195B22"/>
    <w:rsid w:val="15307D0B"/>
    <w:rsid w:val="154C6CC8"/>
    <w:rsid w:val="156501CC"/>
    <w:rsid w:val="15767074"/>
    <w:rsid w:val="15806971"/>
    <w:rsid w:val="15846E38"/>
    <w:rsid w:val="158662BD"/>
    <w:rsid w:val="158913CC"/>
    <w:rsid w:val="15893BDE"/>
    <w:rsid w:val="15992CEE"/>
    <w:rsid w:val="15DA1E85"/>
    <w:rsid w:val="15EC5584"/>
    <w:rsid w:val="1602382A"/>
    <w:rsid w:val="160C1A51"/>
    <w:rsid w:val="16114B35"/>
    <w:rsid w:val="16153DDC"/>
    <w:rsid w:val="161B0846"/>
    <w:rsid w:val="161D6C67"/>
    <w:rsid w:val="162A6FC5"/>
    <w:rsid w:val="163B4E88"/>
    <w:rsid w:val="167272EA"/>
    <w:rsid w:val="16796146"/>
    <w:rsid w:val="167D427C"/>
    <w:rsid w:val="16921267"/>
    <w:rsid w:val="16BD75D9"/>
    <w:rsid w:val="16C64858"/>
    <w:rsid w:val="16DF25BB"/>
    <w:rsid w:val="16E96798"/>
    <w:rsid w:val="16F16E27"/>
    <w:rsid w:val="16F3195A"/>
    <w:rsid w:val="16FE7FF8"/>
    <w:rsid w:val="16FF2B74"/>
    <w:rsid w:val="170D7E16"/>
    <w:rsid w:val="1716195F"/>
    <w:rsid w:val="17590011"/>
    <w:rsid w:val="176448E6"/>
    <w:rsid w:val="17656834"/>
    <w:rsid w:val="1767428D"/>
    <w:rsid w:val="176F6C06"/>
    <w:rsid w:val="17710B95"/>
    <w:rsid w:val="17756210"/>
    <w:rsid w:val="177F73EB"/>
    <w:rsid w:val="1784022B"/>
    <w:rsid w:val="178A6D98"/>
    <w:rsid w:val="179065AF"/>
    <w:rsid w:val="179F33BE"/>
    <w:rsid w:val="17B476FF"/>
    <w:rsid w:val="17B648CC"/>
    <w:rsid w:val="17D928C7"/>
    <w:rsid w:val="17E010E9"/>
    <w:rsid w:val="17F261A5"/>
    <w:rsid w:val="17FC0062"/>
    <w:rsid w:val="180B1AE6"/>
    <w:rsid w:val="18162E2A"/>
    <w:rsid w:val="18335FA5"/>
    <w:rsid w:val="183A0990"/>
    <w:rsid w:val="18480FD8"/>
    <w:rsid w:val="18557986"/>
    <w:rsid w:val="186A4292"/>
    <w:rsid w:val="18754D0E"/>
    <w:rsid w:val="187F1162"/>
    <w:rsid w:val="18B02531"/>
    <w:rsid w:val="18BD4F9A"/>
    <w:rsid w:val="18C164EC"/>
    <w:rsid w:val="18CF0909"/>
    <w:rsid w:val="18DF4BBF"/>
    <w:rsid w:val="18F02F42"/>
    <w:rsid w:val="18F51C26"/>
    <w:rsid w:val="19113069"/>
    <w:rsid w:val="191E24EC"/>
    <w:rsid w:val="19204FCE"/>
    <w:rsid w:val="1925776F"/>
    <w:rsid w:val="192E7E81"/>
    <w:rsid w:val="193731CE"/>
    <w:rsid w:val="194674E2"/>
    <w:rsid w:val="194B5735"/>
    <w:rsid w:val="195D5BAE"/>
    <w:rsid w:val="19772F08"/>
    <w:rsid w:val="197B7208"/>
    <w:rsid w:val="197F52D4"/>
    <w:rsid w:val="19AB3DAE"/>
    <w:rsid w:val="19E157C2"/>
    <w:rsid w:val="19EC0D6E"/>
    <w:rsid w:val="19EC1BA7"/>
    <w:rsid w:val="19ED659F"/>
    <w:rsid w:val="19FF3C3C"/>
    <w:rsid w:val="1A0F0E95"/>
    <w:rsid w:val="1A2454C4"/>
    <w:rsid w:val="1A315E33"/>
    <w:rsid w:val="1A396DD9"/>
    <w:rsid w:val="1A4D4CFE"/>
    <w:rsid w:val="1A6E4290"/>
    <w:rsid w:val="1A726465"/>
    <w:rsid w:val="1A85331D"/>
    <w:rsid w:val="1A962A68"/>
    <w:rsid w:val="1A99185E"/>
    <w:rsid w:val="1ABD0513"/>
    <w:rsid w:val="1AD27C6F"/>
    <w:rsid w:val="1AD405F3"/>
    <w:rsid w:val="1ADA0E9B"/>
    <w:rsid w:val="1AE300CE"/>
    <w:rsid w:val="1AE9554D"/>
    <w:rsid w:val="1B097409"/>
    <w:rsid w:val="1B0F6613"/>
    <w:rsid w:val="1B435081"/>
    <w:rsid w:val="1B497698"/>
    <w:rsid w:val="1B56648F"/>
    <w:rsid w:val="1B5E02B6"/>
    <w:rsid w:val="1B5E6C05"/>
    <w:rsid w:val="1B881676"/>
    <w:rsid w:val="1B88244E"/>
    <w:rsid w:val="1BA961DC"/>
    <w:rsid w:val="1BAD6621"/>
    <w:rsid w:val="1BBF5718"/>
    <w:rsid w:val="1BCE0DB3"/>
    <w:rsid w:val="1BE614F8"/>
    <w:rsid w:val="1C0628B7"/>
    <w:rsid w:val="1C0E2656"/>
    <w:rsid w:val="1C1407DA"/>
    <w:rsid w:val="1C1A4EC5"/>
    <w:rsid w:val="1C26359D"/>
    <w:rsid w:val="1C295AB9"/>
    <w:rsid w:val="1C2F22BE"/>
    <w:rsid w:val="1C4652B6"/>
    <w:rsid w:val="1C5460EC"/>
    <w:rsid w:val="1C5A155B"/>
    <w:rsid w:val="1C5C4FCA"/>
    <w:rsid w:val="1C903F78"/>
    <w:rsid w:val="1CA97B41"/>
    <w:rsid w:val="1CAA10F9"/>
    <w:rsid w:val="1CB5755D"/>
    <w:rsid w:val="1CBA016F"/>
    <w:rsid w:val="1CBE58A4"/>
    <w:rsid w:val="1CC01D49"/>
    <w:rsid w:val="1CEA3FD4"/>
    <w:rsid w:val="1CF02DF4"/>
    <w:rsid w:val="1D302753"/>
    <w:rsid w:val="1D3072B1"/>
    <w:rsid w:val="1D382E9A"/>
    <w:rsid w:val="1D5412D8"/>
    <w:rsid w:val="1D6D1DE9"/>
    <w:rsid w:val="1D732A6D"/>
    <w:rsid w:val="1D9C6CA3"/>
    <w:rsid w:val="1D9E0B45"/>
    <w:rsid w:val="1D9E2FE4"/>
    <w:rsid w:val="1DA829EC"/>
    <w:rsid w:val="1DC555C3"/>
    <w:rsid w:val="1DC7686B"/>
    <w:rsid w:val="1DD65CC8"/>
    <w:rsid w:val="1DE61A5D"/>
    <w:rsid w:val="1DE74FBB"/>
    <w:rsid w:val="1DEF3563"/>
    <w:rsid w:val="1DFE0D7B"/>
    <w:rsid w:val="1E1E3705"/>
    <w:rsid w:val="1E2077B2"/>
    <w:rsid w:val="1E307847"/>
    <w:rsid w:val="1EA45EAA"/>
    <w:rsid w:val="1EBF78CB"/>
    <w:rsid w:val="1EC56998"/>
    <w:rsid w:val="1EDB6F74"/>
    <w:rsid w:val="1EE92833"/>
    <w:rsid w:val="1EF05632"/>
    <w:rsid w:val="1F003C05"/>
    <w:rsid w:val="1F0770FC"/>
    <w:rsid w:val="1F1606F9"/>
    <w:rsid w:val="1F276830"/>
    <w:rsid w:val="1F42517D"/>
    <w:rsid w:val="1F42616B"/>
    <w:rsid w:val="1F46582A"/>
    <w:rsid w:val="1F581D1C"/>
    <w:rsid w:val="1F585FE8"/>
    <w:rsid w:val="1F5B7EF1"/>
    <w:rsid w:val="1F5C180E"/>
    <w:rsid w:val="1F603109"/>
    <w:rsid w:val="1F736CCA"/>
    <w:rsid w:val="1F7941B2"/>
    <w:rsid w:val="1F907C84"/>
    <w:rsid w:val="1F9E1935"/>
    <w:rsid w:val="1FA15E81"/>
    <w:rsid w:val="1FB905D8"/>
    <w:rsid w:val="1FCF2904"/>
    <w:rsid w:val="1FE4496A"/>
    <w:rsid w:val="1FFB62C3"/>
    <w:rsid w:val="200630B0"/>
    <w:rsid w:val="2007666C"/>
    <w:rsid w:val="20191BE0"/>
    <w:rsid w:val="203E07CF"/>
    <w:rsid w:val="20544210"/>
    <w:rsid w:val="20561443"/>
    <w:rsid w:val="206119F0"/>
    <w:rsid w:val="20657438"/>
    <w:rsid w:val="20757E39"/>
    <w:rsid w:val="20851FDE"/>
    <w:rsid w:val="20922FEC"/>
    <w:rsid w:val="209D5252"/>
    <w:rsid w:val="20BB285E"/>
    <w:rsid w:val="20C4156B"/>
    <w:rsid w:val="20CA6674"/>
    <w:rsid w:val="20D92DE9"/>
    <w:rsid w:val="20E05FFD"/>
    <w:rsid w:val="20F414E0"/>
    <w:rsid w:val="20FA2A42"/>
    <w:rsid w:val="20FF628C"/>
    <w:rsid w:val="21090163"/>
    <w:rsid w:val="210D6DAB"/>
    <w:rsid w:val="214736B9"/>
    <w:rsid w:val="21925203"/>
    <w:rsid w:val="21CF3053"/>
    <w:rsid w:val="21D01FF5"/>
    <w:rsid w:val="21DB6575"/>
    <w:rsid w:val="21DC61A6"/>
    <w:rsid w:val="21F354A0"/>
    <w:rsid w:val="21F73F7B"/>
    <w:rsid w:val="21F901D7"/>
    <w:rsid w:val="21F95424"/>
    <w:rsid w:val="22023065"/>
    <w:rsid w:val="22187870"/>
    <w:rsid w:val="222B2070"/>
    <w:rsid w:val="222C121B"/>
    <w:rsid w:val="222F7971"/>
    <w:rsid w:val="224163CF"/>
    <w:rsid w:val="22472D6D"/>
    <w:rsid w:val="22522477"/>
    <w:rsid w:val="22547FAD"/>
    <w:rsid w:val="225736B7"/>
    <w:rsid w:val="22594F82"/>
    <w:rsid w:val="2265761B"/>
    <w:rsid w:val="22724A1F"/>
    <w:rsid w:val="228005CF"/>
    <w:rsid w:val="22866178"/>
    <w:rsid w:val="22AB39D1"/>
    <w:rsid w:val="22AE7DE8"/>
    <w:rsid w:val="22BF3546"/>
    <w:rsid w:val="22DC4688"/>
    <w:rsid w:val="22DE3B30"/>
    <w:rsid w:val="22E06A0F"/>
    <w:rsid w:val="22FF342D"/>
    <w:rsid w:val="230D7C84"/>
    <w:rsid w:val="231A0E65"/>
    <w:rsid w:val="231A179B"/>
    <w:rsid w:val="231F01E9"/>
    <w:rsid w:val="2321467F"/>
    <w:rsid w:val="232E7BA6"/>
    <w:rsid w:val="232F4F97"/>
    <w:rsid w:val="2349231F"/>
    <w:rsid w:val="23595013"/>
    <w:rsid w:val="23643CAC"/>
    <w:rsid w:val="236A4E3E"/>
    <w:rsid w:val="238735C1"/>
    <w:rsid w:val="23893058"/>
    <w:rsid w:val="238D61A0"/>
    <w:rsid w:val="23A5785A"/>
    <w:rsid w:val="23AB08BF"/>
    <w:rsid w:val="23C85351"/>
    <w:rsid w:val="240239D3"/>
    <w:rsid w:val="24043003"/>
    <w:rsid w:val="241E6DE3"/>
    <w:rsid w:val="243D1664"/>
    <w:rsid w:val="245D5CEB"/>
    <w:rsid w:val="245F54C0"/>
    <w:rsid w:val="247354F8"/>
    <w:rsid w:val="247473C9"/>
    <w:rsid w:val="24806E8C"/>
    <w:rsid w:val="248424F0"/>
    <w:rsid w:val="24AA0998"/>
    <w:rsid w:val="24C57F79"/>
    <w:rsid w:val="24ED13E3"/>
    <w:rsid w:val="24F40045"/>
    <w:rsid w:val="24F44C86"/>
    <w:rsid w:val="24F72486"/>
    <w:rsid w:val="250D38C8"/>
    <w:rsid w:val="251178E3"/>
    <w:rsid w:val="2524184E"/>
    <w:rsid w:val="2528755C"/>
    <w:rsid w:val="2530061B"/>
    <w:rsid w:val="256E75A0"/>
    <w:rsid w:val="257D1D69"/>
    <w:rsid w:val="2581496E"/>
    <w:rsid w:val="259E1B79"/>
    <w:rsid w:val="25AD0B8B"/>
    <w:rsid w:val="25AE0DB5"/>
    <w:rsid w:val="25CB302C"/>
    <w:rsid w:val="25E15BD9"/>
    <w:rsid w:val="25E228E5"/>
    <w:rsid w:val="25F6353E"/>
    <w:rsid w:val="25FB38F4"/>
    <w:rsid w:val="2606723A"/>
    <w:rsid w:val="260C77A7"/>
    <w:rsid w:val="26217DC5"/>
    <w:rsid w:val="262F1D52"/>
    <w:rsid w:val="26312069"/>
    <w:rsid w:val="264977BF"/>
    <w:rsid w:val="264E184B"/>
    <w:rsid w:val="266834B3"/>
    <w:rsid w:val="268419DE"/>
    <w:rsid w:val="26AA2D1E"/>
    <w:rsid w:val="26B022BF"/>
    <w:rsid w:val="26B253E8"/>
    <w:rsid w:val="26B675DF"/>
    <w:rsid w:val="26BE7862"/>
    <w:rsid w:val="26CC6975"/>
    <w:rsid w:val="26D02989"/>
    <w:rsid w:val="26E92DA1"/>
    <w:rsid w:val="26F53FAB"/>
    <w:rsid w:val="26F82E1C"/>
    <w:rsid w:val="26FB7D96"/>
    <w:rsid w:val="27091B08"/>
    <w:rsid w:val="270D1B80"/>
    <w:rsid w:val="271E747A"/>
    <w:rsid w:val="27316F52"/>
    <w:rsid w:val="275E167C"/>
    <w:rsid w:val="277E05A6"/>
    <w:rsid w:val="279064F1"/>
    <w:rsid w:val="279A2268"/>
    <w:rsid w:val="27AD391D"/>
    <w:rsid w:val="27B15BD1"/>
    <w:rsid w:val="27B5446C"/>
    <w:rsid w:val="27CA298E"/>
    <w:rsid w:val="27EB6814"/>
    <w:rsid w:val="2805111F"/>
    <w:rsid w:val="28082A87"/>
    <w:rsid w:val="280A3287"/>
    <w:rsid w:val="28344015"/>
    <w:rsid w:val="283C7F8B"/>
    <w:rsid w:val="285337E8"/>
    <w:rsid w:val="28582872"/>
    <w:rsid w:val="287550BA"/>
    <w:rsid w:val="288C2DBC"/>
    <w:rsid w:val="28920E3A"/>
    <w:rsid w:val="28980E56"/>
    <w:rsid w:val="289A1AB3"/>
    <w:rsid w:val="28A57D05"/>
    <w:rsid w:val="28AC6F25"/>
    <w:rsid w:val="28B215E4"/>
    <w:rsid w:val="28E851C3"/>
    <w:rsid w:val="290611B5"/>
    <w:rsid w:val="290F7393"/>
    <w:rsid w:val="29160C53"/>
    <w:rsid w:val="291C3785"/>
    <w:rsid w:val="2925778F"/>
    <w:rsid w:val="294E5B1C"/>
    <w:rsid w:val="295F6FC2"/>
    <w:rsid w:val="298B4EA1"/>
    <w:rsid w:val="29977213"/>
    <w:rsid w:val="299E415C"/>
    <w:rsid w:val="299F157B"/>
    <w:rsid w:val="299F2802"/>
    <w:rsid w:val="29A777E4"/>
    <w:rsid w:val="29B44F56"/>
    <w:rsid w:val="29BE3F54"/>
    <w:rsid w:val="29D347D0"/>
    <w:rsid w:val="29D9384A"/>
    <w:rsid w:val="2A075F0C"/>
    <w:rsid w:val="2A1A495F"/>
    <w:rsid w:val="2A277EB9"/>
    <w:rsid w:val="2A2E69C4"/>
    <w:rsid w:val="2A667042"/>
    <w:rsid w:val="2A726D79"/>
    <w:rsid w:val="2A7E04DE"/>
    <w:rsid w:val="2A970A62"/>
    <w:rsid w:val="2ABA77F2"/>
    <w:rsid w:val="2AC440FE"/>
    <w:rsid w:val="2AD138CC"/>
    <w:rsid w:val="2AD564B1"/>
    <w:rsid w:val="2ADA0377"/>
    <w:rsid w:val="2AE01F34"/>
    <w:rsid w:val="2AF05135"/>
    <w:rsid w:val="2AF2746C"/>
    <w:rsid w:val="2B053749"/>
    <w:rsid w:val="2B065D5A"/>
    <w:rsid w:val="2B746765"/>
    <w:rsid w:val="2B8A6161"/>
    <w:rsid w:val="2B971D89"/>
    <w:rsid w:val="2B9856DD"/>
    <w:rsid w:val="2BA16CB7"/>
    <w:rsid w:val="2BA4219F"/>
    <w:rsid w:val="2BC60730"/>
    <w:rsid w:val="2BD514C1"/>
    <w:rsid w:val="2BEF2A72"/>
    <w:rsid w:val="2C041FA0"/>
    <w:rsid w:val="2C081775"/>
    <w:rsid w:val="2C0F6601"/>
    <w:rsid w:val="2C18031A"/>
    <w:rsid w:val="2C344FA7"/>
    <w:rsid w:val="2C405BE5"/>
    <w:rsid w:val="2C447AA2"/>
    <w:rsid w:val="2C573176"/>
    <w:rsid w:val="2C663EF6"/>
    <w:rsid w:val="2C714B97"/>
    <w:rsid w:val="2C7F2EA6"/>
    <w:rsid w:val="2C8C3225"/>
    <w:rsid w:val="2C9302E9"/>
    <w:rsid w:val="2CC90F0E"/>
    <w:rsid w:val="2CD15A7D"/>
    <w:rsid w:val="2CE636B8"/>
    <w:rsid w:val="2D0B20D4"/>
    <w:rsid w:val="2D1C121E"/>
    <w:rsid w:val="2D363CAD"/>
    <w:rsid w:val="2D4D589A"/>
    <w:rsid w:val="2D6C7FED"/>
    <w:rsid w:val="2D6F7F6C"/>
    <w:rsid w:val="2D837574"/>
    <w:rsid w:val="2D944C91"/>
    <w:rsid w:val="2DD10A73"/>
    <w:rsid w:val="2DD15077"/>
    <w:rsid w:val="2DD17D42"/>
    <w:rsid w:val="2DE07F4F"/>
    <w:rsid w:val="2DE835BF"/>
    <w:rsid w:val="2DED4987"/>
    <w:rsid w:val="2DF601AB"/>
    <w:rsid w:val="2E610C2C"/>
    <w:rsid w:val="2E653910"/>
    <w:rsid w:val="2E6E426D"/>
    <w:rsid w:val="2E6F4F5F"/>
    <w:rsid w:val="2E8F663E"/>
    <w:rsid w:val="2E92366A"/>
    <w:rsid w:val="2EA0056E"/>
    <w:rsid w:val="2EAF4767"/>
    <w:rsid w:val="2EB03DEF"/>
    <w:rsid w:val="2EB53783"/>
    <w:rsid w:val="2EB72FAC"/>
    <w:rsid w:val="2EBC2FB2"/>
    <w:rsid w:val="2EC426D8"/>
    <w:rsid w:val="2ECA035A"/>
    <w:rsid w:val="2ED94800"/>
    <w:rsid w:val="2EF72E0D"/>
    <w:rsid w:val="2F032B82"/>
    <w:rsid w:val="2F0748D5"/>
    <w:rsid w:val="2F090276"/>
    <w:rsid w:val="2F1C04D2"/>
    <w:rsid w:val="2F242ECC"/>
    <w:rsid w:val="2F7076CE"/>
    <w:rsid w:val="2F7B236F"/>
    <w:rsid w:val="2F83111F"/>
    <w:rsid w:val="2F913F15"/>
    <w:rsid w:val="2FD816DC"/>
    <w:rsid w:val="2FDF31A5"/>
    <w:rsid w:val="2FE67135"/>
    <w:rsid w:val="2FE676CF"/>
    <w:rsid w:val="30035F13"/>
    <w:rsid w:val="30073ABF"/>
    <w:rsid w:val="30083117"/>
    <w:rsid w:val="30195662"/>
    <w:rsid w:val="302B4C1E"/>
    <w:rsid w:val="302E132E"/>
    <w:rsid w:val="30306FC0"/>
    <w:rsid w:val="30724112"/>
    <w:rsid w:val="30755827"/>
    <w:rsid w:val="30897017"/>
    <w:rsid w:val="308C311F"/>
    <w:rsid w:val="30997D13"/>
    <w:rsid w:val="30B716A8"/>
    <w:rsid w:val="30BD7CF8"/>
    <w:rsid w:val="30DA6BFC"/>
    <w:rsid w:val="30F27F32"/>
    <w:rsid w:val="30F839ED"/>
    <w:rsid w:val="3114773B"/>
    <w:rsid w:val="311B6EA1"/>
    <w:rsid w:val="31215717"/>
    <w:rsid w:val="314B1A2F"/>
    <w:rsid w:val="31641107"/>
    <w:rsid w:val="31642CFA"/>
    <w:rsid w:val="318F411A"/>
    <w:rsid w:val="31915E5F"/>
    <w:rsid w:val="31990CD5"/>
    <w:rsid w:val="319972C5"/>
    <w:rsid w:val="319A0C61"/>
    <w:rsid w:val="31B65B04"/>
    <w:rsid w:val="31CA573B"/>
    <w:rsid w:val="31F06615"/>
    <w:rsid w:val="31FC4769"/>
    <w:rsid w:val="32027C61"/>
    <w:rsid w:val="320772F9"/>
    <w:rsid w:val="320F46CD"/>
    <w:rsid w:val="3221227B"/>
    <w:rsid w:val="327E14E4"/>
    <w:rsid w:val="32860C80"/>
    <w:rsid w:val="329F628A"/>
    <w:rsid w:val="32B61333"/>
    <w:rsid w:val="32C15B28"/>
    <w:rsid w:val="32C95473"/>
    <w:rsid w:val="32CF22B0"/>
    <w:rsid w:val="32F330E4"/>
    <w:rsid w:val="32FA6BE3"/>
    <w:rsid w:val="3305259F"/>
    <w:rsid w:val="333D6BC8"/>
    <w:rsid w:val="333F6B7D"/>
    <w:rsid w:val="33407425"/>
    <w:rsid w:val="33496F60"/>
    <w:rsid w:val="33557238"/>
    <w:rsid w:val="337413A2"/>
    <w:rsid w:val="337C73C9"/>
    <w:rsid w:val="338B6CCD"/>
    <w:rsid w:val="33AB4F41"/>
    <w:rsid w:val="33B816AF"/>
    <w:rsid w:val="33C817B8"/>
    <w:rsid w:val="33E81E5A"/>
    <w:rsid w:val="33E97070"/>
    <w:rsid w:val="33ED121E"/>
    <w:rsid w:val="342F5CDB"/>
    <w:rsid w:val="343037C3"/>
    <w:rsid w:val="343F1C92"/>
    <w:rsid w:val="344544D1"/>
    <w:rsid w:val="345A2FFF"/>
    <w:rsid w:val="3461152D"/>
    <w:rsid w:val="34662020"/>
    <w:rsid w:val="347353B0"/>
    <w:rsid w:val="347A2C24"/>
    <w:rsid w:val="347A4301"/>
    <w:rsid w:val="349B56DA"/>
    <w:rsid w:val="34D16033"/>
    <w:rsid w:val="34D21E6E"/>
    <w:rsid w:val="34DE6A9D"/>
    <w:rsid w:val="34DF6BAA"/>
    <w:rsid w:val="34F34F5A"/>
    <w:rsid w:val="34F60C6A"/>
    <w:rsid w:val="35050E48"/>
    <w:rsid w:val="3516782A"/>
    <w:rsid w:val="352652EF"/>
    <w:rsid w:val="352F7B20"/>
    <w:rsid w:val="355C24B3"/>
    <w:rsid w:val="356061C5"/>
    <w:rsid w:val="35694E5F"/>
    <w:rsid w:val="35716A9B"/>
    <w:rsid w:val="35940746"/>
    <w:rsid w:val="35BF2BA9"/>
    <w:rsid w:val="35F12B18"/>
    <w:rsid w:val="3619454C"/>
    <w:rsid w:val="36243A78"/>
    <w:rsid w:val="36290CA9"/>
    <w:rsid w:val="3639656E"/>
    <w:rsid w:val="363B458B"/>
    <w:rsid w:val="3647633C"/>
    <w:rsid w:val="365654E2"/>
    <w:rsid w:val="366A124C"/>
    <w:rsid w:val="366C3A95"/>
    <w:rsid w:val="367A76C7"/>
    <w:rsid w:val="36876919"/>
    <w:rsid w:val="368B79CA"/>
    <w:rsid w:val="368C367F"/>
    <w:rsid w:val="368E72CE"/>
    <w:rsid w:val="36954386"/>
    <w:rsid w:val="369D7C73"/>
    <w:rsid w:val="36A209E6"/>
    <w:rsid w:val="36BA5483"/>
    <w:rsid w:val="36BA7A1D"/>
    <w:rsid w:val="36E32451"/>
    <w:rsid w:val="36E74A41"/>
    <w:rsid w:val="36EE6EBE"/>
    <w:rsid w:val="36EF544F"/>
    <w:rsid w:val="36F71FBF"/>
    <w:rsid w:val="37030F28"/>
    <w:rsid w:val="3722535B"/>
    <w:rsid w:val="372A1219"/>
    <w:rsid w:val="374D1BC2"/>
    <w:rsid w:val="37791E08"/>
    <w:rsid w:val="378625F4"/>
    <w:rsid w:val="378B18EA"/>
    <w:rsid w:val="37977E1F"/>
    <w:rsid w:val="37AA0F40"/>
    <w:rsid w:val="37AA59CC"/>
    <w:rsid w:val="37AD34EF"/>
    <w:rsid w:val="37CD254E"/>
    <w:rsid w:val="37D9201C"/>
    <w:rsid w:val="37DD4FEE"/>
    <w:rsid w:val="37EF668F"/>
    <w:rsid w:val="37F50A47"/>
    <w:rsid w:val="38066924"/>
    <w:rsid w:val="3814390E"/>
    <w:rsid w:val="3817575A"/>
    <w:rsid w:val="38333F25"/>
    <w:rsid w:val="384F6612"/>
    <w:rsid w:val="38675D13"/>
    <w:rsid w:val="3886453D"/>
    <w:rsid w:val="388E30DF"/>
    <w:rsid w:val="38CA12FC"/>
    <w:rsid w:val="38D42CAE"/>
    <w:rsid w:val="38E63237"/>
    <w:rsid w:val="38F9771A"/>
    <w:rsid w:val="390C3C6A"/>
    <w:rsid w:val="39373CE8"/>
    <w:rsid w:val="394915DF"/>
    <w:rsid w:val="39525BF9"/>
    <w:rsid w:val="39687FF5"/>
    <w:rsid w:val="397015C3"/>
    <w:rsid w:val="397330FD"/>
    <w:rsid w:val="39794003"/>
    <w:rsid w:val="398742AA"/>
    <w:rsid w:val="39A8583E"/>
    <w:rsid w:val="39A91C31"/>
    <w:rsid w:val="39CF3FC7"/>
    <w:rsid w:val="39D029ED"/>
    <w:rsid w:val="39D70BB5"/>
    <w:rsid w:val="39E901BA"/>
    <w:rsid w:val="39F635C5"/>
    <w:rsid w:val="39F6443B"/>
    <w:rsid w:val="39FE45BC"/>
    <w:rsid w:val="3A080B60"/>
    <w:rsid w:val="3A133FBF"/>
    <w:rsid w:val="3A1C7D8E"/>
    <w:rsid w:val="3A2A34F0"/>
    <w:rsid w:val="3A3758E9"/>
    <w:rsid w:val="3A572F19"/>
    <w:rsid w:val="3A5760C8"/>
    <w:rsid w:val="3A5D7BA0"/>
    <w:rsid w:val="3A5F63F9"/>
    <w:rsid w:val="3A6A4FC7"/>
    <w:rsid w:val="3A6D0335"/>
    <w:rsid w:val="3A73619A"/>
    <w:rsid w:val="3A9D1DE5"/>
    <w:rsid w:val="3A9F000D"/>
    <w:rsid w:val="3ABC194A"/>
    <w:rsid w:val="3AC055B5"/>
    <w:rsid w:val="3AC378D3"/>
    <w:rsid w:val="3AD63137"/>
    <w:rsid w:val="3AED4E79"/>
    <w:rsid w:val="3AF15A98"/>
    <w:rsid w:val="3AF34E1E"/>
    <w:rsid w:val="3AF410E4"/>
    <w:rsid w:val="3AF6198E"/>
    <w:rsid w:val="3AFB6916"/>
    <w:rsid w:val="3B0E4238"/>
    <w:rsid w:val="3B0F219D"/>
    <w:rsid w:val="3B0F2694"/>
    <w:rsid w:val="3B122E1B"/>
    <w:rsid w:val="3B2B73F5"/>
    <w:rsid w:val="3B4534CB"/>
    <w:rsid w:val="3B4E4C98"/>
    <w:rsid w:val="3B597F85"/>
    <w:rsid w:val="3B7A2879"/>
    <w:rsid w:val="3BA9526C"/>
    <w:rsid w:val="3BB42FEE"/>
    <w:rsid w:val="3BB92C61"/>
    <w:rsid w:val="3BBD5FEC"/>
    <w:rsid w:val="3BBF5A08"/>
    <w:rsid w:val="3BC70A94"/>
    <w:rsid w:val="3BED44B1"/>
    <w:rsid w:val="3BF44A6E"/>
    <w:rsid w:val="3C000FEA"/>
    <w:rsid w:val="3C261BBC"/>
    <w:rsid w:val="3C2940C0"/>
    <w:rsid w:val="3C40563D"/>
    <w:rsid w:val="3C442265"/>
    <w:rsid w:val="3C78302A"/>
    <w:rsid w:val="3C885EE1"/>
    <w:rsid w:val="3C98093D"/>
    <w:rsid w:val="3CB42DEC"/>
    <w:rsid w:val="3CC04CA5"/>
    <w:rsid w:val="3CC7230F"/>
    <w:rsid w:val="3CE7584B"/>
    <w:rsid w:val="3D37175C"/>
    <w:rsid w:val="3D401AE6"/>
    <w:rsid w:val="3D4B2F1E"/>
    <w:rsid w:val="3D4C66A2"/>
    <w:rsid w:val="3D4E6DDE"/>
    <w:rsid w:val="3D5347E8"/>
    <w:rsid w:val="3D587EAD"/>
    <w:rsid w:val="3D673DEF"/>
    <w:rsid w:val="3D77271A"/>
    <w:rsid w:val="3D7F688A"/>
    <w:rsid w:val="3D850719"/>
    <w:rsid w:val="3D972866"/>
    <w:rsid w:val="3DA34724"/>
    <w:rsid w:val="3DC53577"/>
    <w:rsid w:val="3DC6522F"/>
    <w:rsid w:val="3DD551FD"/>
    <w:rsid w:val="3DE9005D"/>
    <w:rsid w:val="3DED7A3C"/>
    <w:rsid w:val="3E175486"/>
    <w:rsid w:val="3E303933"/>
    <w:rsid w:val="3E3D435E"/>
    <w:rsid w:val="3E3F44B6"/>
    <w:rsid w:val="3E426DBF"/>
    <w:rsid w:val="3E58508B"/>
    <w:rsid w:val="3E5B4CCB"/>
    <w:rsid w:val="3E622809"/>
    <w:rsid w:val="3E744E38"/>
    <w:rsid w:val="3E8958FE"/>
    <w:rsid w:val="3E942BDF"/>
    <w:rsid w:val="3EA1776C"/>
    <w:rsid w:val="3EAC70C0"/>
    <w:rsid w:val="3EB13344"/>
    <w:rsid w:val="3EB23790"/>
    <w:rsid w:val="3EC97E7B"/>
    <w:rsid w:val="3ECC6A67"/>
    <w:rsid w:val="3EDA7AEC"/>
    <w:rsid w:val="3F026DD0"/>
    <w:rsid w:val="3F062586"/>
    <w:rsid w:val="3F071EED"/>
    <w:rsid w:val="3F1F7614"/>
    <w:rsid w:val="3F2A5A1C"/>
    <w:rsid w:val="3F2F43DD"/>
    <w:rsid w:val="3F3A3882"/>
    <w:rsid w:val="3F3E4259"/>
    <w:rsid w:val="3F446B4B"/>
    <w:rsid w:val="3F551348"/>
    <w:rsid w:val="3F6D79AE"/>
    <w:rsid w:val="3F834EC9"/>
    <w:rsid w:val="3F862109"/>
    <w:rsid w:val="3FBF2B37"/>
    <w:rsid w:val="3FC115A0"/>
    <w:rsid w:val="3FC515DA"/>
    <w:rsid w:val="3FD000BC"/>
    <w:rsid w:val="3FF02E74"/>
    <w:rsid w:val="3FF70065"/>
    <w:rsid w:val="40095F44"/>
    <w:rsid w:val="401C4B92"/>
    <w:rsid w:val="40291830"/>
    <w:rsid w:val="403D31FE"/>
    <w:rsid w:val="40441A39"/>
    <w:rsid w:val="405D7672"/>
    <w:rsid w:val="40690165"/>
    <w:rsid w:val="40796648"/>
    <w:rsid w:val="40842F0A"/>
    <w:rsid w:val="40881D1D"/>
    <w:rsid w:val="4088364D"/>
    <w:rsid w:val="40904DA4"/>
    <w:rsid w:val="40B06ECB"/>
    <w:rsid w:val="40C3498B"/>
    <w:rsid w:val="41202137"/>
    <w:rsid w:val="41241F7D"/>
    <w:rsid w:val="412A6DCA"/>
    <w:rsid w:val="41321641"/>
    <w:rsid w:val="413606A8"/>
    <w:rsid w:val="413C2ACB"/>
    <w:rsid w:val="41465C12"/>
    <w:rsid w:val="41721101"/>
    <w:rsid w:val="417879D6"/>
    <w:rsid w:val="417D7711"/>
    <w:rsid w:val="41846206"/>
    <w:rsid w:val="41860E7F"/>
    <w:rsid w:val="41BA7F89"/>
    <w:rsid w:val="41C07F72"/>
    <w:rsid w:val="41CC1557"/>
    <w:rsid w:val="41DD228B"/>
    <w:rsid w:val="41DE7FEA"/>
    <w:rsid w:val="41EB66C9"/>
    <w:rsid w:val="41F4622F"/>
    <w:rsid w:val="42133007"/>
    <w:rsid w:val="4213572F"/>
    <w:rsid w:val="421F0068"/>
    <w:rsid w:val="42211B10"/>
    <w:rsid w:val="42481AF5"/>
    <w:rsid w:val="424B2A3E"/>
    <w:rsid w:val="424C5CAA"/>
    <w:rsid w:val="426A55E4"/>
    <w:rsid w:val="42867CC7"/>
    <w:rsid w:val="42997141"/>
    <w:rsid w:val="42AF5D6E"/>
    <w:rsid w:val="42B3304E"/>
    <w:rsid w:val="42C45840"/>
    <w:rsid w:val="42E44F48"/>
    <w:rsid w:val="42EA174A"/>
    <w:rsid w:val="431F481E"/>
    <w:rsid w:val="432424B5"/>
    <w:rsid w:val="43494682"/>
    <w:rsid w:val="435B7D37"/>
    <w:rsid w:val="436554F6"/>
    <w:rsid w:val="436C4425"/>
    <w:rsid w:val="4372122E"/>
    <w:rsid w:val="437273F0"/>
    <w:rsid w:val="438A3F8C"/>
    <w:rsid w:val="43A20DC1"/>
    <w:rsid w:val="43FA4F25"/>
    <w:rsid w:val="43FB52D8"/>
    <w:rsid w:val="44051C95"/>
    <w:rsid w:val="440E5F07"/>
    <w:rsid w:val="44433BF4"/>
    <w:rsid w:val="447A5CEC"/>
    <w:rsid w:val="447D7074"/>
    <w:rsid w:val="448434D9"/>
    <w:rsid w:val="44845DBA"/>
    <w:rsid w:val="449A28FA"/>
    <w:rsid w:val="44A3216A"/>
    <w:rsid w:val="44B74C7B"/>
    <w:rsid w:val="44D95A11"/>
    <w:rsid w:val="44F1060A"/>
    <w:rsid w:val="44FF5970"/>
    <w:rsid w:val="451B3559"/>
    <w:rsid w:val="45311F37"/>
    <w:rsid w:val="454104CD"/>
    <w:rsid w:val="455C6229"/>
    <w:rsid w:val="45800205"/>
    <w:rsid w:val="45811ED9"/>
    <w:rsid w:val="459E5BC3"/>
    <w:rsid w:val="45A94AD9"/>
    <w:rsid w:val="45B264CA"/>
    <w:rsid w:val="45B64784"/>
    <w:rsid w:val="462F1CAB"/>
    <w:rsid w:val="46467700"/>
    <w:rsid w:val="46545E78"/>
    <w:rsid w:val="465A7DA0"/>
    <w:rsid w:val="46651CD7"/>
    <w:rsid w:val="46BE0A54"/>
    <w:rsid w:val="46DC3AA0"/>
    <w:rsid w:val="46F74436"/>
    <w:rsid w:val="47026B46"/>
    <w:rsid w:val="47097141"/>
    <w:rsid w:val="470A2EDA"/>
    <w:rsid w:val="471605EF"/>
    <w:rsid w:val="471F0B77"/>
    <w:rsid w:val="474D5C55"/>
    <w:rsid w:val="475123E2"/>
    <w:rsid w:val="479F5E27"/>
    <w:rsid w:val="47F40882"/>
    <w:rsid w:val="47F567AB"/>
    <w:rsid w:val="47F832D5"/>
    <w:rsid w:val="48072B35"/>
    <w:rsid w:val="48110100"/>
    <w:rsid w:val="481C0579"/>
    <w:rsid w:val="48257E0A"/>
    <w:rsid w:val="48284019"/>
    <w:rsid w:val="48302C75"/>
    <w:rsid w:val="483E5F6A"/>
    <w:rsid w:val="48486FAF"/>
    <w:rsid w:val="487C215F"/>
    <w:rsid w:val="48873598"/>
    <w:rsid w:val="48DA576E"/>
    <w:rsid w:val="48FE4CE2"/>
    <w:rsid w:val="4921184B"/>
    <w:rsid w:val="493F3369"/>
    <w:rsid w:val="495E12D5"/>
    <w:rsid w:val="496C41A4"/>
    <w:rsid w:val="497270BE"/>
    <w:rsid w:val="498C44E5"/>
    <w:rsid w:val="499664CC"/>
    <w:rsid w:val="49975DAE"/>
    <w:rsid w:val="499A4EAF"/>
    <w:rsid w:val="49A358CF"/>
    <w:rsid w:val="49AE3294"/>
    <w:rsid w:val="49BB0585"/>
    <w:rsid w:val="49C32CF5"/>
    <w:rsid w:val="49D95DF0"/>
    <w:rsid w:val="49DC7044"/>
    <w:rsid w:val="49DF5977"/>
    <w:rsid w:val="4A2D5224"/>
    <w:rsid w:val="4A3A07BF"/>
    <w:rsid w:val="4A3F3A2A"/>
    <w:rsid w:val="4A5010BD"/>
    <w:rsid w:val="4A526699"/>
    <w:rsid w:val="4A5D5945"/>
    <w:rsid w:val="4A6218F1"/>
    <w:rsid w:val="4A7933B4"/>
    <w:rsid w:val="4A7B240E"/>
    <w:rsid w:val="4A7E7BC7"/>
    <w:rsid w:val="4A8D46D8"/>
    <w:rsid w:val="4A934476"/>
    <w:rsid w:val="4A9804CE"/>
    <w:rsid w:val="4AC26654"/>
    <w:rsid w:val="4AD8435E"/>
    <w:rsid w:val="4AD922D1"/>
    <w:rsid w:val="4AF135C7"/>
    <w:rsid w:val="4AF27FDB"/>
    <w:rsid w:val="4B013AD5"/>
    <w:rsid w:val="4B210482"/>
    <w:rsid w:val="4B2477C4"/>
    <w:rsid w:val="4B2B0668"/>
    <w:rsid w:val="4B320132"/>
    <w:rsid w:val="4B597BF1"/>
    <w:rsid w:val="4B617430"/>
    <w:rsid w:val="4B737A3F"/>
    <w:rsid w:val="4B9B5889"/>
    <w:rsid w:val="4B9D0115"/>
    <w:rsid w:val="4BA754D9"/>
    <w:rsid w:val="4BB44180"/>
    <w:rsid w:val="4BD86C25"/>
    <w:rsid w:val="4BDC015E"/>
    <w:rsid w:val="4BDD3EEF"/>
    <w:rsid w:val="4BEB208F"/>
    <w:rsid w:val="4BEE23C9"/>
    <w:rsid w:val="4C12630F"/>
    <w:rsid w:val="4C2C2DD4"/>
    <w:rsid w:val="4C456FF5"/>
    <w:rsid w:val="4C6B378E"/>
    <w:rsid w:val="4C6E2F38"/>
    <w:rsid w:val="4C716769"/>
    <w:rsid w:val="4C741525"/>
    <w:rsid w:val="4C7B0A84"/>
    <w:rsid w:val="4C811103"/>
    <w:rsid w:val="4C972D63"/>
    <w:rsid w:val="4CA45726"/>
    <w:rsid w:val="4CAC181F"/>
    <w:rsid w:val="4CB2084D"/>
    <w:rsid w:val="4CC21042"/>
    <w:rsid w:val="4CD75BF7"/>
    <w:rsid w:val="4D1473C4"/>
    <w:rsid w:val="4D205D07"/>
    <w:rsid w:val="4D2B4E39"/>
    <w:rsid w:val="4D3B4D64"/>
    <w:rsid w:val="4D4A593F"/>
    <w:rsid w:val="4D532913"/>
    <w:rsid w:val="4D552686"/>
    <w:rsid w:val="4D5B7482"/>
    <w:rsid w:val="4D737DF0"/>
    <w:rsid w:val="4D8D025C"/>
    <w:rsid w:val="4D8E5DEE"/>
    <w:rsid w:val="4D9F4CBA"/>
    <w:rsid w:val="4DA81E39"/>
    <w:rsid w:val="4DAD4E45"/>
    <w:rsid w:val="4DB85569"/>
    <w:rsid w:val="4DCF0877"/>
    <w:rsid w:val="4DD92D57"/>
    <w:rsid w:val="4DE5790A"/>
    <w:rsid w:val="4DEA2EA5"/>
    <w:rsid w:val="4E25653E"/>
    <w:rsid w:val="4E2D1582"/>
    <w:rsid w:val="4E327E49"/>
    <w:rsid w:val="4E3E1FB3"/>
    <w:rsid w:val="4E7452F4"/>
    <w:rsid w:val="4E74636C"/>
    <w:rsid w:val="4E7B77FB"/>
    <w:rsid w:val="4E890474"/>
    <w:rsid w:val="4EAA7C90"/>
    <w:rsid w:val="4EAB488F"/>
    <w:rsid w:val="4EB3665A"/>
    <w:rsid w:val="4ED069E8"/>
    <w:rsid w:val="4ED95E50"/>
    <w:rsid w:val="4EE56188"/>
    <w:rsid w:val="4EED611E"/>
    <w:rsid w:val="4EFC39B1"/>
    <w:rsid w:val="4F032555"/>
    <w:rsid w:val="4F035942"/>
    <w:rsid w:val="4F05489D"/>
    <w:rsid w:val="4F084A70"/>
    <w:rsid w:val="4F0857C0"/>
    <w:rsid w:val="4F103067"/>
    <w:rsid w:val="4F1103D1"/>
    <w:rsid w:val="4F320C95"/>
    <w:rsid w:val="4F650906"/>
    <w:rsid w:val="4F6B43FC"/>
    <w:rsid w:val="4FA35081"/>
    <w:rsid w:val="4FD57A93"/>
    <w:rsid w:val="4FE21861"/>
    <w:rsid w:val="4FE563FB"/>
    <w:rsid w:val="4FE71657"/>
    <w:rsid w:val="4FEE5F6D"/>
    <w:rsid w:val="500D24A4"/>
    <w:rsid w:val="500F36D9"/>
    <w:rsid w:val="504D7622"/>
    <w:rsid w:val="5050285D"/>
    <w:rsid w:val="507240BD"/>
    <w:rsid w:val="5077477E"/>
    <w:rsid w:val="508F7461"/>
    <w:rsid w:val="50922104"/>
    <w:rsid w:val="50AD3DB7"/>
    <w:rsid w:val="50B43430"/>
    <w:rsid w:val="50B45AAC"/>
    <w:rsid w:val="50C41520"/>
    <w:rsid w:val="50D259D6"/>
    <w:rsid w:val="50E7137D"/>
    <w:rsid w:val="510023A1"/>
    <w:rsid w:val="51035DFF"/>
    <w:rsid w:val="510C6D30"/>
    <w:rsid w:val="51147957"/>
    <w:rsid w:val="512329A6"/>
    <w:rsid w:val="512C4B30"/>
    <w:rsid w:val="516C0B27"/>
    <w:rsid w:val="51730333"/>
    <w:rsid w:val="517D19DC"/>
    <w:rsid w:val="5189305D"/>
    <w:rsid w:val="518B1ACD"/>
    <w:rsid w:val="51977773"/>
    <w:rsid w:val="51A01EC7"/>
    <w:rsid w:val="51AA21D3"/>
    <w:rsid w:val="51B02D8D"/>
    <w:rsid w:val="51C406CB"/>
    <w:rsid w:val="51D25567"/>
    <w:rsid w:val="51DA239D"/>
    <w:rsid w:val="51DC3991"/>
    <w:rsid w:val="51E036BA"/>
    <w:rsid w:val="51EE71C4"/>
    <w:rsid w:val="52054D43"/>
    <w:rsid w:val="525C5A95"/>
    <w:rsid w:val="52672D70"/>
    <w:rsid w:val="526B7EE0"/>
    <w:rsid w:val="529308D2"/>
    <w:rsid w:val="52A03331"/>
    <w:rsid w:val="52C8418F"/>
    <w:rsid w:val="52CB19E0"/>
    <w:rsid w:val="52E00474"/>
    <w:rsid w:val="52EB373B"/>
    <w:rsid w:val="52F07C5B"/>
    <w:rsid w:val="5301124B"/>
    <w:rsid w:val="530E3233"/>
    <w:rsid w:val="5311396B"/>
    <w:rsid w:val="5327467C"/>
    <w:rsid w:val="53350B0D"/>
    <w:rsid w:val="53360642"/>
    <w:rsid w:val="53522962"/>
    <w:rsid w:val="535C2E6C"/>
    <w:rsid w:val="53626752"/>
    <w:rsid w:val="537137C2"/>
    <w:rsid w:val="53872039"/>
    <w:rsid w:val="538B6C2F"/>
    <w:rsid w:val="538E550C"/>
    <w:rsid w:val="539F616B"/>
    <w:rsid w:val="53B92A73"/>
    <w:rsid w:val="53BB65D4"/>
    <w:rsid w:val="53E3299F"/>
    <w:rsid w:val="53EE2E47"/>
    <w:rsid w:val="53FB2066"/>
    <w:rsid w:val="541C4228"/>
    <w:rsid w:val="542C6BAC"/>
    <w:rsid w:val="54302D35"/>
    <w:rsid w:val="54663032"/>
    <w:rsid w:val="546B2EB5"/>
    <w:rsid w:val="546C148F"/>
    <w:rsid w:val="54753527"/>
    <w:rsid w:val="54AE0C1B"/>
    <w:rsid w:val="54B26601"/>
    <w:rsid w:val="54BC0FE3"/>
    <w:rsid w:val="54C353F5"/>
    <w:rsid w:val="54CB5423"/>
    <w:rsid w:val="54E1147A"/>
    <w:rsid w:val="54FC70BB"/>
    <w:rsid w:val="55006BAB"/>
    <w:rsid w:val="550A5274"/>
    <w:rsid w:val="5513616C"/>
    <w:rsid w:val="551D615A"/>
    <w:rsid w:val="55270314"/>
    <w:rsid w:val="552B1916"/>
    <w:rsid w:val="553C5B31"/>
    <w:rsid w:val="554F7C91"/>
    <w:rsid w:val="55545149"/>
    <w:rsid w:val="555D6F8F"/>
    <w:rsid w:val="557434C0"/>
    <w:rsid w:val="5575575D"/>
    <w:rsid w:val="557C05CE"/>
    <w:rsid w:val="55B35CB5"/>
    <w:rsid w:val="55BB26C2"/>
    <w:rsid w:val="55DE6D99"/>
    <w:rsid w:val="55DF6F34"/>
    <w:rsid w:val="55E205E9"/>
    <w:rsid w:val="55E5166E"/>
    <w:rsid w:val="55ED318E"/>
    <w:rsid w:val="55FE4CC8"/>
    <w:rsid w:val="560E1F50"/>
    <w:rsid w:val="561B6140"/>
    <w:rsid w:val="56261692"/>
    <w:rsid w:val="563B6C42"/>
    <w:rsid w:val="56710658"/>
    <w:rsid w:val="56894DFE"/>
    <w:rsid w:val="568D0913"/>
    <w:rsid w:val="56A832D5"/>
    <w:rsid w:val="56A95021"/>
    <w:rsid w:val="56AB1C34"/>
    <w:rsid w:val="56AD68BF"/>
    <w:rsid w:val="56B42D09"/>
    <w:rsid w:val="56FC4340"/>
    <w:rsid w:val="57034731"/>
    <w:rsid w:val="570E503E"/>
    <w:rsid w:val="5713049E"/>
    <w:rsid w:val="57225F64"/>
    <w:rsid w:val="57332AB8"/>
    <w:rsid w:val="5737507B"/>
    <w:rsid w:val="57424E53"/>
    <w:rsid w:val="5769516C"/>
    <w:rsid w:val="576E5944"/>
    <w:rsid w:val="57DC32D5"/>
    <w:rsid w:val="57DE06E2"/>
    <w:rsid w:val="57E552D3"/>
    <w:rsid w:val="57E81BD8"/>
    <w:rsid w:val="57EC2CCE"/>
    <w:rsid w:val="58007B2A"/>
    <w:rsid w:val="580B2551"/>
    <w:rsid w:val="580E7831"/>
    <w:rsid w:val="58234EBF"/>
    <w:rsid w:val="58365620"/>
    <w:rsid w:val="58543C7C"/>
    <w:rsid w:val="58854FBA"/>
    <w:rsid w:val="58975164"/>
    <w:rsid w:val="58EE3AE1"/>
    <w:rsid w:val="5905360B"/>
    <w:rsid w:val="592528E2"/>
    <w:rsid w:val="593117F2"/>
    <w:rsid w:val="59317F1E"/>
    <w:rsid w:val="593E4BA9"/>
    <w:rsid w:val="5940533C"/>
    <w:rsid w:val="594A507B"/>
    <w:rsid w:val="595345F5"/>
    <w:rsid w:val="59562CEF"/>
    <w:rsid w:val="595A79FA"/>
    <w:rsid w:val="596D7B93"/>
    <w:rsid w:val="596F7F7B"/>
    <w:rsid w:val="597327A5"/>
    <w:rsid w:val="598144D5"/>
    <w:rsid w:val="59821704"/>
    <w:rsid w:val="598E4F31"/>
    <w:rsid w:val="599F00FF"/>
    <w:rsid w:val="59B1353F"/>
    <w:rsid w:val="59B170DD"/>
    <w:rsid w:val="59BF38F6"/>
    <w:rsid w:val="59CE67F7"/>
    <w:rsid w:val="59D06180"/>
    <w:rsid w:val="5A5431C8"/>
    <w:rsid w:val="5A701F9B"/>
    <w:rsid w:val="5A7C056C"/>
    <w:rsid w:val="5A7C2E95"/>
    <w:rsid w:val="5A890449"/>
    <w:rsid w:val="5A8F5CA9"/>
    <w:rsid w:val="5AB74AC1"/>
    <w:rsid w:val="5AC6704D"/>
    <w:rsid w:val="5ACC462E"/>
    <w:rsid w:val="5AD37D67"/>
    <w:rsid w:val="5AD5075F"/>
    <w:rsid w:val="5AE553B6"/>
    <w:rsid w:val="5AEA68E2"/>
    <w:rsid w:val="5AEE7F15"/>
    <w:rsid w:val="5AF2343A"/>
    <w:rsid w:val="5B0551E6"/>
    <w:rsid w:val="5B222E79"/>
    <w:rsid w:val="5B2757EE"/>
    <w:rsid w:val="5B2E3467"/>
    <w:rsid w:val="5B3323FF"/>
    <w:rsid w:val="5B3D3F8A"/>
    <w:rsid w:val="5B561DDB"/>
    <w:rsid w:val="5B74073A"/>
    <w:rsid w:val="5B793E2C"/>
    <w:rsid w:val="5B7D7F3E"/>
    <w:rsid w:val="5BA8728C"/>
    <w:rsid w:val="5BC65050"/>
    <w:rsid w:val="5BDB6200"/>
    <w:rsid w:val="5BE80583"/>
    <w:rsid w:val="5BEB7D34"/>
    <w:rsid w:val="5BF208EF"/>
    <w:rsid w:val="5BF54169"/>
    <w:rsid w:val="5C081842"/>
    <w:rsid w:val="5C182E4B"/>
    <w:rsid w:val="5C1A7442"/>
    <w:rsid w:val="5C1F5246"/>
    <w:rsid w:val="5C237A23"/>
    <w:rsid w:val="5C3A0D86"/>
    <w:rsid w:val="5C3D050A"/>
    <w:rsid w:val="5C53307B"/>
    <w:rsid w:val="5C591736"/>
    <w:rsid w:val="5C846972"/>
    <w:rsid w:val="5C9072BC"/>
    <w:rsid w:val="5CA21D54"/>
    <w:rsid w:val="5CA245CF"/>
    <w:rsid w:val="5CA42512"/>
    <w:rsid w:val="5CAF1FC3"/>
    <w:rsid w:val="5CD74EA7"/>
    <w:rsid w:val="5CDB35F4"/>
    <w:rsid w:val="5CDE354F"/>
    <w:rsid w:val="5D050A3B"/>
    <w:rsid w:val="5D186267"/>
    <w:rsid w:val="5D1F427D"/>
    <w:rsid w:val="5D21156D"/>
    <w:rsid w:val="5D2203A1"/>
    <w:rsid w:val="5D300DE3"/>
    <w:rsid w:val="5D562A34"/>
    <w:rsid w:val="5D5E4DB7"/>
    <w:rsid w:val="5D600B2F"/>
    <w:rsid w:val="5D605D53"/>
    <w:rsid w:val="5D73281C"/>
    <w:rsid w:val="5D8F68E6"/>
    <w:rsid w:val="5D972077"/>
    <w:rsid w:val="5DB8670A"/>
    <w:rsid w:val="5DC80BA6"/>
    <w:rsid w:val="5DCB625E"/>
    <w:rsid w:val="5DD60634"/>
    <w:rsid w:val="5DDB2FE9"/>
    <w:rsid w:val="5E0F4E7B"/>
    <w:rsid w:val="5E194310"/>
    <w:rsid w:val="5E1976D7"/>
    <w:rsid w:val="5E3064F5"/>
    <w:rsid w:val="5E367CE7"/>
    <w:rsid w:val="5E392E36"/>
    <w:rsid w:val="5E40048F"/>
    <w:rsid w:val="5E403DC9"/>
    <w:rsid w:val="5E427AA4"/>
    <w:rsid w:val="5EA55DC0"/>
    <w:rsid w:val="5EB923F5"/>
    <w:rsid w:val="5EC71BDC"/>
    <w:rsid w:val="5EE276D6"/>
    <w:rsid w:val="5EE87362"/>
    <w:rsid w:val="5EF95790"/>
    <w:rsid w:val="5EFD0599"/>
    <w:rsid w:val="5F08270F"/>
    <w:rsid w:val="5F0B4ACB"/>
    <w:rsid w:val="5F0E0F1B"/>
    <w:rsid w:val="5F135149"/>
    <w:rsid w:val="5F226C6C"/>
    <w:rsid w:val="5F332517"/>
    <w:rsid w:val="5F4024C7"/>
    <w:rsid w:val="5F406F3A"/>
    <w:rsid w:val="5F4A0205"/>
    <w:rsid w:val="5F577D10"/>
    <w:rsid w:val="5F615DBF"/>
    <w:rsid w:val="5F7961DA"/>
    <w:rsid w:val="5F7B62B6"/>
    <w:rsid w:val="5F8E22D8"/>
    <w:rsid w:val="5FAF11DB"/>
    <w:rsid w:val="5FBF4DAF"/>
    <w:rsid w:val="5FC47297"/>
    <w:rsid w:val="5FCB78EA"/>
    <w:rsid w:val="5FCC1A2C"/>
    <w:rsid w:val="5FE93EFB"/>
    <w:rsid w:val="5FED2A52"/>
    <w:rsid w:val="5FF12D92"/>
    <w:rsid w:val="601002A6"/>
    <w:rsid w:val="601960A0"/>
    <w:rsid w:val="602C6C6B"/>
    <w:rsid w:val="6031303A"/>
    <w:rsid w:val="6047232D"/>
    <w:rsid w:val="604B29CD"/>
    <w:rsid w:val="6085265B"/>
    <w:rsid w:val="608F5287"/>
    <w:rsid w:val="6090590B"/>
    <w:rsid w:val="60C3622F"/>
    <w:rsid w:val="6121194C"/>
    <w:rsid w:val="614837C2"/>
    <w:rsid w:val="615C0FD6"/>
    <w:rsid w:val="61684CDD"/>
    <w:rsid w:val="616C7377"/>
    <w:rsid w:val="61717367"/>
    <w:rsid w:val="61823001"/>
    <w:rsid w:val="61AE7F77"/>
    <w:rsid w:val="61C73796"/>
    <w:rsid w:val="61E34380"/>
    <w:rsid w:val="61E7515F"/>
    <w:rsid w:val="61E965EB"/>
    <w:rsid w:val="61EF281C"/>
    <w:rsid w:val="61FB1AA3"/>
    <w:rsid w:val="620128FF"/>
    <w:rsid w:val="62292B1A"/>
    <w:rsid w:val="6231189F"/>
    <w:rsid w:val="62361C6D"/>
    <w:rsid w:val="623911DB"/>
    <w:rsid w:val="624337C3"/>
    <w:rsid w:val="6261221A"/>
    <w:rsid w:val="626F3025"/>
    <w:rsid w:val="628F74D3"/>
    <w:rsid w:val="62A95999"/>
    <w:rsid w:val="62AD3A84"/>
    <w:rsid w:val="62AF0F76"/>
    <w:rsid w:val="62B93A82"/>
    <w:rsid w:val="62BD10F2"/>
    <w:rsid w:val="62D25870"/>
    <w:rsid w:val="62F70A86"/>
    <w:rsid w:val="63027431"/>
    <w:rsid w:val="63030A29"/>
    <w:rsid w:val="63043558"/>
    <w:rsid w:val="630563F5"/>
    <w:rsid w:val="6333639E"/>
    <w:rsid w:val="63440380"/>
    <w:rsid w:val="636974EE"/>
    <w:rsid w:val="637D1D0F"/>
    <w:rsid w:val="63812CCC"/>
    <w:rsid w:val="63983B8A"/>
    <w:rsid w:val="639C11A0"/>
    <w:rsid w:val="63A863BA"/>
    <w:rsid w:val="63A965BD"/>
    <w:rsid w:val="63AF4CD9"/>
    <w:rsid w:val="63DC07E4"/>
    <w:rsid w:val="63DD7CD9"/>
    <w:rsid w:val="63FA10A9"/>
    <w:rsid w:val="6408372F"/>
    <w:rsid w:val="640969D1"/>
    <w:rsid w:val="64144725"/>
    <w:rsid w:val="64372311"/>
    <w:rsid w:val="64855F7A"/>
    <w:rsid w:val="6497641A"/>
    <w:rsid w:val="64A20FB0"/>
    <w:rsid w:val="64B11DE4"/>
    <w:rsid w:val="64BF21FF"/>
    <w:rsid w:val="64C319A4"/>
    <w:rsid w:val="64C55453"/>
    <w:rsid w:val="64DC14B6"/>
    <w:rsid w:val="64DD45CE"/>
    <w:rsid w:val="64E57979"/>
    <w:rsid w:val="64E651BC"/>
    <w:rsid w:val="64E81E3E"/>
    <w:rsid w:val="650544F8"/>
    <w:rsid w:val="650A007B"/>
    <w:rsid w:val="65114073"/>
    <w:rsid w:val="65271F32"/>
    <w:rsid w:val="65294ADB"/>
    <w:rsid w:val="65564780"/>
    <w:rsid w:val="655A3CA6"/>
    <w:rsid w:val="655C1853"/>
    <w:rsid w:val="658D3FB1"/>
    <w:rsid w:val="65944DA9"/>
    <w:rsid w:val="65D86A5F"/>
    <w:rsid w:val="65E53207"/>
    <w:rsid w:val="65EC5574"/>
    <w:rsid w:val="65EE3D1D"/>
    <w:rsid w:val="660439E3"/>
    <w:rsid w:val="66086543"/>
    <w:rsid w:val="661970C4"/>
    <w:rsid w:val="661A0862"/>
    <w:rsid w:val="661A5E50"/>
    <w:rsid w:val="66345B9E"/>
    <w:rsid w:val="663E13F2"/>
    <w:rsid w:val="6641294E"/>
    <w:rsid w:val="66451F8A"/>
    <w:rsid w:val="66601C37"/>
    <w:rsid w:val="66724061"/>
    <w:rsid w:val="66745A8F"/>
    <w:rsid w:val="66817685"/>
    <w:rsid w:val="66C60E67"/>
    <w:rsid w:val="66EE3B95"/>
    <w:rsid w:val="66F20D2E"/>
    <w:rsid w:val="67025560"/>
    <w:rsid w:val="671865AB"/>
    <w:rsid w:val="671A1F71"/>
    <w:rsid w:val="672A482D"/>
    <w:rsid w:val="673D0F17"/>
    <w:rsid w:val="674813E2"/>
    <w:rsid w:val="676E1574"/>
    <w:rsid w:val="6770303D"/>
    <w:rsid w:val="67712437"/>
    <w:rsid w:val="67774759"/>
    <w:rsid w:val="67830B9B"/>
    <w:rsid w:val="679D4AE2"/>
    <w:rsid w:val="67BF0565"/>
    <w:rsid w:val="67D8540F"/>
    <w:rsid w:val="67E94919"/>
    <w:rsid w:val="67F24A29"/>
    <w:rsid w:val="6828778C"/>
    <w:rsid w:val="68431B79"/>
    <w:rsid w:val="684A14C0"/>
    <w:rsid w:val="68656D1C"/>
    <w:rsid w:val="68687298"/>
    <w:rsid w:val="686E4E9E"/>
    <w:rsid w:val="686E4F86"/>
    <w:rsid w:val="687A3955"/>
    <w:rsid w:val="689367C6"/>
    <w:rsid w:val="68AD1B57"/>
    <w:rsid w:val="68BA4E6C"/>
    <w:rsid w:val="68D359E0"/>
    <w:rsid w:val="68E501D7"/>
    <w:rsid w:val="68EB669F"/>
    <w:rsid w:val="68F27CB8"/>
    <w:rsid w:val="68F8473A"/>
    <w:rsid w:val="68FD474A"/>
    <w:rsid w:val="69016050"/>
    <w:rsid w:val="691B603C"/>
    <w:rsid w:val="6949691B"/>
    <w:rsid w:val="694C0422"/>
    <w:rsid w:val="69544C9B"/>
    <w:rsid w:val="69691462"/>
    <w:rsid w:val="69866485"/>
    <w:rsid w:val="699F3AE2"/>
    <w:rsid w:val="69A45FB3"/>
    <w:rsid w:val="69AF39A1"/>
    <w:rsid w:val="69C81DB0"/>
    <w:rsid w:val="69C81E31"/>
    <w:rsid w:val="69CC6140"/>
    <w:rsid w:val="69D10BC4"/>
    <w:rsid w:val="69D15B9B"/>
    <w:rsid w:val="69D40A1B"/>
    <w:rsid w:val="69DD380C"/>
    <w:rsid w:val="69FA22EA"/>
    <w:rsid w:val="6A0A11F5"/>
    <w:rsid w:val="6A0D631B"/>
    <w:rsid w:val="6A117DA5"/>
    <w:rsid w:val="6A306AAF"/>
    <w:rsid w:val="6A443193"/>
    <w:rsid w:val="6A535ED7"/>
    <w:rsid w:val="6A584B49"/>
    <w:rsid w:val="6A6041B6"/>
    <w:rsid w:val="6A620AE5"/>
    <w:rsid w:val="6A6B3E6D"/>
    <w:rsid w:val="6A7B02CF"/>
    <w:rsid w:val="6A823E5A"/>
    <w:rsid w:val="6A996D12"/>
    <w:rsid w:val="6AAA2146"/>
    <w:rsid w:val="6AAD095B"/>
    <w:rsid w:val="6AB93F9D"/>
    <w:rsid w:val="6AC10AA8"/>
    <w:rsid w:val="6B001234"/>
    <w:rsid w:val="6B1C3C5B"/>
    <w:rsid w:val="6B1F3E2C"/>
    <w:rsid w:val="6B3564A5"/>
    <w:rsid w:val="6B37023D"/>
    <w:rsid w:val="6B37264F"/>
    <w:rsid w:val="6B4A43CC"/>
    <w:rsid w:val="6B4D0E19"/>
    <w:rsid w:val="6B52762A"/>
    <w:rsid w:val="6B5348A1"/>
    <w:rsid w:val="6B5513D6"/>
    <w:rsid w:val="6B5A6718"/>
    <w:rsid w:val="6B751E54"/>
    <w:rsid w:val="6B7860E4"/>
    <w:rsid w:val="6B9227F7"/>
    <w:rsid w:val="6B955056"/>
    <w:rsid w:val="6BAC674F"/>
    <w:rsid w:val="6BC905D3"/>
    <w:rsid w:val="6BCB0BB2"/>
    <w:rsid w:val="6BDD3C18"/>
    <w:rsid w:val="6BE32CB0"/>
    <w:rsid w:val="6BE83187"/>
    <w:rsid w:val="6C057F10"/>
    <w:rsid w:val="6C364BA1"/>
    <w:rsid w:val="6C49118C"/>
    <w:rsid w:val="6C671A5B"/>
    <w:rsid w:val="6C8111A3"/>
    <w:rsid w:val="6CA5044B"/>
    <w:rsid w:val="6CA5521B"/>
    <w:rsid w:val="6CA84C37"/>
    <w:rsid w:val="6CAF6EB8"/>
    <w:rsid w:val="6CB15115"/>
    <w:rsid w:val="6CBC7B25"/>
    <w:rsid w:val="6CDA5ADC"/>
    <w:rsid w:val="6CE43E65"/>
    <w:rsid w:val="6CF91514"/>
    <w:rsid w:val="6CFA1CDB"/>
    <w:rsid w:val="6D374438"/>
    <w:rsid w:val="6D415859"/>
    <w:rsid w:val="6D574F13"/>
    <w:rsid w:val="6D62039C"/>
    <w:rsid w:val="6D62749B"/>
    <w:rsid w:val="6D632B13"/>
    <w:rsid w:val="6D681F39"/>
    <w:rsid w:val="6D7556B9"/>
    <w:rsid w:val="6D864075"/>
    <w:rsid w:val="6D891106"/>
    <w:rsid w:val="6DA96BFB"/>
    <w:rsid w:val="6DDA2674"/>
    <w:rsid w:val="6DDC1011"/>
    <w:rsid w:val="6DE44E65"/>
    <w:rsid w:val="6E10454B"/>
    <w:rsid w:val="6E332ACF"/>
    <w:rsid w:val="6E384EB0"/>
    <w:rsid w:val="6E5E0373"/>
    <w:rsid w:val="6E6B4672"/>
    <w:rsid w:val="6EA2495E"/>
    <w:rsid w:val="6EBE3B72"/>
    <w:rsid w:val="6EDD3C41"/>
    <w:rsid w:val="6EE62BD5"/>
    <w:rsid w:val="6EE679B3"/>
    <w:rsid w:val="6EF00E20"/>
    <w:rsid w:val="6EF5262D"/>
    <w:rsid w:val="6F1569D7"/>
    <w:rsid w:val="6F237031"/>
    <w:rsid w:val="6F253D76"/>
    <w:rsid w:val="6F5F4109"/>
    <w:rsid w:val="6F7A69AF"/>
    <w:rsid w:val="6F824FED"/>
    <w:rsid w:val="6F8A2115"/>
    <w:rsid w:val="6F9A1C85"/>
    <w:rsid w:val="6FBB1C9F"/>
    <w:rsid w:val="6FC7174D"/>
    <w:rsid w:val="6FCA0F7C"/>
    <w:rsid w:val="6FD94AA0"/>
    <w:rsid w:val="70062781"/>
    <w:rsid w:val="700C7167"/>
    <w:rsid w:val="7010071E"/>
    <w:rsid w:val="7020098E"/>
    <w:rsid w:val="70341F52"/>
    <w:rsid w:val="703E130A"/>
    <w:rsid w:val="70484422"/>
    <w:rsid w:val="704B09BA"/>
    <w:rsid w:val="7054227B"/>
    <w:rsid w:val="708E262D"/>
    <w:rsid w:val="70982FD8"/>
    <w:rsid w:val="70B3258B"/>
    <w:rsid w:val="70B968F1"/>
    <w:rsid w:val="70CA6520"/>
    <w:rsid w:val="70E944BF"/>
    <w:rsid w:val="70FD7066"/>
    <w:rsid w:val="70FE3CCF"/>
    <w:rsid w:val="71084B14"/>
    <w:rsid w:val="711A5774"/>
    <w:rsid w:val="711E3639"/>
    <w:rsid w:val="712936CB"/>
    <w:rsid w:val="713174E3"/>
    <w:rsid w:val="71394FC5"/>
    <w:rsid w:val="71396BB9"/>
    <w:rsid w:val="714722CA"/>
    <w:rsid w:val="71521EAA"/>
    <w:rsid w:val="718117A3"/>
    <w:rsid w:val="71883B29"/>
    <w:rsid w:val="718A6301"/>
    <w:rsid w:val="71A549E3"/>
    <w:rsid w:val="71B133FE"/>
    <w:rsid w:val="71C95406"/>
    <w:rsid w:val="71DB20DB"/>
    <w:rsid w:val="71E371E1"/>
    <w:rsid w:val="71F244C8"/>
    <w:rsid w:val="720C7780"/>
    <w:rsid w:val="72286F4E"/>
    <w:rsid w:val="72407578"/>
    <w:rsid w:val="7242507F"/>
    <w:rsid w:val="725105EF"/>
    <w:rsid w:val="72652999"/>
    <w:rsid w:val="728310F7"/>
    <w:rsid w:val="729146E8"/>
    <w:rsid w:val="72A3430C"/>
    <w:rsid w:val="72AD0CF5"/>
    <w:rsid w:val="72BB31CB"/>
    <w:rsid w:val="72C139C6"/>
    <w:rsid w:val="72C35FA8"/>
    <w:rsid w:val="72DE706D"/>
    <w:rsid w:val="72E8232C"/>
    <w:rsid w:val="72F17EE3"/>
    <w:rsid w:val="72F56D44"/>
    <w:rsid w:val="72FA5B9A"/>
    <w:rsid w:val="72FE66BB"/>
    <w:rsid w:val="730A2636"/>
    <w:rsid w:val="730C68BF"/>
    <w:rsid w:val="73123A7E"/>
    <w:rsid w:val="73173571"/>
    <w:rsid w:val="731A4FDC"/>
    <w:rsid w:val="731C7EC5"/>
    <w:rsid w:val="73246FA0"/>
    <w:rsid w:val="73317B2E"/>
    <w:rsid w:val="733B0AEA"/>
    <w:rsid w:val="73467A28"/>
    <w:rsid w:val="73590041"/>
    <w:rsid w:val="73910243"/>
    <w:rsid w:val="73940CE2"/>
    <w:rsid w:val="739F7061"/>
    <w:rsid w:val="739F7659"/>
    <w:rsid w:val="73AD71E7"/>
    <w:rsid w:val="73B4049A"/>
    <w:rsid w:val="73C06362"/>
    <w:rsid w:val="73EA428E"/>
    <w:rsid w:val="741473C6"/>
    <w:rsid w:val="74273CFD"/>
    <w:rsid w:val="74367A9C"/>
    <w:rsid w:val="744B69DC"/>
    <w:rsid w:val="7450280B"/>
    <w:rsid w:val="746415FA"/>
    <w:rsid w:val="746B45E3"/>
    <w:rsid w:val="74710E44"/>
    <w:rsid w:val="747C589E"/>
    <w:rsid w:val="74A40E40"/>
    <w:rsid w:val="74A82608"/>
    <w:rsid w:val="74B006E6"/>
    <w:rsid w:val="74B9533A"/>
    <w:rsid w:val="74BE6681"/>
    <w:rsid w:val="74C0168B"/>
    <w:rsid w:val="74C566D2"/>
    <w:rsid w:val="74DA0DD0"/>
    <w:rsid w:val="74EB5385"/>
    <w:rsid w:val="74F1252A"/>
    <w:rsid w:val="74F2329E"/>
    <w:rsid w:val="75012EDD"/>
    <w:rsid w:val="750F13F3"/>
    <w:rsid w:val="7515258E"/>
    <w:rsid w:val="7530095B"/>
    <w:rsid w:val="753317C0"/>
    <w:rsid w:val="75385A96"/>
    <w:rsid w:val="753D13A2"/>
    <w:rsid w:val="75446243"/>
    <w:rsid w:val="75614FED"/>
    <w:rsid w:val="756152C1"/>
    <w:rsid w:val="75722AEB"/>
    <w:rsid w:val="75771785"/>
    <w:rsid w:val="757E3D87"/>
    <w:rsid w:val="75894376"/>
    <w:rsid w:val="758F4FDF"/>
    <w:rsid w:val="75913878"/>
    <w:rsid w:val="75A1559F"/>
    <w:rsid w:val="75A21FAA"/>
    <w:rsid w:val="75B569F2"/>
    <w:rsid w:val="75CA028F"/>
    <w:rsid w:val="75CB399A"/>
    <w:rsid w:val="75D37D03"/>
    <w:rsid w:val="75DC2154"/>
    <w:rsid w:val="75E605FD"/>
    <w:rsid w:val="75F51EC8"/>
    <w:rsid w:val="760466F8"/>
    <w:rsid w:val="76101300"/>
    <w:rsid w:val="76322C84"/>
    <w:rsid w:val="76324F14"/>
    <w:rsid w:val="76334D86"/>
    <w:rsid w:val="764011CA"/>
    <w:rsid w:val="764F76DA"/>
    <w:rsid w:val="765C68EA"/>
    <w:rsid w:val="76845500"/>
    <w:rsid w:val="768B23FF"/>
    <w:rsid w:val="76913A89"/>
    <w:rsid w:val="769A27BA"/>
    <w:rsid w:val="76A210DA"/>
    <w:rsid w:val="76A639EC"/>
    <w:rsid w:val="76AB5B2E"/>
    <w:rsid w:val="76AC65AC"/>
    <w:rsid w:val="76CA78A5"/>
    <w:rsid w:val="76D91135"/>
    <w:rsid w:val="76D918D0"/>
    <w:rsid w:val="771B0DA8"/>
    <w:rsid w:val="77365933"/>
    <w:rsid w:val="773834D8"/>
    <w:rsid w:val="773B60F3"/>
    <w:rsid w:val="77457C9A"/>
    <w:rsid w:val="774A66E1"/>
    <w:rsid w:val="775C16CC"/>
    <w:rsid w:val="77607E56"/>
    <w:rsid w:val="77671AC3"/>
    <w:rsid w:val="776B4E53"/>
    <w:rsid w:val="779459EF"/>
    <w:rsid w:val="779505C3"/>
    <w:rsid w:val="779B2CD1"/>
    <w:rsid w:val="779D3ACF"/>
    <w:rsid w:val="784339E5"/>
    <w:rsid w:val="78495BBE"/>
    <w:rsid w:val="78497340"/>
    <w:rsid w:val="785B7B66"/>
    <w:rsid w:val="78604A5B"/>
    <w:rsid w:val="7862181D"/>
    <w:rsid w:val="78714734"/>
    <w:rsid w:val="787E14CD"/>
    <w:rsid w:val="78886A99"/>
    <w:rsid w:val="78A20677"/>
    <w:rsid w:val="78A75BD8"/>
    <w:rsid w:val="78AF307A"/>
    <w:rsid w:val="78B04F10"/>
    <w:rsid w:val="78C7785D"/>
    <w:rsid w:val="78DB1ACA"/>
    <w:rsid w:val="78E068EC"/>
    <w:rsid w:val="790E5BFE"/>
    <w:rsid w:val="79132AA4"/>
    <w:rsid w:val="79365445"/>
    <w:rsid w:val="796176E2"/>
    <w:rsid w:val="79723F4E"/>
    <w:rsid w:val="79A37483"/>
    <w:rsid w:val="79A77162"/>
    <w:rsid w:val="79B0391D"/>
    <w:rsid w:val="79B12152"/>
    <w:rsid w:val="79B36DB2"/>
    <w:rsid w:val="79B43DA3"/>
    <w:rsid w:val="79C84DBA"/>
    <w:rsid w:val="79D05D84"/>
    <w:rsid w:val="79EA4648"/>
    <w:rsid w:val="7A073279"/>
    <w:rsid w:val="7A0D54C3"/>
    <w:rsid w:val="7A4330BF"/>
    <w:rsid w:val="7A436D07"/>
    <w:rsid w:val="7A4F153B"/>
    <w:rsid w:val="7A5659D3"/>
    <w:rsid w:val="7A602C55"/>
    <w:rsid w:val="7A6B3E1F"/>
    <w:rsid w:val="7A6C4841"/>
    <w:rsid w:val="7A6D38AD"/>
    <w:rsid w:val="7A6F6CBE"/>
    <w:rsid w:val="7A762627"/>
    <w:rsid w:val="7A7E7F1B"/>
    <w:rsid w:val="7A805AAF"/>
    <w:rsid w:val="7AD434DF"/>
    <w:rsid w:val="7AD47D3F"/>
    <w:rsid w:val="7AE2097E"/>
    <w:rsid w:val="7AE279A5"/>
    <w:rsid w:val="7AEC521B"/>
    <w:rsid w:val="7B1066C6"/>
    <w:rsid w:val="7B221D76"/>
    <w:rsid w:val="7B2E7EAB"/>
    <w:rsid w:val="7B385861"/>
    <w:rsid w:val="7B56094F"/>
    <w:rsid w:val="7B8C31E4"/>
    <w:rsid w:val="7B93585A"/>
    <w:rsid w:val="7B9463F7"/>
    <w:rsid w:val="7BAB6FC2"/>
    <w:rsid w:val="7BBF3F22"/>
    <w:rsid w:val="7BCD7556"/>
    <w:rsid w:val="7BE60972"/>
    <w:rsid w:val="7C047DF4"/>
    <w:rsid w:val="7C142A47"/>
    <w:rsid w:val="7C192ED8"/>
    <w:rsid w:val="7C240323"/>
    <w:rsid w:val="7C266B5A"/>
    <w:rsid w:val="7C35577D"/>
    <w:rsid w:val="7C48474A"/>
    <w:rsid w:val="7C874AEE"/>
    <w:rsid w:val="7C887828"/>
    <w:rsid w:val="7C8C7BB6"/>
    <w:rsid w:val="7CB40833"/>
    <w:rsid w:val="7D0D1D47"/>
    <w:rsid w:val="7D0D7808"/>
    <w:rsid w:val="7D123FC0"/>
    <w:rsid w:val="7D226A95"/>
    <w:rsid w:val="7D2D222C"/>
    <w:rsid w:val="7D381051"/>
    <w:rsid w:val="7D496A92"/>
    <w:rsid w:val="7D8241BF"/>
    <w:rsid w:val="7D84412B"/>
    <w:rsid w:val="7D845D1C"/>
    <w:rsid w:val="7D847ACA"/>
    <w:rsid w:val="7D8E20A5"/>
    <w:rsid w:val="7DA21751"/>
    <w:rsid w:val="7DAB4188"/>
    <w:rsid w:val="7DB053BF"/>
    <w:rsid w:val="7DBF4FA6"/>
    <w:rsid w:val="7DE04A51"/>
    <w:rsid w:val="7E1574CC"/>
    <w:rsid w:val="7E194BE8"/>
    <w:rsid w:val="7E1F66FB"/>
    <w:rsid w:val="7E206A24"/>
    <w:rsid w:val="7E3822AA"/>
    <w:rsid w:val="7E5131B9"/>
    <w:rsid w:val="7E5D3701"/>
    <w:rsid w:val="7E7C4448"/>
    <w:rsid w:val="7E7C69F3"/>
    <w:rsid w:val="7E8446E8"/>
    <w:rsid w:val="7E851B39"/>
    <w:rsid w:val="7E864C9C"/>
    <w:rsid w:val="7E955F11"/>
    <w:rsid w:val="7EB504A9"/>
    <w:rsid w:val="7EBF426D"/>
    <w:rsid w:val="7EC16AFC"/>
    <w:rsid w:val="7EC63253"/>
    <w:rsid w:val="7EDE0265"/>
    <w:rsid w:val="7EF44905"/>
    <w:rsid w:val="7EF77C14"/>
    <w:rsid w:val="7F1101E8"/>
    <w:rsid w:val="7F5740BF"/>
    <w:rsid w:val="7F6A7BE3"/>
    <w:rsid w:val="7F6E546B"/>
    <w:rsid w:val="7F77133E"/>
    <w:rsid w:val="7F7F5AC1"/>
    <w:rsid w:val="7F9006CF"/>
    <w:rsid w:val="7F964EDC"/>
    <w:rsid w:val="7FAB4720"/>
    <w:rsid w:val="7FC03B42"/>
    <w:rsid w:val="7FE74771"/>
    <w:rsid w:val="7FEC5D56"/>
    <w:rsid w:val="7FFE1C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2"/>
    <w:autoRedefine/>
    <w:qFormat/>
    <w:uiPriority w:val="0"/>
    <w:pPr>
      <w:keepNext/>
      <w:keepLines/>
      <w:spacing w:before="340" w:after="330" w:line="578" w:lineRule="auto"/>
      <w:outlineLvl w:val="0"/>
    </w:pPr>
    <w:rPr>
      <w:b/>
      <w:bCs/>
      <w:kern w:val="44"/>
      <w:sz w:val="44"/>
      <w:szCs w:val="44"/>
    </w:rPr>
  </w:style>
  <w:style w:type="paragraph" w:styleId="4">
    <w:name w:val="heading 2"/>
    <w:basedOn w:val="1"/>
    <w:link w:val="68"/>
    <w:autoRedefine/>
    <w:qFormat/>
    <w:uiPriority w:val="0"/>
    <w:pPr>
      <w:keepNext/>
      <w:keepLines/>
      <w:adjustRightInd w:val="0"/>
      <w:spacing w:before="260" w:after="260" w:line="416" w:lineRule="atLeast"/>
      <w:ind w:left="363" w:firstLine="177"/>
      <w:jc w:val="left"/>
      <w:textAlignment w:val="baseline"/>
      <w:outlineLvl w:val="1"/>
    </w:pPr>
    <w:rPr>
      <w:rFonts w:ascii="Arial" w:hAnsi="Arial" w:eastAsia="黑体"/>
      <w:b/>
      <w:bCs/>
      <w:kern w:val="0"/>
      <w:sz w:val="32"/>
      <w:szCs w:val="32"/>
    </w:rPr>
  </w:style>
  <w:style w:type="paragraph" w:styleId="5">
    <w:name w:val="heading 3"/>
    <w:basedOn w:val="1"/>
    <w:next w:val="1"/>
    <w:link w:val="75"/>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widowControl w:val="0"/>
      <w:spacing w:before="280" w:beforeLines="0" w:after="290" w:afterLines="0" w:line="372" w:lineRule="auto"/>
      <w:jc w:val="both"/>
      <w:outlineLvl w:val="3"/>
    </w:pPr>
    <w:rPr>
      <w:rFonts w:ascii="Cambria" w:hAnsi="Cambria" w:eastAsia="宋体" w:cs="Times New Roman"/>
      <w:b/>
      <w:bCs/>
      <w:kern w:val="2"/>
      <w:sz w:val="28"/>
      <w:szCs w:val="28"/>
      <w:lang w:val="en-US" w:eastAsia="zh-CN" w:bidi="ar-SA"/>
    </w:rPr>
  </w:style>
  <w:style w:type="paragraph" w:styleId="7">
    <w:name w:val="heading 5"/>
    <w:basedOn w:val="1"/>
    <w:next w:val="1"/>
    <w:autoRedefine/>
    <w:qFormat/>
    <w:uiPriority w:val="0"/>
    <w:pPr>
      <w:keepNext/>
      <w:keepLines/>
      <w:widowControl w:val="0"/>
      <w:spacing w:before="280" w:beforeLines="0" w:after="290" w:afterLines="0" w:line="372" w:lineRule="auto"/>
      <w:jc w:val="both"/>
      <w:outlineLvl w:val="4"/>
    </w:pPr>
    <w:rPr>
      <w:rFonts w:ascii="Calibri" w:hAnsi="Calibri" w:eastAsia="宋体" w:cs="Times New Roman"/>
      <w:b/>
      <w:bCs/>
      <w:kern w:val="2"/>
      <w:sz w:val="28"/>
      <w:szCs w:val="28"/>
      <w:lang w:val="en-US" w:eastAsia="zh-CN" w:bidi="ar-SA"/>
    </w:rPr>
  </w:style>
  <w:style w:type="paragraph" w:styleId="8">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35">
    <w:name w:val="Default Paragraph Font"/>
    <w:autoRedefine/>
    <w:unhideWhenUsed/>
    <w:qFormat/>
    <w:uiPriority w:val="1"/>
  </w:style>
  <w:style w:type="table" w:default="1" w:styleId="33">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autoRedefine/>
    <w:qFormat/>
    <w:uiPriority w:val="99"/>
    <w:pPr>
      <w:ind w:left="420" w:leftChars="200"/>
    </w:pPr>
  </w:style>
  <w:style w:type="paragraph" w:styleId="9">
    <w:name w:val="Normal Indent"/>
    <w:basedOn w:val="1"/>
    <w:autoRedefine/>
    <w:unhideWhenUsed/>
    <w:qFormat/>
    <w:uiPriority w:val="99"/>
    <w:pPr>
      <w:ind w:firstLine="420" w:firstLineChars="200"/>
    </w:pPr>
  </w:style>
  <w:style w:type="paragraph" w:styleId="10">
    <w:name w:val="toa heading"/>
    <w:basedOn w:val="1"/>
    <w:next w:val="1"/>
    <w:autoRedefine/>
    <w:qFormat/>
    <w:uiPriority w:val="0"/>
    <w:pPr>
      <w:adjustRightInd/>
      <w:spacing w:before="120" w:line="240" w:lineRule="auto"/>
      <w:jc w:val="both"/>
      <w:textAlignment w:val="auto"/>
    </w:pPr>
    <w:rPr>
      <w:rFonts w:ascii="Arial" w:hAnsi="Arial" w:cs="Arial"/>
      <w:kern w:val="2"/>
      <w:szCs w:val="24"/>
    </w:rPr>
  </w:style>
  <w:style w:type="paragraph" w:styleId="11">
    <w:name w:val="annotation text"/>
    <w:basedOn w:val="1"/>
    <w:link w:val="81"/>
    <w:autoRedefine/>
    <w:qFormat/>
    <w:uiPriority w:val="99"/>
    <w:pPr>
      <w:jc w:val="left"/>
    </w:pPr>
  </w:style>
  <w:style w:type="paragraph" w:styleId="12">
    <w:name w:val="Body Text"/>
    <w:basedOn w:val="1"/>
    <w:next w:val="1"/>
    <w:autoRedefine/>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13">
    <w:name w:val="Body Text Indent"/>
    <w:basedOn w:val="1"/>
    <w:link w:val="67"/>
    <w:autoRedefine/>
    <w:unhideWhenUsed/>
    <w:qFormat/>
    <w:uiPriority w:val="99"/>
    <w:pPr>
      <w:spacing w:line="540" w:lineRule="exact"/>
      <w:ind w:firstLine="640" w:firstLineChars="200"/>
    </w:pPr>
    <w:rPr>
      <w:sz w:val="32"/>
    </w:rPr>
  </w:style>
  <w:style w:type="paragraph" w:styleId="14">
    <w:name w:val="toc 5"/>
    <w:basedOn w:val="1"/>
    <w:next w:val="1"/>
    <w:autoRedefine/>
    <w:qFormat/>
    <w:uiPriority w:val="0"/>
    <w:pPr>
      <w:widowControl w:val="0"/>
      <w:tabs>
        <w:tab w:val="right" w:leader="dot" w:pos="8296"/>
      </w:tabs>
      <w:ind w:left="1050" w:leftChars="500"/>
      <w:jc w:val="both"/>
    </w:pPr>
    <w:rPr>
      <w:rFonts w:ascii="Calibri" w:hAnsi="Calibri" w:eastAsia="宋体" w:cs="Times New Roman"/>
      <w:kern w:val="2"/>
      <w:sz w:val="21"/>
      <w:szCs w:val="22"/>
      <w:lang w:val="en-US" w:eastAsia="zh-CN" w:bidi="ar-SA"/>
    </w:rPr>
  </w:style>
  <w:style w:type="paragraph" w:styleId="15">
    <w:name w:val="toc 3"/>
    <w:basedOn w:val="1"/>
    <w:next w:val="1"/>
    <w:autoRedefine/>
    <w:qFormat/>
    <w:uiPriority w:val="0"/>
    <w:pPr>
      <w:ind w:left="840" w:leftChars="400"/>
    </w:pPr>
  </w:style>
  <w:style w:type="paragraph" w:styleId="16">
    <w:name w:val="Plain Text"/>
    <w:basedOn w:val="1"/>
    <w:next w:val="17"/>
    <w:link w:val="80"/>
    <w:autoRedefine/>
    <w:qFormat/>
    <w:uiPriority w:val="0"/>
    <w:rPr>
      <w:rFonts w:ascii="宋体" w:hAnsi="Courier New"/>
      <w:szCs w:val="21"/>
    </w:rPr>
  </w:style>
  <w:style w:type="paragraph" w:styleId="17">
    <w:name w:val="List Number 5"/>
    <w:basedOn w:val="1"/>
    <w:autoRedefine/>
    <w:qFormat/>
    <w:uiPriority w:val="0"/>
    <w:pPr>
      <w:numPr>
        <w:ilvl w:val="0"/>
        <w:numId w:val="1"/>
      </w:numPr>
    </w:pPr>
  </w:style>
  <w:style w:type="paragraph" w:styleId="18">
    <w:name w:val="Date"/>
    <w:basedOn w:val="1"/>
    <w:next w:val="1"/>
    <w:autoRedefine/>
    <w:qFormat/>
    <w:uiPriority w:val="0"/>
    <w:pPr>
      <w:ind w:left="2500" w:leftChars="2500"/>
    </w:pPr>
    <w:rPr>
      <w:rFonts w:eastAsia="楷体_GB2312"/>
      <w:sz w:val="32"/>
      <w:szCs w:val="20"/>
    </w:rPr>
  </w:style>
  <w:style w:type="paragraph" w:styleId="19">
    <w:name w:val="Body Text Indent 2"/>
    <w:basedOn w:val="1"/>
    <w:autoRedefine/>
    <w:qFormat/>
    <w:uiPriority w:val="0"/>
    <w:pPr>
      <w:adjustRightInd w:val="0"/>
      <w:spacing w:line="360" w:lineRule="auto"/>
      <w:ind w:left="200" w:leftChars="200"/>
      <w:textAlignment w:val="baseline"/>
    </w:pPr>
    <w:rPr>
      <w:rFonts w:ascii="Times New Roman" w:hAnsi="Times New Roman"/>
      <w:kern w:val="0"/>
      <w:sz w:val="24"/>
      <w:szCs w:val="24"/>
    </w:rPr>
  </w:style>
  <w:style w:type="paragraph" w:styleId="20">
    <w:name w:val="Balloon Text"/>
    <w:basedOn w:val="1"/>
    <w:link w:val="77"/>
    <w:autoRedefine/>
    <w:qFormat/>
    <w:uiPriority w:val="0"/>
    <w:rPr>
      <w:sz w:val="18"/>
      <w:szCs w:val="18"/>
    </w:rPr>
  </w:style>
  <w:style w:type="paragraph" w:styleId="21">
    <w:name w:val="footer"/>
    <w:basedOn w:val="1"/>
    <w:next w:val="1"/>
    <w:link w:val="74"/>
    <w:autoRedefine/>
    <w:qFormat/>
    <w:uiPriority w:val="0"/>
    <w:pPr>
      <w:tabs>
        <w:tab w:val="center" w:pos="4153"/>
        <w:tab w:val="right" w:pos="8306"/>
      </w:tabs>
      <w:adjustRightInd w:val="0"/>
      <w:snapToGrid w:val="0"/>
      <w:spacing w:line="240" w:lineRule="atLeast"/>
      <w:jc w:val="left"/>
      <w:textAlignment w:val="baseline"/>
    </w:pPr>
    <w:rPr>
      <w:kern w:val="0"/>
      <w:sz w:val="18"/>
      <w:szCs w:val="18"/>
    </w:rPr>
  </w:style>
  <w:style w:type="paragraph" w:styleId="22">
    <w:name w:val="header"/>
    <w:basedOn w:val="1"/>
    <w:link w:val="82"/>
    <w:autoRedefine/>
    <w:qFormat/>
    <w:uiPriority w:val="0"/>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23">
    <w:name w:val="toc 1"/>
    <w:basedOn w:val="1"/>
    <w:next w:val="1"/>
    <w:autoRedefine/>
    <w:qFormat/>
    <w:uiPriority w:val="39"/>
  </w:style>
  <w:style w:type="paragraph" w:styleId="24">
    <w:name w:val="toc 4"/>
    <w:basedOn w:val="1"/>
    <w:next w:val="1"/>
    <w:autoRedefine/>
    <w:qFormat/>
    <w:uiPriority w:val="0"/>
    <w:pPr>
      <w:widowControl w:val="0"/>
      <w:tabs>
        <w:tab w:val="left" w:pos="1890"/>
        <w:tab w:val="right" w:leader="dot" w:pos="8296"/>
      </w:tabs>
      <w:ind w:left="630" w:leftChars="300"/>
      <w:jc w:val="both"/>
    </w:pPr>
    <w:rPr>
      <w:rFonts w:ascii="Calibri" w:hAnsi="Calibri" w:eastAsia="宋体" w:cs="Times New Roman"/>
      <w:kern w:val="2"/>
      <w:sz w:val="21"/>
      <w:szCs w:val="22"/>
      <w:lang w:val="en-US" w:eastAsia="zh-CN" w:bidi="ar-SA"/>
    </w:rPr>
  </w:style>
  <w:style w:type="paragraph" w:styleId="25">
    <w:name w:val="toc 2"/>
    <w:basedOn w:val="1"/>
    <w:next w:val="1"/>
    <w:autoRedefine/>
    <w:qFormat/>
    <w:uiPriority w:val="0"/>
    <w:pPr>
      <w:ind w:left="420" w:leftChars="200"/>
    </w:pPr>
  </w:style>
  <w:style w:type="paragraph" w:styleId="26">
    <w:name w:val="toc 9"/>
    <w:basedOn w:val="1"/>
    <w:next w:val="1"/>
    <w:autoRedefine/>
    <w:qFormat/>
    <w:uiPriority w:val="0"/>
    <w:pPr>
      <w:widowControl w:val="0"/>
      <w:ind w:left="3360" w:leftChars="1600"/>
      <w:jc w:val="both"/>
    </w:pPr>
    <w:rPr>
      <w:rFonts w:ascii="Calibri" w:hAnsi="Calibri" w:eastAsia="宋体" w:cs="Times New Roman"/>
      <w:kern w:val="2"/>
      <w:sz w:val="21"/>
      <w:szCs w:val="22"/>
    </w:rPr>
  </w:style>
  <w:style w:type="paragraph" w:styleId="27">
    <w:name w:val="Body Text 2"/>
    <w:basedOn w:val="1"/>
    <w:next w:val="26"/>
    <w:link w:val="69"/>
    <w:autoRedefine/>
    <w:qFormat/>
    <w:uiPriority w:val="0"/>
    <w:pPr>
      <w:spacing w:after="120" w:line="480" w:lineRule="auto"/>
    </w:pPr>
  </w:style>
  <w:style w:type="paragraph" w:styleId="28">
    <w:name w:val="HTML Preformatted"/>
    <w:basedOn w:val="1"/>
    <w:autoRedefine/>
    <w:semiHidden/>
    <w:qFormat/>
    <w:uiPriority w:val="0"/>
    <w:pPr>
      <w:widowControl/>
      <w:wordWrap w:val="0"/>
      <w:jc w:val="left"/>
    </w:pPr>
  </w:style>
  <w:style w:type="paragraph" w:styleId="29">
    <w:name w:val="Normal (Web)"/>
    <w:basedOn w:val="1"/>
    <w:autoRedefine/>
    <w:qFormat/>
    <w:uiPriority w:val="99"/>
    <w:pPr>
      <w:spacing w:before="100" w:beforeAutospacing="1" w:after="100" w:afterAutospacing="1"/>
      <w:ind w:left="0" w:right="0"/>
      <w:jc w:val="left"/>
    </w:pPr>
    <w:rPr>
      <w:kern w:val="0"/>
      <w:sz w:val="24"/>
      <w:lang w:val="en-US" w:eastAsia="zh-CN" w:bidi="ar"/>
    </w:rPr>
  </w:style>
  <w:style w:type="paragraph" w:styleId="30">
    <w:name w:val="annotation subject"/>
    <w:basedOn w:val="11"/>
    <w:next w:val="11"/>
    <w:link w:val="78"/>
    <w:autoRedefine/>
    <w:qFormat/>
    <w:uiPriority w:val="0"/>
    <w:rPr>
      <w:b/>
      <w:bCs/>
    </w:rPr>
  </w:style>
  <w:style w:type="paragraph" w:styleId="31">
    <w:name w:val="Body Text First Indent"/>
    <w:basedOn w:val="12"/>
    <w:next w:val="32"/>
    <w:autoRedefine/>
    <w:qFormat/>
    <w:uiPriority w:val="0"/>
    <w:pPr>
      <w:ind w:firstLine="420" w:firstLineChars="100"/>
    </w:pPr>
    <w:rPr>
      <w:rFonts w:ascii="Calibri" w:hAnsi="Calibri"/>
      <w:sz w:val="21"/>
      <w:szCs w:val="22"/>
    </w:rPr>
  </w:style>
  <w:style w:type="paragraph" w:styleId="32">
    <w:name w:val="Body Text First Indent 2"/>
    <w:basedOn w:val="13"/>
    <w:autoRedefine/>
    <w:qFormat/>
    <w:uiPriority w:val="0"/>
    <w:pPr>
      <w:ind w:firstLine="420" w:firstLineChars="200"/>
    </w:p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22"/>
    <w:rPr>
      <w:rFonts w:ascii="Tahoma" w:hAnsi="Tahoma"/>
      <w:b/>
      <w:bCs/>
      <w:sz w:val="24"/>
      <w:szCs w:val="20"/>
    </w:rPr>
  </w:style>
  <w:style w:type="character" w:styleId="37">
    <w:name w:val="page number"/>
    <w:basedOn w:val="35"/>
    <w:autoRedefine/>
    <w:qFormat/>
    <w:uiPriority w:val="0"/>
  </w:style>
  <w:style w:type="character" w:styleId="38">
    <w:name w:val="FollowedHyperlink"/>
    <w:autoRedefine/>
    <w:qFormat/>
    <w:uiPriority w:val="0"/>
    <w:rPr>
      <w:color w:val="800080"/>
      <w:u w:val="single"/>
    </w:rPr>
  </w:style>
  <w:style w:type="character" w:styleId="39">
    <w:name w:val="Hyperlink"/>
    <w:autoRedefine/>
    <w:unhideWhenUsed/>
    <w:qFormat/>
    <w:uiPriority w:val="99"/>
    <w:rPr>
      <w:color w:val="0000FF"/>
      <w:u w:val="single"/>
    </w:rPr>
  </w:style>
  <w:style w:type="character" w:styleId="40">
    <w:name w:val="annotation reference"/>
    <w:autoRedefine/>
    <w:qFormat/>
    <w:uiPriority w:val="0"/>
    <w:rPr>
      <w:sz w:val="21"/>
      <w:szCs w:val="21"/>
    </w:rPr>
  </w:style>
  <w:style w:type="character" w:styleId="41">
    <w:name w:val="HTML Sample"/>
    <w:basedOn w:val="35"/>
    <w:autoRedefine/>
    <w:qFormat/>
    <w:uiPriority w:val="0"/>
    <w:rPr>
      <w:rFonts w:ascii="Courier New" w:hAnsi="Courier New"/>
    </w:rPr>
  </w:style>
  <w:style w:type="paragraph" w:styleId="42">
    <w:name w:val="List Paragraph"/>
    <w:basedOn w:val="1"/>
    <w:autoRedefine/>
    <w:qFormat/>
    <w:uiPriority w:val="34"/>
    <w:pPr>
      <w:ind w:firstLine="420" w:firstLineChars="200"/>
    </w:pPr>
    <w:rPr>
      <w:rFonts w:ascii="Calibri" w:hAnsi="Calibri"/>
      <w:szCs w:val="22"/>
    </w:rPr>
  </w:style>
  <w:style w:type="paragraph" w:customStyle="1" w:styleId="43">
    <w:name w:val="Char Char Char Char1"/>
    <w:basedOn w:val="1"/>
    <w:autoRedefine/>
    <w:qFormat/>
    <w:uiPriority w:val="0"/>
  </w:style>
  <w:style w:type="paragraph" w:customStyle="1" w:styleId="44">
    <w:name w:val="BodyText1I"/>
    <w:basedOn w:val="45"/>
    <w:next w:val="46"/>
    <w:autoRedefine/>
    <w:qFormat/>
    <w:uiPriority w:val="99"/>
    <w:pPr>
      <w:ind w:firstLine="420" w:firstLineChars="100"/>
    </w:pPr>
  </w:style>
  <w:style w:type="paragraph" w:customStyle="1" w:styleId="45">
    <w:name w:val="BodyText"/>
    <w:basedOn w:val="1"/>
    <w:next w:val="1"/>
    <w:autoRedefine/>
    <w:qFormat/>
    <w:uiPriority w:val="0"/>
    <w:pPr>
      <w:spacing w:after="120"/>
    </w:pPr>
    <w:rPr>
      <w:kern w:val="0"/>
      <w:sz w:val="20"/>
      <w:szCs w:val="20"/>
    </w:rPr>
  </w:style>
  <w:style w:type="paragraph" w:customStyle="1" w:styleId="46">
    <w:name w:val="BodyText1I2"/>
    <w:basedOn w:val="47"/>
    <w:next w:val="44"/>
    <w:autoRedefine/>
    <w:qFormat/>
    <w:uiPriority w:val="99"/>
    <w:pPr>
      <w:ind w:firstLine="420"/>
    </w:pPr>
    <w:rPr>
      <w:kern w:val="0"/>
    </w:rPr>
  </w:style>
  <w:style w:type="paragraph" w:customStyle="1" w:styleId="47">
    <w:name w:val="BodyTextIndent"/>
    <w:basedOn w:val="1"/>
    <w:next w:val="48"/>
    <w:autoRedefine/>
    <w:qFormat/>
    <w:uiPriority w:val="99"/>
    <w:pPr>
      <w:spacing w:after="120"/>
      <w:ind w:left="420" w:leftChars="200"/>
    </w:pPr>
  </w:style>
  <w:style w:type="paragraph" w:customStyle="1" w:styleId="48">
    <w:name w:val="NormalIndent"/>
    <w:basedOn w:val="1"/>
    <w:autoRedefine/>
    <w:qFormat/>
    <w:uiPriority w:val="99"/>
    <w:pPr>
      <w:ind w:firstLine="420"/>
    </w:pPr>
    <w:rPr>
      <w:rFonts w:eastAsia="仿宋"/>
      <w:sz w:val="32"/>
      <w:szCs w:val="32"/>
    </w:rPr>
  </w:style>
  <w:style w:type="paragraph" w:customStyle="1" w:styleId="4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0">
    <w:name w:val="UserStyle_36"/>
    <w:basedOn w:val="1"/>
    <w:autoRedefine/>
    <w:qFormat/>
    <w:uiPriority w:val="0"/>
  </w:style>
  <w:style w:type="paragraph" w:customStyle="1" w:styleId="51">
    <w:name w:val="WPSOffice手动目录 3"/>
    <w:autoRedefine/>
    <w:qFormat/>
    <w:uiPriority w:val="0"/>
    <w:pPr>
      <w:ind w:leftChars="400"/>
    </w:pPr>
    <w:rPr>
      <w:rFonts w:ascii="Calibri" w:hAnsi="Calibri" w:eastAsia="宋体" w:cs="Times New Roman"/>
      <w:sz w:val="20"/>
      <w:szCs w:val="20"/>
    </w:rPr>
  </w:style>
  <w:style w:type="paragraph" w:customStyle="1" w:styleId="52">
    <w:name w:val="样式 标题 1 + 四号 居中 段前: 12 磅 段后: 12 磅 行距: 单倍行距"/>
    <w:basedOn w:val="3"/>
    <w:autoRedefine/>
    <w:qFormat/>
    <w:uiPriority w:val="0"/>
    <w:pPr>
      <w:adjustRightInd w:val="0"/>
      <w:spacing w:before="240" w:after="240" w:line="240" w:lineRule="auto"/>
      <w:ind w:firstLine="288"/>
      <w:jc w:val="center"/>
      <w:textAlignment w:val="baseline"/>
    </w:pPr>
    <w:rPr>
      <w:rFonts w:cs="宋体"/>
      <w:sz w:val="28"/>
      <w:szCs w:val="20"/>
    </w:rPr>
  </w:style>
  <w:style w:type="paragraph" w:customStyle="1" w:styleId="53">
    <w:name w:val="样式1"/>
    <w:basedOn w:val="1"/>
    <w:autoRedefine/>
    <w:qFormat/>
    <w:uiPriority w:val="0"/>
    <w:pPr>
      <w:adjustRightInd w:val="0"/>
      <w:textAlignment w:val="baseline"/>
    </w:pPr>
    <w:rPr>
      <w:rFonts w:ascii="宋体" w:hAnsi="宋体"/>
      <w:kern w:val="0"/>
      <w:szCs w:val="21"/>
    </w:rPr>
  </w:style>
  <w:style w:type="paragraph" w:customStyle="1" w:styleId="54">
    <w:name w:val="默认段落字体 Para Char Char Char Char"/>
    <w:basedOn w:val="1"/>
    <w:autoRedefine/>
    <w:qFormat/>
    <w:uiPriority w:val="0"/>
    <w:pPr>
      <w:snapToGrid w:val="0"/>
      <w:spacing w:line="480" w:lineRule="auto"/>
      <w:ind w:firstLine="200" w:firstLineChars="200"/>
    </w:pPr>
    <w:rPr>
      <w:rFonts w:eastAsia="仿宋_GB2312"/>
      <w:sz w:val="24"/>
    </w:rPr>
  </w:style>
  <w:style w:type="paragraph" w:customStyle="1" w:styleId="55">
    <w:name w:val="样式 标题 3h3H3sect1.2.3 + 五号 段前: 6 磅 段后: 6 磅 行距: 单倍行距"/>
    <w:basedOn w:val="5"/>
    <w:autoRedefine/>
    <w:qFormat/>
    <w:uiPriority w:val="0"/>
    <w:pPr>
      <w:adjustRightInd w:val="0"/>
      <w:spacing w:before="120" w:after="120" w:line="240" w:lineRule="auto"/>
      <w:jc w:val="left"/>
      <w:textAlignment w:val="baseline"/>
    </w:pPr>
    <w:rPr>
      <w:kern w:val="0"/>
      <w:sz w:val="21"/>
      <w:szCs w:val="20"/>
    </w:rPr>
  </w:style>
  <w:style w:type="paragraph" w:customStyle="1" w:styleId="56">
    <w:name w:val="列出段落11"/>
    <w:basedOn w:val="1"/>
    <w:autoRedefine/>
    <w:qFormat/>
    <w:uiPriority w:val="0"/>
    <w:pPr>
      <w:ind w:firstLine="420" w:firstLineChars="200"/>
    </w:pPr>
  </w:style>
  <w:style w:type="paragraph" w:customStyle="1" w:styleId="57">
    <w:name w:val="_Style 5"/>
    <w:next w:val="1"/>
    <w:autoRedefine/>
    <w:qFormat/>
    <w:uiPriority w:val="0"/>
    <w:pPr>
      <w:keepNext/>
      <w:keepLines/>
      <w:widowControl w:val="0"/>
      <w:spacing w:before="340" w:beforeLines="0" w:after="330" w:afterLines="0" w:line="576" w:lineRule="auto"/>
      <w:jc w:val="both"/>
      <w:outlineLvl w:val="9"/>
    </w:pPr>
    <w:rPr>
      <w:rFonts w:ascii="Calibri" w:hAnsi="Calibri" w:eastAsia="宋体" w:cs="Times New Roman"/>
      <w:b/>
      <w:bCs/>
      <w:kern w:val="44"/>
      <w:sz w:val="44"/>
      <w:szCs w:val="44"/>
      <w:lang w:val="en-US" w:eastAsia="zh-CN" w:bidi="ar-SA"/>
    </w:rPr>
  </w:style>
  <w:style w:type="paragraph" w:customStyle="1" w:styleId="58">
    <w:name w:val="样式 正文（首行缩进两字） + 宋体 小四"/>
    <w:basedOn w:val="9"/>
    <w:autoRedefine/>
    <w:qFormat/>
    <w:uiPriority w:val="0"/>
    <w:pPr>
      <w:spacing w:line="100" w:lineRule="atLeast"/>
      <w:ind w:firstLine="614" w:firstLineChars="192"/>
      <w:jc w:val="left"/>
    </w:pPr>
    <w:rPr>
      <w:rFonts w:ascii="仿宋_GB2312" w:hAnsi="宋体" w:eastAsia="仿宋_GB2312"/>
      <w:sz w:val="32"/>
      <w:szCs w:val="20"/>
    </w:rPr>
  </w:style>
  <w:style w:type="paragraph" w:customStyle="1" w:styleId="59">
    <w:name w:val="DH-图片格式"/>
    <w:basedOn w:val="1"/>
    <w:next w:val="1"/>
    <w:autoRedefine/>
    <w:qFormat/>
    <w:uiPriority w:val="0"/>
    <w:pPr>
      <w:jc w:val="center"/>
    </w:pPr>
  </w:style>
  <w:style w:type="paragraph" w:customStyle="1" w:styleId="60">
    <w:name w:val="WPSOffice手动目录 2"/>
    <w:autoRedefine/>
    <w:qFormat/>
    <w:uiPriority w:val="0"/>
    <w:pPr>
      <w:ind w:leftChars="200"/>
    </w:pPr>
    <w:rPr>
      <w:rFonts w:ascii="Calibri" w:hAnsi="Calibri" w:eastAsia="宋体" w:cs="Times New Roman"/>
      <w:sz w:val="20"/>
      <w:szCs w:val="20"/>
    </w:rPr>
  </w:style>
  <w:style w:type="paragraph" w:customStyle="1" w:styleId="61">
    <w:name w:val="样式"/>
    <w:autoRedefine/>
    <w:qFormat/>
    <w:uiPriority w:val="0"/>
    <w:pPr>
      <w:widowControl w:val="0"/>
      <w:autoSpaceDE w:val="0"/>
      <w:autoSpaceDN w:val="0"/>
    </w:pPr>
    <w:rPr>
      <w:rFonts w:ascii="Calibri" w:hAnsi="Calibri" w:eastAsia="宋体" w:cs="Times New Roman"/>
      <w:sz w:val="24"/>
      <w:szCs w:val="24"/>
      <w:lang w:val="en-US" w:eastAsia="zh-CN" w:bidi="ar-SA"/>
    </w:rPr>
  </w:style>
  <w:style w:type="paragraph" w:customStyle="1" w:styleId="62">
    <w:name w:val="DH-标准正文"/>
    <w:basedOn w:val="1"/>
    <w:autoRedefine/>
    <w:qFormat/>
    <w:uiPriority w:val="0"/>
    <w:pPr>
      <w:spacing w:line="360" w:lineRule="auto"/>
      <w:ind w:firstLine="200" w:firstLineChars="200"/>
    </w:pPr>
    <w:rPr>
      <w:sz w:val="28"/>
    </w:rPr>
  </w:style>
  <w:style w:type="paragraph" w:customStyle="1" w:styleId="63">
    <w:name w:val="List Paragraph1"/>
    <w:basedOn w:val="1"/>
    <w:autoRedefine/>
    <w:qFormat/>
    <w:uiPriority w:val="34"/>
    <w:pPr>
      <w:ind w:firstLine="420" w:firstLineChars="200"/>
    </w:pPr>
    <w:rPr>
      <w:lang w:val="en-US" w:eastAsia="zh-CN" w:bidi="ar-SA"/>
    </w:rPr>
  </w:style>
  <w:style w:type="paragraph" w:customStyle="1" w:styleId="64">
    <w:name w:val="_Style 3"/>
    <w:next w:val="1"/>
    <w:autoRedefine/>
    <w:qFormat/>
    <w:uiPriority w:val="0"/>
    <w:pPr>
      <w:keepNext/>
      <w:keepLines/>
      <w:widowControl w:val="0"/>
      <w:spacing w:before="340" w:beforeLines="0" w:after="330" w:afterLines="0" w:line="576" w:lineRule="auto"/>
      <w:jc w:val="both"/>
      <w:outlineLvl w:val="9"/>
    </w:pPr>
    <w:rPr>
      <w:rFonts w:ascii="Calibri" w:hAnsi="Calibri" w:eastAsia="宋体" w:cs="Times New Roman"/>
      <w:b/>
      <w:bCs/>
      <w:kern w:val="44"/>
      <w:sz w:val="44"/>
      <w:szCs w:val="44"/>
      <w:lang w:val="en-US" w:eastAsia="zh-CN" w:bidi="ar-SA"/>
    </w:rPr>
  </w:style>
  <w:style w:type="paragraph" w:customStyle="1" w:styleId="65">
    <w:name w:val="WPSOffice手动目录 1"/>
    <w:autoRedefine/>
    <w:qFormat/>
    <w:uiPriority w:val="0"/>
    <w:pPr>
      <w:ind w:leftChars="0"/>
    </w:pPr>
    <w:rPr>
      <w:rFonts w:ascii="Calibri" w:hAnsi="Calibri" w:eastAsia="宋体" w:cs="Times New Roman"/>
      <w:sz w:val="20"/>
      <w:szCs w:val="20"/>
    </w:rPr>
  </w:style>
  <w:style w:type="paragraph" w:customStyle="1" w:styleId="66">
    <w:name w:val="p0"/>
    <w:basedOn w:val="1"/>
    <w:autoRedefine/>
    <w:qFormat/>
    <w:uiPriority w:val="0"/>
    <w:pPr>
      <w:widowControl/>
    </w:pPr>
    <w:rPr>
      <w:rFonts w:ascii="Calibri" w:hAnsi="Calibri" w:cs="宋体"/>
      <w:kern w:val="0"/>
      <w:szCs w:val="21"/>
    </w:rPr>
  </w:style>
  <w:style w:type="character" w:customStyle="1" w:styleId="67">
    <w:name w:val="正文文本缩进 字符"/>
    <w:link w:val="13"/>
    <w:autoRedefine/>
    <w:qFormat/>
    <w:uiPriority w:val="99"/>
    <w:rPr>
      <w:rFonts w:ascii="Times New Roman" w:hAnsi="Times New Roman"/>
      <w:kern w:val="2"/>
      <w:sz w:val="32"/>
      <w:szCs w:val="24"/>
    </w:rPr>
  </w:style>
  <w:style w:type="character" w:customStyle="1" w:styleId="68">
    <w:name w:val="标题 2 字符"/>
    <w:link w:val="4"/>
    <w:autoRedefine/>
    <w:qFormat/>
    <w:uiPriority w:val="0"/>
    <w:rPr>
      <w:rFonts w:ascii="Arial" w:hAnsi="Arial" w:eastAsia="黑体"/>
      <w:b/>
      <w:bCs/>
      <w:sz w:val="32"/>
      <w:szCs w:val="32"/>
    </w:rPr>
  </w:style>
  <w:style w:type="character" w:customStyle="1" w:styleId="69">
    <w:name w:val="正文文本 2 字符"/>
    <w:link w:val="27"/>
    <w:autoRedefine/>
    <w:qFormat/>
    <w:uiPriority w:val="0"/>
    <w:rPr>
      <w:rFonts w:ascii="Times New Roman" w:hAnsi="Times New Roman"/>
      <w:kern w:val="2"/>
      <w:sz w:val="21"/>
      <w:szCs w:val="24"/>
    </w:rPr>
  </w:style>
  <w:style w:type="character" w:customStyle="1" w:styleId="70">
    <w:name w:val="font41"/>
    <w:autoRedefine/>
    <w:qFormat/>
    <w:uiPriority w:val="0"/>
    <w:rPr>
      <w:rFonts w:hint="eastAsia" w:ascii="宋体" w:hAnsi="宋体" w:eastAsia="宋体" w:cs="宋体"/>
      <w:color w:val="FFFFFF"/>
      <w:sz w:val="24"/>
      <w:szCs w:val="24"/>
      <w:u w:val="single"/>
    </w:rPr>
  </w:style>
  <w:style w:type="character" w:customStyle="1" w:styleId="71">
    <w:name w:val="font51"/>
    <w:autoRedefine/>
    <w:qFormat/>
    <w:uiPriority w:val="0"/>
    <w:rPr>
      <w:rFonts w:hint="eastAsia" w:ascii="宋体" w:hAnsi="宋体" w:eastAsia="宋体" w:cs="宋体"/>
      <w:color w:val="000000"/>
      <w:sz w:val="24"/>
      <w:szCs w:val="24"/>
      <w:u w:val="single"/>
    </w:rPr>
  </w:style>
  <w:style w:type="character" w:customStyle="1" w:styleId="72">
    <w:name w:val="标题 1 字符"/>
    <w:link w:val="3"/>
    <w:autoRedefine/>
    <w:qFormat/>
    <w:uiPriority w:val="0"/>
    <w:rPr>
      <w:b/>
      <w:bCs/>
      <w:kern w:val="44"/>
      <w:sz w:val="44"/>
      <w:szCs w:val="44"/>
    </w:rPr>
  </w:style>
  <w:style w:type="character" w:customStyle="1" w:styleId="73">
    <w:name w:val="font31"/>
    <w:autoRedefine/>
    <w:qFormat/>
    <w:uiPriority w:val="0"/>
    <w:rPr>
      <w:rFonts w:hint="eastAsia" w:ascii="宋体" w:hAnsi="宋体" w:eastAsia="宋体" w:cs="宋体"/>
      <w:color w:val="000000"/>
      <w:sz w:val="20"/>
      <w:szCs w:val="20"/>
      <w:u w:val="none"/>
    </w:rPr>
  </w:style>
  <w:style w:type="character" w:customStyle="1" w:styleId="74">
    <w:name w:val="页脚 字符"/>
    <w:link w:val="21"/>
    <w:autoRedefine/>
    <w:qFormat/>
    <w:uiPriority w:val="0"/>
    <w:rPr>
      <w:sz w:val="18"/>
      <w:szCs w:val="18"/>
    </w:rPr>
  </w:style>
  <w:style w:type="character" w:customStyle="1" w:styleId="75">
    <w:name w:val="标题 3 字符"/>
    <w:link w:val="5"/>
    <w:autoRedefine/>
    <w:semiHidden/>
    <w:qFormat/>
    <w:uiPriority w:val="0"/>
    <w:rPr>
      <w:b/>
      <w:bCs/>
      <w:kern w:val="2"/>
      <w:sz w:val="32"/>
      <w:szCs w:val="32"/>
    </w:rPr>
  </w:style>
  <w:style w:type="character" w:customStyle="1" w:styleId="76">
    <w:name w:val="font01"/>
    <w:autoRedefine/>
    <w:qFormat/>
    <w:uiPriority w:val="0"/>
    <w:rPr>
      <w:rFonts w:hint="eastAsia" w:ascii="宋体" w:hAnsi="宋体" w:eastAsia="宋体" w:cs="宋体"/>
      <w:color w:val="333333"/>
      <w:sz w:val="22"/>
      <w:szCs w:val="22"/>
      <w:u w:val="none"/>
    </w:rPr>
  </w:style>
  <w:style w:type="character" w:customStyle="1" w:styleId="77">
    <w:name w:val="批注框文本 字符"/>
    <w:link w:val="20"/>
    <w:autoRedefine/>
    <w:qFormat/>
    <w:uiPriority w:val="0"/>
    <w:rPr>
      <w:rFonts w:ascii="Times New Roman" w:hAnsi="Times New Roman" w:eastAsia="宋体"/>
      <w:kern w:val="2"/>
      <w:sz w:val="18"/>
      <w:szCs w:val="18"/>
    </w:rPr>
  </w:style>
  <w:style w:type="character" w:customStyle="1" w:styleId="78">
    <w:name w:val="批注主题 字符"/>
    <w:link w:val="30"/>
    <w:autoRedefine/>
    <w:qFormat/>
    <w:uiPriority w:val="0"/>
    <w:rPr>
      <w:b/>
      <w:bCs/>
      <w:kern w:val="2"/>
      <w:sz w:val="21"/>
      <w:szCs w:val="24"/>
    </w:rPr>
  </w:style>
  <w:style w:type="character" w:customStyle="1" w:styleId="79">
    <w:name w:val="_Style 2"/>
    <w:autoRedefine/>
    <w:qFormat/>
    <w:uiPriority w:val="31"/>
    <w:rPr>
      <w:rFonts w:ascii="Tahoma" w:hAnsi="Tahoma"/>
      <w:smallCaps/>
      <w:color w:val="C0504D"/>
      <w:sz w:val="24"/>
      <w:szCs w:val="20"/>
      <w:u w:val="single"/>
    </w:rPr>
  </w:style>
  <w:style w:type="character" w:customStyle="1" w:styleId="80">
    <w:name w:val="纯文本 字符"/>
    <w:link w:val="16"/>
    <w:autoRedefine/>
    <w:qFormat/>
    <w:uiPriority w:val="0"/>
    <w:rPr>
      <w:rFonts w:ascii="宋体" w:hAnsi="Courier New" w:cs="Courier New"/>
      <w:kern w:val="2"/>
      <w:sz w:val="21"/>
      <w:szCs w:val="21"/>
    </w:rPr>
  </w:style>
  <w:style w:type="character" w:customStyle="1" w:styleId="81">
    <w:name w:val="批注文字 字符"/>
    <w:link w:val="11"/>
    <w:autoRedefine/>
    <w:qFormat/>
    <w:uiPriority w:val="99"/>
    <w:rPr>
      <w:kern w:val="2"/>
      <w:sz w:val="21"/>
      <w:szCs w:val="24"/>
    </w:rPr>
  </w:style>
  <w:style w:type="character" w:customStyle="1" w:styleId="82">
    <w:name w:val="页眉 字符"/>
    <w:link w:val="22"/>
    <w:autoRedefine/>
    <w:qFormat/>
    <w:uiPriority w:val="0"/>
    <w:rPr>
      <w:sz w:val="18"/>
      <w:szCs w:val="18"/>
    </w:rPr>
  </w:style>
  <w:style w:type="character" w:customStyle="1" w:styleId="83">
    <w:name w:val="纯文本 Char"/>
    <w:autoRedefine/>
    <w:qFormat/>
    <w:uiPriority w:val="0"/>
    <w:rPr>
      <w:rFonts w:ascii="宋体" w:hAnsi="Courier New"/>
      <w:kern w:val="2"/>
      <w:sz w:val="21"/>
      <w:szCs w:val="21"/>
    </w:rPr>
  </w:style>
  <w:style w:type="character" w:customStyle="1" w:styleId="84">
    <w:name w:val="NormalCharacter"/>
    <w:autoRedefine/>
    <w:qFormat/>
    <w:uiPriority w:val="0"/>
  </w:style>
  <w:style w:type="paragraph" w:customStyle="1" w:styleId="85">
    <w:name w:val="表格文字"/>
    <w:basedOn w:val="1"/>
    <w:next w:val="12"/>
    <w:autoRedefine/>
    <w:qFormat/>
    <w:uiPriority w:val="0"/>
    <w:pPr>
      <w:spacing w:before="25" w:after="25"/>
      <w:jc w:val="left"/>
    </w:pPr>
    <w:rPr>
      <w:bCs/>
      <w:spacing w:val="10"/>
      <w:kern w:val="0"/>
      <w:sz w:val="24"/>
      <w:szCs w:val="20"/>
    </w:rPr>
  </w:style>
  <w:style w:type="paragraph" w:styleId="86">
    <w:name w:val="No Spacing"/>
    <w:autoRedefine/>
    <w:qFormat/>
    <w:uiPriority w:val="1"/>
    <w:pPr>
      <w:widowControl w:val="0"/>
      <w:adjustRightInd w:val="0"/>
      <w:snapToGrid w:val="0"/>
      <w:jc w:val="center"/>
    </w:pPr>
    <w:rPr>
      <w:rFonts w:ascii="宋体" w:hAnsi="宋体" w:eastAsia="宋体" w:cs="宋体"/>
      <w:kern w:val="2"/>
      <w:sz w:val="24"/>
      <w:szCs w:val="24"/>
      <w:lang w:val="en-US" w:eastAsia="zh-CN" w:bidi="ar-SA"/>
    </w:rPr>
  </w:style>
  <w:style w:type="paragraph" w:customStyle="1" w:styleId="87">
    <w:name w:val="Table Paragraph"/>
    <w:basedOn w:val="1"/>
    <w:autoRedefine/>
    <w:qFormat/>
    <w:uiPriority w:val="1"/>
    <w:rPr>
      <w:rFonts w:ascii="宋体" w:hAnsi="宋体" w:eastAsia="宋体" w:cs="宋体"/>
      <w:lang w:val="zh-CN" w:eastAsia="zh-CN" w:bidi="zh-CN"/>
    </w:rPr>
  </w:style>
  <w:style w:type="paragraph" w:customStyle="1" w:styleId="88">
    <w:name w:val="_Style 6"/>
    <w:basedOn w:val="3"/>
    <w:next w:val="1"/>
    <w:autoRedefine/>
    <w:qFormat/>
    <w:uiPriority w:val="0"/>
    <w:pPr>
      <w:outlineLvl w:val="9"/>
    </w:pPr>
  </w:style>
  <w:style w:type="paragraph" w:customStyle="1" w:styleId="89">
    <w:name w:val="_Style 78"/>
    <w:basedOn w:val="1"/>
    <w:next w:val="1"/>
    <w:autoRedefine/>
    <w:qFormat/>
    <w:uiPriority w:val="0"/>
    <w:pPr>
      <w:pBdr>
        <w:bottom w:val="single" w:color="auto" w:sz="6" w:space="1"/>
      </w:pBdr>
      <w:jc w:val="center"/>
    </w:pPr>
    <w:rPr>
      <w:rFonts w:ascii="Arial" w:eastAsia="宋体"/>
      <w:vanish/>
      <w:sz w:val="16"/>
    </w:rPr>
  </w:style>
  <w:style w:type="paragraph" w:customStyle="1" w:styleId="90">
    <w:name w:val="_Style 79"/>
    <w:basedOn w:val="1"/>
    <w:next w:val="1"/>
    <w:autoRedefine/>
    <w:qFormat/>
    <w:uiPriority w:val="0"/>
    <w:pPr>
      <w:pBdr>
        <w:top w:val="single" w:color="auto" w:sz="6" w:space="1"/>
      </w:pBdr>
      <w:jc w:val="center"/>
    </w:pPr>
    <w:rPr>
      <w:rFonts w:ascii="Arial" w:eastAsia="宋体"/>
      <w:vanish/>
      <w:sz w:val="16"/>
    </w:rPr>
  </w:style>
  <w:style w:type="character" w:customStyle="1" w:styleId="91">
    <w:name w:val="表文"/>
    <w:basedOn w:val="35"/>
    <w:autoRedefine/>
    <w:qFormat/>
    <w:uiPriority w:val="0"/>
    <w:rPr>
      <w:rFonts w:ascii="宋体" w:hAnsi="宋体" w:eastAsia="宋体"/>
      <w:sz w:val="21"/>
      <w:szCs w:val="21"/>
    </w:rPr>
  </w:style>
  <w:style w:type="table" w:customStyle="1" w:styleId="92">
    <w:name w:val="Table Normal"/>
    <w:autoRedefine/>
    <w:semiHidden/>
    <w:unhideWhenUsed/>
    <w:qFormat/>
    <w:uiPriority w:val="0"/>
    <w:tblPr>
      <w:tblCellMar>
        <w:top w:w="0" w:type="dxa"/>
        <w:left w:w="0" w:type="dxa"/>
        <w:bottom w:w="0" w:type="dxa"/>
        <w:right w:w="0" w:type="dxa"/>
      </w:tblCellMar>
    </w:tblPr>
  </w:style>
  <w:style w:type="paragraph" w:customStyle="1" w:styleId="93">
    <w:name w:val="列表段落1"/>
    <w:basedOn w:val="1"/>
    <w:autoRedefine/>
    <w:qFormat/>
    <w:uiPriority w:val="34"/>
    <w:pPr>
      <w:ind w:firstLine="420" w:firstLineChars="200"/>
    </w:pPr>
  </w:style>
  <w:style w:type="character" w:customStyle="1" w:styleId="94">
    <w:name w:val="font11"/>
    <w:basedOn w:val="35"/>
    <w:autoRedefine/>
    <w:qFormat/>
    <w:uiPriority w:val="0"/>
    <w:rPr>
      <w:rFonts w:ascii="微软雅黑" w:hAnsi="微软雅黑" w:eastAsia="微软雅黑" w:cs="微软雅黑"/>
      <w:color w:val="000000"/>
      <w:sz w:val="18"/>
      <w:szCs w:val="18"/>
      <w:u w:val="none"/>
    </w:rPr>
  </w:style>
  <w:style w:type="paragraph" w:customStyle="1" w:styleId="95">
    <w:name w:val="TOC 标题"/>
    <w:basedOn w:val="3"/>
    <w:next w:val="1"/>
    <w:autoRedefine/>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9dsoft</Company>
  <Pages>124</Pages>
  <Words>17646</Words>
  <Characters>18653</Characters>
  <Lines>1</Lines>
  <Paragraphs>1</Paragraphs>
  <TotalTime>3</TotalTime>
  <ScaleCrop>false</ScaleCrop>
  <LinksUpToDate>false</LinksUpToDate>
  <CharactersWithSpaces>21066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2020-06-05T07:07:00Z</dcterms:created>
  <dc:creator>采购一处</dc:creator>
  <cp:lastModifiedBy>任不才。</cp:lastModifiedBy>
  <cp:lastPrinted>2026-04-16T09:13:00Z</cp:lastPrinted>
  <dcterms:modified xsi:type="dcterms:W3CDTF">2026-05-19T09:39:22Z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31F039570D8249C7B21088A15D9A90C5_13</vt:lpwstr>
  </property>
  <property fmtid="{D5CDD505-2E9C-101B-9397-08002B2CF9AE}" pid="4" name="KSOTemplateDocerSaveRecord">
    <vt:lpwstr>eyJoZGlkIjoiMWUyOTEzYzAzNjEwNWJhNzlkM2ZjMTg0OGRhYjhhZjYiLCJ1c2VySWQiOiIyODMwOTMyMzUifQ==</vt:lpwstr>
  </property>
</Properties>
</file>