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F6B16">
      <w:pPr>
        <w:jc w:val="center"/>
        <w:rPr>
          <w:rFonts w:hint="eastAsia" w:ascii="宋体" w:hAnsi="宋体" w:eastAsia="宋体" w:cs="宋体"/>
          <w:sz w:val="72"/>
          <w:szCs w:val="112"/>
        </w:rPr>
      </w:pPr>
    </w:p>
    <w:p w14:paraId="034027B1">
      <w:pPr>
        <w:jc w:val="center"/>
        <w:rPr>
          <w:rFonts w:hint="eastAsia" w:ascii="宋体" w:hAnsi="宋体" w:eastAsia="宋体" w:cs="宋体"/>
          <w:sz w:val="72"/>
          <w:szCs w:val="112"/>
        </w:rPr>
      </w:pPr>
      <w:r>
        <w:rPr>
          <w:rFonts w:hint="eastAsia" w:ascii="宋体" w:hAnsi="宋体" w:eastAsia="宋体" w:cs="宋体"/>
          <w:sz w:val="72"/>
          <w:szCs w:val="112"/>
        </w:rPr>
        <w:t>政府采购项目（服务类）</w:t>
      </w:r>
    </w:p>
    <w:p w14:paraId="2C776B2C">
      <w:pPr>
        <w:jc w:val="center"/>
        <w:rPr>
          <w:rFonts w:hint="eastAsia" w:ascii="宋体" w:hAnsi="宋体" w:eastAsia="宋体" w:cs="宋体"/>
          <w:b/>
          <w:bCs/>
          <w:sz w:val="72"/>
          <w:szCs w:val="112"/>
        </w:rPr>
      </w:pPr>
    </w:p>
    <w:p w14:paraId="323D849C">
      <w:pPr>
        <w:jc w:val="center"/>
        <w:rPr>
          <w:rFonts w:hint="eastAsia" w:ascii="宋体" w:hAnsi="宋体" w:eastAsia="宋体" w:cs="宋体"/>
          <w:b/>
          <w:bCs/>
          <w:sz w:val="72"/>
          <w:szCs w:val="112"/>
        </w:rPr>
      </w:pPr>
    </w:p>
    <w:p w14:paraId="49BFD966">
      <w:pPr>
        <w:jc w:val="center"/>
        <w:rPr>
          <w:rFonts w:hint="eastAsia" w:ascii="宋体" w:hAnsi="宋体" w:eastAsia="宋体" w:cs="宋体"/>
          <w:b/>
          <w:bCs/>
          <w:sz w:val="72"/>
          <w:szCs w:val="112"/>
        </w:rPr>
      </w:pPr>
      <w:r>
        <w:rPr>
          <w:rFonts w:hint="eastAsia" w:ascii="宋体" w:hAnsi="宋体" w:eastAsia="宋体" w:cs="宋体"/>
          <w:b/>
          <w:bCs/>
          <w:sz w:val="72"/>
          <w:szCs w:val="112"/>
        </w:rPr>
        <w:t>公开招标文件</w:t>
      </w:r>
    </w:p>
    <w:p w14:paraId="3CFC4DB2">
      <w:pPr>
        <w:rPr>
          <w:rFonts w:hint="eastAsia" w:ascii="宋体" w:hAnsi="宋体" w:eastAsia="宋体" w:cs="宋体"/>
          <w:sz w:val="72"/>
          <w:szCs w:val="112"/>
        </w:rPr>
      </w:pPr>
    </w:p>
    <w:p w14:paraId="01943078">
      <w:pPr>
        <w:spacing w:line="600" w:lineRule="auto"/>
        <w:jc w:val="left"/>
        <w:rPr>
          <w:rFonts w:hint="eastAsia" w:ascii="宋体" w:hAnsi="宋体" w:eastAsia="宋体" w:cs="宋体"/>
          <w:sz w:val="36"/>
          <w:szCs w:val="44"/>
          <w:lang w:eastAsia="zh-CN"/>
        </w:rPr>
      </w:pPr>
      <w:r>
        <w:rPr>
          <w:rFonts w:hint="eastAsia" w:ascii="宋体" w:hAnsi="宋体" w:eastAsia="宋体" w:cs="宋体"/>
          <w:sz w:val="36"/>
          <w:szCs w:val="44"/>
        </w:rPr>
        <w:t>项目编号：</w:t>
      </w:r>
      <w:r>
        <w:rPr>
          <w:rFonts w:hint="eastAsia" w:ascii="宋体" w:hAnsi="宋体" w:eastAsia="宋体" w:cs="宋体"/>
          <w:sz w:val="36"/>
          <w:szCs w:val="44"/>
          <w:lang w:eastAsia="zh-CN"/>
        </w:rPr>
        <w:t>XJKC-ZB-2026（024）-2</w:t>
      </w:r>
    </w:p>
    <w:p w14:paraId="691A03D1">
      <w:pPr>
        <w:spacing w:line="600" w:lineRule="auto"/>
        <w:ind w:left="1800" w:hanging="1800" w:hangingChars="500"/>
        <w:jc w:val="left"/>
        <w:rPr>
          <w:rFonts w:hint="eastAsia" w:ascii="宋体" w:hAnsi="宋体" w:eastAsia="宋体" w:cs="宋体"/>
          <w:sz w:val="36"/>
          <w:szCs w:val="44"/>
          <w:u w:val="single"/>
        </w:rPr>
      </w:pPr>
      <w:r>
        <w:rPr>
          <w:rFonts w:hint="eastAsia" w:ascii="宋体" w:hAnsi="宋体" w:eastAsia="宋体" w:cs="宋体"/>
          <w:sz w:val="36"/>
          <w:szCs w:val="44"/>
        </w:rPr>
        <w:t>项目名称：</w:t>
      </w:r>
      <w:r>
        <w:rPr>
          <w:rFonts w:hint="eastAsia" w:ascii="宋体" w:hAnsi="宋体" w:eastAsia="宋体" w:cs="宋体"/>
          <w:sz w:val="36"/>
          <w:szCs w:val="44"/>
          <w:u w:val="single"/>
        </w:rPr>
        <w:t>自治区一体化物流服务平台初步设计及概算编制项目</w:t>
      </w:r>
    </w:p>
    <w:p w14:paraId="35F3B4E6">
      <w:pPr>
        <w:spacing w:line="600" w:lineRule="auto"/>
        <w:jc w:val="left"/>
        <w:rPr>
          <w:rFonts w:hint="eastAsia" w:ascii="宋体" w:hAnsi="宋体" w:eastAsia="宋体" w:cs="宋体"/>
          <w:sz w:val="36"/>
          <w:szCs w:val="44"/>
        </w:rPr>
      </w:pPr>
      <w:r>
        <w:rPr>
          <w:rFonts w:hint="eastAsia" w:ascii="宋体" w:hAnsi="宋体" w:eastAsia="宋体" w:cs="宋体"/>
          <w:sz w:val="36"/>
          <w:szCs w:val="44"/>
        </w:rPr>
        <w:t>采购人：</w:t>
      </w:r>
      <w:r>
        <w:rPr>
          <w:rFonts w:hint="eastAsia" w:ascii="宋体" w:hAnsi="宋体" w:eastAsia="宋体" w:cs="宋体"/>
          <w:sz w:val="36"/>
          <w:szCs w:val="44"/>
          <w:u w:val="single"/>
        </w:rPr>
        <w:t>新疆维吾尔自治区数据资源和政务服务中心</w:t>
      </w:r>
    </w:p>
    <w:p w14:paraId="2D16C6B1">
      <w:pPr>
        <w:spacing w:line="600" w:lineRule="auto"/>
        <w:jc w:val="left"/>
        <w:rPr>
          <w:rFonts w:hint="eastAsia" w:ascii="宋体" w:hAnsi="宋体" w:eastAsia="宋体" w:cs="宋体"/>
          <w:sz w:val="36"/>
          <w:szCs w:val="44"/>
          <w:u w:val="single"/>
        </w:rPr>
      </w:pPr>
      <w:r>
        <w:rPr>
          <w:rFonts w:hint="eastAsia" w:ascii="宋体" w:hAnsi="宋体" w:eastAsia="宋体" w:cs="宋体"/>
          <w:sz w:val="36"/>
          <w:szCs w:val="44"/>
        </w:rPr>
        <w:t>采购代理机构：</w:t>
      </w:r>
      <w:r>
        <w:rPr>
          <w:rFonts w:hint="eastAsia" w:ascii="宋体" w:hAnsi="宋体" w:eastAsia="宋体" w:cs="宋体"/>
          <w:sz w:val="36"/>
          <w:szCs w:val="44"/>
          <w:u w:val="single"/>
        </w:rPr>
        <w:t>新疆科辰工程项目管理有限公司</w:t>
      </w:r>
    </w:p>
    <w:p w14:paraId="700A6B94">
      <w:pPr>
        <w:rPr>
          <w:rFonts w:hint="eastAsia" w:ascii="宋体" w:hAnsi="宋体" w:eastAsia="宋体" w:cs="宋体"/>
          <w:sz w:val="36"/>
          <w:szCs w:val="44"/>
        </w:rPr>
      </w:pPr>
      <w:r>
        <w:rPr>
          <w:rFonts w:hint="eastAsia" w:ascii="宋体" w:hAnsi="宋体" w:eastAsia="宋体" w:cs="宋体"/>
          <w:sz w:val="36"/>
          <w:szCs w:val="44"/>
        </w:rPr>
        <w:br w:type="page"/>
      </w:r>
    </w:p>
    <w:sdt>
      <w:sdtPr>
        <w:rPr>
          <w:rFonts w:ascii="宋体" w:hAnsi="宋体" w:eastAsia="宋体"/>
        </w:rPr>
        <w:id w:val="147480824"/>
        <w15:color w:val="DBDBDB"/>
        <w:docPartObj>
          <w:docPartGallery w:val="Table of Contents"/>
          <w:docPartUnique/>
        </w:docPartObj>
      </w:sdtPr>
      <w:sdtEndPr>
        <w:rPr>
          <w:rFonts w:hint="eastAsia" w:ascii="宋体" w:hAnsi="宋体" w:eastAsia="宋体" w:cs="宋体"/>
          <w:szCs w:val="44"/>
        </w:rPr>
      </w:sdtEndPr>
      <w:sdtContent>
        <w:p w14:paraId="79ED064E">
          <w:pPr>
            <w:spacing w:after="0" w:line="600" w:lineRule="auto"/>
            <w:jc w:val="center"/>
            <w:rPr>
              <w:sz w:val="32"/>
              <w:szCs w:val="32"/>
            </w:rPr>
          </w:pPr>
          <w:bookmarkStart w:id="0" w:name="_Toc22740"/>
          <w:r>
            <w:rPr>
              <w:rFonts w:ascii="宋体" w:hAnsi="宋体" w:eastAsia="宋体"/>
              <w:sz w:val="32"/>
              <w:szCs w:val="32"/>
            </w:rPr>
            <w:t>目录</w:t>
          </w:r>
        </w:p>
        <w:p w14:paraId="1F7FD396">
          <w:pPr>
            <w:pStyle w:val="13"/>
            <w:tabs>
              <w:tab w:val="right" w:leader="dot" w:pos="8306"/>
            </w:tabs>
            <w:spacing w:line="600" w:lineRule="auto"/>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fldChar w:fldCharType="begin"/>
          </w:r>
          <w:r>
            <w:instrText xml:space="preserve"> HYPERLINK \l "_Toc16797" </w:instrText>
          </w:r>
          <w:r>
            <w:fldChar w:fldCharType="separate"/>
          </w:r>
          <w:r>
            <w:rPr>
              <w:rFonts w:hint="eastAsia" w:ascii="宋体" w:hAnsi="宋体" w:eastAsia="宋体" w:cs="宋体"/>
              <w:bCs/>
              <w:sz w:val="32"/>
              <w:szCs w:val="32"/>
            </w:rPr>
            <w:t>第一章公开招标公告</w:t>
          </w:r>
          <w:r>
            <w:rPr>
              <w:sz w:val="32"/>
              <w:szCs w:val="32"/>
            </w:rPr>
            <w:tab/>
          </w:r>
          <w:r>
            <w:rPr>
              <w:sz w:val="32"/>
              <w:szCs w:val="32"/>
            </w:rPr>
            <w:fldChar w:fldCharType="begin"/>
          </w:r>
          <w:r>
            <w:rPr>
              <w:sz w:val="32"/>
              <w:szCs w:val="32"/>
            </w:rPr>
            <w:instrText xml:space="preserve"> PAGEREF _Toc16797 \h </w:instrText>
          </w:r>
          <w:r>
            <w:rPr>
              <w:sz w:val="32"/>
              <w:szCs w:val="32"/>
            </w:rPr>
            <w:fldChar w:fldCharType="separate"/>
          </w:r>
          <w:r>
            <w:rPr>
              <w:sz w:val="32"/>
              <w:szCs w:val="32"/>
            </w:rPr>
            <w:t>1</w:t>
          </w:r>
          <w:r>
            <w:rPr>
              <w:sz w:val="32"/>
              <w:szCs w:val="32"/>
            </w:rPr>
            <w:fldChar w:fldCharType="end"/>
          </w:r>
          <w:r>
            <w:rPr>
              <w:sz w:val="32"/>
              <w:szCs w:val="32"/>
            </w:rPr>
            <w:fldChar w:fldCharType="end"/>
          </w:r>
        </w:p>
        <w:p w14:paraId="7013AE9C">
          <w:pPr>
            <w:pStyle w:val="13"/>
            <w:tabs>
              <w:tab w:val="right" w:leader="dot" w:pos="8306"/>
            </w:tabs>
            <w:spacing w:line="600" w:lineRule="auto"/>
            <w:rPr>
              <w:sz w:val="32"/>
              <w:szCs w:val="32"/>
            </w:rPr>
          </w:pPr>
          <w:r>
            <w:fldChar w:fldCharType="begin"/>
          </w:r>
          <w:r>
            <w:instrText xml:space="preserve"> HYPERLINK \l "_Toc16073" </w:instrText>
          </w:r>
          <w:r>
            <w:fldChar w:fldCharType="separate"/>
          </w:r>
          <w:r>
            <w:rPr>
              <w:rFonts w:hint="eastAsia" w:ascii="宋体" w:hAnsi="宋体" w:eastAsia="宋体" w:cs="宋体"/>
              <w:bCs/>
              <w:sz w:val="32"/>
              <w:szCs w:val="32"/>
            </w:rPr>
            <w:t>第二章投标人须知</w:t>
          </w:r>
          <w:r>
            <w:rPr>
              <w:sz w:val="32"/>
              <w:szCs w:val="32"/>
            </w:rPr>
            <w:tab/>
          </w:r>
          <w:r>
            <w:rPr>
              <w:sz w:val="32"/>
              <w:szCs w:val="32"/>
            </w:rPr>
            <w:fldChar w:fldCharType="begin"/>
          </w:r>
          <w:r>
            <w:rPr>
              <w:sz w:val="32"/>
              <w:szCs w:val="32"/>
            </w:rPr>
            <w:instrText xml:space="preserve"> PAGEREF _Toc16073 \h </w:instrText>
          </w:r>
          <w:r>
            <w:rPr>
              <w:sz w:val="32"/>
              <w:szCs w:val="32"/>
            </w:rPr>
            <w:fldChar w:fldCharType="separate"/>
          </w:r>
          <w:r>
            <w:rPr>
              <w:sz w:val="32"/>
              <w:szCs w:val="32"/>
            </w:rPr>
            <w:t>7</w:t>
          </w:r>
          <w:r>
            <w:rPr>
              <w:sz w:val="32"/>
              <w:szCs w:val="32"/>
            </w:rPr>
            <w:fldChar w:fldCharType="end"/>
          </w:r>
          <w:r>
            <w:rPr>
              <w:sz w:val="32"/>
              <w:szCs w:val="32"/>
            </w:rPr>
            <w:fldChar w:fldCharType="end"/>
          </w:r>
        </w:p>
        <w:p w14:paraId="75603C09">
          <w:pPr>
            <w:pStyle w:val="13"/>
            <w:tabs>
              <w:tab w:val="right" w:leader="dot" w:pos="8306"/>
            </w:tabs>
            <w:spacing w:line="600" w:lineRule="auto"/>
            <w:rPr>
              <w:sz w:val="32"/>
              <w:szCs w:val="32"/>
            </w:rPr>
          </w:pPr>
          <w:r>
            <w:fldChar w:fldCharType="begin"/>
          </w:r>
          <w:r>
            <w:instrText xml:space="preserve"> HYPERLINK \l "_Toc29056" </w:instrText>
          </w:r>
          <w:r>
            <w:fldChar w:fldCharType="separate"/>
          </w:r>
          <w:r>
            <w:rPr>
              <w:rFonts w:hint="eastAsia" w:ascii="宋体" w:hAnsi="宋体" w:eastAsia="宋体" w:cs="宋体"/>
              <w:bCs/>
              <w:sz w:val="32"/>
              <w:szCs w:val="32"/>
            </w:rPr>
            <w:t>第三章项目需求</w:t>
          </w:r>
          <w:r>
            <w:rPr>
              <w:sz w:val="32"/>
              <w:szCs w:val="32"/>
            </w:rPr>
            <w:tab/>
          </w:r>
          <w:r>
            <w:rPr>
              <w:sz w:val="32"/>
              <w:szCs w:val="32"/>
            </w:rPr>
            <w:fldChar w:fldCharType="begin"/>
          </w:r>
          <w:r>
            <w:rPr>
              <w:sz w:val="32"/>
              <w:szCs w:val="32"/>
            </w:rPr>
            <w:instrText xml:space="preserve"> PAGEREF _Toc29056 \h </w:instrText>
          </w:r>
          <w:r>
            <w:rPr>
              <w:sz w:val="32"/>
              <w:szCs w:val="32"/>
            </w:rPr>
            <w:fldChar w:fldCharType="separate"/>
          </w:r>
          <w:r>
            <w:rPr>
              <w:sz w:val="32"/>
              <w:szCs w:val="32"/>
            </w:rPr>
            <w:t>61</w:t>
          </w:r>
          <w:r>
            <w:rPr>
              <w:sz w:val="32"/>
              <w:szCs w:val="32"/>
            </w:rPr>
            <w:fldChar w:fldCharType="end"/>
          </w:r>
          <w:r>
            <w:rPr>
              <w:sz w:val="32"/>
              <w:szCs w:val="32"/>
            </w:rPr>
            <w:fldChar w:fldCharType="end"/>
          </w:r>
        </w:p>
        <w:p w14:paraId="48A09F43">
          <w:pPr>
            <w:pStyle w:val="13"/>
            <w:tabs>
              <w:tab w:val="right" w:leader="dot" w:pos="8306"/>
            </w:tabs>
            <w:spacing w:line="600" w:lineRule="auto"/>
            <w:rPr>
              <w:sz w:val="32"/>
              <w:szCs w:val="32"/>
            </w:rPr>
          </w:pPr>
          <w:r>
            <w:fldChar w:fldCharType="begin"/>
          </w:r>
          <w:r>
            <w:instrText xml:space="preserve"> HYPERLINK \l "_Toc7708" </w:instrText>
          </w:r>
          <w:r>
            <w:fldChar w:fldCharType="separate"/>
          </w:r>
          <w:r>
            <w:rPr>
              <w:rFonts w:hint="eastAsia" w:ascii="宋体" w:hAnsi="宋体" w:eastAsia="宋体" w:cs="宋体"/>
              <w:bCs/>
              <w:sz w:val="32"/>
              <w:szCs w:val="32"/>
            </w:rPr>
            <w:t>第四章评标办法</w:t>
          </w:r>
          <w:r>
            <w:rPr>
              <w:sz w:val="32"/>
              <w:szCs w:val="32"/>
            </w:rPr>
            <w:tab/>
          </w:r>
          <w:r>
            <w:rPr>
              <w:sz w:val="32"/>
              <w:szCs w:val="32"/>
            </w:rPr>
            <w:fldChar w:fldCharType="begin"/>
          </w:r>
          <w:r>
            <w:rPr>
              <w:sz w:val="32"/>
              <w:szCs w:val="32"/>
            </w:rPr>
            <w:instrText xml:space="preserve"> PAGEREF _Toc7708 \h </w:instrText>
          </w:r>
          <w:r>
            <w:rPr>
              <w:sz w:val="32"/>
              <w:szCs w:val="32"/>
            </w:rPr>
            <w:fldChar w:fldCharType="separate"/>
          </w:r>
          <w:r>
            <w:rPr>
              <w:sz w:val="32"/>
              <w:szCs w:val="32"/>
            </w:rPr>
            <w:t>75</w:t>
          </w:r>
          <w:r>
            <w:rPr>
              <w:sz w:val="32"/>
              <w:szCs w:val="32"/>
            </w:rPr>
            <w:fldChar w:fldCharType="end"/>
          </w:r>
          <w:r>
            <w:rPr>
              <w:sz w:val="32"/>
              <w:szCs w:val="32"/>
            </w:rPr>
            <w:fldChar w:fldCharType="end"/>
          </w:r>
        </w:p>
        <w:p w14:paraId="1CA83B20">
          <w:pPr>
            <w:pStyle w:val="13"/>
            <w:tabs>
              <w:tab w:val="right" w:leader="dot" w:pos="8306"/>
            </w:tabs>
            <w:spacing w:line="600" w:lineRule="auto"/>
            <w:rPr>
              <w:sz w:val="32"/>
              <w:szCs w:val="32"/>
            </w:rPr>
          </w:pPr>
          <w:r>
            <w:fldChar w:fldCharType="begin"/>
          </w:r>
          <w:r>
            <w:instrText xml:space="preserve"> HYPERLINK \l "_Toc16306" </w:instrText>
          </w:r>
          <w:r>
            <w:fldChar w:fldCharType="separate"/>
          </w:r>
          <w:r>
            <w:rPr>
              <w:rFonts w:hint="eastAsia" w:ascii="宋体" w:hAnsi="宋体" w:eastAsia="宋体" w:cs="宋体"/>
              <w:bCs/>
              <w:sz w:val="32"/>
              <w:szCs w:val="32"/>
            </w:rPr>
            <w:t>第五章签订合同及合同范本</w:t>
          </w:r>
          <w:r>
            <w:rPr>
              <w:sz w:val="32"/>
              <w:szCs w:val="32"/>
            </w:rPr>
            <w:tab/>
          </w:r>
          <w:r>
            <w:rPr>
              <w:sz w:val="32"/>
              <w:szCs w:val="32"/>
            </w:rPr>
            <w:fldChar w:fldCharType="begin"/>
          </w:r>
          <w:r>
            <w:rPr>
              <w:sz w:val="32"/>
              <w:szCs w:val="32"/>
            </w:rPr>
            <w:instrText xml:space="preserve"> PAGEREF _Toc16306 \h </w:instrText>
          </w:r>
          <w:r>
            <w:rPr>
              <w:sz w:val="32"/>
              <w:szCs w:val="32"/>
            </w:rPr>
            <w:fldChar w:fldCharType="separate"/>
          </w:r>
          <w:r>
            <w:rPr>
              <w:sz w:val="32"/>
              <w:szCs w:val="32"/>
            </w:rPr>
            <w:t>87</w:t>
          </w:r>
          <w:r>
            <w:rPr>
              <w:sz w:val="32"/>
              <w:szCs w:val="32"/>
            </w:rPr>
            <w:fldChar w:fldCharType="end"/>
          </w:r>
          <w:r>
            <w:rPr>
              <w:sz w:val="32"/>
              <w:szCs w:val="32"/>
            </w:rPr>
            <w:fldChar w:fldCharType="end"/>
          </w:r>
        </w:p>
        <w:p w14:paraId="22726FC7">
          <w:pPr>
            <w:pStyle w:val="13"/>
            <w:tabs>
              <w:tab w:val="right" w:leader="dot" w:pos="8306"/>
            </w:tabs>
            <w:spacing w:line="600" w:lineRule="auto"/>
            <w:rPr>
              <w:sz w:val="32"/>
              <w:szCs w:val="32"/>
            </w:rPr>
          </w:pPr>
          <w:r>
            <w:fldChar w:fldCharType="begin"/>
          </w:r>
          <w:r>
            <w:instrText xml:space="preserve"> HYPERLINK \l "_Toc17312" </w:instrText>
          </w:r>
          <w:r>
            <w:fldChar w:fldCharType="separate"/>
          </w:r>
          <w:r>
            <w:rPr>
              <w:rFonts w:hint="eastAsia" w:ascii="宋体" w:hAnsi="宋体" w:eastAsia="宋体" w:cs="宋体"/>
              <w:bCs/>
              <w:sz w:val="32"/>
              <w:szCs w:val="32"/>
            </w:rPr>
            <w:t>第六章投标文件格式</w:t>
          </w:r>
          <w:r>
            <w:rPr>
              <w:sz w:val="32"/>
              <w:szCs w:val="32"/>
            </w:rPr>
            <w:tab/>
          </w:r>
          <w:r>
            <w:rPr>
              <w:sz w:val="32"/>
              <w:szCs w:val="32"/>
            </w:rPr>
            <w:fldChar w:fldCharType="begin"/>
          </w:r>
          <w:r>
            <w:rPr>
              <w:sz w:val="32"/>
              <w:szCs w:val="32"/>
            </w:rPr>
            <w:instrText xml:space="preserve"> PAGEREF _Toc17312 \h </w:instrText>
          </w:r>
          <w:r>
            <w:rPr>
              <w:sz w:val="32"/>
              <w:szCs w:val="32"/>
            </w:rPr>
            <w:fldChar w:fldCharType="separate"/>
          </w:r>
          <w:r>
            <w:rPr>
              <w:sz w:val="32"/>
              <w:szCs w:val="32"/>
            </w:rPr>
            <w:t>98</w:t>
          </w:r>
          <w:r>
            <w:rPr>
              <w:sz w:val="32"/>
              <w:szCs w:val="32"/>
            </w:rPr>
            <w:fldChar w:fldCharType="end"/>
          </w:r>
          <w:r>
            <w:rPr>
              <w:sz w:val="32"/>
              <w:szCs w:val="32"/>
            </w:rPr>
            <w:fldChar w:fldCharType="end"/>
          </w:r>
        </w:p>
        <w:p w14:paraId="2AA4139F">
          <w:pPr>
            <w:spacing w:line="600" w:lineRule="auto"/>
            <w:jc w:val="center"/>
            <w:outlineLvl w:val="0"/>
            <w:rPr>
              <w:rFonts w:hint="eastAsia" w:ascii="宋体" w:hAnsi="宋体" w:eastAsia="宋体" w:cs="宋体"/>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fldChar w:fldCharType="end"/>
          </w:r>
        </w:p>
      </w:sdtContent>
    </w:sdt>
    <w:p w14:paraId="0A25A296">
      <w:pPr>
        <w:jc w:val="center"/>
        <w:outlineLvl w:val="0"/>
        <w:rPr>
          <w:rFonts w:hint="eastAsia" w:ascii="宋体" w:hAnsi="宋体" w:eastAsia="宋体" w:cs="宋体"/>
          <w:b/>
          <w:bCs/>
          <w:sz w:val="36"/>
          <w:szCs w:val="44"/>
        </w:rPr>
      </w:pPr>
      <w:bookmarkStart w:id="1" w:name="_Toc16797"/>
      <w:r>
        <w:rPr>
          <w:rFonts w:hint="eastAsia" w:ascii="宋体" w:hAnsi="宋体" w:eastAsia="宋体" w:cs="宋体"/>
          <w:b/>
          <w:bCs/>
          <w:sz w:val="36"/>
          <w:szCs w:val="44"/>
        </w:rPr>
        <w:t>第一章公开招标公告</w:t>
      </w:r>
      <w:bookmarkEnd w:id="0"/>
      <w:bookmarkEnd w:id="1"/>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62"/>
      </w:tblGrid>
      <w:tr w14:paraId="4849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0" w:type="auto"/>
            <w:vAlign w:val="center"/>
          </w:tcPr>
          <w:p w14:paraId="4EEFC483">
            <w:pPr>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项目概况</w:t>
            </w:r>
          </w:p>
          <w:p w14:paraId="1918F5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自治区一体化物流服务平台初步设计及概算编制项目的潜在投标人应在政采云平台线上获取招标文件，并于2026年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日11：00（北京时间）前递交投标文件。</w:t>
            </w:r>
          </w:p>
        </w:tc>
      </w:tr>
    </w:tbl>
    <w:p w14:paraId="55A9A599">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一、项目基本情况</w:t>
      </w:r>
    </w:p>
    <w:p w14:paraId="0D4D2F9F">
      <w:pPr>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1.项目编号：</w:t>
      </w:r>
      <w:r>
        <w:rPr>
          <w:rFonts w:hint="eastAsia" w:ascii="宋体" w:hAnsi="宋体" w:eastAsia="宋体" w:cs="宋体"/>
          <w:sz w:val="24"/>
          <w:lang w:eastAsia="zh-CN"/>
        </w:rPr>
        <w:t>XJKC-ZB-2026（024）-2</w:t>
      </w:r>
    </w:p>
    <w:p w14:paraId="49CB8E6B">
      <w:pPr>
        <w:spacing w:line="360" w:lineRule="auto"/>
        <w:ind w:firstLine="480" w:firstLineChars="200"/>
        <w:jc w:val="left"/>
        <w:rPr>
          <w:rFonts w:hint="eastAsia" w:ascii="宋体" w:hAnsi="宋体" w:eastAsia="宋体" w:cs="宋体"/>
          <w:color w:val="FF0000"/>
          <w:sz w:val="24"/>
        </w:rPr>
      </w:pPr>
      <w:r>
        <w:rPr>
          <w:rFonts w:hint="eastAsia" w:ascii="宋体" w:hAnsi="宋体" w:eastAsia="宋体" w:cs="宋体"/>
          <w:sz w:val="24"/>
        </w:rPr>
        <w:t>2.项目名称：自治区一体化物流服务平台初步设计及概算编制项目</w:t>
      </w:r>
    </w:p>
    <w:p w14:paraId="5AD0683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3.采购方式：公开招标</w:t>
      </w:r>
    </w:p>
    <w:p w14:paraId="52D397B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4.预算金额（元）：1600000.00</w:t>
      </w:r>
    </w:p>
    <w:p w14:paraId="6110AA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5.本项目设定最高限价（元）：1600000.00</w:t>
      </w:r>
    </w:p>
    <w:p w14:paraId="4478740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6.采购需求：编制自治区一体化物流服务平台初步设计及概算报告。</w:t>
      </w:r>
    </w:p>
    <w:p w14:paraId="322FA324">
      <w:pPr>
        <w:spacing w:line="360" w:lineRule="auto"/>
        <w:ind w:firstLine="480" w:firstLineChars="200"/>
        <w:jc w:val="left"/>
        <w:rPr>
          <w:rFonts w:hint="eastAsia" w:ascii="宋体" w:hAnsi="宋体" w:eastAsia="宋体" w:cs="宋体"/>
          <w:i/>
          <w:iCs/>
          <w:sz w:val="24"/>
          <w:u w:val="single"/>
        </w:rPr>
      </w:pPr>
      <w:r>
        <w:rPr>
          <w:rFonts w:hint="eastAsia" w:ascii="宋体" w:hAnsi="宋体" w:eastAsia="宋体" w:cs="宋体"/>
          <w:sz w:val="24"/>
        </w:rPr>
        <w:t>7.服务期限：</w:t>
      </w:r>
      <w:r>
        <w:rPr>
          <w:rFonts w:hint="eastAsia" w:ascii="宋体" w:hAnsi="宋体" w:eastAsia="宋体" w:cs="宋体"/>
          <w:i/>
          <w:iCs/>
          <w:sz w:val="24"/>
          <w:u w:val="single"/>
        </w:rPr>
        <w:t>自合同签订生效之日起至最终设计成果通过专家评审，具体以合同约定为准。</w:t>
      </w:r>
    </w:p>
    <w:p w14:paraId="237F38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8.本项目（否）接受联合体投标。</w:t>
      </w:r>
    </w:p>
    <w:p w14:paraId="30CDA22F">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二、申请人的资格要求：</w:t>
      </w:r>
    </w:p>
    <w:p w14:paraId="2F3504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351884F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2.落实政府采购政策需满足的资格要求：</w:t>
      </w:r>
    </w:p>
    <w:p w14:paraId="3D9E7B1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项目为非面向中小企业预留份额的采购项目。小微企业报价扣除标准如下：对符合《政府采购促进中小企业发展管理办法》（财库〔2020〕46号）规定的小微企业报价给予10%的扣除，用扣除后的价格参与评审。</w:t>
      </w:r>
    </w:p>
    <w:p w14:paraId="3F1F4405">
      <w:pPr>
        <w:spacing w:line="360" w:lineRule="auto"/>
        <w:ind w:firstLine="480" w:firstLineChars="200"/>
        <w:jc w:val="left"/>
        <w:rPr>
          <w:rFonts w:hint="default" w:ascii="宋体" w:hAnsi="宋体" w:eastAsia="宋体" w:cs="宋体"/>
          <w:sz w:val="24"/>
          <w:lang w:val="en-US" w:eastAsia="zh-CN"/>
        </w:rPr>
      </w:pPr>
      <w:r>
        <w:rPr>
          <w:rFonts w:hint="eastAsia" w:ascii="宋体" w:hAnsi="宋体" w:eastAsia="宋体" w:cs="宋体"/>
          <w:sz w:val="24"/>
        </w:rPr>
        <w:t>3.本项目的特定资格要求：</w:t>
      </w:r>
      <w:r>
        <w:rPr>
          <w:rFonts w:hint="eastAsia" w:ascii="宋体" w:hAnsi="宋体" w:eastAsia="宋体" w:cs="宋体"/>
          <w:sz w:val="24"/>
          <w:lang w:eastAsia="zh-CN"/>
        </w:rPr>
        <w:t>满足其中任意资质即可（</w:t>
      </w:r>
      <w:r>
        <w:rPr>
          <w:rFonts w:hint="eastAsia" w:ascii="宋体" w:hAnsi="宋体" w:eastAsia="宋体" w:cs="宋体"/>
          <w:sz w:val="24"/>
          <w:lang w:val="en-US" w:eastAsia="zh-CN"/>
        </w:rPr>
        <w:t>需提供证书扫描件）</w:t>
      </w:r>
    </w:p>
    <w:p w14:paraId="5FB0D465">
      <w:pPr>
        <w:spacing w:line="360" w:lineRule="auto"/>
        <w:ind w:firstLine="480" w:firstLineChars="200"/>
        <w:jc w:val="left"/>
        <w:rPr>
          <w:rFonts w:hint="eastAsia" w:ascii="宋体" w:hAnsi="宋体" w:eastAsia="宋体" w:cs="宋体"/>
          <w:i/>
          <w:iCs/>
          <w:color w:val="0000FF"/>
          <w:sz w:val="24"/>
          <w:highlight w:val="none"/>
          <w:u w:val="single"/>
          <w:lang w:eastAsia="zh-CN"/>
        </w:rPr>
      </w:pPr>
      <w:r>
        <w:rPr>
          <w:rFonts w:hint="eastAsia" w:ascii="宋体" w:hAnsi="宋体" w:eastAsia="宋体" w:cs="宋体"/>
          <w:sz w:val="24"/>
          <w:highlight w:val="none"/>
          <w:lang w:val="en-US" w:eastAsia="zh-CN"/>
        </w:rPr>
        <w:t>1</w:t>
      </w:r>
      <w:r>
        <w:rPr>
          <w:rFonts w:hint="eastAsia" w:ascii="宋体" w:hAnsi="宋体" w:eastAsia="宋体" w:cs="宋体"/>
          <w:color w:val="auto"/>
          <w:sz w:val="24"/>
          <w:highlight w:val="none"/>
          <w:lang w:val="en-US" w:eastAsia="zh-CN"/>
        </w:rPr>
        <w:t>.</w:t>
      </w:r>
      <w:r>
        <w:rPr>
          <w:rFonts w:hint="eastAsia" w:ascii="宋体" w:hAnsi="宋体" w:eastAsia="宋体" w:cs="宋体"/>
          <w:i/>
          <w:iCs/>
          <w:color w:val="auto"/>
          <w:sz w:val="24"/>
          <w:highlight w:val="none"/>
          <w:u w:val="single"/>
        </w:rPr>
        <w:t>工程设计综合</w:t>
      </w:r>
      <w:r>
        <w:rPr>
          <w:rFonts w:hint="eastAsia" w:ascii="宋体" w:hAnsi="宋体" w:eastAsia="宋体" w:cs="宋体"/>
          <w:i/>
          <w:iCs/>
          <w:color w:val="auto"/>
          <w:sz w:val="24"/>
          <w:highlight w:val="none"/>
          <w:u w:val="single"/>
          <w:lang w:val="en-US" w:eastAsia="zh-CN"/>
        </w:rPr>
        <w:t>甲级</w:t>
      </w:r>
      <w:r>
        <w:rPr>
          <w:rFonts w:hint="eastAsia" w:ascii="宋体" w:hAnsi="宋体" w:eastAsia="宋体" w:cs="宋体"/>
          <w:i/>
          <w:iCs/>
          <w:color w:val="auto"/>
          <w:sz w:val="24"/>
          <w:highlight w:val="none"/>
          <w:u w:val="single"/>
        </w:rPr>
        <w:t>资质</w:t>
      </w:r>
      <w:r>
        <w:rPr>
          <w:rFonts w:hint="eastAsia" w:ascii="宋体" w:hAnsi="宋体" w:eastAsia="宋体" w:cs="宋体"/>
          <w:i/>
          <w:iCs/>
          <w:color w:val="auto"/>
          <w:sz w:val="24"/>
          <w:highlight w:val="none"/>
          <w:u w:val="single"/>
          <w:lang w:eastAsia="zh-CN"/>
        </w:rPr>
        <w:t>；</w:t>
      </w:r>
      <w:r>
        <w:rPr>
          <w:rFonts w:hint="eastAsia" w:ascii="宋体" w:hAnsi="宋体" w:eastAsia="宋体" w:cs="宋体"/>
          <w:i/>
          <w:iCs/>
          <w:color w:val="auto"/>
          <w:sz w:val="24"/>
          <w:highlight w:val="none"/>
          <w:u w:val="single"/>
          <w:lang w:val="en-US" w:eastAsia="zh-CN"/>
        </w:rPr>
        <w:t>2.</w:t>
      </w:r>
      <w:r>
        <w:rPr>
          <w:rFonts w:hint="eastAsia" w:ascii="宋体" w:hAnsi="宋体" w:eastAsia="宋体" w:cs="宋体"/>
          <w:i/>
          <w:iCs/>
          <w:color w:val="auto"/>
          <w:sz w:val="24"/>
          <w:highlight w:val="none"/>
          <w:u w:val="single"/>
        </w:rPr>
        <w:t>工程设计电子通信广电行业</w:t>
      </w:r>
      <w:r>
        <w:rPr>
          <w:rFonts w:hint="eastAsia" w:ascii="宋体" w:hAnsi="宋体" w:eastAsia="宋体" w:cs="宋体"/>
          <w:i/>
          <w:iCs/>
          <w:color w:val="auto"/>
          <w:sz w:val="24"/>
          <w:highlight w:val="none"/>
          <w:u w:val="single"/>
          <w:lang w:val="en-US" w:eastAsia="zh-CN"/>
        </w:rPr>
        <w:t>甲</w:t>
      </w:r>
      <w:r>
        <w:rPr>
          <w:rFonts w:hint="eastAsia" w:ascii="宋体" w:hAnsi="宋体" w:eastAsia="宋体" w:cs="宋体"/>
          <w:i/>
          <w:iCs/>
          <w:color w:val="auto"/>
          <w:sz w:val="24"/>
          <w:highlight w:val="none"/>
          <w:u w:val="single"/>
        </w:rPr>
        <w:t>级资质</w:t>
      </w:r>
      <w:r>
        <w:rPr>
          <w:rFonts w:hint="eastAsia" w:ascii="宋体" w:hAnsi="宋体" w:eastAsia="宋体" w:cs="宋体"/>
          <w:i/>
          <w:iCs/>
          <w:color w:val="auto"/>
          <w:sz w:val="24"/>
          <w:highlight w:val="none"/>
          <w:u w:val="single"/>
          <w:lang w:eastAsia="zh-CN"/>
        </w:rPr>
        <w:t>；</w:t>
      </w:r>
    </w:p>
    <w:p w14:paraId="495951E3">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三、获取招标文件</w:t>
      </w:r>
    </w:p>
    <w:p w14:paraId="329FA6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时间：2026年</w:t>
      </w:r>
      <w:r>
        <w:rPr>
          <w:rFonts w:hint="eastAsia" w:ascii="宋体" w:hAnsi="宋体" w:eastAsia="宋体" w:cs="宋体"/>
          <w:sz w:val="24"/>
          <w:lang w:val="en-US" w:eastAsia="zh-CN"/>
        </w:rPr>
        <w:t>5</w:t>
      </w:r>
      <w:r>
        <w:rPr>
          <w:rFonts w:hint="eastAsia" w:ascii="宋体" w:hAnsi="宋体" w:eastAsia="宋体" w:cs="宋体"/>
          <w:sz w:val="24"/>
        </w:rPr>
        <w:t>月</w:t>
      </w:r>
      <w:r>
        <w:rPr>
          <w:rFonts w:hint="eastAsia" w:ascii="宋体" w:hAnsi="宋体" w:eastAsia="宋体" w:cs="宋体"/>
          <w:sz w:val="24"/>
          <w:lang w:val="en-US" w:eastAsia="zh-CN"/>
        </w:rPr>
        <w:t>25</w:t>
      </w:r>
      <w:r>
        <w:rPr>
          <w:rFonts w:hint="eastAsia" w:ascii="宋体" w:hAnsi="宋体" w:eastAsia="宋体" w:cs="宋体"/>
          <w:sz w:val="24"/>
        </w:rPr>
        <w:t>日至2026年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4</w:t>
      </w:r>
      <w:r>
        <w:rPr>
          <w:rFonts w:hint="eastAsia" w:ascii="宋体" w:hAnsi="宋体" w:eastAsia="宋体" w:cs="宋体"/>
          <w:sz w:val="24"/>
        </w:rPr>
        <w:t>日，每天上午00：00至14：00，下午14：00至23：59（北京时间，法定节假日除外）</w:t>
      </w:r>
    </w:p>
    <w:p w14:paraId="59D97CE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地点：政采云平台线上</w:t>
      </w:r>
    </w:p>
    <w:p w14:paraId="416E01E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1EEDBA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售价（元）：0</w:t>
      </w:r>
    </w:p>
    <w:p w14:paraId="69BB311E">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四、提交投标文件截止时间、开标时间和地点</w:t>
      </w:r>
    </w:p>
    <w:p w14:paraId="69FA33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提交投标文件截止时间：2026年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日11：00（北京时间）</w:t>
      </w:r>
    </w:p>
    <w:p w14:paraId="3992348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投标地点：请登录政采云投标客户端投标</w:t>
      </w:r>
    </w:p>
    <w:p w14:paraId="62F2F0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开标时间：2026年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15</w:t>
      </w:r>
      <w:r>
        <w:rPr>
          <w:rFonts w:hint="eastAsia" w:ascii="宋体" w:hAnsi="宋体" w:eastAsia="宋体" w:cs="宋体"/>
          <w:sz w:val="24"/>
        </w:rPr>
        <w:t>日11：00（北京时间）</w:t>
      </w:r>
    </w:p>
    <w:p w14:paraId="25FD636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开标地点：投标人登录政采云平台https：//www.zcygov.cn/，进入“项目采购-开标评标-右边选择对应项目点击“进入项目”进入开标大厅。</w:t>
      </w:r>
    </w:p>
    <w:p w14:paraId="379626A8">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五、公告期限</w:t>
      </w:r>
    </w:p>
    <w:p w14:paraId="7F5A13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自本公告发布之日起5个工作日。</w:t>
      </w:r>
    </w:p>
    <w:p w14:paraId="65088069">
      <w:pPr>
        <w:spacing w:line="360" w:lineRule="auto"/>
        <w:jc w:val="left"/>
        <w:outlineLvl w:val="1"/>
        <w:rPr>
          <w:rFonts w:hint="eastAsia" w:ascii="宋体" w:hAnsi="宋体" w:eastAsia="宋体" w:cs="宋体"/>
          <w:b/>
          <w:bCs/>
          <w:sz w:val="24"/>
        </w:rPr>
      </w:pPr>
      <w:r>
        <w:rPr>
          <w:rFonts w:hint="eastAsia" w:ascii="宋体" w:hAnsi="宋体" w:eastAsia="宋体" w:cs="宋体"/>
          <w:b/>
          <w:bCs/>
          <w:sz w:val="24"/>
        </w:rPr>
        <w:t>六、其他补充事宜</w:t>
      </w:r>
    </w:p>
    <w:p w14:paraId="410925E1">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1、本项目实行网上投标，采用电子投标文件。</w:t>
      </w:r>
    </w:p>
    <w:p w14:paraId="4AEBA331">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336D7DA4">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3、供应商将政采云电子交易客户端下载、安装完成后，可通过账号密码或CA登录客户端进行投标文件的制作。在使用政采云投标客户端时，建议使用WIN7及以上操作系统。</w:t>
      </w:r>
    </w:p>
    <w:p w14:paraId="3DA66C2C">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4、其他事项：①本项目采用不见面开标，投标人须在投标截止时间前通过CA上传加密的电子投标响应文件。</w:t>
      </w:r>
    </w:p>
    <w:p w14:paraId="5133B9A2">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②投标人对不见面开评标系统的技术操作咨询，可通过政采云帮助中心常见问题解答和操作流程讲解视频中自助查询，网址为：https：//helpcenter.zcygov.cn/document/#/document/dashboard?siteCode=beijing，“项目采购”—“操作流程-电子招投标”—“政府采购项目电子交易管理操作指南-供应商”版面获取操作指南。</w:t>
      </w:r>
    </w:p>
    <w:p w14:paraId="4836DA9B">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③投标人应当在递交截止时间前,将生成的“电子加密响应文件”上传递交至“政府采购云平台”,递交截止时间以后上传递交的响应文件将被“政府采购云平台”拒收。</w:t>
      </w:r>
    </w:p>
    <w:p w14:paraId="2DB3B5E7">
      <w:pPr>
        <w:wordWrap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④投标人在开标前须提前配置好电脑浏览器（建议使用谷歌浏览器），开标时请使用制作加密电子响应文件的CA锁进行解密及报价确认。本项目投标文件解密时间定为30分钟，如因自身原因导致无法正常解密，后果由投标人自行承担。</w:t>
      </w:r>
    </w:p>
    <w:p w14:paraId="16DA086D">
      <w:pPr>
        <w:wordWrap w:val="0"/>
        <w:spacing w:line="360" w:lineRule="auto"/>
        <w:jc w:val="left"/>
        <w:rPr>
          <w:rFonts w:hint="eastAsia" w:ascii="宋体" w:hAnsi="宋体" w:eastAsia="宋体" w:cs="宋体"/>
          <w:b/>
          <w:bCs/>
          <w:sz w:val="24"/>
        </w:rPr>
      </w:pPr>
      <w:r>
        <w:rPr>
          <w:rFonts w:hint="eastAsia" w:ascii="宋体" w:hAnsi="宋体" w:eastAsia="宋体" w:cs="宋体"/>
          <w:b/>
          <w:bCs/>
          <w:sz w:val="24"/>
        </w:rPr>
        <w:t>特别提示：</w:t>
      </w:r>
    </w:p>
    <w:p w14:paraId="1B687A9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1、采购限额标准以上，200万元以下的货物和服务采购项目、400万元以下的工程采购项目，适宜由中小企业提供的，采购人应当专门面向中小企业采购。</w:t>
      </w:r>
    </w:p>
    <w:p w14:paraId="740F71C7">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2、超过200万元的货物和服务采购项目，预留该部分采购项目预算总额的</w:t>
      </w:r>
      <w:r>
        <w:rPr>
          <w:rFonts w:hint="eastAsia" w:ascii="宋体" w:hAnsi="宋体" w:eastAsia="宋体" w:cs="宋体"/>
          <w:b/>
          <w:bCs/>
          <w:sz w:val="24"/>
          <w:lang w:eastAsia="zh"/>
        </w:rPr>
        <w:t>4</w:t>
      </w:r>
      <w:r>
        <w:rPr>
          <w:rFonts w:hint="eastAsia" w:ascii="宋体" w:hAnsi="宋体" w:eastAsia="宋体" w:cs="宋体"/>
          <w:b/>
          <w:bCs/>
          <w:sz w:val="24"/>
        </w:rPr>
        <w:t>0%以上专门面向中小企业采购，其中预留给小微企业的比例不低于60%。</w:t>
      </w:r>
    </w:p>
    <w:p w14:paraId="40F2F7DB">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3、超过400万元的工程采购项目中适宜由中小企业提供的，预留该部分采购项目预算总额的40%以上专门面向中小企业采购，其中预留给小微企业的比例不低于60%。</w:t>
      </w:r>
    </w:p>
    <w:p w14:paraId="056F3EDA">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15BF0A">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8124B07">
      <w:pPr>
        <w:spacing w:line="360" w:lineRule="auto"/>
        <w:jc w:val="left"/>
        <w:outlineLvl w:val="1"/>
        <w:rPr>
          <w:rFonts w:hint="eastAsia" w:ascii="宋体" w:hAnsi="宋体" w:eastAsia="宋体" w:cs="宋体"/>
          <w:sz w:val="24"/>
        </w:rPr>
      </w:pPr>
      <w:r>
        <w:rPr>
          <w:rFonts w:hint="eastAsia" w:ascii="宋体" w:hAnsi="宋体" w:eastAsia="宋体" w:cs="宋体"/>
          <w:sz w:val="24"/>
        </w:rPr>
        <w:t>七、对本次采购提出询问，请按以下方式联系</w:t>
      </w:r>
    </w:p>
    <w:p w14:paraId="0092F061">
      <w:pPr>
        <w:spacing w:line="360" w:lineRule="auto"/>
        <w:ind w:firstLine="480" w:firstLineChars="200"/>
        <w:jc w:val="left"/>
        <w:outlineLvl w:val="2"/>
        <w:rPr>
          <w:rFonts w:hint="eastAsia" w:ascii="宋体" w:hAnsi="宋体" w:eastAsia="宋体" w:cs="宋体"/>
          <w:sz w:val="24"/>
        </w:rPr>
      </w:pPr>
      <w:r>
        <w:rPr>
          <w:rFonts w:hint="eastAsia" w:ascii="宋体" w:hAnsi="宋体" w:eastAsia="宋体" w:cs="宋体"/>
          <w:sz w:val="24"/>
        </w:rPr>
        <w:t>1.采购人信息</w:t>
      </w:r>
    </w:p>
    <w:p w14:paraId="460B1C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名称：新疆维吾尔自治区数据资源和政务服务中心</w:t>
      </w:r>
    </w:p>
    <w:p w14:paraId="796AB1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地址：新疆乌鲁木齐市</w:t>
      </w:r>
    </w:p>
    <w:p w14:paraId="5BFE6A3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联系人：米老师</w:t>
      </w:r>
    </w:p>
    <w:p w14:paraId="05F2BCE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联系方式：19990600618</w:t>
      </w:r>
    </w:p>
    <w:p w14:paraId="5FC42558">
      <w:pPr>
        <w:spacing w:line="360" w:lineRule="auto"/>
        <w:ind w:firstLine="480" w:firstLineChars="200"/>
        <w:jc w:val="left"/>
        <w:outlineLvl w:val="2"/>
        <w:rPr>
          <w:rFonts w:hint="eastAsia" w:ascii="宋体" w:hAnsi="宋体" w:eastAsia="宋体" w:cs="宋体"/>
          <w:sz w:val="24"/>
        </w:rPr>
      </w:pPr>
      <w:r>
        <w:rPr>
          <w:rFonts w:hint="eastAsia" w:ascii="宋体" w:hAnsi="宋体" w:eastAsia="宋体" w:cs="宋体"/>
          <w:sz w:val="24"/>
        </w:rPr>
        <w:t>2.采购代理机构信息</w:t>
      </w:r>
    </w:p>
    <w:p w14:paraId="3E65FD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名称：新疆科辰工程项目管理有限公司</w:t>
      </w:r>
    </w:p>
    <w:p w14:paraId="3E9135C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地址：新疆乌鲁木齐市水磨沟区陶瓷巷16号4楼203室</w:t>
      </w:r>
    </w:p>
    <w:p w14:paraId="075F5B7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联系人：方启明</w:t>
      </w:r>
    </w:p>
    <w:p w14:paraId="175B836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联系方式：18611710842</w:t>
      </w:r>
    </w:p>
    <w:p w14:paraId="525233F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3.监督部门</w:t>
      </w:r>
    </w:p>
    <w:p w14:paraId="6CD138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
        </w:rPr>
        <w:t>单位</w:t>
      </w:r>
      <w:r>
        <w:rPr>
          <w:rFonts w:hint="eastAsia" w:ascii="宋体" w:hAnsi="宋体" w:eastAsia="宋体" w:cs="宋体"/>
          <w:sz w:val="24"/>
        </w:rPr>
        <w:t>名称：自治区财政厅</w:t>
      </w:r>
    </w:p>
    <w:p w14:paraId="1F83308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联系方式：0991-2359482</w:t>
      </w:r>
    </w:p>
    <w:p w14:paraId="6378ACF8">
      <w:pPr>
        <w:rPr>
          <w:rFonts w:hint="eastAsia" w:ascii="宋体" w:hAnsi="宋体" w:eastAsia="宋体" w:cs="宋体"/>
          <w:sz w:val="24"/>
        </w:rPr>
      </w:pPr>
      <w:r>
        <w:rPr>
          <w:rFonts w:hint="eastAsia" w:ascii="宋体" w:hAnsi="宋体" w:eastAsia="宋体" w:cs="宋体"/>
          <w:sz w:val="24"/>
        </w:rPr>
        <w:br w:type="page"/>
      </w:r>
    </w:p>
    <w:p w14:paraId="4BCF3E8D">
      <w:pPr>
        <w:jc w:val="center"/>
        <w:outlineLvl w:val="0"/>
        <w:rPr>
          <w:rFonts w:hint="eastAsia" w:ascii="宋体" w:hAnsi="宋体" w:eastAsia="宋体" w:cs="宋体"/>
          <w:b/>
          <w:bCs/>
          <w:sz w:val="36"/>
          <w:szCs w:val="44"/>
        </w:rPr>
      </w:pPr>
      <w:bookmarkStart w:id="2" w:name="_Toc1785"/>
      <w:bookmarkStart w:id="3" w:name="_Toc16073"/>
      <w:r>
        <w:rPr>
          <w:rFonts w:hint="eastAsia" w:ascii="宋体" w:hAnsi="宋体" w:eastAsia="宋体" w:cs="宋体"/>
          <w:b/>
          <w:bCs/>
          <w:sz w:val="36"/>
          <w:szCs w:val="44"/>
        </w:rPr>
        <w:t>第二章投标人须知</w:t>
      </w:r>
      <w:bookmarkEnd w:id="2"/>
      <w:bookmarkEnd w:id="3"/>
    </w:p>
    <w:p w14:paraId="4E11681F">
      <w:pPr>
        <w:jc w:val="center"/>
        <w:outlineLvl w:val="1"/>
        <w:rPr>
          <w:rFonts w:hint="eastAsia" w:ascii="宋体" w:hAnsi="宋体" w:eastAsia="宋体" w:cs="宋体"/>
          <w:b/>
          <w:bCs/>
          <w:sz w:val="28"/>
          <w:szCs w:val="36"/>
        </w:rPr>
      </w:pPr>
      <w:bookmarkStart w:id="4" w:name="_Toc21655"/>
      <w:r>
        <w:rPr>
          <w:rFonts w:hint="eastAsia" w:ascii="宋体" w:hAnsi="宋体" w:eastAsia="宋体" w:cs="宋体"/>
          <w:b/>
          <w:bCs/>
          <w:sz w:val="28"/>
          <w:szCs w:val="36"/>
        </w:rPr>
        <w:t>（一）投标人须知前附表</w:t>
      </w:r>
      <w:bookmarkEnd w:id="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532"/>
        <w:gridCol w:w="6497"/>
      </w:tblGrid>
      <w:tr w14:paraId="1EE0A598">
        <w:tblPrEx>
          <w:tblCellMar>
            <w:top w:w="0" w:type="dxa"/>
            <w:left w:w="108" w:type="dxa"/>
            <w:bottom w:w="0" w:type="dxa"/>
            <w:right w:w="108" w:type="dxa"/>
          </w:tblCellMar>
        </w:tblPrEx>
        <w:trPr>
          <w:jc w:val="center"/>
        </w:trPr>
        <w:tc>
          <w:tcPr>
            <w:tcW w:w="289" w:type="pct"/>
            <w:vAlign w:val="center"/>
          </w:tcPr>
          <w:p w14:paraId="3EDD008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序列号</w:t>
            </w:r>
          </w:p>
        </w:tc>
        <w:tc>
          <w:tcPr>
            <w:tcW w:w="899" w:type="pct"/>
            <w:vAlign w:val="center"/>
          </w:tcPr>
          <w:p w14:paraId="6FFFA90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条款名称</w:t>
            </w:r>
          </w:p>
        </w:tc>
        <w:tc>
          <w:tcPr>
            <w:tcW w:w="3811" w:type="pct"/>
            <w:vAlign w:val="center"/>
          </w:tcPr>
          <w:p w14:paraId="6342298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编列内容规定</w:t>
            </w:r>
          </w:p>
        </w:tc>
      </w:tr>
      <w:tr w14:paraId="2CC3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23B88D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w:t>
            </w:r>
          </w:p>
        </w:tc>
        <w:tc>
          <w:tcPr>
            <w:tcW w:w="899" w:type="pct"/>
            <w:vAlign w:val="center"/>
          </w:tcPr>
          <w:p w14:paraId="1ACE8423">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项目名称及项目编号</w:t>
            </w:r>
          </w:p>
        </w:tc>
        <w:tc>
          <w:tcPr>
            <w:tcW w:w="3811" w:type="pct"/>
            <w:vAlign w:val="center"/>
          </w:tcPr>
          <w:p w14:paraId="765D726C">
            <w:pPr>
              <w:spacing w:line="360" w:lineRule="auto"/>
              <w:rPr>
                <w:rFonts w:hint="eastAsia" w:ascii="宋体" w:hAnsi="宋体" w:eastAsia="宋体" w:cs="宋体"/>
                <w:sz w:val="24"/>
                <w:szCs w:val="32"/>
                <w:highlight w:val="yellow"/>
                <w:u w:val="single"/>
              </w:rPr>
            </w:pPr>
            <w:r>
              <w:rPr>
                <w:rFonts w:hint="eastAsia" w:ascii="宋体" w:hAnsi="宋体" w:eastAsia="宋体" w:cs="宋体"/>
                <w:sz w:val="24"/>
                <w:szCs w:val="32"/>
              </w:rPr>
              <w:t>项目名称：</w:t>
            </w:r>
            <w:r>
              <w:rPr>
                <w:rFonts w:hint="eastAsia" w:ascii="宋体" w:hAnsi="宋体" w:eastAsia="宋体" w:cs="宋体"/>
                <w:sz w:val="24"/>
                <w:szCs w:val="32"/>
                <w:u w:val="single"/>
              </w:rPr>
              <w:t>自治区一体化物流服务平台初步设计及概算编制项目</w:t>
            </w:r>
          </w:p>
          <w:p w14:paraId="280CD08A">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项目编号：</w:t>
            </w:r>
            <w:r>
              <w:rPr>
                <w:rFonts w:hint="eastAsia" w:ascii="宋体" w:hAnsi="宋体" w:eastAsia="宋体" w:cs="宋体"/>
                <w:sz w:val="24"/>
                <w:lang w:eastAsia="zh-CN"/>
              </w:rPr>
              <w:t>XJKC-ZB-2026（024）-2</w:t>
            </w:r>
          </w:p>
        </w:tc>
      </w:tr>
      <w:tr w14:paraId="6E71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225C11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w:t>
            </w:r>
          </w:p>
        </w:tc>
        <w:tc>
          <w:tcPr>
            <w:tcW w:w="899" w:type="pct"/>
            <w:vAlign w:val="center"/>
          </w:tcPr>
          <w:p w14:paraId="07FD24B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采购人</w:t>
            </w:r>
          </w:p>
        </w:tc>
        <w:tc>
          <w:tcPr>
            <w:tcW w:w="3811" w:type="pct"/>
            <w:vAlign w:val="center"/>
          </w:tcPr>
          <w:p w14:paraId="6A05CA42">
            <w:pPr>
              <w:spacing w:line="360" w:lineRule="auto"/>
              <w:rPr>
                <w:rFonts w:hint="eastAsia" w:ascii="宋体" w:hAnsi="宋体" w:eastAsia="宋体" w:cs="宋体"/>
                <w:sz w:val="24"/>
                <w:szCs w:val="32"/>
              </w:rPr>
            </w:pPr>
            <w:r>
              <w:rPr>
                <w:rFonts w:hint="eastAsia" w:ascii="宋体" w:hAnsi="宋体" w:eastAsia="宋体" w:cs="宋体"/>
                <w:sz w:val="24"/>
                <w:szCs w:val="32"/>
              </w:rPr>
              <w:t>单位：</w:t>
            </w:r>
            <w:r>
              <w:rPr>
                <w:rFonts w:hint="eastAsia" w:ascii="宋体" w:hAnsi="宋体" w:eastAsia="宋体" w:cs="宋体"/>
                <w:sz w:val="24"/>
                <w:szCs w:val="32"/>
                <w:u w:val="single"/>
              </w:rPr>
              <w:t>新疆维吾尔自治区数据资源和政务服务中心</w:t>
            </w:r>
          </w:p>
          <w:p w14:paraId="2B8A6891">
            <w:pPr>
              <w:spacing w:line="360" w:lineRule="auto"/>
              <w:rPr>
                <w:rFonts w:hint="eastAsia" w:ascii="宋体" w:hAnsi="宋体" w:eastAsia="宋体" w:cs="宋体"/>
                <w:sz w:val="24"/>
                <w:szCs w:val="32"/>
              </w:rPr>
            </w:pPr>
            <w:r>
              <w:rPr>
                <w:rFonts w:hint="eastAsia" w:ascii="宋体" w:hAnsi="宋体" w:eastAsia="宋体" w:cs="宋体"/>
                <w:sz w:val="24"/>
                <w:szCs w:val="32"/>
              </w:rPr>
              <w:t>地址：</w:t>
            </w:r>
            <w:r>
              <w:rPr>
                <w:rFonts w:hint="eastAsia" w:ascii="宋体" w:hAnsi="宋体" w:eastAsia="宋体" w:cs="宋体"/>
                <w:sz w:val="24"/>
                <w:szCs w:val="32"/>
                <w:u w:val="single"/>
              </w:rPr>
              <w:t>新疆乌鲁木齐市</w:t>
            </w:r>
          </w:p>
          <w:p w14:paraId="02029B53">
            <w:pPr>
              <w:spacing w:line="360" w:lineRule="auto"/>
              <w:rPr>
                <w:rFonts w:hint="eastAsia" w:ascii="宋体" w:hAnsi="宋体" w:eastAsia="宋体" w:cs="宋体"/>
                <w:sz w:val="24"/>
                <w:szCs w:val="32"/>
              </w:rPr>
            </w:pPr>
            <w:r>
              <w:rPr>
                <w:rFonts w:hint="eastAsia" w:ascii="宋体" w:hAnsi="宋体" w:eastAsia="宋体" w:cs="宋体"/>
                <w:sz w:val="24"/>
                <w:szCs w:val="32"/>
              </w:rPr>
              <w:t>联系方式：19990600618</w:t>
            </w:r>
          </w:p>
        </w:tc>
      </w:tr>
      <w:tr w14:paraId="7404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77E5E5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w:t>
            </w:r>
          </w:p>
        </w:tc>
        <w:tc>
          <w:tcPr>
            <w:tcW w:w="899" w:type="pct"/>
            <w:vAlign w:val="center"/>
          </w:tcPr>
          <w:p w14:paraId="3D2F93C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采购代理机构</w:t>
            </w:r>
          </w:p>
        </w:tc>
        <w:tc>
          <w:tcPr>
            <w:tcW w:w="3811" w:type="pct"/>
            <w:vAlign w:val="center"/>
          </w:tcPr>
          <w:p w14:paraId="6A6865B3">
            <w:pPr>
              <w:spacing w:line="360" w:lineRule="auto"/>
              <w:rPr>
                <w:rFonts w:hint="eastAsia" w:ascii="宋体" w:hAnsi="宋体" w:eastAsia="宋体" w:cs="宋体"/>
                <w:sz w:val="24"/>
                <w:szCs w:val="32"/>
              </w:rPr>
            </w:pPr>
            <w:r>
              <w:rPr>
                <w:rFonts w:hint="eastAsia" w:ascii="宋体" w:hAnsi="宋体" w:eastAsia="宋体" w:cs="宋体"/>
                <w:sz w:val="24"/>
                <w:szCs w:val="32"/>
              </w:rPr>
              <w:t>名称：</w:t>
            </w:r>
            <w:r>
              <w:rPr>
                <w:rFonts w:hint="eastAsia" w:ascii="宋体" w:hAnsi="宋体" w:eastAsia="宋体" w:cs="宋体"/>
                <w:sz w:val="24"/>
                <w:szCs w:val="32"/>
                <w:u w:val="single"/>
              </w:rPr>
              <w:t>新疆科辰工程项目管理有限公司</w:t>
            </w:r>
          </w:p>
          <w:p w14:paraId="0176498C">
            <w:pPr>
              <w:spacing w:line="360" w:lineRule="auto"/>
              <w:rPr>
                <w:rFonts w:hint="eastAsia" w:ascii="宋体" w:hAnsi="宋体" w:eastAsia="宋体" w:cs="宋体"/>
                <w:sz w:val="24"/>
                <w:szCs w:val="32"/>
              </w:rPr>
            </w:pPr>
            <w:r>
              <w:rPr>
                <w:rFonts w:hint="eastAsia" w:ascii="宋体" w:hAnsi="宋体" w:eastAsia="宋体" w:cs="宋体"/>
                <w:sz w:val="24"/>
                <w:szCs w:val="32"/>
              </w:rPr>
              <w:t>地址：</w:t>
            </w:r>
            <w:r>
              <w:rPr>
                <w:rFonts w:hint="eastAsia" w:ascii="宋体" w:hAnsi="宋体" w:eastAsia="宋体" w:cs="宋体"/>
                <w:sz w:val="24"/>
                <w:szCs w:val="32"/>
                <w:u w:val="single"/>
              </w:rPr>
              <w:t>新疆乌鲁木齐市水磨沟区陶瓷巷16号4楼203室</w:t>
            </w:r>
          </w:p>
          <w:p w14:paraId="0B5B2EFF">
            <w:pPr>
              <w:spacing w:line="360" w:lineRule="auto"/>
              <w:rPr>
                <w:rFonts w:hint="eastAsia" w:ascii="宋体" w:hAnsi="宋体" w:eastAsia="宋体" w:cs="宋体"/>
                <w:sz w:val="24"/>
                <w:szCs w:val="32"/>
              </w:rPr>
            </w:pPr>
            <w:r>
              <w:rPr>
                <w:rFonts w:hint="eastAsia" w:ascii="宋体" w:hAnsi="宋体" w:eastAsia="宋体" w:cs="宋体"/>
                <w:sz w:val="24"/>
                <w:szCs w:val="32"/>
              </w:rPr>
              <w:t>联系人：</w:t>
            </w:r>
            <w:r>
              <w:rPr>
                <w:rFonts w:hint="eastAsia" w:ascii="宋体" w:hAnsi="宋体" w:eastAsia="宋体" w:cs="宋体"/>
                <w:sz w:val="24"/>
                <w:szCs w:val="32"/>
                <w:u w:val="single"/>
              </w:rPr>
              <w:t>方启明</w:t>
            </w:r>
          </w:p>
          <w:p w14:paraId="12CD02F8">
            <w:pPr>
              <w:spacing w:line="360" w:lineRule="auto"/>
              <w:rPr>
                <w:rFonts w:hint="eastAsia" w:ascii="宋体" w:hAnsi="宋体" w:eastAsia="宋体" w:cs="宋体"/>
                <w:sz w:val="24"/>
                <w:szCs w:val="32"/>
              </w:rPr>
            </w:pPr>
            <w:r>
              <w:rPr>
                <w:rFonts w:hint="eastAsia" w:ascii="宋体" w:hAnsi="宋体" w:eastAsia="宋体" w:cs="宋体"/>
                <w:sz w:val="24"/>
                <w:szCs w:val="32"/>
              </w:rPr>
              <w:t>联系方式：</w:t>
            </w:r>
            <w:r>
              <w:rPr>
                <w:rFonts w:hint="eastAsia" w:ascii="宋体" w:hAnsi="宋体" w:eastAsia="宋体" w:cs="宋体"/>
                <w:sz w:val="24"/>
                <w:szCs w:val="32"/>
                <w:u w:val="single"/>
              </w:rPr>
              <w:t>18611710842</w:t>
            </w:r>
          </w:p>
        </w:tc>
      </w:tr>
      <w:tr w14:paraId="79E2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EA8C23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4</w:t>
            </w:r>
          </w:p>
        </w:tc>
        <w:tc>
          <w:tcPr>
            <w:tcW w:w="899" w:type="pct"/>
            <w:vAlign w:val="center"/>
          </w:tcPr>
          <w:p w14:paraId="4187081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监管部门</w:t>
            </w:r>
          </w:p>
        </w:tc>
        <w:tc>
          <w:tcPr>
            <w:tcW w:w="3811" w:type="pct"/>
            <w:vAlign w:val="center"/>
          </w:tcPr>
          <w:p w14:paraId="1A29D36C">
            <w:pPr>
              <w:spacing w:line="360" w:lineRule="auto"/>
              <w:rPr>
                <w:rFonts w:hint="eastAsia" w:ascii="宋体" w:hAnsi="宋体" w:eastAsia="宋体" w:cs="宋体"/>
                <w:sz w:val="24"/>
                <w:szCs w:val="32"/>
              </w:rPr>
            </w:pPr>
            <w:r>
              <w:rPr>
                <w:rFonts w:hint="eastAsia" w:ascii="宋体" w:hAnsi="宋体" w:eastAsia="宋体" w:cs="宋体"/>
                <w:sz w:val="24"/>
                <w:szCs w:val="32"/>
              </w:rPr>
              <w:t>名称：</w:t>
            </w:r>
            <w:r>
              <w:rPr>
                <w:rFonts w:hint="eastAsia" w:ascii="宋体" w:hAnsi="宋体" w:eastAsia="宋体" w:cs="宋体"/>
                <w:sz w:val="24"/>
                <w:szCs w:val="32"/>
                <w:u w:val="single"/>
              </w:rPr>
              <w:t>新疆维吾尔自治区财政厅政府采购管理处</w:t>
            </w:r>
          </w:p>
          <w:p w14:paraId="231EDAC4">
            <w:pPr>
              <w:spacing w:line="360" w:lineRule="auto"/>
              <w:rPr>
                <w:rFonts w:hint="eastAsia" w:ascii="宋体" w:hAnsi="宋体" w:eastAsia="宋体" w:cs="宋体"/>
                <w:sz w:val="24"/>
                <w:szCs w:val="32"/>
                <w:u w:val="single"/>
              </w:rPr>
            </w:pPr>
            <w:r>
              <w:rPr>
                <w:rFonts w:hint="eastAsia" w:ascii="宋体" w:hAnsi="宋体" w:eastAsia="宋体" w:cs="宋体"/>
                <w:sz w:val="24"/>
                <w:szCs w:val="32"/>
              </w:rPr>
              <w:t>监督投诉电话：</w:t>
            </w:r>
            <w:r>
              <w:rPr>
                <w:rFonts w:hint="eastAsia" w:ascii="宋体" w:hAnsi="宋体" w:eastAsia="宋体" w:cs="宋体"/>
                <w:sz w:val="24"/>
                <w:szCs w:val="32"/>
                <w:u w:val="single"/>
              </w:rPr>
              <w:t>0991-2359482</w:t>
            </w:r>
          </w:p>
          <w:p w14:paraId="0AE364CA">
            <w:pPr>
              <w:spacing w:line="360" w:lineRule="auto"/>
              <w:rPr>
                <w:rFonts w:hint="eastAsia" w:ascii="宋体" w:hAnsi="宋体" w:eastAsia="宋体" w:cs="宋体"/>
                <w:sz w:val="24"/>
                <w:szCs w:val="32"/>
              </w:rPr>
            </w:pPr>
            <w:r>
              <w:rPr>
                <w:rFonts w:hint="eastAsia" w:ascii="宋体" w:hAnsi="宋体" w:eastAsia="宋体" w:cs="宋体"/>
                <w:sz w:val="24"/>
                <w:szCs w:val="32"/>
              </w:rPr>
              <w:t>通讯地址：</w:t>
            </w:r>
            <w:r>
              <w:rPr>
                <w:rFonts w:hint="eastAsia" w:ascii="宋体" w:hAnsi="宋体" w:eastAsia="宋体" w:cs="宋体"/>
                <w:sz w:val="24"/>
                <w:szCs w:val="32"/>
                <w:u w:val="single"/>
              </w:rPr>
              <w:t>乌鲁木齐市天山区明德路16号</w:t>
            </w:r>
          </w:p>
        </w:tc>
      </w:tr>
      <w:tr w14:paraId="2B1D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EF4AD2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5</w:t>
            </w:r>
          </w:p>
        </w:tc>
        <w:tc>
          <w:tcPr>
            <w:tcW w:w="899" w:type="pct"/>
            <w:vAlign w:val="center"/>
          </w:tcPr>
          <w:p w14:paraId="36259DB6">
            <w:pPr>
              <w:wordWrap w:val="0"/>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资金来源以及资金构成</w:t>
            </w:r>
          </w:p>
        </w:tc>
        <w:tc>
          <w:tcPr>
            <w:tcW w:w="3811" w:type="pct"/>
            <w:vAlign w:val="center"/>
          </w:tcPr>
          <w:p w14:paraId="5DD45F8B">
            <w:pPr>
              <w:wordWrap w:val="0"/>
              <w:spacing w:line="360" w:lineRule="auto"/>
              <w:rPr>
                <w:rFonts w:hint="eastAsia" w:ascii="宋体" w:hAnsi="宋体" w:eastAsia="宋体" w:cs="宋体"/>
                <w:sz w:val="24"/>
                <w:szCs w:val="32"/>
              </w:rPr>
            </w:pPr>
            <w:r>
              <w:rPr>
                <w:rFonts w:hint="eastAsia" w:ascii="宋体" w:hAnsi="宋体" w:eastAsia="宋体" w:cs="宋体"/>
                <w:sz w:val="24"/>
                <w:szCs w:val="32"/>
              </w:rPr>
              <w:t>预算金额为</w:t>
            </w:r>
            <w:r>
              <w:rPr>
                <w:rFonts w:hint="eastAsia" w:ascii="宋体" w:hAnsi="宋体" w:eastAsia="宋体" w:cs="宋体"/>
                <w:sz w:val="24"/>
                <w:szCs w:val="32"/>
                <w:u w:val="single"/>
              </w:rPr>
              <w:t>1600000.00</w:t>
            </w:r>
            <w:r>
              <w:rPr>
                <w:rFonts w:hint="eastAsia" w:ascii="宋体" w:hAnsi="宋体" w:eastAsia="宋体" w:cs="宋体"/>
                <w:sz w:val="24"/>
                <w:szCs w:val="32"/>
              </w:rPr>
              <w:t>元，其中自治区财政资金为</w:t>
            </w:r>
            <w:r>
              <w:rPr>
                <w:rFonts w:hint="eastAsia" w:ascii="宋体" w:hAnsi="宋体" w:eastAsia="宋体" w:cs="宋体"/>
                <w:sz w:val="24"/>
                <w:szCs w:val="32"/>
                <w:u w:val="single"/>
              </w:rPr>
              <w:t>1600000.00</w:t>
            </w:r>
            <w:r>
              <w:rPr>
                <w:rFonts w:hint="eastAsia" w:ascii="宋体" w:hAnsi="宋体" w:eastAsia="宋体" w:cs="宋体"/>
                <w:sz w:val="24"/>
                <w:szCs w:val="32"/>
              </w:rPr>
              <w:t>元，其他资金为</w:t>
            </w:r>
            <w:r>
              <w:rPr>
                <w:rFonts w:hint="eastAsia" w:ascii="宋体" w:hAnsi="宋体" w:eastAsia="宋体" w:cs="宋体"/>
                <w:sz w:val="24"/>
                <w:szCs w:val="32"/>
                <w:u w:val="single"/>
              </w:rPr>
              <w:t>0</w:t>
            </w:r>
            <w:r>
              <w:rPr>
                <w:rFonts w:hint="eastAsia" w:ascii="宋体" w:hAnsi="宋体" w:eastAsia="宋体" w:cs="宋体"/>
                <w:sz w:val="24"/>
                <w:szCs w:val="32"/>
              </w:rPr>
              <w:t>元。</w:t>
            </w:r>
          </w:p>
        </w:tc>
      </w:tr>
      <w:tr w14:paraId="5A63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DC41AF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6</w:t>
            </w:r>
          </w:p>
        </w:tc>
        <w:tc>
          <w:tcPr>
            <w:tcW w:w="899" w:type="pct"/>
            <w:vAlign w:val="center"/>
          </w:tcPr>
          <w:p w14:paraId="39F7B88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分包及中标规定</w:t>
            </w:r>
          </w:p>
        </w:tc>
        <w:tc>
          <w:tcPr>
            <w:tcW w:w="3811" w:type="pct"/>
            <w:vAlign w:val="center"/>
          </w:tcPr>
          <w:p w14:paraId="13FEDE71">
            <w:pPr>
              <w:spacing w:line="360" w:lineRule="auto"/>
              <w:rPr>
                <w:rFonts w:hint="eastAsia" w:ascii="宋体" w:hAnsi="宋体" w:eastAsia="宋体" w:cs="宋体"/>
                <w:sz w:val="24"/>
                <w:szCs w:val="32"/>
              </w:rPr>
            </w:pPr>
            <w:r>
              <w:rPr>
                <w:rFonts w:hint="eastAsia" w:ascii="宋体" w:hAnsi="宋体" w:eastAsia="宋体" w:cs="宋体"/>
                <w:sz w:val="24"/>
                <w:szCs w:val="32"/>
              </w:rPr>
              <w:t>☑本项目不分包。</w:t>
            </w:r>
          </w:p>
          <w:p w14:paraId="1665D890">
            <w:pPr>
              <w:spacing w:line="360" w:lineRule="auto"/>
              <w:rPr>
                <w:rFonts w:hint="eastAsia" w:ascii="宋体" w:hAnsi="宋体" w:eastAsia="宋体" w:cs="宋体"/>
                <w:sz w:val="24"/>
                <w:szCs w:val="32"/>
              </w:rPr>
            </w:pPr>
            <w:r>
              <w:rPr>
                <w:rFonts w:hint="eastAsia" w:ascii="宋体" w:hAnsi="宋体" w:eastAsia="宋体" w:cs="宋体"/>
                <w:sz w:val="24"/>
                <w:szCs w:val="32"/>
              </w:rPr>
              <w:t>□本项目分为多个包，投标人可以选择多包投标，投标人中标包数不受限制。</w:t>
            </w:r>
          </w:p>
          <w:p w14:paraId="29093F05">
            <w:pPr>
              <w:spacing w:line="360" w:lineRule="auto"/>
              <w:rPr>
                <w:rFonts w:hint="eastAsia" w:ascii="宋体" w:hAnsi="宋体" w:eastAsia="宋体" w:cs="宋体"/>
                <w:sz w:val="24"/>
                <w:szCs w:val="32"/>
              </w:rPr>
            </w:pPr>
            <w:r>
              <w:rPr>
                <w:rFonts w:hint="eastAsia" w:ascii="宋体" w:hAnsi="宋体" w:eastAsia="宋体" w:cs="宋体"/>
                <w:sz w:val="24"/>
                <w:szCs w:val="32"/>
              </w:rPr>
              <w:t>□本项目分为多个包，投标人可以选择多包投标，但投标人最多只能中标</w:t>
            </w:r>
            <w:r>
              <w:rPr>
                <w:rFonts w:hint="eastAsia" w:ascii="宋体" w:hAnsi="宋体" w:eastAsia="宋体" w:cs="宋体"/>
                <w:sz w:val="24"/>
                <w:szCs w:val="32"/>
                <w:u w:val="single"/>
              </w:rPr>
              <w:t>1</w:t>
            </w:r>
            <w:r>
              <w:rPr>
                <w:rFonts w:hint="eastAsia" w:ascii="宋体" w:hAnsi="宋体" w:eastAsia="宋体" w:cs="宋体"/>
                <w:sz w:val="24"/>
                <w:szCs w:val="32"/>
              </w:rPr>
              <w:t>个包。若同一投标人在2个及以上包的投标排名均第一的，按照以下规则确定中标人：</w:t>
            </w:r>
            <w:r>
              <w:rPr>
                <w:rFonts w:hint="eastAsia" w:ascii="宋体" w:hAnsi="宋体" w:eastAsia="宋体" w:cs="宋体"/>
                <w:sz w:val="24"/>
                <w:szCs w:val="32"/>
                <w:u w:val="single"/>
              </w:rPr>
              <w:t>①按包号顺序确定；②按开标时间先后顺序确定</w:t>
            </w:r>
          </w:p>
        </w:tc>
      </w:tr>
      <w:tr w14:paraId="7888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7F6D24B">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7</w:t>
            </w:r>
          </w:p>
        </w:tc>
        <w:tc>
          <w:tcPr>
            <w:tcW w:w="899" w:type="pct"/>
            <w:vAlign w:val="center"/>
          </w:tcPr>
          <w:p w14:paraId="618AF95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是否接受联合体投标</w:t>
            </w:r>
          </w:p>
        </w:tc>
        <w:tc>
          <w:tcPr>
            <w:tcW w:w="3811" w:type="pct"/>
            <w:vAlign w:val="center"/>
          </w:tcPr>
          <w:p w14:paraId="29C08541">
            <w:pPr>
              <w:spacing w:line="360" w:lineRule="auto"/>
              <w:rPr>
                <w:rFonts w:hint="eastAsia" w:ascii="宋体" w:hAnsi="宋体" w:eastAsia="宋体" w:cs="宋体"/>
                <w:sz w:val="24"/>
                <w:szCs w:val="32"/>
              </w:rPr>
            </w:pPr>
            <w:r>
              <w:rPr>
                <w:rFonts w:hint="eastAsia" w:ascii="宋体" w:hAnsi="宋体" w:eastAsia="宋体" w:cs="宋体"/>
                <w:sz w:val="24"/>
                <w:szCs w:val="32"/>
              </w:rPr>
              <w:t>☑不接受</w:t>
            </w:r>
          </w:p>
          <w:p w14:paraId="35AA6287">
            <w:pPr>
              <w:spacing w:line="360" w:lineRule="auto"/>
              <w:rPr>
                <w:rFonts w:hint="eastAsia" w:ascii="宋体" w:hAnsi="宋体" w:eastAsia="宋体" w:cs="宋体"/>
                <w:sz w:val="24"/>
                <w:szCs w:val="32"/>
              </w:rPr>
            </w:pPr>
            <w:r>
              <w:rPr>
                <w:rFonts w:hint="eastAsia" w:ascii="宋体" w:hAnsi="宋体" w:eastAsia="宋体" w:cs="宋体"/>
                <w:sz w:val="24"/>
                <w:szCs w:val="32"/>
              </w:rPr>
              <w:t>□接受，应满足下列要求：</w:t>
            </w:r>
          </w:p>
        </w:tc>
      </w:tr>
      <w:tr w14:paraId="2C9E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3236D0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8</w:t>
            </w:r>
          </w:p>
        </w:tc>
        <w:tc>
          <w:tcPr>
            <w:tcW w:w="899" w:type="pct"/>
            <w:vAlign w:val="center"/>
          </w:tcPr>
          <w:p w14:paraId="3ED99B1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面向中小企业预留情况及小微企业报价扣除标准</w:t>
            </w:r>
          </w:p>
        </w:tc>
        <w:tc>
          <w:tcPr>
            <w:tcW w:w="3811" w:type="pct"/>
            <w:vAlign w:val="center"/>
          </w:tcPr>
          <w:p w14:paraId="0557A28F">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□本项目为面向中小企业预留份额的采购包，专门面向中小企业采购，有关要求详见招标公告。小微企业不享受价格折扣优惠。</w:t>
            </w:r>
          </w:p>
          <w:p w14:paraId="2A44B487">
            <w:pPr>
              <w:spacing w:line="360" w:lineRule="auto"/>
              <w:rPr>
                <w:rFonts w:hint="eastAsia" w:ascii="宋体" w:hAnsi="宋体" w:eastAsia="宋体" w:cs="宋体"/>
                <w:sz w:val="24"/>
                <w:szCs w:val="32"/>
              </w:rPr>
            </w:pPr>
            <w:r>
              <w:rPr>
                <w:rFonts w:hint="eastAsia" w:ascii="宋体" w:hAnsi="宋体" w:eastAsia="宋体" w:cs="宋体"/>
                <w:sz w:val="24"/>
                <w:szCs w:val="32"/>
              </w:rPr>
              <w:t>□本包为面向中小企业预留份额的采购包，要求投标人以联合体形式参加采购活动，且联合体中中小企业承担的部分达到一定比例，有关要求详见招标公告。小微企业不享受价格折扣优惠。</w:t>
            </w:r>
          </w:p>
          <w:p w14:paraId="2B119B84">
            <w:pPr>
              <w:spacing w:line="360" w:lineRule="auto"/>
              <w:rPr>
                <w:rFonts w:hint="eastAsia" w:ascii="宋体" w:hAnsi="宋体" w:eastAsia="宋体" w:cs="宋体"/>
                <w:sz w:val="24"/>
                <w:szCs w:val="32"/>
              </w:rPr>
            </w:pPr>
            <w:r>
              <w:rPr>
                <w:rFonts w:hint="eastAsia" w:ascii="宋体" w:hAnsi="宋体" w:eastAsia="宋体" w:cs="宋体"/>
                <w:sz w:val="24"/>
                <w:szCs w:val="32"/>
              </w:rPr>
              <w:t>□本包为面向中小企业预留份额的采购包，要求获得采购合同的投标人将采购项目中的一定比例分包给一家或者多家中小企业，有关要求详见招标公告。小微企业不享受价格折扣优惠。</w:t>
            </w:r>
          </w:p>
          <w:p w14:paraId="2A43C8CB">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☑本项目为非</w:t>
            </w:r>
            <w:r>
              <w:rPr>
                <w:rFonts w:hint="eastAsia" w:ascii="宋体" w:hAnsi="宋体" w:eastAsia="宋体" w:cs="宋体"/>
                <w:b/>
                <w:bCs/>
                <w:sz w:val="24"/>
                <w:szCs w:val="32"/>
                <w:lang w:val="en-US" w:eastAsia="zh-CN"/>
              </w:rPr>
              <w:t>专门</w:t>
            </w:r>
            <w:r>
              <w:rPr>
                <w:rFonts w:hint="eastAsia" w:ascii="宋体" w:hAnsi="宋体" w:eastAsia="宋体" w:cs="宋体"/>
                <w:b/>
                <w:bCs/>
                <w:sz w:val="24"/>
                <w:szCs w:val="32"/>
              </w:rPr>
              <w:t>面向中小企业预留份额的采购包。小微企业报价扣除标准如下：</w:t>
            </w:r>
          </w:p>
          <w:p w14:paraId="49588129">
            <w:pPr>
              <w:spacing w:line="360" w:lineRule="auto"/>
              <w:rPr>
                <w:rFonts w:hint="eastAsia" w:ascii="宋体" w:hAnsi="宋体" w:eastAsia="宋体" w:cs="宋体"/>
                <w:sz w:val="24"/>
                <w:szCs w:val="32"/>
              </w:rPr>
            </w:pPr>
            <w:r>
              <w:rPr>
                <w:rFonts w:hint="eastAsia" w:ascii="宋体" w:hAnsi="宋体" w:eastAsia="宋体" w:cs="宋体"/>
                <w:sz w:val="24"/>
                <w:szCs w:val="32"/>
              </w:rPr>
              <w:t>对符合《政府采购促进中小企业发展管理办法》（财库〔2020〕46号）规定的小微企业报价给予</w:t>
            </w:r>
            <w:r>
              <w:rPr>
                <w:rFonts w:hint="eastAsia" w:ascii="宋体" w:hAnsi="宋体" w:eastAsia="宋体" w:cs="宋体"/>
                <w:sz w:val="24"/>
                <w:szCs w:val="32"/>
                <w:u w:val="single"/>
              </w:rPr>
              <w:t>10</w:t>
            </w:r>
            <w:r>
              <w:rPr>
                <w:rFonts w:hint="eastAsia" w:ascii="宋体" w:hAnsi="宋体" w:eastAsia="宋体" w:cs="宋体"/>
                <w:sz w:val="24"/>
                <w:szCs w:val="32"/>
              </w:rPr>
              <w:t>%的扣除，用扣除后的价格参与评审。</w:t>
            </w:r>
          </w:p>
        </w:tc>
      </w:tr>
      <w:tr w14:paraId="718B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F6345E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9</w:t>
            </w:r>
          </w:p>
        </w:tc>
        <w:tc>
          <w:tcPr>
            <w:tcW w:w="899" w:type="pct"/>
            <w:vAlign w:val="center"/>
          </w:tcPr>
          <w:p w14:paraId="0BC7AAC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是否允许递交备选投标方案</w:t>
            </w:r>
          </w:p>
        </w:tc>
        <w:tc>
          <w:tcPr>
            <w:tcW w:w="3811" w:type="pct"/>
            <w:vAlign w:val="center"/>
          </w:tcPr>
          <w:p w14:paraId="7D27F194">
            <w:pPr>
              <w:spacing w:line="360" w:lineRule="auto"/>
              <w:rPr>
                <w:rFonts w:hint="eastAsia" w:ascii="宋体" w:hAnsi="宋体" w:eastAsia="宋体" w:cs="宋体"/>
                <w:sz w:val="24"/>
                <w:szCs w:val="32"/>
              </w:rPr>
            </w:pPr>
            <w:r>
              <w:rPr>
                <w:rFonts w:hint="eastAsia" w:ascii="宋体" w:hAnsi="宋体" w:eastAsia="宋体" w:cs="宋体"/>
                <w:sz w:val="24"/>
                <w:szCs w:val="32"/>
              </w:rPr>
              <w:t>☑不允许。</w:t>
            </w:r>
          </w:p>
          <w:p w14:paraId="2208EEDD">
            <w:pPr>
              <w:spacing w:line="360" w:lineRule="auto"/>
              <w:rPr>
                <w:rFonts w:hint="eastAsia" w:ascii="宋体" w:hAnsi="宋体" w:eastAsia="宋体" w:cs="宋体"/>
                <w:sz w:val="24"/>
                <w:szCs w:val="32"/>
              </w:rPr>
            </w:pPr>
            <w:r>
              <w:rPr>
                <w:rFonts w:hint="eastAsia" w:ascii="宋体" w:hAnsi="宋体" w:eastAsia="宋体" w:cs="宋体"/>
                <w:sz w:val="24"/>
                <w:szCs w:val="32"/>
              </w:rPr>
              <w:t>□允许。要求：只有中标人所递交的备选投标方案方可予以考虑。评标委员会认为中标人的备选投标方案优于其按照招标文件要求的投标方案，采购人可以接受该备选投标方案。</w:t>
            </w:r>
          </w:p>
        </w:tc>
      </w:tr>
      <w:tr w14:paraId="7853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0D0E76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10</w:t>
            </w:r>
          </w:p>
        </w:tc>
        <w:tc>
          <w:tcPr>
            <w:tcW w:w="899" w:type="pct"/>
            <w:vAlign w:val="center"/>
          </w:tcPr>
          <w:p w14:paraId="2F7FB45C">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进口产品投标</w:t>
            </w:r>
          </w:p>
        </w:tc>
        <w:tc>
          <w:tcPr>
            <w:tcW w:w="3811" w:type="pct"/>
            <w:vAlign w:val="center"/>
          </w:tcPr>
          <w:p w14:paraId="6437B5CF">
            <w:pPr>
              <w:spacing w:line="360" w:lineRule="auto"/>
              <w:rPr>
                <w:rFonts w:hint="eastAsia" w:ascii="宋体" w:hAnsi="宋体" w:eastAsia="宋体" w:cs="宋体"/>
                <w:sz w:val="24"/>
                <w:szCs w:val="32"/>
              </w:rPr>
            </w:pPr>
            <w:r>
              <w:rPr>
                <w:rFonts w:hint="eastAsia" w:ascii="宋体" w:hAnsi="宋体" w:eastAsia="宋体" w:cs="宋体"/>
                <w:sz w:val="24"/>
                <w:szCs w:val="32"/>
              </w:rPr>
              <w:t>☑不允许</w:t>
            </w:r>
          </w:p>
          <w:p w14:paraId="0E4BC2E5">
            <w:pPr>
              <w:spacing w:line="360" w:lineRule="auto"/>
              <w:rPr>
                <w:rFonts w:hint="eastAsia" w:ascii="宋体" w:hAnsi="宋体" w:eastAsia="宋体" w:cs="宋体"/>
                <w:sz w:val="24"/>
                <w:szCs w:val="32"/>
              </w:rPr>
            </w:pPr>
            <w:r>
              <w:rPr>
                <w:rFonts w:hint="eastAsia" w:ascii="宋体" w:hAnsi="宋体" w:eastAsia="宋体" w:cs="宋体"/>
                <w:sz w:val="24"/>
                <w:szCs w:val="32"/>
              </w:rPr>
              <w:t>□允许，产品名目清单：</w:t>
            </w:r>
          </w:p>
        </w:tc>
      </w:tr>
      <w:tr w14:paraId="27BE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DE2B5FB">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11</w:t>
            </w:r>
          </w:p>
        </w:tc>
        <w:tc>
          <w:tcPr>
            <w:tcW w:w="899" w:type="pct"/>
            <w:vAlign w:val="center"/>
          </w:tcPr>
          <w:p w14:paraId="1C39817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投标截止时间</w:t>
            </w:r>
          </w:p>
        </w:tc>
        <w:tc>
          <w:tcPr>
            <w:tcW w:w="3811" w:type="pct"/>
            <w:vAlign w:val="center"/>
          </w:tcPr>
          <w:p w14:paraId="505DFFB1">
            <w:pPr>
              <w:spacing w:line="360" w:lineRule="auto"/>
              <w:rPr>
                <w:rFonts w:hint="eastAsia" w:ascii="宋体" w:hAnsi="宋体" w:eastAsia="宋体" w:cs="宋体"/>
                <w:sz w:val="24"/>
                <w:szCs w:val="32"/>
              </w:rPr>
            </w:pPr>
            <w:r>
              <w:rPr>
                <w:rFonts w:hint="eastAsia" w:ascii="宋体" w:hAnsi="宋体" w:eastAsia="宋体" w:cs="宋体"/>
                <w:sz w:val="24"/>
                <w:szCs w:val="32"/>
              </w:rPr>
              <w:t>详见招标公告。</w:t>
            </w:r>
          </w:p>
        </w:tc>
      </w:tr>
      <w:tr w14:paraId="4A99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98A5241">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12</w:t>
            </w:r>
          </w:p>
        </w:tc>
        <w:tc>
          <w:tcPr>
            <w:tcW w:w="899" w:type="pct"/>
            <w:vAlign w:val="center"/>
          </w:tcPr>
          <w:p w14:paraId="38D8A305">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投标报价的范围</w:t>
            </w:r>
          </w:p>
        </w:tc>
        <w:tc>
          <w:tcPr>
            <w:tcW w:w="3811" w:type="pct"/>
            <w:vAlign w:val="center"/>
          </w:tcPr>
          <w:p w14:paraId="3E378EF3">
            <w:pPr>
              <w:spacing w:line="360" w:lineRule="auto"/>
              <w:rPr>
                <w:rFonts w:hint="eastAsia" w:ascii="宋体" w:hAnsi="宋体" w:eastAsia="宋体" w:cs="宋体"/>
                <w:sz w:val="24"/>
                <w:szCs w:val="32"/>
              </w:rPr>
            </w:pPr>
            <w:r>
              <w:rPr>
                <w:rFonts w:hint="eastAsia" w:ascii="宋体" w:hAnsi="宋体" w:eastAsia="宋体" w:cs="宋体"/>
                <w:sz w:val="24"/>
                <w:szCs w:val="32"/>
              </w:rPr>
              <w:t>含税全包价。</w:t>
            </w:r>
          </w:p>
        </w:tc>
      </w:tr>
      <w:tr w14:paraId="5E70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DF3A5B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13</w:t>
            </w:r>
          </w:p>
        </w:tc>
        <w:tc>
          <w:tcPr>
            <w:tcW w:w="899" w:type="pct"/>
            <w:vAlign w:val="center"/>
          </w:tcPr>
          <w:p w14:paraId="59E469C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投标报价的次数</w:t>
            </w:r>
          </w:p>
        </w:tc>
        <w:tc>
          <w:tcPr>
            <w:tcW w:w="3811" w:type="pct"/>
            <w:vAlign w:val="center"/>
          </w:tcPr>
          <w:p w14:paraId="2870CC9F">
            <w:pPr>
              <w:spacing w:line="360" w:lineRule="auto"/>
              <w:rPr>
                <w:rFonts w:hint="eastAsia" w:ascii="宋体" w:hAnsi="宋体" w:eastAsia="宋体" w:cs="宋体"/>
                <w:sz w:val="24"/>
                <w:szCs w:val="32"/>
              </w:rPr>
            </w:pPr>
            <w:r>
              <w:rPr>
                <w:rFonts w:hint="eastAsia" w:ascii="宋体" w:hAnsi="宋体" w:eastAsia="宋体" w:cs="宋体"/>
                <w:sz w:val="24"/>
                <w:szCs w:val="32"/>
              </w:rPr>
              <w:t>本次投标报价为一次不得更改报价，投标人只有一次报价的机会。投标报价（即开标报价）不得有选择性报价和附有条件的报价，且不得高于最高限价。</w:t>
            </w:r>
          </w:p>
        </w:tc>
      </w:tr>
      <w:tr w14:paraId="0992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173F62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14</w:t>
            </w:r>
          </w:p>
        </w:tc>
        <w:tc>
          <w:tcPr>
            <w:tcW w:w="899" w:type="pct"/>
            <w:vAlign w:val="center"/>
          </w:tcPr>
          <w:p w14:paraId="2F1EF93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询问和质疑</w:t>
            </w:r>
          </w:p>
        </w:tc>
        <w:tc>
          <w:tcPr>
            <w:tcW w:w="3811" w:type="pct"/>
            <w:vAlign w:val="center"/>
          </w:tcPr>
          <w:p w14:paraId="4753AE7D">
            <w:pPr>
              <w:spacing w:line="360" w:lineRule="auto"/>
              <w:rPr>
                <w:rFonts w:hint="eastAsia" w:ascii="宋体" w:hAnsi="宋体" w:eastAsia="宋体" w:cs="宋体"/>
                <w:sz w:val="24"/>
                <w:szCs w:val="32"/>
              </w:rPr>
            </w:pPr>
            <w:r>
              <w:rPr>
                <w:rFonts w:hint="eastAsia" w:ascii="宋体" w:hAnsi="宋体" w:eastAsia="宋体" w:cs="宋体"/>
                <w:sz w:val="24"/>
                <w:szCs w:val="32"/>
              </w:rPr>
              <w:t>1.关于第三章采购需求等内容的询问与质疑请联系采购单位。</w:t>
            </w:r>
          </w:p>
          <w:p w14:paraId="350BE448">
            <w:pPr>
              <w:spacing w:line="360" w:lineRule="auto"/>
              <w:rPr>
                <w:rFonts w:hint="eastAsia" w:ascii="宋体" w:hAnsi="宋体" w:eastAsia="宋体" w:cs="宋体"/>
                <w:sz w:val="24"/>
                <w:szCs w:val="32"/>
              </w:rPr>
            </w:pPr>
            <w:r>
              <w:rPr>
                <w:rFonts w:hint="eastAsia" w:ascii="宋体" w:hAnsi="宋体" w:eastAsia="宋体" w:cs="宋体"/>
                <w:sz w:val="24"/>
                <w:szCs w:val="32"/>
              </w:rPr>
              <w:t>联系人：米老师</w:t>
            </w:r>
          </w:p>
          <w:p w14:paraId="397AB425">
            <w:pPr>
              <w:spacing w:line="360" w:lineRule="auto"/>
              <w:rPr>
                <w:rFonts w:hint="eastAsia" w:ascii="宋体" w:hAnsi="宋体" w:eastAsia="宋体" w:cs="宋体"/>
                <w:sz w:val="24"/>
                <w:szCs w:val="32"/>
              </w:rPr>
            </w:pPr>
            <w:r>
              <w:rPr>
                <w:rFonts w:hint="eastAsia" w:ascii="宋体" w:hAnsi="宋体" w:eastAsia="宋体" w:cs="宋体"/>
                <w:sz w:val="24"/>
                <w:szCs w:val="32"/>
              </w:rPr>
              <w:t>联系电话：19990600618</w:t>
            </w:r>
          </w:p>
          <w:p w14:paraId="0321992C">
            <w:pPr>
              <w:spacing w:line="360" w:lineRule="auto"/>
              <w:rPr>
                <w:rFonts w:hint="eastAsia" w:ascii="宋体" w:hAnsi="宋体" w:eastAsia="宋体" w:cs="宋体"/>
                <w:sz w:val="24"/>
                <w:szCs w:val="32"/>
              </w:rPr>
            </w:pPr>
            <w:r>
              <w:rPr>
                <w:rFonts w:hint="eastAsia" w:ascii="宋体" w:hAnsi="宋体" w:eastAsia="宋体" w:cs="宋体"/>
                <w:sz w:val="24"/>
                <w:szCs w:val="32"/>
              </w:rPr>
              <w:t>2.关于采购流程、获取采购文件等内容的询问与质疑请联系采购代理机构。</w:t>
            </w:r>
          </w:p>
          <w:p w14:paraId="07CF3468">
            <w:pPr>
              <w:spacing w:line="360" w:lineRule="auto"/>
              <w:rPr>
                <w:rFonts w:hint="eastAsia" w:ascii="宋体" w:hAnsi="宋体" w:eastAsia="宋体" w:cs="宋体"/>
                <w:sz w:val="24"/>
                <w:szCs w:val="32"/>
              </w:rPr>
            </w:pPr>
            <w:r>
              <w:rPr>
                <w:rFonts w:hint="eastAsia" w:ascii="宋体" w:hAnsi="宋体" w:eastAsia="宋体" w:cs="宋体"/>
                <w:sz w:val="24"/>
                <w:szCs w:val="32"/>
              </w:rPr>
              <w:t>联系人：</w:t>
            </w:r>
            <w:r>
              <w:rPr>
                <w:rFonts w:hint="eastAsia" w:ascii="宋体" w:hAnsi="宋体" w:eastAsia="宋体" w:cs="宋体"/>
                <w:sz w:val="24"/>
                <w:szCs w:val="32"/>
                <w:u w:val="single"/>
              </w:rPr>
              <w:t>方启明</w:t>
            </w:r>
          </w:p>
          <w:p w14:paraId="37991418">
            <w:pPr>
              <w:spacing w:line="360" w:lineRule="auto"/>
              <w:rPr>
                <w:rFonts w:hint="eastAsia" w:ascii="宋体" w:hAnsi="宋体" w:eastAsia="宋体" w:cs="宋体"/>
                <w:sz w:val="24"/>
                <w:szCs w:val="32"/>
              </w:rPr>
            </w:pPr>
            <w:r>
              <w:rPr>
                <w:rFonts w:hint="eastAsia" w:ascii="宋体" w:hAnsi="宋体" w:eastAsia="宋体" w:cs="宋体"/>
                <w:sz w:val="24"/>
                <w:szCs w:val="32"/>
              </w:rPr>
              <w:t>联系电话：</w:t>
            </w:r>
            <w:r>
              <w:rPr>
                <w:rFonts w:hint="eastAsia" w:ascii="宋体" w:hAnsi="宋体" w:eastAsia="宋体" w:cs="宋体"/>
                <w:sz w:val="24"/>
                <w:szCs w:val="32"/>
                <w:u w:val="single"/>
              </w:rPr>
              <w:t>18611710842</w:t>
            </w:r>
          </w:p>
          <w:p w14:paraId="0D2EE771">
            <w:pPr>
              <w:spacing w:line="360" w:lineRule="auto"/>
              <w:rPr>
                <w:rFonts w:hint="eastAsia" w:ascii="宋体" w:hAnsi="宋体" w:eastAsia="宋体" w:cs="宋体"/>
                <w:sz w:val="24"/>
                <w:szCs w:val="32"/>
              </w:rPr>
            </w:pPr>
            <w:r>
              <w:rPr>
                <w:rFonts w:hint="eastAsia" w:ascii="宋体" w:hAnsi="宋体" w:eastAsia="宋体" w:cs="宋体"/>
                <w:sz w:val="24"/>
                <w:szCs w:val="32"/>
              </w:rPr>
              <w:t>邮箱：</w:t>
            </w:r>
            <w:r>
              <w:rPr>
                <w:rFonts w:hint="eastAsia" w:ascii="宋体" w:hAnsi="宋体" w:eastAsia="宋体" w:cs="宋体"/>
                <w:sz w:val="24"/>
                <w:szCs w:val="32"/>
                <w:u w:val="single"/>
              </w:rPr>
              <w:t>593547143@qq.com</w:t>
            </w:r>
          </w:p>
          <w:p w14:paraId="128F12C9">
            <w:pPr>
              <w:spacing w:line="360" w:lineRule="auto"/>
              <w:rPr>
                <w:rFonts w:hint="eastAsia" w:ascii="宋体" w:hAnsi="宋体" w:eastAsia="宋体" w:cs="宋体"/>
                <w:sz w:val="24"/>
                <w:szCs w:val="32"/>
              </w:rPr>
            </w:pPr>
            <w:r>
              <w:rPr>
                <w:rFonts w:hint="eastAsia" w:ascii="宋体" w:hAnsi="宋体" w:eastAsia="宋体" w:cs="宋体"/>
                <w:sz w:val="24"/>
                <w:szCs w:val="32"/>
              </w:rPr>
              <w:t>递交方式：</w:t>
            </w:r>
            <w:r>
              <w:rPr>
                <w:rFonts w:hint="eastAsia" w:ascii="宋体" w:hAnsi="宋体" w:eastAsia="宋体" w:cs="宋体"/>
                <w:sz w:val="24"/>
                <w:szCs w:val="32"/>
                <w:u w:val="single"/>
              </w:rPr>
              <w:t>现场递交纸质版质疑函（加盖供应商单位公章）及Word格式电子版质疑文件至采购代理机构，如法定代表人前来递交需携带法定代表人身份证明及法定代表人身份证原件，如‌委托人（被授权人）前来递交需携带法定代表人授权委托书及委托人（被授权人）身份证原件。</w:t>
            </w:r>
          </w:p>
          <w:p w14:paraId="1E73C2E4">
            <w:pPr>
              <w:spacing w:line="360" w:lineRule="auto"/>
              <w:rPr>
                <w:rFonts w:hint="eastAsia" w:ascii="宋体" w:hAnsi="宋体" w:eastAsia="宋体" w:cs="宋体"/>
                <w:sz w:val="24"/>
                <w:szCs w:val="32"/>
              </w:rPr>
            </w:pPr>
            <w:r>
              <w:rPr>
                <w:rFonts w:hint="eastAsia" w:ascii="宋体" w:hAnsi="宋体" w:eastAsia="宋体" w:cs="宋体"/>
                <w:sz w:val="24"/>
                <w:szCs w:val="32"/>
              </w:rPr>
              <w:t>递交地址：</w:t>
            </w:r>
            <w:r>
              <w:rPr>
                <w:rFonts w:hint="eastAsia" w:ascii="宋体" w:hAnsi="宋体" w:eastAsia="宋体" w:cs="宋体"/>
                <w:sz w:val="24"/>
                <w:szCs w:val="32"/>
                <w:u w:val="single"/>
              </w:rPr>
              <w:t>新疆乌鲁木齐市水磨沟区陶瓷巷16号4楼203室</w:t>
            </w:r>
          </w:p>
          <w:p w14:paraId="146638BE">
            <w:pPr>
              <w:wordWrap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注：1.根据《中华人民共和国政府采购法》的规定，投标人质疑不得超出公开招标文件、公开招标过程及公开招标结果的范围及时效限制。</w:t>
            </w:r>
          </w:p>
          <w:p w14:paraId="3B23CBB2">
            <w:pPr>
              <w:wordWrap w:val="0"/>
              <w:spacing w:line="360" w:lineRule="auto"/>
              <w:rPr>
                <w:rFonts w:hint="eastAsia" w:ascii="宋体" w:hAnsi="宋体" w:eastAsia="宋体" w:cs="宋体"/>
                <w:sz w:val="24"/>
                <w:szCs w:val="32"/>
              </w:rPr>
            </w:pPr>
            <w:r>
              <w:rPr>
                <w:rFonts w:hint="eastAsia" w:ascii="宋体" w:hAnsi="宋体" w:eastAsia="宋体" w:cs="宋体"/>
                <w:b/>
                <w:bCs/>
                <w:sz w:val="24"/>
                <w:szCs w:val="32"/>
              </w:rPr>
              <w:t>2.质疑函请参照新疆政府采购网-下载专区-质疑函范本（http：//www.ccgp-xinjiang.gov.cn/site/detail?parentId=3338&amp;articleId=rwZbW+cFXei/eAvAJQ2o+Q==&amp;utm=site.site-PC-42166.1024-pc-wsg-secondLevelPage-front.2.dd6233e05eca11efbc5b930dcb75e3e2）编制。</w:t>
            </w:r>
          </w:p>
        </w:tc>
      </w:tr>
      <w:tr w14:paraId="3A3A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406183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15</w:t>
            </w:r>
          </w:p>
        </w:tc>
        <w:tc>
          <w:tcPr>
            <w:tcW w:w="899" w:type="pct"/>
            <w:vAlign w:val="center"/>
          </w:tcPr>
          <w:p w14:paraId="318AEA5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投标人投诉</w:t>
            </w:r>
          </w:p>
        </w:tc>
        <w:tc>
          <w:tcPr>
            <w:tcW w:w="3811" w:type="pct"/>
            <w:vAlign w:val="center"/>
          </w:tcPr>
          <w:p w14:paraId="703072A5">
            <w:pPr>
              <w:spacing w:line="360" w:lineRule="auto"/>
              <w:rPr>
                <w:rFonts w:hint="eastAsia" w:ascii="宋体" w:hAnsi="宋体" w:eastAsia="宋体" w:cs="宋体"/>
                <w:sz w:val="24"/>
                <w:szCs w:val="32"/>
              </w:rPr>
            </w:pPr>
            <w:r>
              <w:rPr>
                <w:rFonts w:hint="eastAsia" w:ascii="宋体" w:hAnsi="宋体" w:eastAsia="宋体" w:cs="宋体"/>
                <w:sz w:val="24"/>
                <w:szCs w:val="32"/>
              </w:rPr>
              <w:t>投诉受理单位：本项目同级财政部门，即新疆维吾尔自治区财政厅。</w:t>
            </w:r>
          </w:p>
          <w:p w14:paraId="78E114D1">
            <w:pPr>
              <w:spacing w:line="360" w:lineRule="auto"/>
              <w:rPr>
                <w:rFonts w:hint="eastAsia" w:ascii="宋体" w:hAnsi="宋体" w:eastAsia="宋体" w:cs="宋体"/>
                <w:sz w:val="24"/>
                <w:szCs w:val="32"/>
              </w:rPr>
            </w:pPr>
            <w:r>
              <w:rPr>
                <w:rFonts w:hint="eastAsia" w:ascii="宋体" w:hAnsi="宋体" w:eastAsia="宋体" w:cs="宋体"/>
                <w:sz w:val="24"/>
                <w:szCs w:val="32"/>
              </w:rPr>
              <w:t>注：根据《中华人民共和国政府采购法实施条例》的规定，投标人投诉事项不得超出已质疑事项的范围。</w:t>
            </w:r>
          </w:p>
          <w:p w14:paraId="6C238D24">
            <w:pPr>
              <w:spacing w:line="360" w:lineRule="auto"/>
              <w:rPr>
                <w:rFonts w:hint="eastAsia" w:ascii="宋体" w:hAnsi="宋体" w:eastAsia="宋体" w:cs="宋体"/>
                <w:sz w:val="24"/>
                <w:szCs w:val="32"/>
              </w:rPr>
            </w:pPr>
            <w:r>
              <w:rPr>
                <w:rFonts w:hint="eastAsia" w:ascii="宋体" w:hAnsi="宋体" w:eastAsia="宋体" w:cs="宋体"/>
                <w:b/>
                <w:bCs/>
                <w:sz w:val="24"/>
                <w:szCs w:val="32"/>
              </w:rPr>
              <w:t>投诉书请参照新疆政府采购网-下载专区-投诉书范本（http：//www.ccgp-xinjiang.gov.cn/site/detail?parentId=3338&amp;articleId=8AgNKoBT6+eooi69tssU7w==&amp;utm=site.site-PC-42166.1024-pc-wsg-secondLevelPage-front.1.dd6233e05eca11efbc5b930dcb75e3e2）编制。</w:t>
            </w:r>
          </w:p>
        </w:tc>
      </w:tr>
      <w:tr w14:paraId="18E1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0E188A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16</w:t>
            </w:r>
          </w:p>
        </w:tc>
        <w:tc>
          <w:tcPr>
            <w:tcW w:w="899" w:type="pct"/>
            <w:vAlign w:val="center"/>
          </w:tcPr>
          <w:p w14:paraId="067BB66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信息公告媒体</w:t>
            </w:r>
          </w:p>
        </w:tc>
        <w:tc>
          <w:tcPr>
            <w:tcW w:w="3811" w:type="pct"/>
            <w:vAlign w:val="center"/>
          </w:tcPr>
          <w:p w14:paraId="024F6E3C">
            <w:pPr>
              <w:spacing w:line="360" w:lineRule="auto"/>
              <w:rPr>
                <w:rFonts w:hint="eastAsia" w:ascii="宋体" w:hAnsi="宋体" w:eastAsia="宋体" w:cs="宋体"/>
                <w:sz w:val="24"/>
                <w:szCs w:val="32"/>
              </w:rPr>
            </w:pPr>
            <w:r>
              <w:rPr>
                <w:rFonts w:hint="eastAsia" w:ascii="宋体" w:hAnsi="宋体" w:eastAsia="宋体" w:cs="宋体"/>
                <w:sz w:val="24"/>
                <w:szCs w:val="32"/>
              </w:rPr>
              <w:t>新疆政府采购网（http：//www.ccgp-xinjiang.gov.cn/）</w:t>
            </w:r>
          </w:p>
        </w:tc>
      </w:tr>
      <w:tr w14:paraId="00B3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C53D5B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17</w:t>
            </w:r>
          </w:p>
        </w:tc>
        <w:tc>
          <w:tcPr>
            <w:tcW w:w="899" w:type="pct"/>
            <w:vAlign w:val="center"/>
          </w:tcPr>
          <w:p w14:paraId="3B93C9CB">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确定参加招标的投标人数量和方式</w:t>
            </w:r>
          </w:p>
        </w:tc>
        <w:tc>
          <w:tcPr>
            <w:tcW w:w="3811" w:type="pct"/>
            <w:vAlign w:val="center"/>
          </w:tcPr>
          <w:p w14:paraId="66440EB1">
            <w:pPr>
              <w:spacing w:line="360" w:lineRule="auto"/>
              <w:rPr>
                <w:rFonts w:hint="eastAsia" w:ascii="宋体" w:hAnsi="宋体" w:eastAsia="宋体" w:cs="宋体"/>
                <w:sz w:val="24"/>
                <w:szCs w:val="32"/>
              </w:rPr>
            </w:pPr>
            <w:r>
              <w:rPr>
                <w:rFonts w:hint="eastAsia" w:ascii="宋体" w:hAnsi="宋体" w:eastAsia="宋体" w:cs="宋体"/>
                <w:sz w:val="24"/>
                <w:szCs w:val="32"/>
              </w:rPr>
              <w:t>本次采购采取发布公告的方式邀请不少于三家合格的投标人参加公开招标。</w:t>
            </w:r>
          </w:p>
        </w:tc>
      </w:tr>
      <w:tr w14:paraId="0744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1F6665">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18</w:t>
            </w:r>
          </w:p>
        </w:tc>
        <w:tc>
          <w:tcPr>
            <w:tcW w:w="899" w:type="pct"/>
            <w:vAlign w:val="center"/>
          </w:tcPr>
          <w:p w14:paraId="1B5D561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投标文件编制、递交与投标文件解密时间</w:t>
            </w:r>
          </w:p>
        </w:tc>
        <w:tc>
          <w:tcPr>
            <w:tcW w:w="3811" w:type="pct"/>
            <w:vAlign w:val="center"/>
          </w:tcPr>
          <w:p w14:paraId="16F69EB6">
            <w:pPr>
              <w:spacing w:line="360" w:lineRule="auto"/>
              <w:rPr>
                <w:rFonts w:hint="eastAsia" w:ascii="宋体" w:hAnsi="宋体" w:eastAsia="宋体" w:cs="宋体"/>
                <w:sz w:val="24"/>
                <w:szCs w:val="32"/>
              </w:rPr>
            </w:pPr>
            <w:r>
              <w:rPr>
                <w:rFonts w:hint="eastAsia" w:ascii="宋体" w:hAnsi="宋体" w:eastAsia="宋体" w:cs="宋体"/>
                <w:sz w:val="24"/>
                <w:szCs w:val="32"/>
              </w:rPr>
              <w:t>1.投标人使用【政采云平台投标文件制作工具】编制电子投标文件；</w:t>
            </w:r>
          </w:p>
          <w:p w14:paraId="583337EC">
            <w:pPr>
              <w:spacing w:line="360" w:lineRule="auto"/>
              <w:rPr>
                <w:rFonts w:hint="eastAsia" w:ascii="宋体" w:hAnsi="宋体" w:eastAsia="宋体" w:cs="宋体"/>
                <w:sz w:val="24"/>
                <w:szCs w:val="32"/>
              </w:rPr>
            </w:pPr>
            <w:r>
              <w:rPr>
                <w:rFonts w:hint="eastAsia" w:ascii="宋体" w:hAnsi="宋体" w:eastAsia="宋体" w:cs="宋体"/>
                <w:sz w:val="24"/>
                <w:szCs w:val="32"/>
              </w:rPr>
              <w:t>2.投标人应于开标截止时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14:paraId="7319D29C">
            <w:pPr>
              <w:spacing w:line="360" w:lineRule="auto"/>
              <w:rPr>
                <w:rFonts w:hint="eastAsia" w:ascii="宋体" w:hAnsi="宋体" w:eastAsia="宋体" w:cs="宋体"/>
                <w:sz w:val="24"/>
                <w:szCs w:val="32"/>
              </w:rPr>
            </w:pPr>
            <w:r>
              <w:rPr>
                <w:rFonts w:hint="eastAsia" w:ascii="宋体" w:hAnsi="宋体" w:eastAsia="宋体" w:cs="宋体"/>
                <w:sz w:val="24"/>
                <w:szCs w:val="32"/>
              </w:rPr>
              <w:t>3.开标时间后30分钟内投标人可以登录“政采云”平台，用“项目采购-开标评标”功能进行解密投标文件。若投标人在规定时间内未按时解密的，视为投标文件撤回。</w:t>
            </w:r>
          </w:p>
        </w:tc>
      </w:tr>
      <w:tr w14:paraId="3940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558B19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19</w:t>
            </w:r>
          </w:p>
        </w:tc>
        <w:tc>
          <w:tcPr>
            <w:tcW w:w="899" w:type="pct"/>
            <w:vAlign w:val="center"/>
          </w:tcPr>
          <w:p w14:paraId="39AA1E9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公开招标投标保证金</w:t>
            </w:r>
          </w:p>
        </w:tc>
        <w:tc>
          <w:tcPr>
            <w:tcW w:w="3811" w:type="pct"/>
            <w:vAlign w:val="center"/>
          </w:tcPr>
          <w:p w14:paraId="7FF0119C">
            <w:pPr>
              <w:spacing w:line="360" w:lineRule="auto"/>
              <w:rPr>
                <w:rFonts w:hint="eastAsia" w:ascii="宋体" w:hAnsi="宋体" w:eastAsia="宋体" w:cs="宋体"/>
                <w:sz w:val="24"/>
                <w:szCs w:val="32"/>
              </w:rPr>
            </w:pPr>
            <w:r>
              <w:rPr>
                <w:rFonts w:hint="eastAsia" w:ascii="宋体" w:hAnsi="宋体" w:eastAsia="宋体" w:cs="宋体"/>
                <w:sz w:val="24"/>
                <w:szCs w:val="32"/>
              </w:rPr>
              <w:t>投标保证金的金额：</w:t>
            </w:r>
            <w:r>
              <w:rPr>
                <w:rFonts w:hint="eastAsia" w:ascii="仿宋_GB2312" w:hAnsi="仿宋_GB2312" w:eastAsia="仿宋_GB2312" w:cs="仿宋_GB2312"/>
                <w:sz w:val="24"/>
                <w:szCs w:val="32"/>
              </w:rPr>
              <w:t>￥</w:t>
            </w:r>
            <w:r>
              <w:rPr>
                <w:rFonts w:hint="eastAsia" w:ascii="宋体" w:hAnsi="宋体" w:eastAsia="宋体" w:cs="宋体"/>
                <w:sz w:val="24"/>
                <w:szCs w:val="32"/>
                <w:u w:val="single"/>
              </w:rPr>
              <w:t>16000元</w:t>
            </w:r>
            <w:r>
              <w:rPr>
                <w:rFonts w:hint="eastAsia" w:ascii="宋体" w:hAnsi="宋体" w:eastAsia="宋体" w:cs="宋体"/>
                <w:sz w:val="24"/>
                <w:szCs w:val="32"/>
              </w:rPr>
              <w:t>（人民币）</w:t>
            </w:r>
          </w:p>
          <w:p w14:paraId="524CE994">
            <w:pPr>
              <w:spacing w:line="360" w:lineRule="auto"/>
              <w:rPr>
                <w:rFonts w:hint="eastAsia" w:ascii="宋体" w:hAnsi="宋体" w:eastAsia="宋体" w:cs="宋体"/>
                <w:sz w:val="24"/>
                <w:szCs w:val="32"/>
              </w:rPr>
            </w:pPr>
            <w:r>
              <w:rPr>
                <w:rFonts w:hint="eastAsia" w:ascii="宋体" w:hAnsi="宋体" w:eastAsia="宋体" w:cs="宋体"/>
                <w:sz w:val="24"/>
                <w:szCs w:val="32"/>
              </w:rPr>
              <w:t>缴纳方式：电汇、银行转账或投标保函等形式递交投标保证金</w:t>
            </w:r>
          </w:p>
          <w:p w14:paraId="625672D8">
            <w:pPr>
              <w:spacing w:line="360" w:lineRule="auto"/>
              <w:rPr>
                <w:rFonts w:hint="eastAsia" w:ascii="宋体" w:hAnsi="宋体" w:eastAsia="宋体" w:cs="宋体"/>
                <w:sz w:val="24"/>
                <w:szCs w:val="32"/>
              </w:rPr>
            </w:pPr>
            <w:r>
              <w:rPr>
                <w:rFonts w:hint="eastAsia" w:ascii="宋体" w:hAnsi="宋体" w:eastAsia="宋体" w:cs="宋体"/>
                <w:sz w:val="24"/>
                <w:szCs w:val="32"/>
              </w:rPr>
              <w:t>投标保证金缴纳账户：</w:t>
            </w:r>
          </w:p>
          <w:p w14:paraId="0FEA24AF">
            <w:pPr>
              <w:spacing w:line="360" w:lineRule="auto"/>
              <w:rPr>
                <w:rFonts w:hint="eastAsia" w:ascii="宋体" w:hAnsi="宋体" w:eastAsia="宋体" w:cs="宋体"/>
                <w:sz w:val="24"/>
                <w:szCs w:val="32"/>
              </w:rPr>
            </w:pPr>
            <w:r>
              <w:rPr>
                <w:rFonts w:hint="eastAsia" w:ascii="宋体" w:hAnsi="宋体" w:eastAsia="宋体" w:cs="宋体"/>
                <w:sz w:val="24"/>
                <w:szCs w:val="32"/>
              </w:rPr>
              <w:t>账户名称：新疆科辰工程项目管理有限公司乌鲁木齐分公司</w:t>
            </w:r>
          </w:p>
          <w:p w14:paraId="069C1738">
            <w:pPr>
              <w:spacing w:line="360" w:lineRule="auto"/>
              <w:rPr>
                <w:rFonts w:hint="eastAsia" w:ascii="宋体" w:hAnsi="宋体" w:eastAsia="宋体" w:cs="宋体"/>
                <w:sz w:val="24"/>
                <w:szCs w:val="32"/>
              </w:rPr>
            </w:pPr>
            <w:r>
              <w:rPr>
                <w:rFonts w:hint="eastAsia" w:ascii="宋体" w:hAnsi="宋体" w:eastAsia="宋体" w:cs="宋体"/>
                <w:sz w:val="24"/>
                <w:szCs w:val="32"/>
              </w:rPr>
              <w:t>开户银行：乌鲁木齐银行油城支行</w:t>
            </w:r>
          </w:p>
          <w:p w14:paraId="267D100F">
            <w:pPr>
              <w:spacing w:line="360" w:lineRule="auto"/>
              <w:rPr>
                <w:rFonts w:hint="eastAsia" w:ascii="宋体" w:hAnsi="宋体" w:eastAsia="宋体" w:cs="宋体"/>
                <w:sz w:val="24"/>
                <w:szCs w:val="32"/>
              </w:rPr>
            </w:pPr>
            <w:r>
              <w:rPr>
                <w:rFonts w:hint="eastAsia" w:ascii="宋体" w:hAnsi="宋体" w:eastAsia="宋体" w:cs="宋体"/>
                <w:sz w:val="24"/>
                <w:szCs w:val="32"/>
              </w:rPr>
              <w:t>账号：0000020090110015375523</w:t>
            </w:r>
          </w:p>
          <w:p w14:paraId="1F110136">
            <w:pPr>
              <w:spacing w:line="360" w:lineRule="auto"/>
              <w:rPr>
                <w:rFonts w:hint="eastAsia" w:ascii="宋体" w:hAnsi="宋体" w:eastAsia="宋体" w:cs="宋体"/>
                <w:sz w:val="24"/>
                <w:szCs w:val="32"/>
              </w:rPr>
            </w:pPr>
            <w:r>
              <w:rPr>
                <w:rFonts w:hint="eastAsia" w:ascii="宋体" w:hAnsi="宋体" w:eastAsia="宋体" w:cs="宋体"/>
                <w:sz w:val="24"/>
                <w:szCs w:val="32"/>
              </w:rPr>
              <w:t>行号：J8810044723901</w:t>
            </w:r>
          </w:p>
          <w:p w14:paraId="2952A59F">
            <w:pPr>
              <w:spacing w:line="360" w:lineRule="auto"/>
              <w:rPr>
                <w:rFonts w:hint="eastAsia" w:ascii="宋体" w:hAnsi="宋体" w:eastAsia="宋体" w:cs="宋体"/>
                <w:sz w:val="24"/>
                <w:szCs w:val="32"/>
              </w:rPr>
            </w:pPr>
            <w:r>
              <w:rPr>
                <w:rFonts w:hint="eastAsia" w:ascii="宋体" w:hAnsi="宋体" w:eastAsia="宋体" w:cs="宋体"/>
                <w:sz w:val="24"/>
                <w:szCs w:val="32"/>
              </w:rPr>
              <w:t>递交时间：投标文件提交截止时间前</w:t>
            </w:r>
          </w:p>
          <w:p w14:paraId="352EF255">
            <w:pPr>
              <w:spacing w:line="360" w:lineRule="auto"/>
              <w:rPr>
                <w:rFonts w:hint="eastAsia" w:ascii="宋体" w:hAnsi="宋体" w:eastAsia="宋体" w:cs="宋体"/>
                <w:b/>
                <w:bCs/>
                <w:sz w:val="24"/>
                <w:szCs w:val="32"/>
              </w:rPr>
            </w:pPr>
            <w:r>
              <w:rPr>
                <w:rFonts w:hint="eastAsia" w:ascii="宋体" w:hAnsi="宋体" w:eastAsia="宋体" w:cs="宋体"/>
                <w:sz w:val="24"/>
                <w:szCs w:val="32"/>
              </w:rPr>
              <w:t>特别提示：投标保证金必须从投标企业的帐户缴纳至采购代理机构给定的账户。以个人、企业的办事处、分公司、子公司名义或从他人帐户缴纳的投标保证金无效</w:t>
            </w:r>
            <w:r>
              <w:rPr>
                <w:rFonts w:hint="eastAsia" w:ascii="宋体" w:hAnsi="宋体" w:eastAsia="宋体" w:cs="宋体"/>
                <w:b/>
                <w:bCs/>
                <w:sz w:val="24"/>
                <w:szCs w:val="32"/>
              </w:rPr>
              <w:t>。打款时需注明项目名称（可简写）及项目编号，递交投标保证金应充分考虑相关时间。</w:t>
            </w:r>
          </w:p>
          <w:p w14:paraId="2201CD31">
            <w:pPr>
              <w:spacing w:line="360" w:lineRule="auto"/>
              <w:rPr>
                <w:rFonts w:hint="eastAsia" w:ascii="宋体" w:hAnsi="宋体" w:eastAsia="宋体" w:cs="宋体"/>
                <w:sz w:val="24"/>
                <w:szCs w:val="32"/>
              </w:rPr>
            </w:pPr>
            <w:r>
              <w:rPr>
                <w:rFonts w:hint="eastAsia" w:ascii="宋体" w:hAnsi="宋体" w:eastAsia="宋体" w:cs="宋体"/>
                <w:sz w:val="24"/>
                <w:szCs w:val="32"/>
              </w:rPr>
              <w:t>注：投标保证金到账时间以采购代理机构账户实际到账时间为准，如未在招标文件规定的时间内到账，视为投标无效，自行承担责任。为简化手续，优化流程，采用电子支付方式缴纳投标保证金的，在退还时，按原路退回，收取时不开具收据，退还时也不要求提交收据。</w:t>
            </w:r>
          </w:p>
          <w:p w14:paraId="62F4CD80">
            <w:pPr>
              <w:spacing w:line="360" w:lineRule="auto"/>
              <w:rPr>
                <w:rFonts w:hint="eastAsia" w:ascii="宋体" w:hAnsi="宋体" w:eastAsia="宋体" w:cs="宋体"/>
                <w:sz w:val="24"/>
                <w:szCs w:val="32"/>
              </w:rPr>
            </w:pPr>
            <w:r>
              <w:rPr>
                <w:rFonts w:hint="eastAsia" w:ascii="宋体" w:hAnsi="宋体" w:eastAsia="宋体" w:cs="宋体"/>
                <w:sz w:val="24"/>
                <w:szCs w:val="32"/>
              </w:rPr>
              <w:t>采用电子保函形式应按以下要求办理：</w:t>
            </w:r>
          </w:p>
          <w:p w14:paraId="19F2A3C5">
            <w:pPr>
              <w:spacing w:line="360" w:lineRule="auto"/>
              <w:rPr>
                <w:rFonts w:hint="eastAsia" w:ascii="宋体" w:hAnsi="宋体" w:eastAsia="宋体" w:cs="宋体"/>
                <w:sz w:val="24"/>
                <w:szCs w:val="32"/>
              </w:rPr>
            </w:pPr>
            <w:r>
              <w:rPr>
                <w:rFonts w:hint="eastAsia" w:ascii="宋体" w:hAnsi="宋体" w:eastAsia="宋体" w:cs="宋体"/>
                <w:sz w:val="24"/>
                <w:szCs w:val="32"/>
              </w:rPr>
              <w:t>政采云电子保函使用方法：登录新疆政府采购网，首页点击“电子保函”直接进入新疆政府采购电子保函申请页，点击【立即申请】。依次完善页面显示的投保人信息（投标人信息），确认您要投保的项目信息，在投标项目选择页面选择您需要投保的项目（可根据项目名称或项目保函进行搜索），选择投保项目后填写被保险人信息及投保内容。</w:t>
            </w:r>
          </w:p>
          <w:p w14:paraId="7F83D372">
            <w:pPr>
              <w:spacing w:line="360" w:lineRule="auto"/>
              <w:rPr>
                <w:rFonts w:hint="eastAsia" w:ascii="宋体" w:hAnsi="宋体" w:eastAsia="宋体" w:cs="宋体"/>
                <w:sz w:val="24"/>
                <w:szCs w:val="32"/>
              </w:rPr>
            </w:pPr>
            <w:r>
              <w:rPr>
                <w:rFonts w:hint="eastAsia" w:ascii="宋体" w:hAnsi="宋体" w:eastAsia="宋体" w:cs="宋体"/>
                <w:sz w:val="24"/>
                <w:szCs w:val="32"/>
              </w:rPr>
              <w:t>保函投保金额（元）：同投标保证金金额。</w:t>
            </w:r>
          </w:p>
        </w:tc>
      </w:tr>
      <w:tr w14:paraId="003F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7DB3A8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20</w:t>
            </w:r>
          </w:p>
        </w:tc>
        <w:tc>
          <w:tcPr>
            <w:tcW w:w="899" w:type="pct"/>
            <w:vAlign w:val="center"/>
          </w:tcPr>
          <w:p w14:paraId="56F7A23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评标办法</w:t>
            </w:r>
          </w:p>
        </w:tc>
        <w:tc>
          <w:tcPr>
            <w:tcW w:w="3811" w:type="pct"/>
            <w:vAlign w:val="center"/>
          </w:tcPr>
          <w:p w14:paraId="5759DDD0">
            <w:pPr>
              <w:spacing w:line="360" w:lineRule="auto"/>
              <w:rPr>
                <w:rFonts w:hint="eastAsia" w:ascii="宋体" w:hAnsi="宋体" w:eastAsia="宋体" w:cs="宋体"/>
                <w:sz w:val="24"/>
                <w:szCs w:val="32"/>
              </w:rPr>
            </w:pPr>
            <w:r>
              <w:rPr>
                <w:rFonts w:hint="eastAsia" w:ascii="宋体" w:hAnsi="宋体" w:eastAsia="宋体" w:cs="宋体"/>
                <w:sz w:val="24"/>
                <w:szCs w:val="32"/>
              </w:rPr>
              <w:t>本项目评审采用：</w:t>
            </w:r>
            <w:r>
              <w:rPr>
                <w:rFonts w:hint="eastAsia" w:ascii="宋体" w:hAnsi="宋体" w:eastAsia="宋体" w:cs="宋体"/>
                <w:sz w:val="24"/>
                <w:szCs w:val="32"/>
                <w:u w:val="single"/>
              </w:rPr>
              <w:t>综合评分法</w:t>
            </w:r>
          </w:p>
        </w:tc>
      </w:tr>
      <w:tr w14:paraId="2387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5E1270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21</w:t>
            </w:r>
          </w:p>
        </w:tc>
        <w:tc>
          <w:tcPr>
            <w:tcW w:w="899" w:type="pct"/>
            <w:vAlign w:val="center"/>
          </w:tcPr>
          <w:p w14:paraId="7F4982A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投标有效期</w:t>
            </w:r>
          </w:p>
        </w:tc>
        <w:tc>
          <w:tcPr>
            <w:tcW w:w="3811" w:type="pct"/>
            <w:vAlign w:val="center"/>
          </w:tcPr>
          <w:p w14:paraId="2885266B">
            <w:pPr>
              <w:spacing w:line="360" w:lineRule="auto"/>
              <w:rPr>
                <w:rFonts w:hint="eastAsia" w:ascii="宋体" w:hAnsi="宋体" w:eastAsia="宋体" w:cs="宋体"/>
                <w:sz w:val="24"/>
                <w:szCs w:val="32"/>
              </w:rPr>
            </w:pPr>
            <w:r>
              <w:rPr>
                <w:rFonts w:hint="eastAsia" w:ascii="宋体" w:hAnsi="宋体" w:eastAsia="宋体" w:cs="宋体"/>
                <w:sz w:val="24"/>
                <w:szCs w:val="32"/>
              </w:rPr>
              <w:t>自投标截止之日起</w:t>
            </w:r>
            <w:r>
              <w:rPr>
                <w:rFonts w:hint="eastAsia" w:ascii="宋体" w:hAnsi="宋体" w:eastAsia="宋体" w:cs="宋体"/>
                <w:sz w:val="24"/>
                <w:szCs w:val="32"/>
                <w:u w:val="single"/>
              </w:rPr>
              <w:t>90</w:t>
            </w:r>
            <w:r>
              <w:rPr>
                <w:rFonts w:hint="eastAsia" w:ascii="宋体" w:hAnsi="宋体" w:eastAsia="宋体" w:cs="宋体"/>
                <w:sz w:val="24"/>
                <w:szCs w:val="32"/>
              </w:rPr>
              <w:t>个日历天。</w:t>
            </w:r>
          </w:p>
        </w:tc>
      </w:tr>
      <w:tr w14:paraId="5F09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081969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22</w:t>
            </w:r>
          </w:p>
        </w:tc>
        <w:tc>
          <w:tcPr>
            <w:tcW w:w="899" w:type="pct"/>
            <w:vAlign w:val="center"/>
          </w:tcPr>
          <w:p w14:paraId="01AD6E0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评标委员会</w:t>
            </w:r>
          </w:p>
        </w:tc>
        <w:tc>
          <w:tcPr>
            <w:tcW w:w="3811" w:type="pct"/>
            <w:vAlign w:val="center"/>
          </w:tcPr>
          <w:p w14:paraId="6DF46921">
            <w:pPr>
              <w:spacing w:line="360" w:lineRule="auto"/>
              <w:rPr>
                <w:rFonts w:hint="eastAsia" w:ascii="宋体" w:hAnsi="宋体" w:eastAsia="宋体" w:cs="宋体"/>
                <w:sz w:val="24"/>
                <w:szCs w:val="32"/>
              </w:rPr>
            </w:pPr>
            <w:r>
              <w:rPr>
                <w:rFonts w:hint="eastAsia" w:ascii="宋体" w:hAnsi="宋体" w:eastAsia="宋体" w:cs="宋体"/>
                <w:sz w:val="24"/>
                <w:szCs w:val="32"/>
              </w:rPr>
              <w:t>采购人依法组建评标委员会共</w:t>
            </w:r>
            <w:r>
              <w:rPr>
                <w:rFonts w:hint="eastAsia" w:ascii="宋体" w:hAnsi="宋体" w:eastAsia="宋体" w:cs="宋体"/>
                <w:sz w:val="24"/>
                <w:szCs w:val="32"/>
                <w:u w:val="single"/>
              </w:rPr>
              <w:t>5</w:t>
            </w:r>
            <w:r>
              <w:rPr>
                <w:rFonts w:hint="eastAsia" w:ascii="宋体" w:hAnsi="宋体" w:eastAsia="宋体" w:cs="宋体"/>
                <w:sz w:val="24"/>
                <w:szCs w:val="32"/>
              </w:rPr>
              <w:t>人组成，其中：采购人代表0人，评标专家5人。</w:t>
            </w:r>
          </w:p>
        </w:tc>
      </w:tr>
      <w:tr w14:paraId="393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C06BA8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23</w:t>
            </w:r>
          </w:p>
        </w:tc>
        <w:tc>
          <w:tcPr>
            <w:tcW w:w="899" w:type="pct"/>
            <w:vAlign w:val="center"/>
          </w:tcPr>
          <w:p w14:paraId="6338E3E9">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中标人确定方式</w:t>
            </w:r>
          </w:p>
        </w:tc>
        <w:tc>
          <w:tcPr>
            <w:tcW w:w="3811" w:type="pct"/>
            <w:vAlign w:val="center"/>
          </w:tcPr>
          <w:p w14:paraId="08B4E1BC">
            <w:pPr>
              <w:spacing w:line="360" w:lineRule="auto"/>
              <w:rPr>
                <w:rFonts w:hint="eastAsia" w:ascii="宋体" w:hAnsi="宋体" w:eastAsia="宋体" w:cs="宋体"/>
                <w:sz w:val="24"/>
                <w:szCs w:val="32"/>
              </w:rPr>
            </w:pPr>
            <w:r>
              <w:rPr>
                <w:rFonts w:hint="eastAsia" w:ascii="宋体" w:hAnsi="宋体" w:eastAsia="宋体" w:cs="宋体"/>
                <w:sz w:val="24"/>
                <w:szCs w:val="32"/>
              </w:rPr>
              <w:t>☑评标委员会确定</w:t>
            </w:r>
            <w:r>
              <w:rPr>
                <w:rFonts w:hint="eastAsia" w:ascii="宋体" w:hAnsi="宋体" w:eastAsia="宋体" w:cs="宋体"/>
                <w:sz w:val="24"/>
                <w:szCs w:val="32"/>
                <w:u w:val="single"/>
              </w:rPr>
              <w:t>3</w:t>
            </w:r>
            <w:r>
              <w:rPr>
                <w:rFonts w:hint="eastAsia" w:ascii="宋体" w:hAnsi="宋体" w:eastAsia="宋体" w:cs="宋体"/>
                <w:sz w:val="24"/>
                <w:szCs w:val="32"/>
              </w:rPr>
              <w:t>名中标候选人，采购人按照中标候选人排名顺序，确定排名第一的为中标人。</w:t>
            </w:r>
          </w:p>
          <w:p w14:paraId="3AAA1E7F">
            <w:pPr>
              <w:spacing w:line="360" w:lineRule="auto"/>
              <w:rPr>
                <w:rFonts w:hint="eastAsia" w:ascii="宋体" w:hAnsi="宋体" w:eastAsia="宋体" w:cs="宋体"/>
                <w:sz w:val="24"/>
                <w:szCs w:val="32"/>
              </w:rPr>
            </w:pPr>
            <w:r>
              <w:rPr>
                <w:rFonts w:hint="eastAsia" w:ascii="宋体" w:hAnsi="宋体" w:eastAsia="宋体" w:cs="宋体"/>
                <w:sz w:val="24"/>
                <w:szCs w:val="32"/>
              </w:rPr>
              <w:t>□评标委员会确定</w:t>
            </w:r>
            <w:r>
              <w:rPr>
                <w:rFonts w:hint="eastAsia" w:ascii="宋体" w:hAnsi="宋体" w:eastAsia="宋体" w:cs="宋体"/>
                <w:sz w:val="24"/>
                <w:szCs w:val="32"/>
                <w:u w:val="single"/>
              </w:rPr>
              <w:t>3</w:t>
            </w:r>
            <w:r>
              <w:rPr>
                <w:rFonts w:hint="eastAsia" w:ascii="宋体" w:hAnsi="宋体" w:eastAsia="宋体" w:cs="宋体"/>
                <w:sz w:val="24"/>
                <w:szCs w:val="32"/>
              </w:rPr>
              <w:t>名中标候选人，并按照中标候选人排名顺序，确定排名第一的为中标人。</w:t>
            </w:r>
          </w:p>
          <w:p w14:paraId="4AE5660D">
            <w:pPr>
              <w:spacing w:line="360" w:lineRule="auto"/>
              <w:rPr>
                <w:rFonts w:hint="eastAsia" w:ascii="宋体" w:hAnsi="宋体" w:eastAsia="宋体" w:cs="宋体"/>
                <w:sz w:val="24"/>
                <w:szCs w:val="32"/>
              </w:rPr>
            </w:pPr>
            <w:r>
              <w:rPr>
                <w:rFonts w:hint="eastAsia" w:ascii="宋体" w:hAnsi="宋体" w:eastAsia="宋体" w:cs="宋体"/>
                <w:sz w:val="24"/>
                <w:szCs w:val="32"/>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w:t>
            </w:r>
          </w:p>
        </w:tc>
      </w:tr>
      <w:tr w14:paraId="24F5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6D67BCC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24</w:t>
            </w:r>
          </w:p>
        </w:tc>
        <w:tc>
          <w:tcPr>
            <w:tcW w:w="899" w:type="pct"/>
            <w:vAlign w:val="center"/>
          </w:tcPr>
          <w:p w14:paraId="14AE25B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合同分包</w:t>
            </w:r>
          </w:p>
        </w:tc>
        <w:tc>
          <w:tcPr>
            <w:tcW w:w="3811" w:type="pct"/>
            <w:vAlign w:val="center"/>
          </w:tcPr>
          <w:p w14:paraId="45C2573F">
            <w:pPr>
              <w:spacing w:line="360" w:lineRule="auto"/>
              <w:rPr>
                <w:rFonts w:hint="eastAsia" w:ascii="宋体" w:hAnsi="宋体" w:eastAsia="宋体" w:cs="宋体"/>
                <w:sz w:val="24"/>
                <w:szCs w:val="32"/>
              </w:rPr>
            </w:pPr>
            <w:r>
              <w:rPr>
                <w:rFonts w:hint="eastAsia" w:ascii="宋体" w:hAnsi="宋体" w:eastAsia="宋体" w:cs="宋体"/>
                <w:sz w:val="24"/>
                <w:szCs w:val="32"/>
              </w:rPr>
              <w:t>本项目</w:t>
            </w:r>
            <w:r>
              <w:rPr>
                <w:rFonts w:hint="eastAsia" w:ascii="宋体" w:hAnsi="宋体" w:eastAsia="宋体" w:cs="宋体"/>
                <w:sz w:val="24"/>
                <w:szCs w:val="32"/>
                <w:u w:val="single"/>
              </w:rPr>
              <w:t>不接受</w:t>
            </w:r>
            <w:r>
              <w:rPr>
                <w:rFonts w:hint="eastAsia" w:ascii="宋体" w:hAnsi="宋体" w:eastAsia="宋体" w:cs="宋体"/>
                <w:sz w:val="24"/>
                <w:szCs w:val="32"/>
              </w:rPr>
              <w:t>合同分包。</w:t>
            </w:r>
          </w:p>
        </w:tc>
      </w:tr>
      <w:tr w14:paraId="61B9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7ED30B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25</w:t>
            </w:r>
          </w:p>
        </w:tc>
        <w:tc>
          <w:tcPr>
            <w:tcW w:w="899" w:type="pct"/>
            <w:vAlign w:val="center"/>
          </w:tcPr>
          <w:p w14:paraId="47269EC4">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中标公告</w:t>
            </w:r>
          </w:p>
        </w:tc>
        <w:tc>
          <w:tcPr>
            <w:tcW w:w="3811" w:type="pct"/>
            <w:vAlign w:val="center"/>
          </w:tcPr>
          <w:p w14:paraId="3304965A">
            <w:pPr>
              <w:spacing w:line="360" w:lineRule="auto"/>
              <w:rPr>
                <w:rFonts w:hint="eastAsia" w:ascii="宋体" w:hAnsi="宋体" w:eastAsia="宋体" w:cs="宋体"/>
                <w:sz w:val="24"/>
                <w:szCs w:val="32"/>
              </w:rPr>
            </w:pPr>
            <w:r>
              <w:rPr>
                <w:rFonts w:hint="eastAsia" w:ascii="宋体" w:hAnsi="宋体" w:eastAsia="宋体" w:cs="宋体"/>
                <w:sz w:val="24"/>
                <w:szCs w:val="32"/>
              </w:rPr>
              <w:t>中标结果在新疆政府采购网公告，公告期限为</w:t>
            </w:r>
            <w:r>
              <w:rPr>
                <w:rFonts w:hint="eastAsia" w:ascii="宋体" w:hAnsi="宋体" w:eastAsia="宋体" w:cs="宋体"/>
                <w:sz w:val="24"/>
                <w:szCs w:val="32"/>
                <w:u w:val="single"/>
              </w:rPr>
              <w:t>1</w:t>
            </w:r>
            <w:r>
              <w:rPr>
                <w:rFonts w:hint="eastAsia" w:ascii="宋体" w:hAnsi="宋体" w:eastAsia="宋体" w:cs="宋体"/>
                <w:sz w:val="24"/>
                <w:szCs w:val="32"/>
              </w:rPr>
              <w:t>个工作日。</w:t>
            </w:r>
          </w:p>
          <w:p w14:paraId="6A85CC0B">
            <w:pPr>
              <w:spacing w:line="360" w:lineRule="auto"/>
              <w:rPr>
                <w:rFonts w:hint="eastAsia" w:ascii="宋体" w:hAnsi="宋体" w:eastAsia="宋体" w:cs="宋体"/>
                <w:sz w:val="24"/>
                <w:szCs w:val="32"/>
              </w:rPr>
            </w:pPr>
            <w:r>
              <w:rPr>
                <w:rFonts w:hint="eastAsia" w:ascii="宋体" w:hAnsi="宋体" w:eastAsia="宋体" w:cs="宋体"/>
                <w:sz w:val="24"/>
                <w:szCs w:val="32"/>
              </w:rPr>
              <w:t>中标结果公告中，同时对中标投标人提供的中小企业声明函（若有）进行公告。</w:t>
            </w:r>
          </w:p>
        </w:tc>
      </w:tr>
      <w:tr w14:paraId="1372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2A850D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26</w:t>
            </w:r>
          </w:p>
        </w:tc>
        <w:tc>
          <w:tcPr>
            <w:tcW w:w="899" w:type="pct"/>
            <w:vAlign w:val="center"/>
          </w:tcPr>
          <w:p w14:paraId="1ED17FD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踏勘现场</w:t>
            </w:r>
          </w:p>
        </w:tc>
        <w:tc>
          <w:tcPr>
            <w:tcW w:w="3811" w:type="pct"/>
            <w:vAlign w:val="center"/>
          </w:tcPr>
          <w:p w14:paraId="5C69188F">
            <w:pPr>
              <w:spacing w:line="360" w:lineRule="auto"/>
              <w:rPr>
                <w:rFonts w:hint="eastAsia" w:ascii="宋体" w:hAnsi="宋体" w:eastAsia="宋体" w:cs="宋体"/>
                <w:sz w:val="24"/>
                <w:szCs w:val="32"/>
              </w:rPr>
            </w:pPr>
            <w:r>
              <w:rPr>
                <w:rFonts w:hint="eastAsia" w:ascii="宋体" w:hAnsi="宋体" w:eastAsia="宋体" w:cs="宋体"/>
                <w:sz w:val="24"/>
                <w:szCs w:val="32"/>
              </w:rPr>
              <w:t>☑自行踏勘。</w:t>
            </w:r>
          </w:p>
          <w:p w14:paraId="072AB192">
            <w:pPr>
              <w:spacing w:line="360" w:lineRule="auto"/>
              <w:rPr>
                <w:rFonts w:hint="eastAsia" w:ascii="宋体" w:hAnsi="宋体" w:eastAsia="宋体" w:cs="宋体"/>
                <w:sz w:val="24"/>
                <w:szCs w:val="32"/>
              </w:rPr>
            </w:pPr>
            <w:r>
              <w:rPr>
                <w:rFonts w:hint="eastAsia" w:ascii="宋体" w:hAnsi="宋体" w:eastAsia="宋体" w:cs="宋体"/>
                <w:sz w:val="24"/>
                <w:szCs w:val="32"/>
              </w:rPr>
              <w:t>□由采购人组织统一踏勘。</w:t>
            </w:r>
          </w:p>
          <w:p w14:paraId="025F5269">
            <w:pPr>
              <w:spacing w:line="360" w:lineRule="auto"/>
              <w:rPr>
                <w:rFonts w:hint="eastAsia" w:ascii="宋体" w:hAnsi="宋体" w:eastAsia="宋体" w:cs="宋体"/>
                <w:sz w:val="24"/>
                <w:szCs w:val="32"/>
              </w:rPr>
            </w:pPr>
            <w:r>
              <w:rPr>
                <w:rFonts w:hint="eastAsia" w:ascii="宋体" w:hAnsi="宋体" w:eastAsia="宋体" w:cs="宋体"/>
                <w:sz w:val="24"/>
                <w:szCs w:val="32"/>
              </w:rPr>
              <w:t>□无需踏勘</w:t>
            </w:r>
          </w:p>
        </w:tc>
      </w:tr>
      <w:tr w14:paraId="6040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592FCFF">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27</w:t>
            </w:r>
          </w:p>
        </w:tc>
        <w:tc>
          <w:tcPr>
            <w:tcW w:w="899" w:type="pct"/>
            <w:vAlign w:val="center"/>
          </w:tcPr>
          <w:p w14:paraId="335A8470">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代理服务费</w:t>
            </w:r>
          </w:p>
        </w:tc>
        <w:tc>
          <w:tcPr>
            <w:tcW w:w="3811" w:type="pct"/>
            <w:vAlign w:val="center"/>
          </w:tcPr>
          <w:p w14:paraId="0A91427E">
            <w:pPr>
              <w:spacing w:line="360" w:lineRule="auto"/>
              <w:rPr>
                <w:rFonts w:hint="eastAsia" w:ascii="宋体" w:hAnsi="宋体" w:eastAsia="宋体" w:cs="宋体"/>
                <w:sz w:val="24"/>
                <w:szCs w:val="32"/>
              </w:rPr>
            </w:pPr>
            <w:r>
              <w:rPr>
                <w:rFonts w:hint="eastAsia" w:ascii="宋体" w:hAnsi="宋体" w:eastAsia="宋体" w:cs="宋体"/>
                <w:sz w:val="24"/>
                <w:szCs w:val="32"/>
              </w:rPr>
              <w:t>1.收费对象：□采购人支付☑成交人支付</w:t>
            </w:r>
          </w:p>
          <w:p w14:paraId="3A1A3AF1">
            <w:pPr>
              <w:spacing w:line="360" w:lineRule="auto"/>
              <w:rPr>
                <w:rFonts w:hint="eastAsia" w:ascii="宋体" w:hAnsi="宋体" w:eastAsia="宋体" w:cs="宋体"/>
                <w:sz w:val="24"/>
                <w:szCs w:val="32"/>
              </w:rPr>
            </w:pPr>
            <w:r>
              <w:rPr>
                <w:rFonts w:hint="eastAsia" w:ascii="宋体" w:hAnsi="宋体" w:eastAsia="宋体" w:cs="宋体"/>
                <w:sz w:val="24"/>
                <w:szCs w:val="32"/>
              </w:rPr>
              <w:t>2.收费标准：</w:t>
            </w:r>
            <w:r>
              <w:rPr>
                <w:rFonts w:hint="eastAsia" w:ascii="宋体" w:hAnsi="宋体" w:eastAsia="宋体" w:cs="宋体"/>
                <w:sz w:val="24"/>
                <w:szCs w:val="32"/>
                <w:u w:val="single"/>
              </w:rPr>
              <w:t>参照中华人民共和国国家计划委员会计价格[2002]1980号文的计算方法计取</w:t>
            </w:r>
          </w:p>
          <w:p w14:paraId="4F6310B8">
            <w:pPr>
              <w:spacing w:line="360" w:lineRule="auto"/>
              <w:rPr>
                <w:rFonts w:hint="eastAsia" w:ascii="宋体" w:hAnsi="宋体" w:eastAsia="宋体" w:cs="宋体"/>
                <w:sz w:val="24"/>
                <w:szCs w:val="32"/>
              </w:rPr>
            </w:pPr>
            <w:r>
              <w:rPr>
                <w:rFonts w:hint="eastAsia" w:ascii="宋体" w:hAnsi="宋体" w:eastAsia="宋体" w:cs="宋体"/>
                <w:sz w:val="24"/>
                <w:szCs w:val="32"/>
              </w:rPr>
              <w:t>3.收取时间：</w:t>
            </w:r>
            <w:r>
              <w:rPr>
                <w:rFonts w:hint="eastAsia" w:ascii="宋体" w:hAnsi="宋体" w:eastAsia="宋体" w:cs="宋体"/>
                <w:sz w:val="24"/>
                <w:szCs w:val="32"/>
                <w:u w:val="single"/>
              </w:rPr>
              <w:t>中标人领取中标通知书前支付完成</w:t>
            </w:r>
          </w:p>
          <w:p w14:paraId="12F816EC">
            <w:pPr>
              <w:spacing w:line="360" w:lineRule="auto"/>
              <w:rPr>
                <w:rFonts w:hint="eastAsia" w:ascii="宋体" w:hAnsi="宋体" w:eastAsia="宋体" w:cs="宋体"/>
                <w:sz w:val="28"/>
                <w:szCs w:val="28"/>
              </w:rPr>
            </w:pPr>
            <w:r>
              <w:rPr>
                <w:rFonts w:hint="eastAsia" w:ascii="宋体" w:hAnsi="宋体" w:eastAsia="宋体" w:cs="宋体"/>
                <w:sz w:val="24"/>
                <w:szCs w:val="32"/>
              </w:rPr>
              <w:t>4.收取方式：</w:t>
            </w:r>
            <w:r>
              <w:rPr>
                <w:rFonts w:hint="eastAsia" w:ascii="宋体" w:hAnsi="宋体" w:eastAsia="宋体" w:cs="宋体"/>
                <w:sz w:val="24"/>
                <w:szCs w:val="32"/>
                <w:u w:val="single"/>
              </w:rPr>
              <w:t>现金或电汇、银行转账等形式</w:t>
            </w:r>
          </w:p>
        </w:tc>
      </w:tr>
      <w:tr w14:paraId="7E71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B47221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28</w:t>
            </w:r>
          </w:p>
        </w:tc>
        <w:tc>
          <w:tcPr>
            <w:tcW w:w="899" w:type="pct"/>
            <w:vAlign w:val="center"/>
          </w:tcPr>
          <w:p w14:paraId="4D40439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付款方式</w:t>
            </w:r>
          </w:p>
        </w:tc>
        <w:tc>
          <w:tcPr>
            <w:tcW w:w="3811" w:type="pct"/>
            <w:vAlign w:val="center"/>
          </w:tcPr>
          <w:p w14:paraId="18540AF0">
            <w:pPr>
              <w:spacing w:line="360" w:lineRule="auto"/>
              <w:rPr>
                <w:rFonts w:hint="eastAsia" w:ascii="宋体" w:hAnsi="宋体" w:eastAsia="宋体" w:cs="宋体"/>
                <w:sz w:val="24"/>
                <w:szCs w:val="32"/>
              </w:rPr>
            </w:pPr>
            <w:r>
              <w:rPr>
                <w:rFonts w:hint="eastAsia" w:ascii="宋体" w:hAnsi="宋体" w:eastAsia="宋体" w:cs="宋体"/>
                <w:sz w:val="24"/>
                <w:szCs w:val="32"/>
              </w:rPr>
              <w:t>具体以双方签订合同为准。</w:t>
            </w:r>
          </w:p>
        </w:tc>
      </w:tr>
      <w:tr w14:paraId="19A4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58BD74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29</w:t>
            </w:r>
          </w:p>
        </w:tc>
        <w:tc>
          <w:tcPr>
            <w:tcW w:w="899" w:type="pct"/>
            <w:vAlign w:val="center"/>
          </w:tcPr>
          <w:p w14:paraId="6EDFECC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落实政府采购政策</w:t>
            </w:r>
          </w:p>
        </w:tc>
        <w:tc>
          <w:tcPr>
            <w:tcW w:w="3811" w:type="pct"/>
            <w:vAlign w:val="center"/>
          </w:tcPr>
          <w:p w14:paraId="3F2D3EFB">
            <w:pPr>
              <w:spacing w:line="360" w:lineRule="auto"/>
              <w:rPr>
                <w:rFonts w:hint="eastAsia" w:ascii="宋体" w:hAnsi="宋体" w:eastAsia="宋体" w:cs="宋体"/>
                <w:sz w:val="24"/>
                <w:szCs w:val="32"/>
              </w:rPr>
            </w:pPr>
            <w:r>
              <w:rPr>
                <w:rFonts w:hint="eastAsia" w:ascii="宋体" w:hAnsi="宋体" w:eastAsia="宋体" w:cs="宋体"/>
                <w:sz w:val="24"/>
                <w:szCs w:val="32"/>
              </w:rPr>
              <w:t>相关标准按以下文件执行：</w:t>
            </w:r>
          </w:p>
          <w:p w14:paraId="32FBFC69">
            <w:pPr>
              <w:spacing w:line="360" w:lineRule="auto"/>
              <w:rPr>
                <w:rFonts w:hint="eastAsia" w:ascii="宋体" w:hAnsi="宋体" w:eastAsia="宋体" w:cs="宋体"/>
                <w:sz w:val="24"/>
                <w:szCs w:val="32"/>
              </w:rPr>
            </w:pPr>
            <w:r>
              <w:rPr>
                <w:rFonts w:hint="eastAsia" w:ascii="宋体" w:hAnsi="宋体" w:eastAsia="宋体" w:cs="宋体"/>
                <w:sz w:val="24"/>
                <w:szCs w:val="32"/>
              </w:rPr>
              <w:t>（1）财政部、工业和信息化部《关于印发《政府采购促进中小企业发展管理办法》的通知》（财库[2020]46号文）《关于进一步加大政府采购支持中小企业力度的通知》（财库[2022]19号文）执行；</w:t>
            </w:r>
          </w:p>
          <w:p w14:paraId="0A051561">
            <w:pPr>
              <w:spacing w:line="360" w:lineRule="auto"/>
              <w:rPr>
                <w:rFonts w:hint="eastAsia" w:ascii="宋体" w:hAnsi="宋体" w:eastAsia="宋体" w:cs="宋体"/>
                <w:sz w:val="24"/>
                <w:szCs w:val="32"/>
              </w:rPr>
            </w:pPr>
            <w:r>
              <w:rPr>
                <w:rFonts w:hint="eastAsia" w:ascii="宋体" w:hAnsi="宋体" w:eastAsia="宋体" w:cs="宋体"/>
                <w:sz w:val="24"/>
                <w:szCs w:val="32"/>
              </w:rPr>
              <w:t>（2）根据财政部发布的《关于政府采购支持监狱企业发展有关问题的通知》规定，监狱企业视同小微企业。</w:t>
            </w:r>
          </w:p>
          <w:p w14:paraId="2355DE13">
            <w:pPr>
              <w:spacing w:line="360" w:lineRule="auto"/>
              <w:rPr>
                <w:rFonts w:hint="eastAsia" w:ascii="宋体" w:hAnsi="宋体" w:eastAsia="宋体" w:cs="宋体"/>
                <w:sz w:val="24"/>
                <w:szCs w:val="32"/>
              </w:rPr>
            </w:pPr>
            <w:r>
              <w:rPr>
                <w:rFonts w:hint="eastAsia" w:ascii="宋体" w:hAnsi="宋体" w:eastAsia="宋体" w:cs="宋体"/>
                <w:sz w:val="24"/>
                <w:szCs w:val="32"/>
              </w:rPr>
              <w:t>（3）根据财政部、民政部、中国残疾人联合会发布的《关于促进残疾人就业政府采购政策的通知》规定，残疾人福利性单位视同小微企业。</w:t>
            </w:r>
          </w:p>
          <w:p w14:paraId="6AD855FF">
            <w:pPr>
              <w:spacing w:line="360" w:lineRule="auto"/>
              <w:rPr>
                <w:rFonts w:hint="eastAsia" w:ascii="宋体" w:hAnsi="宋体" w:eastAsia="宋体" w:cs="宋体"/>
                <w:sz w:val="24"/>
                <w:szCs w:val="32"/>
              </w:rPr>
            </w:pPr>
            <w:r>
              <w:rPr>
                <w:rFonts w:hint="eastAsia" w:ascii="宋体" w:hAnsi="宋体" w:eastAsia="宋体" w:cs="宋体"/>
                <w:sz w:val="24"/>
                <w:szCs w:val="32"/>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5FAD47F">
            <w:pPr>
              <w:spacing w:line="360" w:lineRule="auto"/>
              <w:rPr>
                <w:rFonts w:hint="eastAsia" w:ascii="宋体" w:hAnsi="宋体" w:eastAsia="宋体" w:cs="宋体"/>
                <w:sz w:val="24"/>
                <w:szCs w:val="32"/>
              </w:rPr>
            </w:pPr>
            <w:r>
              <w:rPr>
                <w:rFonts w:hint="eastAsia" w:ascii="宋体" w:hAnsi="宋体" w:eastAsia="宋体" w:cs="宋体"/>
                <w:sz w:val="24"/>
                <w:szCs w:val="32"/>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21FE0C94">
            <w:pPr>
              <w:spacing w:line="360" w:lineRule="auto"/>
              <w:rPr>
                <w:rFonts w:hint="eastAsia" w:ascii="宋体" w:hAnsi="宋体" w:eastAsia="宋体" w:cs="宋体"/>
                <w:sz w:val="24"/>
                <w:szCs w:val="32"/>
              </w:rPr>
            </w:pPr>
            <w:r>
              <w:rPr>
                <w:rFonts w:hint="eastAsia" w:ascii="宋体" w:hAnsi="宋体" w:eastAsia="宋体" w:cs="宋体"/>
                <w:sz w:val="24"/>
                <w:szCs w:val="32"/>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5B5B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C3EFE43">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30</w:t>
            </w:r>
          </w:p>
        </w:tc>
        <w:tc>
          <w:tcPr>
            <w:tcW w:w="899" w:type="pct"/>
            <w:vAlign w:val="center"/>
          </w:tcPr>
          <w:p w14:paraId="76D56BFB">
            <w:pPr>
              <w:spacing w:line="360" w:lineRule="auto"/>
              <w:jc w:val="center"/>
              <w:rPr>
                <w:rFonts w:hint="eastAsia" w:ascii="宋体" w:hAnsi="宋体" w:eastAsia="宋体" w:cs="宋体"/>
                <w:b/>
                <w:bCs/>
                <w:sz w:val="24"/>
                <w:szCs w:val="32"/>
                <w:highlight w:val="cyan"/>
              </w:rPr>
            </w:pPr>
            <w:r>
              <w:rPr>
                <w:rFonts w:hint="eastAsia" w:ascii="宋体" w:hAnsi="宋体" w:eastAsia="宋体" w:cs="宋体"/>
                <w:b/>
                <w:bCs/>
                <w:sz w:val="24"/>
                <w:szCs w:val="32"/>
              </w:rPr>
              <w:t>履约保证金</w:t>
            </w:r>
          </w:p>
        </w:tc>
        <w:tc>
          <w:tcPr>
            <w:tcW w:w="3811" w:type="pct"/>
            <w:vAlign w:val="center"/>
          </w:tcPr>
          <w:p w14:paraId="3599ECE3">
            <w:pPr>
              <w:spacing w:line="360" w:lineRule="auto"/>
              <w:rPr>
                <w:rFonts w:hint="eastAsia" w:ascii="宋体" w:hAnsi="宋体" w:eastAsia="宋体" w:cs="宋体"/>
                <w:sz w:val="24"/>
                <w:szCs w:val="32"/>
              </w:rPr>
            </w:pPr>
            <w:r>
              <w:rPr>
                <w:rFonts w:hint="eastAsia" w:ascii="宋体" w:hAnsi="宋体" w:eastAsia="宋体" w:cs="宋体"/>
                <w:sz w:val="24"/>
                <w:szCs w:val="32"/>
              </w:rPr>
              <w:t>☑不需要</w:t>
            </w:r>
          </w:p>
          <w:p w14:paraId="51E95789">
            <w:pPr>
              <w:spacing w:line="360" w:lineRule="auto"/>
              <w:rPr>
                <w:rFonts w:hint="eastAsia" w:ascii="宋体" w:hAnsi="宋体" w:eastAsia="宋体" w:cs="宋体"/>
                <w:sz w:val="24"/>
                <w:szCs w:val="32"/>
                <w:highlight w:val="cyan"/>
              </w:rPr>
            </w:pPr>
            <w:r>
              <w:rPr>
                <w:rFonts w:hint="eastAsia" w:ascii="宋体" w:hAnsi="宋体" w:eastAsia="宋体" w:cs="宋体"/>
                <w:sz w:val="24"/>
                <w:szCs w:val="32"/>
              </w:rPr>
              <w:t>□需要，履约保证金的金额：中标合同金额的</w:t>
            </w:r>
            <w:r>
              <w:rPr>
                <w:rFonts w:hint="eastAsia" w:ascii="宋体" w:hAnsi="宋体" w:eastAsia="宋体" w:cs="宋体"/>
                <w:sz w:val="24"/>
                <w:szCs w:val="32"/>
                <w:u w:val="single"/>
              </w:rPr>
              <w:t>10</w:t>
            </w:r>
            <w:r>
              <w:rPr>
                <w:rFonts w:hint="eastAsia" w:ascii="宋体" w:hAnsi="宋体" w:eastAsia="宋体" w:cs="宋体"/>
                <w:sz w:val="24"/>
                <w:szCs w:val="32"/>
              </w:rPr>
              <w:t>%（履约保证金允许以担保支票、押金证明、保险单、保函、信用证等形式提交）。</w:t>
            </w:r>
          </w:p>
        </w:tc>
      </w:tr>
      <w:tr w14:paraId="24C7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C9D591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31</w:t>
            </w:r>
          </w:p>
        </w:tc>
        <w:tc>
          <w:tcPr>
            <w:tcW w:w="899" w:type="pct"/>
            <w:vAlign w:val="center"/>
          </w:tcPr>
          <w:p w14:paraId="04B5E108">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采购标的对应的投标人中小企业划分标准所属行业</w:t>
            </w:r>
          </w:p>
        </w:tc>
        <w:tc>
          <w:tcPr>
            <w:tcW w:w="3811" w:type="pct"/>
            <w:vAlign w:val="center"/>
          </w:tcPr>
          <w:p w14:paraId="3D3FC8CA">
            <w:pPr>
              <w:spacing w:line="360" w:lineRule="auto"/>
              <w:rPr>
                <w:rFonts w:hint="eastAsia" w:ascii="宋体" w:hAnsi="宋体" w:eastAsia="宋体" w:cs="宋体"/>
                <w:sz w:val="24"/>
                <w:szCs w:val="32"/>
                <w:u w:val="single"/>
              </w:rPr>
            </w:pPr>
            <w:r>
              <w:rPr>
                <w:rFonts w:hint="eastAsia" w:ascii="宋体" w:hAnsi="宋体" w:eastAsia="宋体" w:cs="宋体"/>
                <w:b/>
                <w:bCs/>
                <w:sz w:val="24"/>
                <w:szCs w:val="32"/>
              </w:rPr>
              <w:t>本项目采购标的对应的中小企业划分标准所属行业为：</w:t>
            </w:r>
            <w:r>
              <w:rPr>
                <w:rFonts w:hint="eastAsia" w:ascii="宋体" w:hAnsi="宋体" w:eastAsia="宋体" w:cs="宋体"/>
                <w:b/>
                <w:bCs/>
                <w:sz w:val="24"/>
                <w:szCs w:val="32"/>
                <w:u w:val="single"/>
              </w:rPr>
              <w:t>其他未列明行业。</w:t>
            </w:r>
          </w:p>
          <w:p w14:paraId="20FC68F8">
            <w:pPr>
              <w:spacing w:line="360" w:lineRule="auto"/>
              <w:rPr>
                <w:rFonts w:hint="eastAsia" w:ascii="宋体" w:hAnsi="宋体" w:eastAsia="宋体" w:cs="宋体"/>
                <w:sz w:val="24"/>
                <w:szCs w:val="32"/>
              </w:rPr>
            </w:pPr>
            <w:r>
              <w:rPr>
                <w:rFonts w:hint="eastAsia" w:ascii="宋体" w:hAnsi="宋体" w:eastAsia="宋体" w:cs="宋体"/>
                <w:b/>
                <w:bCs/>
                <w:sz w:val="24"/>
                <w:szCs w:val="32"/>
              </w:rPr>
              <w:t>注：</w:t>
            </w:r>
            <w:r>
              <w:rPr>
                <w:rFonts w:hint="eastAsia" w:ascii="宋体" w:hAnsi="宋体" w:eastAsia="宋体" w:cs="宋体"/>
                <w:sz w:val="24"/>
                <w:szCs w:val="32"/>
              </w:rPr>
              <w:t>1.其他所属行业划分标准按照《关于落实好政府采购支持中小企业发展的通知》（新财购〔2022〕22号）执行；</w:t>
            </w:r>
          </w:p>
          <w:p w14:paraId="2283F739">
            <w:pPr>
              <w:spacing w:line="360" w:lineRule="auto"/>
              <w:rPr>
                <w:rFonts w:hint="eastAsia" w:ascii="宋体" w:hAnsi="宋体" w:eastAsia="宋体" w:cs="宋体"/>
                <w:sz w:val="24"/>
                <w:szCs w:val="32"/>
              </w:rPr>
            </w:pPr>
            <w:r>
              <w:rPr>
                <w:rFonts w:hint="eastAsia" w:ascii="宋体" w:hAnsi="宋体" w:eastAsia="宋体" w:cs="宋体"/>
                <w:sz w:val="24"/>
                <w:szCs w:val="32"/>
              </w:rPr>
              <w:t>2.根据《国家统计局关于印发〈统计上大中小微型企业划分办法（2017）〉的通知》（国统字[2017]213号）要求：大型、中型和小型企业须同时满足所列指标（即：从业人员和营业收入）的下限,否则下划一档；微型企业只须满足所列指标中的一项即可。</w:t>
            </w:r>
          </w:p>
        </w:tc>
      </w:tr>
      <w:tr w14:paraId="3E67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DE3CF92">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32</w:t>
            </w:r>
          </w:p>
        </w:tc>
        <w:tc>
          <w:tcPr>
            <w:tcW w:w="899" w:type="pct"/>
            <w:vAlign w:val="center"/>
          </w:tcPr>
          <w:p w14:paraId="7C31958A">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利害关系人处理</w:t>
            </w:r>
          </w:p>
        </w:tc>
        <w:tc>
          <w:tcPr>
            <w:tcW w:w="3811" w:type="pct"/>
            <w:vAlign w:val="center"/>
          </w:tcPr>
          <w:p w14:paraId="5135863D">
            <w:pPr>
              <w:spacing w:line="360" w:lineRule="auto"/>
              <w:rPr>
                <w:rFonts w:hint="eastAsia" w:ascii="宋体" w:hAnsi="宋体" w:eastAsia="宋体" w:cs="宋体"/>
                <w:sz w:val="24"/>
                <w:szCs w:val="32"/>
              </w:rPr>
            </w:pPr>
            <w:r>
              <w:rPr>
                <w:rFonts w:hint="eastAsia" w:ascii="宋体" w:hAnsi="宋体" w:eastAsia="宋体" w:cs="宋体"/>
                <w:sz w:val="24"/>
                <w:szCs w:val="32"/>
              </w:rPr>
              <w:t>①2家以上的投标人不得在同一合同项下的采购项目中，同时委托同一个自然人、同一家庭的人员、同一单位的人员作为其代理人，否则，其投标文件作为无效处理。</w:t>
            </w:r>
          </w:p>
          <w:p w14:paraId="526C4508">
            <w:pPr>
              <w:spacing w:line="360" w:lineRule="auto"/>
              <w:rPr>
                <w:rFonts w:hint="eastAsia" w:ascii="宋体" w:hAnsi="宋体" w:eastAsia="宋体" w:cs="宋体"/>
                <w:sz w:val="24"/>
                <w:szCs w:val="32"/>
              </w:rPr>
            </w:pPr>
            <w:r>
              <w:rPr>
                <w:rFonts w:hint="eastAsia" w:ascii="宋体" w:hAnsi="宋体" w:eastAsia="宋体" w:cs="宋体"/>
                <w:sz w:val="24"/>
                <w:szCs w:val="32"/>
              </w:rPr>
              <w:t>②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tc>
      </w:tr>
      <w:tr w14:paraId="651B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53913A7">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33</w:t>
            </w:r>
          </w:p>
        </w:tc>
        <w:tc>
          <w:tcPr>
            <w:tcW w:w="899" w:type="pct"/>
            <w:vAlign w:val="center"/>
          </w:tcPr>
          <w:p w14:paraId="3E065986">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其他需补充的内容</w:t>
            </w:r>
          </w:p>
        </w:tc>
        <w:tc>
          <w:tcPr>
            <w:tcW w:w="3811" w:type="pct"/>
            <w:vAlign w:val="center"/>
          </w:tcPr>
          <w:p w14:paraId="0B68671B">
            <w:pPr>
              <w:spacing w:line="360" w:lineRule="auto"/>
              <w:rPr>
                <w:rFonts w:hint="eastAsia" w:ascii="宋体" w:hAnsi="宋体" w:eastAsia="宋体" w:cs="宋体"/>
                <w:b/>
                <w:bCs/>
                <w:sz w:val="24"/>
                <w:szCs w:val="32"/>
              </w:rPr>
            </w:pPr>
            <w:r>
              <w:rPr>
                <w:rFonts w:hint="eastAsia" w:ascii="宋体" w:hAnsi="宋体" w:eastAsia="宋体" w:cs="宋体"/>
                <w:b/>
                <w:bCs/>
                <w:sz w:val="24"/>
                <w:szCs w:val="32"/>
              </w:rPr>
              <w:t>特别提醒：</w:t>
            </w:r>
          </w:p>
          <w:p w14:paraId="64771185">
            <w:pPr>
              <w:spacing w:line="360" w:lineRule="auto"/>
              <w:rPr>
                <w:rFonts w:hint="eastAsia" w:ascii="宋体" w:hAnsi="宋体" w:eastAsia="宋体" w:cs="宋体"/>
                <w:sz w:val="24"/>
                <w:szCs w:val="32"/>
              </w:rPr>
            </w:pPr>
            <w:r>
              <w:rPr>
                <w:rFonts w:hint="eastAsia" w:ascii="宋体" w:hAnsi="宋体" w:eastAsia="宋体" w:cs="宋体"/>
                <w:sz w:val="24"/>
                <w:szCs w:val="32"/>
              </w:rPr>
              <w:t>1.所有投标人的报价</w:t>
            </w:r>
            <w:r>
              <w:rPr>
                <w:rFonts w:hint="eastAsia" w:ascii="宋体" w:hAnsi="宋体" w:eastAsia="宋体" w:cs="宋体"/>
                <w:b/>
                <w:bCs/>
                <w:sz w:val="24"/>
                <w:szCs w:val="32"/>
              </w:rPr>
              <w:t>高于</w:t>
            </w:r>
            <w:r>
              <w:rPr>
                <w:rFonts w:hint="eastAsia" w:ascii="宋体" w:hAnsi="宋体" w:eastAsia="宋体" w:cs="宋体"/>
                <w:sz w:val="24"/>
                <w:szCs w:val="32"/>
              </w:rPr>
              <w:t>本项目（标项）最高限价额度的视为无效报价（即作否决投标处理）。</w:t>
            </w:r>
          </w:p>
          <w:p w14:paraId="1A1E556E">
            <w:pPr>
              <w:spacing w:line="360" w:lineRule="auto"/>
              <w:rPr>
                <w:rFonts w:hint="eastAsia" w:ascii="宋体" w:hAnsi="宋体" w:eastAsia="宋体" w:cs="宋体"/>
                <w:sz w:val="24"/>
                <w:szCs w:val="32"/>
              </w:rPr>
            </w:pPr>
            <w:r>
              <w:rPr>
                <w:rFonts w:hint="eastAsia" w:ascii="宋体" w:hAnsi="宋体" w:eastAsia="宋体" w:cs="宋体"/>
                <w:sz w:val="24"/>
                <w:szCs w:val="32"/>
              </w:rPr>
              <w:t>2.1采用</w:t>
            </w:r>
            <w:r>
              <w:rPr>
                <w:rFonts w:hint="eastAsia" w:ascii="宋体" w:hAnsi="宋体" w:eastAsia="宋体" w:cs="宋体"/>
                <w:b/>
                <w:bCs/>
                <w:sz w:val="24"/>
                <w:szCs w:val="32"/>
              </w:rPr>
              <w:t>最低评标价法</w:t>
            </w:r>
            <w:r>
              <w:rPr>
                <w:rFonts w:hint="eastAsia" w:ascii="宋体" w:hAnsi="宋体" w:eastAsia="宋体" w:cs="宋体"/>
                <w:sz w:val="24"/>
                <w:szCs w:val="32"/>
              </w:rPr>
              <w:t>的采购项目，提供相同品牌产品的不同投标人参加同一合同项下投标的，以其中通过资格审查、符合性审查且</w:t>
            </w:r>
            <w:r>
              <w:rPr>
                <w:rFonts w:hint="eastAsia" w:ascii="宋体" w:hAnsi="宋体" w:eastAsia="宋体" w:cs="宋体"/>
                <w:b/>
                <w:bCs/>
                <w:sz w:val="24"/>
                <w:szCs w:val="32"/>
              </w:rPr>
              <w:t>报价最低</w:t>
            </w:r>
            <w:r>
              <w:rPr>
                <w:rFonts w:hint="eastAsia" w:ascii="宋体" w:hAnsi="宋体" w:eastAsia="宋体" w:cs="宋体"/>
                <w:sz w:val="24"/>
                <w:szCs w:val="32"/>
              </w:rPr>
              <w:t>的参加评标；报价</w:t>
            </w:r>
            <w:r>
              <w:rPr>
                <w:rFonts w:hint="eastAsia" w:ascii="宋体" w:hAnsi="宋体" w:eastAsia="宋体" w:cs="宋体"/>
                <w:b/>
                <w:bCs/>
                <w:sz w:val="24"/>
                <w:szCs w:val="32"/>
              </w:rPr>
              <w:t>相同</w:t>
            </w:r>
            <w:r>
              <w:rPr>
                <w:rFonts w:hint="eastAsia" w:ascii="宋体" w:hAnsi="宋体" w:eastAsia="宋体" w:cs="宋体"/>
                <w:sz w:val="24"/>
                <w:szCs w:val="32"/>
              </w:rPr>
              <w:t>的，由采购人或者采购人委托评标委员会按照招标文件规定的方式确定1个参加评标的投标人，招标文件未规定的采取随机抽取方式确定，其他投标无效。</w:t>
            </w:r>
          </w:p>
          <w:p w14:paraId="6FC30BE0">
            <w:pPr>
              <w:spacing w:line="360" w:lineRule="auto"/>
              <w:rPr>
                <w:rFonts w:hint="eastAsia" w:ascii="宋体" w:hAnsi="宋体" w:eastAsia="宋体" w:cs="宋体"/>
                <w:sz w:val="24"/>
                <w:szCs w:val="32"/>
              </w:rPr>
            </w:pPr>
            <w:r>
              <w:rPr>
                <w:rFonts w:hint="eastAsia" w:ascii="宋体" w:hAnsi="宋体" w:eastAsia="宋体" w:cs="宋体"/>
                <w:sz w:val="24"/>
                <w:szCs w:val="32"/>
              </w:rPr>
              <w:t>2.2使用</w:t>
            </w:r>
            <w:r>
              <w:rPr>
                <w:rFonts w:hint="eastAsia" w:ascii="宋体" w:hAnsi="宋体" w:eastAsia="宋体" w:cs="宋体"/>
                <w:b/>
                <w:bCs/>
                <w:sz w:val="24"/>
                <w:szCs w:val="32"/>
              </w:rPr>
              <w:t>综合评分法</w:t>
            </w:r>
            <w:r>
              <w:rPr>
                <w:rFonts w:hint="eastAsia" w:ascii="宋体" w:hAnsi="宋体" w:eastAsia="宋体" w:cs="宋体"/>
                <w:sz w:val="24"/>
                <w:szCs w:val="32"/>
              </w:rPr>
              <w:t>的采购项目，提供相同品牌产品且通过资格审查、符合性审查的不同投标人参加同一合同项下投标的，按1家投标人计算，评审后</w:t>
            </w:r>
            <w:r>
              <w:rPr>
                <w:rFonts w:hint="eastAsia" w:ascii="宋体" w:hAnsi="宋体" w:eastAsia="宋体" w:cs="宋体"/>
                <w:b/>
                <w:bCs/>
                <w:sz w:val="24"/>
                <w:szCs w:val="32"/>
              </w:rPr>
              <w:t>得分最高</w:t>
            </w:r>
            <w:r>
              <w:rPr>
                <w:rFonts w:hint="eastAsia" w:ascii="宋体" w:hAnsi="宋体" w:eastAsia="宋体" w:cs="宋体"/>
                <w:sz w:val="24"/>
                <w:szCs w:val="32"/>
              </w:rPr>
              <w:t>的同品牌投标人获得中标人推荐资格；评审得分</w:t>
            </w:r>
            <w:r>
              <w:rPr>
                <w:rFonts w:hint="eastAsia" w:ascii="宋体" w:hAnsi="宋体" w:eastAsia="宋体" w:cs="宋体"/>
                <w:b/>
                <w:bCs/>
                <w:sz w:val="24"/>
                <w:szCs w:val="32"/>
              </w:rPr>
              <w:t>相同</w:t>
            </w:r>
            <w:r>
              <w:rPr>
                <w:rFonts w:hint="eastAsia" w:ascii="宋体" w:hAnsi="宋体" w:eastAsia="宋体" w:cs="宋体"/>
                <w:sz w:val="24"/>
                <w:szCs w:val="32"/>
              </w:rPr>
              <w:t>的，由采购人或者采购人委托评标委员会按照招标文件规定的方式确定1个投标人获得中标人推荐资格，招标文件未规定的采取随机抽取方式确定，其他同品牌投标人不作为中标候选人。</w:t>
            </w:r>
          </w:p>
          <w:p w14:paraId="0047E1B2">
            <w:pPr>
              <w:spacing w:line="360" w:lineRule="auto"/>
              <w:rPr>
                <w:rFonts w:hint="eastAsia" w:ascii="宋体" w:hAnsi="宋体" w:eastAsia="宋体" w:cs="宋体"/>
                <w:sz w:val="24"/>
                <w:szCs w:val="32"/>
              </w:rPr>
            </w:pPr>
            <w:r>
              <w:rPr>
                <w:rFonts w:hint="eastAsia" w:ascii="宋体" w:hAnsi="宋体" w:eastAsia="宋体" w:cs="宋体"/>
                <w:sz w:val="24"/>
                <w:szCs w:val="32"/>
              </w:rPr>
              <w:t>3.投标人的报价明显</w:t>
            </w:r>
            <w:r>
              <w:rPr>
                <w:rFonts w:hint="eastAsia" w:ascii="宋体" w:hAnsi="宋体" w:eastAsia="宋体" w:cs="宋体"/>
                <w:b/>
                <w:bCs/>
                <w:sz w:val="24"/>
                <w:szCs w:val="32"/>
              </w:rPr>
              <w:t>低于</w:t>
            </w:r>
            <w:r>
              <w:rPr>
                <w:rFonts w:hint="eastAsia" w:ascii="宋体" w:hAnsi="宋体" w:eastAsia="宋体" w:cs="宋体"/>
                <w:sz w:val="24"/>
                <w:szCs w:val="32"/>
              </w:rPr>
              <w:t>其他投标报价或者在设有标底时明显低于标底，使得其投标报价可能低于其个别成本的，应当要求该投标人</w:t>
            </w:r>
            <w:r>
              <w:rPr>
                <w:rFonts w:hint="eastAsia" w:ascii="宋体" w:hAnsi="宋体" w:eastAsia="宋体" w:cs="宋体"/>
                <w:b/>
                <w:bCs/>
                <w:sz w:val="24"/>
                <w:szCs w:val="32"/>
              </w:rPr>
              <w:t>作出书面说明并提供相应证明材料</w:t>
            </w:r>
            <w:r>
              <w:rPr>
                <w:rFonts w:hint="eastAsia" w:ascii="宋体" w:hAnsi="宋体" w:eastAsia="宋体" w:cs="宋体"/>
                <w:sz w:val="24"/>
                <w:szCs w:val="32"/>
              </w:rPr>
              <w:t>。投标人不能合理或者不能提供相应证明材料的，由评标委员会认定该投标人以低于成本报价竞标，其投标视为</w:t>
            </w:r>
            <w:r>
              <w:rPr>
                <w:rFonts w:hint="eastAsia" w:ascii="宋体" w:hAnsi="宋体" w:eastAsia="宋体" w:cs="宋体"/>
                <w:b/>
                <w:bCs/>
                <w:sz w:val="24"/>
                <w:szCs w:val="32"/>
              </w:rPr>
              <w:t>无效标处理</w:t>
            </w:r>
            <w:r>
              <w:rPr>
                <w:rFonts w:hint="eastAsia" w:ascii="宋体" w:hAnsi="宋体" w:eastAsia="宋体" w:cs="宋体"/>
                <w:sz w:val="24"/>
                <w:szCs w:val="32"/>
              </w:rPr>
              <w:t>。</w:t>
            </w:r>
          </w:p>
          <w:p w14:paraId="6EFF8EDE">
            <w:pPr>
              <w:spacing w:line="360" w:lineRule="auto"/>
              <w:rPr>
                <w:rFonts w:hint="eastAsia" w:ascii="宋体" w:hAnsi="宋体" w:eastAsia="宋体" w:cs="宋体"/>
                <w:sz w:val="24"/>
                <w:szCs w:val="32"/>
              </w:rPr>
            </w:pPr>
            <w:r>
              <w:rPr>
                <w:rFonts w:hint="eastAsia" w:ascii="宋体" w:hAnsi="宋体" w:eastAsia="宋体" w:cs="宋体"/>
                <w:sz w:val="24"/>
                <w:szCs w:val="32"/>
              </w:rPr>
              <w:t>4.更正补充公告请自行登录新疆政府采购网查看下载。</w:t>
            </w:r>
          </w:p>
          <w:p w14:paraId="19C97666">
            <w:pPr>
              <w:spacing w:line="360" w:lineRule="auto"/>
              <w:rPr>
                <w:rFonts w:hint="eastAsia" w:ascii="宋体" w:hAnsi="宋体" w:eastAsia="宋体" w:cs="宋体"/>
                <w:sz w:val="24"/>
                <w:szCs w:val="32"/>
              </w:rPr>
            </w:pPr>
            <w:r>
              <w:rPr>
                <w:rFonts w:hint="eastAsia" w:ascii="宋体" w:hAnsi="宋体" w:eastAsia="宋体" w:cs="宋体"/>
                <w:sz w:val="24"/>
                <w:szCs w:val="32"/>
              </w:rPr>
              <w:t>5.采购代理机构将拒绝接受未在政采云平台获取招标文件的投标人的投标文件。</w:t>
            </w:r>
          </w:p>
          <w:p w14:paraId="3BB48FAB">
            <w:pPr>
              <w:spacing w:line="360" w:lineRule="auto"/>
              <w:rPr>
                <w:rFonts w:hint="eastAsia" w:ascii="宋体" w:hAnsi="宋体" w:eastAsia="宋体" w:cs="宋体"/>
                <w:sz w:val="24"/>
                <w:szCs w:val="32"/>
              </w:rPr>
            </w:pPr>
            <w:r>
              <w:rPr>
                <w:rFonts w:hint="eastAsia" w:ascii="宋体" w:hAnsi="宋体" w:eastAsia="宋体" w:cs="宋体"/>
                <w:sz w:val="24"/>
                <w:szCs w:val="32"/>
              </w:rPr>
              <w:t>6.所有投标单位对招标文件中所有条款如有疑问或异议请在</w:t>
            </w:r>
            <w:r>
              <w:rPr>
                <w:rFonts w:hint="eastAsia" w:ascii="宋体" w:hAnsi="宋体" w:eastAsia="宋体" w:cs="宋体"/>
                <w:b/>
                <w:bCs/>
                <w:sz w:val="24"/>
                <w:szCs w:val="32"/>
              </w:rPr>
              <w:t>开标前</w:t>
            </w:r>
            <w:r>
              <w:rPr>
                <w:rFonts w:hint="eastAsia" w:ascii="宋体" w:hAnsi="宋体" w:eastAsia="宋体" w:cs="宋体"/>
                <w:sz w:val="24"/>
                <w:szCs w:val="32"/>
              </w:rPr>
              <w:t>以书面形式提出，否则</w:t>
            </w:r>
            <w:r>
              <w:rPr>
                <w:rFonts w:hint="eastAsia" w:ascii="宋体" w:hAnsi="宋体" w:eastAsia="宋体" w:cs="宋体"/>
                <w:b/>
                <w:bCs/>
                <w:sz w:val="24"/>
                <w:szCs w:val="32"/>
              </w:rPr>
              <w:t>不予受理</w:t>
            </w:r>
            <w:r>
              <w:rPr>
                <w:rFonts w:hint="eastAsia" w:ascii="宋体" w:hAnsi="宋体" w:eastAsia="宋体" w:cs="宋体"/>
                <w:sz w:val="24"/>
                <w:szCs w:val="32"/>
              </w:rPr>
              <w:t>。</w:t>
            </w:r>
          </w:p>
          <w:p w14:paraId="4B04B640">
            <w:pPr>
              <w:spacing w:line="360" w:lineRule="auto"/>
              <w:rPr>
                <w:rFonts w:hint="eastAsia" w:ascii="宋体" w:hAnsi="宋体" w:eastAsia="宋体" w:cs="宋体"/>
                <w:sz w:val="24"/>
                <w:szCs w:val="32"/>
              </w:rPr>
            </w:pPr>
            <w:r>
              <w:rPr>
                <w:rFonts w:hint="eastAsia" w:ascii="宋体" w:hAnsi="宋体" w:eastAsia="宋体" w:cs="宋体"/>
                <w:sz w:val="24"/>
                <w:szCs w:val="32"/>
              </w:rPr>
              <w:t>7.投标人在投标截止时间（开标时间）至评标结束期间，应派工作人员及时关注系统平台信息，并确保所留联系人的</w:t>
            </w:r>
            <w:r>
              <w:rPr>
                <w:rFonts w:hint="eastAsia" w:ascii="宋体" w:hAnsi="宋体" w:eastAsia="宋体" w:cs="宋体"/>
                <w:b/>
                <w:bCs/>
                <w:sz w:val="24"/>
                <w:szCs w:val="32"/>
              </w:rPr>
              <w:t>电话保持畅通</w:t>
            </w:r>
            <w:r>
              <w:rPr>
                <w:rFonts w:hint="eastAsia" w:ascii="宋体" w:hAnsi="宋体" w:eastAsia="宋体" w:cs="宋体"/>
                <w:sz w:val="24"/>
                <w:szCs w:val="32"/>
              </w:rPr>
              <w:t>，如因联系不上或未及时答复造成的相关后果由投标人自行负责。</w:t>
            </w:r>
          </w:p>
          <w:p w14:paraId="3EA9E645">
            <w:pPr>
              <w:spacing w:line="360" w:lineRule="auto"/>
              <w:rPr>
                <w:rFonts w:hint="eastAsia" w:ascii="宋体" w:hAnsi="宋体" w:eastAsia="宋体" w:cs="宋体"/>
                <w:sz w:val="24"/>
                <w:szCs w:val="32"/>
              </w:rPr>
            </w:pPr>
            <w:r>
              <w:rPr>
                <w:rFonts w:hint="eastAsia" w:ascii="宋体" w:hAnsi="宋体" w:eastAsia="宋体" w:cs="宋体"/>
                <w:sz w:val="24"/>
                <w:szCs w:val="32"/>
              </w:rPr>
              <w:t>8.投标人在获取采购文件至签订合同之间所产生的一切费用（含废标、重新采购等情况）由投标人</w:t>
            </w:r>
            <w:r>
              <w:rPr>
                <w:rFonts w:hint="eastAsia" w:ascii="宋体" w:hAnsi="宋体" w:eastAsia="宋体" w:cs="宋体"/>
                <w:b/>
                <w:bCs/>
                <w:sz w:val="24"/>
                <w:szCs w:val="32"/>
              </w:rPr>
              <w:t>自行承担</w:t>
            </w:r>
            <w:r>
              <w:rPr>
                <w:rFonts w:hint="eastAsia" w:ascii="宋体" w:hAnsi="宋体" w:eastAsia="宋体" w:cs="宋体"/>
                <w:sz w:val="24"/>
                <w:szCs w:val="32"/>
              </w:rPr>
              <w:t>。</w:t>
            </w:r>
          </w:p>
          <w:p w14:paraId="237C7443">
            <w:pPr>
              <w:spacing w:line="360" w:lineRule="auto"/>
              <w:rPr>
                <w:rFonts w:hint="eastAsia" w:ascii="宋体" w:hAnsi="宋体" w:eastAsia="宋体" w:cs="宋体"/>
                <w:sz w:val="24"/>
                <w:szCs w:val="32"/>
              </w:rPr>
            </w:pPr>
            <w:r>
              <w:rPr>
                <w:rFonts w:hint="eastAsia" w:ascii="宋体" w:hAnsi="宋体" w:eastAsia="宋体" w:cs="宋体"/>
                <w:sz w:val="24"/>
                <w:szCs w:val="32"/>
              </w:rPr>
              <w:t>9.政府采购资格审查由采购人或者采购代理机构负责进行审核。根据《政府采购法》第二十三条规定，采购人可以要求参加政府采购的供应商提供有关资质证明文件和业绩情况，并根据本法规定的供应商条件和采购项目对供应商的特定要求，对供应商的资格进行审查。</w:t>
            </w:r>
          </w:p>
          <w:p w14:paraId="7F730317">
            <w:pPr>
              <w:spacing w:line="360" w:lineRule="auto"/>
              <w:rPr>
                <w:rFonts w:hint="eastAsia" w:ascii="宋体" w:hAnsi="宋体" w:eastAsia="宋体" w:cs="宋体"/>
                <w:sz w:val="24"/>
                <w:szCs w:val="32"/>
              </w:rPr>
            </w:pPr>
            <w:r>
              <w:rPr>
                <w:rFonts w:hint="eastAsia" w:ascii="宋体" w:hAnsi="宋体" w:eastAsia="宋体" w:cs="宋体"/>
                <w:sz w:val="24"/>
                <w:szCs w:val="32"/>
              </w:rPr>
              <w:t>10.签字和盖章要求：响应文件要求盖单位公章和签字的指定位置，供应商应使用CA数字证书加盖企业电子章或加盖实体章上传扫描件均可和法定代表人的电子章或（法定代表人或委托代理人亲笔签名或加盖实体章上传扫描件均可）。</w:t>
            </w:r>
          </w:p>
          <w:p w14:paraId="180095DA">
            <w:pPr>
              <w:spacing w:line="360" w:lineRule="auto"/>
              <w:rPr>
                <w:rFonts w:hint="eastAsia" w:ascii="宋体" w:hAnsi="宋体" w:eastAsia="宋体" w:cs="宋体"/>
                <w:sz w:val="24"/>
                <w:szCs w:val="32"/>
              </w:rPr>
            </w:pPr>
            <w:r>
              <w:rPr>
                <w:rFonts w:hint="eastAsia" w:ascii="宋体" w:hAnsi="宋体" w:eastAsia="宋体" w:cs="宋体"/>
                <w:sz w:val="24"/>
                <w:szCs w:val="32"/>
              </w:rPr>
              <w:t>11.无论何种原因，在投标文件中未提供相应材料的，评标委员会将视同其未提供，如招标文件中规定需要提供说明或者承诺等证明材料，招标文件中未给与格式的其格式自拟，并做入投标文件中，未放入视为无效投标。</w:t>
            </w:r>
          </w:p>
          <w:p w14:paraId="7D116772">
            <w:pPr>
              <w:spacing w:line="360" w:lineRule="auto"/>
              <w:rPr>
                <w:rFonts w:hint="eastAsia" w:ascii="宋体" w:hAnsi="宋体" w:eastAsia="宋体" w:cs="宋体"/>
                <w:sz w:val="24"/>
                <w:szCs w:val="32"/>
              </w:rPr>
            </w:pPr>
            <w:r>
              <w:rPr>
                <w:rFonts w:hint="eastAsia" w:ascii="宋体" w:hAnsi="宋体" w:eastAsia="宋体" w:cs="宋体"/>
                <w:sz w:val="24"/>
                <w:szCs w:val="32"/>
              </w:rPr>
              <w:t>12.本项目采用不见面开标。</w:t>
            </w:r>
          </w:p>
          <w:p w14:paraId="240C112F">
            <w:pPr>
              <w:spacing w:line="360" w:lineRule="auto"/>
              <w:rPr>
                <w:rFonts w:hint="eastAsia" w:ascii="宋体" w:hAnsi="宋体" w:eastAsia="宋体" w:cs="宋体"/>
                <w:sz w:val="24"/>
                <w:szCs w:val="32"/>
              </w:rPr>
            </w:pPr>
            <w:r>
              <w:rPr>
                <w:rFonts w:hint="eastAsia" w:ascii="宋体" w:hAnsi="宋体" w:eastAsia="宋体" w:cs="宋体"/>
                <w:sz w:val="24"/>
                <w:szCs w:val="32"/>
              </w:rPr>
              <w:t>13.如招标文件出现前后不一致时，以投标人须知前附表为准。</w:t>
            </w:r>
          </w:p>
          <w:p w14:paraId="797A40BC">
            <w:pPr>
              <w:spacing w:line="360" w:lineRule="auto"/>
              <w:rPr>
                <w:rFonts w:hint="eastAsia" w:ascii="宋体" w:hAnsi="宋体" w:eastAsia="宋体" w:cs="宋体"/>
                <w:sz w:val="24"/>
                <w:szCs w:val="32"/>
              </w:rPr>
            </w:pPr>
            <w:r>
              <w:rPr>
                <w:rFonts w:hint="eastAsia" w:ascii="宋体" w:hAnsi="宋体" w:eastAsia="宋体" w:cs="宋体"/>
                <w:sz w:val="24"/>
                <w:szCs w:val="32"/>
              </w:rPr>
              <w:t>14.招标文件</w:t>
            </w:r>
            <w:r>
              <w:rPr>
                <w:rFonts w:hint="eastAsia" w:ascii="宋体" w:hAnsi="宋体" w:eastAsia="宋体" w:cs="宋体"/>
                <w:sz w:val="24"/>
                <w:szCs w:val="32"/>
                <w:lang w:eastAsia="zh-CN"/>
              </w:rPr>
              <w:t>中</w:t>
            </w:r>
            <w:r>
              <w:rPr>
                <w:rFonts w:hint="eastAsia" w:ascii="宋体" w:hAnsi="宋体" w:eastAsia="宋体" w:cs="宋体"/>
                <w:i/>
                <w:iCs/>
                <w:color w:val="auto"/>
                <w:sz w:val="24"/>
                <w:szCs w:val="32"/>
                <w:u w:val="single"/>
                <w:lang w:eastAsia="zh-CN"/>
              </w:rPr>
              <w:t>斜体加下划线</w:t>
            </w:r>
            <w:r>
              <w:rPr>
                <w:rFonts w:hint="eastAsia" w:ascii="宋体" w:hAnsi="宋体" w:eastAsia="宋体" w:cs="宋体"/>
                <w:i/>
                <w:iCs/>
                <w:color w:val="auto"/>
                <w:sz w:val="24"/>
                <w:szCs w:val="32"/>
                <w:u w:val="single"/>
              </w:rPr>
              <w:t>条款为实质性条款</w:t>
            </w:r>
            <w:r>
              <w:rPr>
                <w:rFonts w:hint="eastAsia" w:ascii="宋体" w:hAnsi="宋体" w:eastAsia="宋体" w:cs="宋体"/>
                <w:color w:val="auto"/>
                <w:sz w:val="24"/>
                <w:szCs w:val="32"/>
              </w:rPr>
              <w:t>，</w:t>
            </w:r>
            <w:r>
              <w:rPr>
                <w:rFonts w:hint="eastAsia" w:ascii="宋体" w:hAnsi="宋体" w:eastAsia="宋体" w:cs="宋体"/>
                <w:sz w:val="24"/>
                <w:szCs w:val="32"/>
              </w:rPr>
              <w:t>不可偏离。</w:t>
            </w:r>
          </w:p>
        </w:tc>
      </w:tr>
      <w:tr w14:paraId="4761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675C22D">
            <w:pPr>
              <w:spacing w:line="360" w:lineRule="auto"/>
              <w:jc w:val="center"/>
              <w:rPr>
                <w:rFonts w:hint="eastAsia" w:ascii="宋体" w:hAnsi="宋体" w:eastAsia="宋体" w:cs="宋体"/>
                <w:b/>
                <w:bCs/>
                <w:sz w:val="24"/>
                <w:szCs w:val="32"/>
              </w:rPr>
            </w:pPr>
            <w:r>
              <w:rPr>
                <w:rFonts w:hint="eastAsia" w:ascii="宋体" w:hAnsi="宋体" w:eastAsia="宋体" w:cs="宋体"/>
                <w:b/>
                <w:bCs/>
                <w:sz w:val="24"/>
                <w:szCs w:val="32"/>
              </w:rPr>
              <w:t>备注</w:t>
            </w:r>
          </w:p>
        </w:tc>
        <w:tc>
          <w:tcPr>
            <w:tcW w:w="4710" w:type="pct"/>
            <w:gridSpan w:val="2"/>
            <w:vAlign w:val="center"/>
          </w:tcPr>
          <w:p w14:paraId="0AF7F6FE">
            <w:pPr>
              <w:spacing w:line="360" w:lineRule="auto"/>
              <w:rPr>
                <w:rFonts w:hint="eastAsia" w:ascii="宋体" w:hAnsi="宋体" w:eastAsia="宋体" w:cs="宋体"/>
                <w:sz w:val="24"/>
                <w:szCs w:val="32"/>
              </w:rPr>
            </w:pPr>
            <w:r>
              <w:rPr>
                <w:rFonts w:hint="eastAsia" w:ascii="宋体" w:hAnsi="宋体" w:eastAsia="宋体" w:cs="宋体"/>
                <w:sz w:val="24"/>
                <w:szCs w:val="32"/>
              </w:rPr>
              <w:t>1.除本招标文件另有规定外，招标文件中出现的类似于“近三年”或“前三年”、“近五年”或“前五年”均指递交投标文件时间以前三年或前五年，以此类推。</w:t>
            </w:r>
          </w:p>
          <w:p w14:paraId="0A77DD13">
            <w:pPr>
              <w:spacing w:line="360" w:lineRule="auto"/>
              <w:rPr>
                <w:rFonts w:hint="eastAsia" w:ascii="宋体" w:hAnsi="宋体" w:eastAsia="宋体" w:cs="宋体"/>
                <w:sz w:val="24"/>
                <w:szCs w:val="32"/>
              </w:rPr>
            </w:pPr>
            <w:r>
              <w:rPr>
                <w:rFonts w:hint="eastAsia" w:ascii="宋体" w:hAnsi="宋体" w:eastAsia="宋体" w:cs="宋体"/>
                <w:sz w:val="24"/>
                <w:szCs w:val="32"/>
              </w:rPr>
              <w:t>如：递交投标文件时间为年月日，则“近三年”是指年月日至年月日。</w:t>
            </w:r>
          </w:p>
          <w:p w14:paraId="2ACEA2FC">
            <w:pPr>
              <w:spacing w:line="360" w:lineRule="auto"/>
              <w:rPr>
                <w:rFonts w:hint="eastAsia" w:ascii="宋体" w:hAnsi="宋体" w:eastAsia="宋体" w:cs="宋体"/>
                <w:sz w:val="24"/>
                <w:szCs w:val="32"/>
              </w:rPr>
            </w:pPr>
            <w:r>
              <w:rPr>
                <w:rFonts w:hint="eastAsia" w:ascii="宋体" w:hAnsi="宋体" w:eastAsia="宋体" w:cs="宋体"/>
                <w:sz w:val="24"/>
                <w:szCs w:val="32"/>
              </w:rPr>
              <w:t>2.本招标文件所称的“以上”、“以下”、“内”、“以内”，包括本数；所称的“不足”，不包括本数。</w:t>
            </w:r>
          </w:p>
        </w:tc>
      </w:tr>
    </w:tbl>
    <w:p w14:paraId="7F7B87C7">
      <w:pPr>
        <w:jc w:val="center"/>
        <w:rPr>
          <w:rFonts w:hint="eastAsia" w:ascii="宋体" w:hAnsi="宋体" w:eastAsia="宋体" w:cs="宋体"/>
          <w:b/>
          <w:bCs/>
          <w:sz w:val="28"/>
          <w:szCs w:val="36"/>
        </w:rPr>
      </w:pPr>
      <w:r>
        <w:rPr>
          <w:rFonts w:hint="eastAsia" w:ascii="宋体" w:hAnsi="宋体" w:eastAsia="宋体" w:cs="宋体"/>
          <w:b/>
          <w:bCs/>
          <w:sz w:val="28"/>
          <w:szCs w:val="36"/>
        </w:rPr>
        <w:t>注：本表中“☑”标示选择使用该项</w:t>
      </w:r>
    </w:p>
    <w:p w14:paraId="5BF58E50">
      <w:pPr>
        <w:rPr>
          <w:rFonts w:hint="eastAsia" w:ascii="宋体" w:hAnsi="宋体" w:eastAsia="宋体" w:cs="宋体"/>
          <w:b/>
          <w:bCs/>
          <w:sz w:val="28"/>
          <w:szCs w:val="36"/>
        </w:rPr>
      </w:pPr>
      <w:r>
        <w:rPr>
          <w:rFonts w:hint="eastAsia" w:ascii="宋体" w:hAnsi="宋体" w:eastAsia="宋体" w:cs="宋体"/>
          <w:b/>
          <w:bCs/>
          <w:sz w:val="28"/>
          <w:szCs w:val="36"/>
        </w:rPr>
        <w:br w:type="page"/>
      </w:r>
    </w:p>
    <w:p w14:paraId="123A3E3E">
      <w:pPr>
        <w:jc w:val="center"/>
        <w:outlineLvl w:val="1"/>
        <w:rPr>
          <w:rFonts w:hint="eastAsia" w:ascii="宋体" w:hAnsi="宋体" w:eastAsia="宋体" w:cs="宋体"/>
          <w:b/>
          <w:bCs/>
          <w:sz w:val="28"/>
          <w:szCs w:val="36"/>
        </w:rPr>
      </w:pPr>
      <w:bookmarkStart w:id="5" w:name="_Toc21067"/>
      <w:r>
        <w:rPr>
          <w:rFonts w:hint="eastAsia" w:ascii="宋体" w:hAnsi="宋体" w:eastAsia="宋体" w:cs="宋体"/>
          <w:b/>
          <w:bCs/>
          <w:sz w:val="28"/>
          <w:szCs w:val="36"/>
        </w:rPr>
        <w:t>（二）投标人须知说明</w:t>
      </w:r>
      <w:bookmarkEnd w:id="5"/>
    </w:p>
    <w:p w14:paraId="4C90E606">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一、总则</w:t>
      </w:r>
    </w:p>
    <w:p w14:paraId="617A66D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1.适用范围</w:t>
      </w:r>
    </w:p>
    <w:p w14:paraId="4FE3F2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1.1《中华人民共和国政府采购法》；</w:t>
      </w:r>
    </w:p>
    <w:p w14:paraId="6B90318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1.2《中华人民共和国政府采购法实施条例》；</w:t>
      </w:r>
    </w:p>
    <w:p w14:paraId="371BC72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1.3《政府采购货物和服务招标投标管理办法》；</w:t>
      </w:r>
    </w:p>
    <w:p w14:paraId="4C3A5D7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1.4《政府采购质疑和投诉办法》；</w:t>
      </w:r>
    </w:p>
    <w:p w14:paraId="1C6C8A2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1.5《中华人民共和国民法典》；</w:t>
      </w:r>
    </w:p>
    <w:p w14:paraId="21AF8D4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1.6其他有关法律、行政法规以及省市规范性文件规定。</w:t>
      </w:r>
    </w:p>
    <w:p w14:paraId="48C060F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2.定义</w:t>
      </w:r>
    </w:p>
    <w:p w14:paraId="6177987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2.1“采购人”名称见本招标文件第二章“投标人须知前附表”中第2项。</w:t>
      </w:r>
    </w:p>
    <w:p w14:paraId="461BF90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2.2“采购代理机构”名称见本招标文件第二章“投标人须知前附表”中第3项。</w:t>
      </w:r>
    </w:p>
    <w:p w14:paraId="2E0BAA7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2.3“招标货物”指招标文件第三章所述所有货物；“服务”指招标文件第三章所述投标人应该履行的承诺和义务。</w:t>
      </w:r>
    </w:p>
    <w:p w14:paraId="3A5D951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2.4“潜在投标人”指符合招标文件各项规定的投标人。</w:t>
      </w:r>
    </w:p>
    <w:p w14:paraId="265383E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2.5“投标人”指符合招标文件规定并参加投标的投标人。</w:t>
      </w:r>
    </w:p>
    <w:p w14:paraId="603D183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2.6“投标人公章”在投标文件中指与投标人标准公章一致的投标人电子签章。</w:t>
      </w:r>
    </w:p>
    <w:p w14:paraId="42ECE58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3.合格投标人的条件</w:t>
      </w:r>
    </w:p>
    <w:p w14:paraId="1DCAEAF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3.1遵守有关的国家法律、法规和条例，具备《中华人民共和国政府采购法》和本文件中规定的条件：</w:t>
      </w:r>
    </w:p>
    <w:p w14:paraId="69F4361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w:t>
      </w:r>
    </w:p>
    <w:p w14:paraId="5EB324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2）具有良好的商业信誉和健全的财务会计制度；</w:t>
      </w:r>
    </w:p>
    <w:p w14:paraId="6AFDAE7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2A875F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4）具有依法缴纳税收和社会保障资金的良好记录；</w:t>
      </w:r>
    </w:p>
    <w:p w14:paraId="488E728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32EBCE6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6）法律、行政法规规定的其他条件；</w:t>
      </w:r>
    </w:p>
    <w:p w14:paraId="431C59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7）符合本招标文件规定的资格要求，且按照要求提供相关证明材料；</w:t>
      </w:r>
    </w:p>
    <w:p w14:paraId="4828CD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3.2单位负责人为同一人或者存在直接控股、管理关系的不同投标人，不得参加同一合同项下的政府采购活动；</w:t>
      </w:r>
    </w:p>
    <w:p w14:paraId="17B68E9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3.3投标人须知前附表规定接受联合体投标的，应符合以下规定：</w:t>
      </w:r>
    </w:p>
    <w:p w14:paraId="0F56688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3.3.1联合体各方应按照招标文件提供的格式签订联合体协议书，明确联合体牵头人和各方权利义务；</w:t>
      </w:r>
    </w:p>
    <w:p w14:paraId="1650CD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3.3.2联合体各方均应当符合《政府采购法》第二十二条规定的条件；</w:t>
      </w:r>
    </w:p>
    <w:p w14:paraId="0764323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3.3.3联合体中有同类资质的投标人按照联合体分工承担相同工作的，应当按照资质等级较低的投标人确定资质等级。</w:t>
      </w:r>
    </w:p>
    <w:p w14:paraId="066DF24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3.3.4以联合体形式参加政府采购活动的，联合体各方不得再单独参加或者与其他投标人另外组成联合体参加同一合同项下的政府采购活动。</w:t>
      </w:r>
    </w:p>
    <w:p w14:paraId="48DFA68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3.3.5联合体各方应当共同与采购人签订采购合同，就合同约定的事项对采购人承担连带责任；</w:t>
      </w:r>
    </w:p>
    <w:p w14:paraId="029AB70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3.3.6鼓励大中型企业和其他自然人、法人或者其他组织与小型、微型企业组成联合体投标，但联合体各方均应符合上述规定。</w:t>
      </w:r>
    </w:p>
    <w:p w14:paraId="166C85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3.4鼓励大中型企业和其他自然人、法人或者其他组织与小型、微型企业组成联合体投标，但联合体各方均应符合上述规定。</w:t>
      </w:r>
    </w:p>
    <w:p w14:paraId="15E765B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3.5除采购人拟采购进口产品通过财政部门审核外，投标人不得提供直接进口或者委托进口产品（包括已进入中国境内的进口产品）。</w:t>
      </w:r>
    </w:p>
    <w:p w14:paraId="37DEA3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3.6为本项目提供整体设计、规范编制或者项目管理、监理、检测等服务的投标人，不得再参加本项目的招标活动。</w:t>
      </w:r>
    </w:p>
    <w:p w14:paraId="076448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3.7采购代理机构及其分支机构不得在所代理的采购项目中投标或者代理投标，不得为所代理的采购项目的投标人参加本项目提供投标咨询。</w:t>
      </w:r>
    </w:p>
    <w:p w14:paraId="1D3B8E2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3.8投标人提供的证明材料内容必须真实可靠。</w:t>
      </w:r>
    </w:p>
    <w:p w14:paraId="78F55AB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3.9投标人按时足额交纳投标保证金（如有）。</w:t>
      </w:r>
    </w:p>
    <w:p w14:paraId="35BD788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3.10投标人不得与采购人、采购代理机构等有利害关系。</w:t>
      </w:r>
    </w:p>
    <w:p w14:paraId="32D770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符合上述条件的投标人即为合格投标人，具有参与公开招标的资格。</w:t>
      </w:r>
    </w:p>
    <w:p w14:paraId="51547A4C">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4.投标费用</w:t>
      </w:r>
    </w:p>
    <w:p w14:paraId="5D1D925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4.1投标人应承担所有与准备和参加投标有关的费用。</w:t>
      </w:r>
    </w:p>
    <w:p w14:paraId="0604326F">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5.纪律</w:t>
      </w:r>
    </w:p>
    <w:p w14:paraId="32ECDA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5.1投标人纪律</w:t>
      </w:r>
    </w:p>
    <w:p w14:paraId="23FBEF8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5.1投标人的投标行为应遵守中国的有关法律、法规和规章。</w:t>
      </w:r>
    </w:p>
    <w:p w14:paraId="21622EA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5.1.2投标人不得相互串通投标报价，不得妨碍其他投标人的公平竞争，不得损害采购人或其他投标人的合法权益，投标人不得以向采购人、评标委员会成员行贿或者采取其他不正当手段谋取中标。</w:t>
      </w:r>
    </w:p>
    <w:p w14:paraId="5D1673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5.1.3有下列情形之一的，属于投标人相互串通投标：</w:t>
      </w:r>
    </w:p>
    <w:p w14:paraId="42C1345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5.1.3.1投标人之间协商投标报价等投标文件的实质性内容；</w:t>
      </w:r>
    </w:p>
    <w:p w14:paraId="4A455D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5.1.3.2投标人之间约定中标人；</w:t>
      </w:r>
    </w:p>
    <w:p w14:paraId="1E1EF2B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5.1.3.3投标人之间约定部分投标人放弃投标或者中标；</w:t>
      </w:r>
    </w:p>
    <w:p w14:paraId="58819D5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5.1.3.4属于同一集团、协会、商会等组织成员的投标人按照该组织要求协同投标；</w:t>
      </w:r>
    </w:p>
    <w:p w14:paraId="151D177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5.1.3.5投标人之间为谋取中标或者排斥特定投标人而采取的其他联合行动。</w:t>
      </w:r>
    </w:p>
    <w:p w14:paraId="4750B6B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5.1.4有下列情形之一的，视为投标人相互串通投标：</w:t>
      </w:r>
    </w:p>
    <w:p w14:paraId="5E3EA7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5.1.4.1不同投标人的投标文件由同一单位或者个人编制；</w:t>
      </w:r>
    </w:p>
    <w:p w14:paraId="0D2AE1B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5.1.4.2不同投标人的投标文件载明的项目管理成员为同一人；</w:t>
      </w:r>
    </w:p>
    <w:p w14:paraId="299560A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5.1.4.3不同投标人的投标文件异常一致或者投标报价呈规律性差异；</w:t>
      </w:r>
    </w:p>
    <w:p w14:paraId="6A08CE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5.1.4.4不同投标人的投标文件相互混装；</w:t>
      </w:r>
    </w:p>
    <w:p w14:paraId="7C64919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5.1.4.5不同投标人的投标保证金从同一单位或者个人的账户转出。</w:t>
      </w:r>
    </w:p>
    <w:p w14:paraId="74FD549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5.2对采购人的纪律要求</w:t>
      </w:r>
    </w:p>
    <w:p w14:paraId="7C0083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77DB095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5.2.2采购人不得向投标人索要或者接受其给予的赠品、回扣或者与采购无关的其他商品、服务。</w:t>
      </w:r>
    </w:p>
    <w:p w14:paraId="0FB30AA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5.3对投标人的纪律要求</w:t>
      </w:r>
    </w:p>
    <w:p w14:paraId="63A0A2F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5.3.1投标人应当遵循公平竞争的原则，不得恶意串通，不得妨碍其他投标人的竞争行为，不得损害采购人或者其他投标人的合法权益。</w:t>
      </w:r>
    </w:p>
    <w:p w14:paraId="34B5CCA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5.4对评标委员会成员的纪律要求</w:t>
      </w:r>
    </w:p>
    <w:p w14:paraId="795E7A9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5.4.1评标委员会及其成员不得有下列行为：</w:t>
      </w:r>
    </w:p>
    <w:p w14:paraId="4308D43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（一）确定参与评标至评标结束前私自接触投标人；</w:t>
      </w:r>
    </w:p>
    <w:p w14:paraId="4D37C6F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（二）接受投标人提出的与投标文件不一致的澄清或者说明，法律规定允许澄清或说明的情形除外；</w:t>
      </w:r>
    </w:p>
    <w:p w14:paraId="4EDF401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（三）违反评标纪律发表倾向性意见或者征询采购人的倾向性意见；</w:t>
      </w:r>
    </w:p>
    <w:p w14:paraId="0BB3CED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（四）对需要专业判断的主观评标因素协商评分；</w:t>
      </w:r>
    </w:p>
    <w:p w14:paraId="06FEBA7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（五）在评标过程中擅离职守，影响评标程序正常进行的；</w:t>
      </w:r>
    </w:p>
    <w:p w14:paraId="55EB20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（六）记录、复制或者带走任何评标资料；</w:t>
      </w:r>
    </w:p>
    <w:p w14:paraId="05B15DE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（七）其他不遵守评标纪律的行为。</w:t>
      </w:r>
    </w:p>
    <w:p w14:paraId="3330702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评标委员会成员有前款第一至五项行为之一的，其评标意见无效，并不得获取评标劳务报酬和报销异地评标差旅费。</w:t>
      </w:r>
    </w:p>
    <w:p w14:paraId="676AEE7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5.5对与评标活动有关的工作人员的纪律要求</w:t>
      </w:r>
    </w:p>
    <w:p w14:paraId="2494DC0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5.5.1与评标活动有关的工作人员不得收受他人的财物或者其他好处，不得向他人透漏对投标文件的评标和比较、中标候选人的确定情况以及评标有关的其他情况。在评标活动中，与评标活动有关的工作人员不得擅离职守，影响评标程序正常进行。</w:t>
      </w:r>
    </w:p>
    <w:p w14:paraId="763F2B8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6.通知</w:t>
      </w:r>
    </w:p>
    <w:p w14:paraId="05880DD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6.1对与本项目有关的通知，采购代理机构将以书面（包括书面材料、信函、传真等，下同）或在本次招标公告刊登的媒体上发布公告并在新疆政府采购网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74D59C5A">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二、招标文件</w:t>
      </w:r>
    </w:p>
    <w:p w14:paraId="52BB733F">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7.招标文件组成</w:t>
      </w:r>
    </w:p>
    <w:p w14:paraId="6B42255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7.1招标文件的组成</w:t>
      </w:r>
    </w:p>
    <w:p w14:paraId="0B5FA61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7.1.1招标文件是用以阐明所需货物以及服务、招标程序和合同格式的规范性文件。招标文件主要由以下部分组成：</w:t>
      </w:r>
    </w:p>
    <w:p w14:paraId="4886FC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（1）招标公告；</w:t>
      </w:r>
    </w:p>
    <w:p w14:paraId="302FECD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（2）投标人须知；</w:t>
      </w:r>
    </w:p>
    <w:p w14:paraId="1E6BD86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（3）采购需求；</w:t>
      </w:r>
    </w:p>
    <w:p w14:paraId="29AF884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（4）评标办法；</w:t>
      </w:r>
    </w:p>
    <w:p w14:paraId="598031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（5）签订合同及合同范本；</w:t>
      </w:r>
    </w:p>
    <w:p w14:paraId="46254B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（6）投标文件格式。</w:t>
      </w:r>
    </w:p>
    <w:p w14:paraId="5124627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7.1.2根据本章第7.2款对采购文件所作的澄清和修改，构成采购文件的组成部分。</w:t>
      </w:r>
    </w:p>
    <w:p w14:paraId="34AEBD1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7.1.3除非有特殊要求，招标文件不单独提供项目所在地的自然环境、气候条件、公用设施等情况，投标人被视为熟悉上述与履行合同有关的一切情况。</w:t>
      </w:r>
    </w:p>
    <w:p w14:paraId="2413B37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7.2答疑及招标文件的澄清和修改</w:t>
      </w:r>
    </w:p>
    <w:p w14:paraId="685FB8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7.2.1投标人如果对招标文件有疑问或要求进行澄清的，应按照招标文件第二部分“投标人须知前附表”规定向采购代理机构提出。提出后，请投标人及时通过政采云“更正公告”。必要时，采购代理机构将组织相关专家召开答疑会，如召开，答疑会安排另行通知。</w:t>
      </w:r>
    </w:p>
    <w:p w14:paraId="5D944C8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投标人在规定的时间内未对招标文件提出疑问或要求澄清的，采购代理机构将视其为同意，对在“答疑接受时间”后就招标文件内容提出的疑问及澄清要求将不予受理。</w:t>
      </w:r>
    </w:p>
    <w:p w14:paraId="2C54308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2EA1ED6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特殊情况下，采购代理机构发布澄清、修改文件后，征得投标人同意，可不改变投标截止时间和开标时间。</w:t>
      </w:r>
    </w:p>
    <w:p w14:paraId="1A8CACF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6D35379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7.2.4采购代理机构对招标文件作出的澄清、修改在新疆政府采购网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6EDD50D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7.2.5澄清、修改文件发出后，投标人必须使用最新的答疑、澄清文件制作电子投标文件，否则将无法完成上传。</w:t>
      </w:r>
    </w:p>
    <w:p w14:paraId="2CC0349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招标文件的澄清或者修改在同一内容的表述上不一致时，以最后发出的公告为准。</w:t>
      </w:r>
    </w:p>
    <w:p w14:paraId="43C7F0B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8.踏勘现场</w:t>
      </w:r>
    </w:p>
    <w:p w14:paraId="42E0F51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8.1本项目是否统一组织投标人踏勘现场见招标文件第二部分“投标人须知前附表”中的规定。无论是否统一组织，投标人应对供货现场和周围环境进行勘察，以获取编制投标文件所需的资料。</w:t>
      </w:r>
    </w:p>
    <w:p w14:paraId="45137D8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0B91262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8.3除非有特殊要求，招标文件不单独提供供货使用地的自然环境、气候条件、公用设施等情况，投标人被视为熟悉上述与履行合同有关的一切情况。</w:t>
      </w:r>
    </w:p>
    <w:p w14:paraId="57A8097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8.4除采购人原因外，投标人自行负责在踏勘现场中所发生的人员伤亡和财产损失。</w:t>
      </w:r>
    </w:p>
    <w:p w14:paraId="7119006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9.知识产权</w:t>
      </w:r>
    </w:p>
    <w:p w14:paraId="4790331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2CA5ABB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9.2投标人如欲在项目实施过程中采用自有知识成果，须在投标文件中声明，并提供相关知识产权证明文件。使用该知识成果后，投标人须提供开发接口和开发手册等技术文档。</w:t>
      </w:r>
    </w:p>
    <w:p w14:paraId="1AAE6D1D">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三、投标文件</w:t>
      </w:r>
    </w:p>
    <w:p w14:paraId="46E8BFD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10.投标文件的语言及计量单位</w:t>
      </w:r>
    </w:p>
    <w:p w14:paraId="3AF059F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10.1投标人提交的投标文件（包括相关资料、附件）以及投标人与采购代理机构就有关投标的所有来往函电均应使用中文简体字。</w:t>
      </w:r>
    </w:p>
    <w:p w14:paraId="7235E24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4AB5FCE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10.3除非招标文件另有规定，投标文件所使用的计量单位，应使用国家法定计量单位。</w:t>
      </w:r>
    </w:p>
    <w:p w14:paraId="297A3F6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10.4对违反上述规定情形的，评标委员会有权要求投标人限期提供相应文件或决定对其投标予以拒绝。</w:t>
      </w:r>
    </w:p>
    <w:p w14:paraId="608388E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10.5电报、电话、传真形式的投标概不接受。投标人的投标文件一律不予退还。</w:t>
      </w:r>
    </w:p>
    <w:p w14:paraId="6BC14CBF">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11.投标文件组成及编制</w:t>
      </w:r>
    </w:p>
    <w:p w14:paraId="0D5FF4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11.1投标人应按照招标文件的要求编制投标文件，并保证其真实性、准确性以及完整性，按照招标文件要求提交全部资料并做出实质性投标。</w:t>
      </w:r>
    </w:p>
    <w:p w14:paraId="34A5275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11.2投标文件由报价要求响应文件、资格响应文件、商务技术响应文件组成。</w:t>
      </w:r>
    </w:p>
    <w:p w14:paraId="0C8E56B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11.3具体内容详见“第六章投标文件格式”的相关内容。</w:t>
      </w:r>
    </w:p>
    <w:p w14:paraId="283F1659">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12.电子投标文件的编制</w:t>
      </w:r>
    </w:p>
    <w:p w14:paraId="6D4693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12.1电子投标文件使用新疆政府采购网提供的投标文件制作工具以及招标文件要求进行制作编制。投标文件制作时，不同内容按标签提示制作导入，按照招标文件中明确的投标文件目录和格式进行编制，保证目录清晰、内容完整。</w:t>
      </w:r>
    </w:p>
    <w:p w14:paraId="67DB97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12.2电子投标文件须使用投标人公章的电子签章以及法定代表人的电子签章。若无电子签章，则视为无效投标。</w:t>
      </w:r>
    </w:p>
    <w:p w14:paraId="78D285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526BA15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13.投标报价</w:t>
      </w:r>
    </w:p>
    <w:p w14:paraId="2926B06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13.1投标报价的范围：见投标人须知前附表。</w:t>
      </w:r>
    </w:p>
    <w:p w14:paraId="5EF38A3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13.2投标人应对所投项目中的服务（货物）进行报价，对每一项服务（货物）的报价必须全部报齐。</w:t>
      </w:r>
    </w:p>
    <w:p w14:paraId="2276A3A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13.3投标报价的次数：见投标人须知前附表。</w:t>
      </w:r>
    </w:p>
    <w:p w14:paraId="222BA6B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13.4投标人不得以任何方式或者方法提供投标以外的任何附赠条款。</w:t>
      </w:r>
    </w:p>
    <w:p w14:paraId="144976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13.5投标人应按照招标文件中要求的内容填写报价，并由法定代表人或者授权代表签署。</w:t>
      </w:r>
    </w:p>
    <w:p w14:paraId="6461844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13.6投标人须按照附件格式表中的各单项明细逐项填写，以方便评标委员会对各投标文件进行比较。</w:t>
      </w:r>
    </w:p>
    <w:p w14:paraId="36E70A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13.7投标文件报价出现前后不一致的，除招标文件另有规定外，视其投标无效。</w:t>
      </w:r>
    </w:p>
    <w:p w14:paraId="18C53D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13.8唱标时，采购代理机构只对按照招标文件要求编制的投标报价进行唱标。</w:t>
      </w:r>
    </w:p>
    <w:p w14:paraId="4AE88D5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13.9投标人的中标价格在合同执行中是固定不变的，不得以任何理由予以变更，不得出现任何包含价格调整的要求。</w:t>
      </w:r>
    </w:p>
    <w:p w14:paraId="3C56C55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13.10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7B9F5E0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13.11不接受可选择或可调整的投标方案和报价，任何有选择的或可调整的投标方案和报价将被视为非投标性投标而被拒绝。</w:t>
      </w:r>
    </w:p>
    <w:p w14:paraId="075022E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13.12本项目是否接受进口产品按照招标文件第二章“投标人须知前附表”的规定执行。</w:t>
      </w:r>
    </w:p>
    <w:p w14:paraId="5F7670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13.13本项目是否允许投标人将项目的非主体、非关键性工作交由他人完成按照招标文件第二章“投标人须知前附表”的规定。</w:t>
      </w:r>
    </w:p>
    <w:p w14:paraId="39FF966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13.14投标人须严格按照报价明细表规定的内容填写单价以及其他事项。</w:t>
      </w:r>
    </w:p>
    <w:p w14:paraId="0F4D5EF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13.15投标人对投标报价若有说明应在投标文件中显著处注明。除政策性文件规定以外，投标人所报价格在合同实施期间不因市场变化因素而变动。</w:t>
      </w:r>
    </w:p>
    <w:p w14:paraId="20EE26E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13.16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824906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13.17最低报价不能作为中标的保证。</w:t>
      </w:r>
    </w:p>
    <w:p w14:paraId="5F11C00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14.投标有效期</w:t>
      </w:r>
    </w:p>
    <w:p w14:paraId="53B360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14.1本项目的投标有效期按照招标文件第二章“投标人须知前附表”的规定。投标有效期自开标之日起计算，短于规定期限的投标将按无效投标处理。</w:t>
      </w:r>
    </w:p>
    <w:p w14:paraId="599A44B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33440A7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15.投标内容填写说明</w:t>
      </w:r>
    </w:p>
    <w:p w14:paraId="1E1460E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15.1投标人应详细阅读招标文件的全部内容。投标文件须对招标文件中的内容作出实质性和完整的投标，如果投标文件填报的内容不详，或没有提供招标文件中所要求的全部资料及数据，将可能导致投标被拒绝。</w:t>
      </w:r>
    </w:p>
    <w:p w14:paraId="0FE84B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15.2投标文件须严格按照招标文件第六章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投标的投标文件，其投标有可能被拒绝。</w:t>
      </w:r>
    </w:p>
    <w:p w14:paraId="5BEF00C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15.3开标一览表为在开标仪式上唱标的内容，要求按格式统一填写，不得自行增减内容。</w:t>
      </w:r>
    </w:p>
    <w:p w14:paraId="663133A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15.4投标人须注意：为合理节约政府采购评标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标中被发现存在偏离或被认定为属于偏离，则评标委员会有权视具体情形评标时予以处理，乃至对该投标予以拒绝。</w:t>
      </w:r>
    </w:p>
    <w:p w14:paraId="0787A15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15.5投标人必须保证投标文件所提供的全部资料真实可靠，并接受采购代理机构或评标委员会对其中任何资料进一步审查的要求。</w:t>
      </w:r>
    </w:p>
    <w:p w14:paraId="262E12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AD9F040">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四、投标保证金</w:t>
      </w:r>
    </w:p>
    <w:p w14:paraId="505DEAA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16.投标保证金（如有）</w:t>
      </w:r>
    </w:p>
    <w:p w14:paraId="66034D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16.1投标人应按照招标文件第二章“投标人须知前附表”中的规定交纳。投标保证金须于到账截止时间前到帐，并经采购代理机构确认。</w:t>
      </w:r>
    </w:p>
    <w:p w14:paraId="179EB01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16.2采购代理机构不接收以现金或汇票方式递交的投标保证金。未按要求提交投标保证金的，将被视为无效投标。</w:t>
      </w:r>
    </w:p>
    <w:p w14:paraId="51D5F54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16.3未中标的投标人的投标保证金在中标通知书发出之日起5个工作日内退还；中标人的投标保证金将在交纳履约保证金并于合同生效后5个工作日内退还。</w:t>
      </w:r>
    </w:p>
    <w:p w14:paraId="7FAEAB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16.4投标保证金退还一律采用网上银行转帐方式退还至投标人的汇款帐户，资金原路返回。</w:t>
      </w:r>
    </w:p>
    <w:p w14:paraId="64B70DB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16.5如开标时投标人对本单位投标保证金缴纳情况有疑义，投标人应在开标结束前向采购人提交书面申请核实保证金缴纳情况。由银行或保险公司核实后出具书面材料予以答复。</w:t>
      </w:r>
    </w:p>
    <w:p w14:paraId="58F160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16.6开标结束后，转账、电汇、网银形式缴纳的保证金由招标代理或采购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14:paraId="5EA66A33">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五、投标文件的递交</w:t>
      </w:r>
    </w:p>
    <w:p w14:paraId="3E81DEF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17.投标文件加密</w:t>
      </w:r>
    </w:p>
    <w:p w14:paraId="1708CFA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17.1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B10AC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投标截止时间以政采云平台显示的时间为准，逾期系统将自动关闭，未完成上传的投标文件视为逾期送达，将被拒绝。</w:t>
      </w:r>
    </w:p>
    <w:p w14:paraId="42B5C7E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18.投标文件的递交</w:t>
      </w:r>
    </w:p>
    <w:p w14:paraId="14C1B66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18.1投标人应当在招标文件要求提交投标文件的截止时间前按照采购文件中的有关要求线上递交投标文件。</w:t>
      </w:r>
    </w:p>
    <w:p w14:paraId="478BDC5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18.2在招标文件要求提交投标文件的截止时间之后送达的投标文件，为无效投标文件，采购代理机构将拒绝接收。</w:t>
      </w:r>
    </w:p>
    <w:p w14:paraId="54D5E33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18.3是否采用不见面开标详见投标人须知前附表，若项目采用不见面开标。只需将加密电子投标文件在投标截止时间前通过新疆政府采购网上传完成。上传时必须得到电脑确认回复后方为上传成功。逾期上传的或者未上传到平台的投标文件，采购人不予受理。</w:t>
      </w:r>
    </w:p>
    <w:p w14:paraId="71778F1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19.投标文件的修改和撤回</w:t>
      </w:r>
    </w:p>
    <w:p w14:paraId="7D56F1A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19.1投标人在招标文件要求提交投标文件截止时间前，可以修改或者撤回已上传的投标文件。</w:t>
      </w:r>
    </w:p>
    <w:p w14:paraId="77923FD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19.2在提交投标文件截止时间后到招标文件规定的投标有效期终止之前，投标人不得补充、修改或者撤销其投标文件。</w:t>
      </w:r>
    </w:p>
    <w:p w14:paraId="42611B58">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六、开标</w:t>
      </w:r>
    </w:p>
    <w:p w14:paraId="4030481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20.开标</w:t>
      </w:r>
    </w:p>
    <w:p w14:paraId="08ACE7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20.1开标程序</w:t>
      </w:r>
    </w:p>
    <w:p w14:paraId="456099E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20.1.1宣布开标纪律；</w:t>
      </w:r>
    </w:p>
    <w:p w14:paraId="4CDB64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20.1.2宣布主持人、唱标人、记录人等有关人员姓名；</w:t>
      </w:r>
    </w:p>
    <w:p w14:paraId="7E40AAE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20.1.3查看在线签到家数，少于三家开标会结束；不少于三家开标会继续进行；</w:t>
      </w:r>
    </w:p>
    <w:p w14:paraId="23D5A3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20.1.4投标人根据要求在限定时间内通过电子招标投标交易平台对已上传的电子投标文件开始解密。</w:t>
      </w:r>
    </w:p>
    <w:p w14:paraId="607B72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20.1.5开标结束。</w:t>
      </w:r>
    </w:p>
    <w:p w14:paraId="32444D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20.2开标</w:t>
      </w:r>
    </w:p>
    <w:p w14:paraId="1BD2500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20.2.1开标应当在招标文件确定的提交投标文件截止时间的同一时间通过电子招标投标交易平台公开进行。所有投标人须在开标前规定时间内签到。</w:t>
      </w:r>
    </w:p>
    <w:p w14:paraId="7A17170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20.2.2开标由采购代理机构指定专人负责，开标记录由投标人线上确认。</w:t>
      </w:r>
    </w:p>
    <w:p w14:paraId="300AA1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20.2.3投标人代表对开标过程和开标记录有疑义，以及认为采购人、采购代理机构相关工作人员有需要回避的情形的，应当场（在线）提出询问或者回避申请。采购人、采购代理机构对投标人代表提出的询问或者回避申请应当及时处理。投标人未参加开标的，视同认可开标结果。</w:t>
      </w:r>
    </w:p>
    <w:p w14:paraId="5571DED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20.2.4投标人不足3家的，不得开标。</w:t>
      </w:r>
    </w:p>
    <w:p w14:paraId="05B65AB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20.2.5在评标结束前，投标单位请保持在线登录电子交易平台状态。评标过程中，如果评标委员会要求投标人对投标文件进行澄清、说明或补正，投标单位需要通过电子交易平台【专家问题澄清】功能，限时在线提交有投标单位电子签章的澄清，系统不接受超时的澄清。</w:t>
      </w:r>
    </w:p>
    <w:p w14:paraId="21D7A3A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A．采用见面开标方式（是否采用详见投标人须知前附表）</w:t>
      </w:r>
    </w:p>
    <w:p w14:paraId="5AA2663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采购代理机构按照招标文件规定的时间、地点主持开标。投标人法定代表人或授权代理人应携带身份证明、电子密钥（电子证书）、未加密的电子投标文件（用信封密封）及应当提交的其他资料参加开标并签到。</w:t>
      </w:r>
    </w:p>
    <w:p w14:paraId="67884B9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17EDB3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因网上招标系统故障导致所有投标人均解密失败时，投标人使用未加密的电子投标文件进行开评标。</w:t>
      </w:r>
    </w:p>
    <w:p w14:paraId="42FD153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7783149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在评标结束前，未得到采购代理机构允许，投标人法定代表人或授权代理人不得离开开标现场。</w:t>
      </w:r>
    </w:p>
    <w:p w14:paraId="3DAE5C5F">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B．采用不见面开标方式（是否采用详见投标人须知前附表）</w:t>
      </w:r>
    </w:p>
    <w:p w14:paraId="12B0EDB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在规定的投标截止时间（开标时间）和投标人须知前附表规定的地点进行线上开标。投标人的法定代表人或其委托代理人无需到达开标现场，仅需在任意地点通过登录开标系统（见招标公告），使用CA密钥完成远程解密、答疑澄清、开标唱标、结果公布等交互环节。</w:t>
      </w:r>
    </w:p>
    <w:p w14:paraId="6EF1BF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79D1CDD6">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七、评标</w:t>
      </w:r>
    </w:p>
    <w:p w14:paraId="0EF3AD12">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21.组建评标委员会</w:t>
      </w:r>
    </w:p>
    <w:p w14:paraId="26688DC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21.1评标委员会的组成</w:t>
      </w:r>
    </w:p>
    <w:p w14:paraId="51F25A3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按照《中华人民共和国政府采购法》以及有关规定组建评标委员会。评标由依法组建的评标委员会负责。评标委员会由采购人代表和评标专家组成，成员人数为5人以上单数其中经济、技术等方面的专家不少于三分之二。</w:t>
      </w:r>
    </w:p>
    <w:p w14:paraId="19FFEB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评标专家对本单位的采购项目只能作为采购人代表参与评标，采购人可以自行选定相应专业领域评标专家的规定情形除外。采购代理机构在职工作人员不得以评标专家身份参与政府采购项目评标活动。</w:t>
      </w:r>
    </w:p>
    <w:p w14:paraId="48747BB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21.2评标专家的抽取</w:t>
      </w:r>
    </w:p>
    <w:p w14:paraId="704F6C7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21.2.1采用随机抽取方式从省级以上财政部门设立的政府采购评标专家库中抽取评标专家。任何单位和个人都不得指定评标专家或干预评标专家的抽取工作。</w:t>
      </w:r>
    </w:p>
    <w:p w14:paraId="7C2C57D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21.2.2参加评标专家抽取的有关人员对被抽取的专家的姓名、单位和联系方式等内容负有保密的义务。评标委员会成员的名单在中标结果确定前必须严格保密。</w:t>
      </w:r>
    </w:p>
    <w:p w14:paraId="7568B22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21.3评标专家不得参加与自身存在利害关系的政府采购项目的评标及相关活动，与自己有利害关系的应当回避，已经进入的必须更换。</w:t>
      </w:r>
    </w:p>
    <w:p w14:paraId="6025A9B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21.4评标委员会负责对各投标文件进行评标、比较、评定，并按本招标文件的规定确定中标候选人名单，以及根据采购人委托直接确定中标人。</w:t>
      </w:r>
    </w:p>
    <w:p w14:paraId="67A877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21.5评标委员会具有依据招标文件进行独立评标的权力，且不受外界任何因素的干扰。评标委员会成员必须独立、负责地提出评标意见，并对自己的评标意见承担责任。对评标结果有不同意见的评标委员会成员应当以书面形式说明其不同意见和理由，评标报告应当注明不同意见。评标委员会成员拒绝评标或者拒绝在评标报告上签字并且又不书面说明其不同意见和理由的，视为同意评标结果。</w:t>
      </w:r>
    </w:p>
    <w:p w14:paraId="711F73F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21.6评标委员会的职责：</w:t>
      </w:r>
    </w:p>
    <w:p w14:paraId="57FCFEC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21.6.1审查、评价投标文件是否符合招标文件的商务、技术等实质性要求；</w:t>
      </w:r>
    </w:p>
    <w:p w14:paraId="6B81A60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21.6.2要求投标人对投标文件有关事项作出澄清或者说明；</w:t>
      </w:r>
    </w:p>
    <w:p w14:paraId="2F54B5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21.6.3对投标文件进行比较和评价；</w:t>
      </w:r>
    </w:p>
    <w:p w14:paraId="7DD0177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21.6.4推荐中标候选人名单，或根据采购人委托直接确定中标人；</w:t>
      </w:r>
    </w:p>
    <w:p w14:paraId="5892FC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21.6.5向采购人、采购代理机构或者有关部门报告评标中发现的违法行为。</w:t>
      </w:r>
    </w:p>
    <w:p w14:paraId="6531BCD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21.7评标委员会的义务：</w:t>
      </w:r>
    </w:p>
    <w:p w14:paraId="607EC96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21.7.1遵纪守法，客观、公正、廉洁地履行职责；</w:t>
      </w:r>
    </w:p>
    <w:p w14:paraId="2BF4927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21.7.2提出真实、可靠的评标意见；</w:t>
      </w:r>
    </w:p>
    <w:p w14:paraId="22EC19B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21.7.3严格遵守评标纪律，不得向外界泄露评标情况；</w:t>
      </w:r>
    </w:p>
    <w:p w14:paraId="42AC8A9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21.7.4发现投标人在招投标活动中有不正当竞争或者恶意串通等违规行为，应及时向监督部门报告并加以制止；</w:t>
      </w:r>
    </w:p>
    <w:p w14:paraId="70DA850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21.7.5按照招标文件规定的评标方法和评标标准进行评标，对评标意见承担个人责任；</w:t>
      </w:r>
    </w:p>
    <w:p w14:paraId="1AA793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21.7.6编写评标报告；</w:t>
      </w:r>
    </w:p>
    <w:p w14:paraId="55F3866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21.7.7配合采购人或者采购代理机构答复投标人提出的质疑；</w:t>
      </w:r>
    </w:p>
    <w:p w14:paraId="7397C26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21.7.8对评标过程和结果，以及采购人、投标人的商业秘密保密；</w:t>
      </w:r>
    </w:p>
    <w:p w14:paraId="3EBC764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21.7.9配合监管部门处理投诉；</w:t>
      </w:r>
    </w:p>
    <w:p w14:paraId="3231260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21.8评标委员会成员有下列情形之一的，应当回避：</w:t>
      </w:r>
    </w:p>
    <w:p w14:paraId="5F549CA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21.8.1投标人或者投标人主要负责人的近亲属；</w:t>
      </w:r>
    </w:p>
    <w:p w14:paraId="21BA103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21.8.3参加过采购项目前期咨询论证的；</w:t>
      </w:r>
    </w:p>
    <w:p w14:paraId="795CEF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21.8.4自身与政府采购项目存在利害关系的；</w:t>
      </w:r>
    </w:p>
    <w:p w14:paraId="1130D3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21.9评标程序</w:t>
      </w:r>
    </w:p>
    <w:p w14:paraId="56CD9F6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21.9.1资格审查</w:t>
      </w:r>
    </w:p>
    <w:p w14:paraId="1EEAFEB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21.9.2宣布评标纪律以及回避提示；</w:t>
      </w:r>
    </w:p>
    <w:p w14:paraId="43B74F7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21.9.3组织推荐评标委员会组长；</w:t>
      </w:r>
    </w:p>
    <w:p w14:paraId="62C36C3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21.9.4符合性审查；</w:t>
      </w:r>
    </w:p>
    <w:p w14:paraId="19B9C94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21.9.5技术和商务评标；</w:t>
      </w:r>
    </w:p>
    <w:p w14:paraId="32AA0C4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21.9.6澄清有关问题；</w:t>
      </w:r>
    </w:p>
    <w:p w14:paraId="1A2F3A1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21.9.7比较与评价；</w:t>
      </w:r>
    </w:p>
    <w:p w14:paraId="0FACF5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21.9.8确定中标人或者推荐中标候选人名单；</w:t>
      </w:r>
    </w:p>
    <w:p w14:paraId="52131AF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21.9.9编写评标报告。</w:t>
      </w:r>
    </w:p>
    <w:p w14:paraId="3C1435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21.9.10宣布评标结果。</w:t>
      </w:r>
    </w:p>
    <w:p w14:paraId="3881B9EA">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22.资格审查</w:t>
      </w:r>
    </w:p>
    <w:p w14:paraId="0A2C24E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22.1公开招标采购项目开标结束后，采购人或者采购代理机构依法对投标人的资格进行审查，以确定其是否符合招标文件的资格要求。未按招标文件要求提供资格证明文件的，属于不合格投标人。合格投标人不足3家的，不得评标。</w:t>
      </w:r>
    </w:p>
    <w:p w14:paraId="3DE89FFE">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22.2</w:t>
      </w:r>
      <w:r>
        <w:rPr>
          <w:rFonts w:hint="eastAsia" w:ascii="宋体" w:hAnsi="宋体" w:eastAsia="宋体" w:cs="宋体"/>
          <w:color w:val="auto"/>
          <w:sz w:val="24"/>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3BADB1B0">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接受联合体的项目，两个以上的自然人、法人或者其他组织组成一个联合体，以一个供应商的身份共同参加政府采购活动的,联合体成员存在不良信用记录的，视同联合体存在不良应用记录。</w:t>
      </w:r>
    </w:p>
    <w:p w14:paraId="3ABCD11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22.3在资格性审查时，对属于不合格投标人，采购人或者采购代理机构必须提出不合格的事实依据并出具不合格说明。</w:t>
      </w:r>
    </w:p>
    <w:p w14:paraId="0D5DAA9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23.评标过程</w:t>
      </w:r>
    </w:p>
    <w:p w14:paraId="185E778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23.1采购人或者采购代理机构负责组织评标工作，并履行下列职责：</w:t>
      </w:r>
    </w:p>
    <w:p w14:paraId="0993254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23.1.1核对评标专家身份和采购人代表授权函，对评标专家在政府采购活动中的职责履行情况予以记录，并及时将有关违法违规行为向财政部门报告；</w:t>
      </w:r>
    </w:p>
    <w:p w14:paraId="569E87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23.1.2专家阅读评标纪律；</w:t>
      </w:r>
    </w:p>
    <w:p w14:paraId="522384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23.1.3公布投标人名单，告知评标专家应当回避的情形；</w:t>
      </w:r>
    </w:p>
    <w:p w14:paraId="0D29F55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23.1.4组织评标委员会推选评标组长，采购人代表不得担任组长；</w:t>
      </w:r>
    </w:p>
    <w:p w14:paraId="11F6470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23.1.5在评标期间采取必要的通讯管理措施，保证评标活动不受外界干扰；</w:t>
      </w:r>
    </w:p>
    <w:p w14:paraId="6FBA29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23.1.6根据评标委员会的要求介绍政府采购相关政策法规、招标文件；</w:t>
      </w:r>
    </w:p>
    <w:p w14:paraId="4925983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23.1.7维护评标秩序，监督评标委员会依照招标文件规定的评标程序、方法和标准进行独立评标，及时制止和纠正采购人代表、评标专家的倾向性言论或者违法违规行为；</w:t>
      </w:r>
    </w:p>
    <w:p w14:paraId="1592E21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23.1.8核对评标结果，有以下情形的，要求评标委员会复核或者书面说明理由，评标委员会拒绝的，应予记录并向本级财政部门报告；</w:t>
      </w:r>
    </w:p>
    <w:p w14:paraId="2F489C3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23.1.8.1分值汇总计算错误的；</w:t>
      </w:r>
    </w:p>
    <w:p w14:paraId="7F852B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23.1.8.2分项评分超出评分标准范围的；</w:t>
      </w:r>
    </w:p>
    <w:p w14:paraId="7151C1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23.1.8.3评标委员会成员对客观评标因素评分不一致的；</w:t>
      </w:r>
    </w:p>
    <w:p w14:paraId="7DA73AB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23.1.8.4经评标委员会认定评分畸高、畸低的。</w:t>
      </w:r>
    </w:p>
    <w:p w14:paraId="38E3B5E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23.1.9评标工作完成后，按照规定向评标专家支付劳务报酬和异地评标差旅费，不得向评标专家以外的其他人员支付评标劳务报酬；</w:t>
      </w:r>
    </w:p>
    <w:p w14:paraId="1FB9D62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23.1.10处理与评标有关的其他事项。</w:t>
      </w:r>
    </w:p>
    <w:p w14:paraId="4476EAB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采购人可以在评标前说明项目背景和采购需求，说明内容不得含有歧视性、倾向性意见，不得超出招标文件所述范围。说明应当提交书面材料，并随采购文件一并存档。</w:t>
      </w:r>
    </w:p>
    <w:p w14:paraId="38F9F18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23.2符合性审查</w:t>
      </w:r>
    </w:p>
    <w:p w14:paraId="3B3178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评标委员会应当对符合资格的投标人的投标文件进行符合性审查，以确定其是否满足招标文件的实质性要求。</w:t>
      </w:r>
    </w:p>
    <w:p w14:paraId="03A280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在符合性审查时，对属于投标无效的投标人，评标委员会必须提出投标无效的事实依据，并出具投标无效说明。</w:t>
      </w:r>
    </w:p>
    <w:p w14:paraId="4725D5C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23.3技术和商务评标</w:t>
      </w:r>
    </w:p>
    <w:p w14:paraId="4A14E4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23.3.1评标委员会按照招标文件中规定的评标方法和标准，对符合性审查合格的投标文件进行商务和技术评估（包括政府采购政策执行），综合比较与评价。</w:t>
      </w:r>
    </w:p>
    <w:p w14:paraId="6399C3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23.3.2采用综合评分法的，评标委员会各成员应当独立对每个投标人的投标文件进行评价，并汇总每个投标人的得分。</w:t>
      </w:r>
    </w:p>
    <w:p w14:paraId="7ABD0A6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68AE6A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23.3.4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09F7F1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23.3.5使用综合评分法的采购项目，提供相同品牌产品（非单一产品采购项目，系指采购人确定的核心产品）且通过资格审查、符合性审查的不同投标人参加同一合同项下投标的，按一家投标人计算，评标后得分最高的同品牌投标人获得中标人推荐资格；评标得分相同的，由采购人或者采购人委托评标委员会采取随机抽取的方式确定一个投标人获得中标人推荐资格，其他同品牌投标人不作为中标候选人。</w:t>
      </w:r>
    </w:p>
    <w:p w14:paraId="106CDE66">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24.投标的澄清</w:t>
      </w:r>
    </w:p>
    <w:p w14:paraId="03B9E2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24.1如果评标委员会要求投标人对投标文件中含义不明确、同类问题表述不一致或者有明显文字和计算错误的内容进行澄清、说明或者补正时，评标委员会需通过电子交易平台【发起澄清】功能，要求投标人在规定的时间内做出必要的澄清、说明或者补正。投标人需通过电子交易平台【专家问题澄清】功能，限时在线提交有投标单位电子签章的澄清；系统不接受超时的澄清。投标人的澄清、说明或者补正不得超出投标文件的范围或者改变投标文件的实质性内容。</w:t>
      </w:r>
    </w:p>
    <w:p w14:paraId="6FF2F62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24.2评标委员会判断投标文件的投标性仅基于投标文件本身而不靠外部因素。未投标实质性条款的，评标委员会有权确定其投标无效，投标人不能通过修正、撤销或者澄清不符之处而使其投标成为实质性投标的投标。</w:t>
      </w:r>
    </w:p>
    <w:p w14:paraId="360740F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24.3评标委员会认为投标人的报价明显低于其他通过符合性审查投标人的报价，有可能影响产品质量或者不能诚信履约的，应当通过【发起报价说明】功能，要求其在合理的时间内提交书面说明，必要时提交相关证明材料，投标人需通过电子交易平台【报价说明】功能证明其报价合理性；对于投标人不能证明其报价合理性的，评标委员会应当将其作为无效投标处理。</w:t>
      </w:r>
    </w:p>
    <w:p w14:paraId="1360CB0B">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25.定标</w:t>
      </w:r>
    </w:p>
    <w:p w14:paraId="204432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25.1评标委员会根据投标人须知前附表的规定确定中标候选人或直接确定中标人。</w:t>
      </w:r>
    </w:p>
    <w:p w14:paraId="0DB0F1D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25.2本次招标评标办法：见投标人须知前附表。</w:t>
      </w:r>
    </w:p>
    <w:p w14:paraId="6AF500A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25.3采用综合评分法的，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2BEE46F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25.4采用最低评标价法的，评标结果按投标报价由低到高顺序排列，投标报价相同的并列。投标文件满足招标文件全部实质性要求且投标报价最低的投标人为排名第一的中标候选人。</w:t>
      </w:r>
    </w:p>
    <w:p w14:paraId="6D84051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25.5对于分包招标的项目，投标人可以选择多包投标但限制中标包数的，中标人的选择按照投标人须知前附表“分包及中标规定”确定。</w:t>
      </w:r>
    </w:p>
    <w:p w14:paraId="579097B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25.6评标委员会成员对需要共同认定的事项存在争议的，应当按照少数服从多数的原则作出结论。持不同意见的评标委员会成员应当在评标报告上签署不同意见及理由，否则视为同意评标报告。</w:t>
      </w:r>
    </w:p>
    <w:p w14:paraId="7B0E83D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25.7评标结果汇总完成后，除下列情形外，任何人不得修改评标结果：</w:t>
      </w:r>
    </w:p>
    <w:p w14:paraId="71B6321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（一）分值汇总计算错误的；</w:t>
      </w:r>
    </w:p>
    <w:p w14:paraId="46527B0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（二）分项评分超出评分标准范围的；</w:t>
      </w:r>
    </w:p>
    <w:p w14:paraId="5826411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（三）评标委员会成员对客观评标因素评分不一致的；</w:t>
      </w:r>
    </w:p>
    <w:p w14:paraId="271A366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（四）经评标委员会认定评分畸高、畸低的。</w:t>
      </w:r>
    </w:p>
    <w:p w14:paraId="28F22AA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75F2524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25.8评标委员会根据全体评标成员签字的原始评标记录和评标结果编写评标报告。</w:t>
      </w:r>
    </w:p>
    <w:p w14:paraId="504535BD">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26.评标相关要求</w:t>
      </w:r>
    </w:p>
    <w:p w14:paraId="14B2032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26.1开标之后，直到签订合同止，凡是属于审查、澄清、评价和比较投标的有关资料以及定标意向等，均不向投标人或者其他与评标无关的人员透露。</w:t>
      </w:r>
    </w:p>
    <w:p w14:paraId="2E40C53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26.2在确定中标人之前，投标人试图在投标文件审查、澄清、比较和评标时对评标委员会、采购人和采购代理机构施加任何影响都可能导致其投标无效。</w:t>
      </w:r>
    </w:p>
    <w:p w14:paraId="5489FC9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26.3电子招投标的应急措施</w:t>
      </w:r>
    </w:p>
    <w:p w14:paraId="2097264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26.3.1电子开标、评标如出现下列原因，导致系统无法正常运行或无法正常评标时，应采取应急措施。</w:t>
      </w:r>
    </w:p>
    <w:p w14:paraId="62B6D81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（1）系统服务器发生故障，无法访问或无法使用系统；</w:t>
      </w:r>
    </w:p>
    <w:p w14:paraId="29D6F8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（2）系统的软件或数据库出现错误，不能进行正常操作；</w:t>
      </w:r>
    </w:p>
    <w:p w14:paraId="111CC8C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（3）系统发现有安全漏洞，有潜在的泄密危险；</w:t>
      </w:r>
    </w:p>
    <w:p w14:paraId="63F1ED7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（4）病毒发作或受到外来病毒的攻击；</w:t>
      </w:r>
    </w:p>
    <w:p w14:paraId="0DB330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（5）出现其他不可抗拒的客观原因造成开评标系统无法正常使用。</w:t>
      </w:r>
    </w:p>
    <w:p w14:paraId="1F44AE7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出现上述情况时，应对未开标的暂停开标。已在系统内开标、评标的立即停止。采取应急措施时，必须对原有资料及信息作出妥善保密处理。</w:t>
      </w:r>
    </w:p>
    <w:p w14:paraId="17F735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26.3.2因系统原因导致投标人均无法解密电子投标文件时，采购代理机构可在开标现场直接导入投标人在投标截止时间前递交的未加密的电子投标文件进行开标、评标。</w:t>
      </w:r>
    </w:p>
    <w:p w14:paraId="2B5E2BF6">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27.投标人瑕疵滞后发现的处理规则</w:t>
      </w:r>
    </w:p>
    <w:p w14:paraId="1E03442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27.1无论基于何种原因，各项本应作拒绝处理的情形即便未被及时发现而使该投标人进入初审、综合评标或其他后续程序，包括已经签订合同的情形，一旦投标人被拒绝或该投标人的此前评议结果被取消，其现有的位置将被其他投标人依序替代，相关的一切损失均由该投标人承担。</w:t>
      </w:r>
    </w:p>
    <w:p w14:paraId="26DDDEC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28.中标公告以及中标通知书</w:t>
      </w:r>
    </w:p>
    <w:p w14:paraId="2E07BB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28.1评标结束后，不再现场宣布评标结果。采购人或者采购代理机构应当自中标人确定后立即发出中标通知书，并在政采云平台公告中标结果（公告期限为1个工作日）。</w:t>
      </w:r>
    </w:p>
    <w:p w14:paraId="4D98F7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28.2采购人或采购代理机构不按照规定发布中标公告或者发布中标公告后不签发中标通知书的，应当承担法律责任，给中标人造成经济损失的应承担赔偿责任。</w:t>
      </w:r>
    </w:p>
    <w:p w14:paraId="5547382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28.3中标通知书发出后，中标人放弃中标，应当依法承担法律责任。</w:t>
      </w:r>
    </w:p>
    <w:p w14:paraId="38C483E2">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29.不合格投标人或投标无效</w:t>
      </w:r>
    </w:p>
    <w:p w14:paraId="1AF9F38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出现下列情形之一的，为不合格投标人或投标无效：</w:t>
      </w:r>
    </w:p>
    <w:p w14:paraId="1250899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29.1报价超过招标文件中规定的预算金额或者最高限价的；</w:t>
      </w:r>
    </w:p>
    <w:p w14:paraId="64A313C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29.2对实质性条款未做出实质性投标或者发生负偏离的；</w:t>
      </w:r>
    </w:p>
    <w:p w14:paraId="558AE26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29.3应提供而未提供政府强制采购节能、环保产品的；</w:t>
      </w:r>
    </w:p>
    <w:p w14:paraId="51A6FA6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29.4对于不允许偏离的实质性要求和条件发生偏离的；</w:t>
      </w:r>
    </w:p>
    <w:p w14:paraId="2C3E542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29.5不按照招标文件规定报价、没有分项报价、拒绝报价、有多个报价（招标文件另有规定的除外）、有选择性报价、附有条件的报价或者拒绝修正报价的；</w:t>
      </w:r>
    </w:p>
    <w:p w14:paraId="01887F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29.6投标有效期不满足招标文件要求的；</w:t>
      </w:r>
    </w:p>
    <w:p w14:paraId="4445A06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29.7评标委员会判定投标人涂改证明材料或者提供虚假材料和承诺的；</w:t>
      </w:r>
    </w:p>
    <w:p w14:paraId="01816B2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29.8投标文件未按招标文件要求编制、签章的；</w:t>
      </w:r>
    </w:p>
    <w:p w14:paraId="0C6A909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29.9投标文件含有采购人不能接受的附加条件的；</w:t>
      </w:r>
    </w:p>
    <w:p w14:paraId="74BCF7F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29.10投标文件存在记录的MAC地址、CPU序列号、硬盘序列号中两项及以上相同的；</w:t>
      </w:r>
    </w:p>
    <w:p w14:paraId="7F783AE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29.11法律、法规和招标文件规定的其他无效情形。</w:t>
      </w:r>
    </w:p>
    <w:p w14:paraId="74B9E8D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对投标无效的认定，必须经评标委员会集体做出决定并出具投标无效的事实依据。</w:t>
      </w:r>
    </w:p>
    <w:p w14:paraId="58870958">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30.采购项目废标</w:t>
      </w:r>
    </w:p>
    <w:p w14:paraId="67BCE7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30.1出现下列情形之一的，应予废标：</w:t>
      </w:r>
    </w:p>
    <w:p w14:paraId="1F7F2F2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30.1.1在投标截止时间后参加投标的投标人不足3家或者通过资格审查或符合性审查的投标人不足3家的；</w:t>
      </w:r>
    </w:p>
    <w:p w14:paraId="409B1D4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30.1.2出现影响采购公正的违法违规行为的；</w:t>
      </w:r>
    </w:p>
    <w:p w14:paraId="2990999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30.1.3投标人的报价均超过预算金额或者最高限价的；</w:t>
      </w:r>
    </w:p>
    <w:p w14:paraId="27AEB38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30.1.4因重大变故，采购任务取消的；</w:t>
      </w:r>
    </w:p>
    <w:p w14:paraId="374C8EF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30.1.5法律、法规以及招标文件规定的其他废标情形。</w:t>
      </w:r>
    </w:p>
    <w:p w14:paraId="242E6FD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30.2废标后，采购人或者采购代理机构应当将废标理由通知所有投标人。</w:t>
      </w:r>
    </w:p>
    <w:p w14:paraId="68285EB7">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31.特殊情况处置程序</w:t>
      </w:r>
    </w:p>
    <w:p w14:paraId="38CEC33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31.1评标委员会成员的更换</w:t>
      </w:r>
    </w:p>
    <w:p w14:paraId="537E4DA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31.1.1评标委员会应当执行连续评标的原则，按照招标文件规定的程序、内容、方法、标准完成全部评标工作。</w:t>
      </w:r>
    </w:p>
    <w:p w14:paraId="1818781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55EF4C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无法及时补足评标委员会成员的，采购人或者采购代理机构应当停止评标活动，封存所有投标文件和开标、评标资料，依法重新组建评标委员会进行评标。原评标委员会所作出的评标意见无效。</w:t>
      </w:r>
    </w:p>
    <w:p w14:paraId="535300A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采购人或者采购代理机构应当将变更、重新组建评标委员会的情况予以记录，并随采购文件一并存档。</w:t>
      </w:r>
    </w:p>
    <w:p w14:paraId="3B164F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31.2记名投票</w:t>
      </w:r>
    </w:p>
    <w:p w14:paraId="62C78AC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在评标过程中，评标委员会发生分歧或者评标结论有异议需表决的，按照少数服从多数的原则，由评标委员会全体成员以记名投票方式表决。</w:t>
      </w:r>
    </w:p>
    <w:p w14:paraId="04FE6A39">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32.违法违规情形</w:t>
      </w:r>
    </w:p>
    <w:p w14:paraId="4159605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32.1有下列情形之一的，属于投标人相互串通投标：</w:t>
      </w:r>
    </w:p>
    <w:p w14:paraId="4854027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32.1.1投标人之间协商投标报价等投标文件的实质性内容；</w:t>
      </w:r>
    </w:p>
    <w:p w14:paraId="22AAC8C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32.1.2投标人之间约定中标人；</w:t>
      </w:r>
    </w:p>
    <w:p w14:paraId="77750FA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32.1.3投标人之间约定章投标人放弃投标或者中标；</w:t>
      </w:r>
    </w:p>
    <w:p w14:paraId="4E38108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32.1.4属于同一集团、协会、商会等组织成员的投标人按照该组织要求协同投标；</w:t>
      </w:r>
    </w:p>
    <w:p w14:paraId="7D6665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32.1.5投标人之间为谋取中标或者排斥特定投标人而采取的其他联合行动。</w:t>
      </w:r>
    </w:p>
    <w:p w14:paraId="4990701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32.2有下列情形之一的，视为投标人相互串通投标，评标委员会应当出具违法违规认定意见并作投标无效处理：</w:t>
      </w:r>
    </w:p>
    <w:p w14:paraId="20F163B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32.2.1不同投标人的投标文件由同一单位或者个人编制；</w:t>
      </w:r>
    </w:p>
    <w:p w14:paraId="3248F1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32.2.2不同投标人委托同一单位或者个人办理投标事宜；</w:t>
      </w:r>
    </w:p>
    <w:p w14:paraId="3D9B42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32.2.3不同投标人的投标文件载明的项目管理成员或者联系人员为同一人；</w:t>
      </w:r>
    </w:p>
    <w:p w14:paraId="76481E7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32.2.4不同投标人的投标文件异常一致或者投标报价呈规律性差异；</w:t>
      </w:r>
    </w:p>
    <w:p w14:paraId="67596BA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32.2.5不同投标人的投标文件相互混装；</w:t>
      </w:r>
    </w:p>
    <w:p w14:paraId="079CFD1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32.3有下列情形之一的，属于采购人与投标人串通投标：</w:t>
      </w:r>
    </w:p>
    <w:p w14:paraId="2981F7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32.3.1采购人在开标前开启投标文件并将有关信息泄露给其他投标人；</w:t>
      </w:r>
    </w:p>
    <w:p w14:paraId="56B840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32.3.2采购人直接或者间接向投标人泄露标底、评标委员会成员等信息；</w:t>
      </w:r>
    </w:p>
    <w:p w14:paraId="55D8A4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32.3.3采购人明示或者暗示投标人压低或者抬高投标报价；</w:t>
      </w:r>
    </w:p>
    <w:p w14:paraId="593E8D4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32.3.4采购人授意投标人撤换、修改投标文件；</w:t>
      </w:r>
    </w:p>
    <w:p w14:paraId="6E01419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32.3.5采购人明示或者暗示投标人为特定投标人中标提供方便；</w:t>
      </w:r>
    </w:p>
    <w:p w14:paraId="1FE1954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32.3.6采购人与投标人为谋求特定投标人中标而采取的其他串通行为。</w:t>
      </w:r>
    </w:p>
    <w:p w14:paraId="7E3C469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在评标过程中发现投标人有上述情形的，评标委员会应当认定其投标无效，并书面报告本级财政部门。</w:t>
      </w:r>
    </w:p>
    <w:p w14:paraId="5C43B2C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33.违规处理</w:t>
      </w:r>
    </w:p>
    <w:p w14:paraId="39C0035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投标人有下列情形之一的，将列入不良行为记录名单，视情节在一至三年内禁止参加政府采购活动：</w:t>
      </w:r>
    </w:p>
    <w:p w14:paraId="1C176C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33.1提供虚假投标材料谋取中标的；</w:t>
      </w:r>
    </w:p>
    <w:p w14:paraId="430914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33.2采取不正当手段诋毁、排挤其他投标人的；</w:t>
      </w:r>
    </w:p>
    <w:p w14:paraId="2DA5FE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33.3与采购人、其他投标人或者采购代理机构恶意串通的；</w:t>
      </w:r>
    </w:p>
    <w:p w14:paraId="31F208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33.4向采购人、采购代理机构行贿或者提供其他不正当利益的；</w:t>
      </w:r>
    </w:p>
    <w:p w14:paraId="71AB99A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33.5在招标采购过程中与采购人进行协商谈判的；</w:t>
      </w:r>
    </w:p>
    <w:p w14:paraId="4E938A4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33.6拒绝有关部门监督检查或者提供虚假情况的；</w:t>
      </w:r>
    </w:p>
    <w:p w14:paraId="3541B68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33.7一年内累计三次以上投诉均查无实据的；</w:t>
      </w:r>
    </w:p>
    <w:p w14:paraId="0BDB275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33.8捏造事实、提供虚假材料或者以非法手段取得证明材料进行投诉的；</w:t>
      </w:r>
    </w:p>
    <w:p w14:paraId="73D6F82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33.9法律、法规和招标文件中规定的其他情形。</w:t>
      </w:r>
    </w:p>
    <w:p w14:paraId="32B8ECA2">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八、履约担保</w:t>
      </w:r>
    </w:p>
    <w:p w14:paraId="5956896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34.履约担保</w:t>
      </w:r>
    </w:p>
    <w:p w14:paraId="1BABD98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34.1履约保证金按照招标文件第二章“投标人须知前附表”中规定，在签订合同前，中标人应按照有关规定或者事先经过采购人书面认可的履约担保要求向采购人提交履约担保。采购人根据项目特点、投标人诚信等情况可免收履约保证金或降低收取比例。</w:t>
      </w:r>
    </w:p>
    <w:p w14:paraId="550E6A6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34.2中标人在中标公告发布后及时足额交纳履约保证金，未按照要求提交履约担保的，视为放弃中标，中标人应当对采购人造成的损失给予赔偿。</w:t>
      </w:r>
    </w:p>
    <w:p w14:paraId="557C9C6F">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九、签订合同</w:t>
      </w:r>
    </w:p>
    <w:p w14:paraId="4D9CD3A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35.中标通知</w:t>
      </w:r>
    </w:p>
    <w:p w14:paraId="6319E97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35.1中标人确定后,采购代理机构将在相关政府采购信息发布媒体上发布中标公告，并以书面形式向中标人发出中标通知书，但该中标结果的有效性不依赖于未中标的投标人是否已经收到该通知。中标人应在中标结果发布后，委派专人领取中标通知书。中标通知书发出以后，中标人放弃中标，应当承担相应的法律责任。</w:t>
      </w:r>
    </w:p>
    <w:p w14:paraId="1B72DFB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35.2采购代理机构对未中标的投标人不作未中标原因的解释，但中标结果的有效性不以未中标的投标人是否收到相应的通知为前提。</w:t>
      </w:r>
    </w:p>
    <w:p w14:paraId="7C41856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35.3中标通知书是合同的组成部分。</w:t>
      </w:r>
    </w:p>
    <w:p w14:paraId="5C15A1D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36.签订合同</w:t>
      </w:r>
    </w:p>
    <w:p w14:paraId="3F91A2D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36.1中标人须在中标通知书发出之日起30日内与采购人签订采购合同。</w:t>
      </w:r>
    </w:p>
    <w:p w14:paraId="09F023B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36.2中标人须按照招标文件、投标文件及评标过程中的有关澄清、说明或者补正文件的内容与采购人签订合同。中标人不得再与采购人签订背离合同实质性内容的其他协议或声明。</w:t>
      </w:r>
    </w:p>
    <w:p w14:paraId="350B9AA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36.3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3A237D7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36.4中标人一旦中标及签订合同后，不得转包，亦不得将合同全部及任何权利、义务向第三方转让。</w:t>
      </w:r>
    </w:p>
    <w:p w14:paraId="20F7C2C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36.5中标人不履行合同的，采购人可在报经同级人民政府财政部门核准后，与排位在中标人之后的第一位中标候选人签订合同，以此类推；或在报经同级人民政府财政部门核准后重新组织采购。</w:t>
      </w:r>
    </w:p>
    <w:p w14:paraId="3B54AD7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36.6违反36.1条、36.2条的规定，给对方造成损失的，应承担赔偿责任。</w:t>
      </w:r>
    </w:p>
    <w:p w14:paraId="66FA653A">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十、处罚、询问、质疑和投诉</w:t>
      </w:r>
    </w:p>
    <w:p w14:paraId="62AC2420">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37.处罚</w:t>
      </w:r>
    </w:p>
    <w:p w14:paraId="3FA356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37.1发生下列情况之一，采购人或采购代理机构将如实向同级财政部门报送相关情况，由财政部门给予处罚：</w:t>
      </w:r>
    </w:p>
    <w:p w14:paraId="68618D8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1）开标后在投标有效期内，投标人撤回其投标；</w:t>
      </w:r>
    </w:p>
    <w:p w14:paraId="6AFE5D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2）中标后无正当理由不与采购人签订合同的；</w:t>
      </w:r>
    </w:p>
    <w:p w14:paraId="6EA4072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3）中标人与采购人订立背离合同实质性内容的其他协议；</w:t>
      </w:r>
    </w:p>
    <w:p w14:paraId="46C4C46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4）将中标项目转让给他人，或者在投标文件中未说明，且未经采购人同意，将中标项目合同分包给他人的；</w:t>
      </w:r>
    </w:p>
    <w:p w14:paraId="5894C08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5）存在串通投标行为的；</w:t>
      </w:r>
    </w:p>
    <w:p w14:paraId="035ED70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6）存在弄虚作假或提供虚假材料谋取中标的；</w:t>
      </w:r>
    </w:p>
    <w:p w14:paraId="6E457DB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7）投标人其他未按招标文件规定和合同约定履行义务的行为。</w:t>
      </w:r>
    </w:p>
    <w:p w14:paraId="0257C3D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38.询问</w:t>
      </w:r>
    </w:p>
    <w:p w14:paraId="234A8C4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38.1投标人对采购事项有疑问的，可以向采购人或采购代理机构提出询问。</w:t>
      </w:r>
    </w:p>
    <w:p w14:paraId="33F2EFC1">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39.投标人有权就招标事宜提出质疑</w:t>
      </w:r>
    </w:p>
    <w:p w14:paraId="743AB78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39.1参加本次政府采购活动的投标人认为采购文件、采购过程和中标结果使自己的权益受到损害的，可以在知道或者应知道其权益受到损害之日起7个工作日内，按照采购文件中供应商须知前附表-质疑投诉相关要求，以书面形式向采购人或者采购代理机构提出质疑。</w:t>
      </w:r>
    </w:p>
    <w:p w14:paraId="5F04A85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潜在投标人已依法获取其可质疑的采购文件的，可以依法对该文件提出质疑。</w:t>
      </w:r>
    </w:p>
    <w:p w14:paraId="36D79EF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39.2投标人应知其权益受到损害之日，是指：</w:t>
      </w:r>
    </w:p>
    <w:p w14:paraId="2E7EAB8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（一）对可以质疑的采购文件提出质疑的，为收到采购文件之日或者采购文件公告期限届满之日；</w:t>
      </w:r>
    </w:p>
    <w:p w14:paraId="2DAFABB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（二）对采购过程提出质疑的，为各采购程序环节结束之日；</w:t>
      </w:r>
    </w:p>
    <w:p w14:paraId="067E37E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（三）对中标结果提出质疑的，为中标结果公告期限届满之日。</w:t>
      </w:r>
    </w:p>
    <w:p w14:paraId="165AFE1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39.3投标人应当在法定质疑期内一次性提出针对本项目同一采购程序环节的质疑。</w:t>
      </w:r>
    </w:p>
    <w:p w14:paraId="730244F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39.4质疑函内容应包括以下主要内容：</w:t>
      </w:r>
    </w:p>
    <w:p w14:paraId="2A8ED6A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（一）投标人的姓名或者名称、地址、邮编、联系人及联系电话；</w:t>
      </w:r>
    </w:p>
    <w:p w14:paraId="0B5F888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（二）质疑项目的名称、编号；</w:t>
      </w:r>
    </w:p>
    <w:p w14:paraId="16D8329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（三）具体、明确的质疑事项和与质疑事项相关的请求；</w:t>
      </w:r>
    </w:p>
    <w:p w14:paraId="70BB88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（四）事实依据；</w:t>
      </w:r>
    </w:p>
    <w:p w14:paraId="118BE8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（五）必要的法律依据；</w:t>
      </w:r>
    </w:p>
    <w:p w14:paraId="335B7D7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（六）提出质疑的日期。</w:t>
      </w:r>
    </w:p>
    <w:p w14:paraId="7A99C6F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投标人为自然人的，应当由本人签字；投标人为法人或者其他组织的，应当由法定代表人、主要负责人，或者其授权代表签字或者盖章，并加盖公章。否则采购人或者采购代理机构不予受理。</w:t>
      </w:r>
    </w:p>
    <w:p w14:paraId="116710B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39.5代理人提出质疑的，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E161C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39.6采购人或者采购代理机构在收到质疑函后7个工作日内做出答复，并通过系统以电子文档形式通知质疑投标人和其他有关投标人，但答复不得涉及商业秘密。</w:t>
      </w:r>
    </w:p>
    <w:p w14:paraId="3853E96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39.7投标人进行虚假和恶意质疑的，采购代理机构将提请有关部门将其列入不良记录名单，在一至三年内禁止参加政府采购活动，并将处理决定在相关政府采购媒体上公布。</w:t>
      </w:r>
    </w:p>
    <w:p w14:paraId="67761B3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40.投诉</w:t>
      </w:r>
    </w:p>
    <w:p w14:paraId="74D4FB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40.1按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同级监管部门提起投诉。投标人投诉按照采购人所属预算级次，由本级财政部门处理。</w:t>
      </w:r>
    </w:p>
    <w:p w14:paraId="7F72BE4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40.2投诉人提起投诉应符合下列条件：</w:t>
      </w:r>
    </w:p>
    <w:p w14:paraId="124CA1B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（一）提起投诉前已依法进行质疑；</w:t>
      </w:r>
    </w:p>
    <w:p w14:paraId="6A5693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（二）投诉书内容符合本办法的规定；</w:t>
      </w:r>
    </w:p>
    <w:p w14:paraId="49F0E7B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（三）在投诉有效期限内提起投诉；</w:t>
      </w:r>
    </w:p>
    <w:p w14:paraId="0955EA2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（四）同一投诉事项未经财政部门投诉处理；</w:t>
      </w:r>
    </w:p>
    <w:p w14:paraId="541534F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（五）财政部规定的其他条件。</w:t>
      </w:r>
    </w:p>
    <w:p w14:paraId="64B92D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投标人投诉的事项不得超出已质疑事项的范围，但基于质疑答复内容提出的投诉事项除外。以联合体形式参加政府采购活动的，其投诉应当由组成联合体的所有投标人共同提出。</w:t>
      </w:r>
    </w:p>
    <w:p w14:paraId="3B00BAA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40.3投诉人投诉时,应当提交投诉书和必要的证明材料，并按照被投诉采购人、采购代理机构和与投诉事项有关的投标人数量提供投诉书的副本。</w:t>
      </w:r>
    </w:p>
    <w:p w14:paraId="790C626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40.4投诉书应当包括以下主要内容：</w:t>
      </w:r>
    </w:p>
    <w:p w14:paraId="055D636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（一）投诉人和被投诉人的姓名或者名称、通讯地址、邮编、联系人及联系电话；</w:t>
      </w:r>
    </w:p>
    <w:p w14:paraId="6DBB405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（二）质疑和质疑答复情况说明及相关证明材料；</w:t>
      </w:r>
    </w:p>
    <w:p w14:paraId="057042B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（三）具体、明确的投诉事项和与投诉事项相关的投诉请求；</w:t>
      </w:r>
    </w:p>
    <w:p w14:paraId="5A69C95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（四）事实依据；</w:t>
      </w:r>
    </w:p>
    <w:p w14:paraId="5CBE0D1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（五）法律依据；</w:t>
      </w:r>
    </w:p>
    <w:p w14:paraId="55F870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（六）提起投诉的日期。</w:t>
      </w:r>
    </w:p>
    <w:p w14:paraId="55F843F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投诉人为自然人的，应当由本人签字；投诉人为法人或者其他组织的，应当由法定代表人、主要负责人，或者其授权代表签字或者盖章，并加盖公章。</w:t>
      </w:r>
    </w:p>
    <w:p w14:paraId="5D8F67B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40.5代理人提出投诉的，应当提交投标人签署的授权委托书。其授权委托书应当载明代理人的姓名或者名称、代理事项、具体权限、期限和相关事项。投标人为自然人的，应当由本人签字；投标人为法人或者其他组织的，应当由法定</w:t>
      </w:r>
    </w:p>
    <w:p w14:paraId="48A6127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代表人、主要负责人签字或者盖章，并加盖公章。</w:t>
      </w:r>
    </w:p>
    <w:p w14:paraId="518651C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40.6投诉人在全国范围12个月内三次以上投诉查无实据的，由财政部门列入不良行为记录名单。</w:t>
      </w:r>
    </w:p>
    <w:p w14:paraId="062FD57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投诉人有下列行为之一的，属于虚假、恶意投诉，由财政部门列入不良行为记录名单，禁止其1至3年内参加政府采购活动：</w:t>
      </w:r>
    </w:p>
    <w:p w14:paraId="358475B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（一）捏造事实；</w:t>
      </w:r>
    </w:p>
    <w:p w14:paraId="3DF2BAD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（二）提供虚假材料；</w:t>
      </w:r>
    </w:p>
    <w:p w14:paraId="139B6D1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（三）以非法手段取得证明材料。证据来源的合法性存在明显疑问，投诉人无法证明其取得方式合法的，视为以非法手段取得证明材料。</w:t>
      </w:r>
    </w:p>
    <w:p w14:paraId="36E8DC93">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十一、保密和披露（具体签订合同为准）</w:t>
      </w:r>
    </w:p>
    <w:p w14:paraId="650A4E75">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41.保密和披露</w:t>
      </w:r>
    </w:p>
    <w:p w14:paraId="7448FD9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2252314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41.2采购代理机构有权将投标人提供的所有资料向有关政府部门或评标标书的有关人员披露。</w:t>
      </w:r>
    </w:p>
    <w:p w14:paraId="2B8D32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41.3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0117FC5B">
      <w:pPr>
        <w:spacing w:line="360" w:lineRule="auto"/>
        <w:jc w:val="left"/>
        <w:outlineLvl w:val="2"/>
        <w:rPr>
          <w:rFonts w:hint="eastAsia" w:ascii="宋体" w:hAnsi="宋体" w:eastAsia="宋体" w:cs="宋体"/>
          <w:b/>
          <w:bCs/>
          <w:sz w:val="24"/>
        </w:rPr>
      </w:pPr>
      <w:r>
        <w:rPr>
          <w:rFonts w:hint="eastAsia" w:ascii="宋体" w:hAnsi="宋体" w:eastAsia="宋体" w:cs="宋体"/>
          <w:b/>
          <w:bCs/>
          <w:sz w:val="24"/>
        </w:rPr>
        <w:t>十二、其他需补充的内容</w:t>
      </w:r>
    </w:p>
    <w:p w14:paraId="3B82BD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1.其他需补充的内容：见投标人须知前附表。</w:t>
      </w:r>
    </w:p>
    <w:p w14:paraId="5839F1E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2.若此招标文件中出现的内容表述不一致时，以各章具体要求为准。</w:t>
      </w:r>
    </w:p>
    <w:p w14:paraId="108D7643">
      <w:pPr>
        <w:rPr>
          <w:rFonts w:hint="eastAsia" w:ascii="宋体" w:hAnsi="宋体" w:eastAsia="宋体" w:cs="宋体"/>
          <w:sz w:val="24"/>
        </w:rPr>
      </w:pPr>
      <w:r>
        <w:rPr>
          <w:rFonts w:hint="eastAsia" w:ascii="宋体" w:hAnsi="宋体" w:eastAsia="宋体" w:cs="宋体"/>
          <w:sz w:val="24"/>
        </w:rPr>
        <w:br w:type="page"/>
      </w:r>
    </w:p>
    <w:p w14:paraId="6ECBF10D">
      <w:pPr>
        <w:jc w:val="center"/>
        <w:outlineLvl w:val="0"/>
        <w:rPr>
          <w:rFonts w:hint="eastAsia" w:ascii="宋体" w:hAnsi="宋体" w:eastAsia="宋体" w:cs="宋体"/>
          <w:b/>
          <w:bCs/>
          <w:sz w:val="36"/>
          <w:szCs w:val="44"/>
        </w:rPr>
      </w:pPr>
      <w:bookmarkStart w:id="6" w:name="_Toc29056"/>
      <w:bookmarkStart w:id="7" w:name="_Toc6522"/>
      <w:r>
        <w:rPr>
          <w:rFonts w:hint="eastAsia" w:ascii="宋体" w:hAnsi="宋体" w:eastAsia="宋体" w:cs="宋体"/>
          <w:b/>
          <w:bCs/>
          <w:sz w:val="36"/>
          <w:szCs w:val="44"/>
        </w:rPr>
        <w:t>第三章项目需求</w:t>
      </w:r>
      <w:bookmarkEnd w:id="6"/>
      <w:bookmarkEnd w:id="7"/>
    </w:p>
    <w:p w14:paraId="69D07992">
      <w:pPr>
        <w:pStyle w:val="2"/>
        <w:numPr>
          <w:ilvl w:val="2"/>
          <w:numId w:val="0"/>
        </w:numPr>
        <w:spacing w:line="360" w:lineRule="auto"/>
        <w:rPr>
          <w:rFonts w:ascii="Times New Roman" w:hAnsi="Times New Roman" w:cs="Arial"/>
          <w:bCs/>
        </w:rPr>
      </w:pPr>
      <w:bookmarkStart w:id="8" w:name="_Toc22185"/>
      <w:bookmarkStart w:id="9" w:name="_Toc17162"/>
      <w:bookmarkStart w:id="10" w:name="_Toc534816637"/>
      <w:bookmarkStart w:id="11" w:name="_Toc534725608"/>
      <w:bookmarkStart w:id="12" w:name="_Toc5564"/>
      <w:r>
        <w:rPr>
          <w:rFonts w:hint="eastAsia" w:ascii="Times New Roman" w:hAnsi="Times New Roman" w:cs="Arial"/>
          <w:bCs/>
        </w:rPr>
        <w:t>商务需求</w:t>
      </w:r>
    </w:p>
    <w:p w14:paraId="19CEAB17">
      <w:pPr>
        <w:pStyle w:val="3"/>
        <w:numPr>
          <w:ilvl w:val="2"/>
          <w:numId w:val="0"/>
        </w:numPr>
        <w:spacing w:line="360" w:lineRule="auto"/>
        <w:rPr>
          <w:rFonts w:ascii="Times New Roman" w:hAnsi="Times New Roman" w:cs="Arial"/>
          <w:sz w:val="24"/>
          <w:szCs w:val="24"/>
        </w:rPr>
      </w:pPr>
      <w:r>
        <w:rPr>
          <w:rFonts w:hint="eastAsia" w:ascii="Times New Roman" w:hAnsi="Times New Roman" w:cs="Arial"/>
        </w:rPr>
        <w:t>一、</w:t>
      </w:r>
      <w:bookmarkEnd w:id="8"/>
      <w:bookmarkEnd w:id="9"/>
      <w:r>
        <w:rPr>
          <w:rFonts w:hint="eastAsia" w:ascii="Times New Roman" w:hAnsi="Times New Roman" w:cs="Arial"/>
        </w:rPr>
        <w:t>项目概述</w:t>
      </w:r>
    </w:p>
    <w:bookmarkEnd w:id="10"/>
    <w:bookmarkEnd w:id="11"/>
    <w:bookmarkEnd w:id="12"/>
    <w:p w14:paraId="5F399D0F">
      <w:pPr>
        <w:spacing w:line="360" w:lineRule="auto"/>
        <w:jc w:val="left"/>
        <w:outlineLvl w:val="2"/>
        <w:rPr>
          <w:rFonts w:hint="eastAsia" w:ascii="宋体" w:hAnsi="宋体" w:eastAsia="宋体" w:cs="宋体"/>
          <w:b/>
          <w:bCs/>
          <w:sz w:val="28"/>
          <w:szCs w:val="28"/>
        </w:rPr>
      </w:pPr>
      <w:bookmarkStart w:id="13" w:name="_Toc30780"/>
      <w:r>
        <w:rPr>
          <w:rFonts w:hint="eastAsia" w:ascii="宋体" w:hAnsi="宋体" w:eastAsia="宋体" w:cs="宋体"/>
          <w:b/>
          <w:bCs/>
          <w:sz w:val="28"/>
          <w:szCs w:val="28"/>
        </w:rPr>
        <w:t>（一）</w:t>
      </w:r>
      <w:bookmarkStart w:id="14" w:name="_Toc2044065864"/>
      <w:r>
        <w:rPr>
          <w:rFonts w:hint="eastAsia" w:ascii="宋体" w:hAnsi="宋体" w:eastAsia="宋体" w:cs="宋体"/>
          <w:b/>
          <w:bCs/>
          <w:sz w:val="28"/>
          <w:szCs w:val="28"/>
        </w:rPr>
        <w:t>建设目标</w:t>
      </w:r>
      <w:bookmarkEnd w:id="14"/>
    </w:p>
    <w:p w14:paraId="00E04054">
      <w:pPr>
        <w:spacing w:line="360" w:lineRule="auto"/>
        <w:ind w:firstLine="480" w:firstLineChars="200"/>
        <w:jc w:val="left"/>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构建贯通公路、铁路、航空、口岸、海关及物流设施等全要素的自治区一体化物流服务平台项目，实现全疆物流数据资源的全面汇聚、规范治理与高效互联，支撑国内国际双循环，为行业降本增效筑牢数据根基。</w:t>
      </w:r>
    </w:p>
    <w:p w14:paraId="1502242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2.依托数字化分析能力，构建多维度物流主题数据、产业专题数据及物流指数体系，精准刻画区域经济运行态势，为国家能源资源、优质农牧产品供给等重大战略实施，提供精准的数据支撑与科学决策依据。</w:t>
      </w:r>
    </w:p>
    <w:p w14:paraId="616C9BF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聚焦煤炭、粮食、棉花、林果等新疆特色优势产业，以数据服务打通物流交付全流程数据节点，促进供需资源有效匹配，推动产业链深度协同，提升供应链抗风险能力与韧性，保障国家重要产业链供应链安全稳定。</w:t>
      </w:r>
    </w:p>
    <w:p w14:paraId="12C0873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4.以数据赋能自治区现代物流体系优化与治理体制机制改革，为物流枢纽规划、通道布局、产业空间优化提供数据驱动的决策支撑，提升物流行业治理现代化水平，优化物流领域营商环境。</w:t>
      </w:r>
    </w:p>
    <w:p w14:paraId="4CFFFD6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5.面向行业管理部门及特色优势产业经营主体，提供高效便捷的数字化物流数据服务，简化业务流程、减少重复环节，直接推动行业降本提质增效，带动产业体系整体升级。</w:t>
      </w:r>
    </w:p>
    <w:p w14:paraId="35EEDBD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6.以数据打通产业链端到端数据堵点，用数据链串联上下游企业，构建数字化供应链协同网络，促进数据要素在产业链内高效流通、价值共创共享，加速物流与制造业、商贸业深度融合。</w:t>
      </w:r>
    </w:p>
    <w:p w14:paraId="45F9695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依托平台数据服务，打通疆内关键物流枢纽数据壁垒，强化枢纽间业务联动与资源调配，构建安全高效的国际物流数据服务通道，提升跨境业务通关、结算、追踪便利化水平，增强新疆“东联西出”通道能力，助力我国向西开放桥头堡建设与国际竞争优势提升。</w:t>
      </w:r>
    </w:p>
    <w:p w14:paraId="41E29B5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推进自治区与国家物流信息平台对接，促进跨层级数据资源交换与深度融合，在贡献新疆物流数字化实践经验的同时，主动承接国家战略部署，争取成为全国一体化物流平台重要节点，逐步贯通西北五省区及共建“一带一路”国家物流网络，服务国家对外开放大局。</w:t>
      </w:r>
    </w:p>
    <w:p w14:paraId="7D812354">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（二）建设任务</w:t>
      </w:r>
    </w:p>
    <w:p w14:paraId="47FB932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1</w:t>
      </w:r>
      <w:r>
        <w:rPr>
          <w:rFonts w:hint="eastAsia" w:ascii="宋体" w:hAnsi="宋体" w:eastAsia="宋体" w:cs="宋体"/>
          <w:sz w:val="24"/>
        </w:rPr>
        <w:t>.搭建一体化物流服务平台</w:t>
      </w:r>
    </w:p>
    <w:p w14:paraId="7DB698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设计并开发1个技术先进、安全可靠的一体化物流服务平台。该平台是以物流数据为驱动的数字经济底座，内嵌数据交换、处理、分析、产业服务、科学决策服务等16套子系统，为打通国内外市场、促进内外贸一体化发展提供重要的工具，为党中央赋予新疆的“五大战略定位”提供强有力的数据支撑。</w:t>
      </w:r>
    </w:p>
    <w:p w14:paraId="3225F26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2</w:t>
      </w:r>
      <w:r>
        <w:rPr>
          <w:rFonts w:hint="eastAsia" w:ascii="宋体" w:hAnsi="宋体" w:eastAsia="宋体" w:cs="宋体"/>
          <w:sz w:val="24"/>
        </w:rPr>
        <w:t>.推动数据资源汇聚与互联互通</w:t>
      </w:r>
    </w:p>
    <w:p w14:paraId="6975BD7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实现跨区域、跨方式、跨部门的数据全面汇聚，打通疆内、国内及跨境业务数据链，推动物流数据在“设施—企业—产业—区域”层面的广泛互联与高效流通，支撑数据“供得出、流得动”。</w:t>
      </w:r>
    </w:p>
    <w:p w14:paraId="28DEAF1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3</w:t>
      </w:r>
      <w:r>
        <w:rPr>
          <w:rFonts w:hint="eastAsia" w:ascii="宋体" w:hAnsi="宋体" w:eastAsia="宋体" w:cs="宋体"/>
          <w:sz w:val="24"/>
        </w:rPr>
        <w:t>.建设自治区物流主题库和产业专题库</w:t>
      </w:r>
    </w:p>
    <w:p w14:paraId="0F6D9BC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物流数据多维度交叉验证、深度加工和分析，形成自治区54套物流主题库、39套产业专题库，服务于自治区产业协同和优化布局，促进物流可信数据空间协同发展，为新疆的特色现代化产业体系注入活力，夯实高质量发展的根基。</w:t>
      </w:r>
    </w:p>
    <w:p w14:paraId="2B2D061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4</w:t>
      </w:r>
      <w:r>
        <w:rPr>
          <w:rFonts w:hint="eastAsia" w:ascii="宋体" w:hAnsi="宋体" w:eastAsia="宋体" w:cs="宋体"/>
          <w:sz w:val="24"/>
        </w:rPr>
        <w:t>.精准赋能自治区特色优势产业</w:t>
      </w:r>
    </w:p>
    <w:p w14:paraId="463A550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聚焦煤炭、棉花、林果、新能源等自治区特色优势产业，提供5大类、23子类场景服务数据服务，为“打造全国优质农牧产品的重要供给基地、打造全国能源资源的战略保障基地”提供有力保障。</w:t>
      </w:r>
    </w:p>
    <w:p w14:paraId="6D39DD2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5</w:t>
      </w:r>
      <w:r>
        <w:rPr>
          <w:rFonts w:hint="eastAsia" w:ascii="宋体" w:hAnsi="宋体" w:eastAsia="宋体" w:cs="宋体"/>
          <w:sz w:val="24"/>
        </w:rPr>
        <w:t>.打通疆内关键枢纽通道数据</w:t>
      </w:r>
    </w:p>
    <w:p w14:paraId="0BE38C8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平台打通自治区关键枢纽节点数据链，促进关键枢纽形成“物流大脑”，补齐中西部物流基础设施短板，推动自治区从“开放腹地”向“开放前沿”转型。</w:t>
      </w:r>
    </w:p>
    <w:p w14:paraId="7F0F3424">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（三）服务内容及要求</w:t>
      </w:r>
    </w:p>
    <w:p w14:paraId="01E507A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本项目根据《自治区数字化发展局关于对自治区一体化物流服务平台项目可行性研究报告（代项目建议书）的批复》，围绕“1个平台、16个子系统、54套物流主题库、39套产业专题库”开展全流程初步设计，编制自治区一体化物流服务平台初步设计及概算报告，支撑平台落地建设，服务新疆“五大战略定位”，实现数据驱动、多链协同、产业赋能。</w:t>
      </w:r>
    </w:p>
    <w:p w14:paraId="740A9314">
      <w:pPr>
        <w:spacing w:line="360" w:lineRule="auto"/>
        <w:ind w:firstLine="480" w:firstLineChars="200"/>
        <w:jc w:val="left"/>
        <w:rPr>
          <w:rFonts w:hint="default" w:ascii="宋体" w:hAnsi="宋体" w:eastAsia="宋体" w:cs="宋体"/>
          <w:i/>
          <w:iCs/>
          <w:sz w:val="24"/>
          <w:u w:val="single"/>
          <w:lang w:val="en-US" w:eastAsia="zh-CN"/>
        </w:rPr>
      </w:pPr>
      <w:r>
        <w:rPr>
          <w:rFonts w:hint="eastAsia" w:ascii="宋体" w:hAnsi="宋体" w:eastAsia="宋体" w:cs="宋体"/>
          <w:i/>
          <w:iCs/>
          <w:sz w:val="24"/>
          <w:u w:val="single"/>
          <w:lang w:eastAsia="zh-CN"/>
        </w:rPr>
        <w:t>（</w:t>
      </w:r>
      <w:r>
        <w:rPr>
          <w:rFonts w:hint="eastAsia" w:ascii="宋体" w:hAnsi="宋体" w:eastAsia="宋体" w:cs="宋体"/>
          <w:i/>
          <w:iCs/>
          <w:sz w:val="24"/>
          <w:u w:val="single"/>
          <w:lang w:val="en-US" w:eastAsia="zh-CN"/>
        </w:rPr>
        <w:t>2）</w:t>
      </w:r>
      <w:r>
        <w:rPr>
          <w:rFonts w:hint="eastAsia" w:ascii="宋体" w:hAnsi="宋体" w:eastAsia="宋体" w:cs="宋体"/>
          <w:i/>
          <w:iCs/>
          <w:sz w:val="24"/>
          <w:u w:val="single"/>
        </w:rPr>
        <w:t>按照</w:t>
      </w:r>
      <w:r>
        <w:rPr>
          <w:rFonts w:hint="eastAsia" w:ascii="宋体" w:hAnsi="宋体" w:eastAsia="宋体" w:cs="宋体"/>
          <w:i/>
          <w:iCs/>
          <w:sz w:val="24"/>
          <w:u w:val="single"/>
          <w:lang w:val="en-US" w:eastAsia="zh-CN"/>
        </w:rPr>
        <w:t>采购人</w:t>
      </w:r>
      <w:r>
        <w:rPr>
          <w:rFonts w:hint="eastAsia" w:ascii="宋体" w:hAnsi="宋体" w:eastAsia="宋体" w:cs="宋体"/>
          <w:i/>
          <w:iCs/>
          <w:sz w:val="24"/>
          <w:u w:val="single"/>
        </w:rPr>
        <w:t>工作要求，开展调研、咨询、培训等相关服务工作，包括但不限于开展全国范围内实地调研、交流座谈</w:t>
      </w:r>
      <w:r>
        <w:rPr>
          <w:rFonts w:hint="eastAsia" w:ascii="宋体" w:hAnsi="宋体" w:eastAsia="宋体" w:cs="宋体"/>
          <w:i/>
          <w:iCs/>
          <w:sz w:val="24"/>
          <w:u w:val="single"/>
          <w:lang w:eastAsia="zh-CN"/>
        </w:rPr>
        <w:t>等</w:t>
      </w:r>
      <w:r>
        <w:rPr>
          <w:rFonts w:hint="eastAsia" w:ascii="宋体" w:hAnsi="宋体" w:eastAsia="宋体" w:cs="宋体"/>
          <w:i/>
          <w:iCs/>
          <w:sz w:val="24"/>
          <w:u w:val="single"/>
        </w:rPr>
        <w:t>工作，按要求编制并提交高质量调研报告；提供专业政策咨询、业务咨询等常态化咨询服务，形成咨询意见、工作建议及相关支撑材料；梳理编制各类清单、台帐、目录及配套说明文件等；研究起草修订完善管理制度、工作规范、实施细则等规范性材料；协助采购人开展企业对接、行业座谈、需求征集、落地对接等工作，搭建沟通协作机制；所有成果须符合国家、行业及地方相关规定，内容规范、数据准确、针对性和可操作性强，满足项目实施及验收要求。</w:t>
      </w:r>
      <w:r>
        <w:rPr>
          <w:rFonts w:hint="eastAsia" w:ascii="宋体" w:hAnsi="宋体" w:eastAsia="宋体" w:cs="宋体"/>
          <w:i/>
          <w:iCs/>
          <w:sz w:val="24"/>
          <w:u w:val="single"/>
          <w:lang w:eastAsia="zh-CN"/>
        </w:rPr>
        <w:t>（</w:t>
      </w:r>
      <w:r>
        <w:rPr>
          <w:rFonts w:hint="eastAsia" w:ascii="宋体" w:hAnsi="宋体" w:eastAsia="宋体" w:cs="宋体"/>
          <w:b/>
          <w:bCs/>
          <w:i/>
          <w:iCs/>
          <w:sz w:val="24"/>
          <w:u w:val="single"/>
          <w:lang w:val="en-US" w:eastAsia="zh-CN"/>
        </w:rPr>
        <w:t>需提供承诺函</w:t>
      </w:r>
      <w:r>
        <w:rPr>
          <w:rFonts w:hint="eastAsia" w:ascii="宋体" w:hAnsi="宋体" w:eastAsia="宋体" w:cs="宋体"/>
          <w:i/>
          <w:iCs/>
          <w:sz w:val="24"/>
          <w:u w:val="single"/>
          <w:lang w:val="en-US" w:eastAsia="zh-CN"/>
        </w:rPr>
        <w:t>）</w:t>
      </w:r>
    </w:p>
    <w:p w14:paraId="5BB37F4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rPr>
        <w:t>人员要求：</w:t>
      </w:r>
    </w:p>
    <w:p w14:paraId="2EE0FD5D">
      <w:pPr>
        <w:spacing w:line="360" w:lineRule="auto"/>
        <w:ind w:firstLine="480" w:firstLineChars="200"/>
        <w:jc w:val="left"/>
        <w:rPr>
          <w:rFonts w:hint="eastAsia" w:ascii="宋体" w:hAnsi="宋体" w:eastAsia="宋体" w:cs="宋体"/>
          <w:i w:val="0"/>
          <w:iCs w:val="0"/>
          <w:sz w:val="24"/>
          <w:u w:val="none"/>
        </w:rPr>
      </w:pPr>
      <w:r>
        <w:rPr>
          <w:rFonts w:hint="eastAsia" w:ascii="宋体" w:hAnsi="宋体" w:eastAsia="宋体" w:cs="宋体"/>
          <w:i w:val="0"/>
          <w:iCs w:val="0"/>
          <w:sz w:val="24"/>
          <w:u w:val="none"/>
          <w:lang w:val="en-US" w:eastAsia="zh-CN"/>
        </w:rPr>
        <w:t>1）</w:t>
      </w:r>
      <w:r>
        <w:rPr>
          <w:rFonts w:hint="eastAsia" w:ascii="宋体" w:hAnsi="宋体" w:eastAsia="宋体" w:cs="宋体"/>
          <w:i w:val="0"/>
          <w:iCs w:val="0"/>
          <w:sz w:val="24"/>
          <w:u w:val="none"/>
        </w:rPr>
        <w:t>项目团队须严格遵守国家保密法律法规及采购人保密管理规定，正式签订保密协议</w:t>
      </w:r>
      <w:r>
        <w:rPr>
          <w:rFonts w:hint="eastAsia" w:ascii="宋体" w:hAnsi="宋体" w:eastAsia="宋体" w:cs="宋体"/>
          <w:i w:val="0"/>
          <w:iCs w:val="0"/>
          <w:sz w:val="24"/>
          <w:u w:val="none"/>
          <w:lang w:val="en-US" w:eastAsia="zh-CN"/>
        </w:rPr>
        <w:t>并服从采购人相关工作规定</w:t>
      </w:r>
      <w:r>
        <w:rPr>
          <w:rFonts w:hint="eastAsia" w:ascii="宋体" w:hAnsi="宋体" w:eastAsia="宋体" w:cs="宋体"/>
          <w:i w:val="0"/>
          <w:iCs w:val="0"/>
          <w:sz w:val="24"/>
          <w:u w:val="none"/>
        </w:rPr>
        <w:t>；参与本项目的编制、咨询、造价等专业技术人员，须具备国家认可的执业资格证书，相关证书真实有效并按要求提供备查。</w:t>
      </w:r>
    </w:p>
    <w:p w14:paraId="606A9197">
      <w:pPr>
        <w:spacing w:line="360" w:lineRule="auto"/>
        <w:ind w:firstLine="480" w:firstLineChars="200"/>
        <w:jc w:val="left"/>
        <w:rPr>
          <w:rFonts w:hint="eastAsia" w:ascii="宋体" w:hAnsi="宋体" w:eastAsia="宋体" w:cs="宋体"/>
          <w:i/>
          <w:iCs/>
          <w:sz w:val="24"/>
          <w:u w:val="single"/>
          <w:lang w:val="en-US" w:eastAsia="zh-CN"/>
        </w:rPr>
      </w:pPr>
      <w:r>
        <w:rPr>
          <w:rFonts w:hint="eastAsia" w:ascii="宋体" w:hAnsi="宋体" w:eastAsia="宋体" w:cs="宋体"/>
          <w:sz w:val="24"/>
          <w:lang w:val="en-US" w:eastAsia="zh-CN"/>
        </w:rPr>
        <w:t>2</w:t>
      </w:r>
      <w:r>
        <w:rPr>
          <w:rFonts w:hint="eastAsia" w:ascii="宋体" w:hAnsi="宋体" w:eastAsia="宋体" w:cs="宋体"/>
          <w:sz w:val="24"/>
          <w:highlight w:val="none"/>
          <w:lang w:val="en-US" w:eastAsia="zh-CN"/>
        </w:rPr>
        <w:t>）</w:t>
      </w:r>
      <w:r>
        <w:rPr>
          <w:rFonts w:hint="eastAsia" w:ascii="宋体" w:hAnsi="宋体" w:eastAsia="宋体" w:cs="宋体"/>
          <w:i/>
          <w:iCs/>
          <w:sz w:val="24"/>
          <w:highlight w:val="none"/>
          <w:u w:val="single"/>
          <w:lang w:val="en-US" w:eastAsia="zh-CN"/>
        </w:rPr>
        <w:t>项目服务期间无特殊原因不得随意更换；拟参加项目人员即为中标单位今后参加该项目的人员，每个参加项目的人员必须具有相关资格证书，如特殊原因更换工作人员的，需提前15天和采购人申请，经采购人审核同意后，方可更换相关工作人员。如在</w:t>
      </w:r>
      <w:r>
        <w:rPr>
          <w:rFonts w:hint="eastAsia" w:ascii="宋体" w:hAnsi="宋体" w:eastAsia="宋体" w:cs="宋体"/>
          <w:i/>
          <w:iCs/>
          <w:sz w:val="24"/>
          <w:u w:val="single"/>
          <w:lang w:val="en-US" w:eastAsia="zh-CN"/>
        </w:rPr>
        <w:t>项目实际执行过程中发生项目负责人不能按采购文件要求胜任相关工作的，采购人有权要求更换项目负责人，投标方必须在两周内调整为符合采购文件要求且能胜任相关工作的项目负责人且到位开展工作，人员不允许出现任何岗位的空缺现象，否则采购人有权终止合同并报相关管理部门进行处理。</w:t>
      </w:r>
      <w:r>
        <w:rPr>
          <w:rFonts w:hint="eastAsia" w:ascii="宋体" w:hAnsi="宋体" w:eastAsia="宋体" w:cs="宋体"/>
          <w:b/>
          <w:bCs/>
          <w:i/>
          <w:iCs/>
          <w:sz w:val="24"/>
          <w:u w:val="single"/>
          <w:lang w:val="en-US" w:eastAsia="zh-CN"/>
        </w:rPr>
        <w:t>（需提供承诺）</w:t>
      </w:r>
    </w:p>
    <w:p w14:paraId="7D1424D5">
      <w:pPr>
        <w:spacing w:line="360" w:lineRule="auto"/>
        <w:ind w:firstLine="480" w:firstLineChars="200"/>
        <w:jc w:val="left"/>
        <w:rPr>
          <w:rFonts w:hint="default" w:ascii="宋体" w:hAnsi="宋体" w:eastAsia="宋体" w:cs="宋体"/>
          <w:i w:val="0"/>
          <w:iCs w:val="0"/>
          <w:sz w:val="24"/>
          <w:u w:val="none"/>
          <w:lang w:val="en-US" w:eastAsia="zh-CN"/>
        </w:rPr>
      </w:pPr>
      <w:r>
        <w:rPr>
          <w:rFonts w:hint="eastAsia" w:ascii="宋体" w:hAnsi="宋体" w:eastAsia="宋体" w:cs="宋体"/>
          <w:i w:val="0"/>
          <w:iCs w:val="0"/>
          <w:sz w:val="24"/>
          <w:u w:val="none"/>
          <w:lang w:val="en-US" w:eastAsia="zh-CN"/>
        </w:rPr>
        <w:t>3）</w:t>
      </w:r>
      <w:r>
        <w:rPr>
          <w:rFonts w:hint="eastAsia" w:ascii="宋体" w:hAnsi="宋体" w:eastAsia="宋体" w:cs="宋体"/>
          <w:i/>
          <w:iCs/>
          <w:sz w:val="24"/>
          <w:u w:val="single"/>
          <w:lang w:val="en-US" w:eastAsia="zh-CN"/>
        </w:rPr>
        <w:t>投标方须及时响应采购人业务服务工作，在自治区一体化物流服务平台项目</w:t>
      </w:r>
      <w:r>
        <w:rPr>
          <w:rFonts w:hint="eastAsia" w:ascii="宋体" w:hAnsi="宋体" w:eastAsia="宋体" w:cs="宋体"/>
          <w:i/>
          <w:iCs/>
          <w:sz w:val="24"/>
          <w:u w:val="single"/>
          <w:lang w:val="en-US" w:eastAsia="zh"/>
        </w:rPr>
        <w:t>竣工</w:t>
      </w:r>
      <w:r>
        <w:rPr>
          <w:rFonts w:hint="eastAsia" w:ascii="宋体" w:hAnsi="宋体" w:eastAsia="宋体" w:cs="宋体"/>
          <w:i/>
          <w:iCs/>
          <w:sz w:val="24"/>
          <w:u w:val="single"/>
          <w:lang w:val="en-US" w:eastAsia="zh-CN"/>
        </w:rPr>
        <w:t>验收前持续提供咨询服务</w:t>
      </w:r>
      <w:r>
        <w:rPr>
          <w:rFonts w:hint="eastAsia" w:ascii="宋体" w:hAnsi="宋体" w:eastAsia="宋体" w:cs="宋体"/>
          <w:i/>
          <w:iCs/>
          <w:sz w:val="24"/>
          <w:u w:val="single"/>
          <w:lang w:val="en-US" w:eastAsia="zh"/>
        </w:rPr>
        <w:t>，并配合采购人做好验收、变更等工作。</w:t>
      </w:r>
    </w:p>
    <w:p w14:paraId="6BE6E13A">
      <w:pPr>
        <w:spacing w:line="360" w:lineRule="auto"/>
        <w:ind w:firstLine="480" w:firstLineChars="200"/>
        <w:jc w:val="left"/>
        <w:rPr>
          <w:rFonts w:hint="eastAsia" w:ascii="宋体" w:hAnsi="宋体" w:eastAsia="宋体" w:cs="宋体"/>
          <w:i w:val="0"/>
          <w:iCs w:val="0"/>
          <w:sz w:val="24"/>
          <w:u w:val="none"/>
          <w:lang w:val="en-US" w:eastAsia="zh-CN"/>
        </w:rPr>
      </w:pPr>
      <w:r>
        <w:rPr>
          <w:rFonts w:hint="eastAsia" w:ascii="宋体" w:hAnsi="宋体" w:eastAsia="宋体" w:cs="宋体"/>
          <w:i/>
          <w:iCs/>
          <w:sz w:val="24"/>
          <w:u w:val="single"/>
          <w:lang w:val="en-US" w:eastAsia="zh-CN"/>
        </w:rPr>
        <w:t>（4）进度要求：须在签订合同后30个日历日内提交本项目的初步设计及概算报告初稿；</w:t>
      </w:r>
      <w:r>
        <w:rPr>
          <w:rFonts w:hint="eastAsia" w:ascii="宋体" w:hAnsi="宋体" w:eastAsia="宋体" w:cs="宋体"/>
          <w:i w:val="0"/>
          <w:iCs w:val="0"/>
          <w:sz w:val="24"/>
          <w:u w:val="none"/>
          <w:lang w:val="en-US" w:eastAsia="zh-CN"/>
        </w:rPr>
        <w:t>应承诺按照招标文件要求工期如期完工;应制定具体的保障措施和工作进度计划，保证实现本项目按质按量完成。</w:t>
      </w:r>
    </w:p>
    <w:p w14:paraId="0404FB88">
      <w:pPr>
        <w:spacing w:line="360" w:lineRule="auto"/>
        <w:ind w:firstLine="480" w:firstLineChars="200"/>
        <w:jc w:val="left"/>
        <w:rPr>
          <w:rFonts w:hint="eastAsia" w:ascii="宋体" w:hAnsi="宋体" w:eastAsia="宋体" w:cs="宋体"/>
          <w:i/>
          <w:iCs/>
          <w:sz w:val="24"/>
          <w:u w:val="single"/>
          <w:lang w:val="en-US" w:eastAsia="zh"/>
        </w:rPr>
      </w:pPr>
      <w:r>
        <w:rPr>
          <w:rFonts w:hint="eastAsia" w:ascii="宋体" w:hAnsi="宋体" w:eastAsia="宋体" w:cs="宋体"/>
          <w:i/>
          <w:iCs/>
          <w:sz w:val="24"/>
          <w:u w:val="single"/>
          <w:lang w:val="en-US" w:eastAsia="zh"/>
        </w:rPr>
        <w:t>（5）评审修改要求：在完成合同规定的工作任务并将成果交付采购人后，须配合采购人参加有关单位组织的评审工作，并根据评审意见完成必要调整和补充，直至本项目通过主管部门审批。</w:t>
      </w:r>
    </w:p>
    <w:p w14:paraId="56CB9267">
      <w:pPr>
        <w:spacing w:line="360" w:lineRule="auto"/>
        <w:jc w:val="left"/>
        <w:outlineLvl w:val="9"/>
        <w:rPr>
          <w:rFonts w:hint="eastAsia" w:ascii="宋体" w:hAnsi="宋体" w:eastAsia="宋体" w:cs="宋体"/>
          <w:b/>
          <w:bCs/>
          <w:sz w:val="28"/>
          <w:szCs w:val="28"/>
        </w:rPr>
      </w:pPr>
      <w:r>
        <w:rPr>
          <w:rFonts w:hint="eastAsia" w:ascii="宋体" w:hAnsi="宋体" w:eastAsia="宋体" w:cs="宋体"/>
          <w:b/>
          <w:bCs/>
          <w:sz w:val="28"/>
          <w:szCs w:val="28"/>
        </w:rPr>
        <w:t>（四）服务期限</w:t>
      </w:r>
    </w:p>
    <w:p w14:paraId="23AB5646">
      <w:pPr>
        <w:spacing w:line="360" w:lineRule="auto"/>
        <w:ind w:firstLine="480" w:firstLineChars="200"/>
        <w:rPr>
          <w:rFonts w:hint="eastAsia" w:ascii="宋体" w:hAnsi="宋体" w:eastAsia="宋体" w:cs="宋体"/>
          <w:i w:val="0"/>
          <w:iCs w:val="0"/>
          <w:sz w:val="24"/>
          <w:u w:val="none"/>
        </w:rPr>
      </w:pPr>
      <w:r>
        <w:rPr>
          <w:rFonts w:hint="eastAsia" w:ascii="宋体" w:hAnsi="宋体" w:eastAsia="宋体" w:cs="宋体"/>
          <w:i w:val="0"/>
          <w:iCs w:val="0"/>
          <w:sz w:val="24"/>
          <w:u w:val="none"/>
        </w:rPr>
        <w:t>服务期限：自合同签订生效之日起至最终设计成果通过专家评审，具体以合同约定为准。</w:t>
      </w:r>
    </w:p>
    <w:p w14:paraId="275F3D4B">
      <w:pPr>
        <w:spacing w:line="360" w:lineRule="auto"/>
        <w:jc w:val="left"/>
        <w:outlineLvl w:val="2"/>
        <w:rPr>
          <w:rFonts w:hint="eastAsia" w:ascii="宋体" w:hAnsi="宋体" w:eastAsia="宋体" w:cs="宋体"/>
          <w:sz w:val="24"/>
        </w:rPr>
      </w:pPr>
      <w:r>
        <w:rPr>
          <w:rFonts w:hint="eastAsia" w:ascii="宋体" w:hAnsi="宋体" w:eastAsia="宋体" w:cs="宋体"/>
          <w:b/>
          <w:bCs/>
          <w:sz w:val="28"/>
          <w:szCs w:val="28"/>
        </w:rPr>
        <w:t>（五）服务费支付方式</w:t>
      </w:r>
    </w:p>
    <w:p w14:paraId="357F8074">
      <w:pPr>
        <w:spacing w:line="360" w:lineRule="auto"/>
        <w:ind w:firstLine="480" w:firstLineChars="200"/>
        <w:jc w:val="left"/>
        <w:rPr>
          <w:rFonts w:hint="eastAsia" w:ascii="宋体" w:hAnsi="宋体" w:eastAsia="宋体" w:cs="宋体"/>
          <w:i w:val="0"/>
          <w:iCs w:val="0"/>
          <w:sz w:val="24"/>
          <w:u w:val="none"/>
        </w:rPr>
      </w:pPr>
      <w:r>
        <w:rPr>
          <w:rFonts w:hint="eastAsia" w:ascii="宋体" w:hAnsi="宋体" w:eastAsia="宋体" w:cs="宋体"/>
          <w:i w:val="0"/>
          <w:iCs w:val="0"/>
          <w:sz w:val="24"/>
          <w:u w:val="none"/>
        </w:rPr>
        <w:t>项目实际金额以中标价格为准，支付方式按合同约定执行。</w:t>
      </w:r>
    </w:p>
    <w:p w14:paraId="7D881DBB">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（六）成果交付</w:t>
      </w:r>
    </w:p>
    <w:p w14:paraId="14D3A84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包括但不限于自治区一体化物流服务平台初步设计及概算报告、调研报告、规范性材料等，具体以合同约定为主：</w:t>
      </w:r>
    </w:p>
    <w:p w14:paraId="3256393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初步设计说明书、需求分析、总体设计、详细设计、实施计划、概算编制，数据资源设计、对接设计、质量、安全及进度保障措施，绩效目标设计，风险分析及应对措施，运维管理方案等全套成果，齐全、规范、签章有效。</w:t>
      </w:r>
    </w:p>
    <w:p w14:paraId="396D4B0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（2）设计内容符合要求满足平台“1个平台+16个子系统+54套主题库+39套专题库”建设内容，数据汇聚、处理、分析、应用、安全等设计合理，符合新疆物流与产业实际需求。</w:t>
      </w:r>
    </w:p>
    <w:p w14:paraId="7F21CE4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（3）数据与安全设计合规，包括但不限于数据分类分级、共享清单、负面清单、隐私保护、等保、商用密码安全性、数据安全风险评估 、个人信息保护评估等网络和数据安全合规性要求落实到位。</w:t>
      </w:r>
    </w:p>
    <w:p w14:paraId="41F8CD2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（4）对接设计可行，包括但不限于与自治区一体化数据资源服务平台、国家物流信息平台、关键枢纽的对接方案清晰、接口合理、可落地。</w:t>
      </w:r>
    </w:p>
    <w:p w14:paraId="166EB70F">
      <w:p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rPr>
        <w:t>（5）概算编制合规，投资概算依据充分、科目完整、测算合理，符合财政管理要求。</w:t>
      </w:r>
    </w:p>
    <w:p w14:paraId="313669F4">
      <w:pPr>
        <w:spacing w:line="360" w:lineRule="auto"/>
        <w:jc w:val="left"/>
        <w:rPr>
          <w:rFonts w:hint="eastAsia" w:ascii="宋体" w:hAnsi="宋体" w:eastAsia="宋体" w:cs="宋体"/>
          <w:sz w:val="24"/>
        </w:rPr>
      </w:pPr>
    </w:p>
    <w:p w14:paraId="7F6E819B">
      <w:pPr>
        <w:pStyle w:val="2"/>
        <w:numPr>
          <w:ilvl w:val="2"/>
          <w:numId w:val="0"/>
        </w:numPr>
        <w:spacing w:line="360" w:lineRule="auto"/>
        <w:rPr>
          <w:rFonts w:ascii="Times New Roman" w:hAnsi="Times New Roman" w:cs="Arial"/>
          <w:bCs/>
        </w:rPr>
      </w:pPr>
      <w:r>
        <w:rPr>
          <w:rFonts w:hint="eastAsia" w:ascii="Times New Roman" w:hAnsi="Times New Roman" w:cs="Arial"/>
          <w:bCs/>
        </w:rPr>
        <w:t>技术需求</w:t>
      </w:r>
    </w:p>
    <w:p w14:paraId="49166EB0">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（一）建设内容</w:t>
      </w:r>
    </w:p>
    <w:p w14:paraId="57428975">
      <w:pPr>
        <w:spacing w:line="360" w:lineRule="auto"/>
        <w:ind w:firstLine="480" w:firstLineChars="200"/>
        <w:rPr>
          <w:rFonts w:hint="eastAsia" w:ascii="宋体" w:hAnsi="宋体" w:eastAsia="宋体" w:cs="宋体"/>
          <w:color w:val="C00000"/>
          <w:kern w:val="0"/>
          <w:sz w:val="24"/>
        </w:rPr>
      </w:pPr>
      <w:r>
        <w:rPr>
          <w:rFonts w:hint="eastAsia" w:ascii="宋体" w:hAnsi="宋体" w:eastAsia="宋体" w:cs="宋体"/>
          <w:kern w:val="0"/>
          <w:sz w:val="24"/>
        </w:rPr>
        <w:t>本项目建设1个大平台，即一体化物流服务平台；16个子系统，分别为：数据交换子系统、数据处理子系统、数据分析决策子系统、煤炭产业服务子系统、新能源新材料产业服务子系统、绿色矿业产业服务子系统、粮食和食品加工产业服务子系统、棉花和纺织服装产业服务子系统、林果和生鲜产业服务子系统、畜牧产业服务子系统、文旅产业服务子系统、枢纽服务子系统、现代物流提质服务子系统、科学决策辅助服务子系统、供应链安全服务子系统、数据可视化平台。</w:t>
      </w:r>
    </w:p>
    <w:p w14:paraId="4E747DFA">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1.数据交换子系统：</w:t>
      </w:r>
      <w:r>
        <w:rPr>
          <w:rFonts w:hint="eastAsia" w:ascii="宋体" w:hAnsi="宋体" w:eastAsia="宋体" w:cs="宋体"/>
          <w:kern w:val="0"/>
          <w:sz w:val="24"/>
        </w:rPr>
        <w:t>是用于对全疆物流数据的汇聚及数据交换的系统，对数据的汇聚及数据对外服务，均由此系统完成。包括但不限于自治区企业数据交换、枢纽数据交换、数据交换申请、数据交换授权等模块。</w:t>
      </w:r>
    </w:p>
    <w:p w14:paraId="57B2E417">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2.数据处理子系统：</w:t>
      </w:r>
      <w:r>
        <w:rPr>
          <w:rFonts w:hint="eastAsia" w:ascii="宋体" w:hAnsi="宋体" w:eastAsia="宋体" w:cs="宋体"/>
          <w:kern w:val="0"/>
          <w:sz w:val="24"/>
        </w:rPr>
        <w:t>是用于对汇聚的全疆物流数据进行集中处理的系统，按照物流数据编码标准（参考交通运输部行业标准），完成数据统一处理，最终形成新疆的物流数据标准，为后续的数据分析和数据服务做基础。包括但不限于数据清洗加工、数据交叉验证、数据统一标准、数据沉淀、数据分类分级、数据资产管理等模块。</w:t>
      </w:r>
    </w:p>
    <w:p w14:paraId="741C8869">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3.数据分析决策子系统</w:t>
      </w:r>
      <w:r>
        <w:rPr>
          <w:rFonts w:hint="eastAsia" w:ascii="宋体" w:hAnsi="宋体" w:eastAsia="宋体" w:cs="宋体"/>
          <w:kern w:val="0"/>
          <w:sz w:val="24"/>
        </w:rPr>
        <w:t>：是用于对汇聚和处理的数据进行深度的分析和挖掘，形成对自治区管理部门、行业、产业、企业、从业者等有用、可用的数据，形成54套物流主题库、39套产业专题库。包括但不限于数据分析、基础数据、主题数据、专题数据、物流指数。</w:t>
      </w:r>
    </w:p>
    <w:p w14:paraId="2BF38082">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4.煤炭产业服务子系统：</w:t>
      </w:r>
      <w:r>
        <w:rPr>
          <w:rFonts w:hint="eastAsia" w:ascii="宋体" w:hAnsi="宋体" w:eastAsia="宋体" w:cs="宋体"/>
          <w:kern w:val="0"/>
          <w:sz w:val="24"/>
        </w:rPr>
        <w:t>是用于对自治区煤炭产业提供数据服务的系统，对自治区煤炭产业的产销运调配、库存调配、运力配置等重要环节提供数据服务支撑。包括但不限于产销协同场景服务、公路运力服务、铁路车皮计划查询、铁路集装箱计划查询、煤炭运输时效指数、煤炭行业运价指数。</w:t>
      </w:r>
    </w:p>
    <w:p w14:paraId="0001BE64">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5.新能源新材料产业服务子系统：</w:t>
      </w:r>
      <w:r>
        <w:rPr>
          <w:rFonts w:hint="eastAsia" w:ascii="宋体" w:hAnsi="宋体" w:eastAsia="宋体" w:cs="宋体"/>
          <w:kern w:val="0"/>
          <w:sz w:val="24"/>
        </w:rPr>
        <w:t>是用于对自治区新能源新材料产业提供数据服务的系统，对自治区新能源新材料产业的在途运输、路径规划、供应链安全等重要环节提供数据服务支撑。包括但不限于车辆定位查询、车辆轨迹查询、铁路过站跟踪数据、高速通行查询、新能源新材料运输时效指数、新能源新材料运价指数。</w:t>
      </w:r>
    </w:p>
    <w:p w14:paraId="704ACB85">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6.绿色矿业产业服务子系统：</w:t>
      </w:r>
      <w:r>
        <w:rPr>
          <w:rFonts w:hint="eastAsia" w:ascii="宋体" w:hAnsi="宋体" w:eastAsia="宋体" w:cs="宋体"/>
          <w:kern w:val="0"/>
          <w:sz w:val="24"/>
        </w:rPr>
        <w:t>是用于对自治区绿色矿业产业提供数据服务的系统，对自治区绿色矿业产业的产销调度、在途监控、低碳物流等重要环节提供数据服务支撑。包括但不限于产销协同场景服务、公路运力服务、铁路车皮计划查询、铁路集装箱计划查询、车辆定位查询、车辆轨迹查询、铁路过站跟踪数据、高速通行查询、矿业运输时效指数、矿业运价指数。</w:t>
      </w:r>
    </w:p>
    <w:p w14:paraId="4E3AF03E">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7.粮食和食品加工产业服务子系统：</w:t>
      </w:r>
      <w:r>
        <w:rPr>
          <w:rFonts w:hint="eastAsia" w:ascii="宋体" w:hAnsi="宋体" w:eastAsia="宋体" w:cs="宋体"/>
          <w:kern w:val="0"/>
          <w:sz w:val="24"/>
        </w:rPr>
        <w:t>是用于对自治区粮食和食品加工产业提供数据服务的系统，对自治区粮食和食品加工产业的供需调配、运输成本管控、在途与安全监控、供应链安全等重要环节提供数据服务支撑。包括但不限于产销协同场景服务、公路运力服务、铁路车皮计划查询、铁路集装箱计划查询、车辆定位查询、车辆轨迹查询、铁路过站跟踪数据、高速通行查询、粮食运输时效指数、粮食运价指数。</w:t>
      </w:r>
    </w:p>
    <w:p w14:paraId="7D746E58">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8.棉花和纺织服装产业服务子系统：</w:t>
      </w:r>
      <w:r>
        <w:rPr>
          <w:rFonts w:hint="eastAsia" w:ascii="宋体" w:hAnsi="宋体" w:eastAsia="宋体" w:cs="宋体"/>
          <w:kern w:val="0"/>
          <w:sz w:val="24"/>
        </w:rPr>
        <w:t>是用于对自治区棉花和纺织服装产业提供数据服务的系统，对自治区棉花和纺织服装产业的产销调配、库存规划、成本控制等重要环节提供数据服务支撑。包括但不限于产销协同场景服务、棉花销售价格指数、棉花仓储数据服务、疆内仓库分布数据服务、关税数据服务、车辆定位查询、车辆轨迹查询、铁路过站跟踪数据、高速通行查询、棉花运输时效指数、棉花运价指数。</w:t>
      </w:r>
    </w:p>
    <w:p w14:paraId="6E3A8050">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9.林果和生鲜产业服务子系统：</w:t>
      </w:r>
      <w:r>
        <w:rPr>
          <w:rFonts w:hint="eastAsia" w:ascii="宋体" w:hAnsi="宋体" w:eastAsia="宋体" w:cs="宋体"/>
          <w:kern w:val="0"/>
          <w:sz w:val="24"/>
        </w:rPr>
        <w:t>是用于对自治区林果和生鲜产业提供数据服务的系统，对自治区林果和生鲜产业的运输损耗监控、产品溯源、冷链资源调配、管控成本等重要环节提供数据服务支撑。包括但不限于疆内冷链仓库分布查询、冷链运力服务、车辆定位查询、车辆轨迹查询、高速通行查询、冷链运输时效指数、冷链运价指数。</w:t>
      </w:r>
    </w:p>
    <w:p w14:paraId="10C07A64">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10.畜牧产业服务子系统：</w:t>
      </w:r>
      <w:r>
        <w:rPr>
          <w:rFonts w:hint="eastAsia" w:ascii="宋体" w:hAnsi="宋体" w:eastAsia="宋体" w:cs="宋体"/>
          <w:kern w:val="0"/>
          <w:sz w:val="24"/>
        </w:rPr>
        <w:t>是用于对自治区畜牧产业提供数据服务的系统，对自治区畜牧产业的运输损耗监控、运输线路规划、产销运匹配等重要环节提供数据服务支撑。包括但不限于疆内冷链仓库分布查询、冷链运力服务、交通气象查询、车辆定位查询、车辆轨迹查询、高速通行查询、冷链运输时效指数、冷链运价指数。</w:t>
      </w:r>
    </w:p>
    <w:p w14:paraId="3B7F9AA9">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11.文旅产业服务子系统：</w:t>
      </w:r>
      <w:r>
        <w:rPr>
          <w:rFonts w:hint="eastAsia" w:ascii="宋体" w:hAnsi="宋体" w:eastAsia="宋体" w:cs="宋体"/>
          <w:kern w:val="0"/>
          <w:sz w:val="24"/>
        </w:rPr>
        <w:t>是用于对自治区文旅产业提供数据服务的系统，为游客、文旅企业、物流企业及行业管理部门提供精准、实时、前瞻的数据服务。包括但不限于特色装备寄递数据服务、生鲜特产冷链流通数据服务、文旅物流资源协同数据服务。</w:t>
      </w:r>
    </w:p>
    <w:p w14:paraId="03228325">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12.枢纽服务子系统：</w:t>
      </w:r>
      <w:r>
        <w:rPr>
          <w:rFonts w:hint="eastAsia" w:ascii="宋体" w:hAnsi="宋体" w:eastAsia="宋体" w:cs="宋体"/>
          <w:kern w:val="0"/>
          <w:sz w:val="24"/>
        </w:rPr>
        <w:t>是用于对自治区关键枢纽及通道服务的系统，通过与乌鲁木齐陆港型枢纽、霍尔果斯陆上边境口岸型枢纽互联互通，为中欧（亚）班列高效运行及区域物流协同提供数据服务支撑。包括但不限于乌鲁木齐枢纽数据服务、霍尔果斯枢纽数据服务、班列数据服务、区域物流数据服务。</w:t>
      </w:r>
    </w:p>
    <w:p w14:paraId="2306AFF6">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13.现代物流提质服务子系统：</w:t>
      </w:r>
      <w:r>
        <w:rPr>
          <w:rFonts w:hint="eastAsia" w:ascii="宋体" w:hAnsi="宋体" w:eastAsia="宋体" w:cs="宋体"/>
          <w:kern w:val="0"/>
          <w:sz w:val="24"/>
        </w:rPr>
        <w:t>是用于对自治区行业经营主体提供数据服务的系统，为物流行业经营主体对资质信誉、在途跟踪、设施分布、多式联运、金融、绿色低碳等提供数据服务支撑。包括但不限于物流资质信誉数据服务、物流在途跟踪数据服务、物流设施查询、物流人才数据服务、多式联运数据服务、金融数据服务。</w:t>
      </w:r>
    </w:p>
    <w:p w14:paraId="4DF14F16">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14.科学决策辅助服务子系统：</w:t>
      </w:r>
      <w:r>
        <w:rPr>
          <w:rFonts w:hint="eastAsia" w:ascii="宋体" w:hAnsi="宋体" w:eastAsia="宋体" w:cs="宋体"/>
          <w:kern w:val="0"/>
          <w:sz w:val="24"/>
        </w:rPr>
        <w:t>是用于对自治区管理部门提供数据服务的系统，对自治区管理部门提供相关数据服务。包括但不限于基础设施规划数据服务、产业布局规划数据服务、政策效果评估数据服务、政策文件数据服务。</w:t>
      </w:r>
    </w:p>
    <w:p w14:paraId="4D03C88F">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15.供应链安全服务子系统：</w:t>
      </w:r>
      <w:r>
        <w:rPr>
          <w:rFonts w:hint="eastAsia" w:ascii="宋体" w:hAnsi="宋体" w:eastAsia="宋体" w:cs="宋体"/>
          <w:kern w:val="0"/>
          <w:sz w:val="24"/>
        </w:rPr>
        <w:t>是用于对自治区产业供应链安全提供数据服务的系统。包括但不限于供应链状态可视服务、供应链效能数据服务、供应链风险预警服务、能源资源供应链保障服务、农牧产品供应链保障服务、亚欧黄金通道保障服务。</w:t>
      </w:r>
    </w:p>
    <w:p w14:paraId="2BD93BE4">
      <w:pPr>
        <w:spacing w:line="360" w:lineRule="auto"/>
        <w:ind w:firstLine="482" w:firstLineChars="200"/>
        <w:rPr>
          <w:rFonts w:hint="eastAsia" w:ascii="宋体" w:hAnsi="宋体" w:eastAsia="宋体" w:cs="宋体"/>
          <w:sz w:val="24"/>
        </w:rPr>
      </w:pPr>
      <w:r>
        <w:rPr>
          <w:rFonts w:hint="eastAsia" w:ascii="宋体" w:hAnsi="宋体" w:eastAsia="宋体" w:cs="宋体"/>
          <w:b/>
          <w:bCs/>
          <w:kern w:val="0"/>
          <w:sz w:val="24"/>
        </w:rPr>
        <w:t>16.数据可视化平台：</w:t>
      </w:r>
      <w:r>
        <w:rPr>
          <w:rFonts w:hint="eastAsia" w:ascii="宋体" w:hAnsi="宋体" w:eastAsia="宋体" w:cs="宋体"/>
          <w:kern w:val="0"/>
          <w:sz w:val="24"/>
        </w:rPr>
        <w:t>是用于对自治区物流数据经过深度分析之后的数据可视化展示，通过数据直观体现全疆经济运行状况。包括但不限于全疆物流一张图、公路物流分析数据可视化、铁路物流分析数据可视化、航空物流分析数据可视化、枢纽物流分析数据可视化、跨境物流分析数据可视化、行业分析数据可视化、产业分析数据可视化。</w:t>
      </w:r>
    </w:p>
    <w:p w14:paraId="31A785EC">
      <w:pPr>
        <w:rPr>
          <w:rFonts w:hint="eastAsia" w:ascii="宋体" w:hAnsi="宋体" w:eastAsia="宋体" w:cs="宋体"/>
          <w:sz w:val="24"/>
        </w:rPr>
      </w:pPr>
    </w:p>
    <w:p w14:paraId="44F34800">
      <w:pPr>
        <w:spacing w:line="360" w:lineRule="auto"/>
        <w:jc w:val="left"/>
        <w:outlineLvl w:val="2"/>
        <w:rPr>
          <w:rFonts w:hint="eastAsia" w:ascii="宋体" w:hAnsi="宋体" w:eastAsia="宋体" w:cs="宋体"/>
          <w:b/>
          <w:bCs/>
          <w:sz w:val="28"/>
          <w:szCs w:val="28"/>
        </w:rPr>
      </w:pPr>
      <w:r>
        <w:rPr>
          <w:rFonts w:hint="eastAsia" w:ascii="宋体" w:hAnsi="宋体" w:eastAsia="宋体" w:cs="宋体"/>
          <w:b/>
          <w:bCs/>
          <w:sz w:val="28"/>
          <w:szCs w:val="28"/>
        </w:rPr>
        <w:t>（二）业务要求</w:t>
      </w:r>
    </w:p>
    <w:p w14:paraId="7534AA00">
      <w:pPr>
        <w:spacing w:line="360" w:lineRule="auto"/>
        <w:ind w:left="845" w:hanging="425"/>
        <w:rPr>
          <w:rFonts w:cs="Calibri"/>
          <w:b/>
          <w:bCs/>
          <w:kern w:val="0"/>
          <w:sz w:val="28"/>
          <w:szCs w:val="28"/>
        </w:rPr>
      </w:pPr>
      <w:r>
        <w:rPr>
          <w:rFonts w:hint="eastAsia" w:ascii="Times New Roman" w:hAnsi="Times New Roman" w:eastAsia="宋体" w:cs="Calibri"/>
          <w:b/>
          <w:bCs/>
          <w:kern w:val="0"/>
          <w:sz w:val="28"/>
          <w:szCs w:val="28"/>
        </w:rPr>
        <w:t>1.</w:t>
      </w:r>
      <w:r>
        <w:rPr>
          <w:rFonts w:hint="eastAsia" w:cs="Calibri"/>
          <w:b/>
          <w:bCs/>
          <w:kern w:val="0"/>
          <w:sz w:val="28"/>
          <w:szCs w:val="28"/>
        </w:rPr>
        <w:t>数据汇聚</w:t>
      </w:r>
    </w:p>
    <w:p w14:paraId="09E80DA3">
      <w:pPr>
        <w:pStyle w:val="24"/>
        <w:spacing w:before="0" w:beforeLines="0"/>
        <w:ind w:firstLine="480"/>
        <w:rPr>
          <w:rFonts w:ascii="Times New Roman" w:hAnsi="Times New Roman" w:cs="Calibri"/>
          <w:szCs w:val="28"/>
          <w:lang w:val="en-US"/>
        </w:rPr>
      </w:pPr>
      <w:r>
        <w:rPr>
          <w:rFonts w:hint="eastAsia" w:eastAsia="宋体" w:cs="宋体"/>
          <w:sz w:val="24"/>
          <w:lang w:val="en-US"/>
        </w:rPr>
        <w:t>本项目依托数据交换共享功能，对新疆维吾尔自治区范围内的公路、铁路、航空、班列、口岸、海关、物流设施等全要素物流数据实现跨系统汇聚，打破数据孤岛，形成统一接入、集中管理的物流数据资源池，为后续数据治理、共享交换与协同应用奠定基础。</w:t>
      </w:r>
    </w:p>
    <w:p w14:paraId="53C3F0E0">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2.数据处理</w:t>
      </w:r>
    </w:p>
    <w:p w14:paraId="25FADF2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作为数据资源向数据服务转化的核心环节，数据处理涵盖数据清洗、数据加工、数据交叉验证、数据标准化及数据沉淀等流程，旨在提升数据质量、增强数据可用性，为上层分析与服务提供规范化、可信的数据支撑。</w:t>
      </w:r>
    </w:p>
    <w:p w14:paraId="0C24CE16">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3.数据分析</w:t>
      </w:r>
    </w:p>
    <w:p w14:paraId="62CE78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分析是依托平台汇聚的物流数据资源，运用多种技术方法挖掘数据价值、形成业务洞察的关键环节。通过系统化的数据处理与建模分析，平台能够识别物流运行规律、诊断瓶颈问题，并为管理决策与业务优化提供量化支撑。</w:t>
      </w:r>
    </w:p>
    <w:p w14:paraId="5450C857">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4.基础数据</w:t>
      </w:r>
    </w:p>
    <w:p w14:paraId="78F23A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平台基础数据是汇聚、治理和存储自治区全量、多源、核心物流及相关数据的统一资源池。它不直接面向最终业务场景，而是所有上层主题数据、专题数据进行分析与服务的唯一可信数据源头。其建设遵循“一数一源、标准统一、分层治理、有序共享”原则，旨在形成覆盖物流活动全要素、全流程、全主体的权威数据基准。</w:t>
      </w:r>
    </w:p>
    <w:p w14:paraId="7AF8DE42">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5.主题数据</w:t>
      </w:r>
    </w:p>
    <w:p w14:paraId="1B501B3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平台将基于新疆特色优势产业发展重点，构建一个多层次、全覆盖的主题数据。不仅涵盖物流的基础运行状况，更延伸至与产业经济、跨境贸易、新兴业态的交叉融合领域，具体包括但不限于物流设施数据等小标题数据以下主题数据：</w:t>
      </w:r>
    </w:p>
    <w:p w14:paraId="23EB346B">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6.专题数据</w:t>
      </w:r>
    </w:p>
    <w:p w14:paraId="26E3E86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专题数据的本质，是以产业需求为牵引，以解决问题为导向，将平台汇聚的跨领域、多维度数据资源，转化为能够直接支撑产业决策、优化运营、防控风险的智能化数据产品。其建设内容不仅包括数据本身的组织，更涵盖对产业逻辑的理解、对服务形态的设计以及对价值闭环的构建。其最终目的是将原始的、分散的数据，提炼成驱动产业发展的“数据燃料”，帮助政府科学决策、企业降本增效，从而提升整个新疆重点产业的供应链韧性和竞争力。</w:t>
      </w:r>
    </w:p>
    <w:p w14:paraId="6754CA48">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7.物流指数</w:t>
      </w:r>
    </w:p>
    <w:p w14:paraId="0CF2C57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物流指数是运用统计分析方法，对物流行业运行状况、发展水平、效率变化及市场景气程度进行综合量化评估的指标体系。它通过将复杂的物流活动转化为可度量、可比较的数值形式，为政府、行业、企业及投资者提供直观、动态的决策参考。在自治区一体化物流服务平台项目中，构建一套科学、系统、具有区域特色的物流指数体系，是提升数据赋能水平、服务经济社会发展的重要抓手。</w:t>
      </w:r>
    </w:p>
    <w:p w14:paraId="2EAEA5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物流指数体系在平台中扮演着“晴雨表”、“风向标”和“度量衡”的多重角色，基于平台汇聚的多维度数据，需要构建一个覆盖全面、层次清晰、重点突出的新疆特色物流指数体系。</w:t>
      </w:r>
    </w:p>
    <w:p w14:paraId="14CC4FED">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8.数据分类分级</w:t>
      </w:r>
    </w:p>
    <w:p w14:paraId="25D017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在本平台的建设中，数据分类分级是一项至关重要的基础性工作，是确保数据得以有效管理、合规使用、安全共享的前提。</w:t>
      </w:r>
    </w:p>
    <w:p w14:paraId="27CC2C6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数据分类主要基于数据的属性、内容、来源或业务应用场景等特征，将具有共同特征的数据归并到同一类别的过程。其核心目的是从业务角度理解数据、组织数据，便于数据的检索、整合与分析应用。</w:t>
      </w:r>
    </w:p>
    <w:p w14:paraId="35FC63A9">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9.数据资产</w:t>
      </w:r>
      <w:bookmarkStart w:id="15" w:name="OLE_LINK282"/>
    </w:p>
    <w:p w14:paraId="1F078CB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本平台的建设框架下，数据资产化是实现数据价值释放、赋能产业发展的核心环节。这一过程旨在将原始、分散的物流数据资源，通过系统化的治理、整合与封装，转化为标准可控、可信可用、可度量的高价值数据资产，并进一步通过多元化的服务模式，直接支撑业务决策与应用创新，最终形成可持续运营的数据价值生态。</w:t>
      </w:r>
    </w:p>
    <w:p w14:paraId="77BB97D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数据资产化的核心是将治理后的数据资源进行体系化封装，形成标准、可信、易用的数据资产。</w:t>
      </w:r>
    </w:p>
    <w:bookmarkEnd w:id="15"/>
    <w:p w14:paraId="367C5BCB">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10.数据可视化</w:t>
      </w:r>
    </w:p>
    <w:p w14:paraId="7BD7742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数据可视化是连接海量数据与最终用户认知的关键桥梁，是实现数据驱动决策的核心环节。</w:t>
      </w:r>
    </w:p>
    <w:p w14:paraId="0C46274E">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11.数据交换共享</w:t>
      </w:r>
    </w:p>
    <w:p w14:paraId="0D97999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交换共享作为现代数据服务体系的核心环节，在本平台中承担着数据价值流通和协同赋能的关键作用。本项目通过构建统一、规范、高效的数据交换共享机制，打破信息孤岛，促进数据要素有序流动，为新疆现代物流体系建设和特色产业发展提供全方位数据支撑。</w:t>
      </w:r>
    </w:p>
    <w:p w14:paraId="7C4020F9">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12.数据应用服务</w:t>
      </w:r>
    </w:p>
    <w:p w14:paraId="0D07DEE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数据应用服务是平台建设的最终价值体现，是将数据资源转化为实际生产力的关键环节。本平台的数据应用服务体系旨在通过系统化、场景化、智能化的服务模式，为特色优势产业、枢纽及通道、现代物流产业、科学决策决策及供应链安全提供全方位、多层次的数据支撑，推动数据要素价值充分释放。</w:t>
      </w:r>
    </w:p>
    <w:p w14:paraId="5B61A744">
      <w:pPr>
        <w:spacing w:line="360" w:lineRule="auto"/>
        <w:ind w:left="845" w:hanging="425"/>
        <w:rPr>
          <w:rFonts w:ascii="Times New Roman" w:hAnsi="Times New Roman" w:eastAsia="宋体" w:cs="Calibri"/>
          <w:b/>
          <w:bCs/>
          <w:kern w:val="0"/>
          <w:sz w:val="28"/>
          <w:szCs w:val="28"/>
        </w:rPr>
      </w:pPr>
      <w:r>
        <w:rPr>
          <w:rFonts w:hint="eastAsia" w:ascii="Times New Roman" w:hAnsi="Times New Roman" w:eastAsia="宋体" w:cs="Calibri"/>
          <w:b/>
          <w:bCs/>
          <w:kern w:val="0"/>
          <w:sz w:val="28"/>
          <w:szCs w:val="28"/>
        </w:rPr>
        <w:t>13.数据安全</w:t>
      </w:r>
    </w:p>
    <w:p w14:paraId="2681CB24">
      <w:pPr>
        <w:spacing w:line="360" w:lineRule="auto"/>
        <w:ind w:firstLine="480" w:firstLineChars="200"/>
        <w:rPr>
          <w:rFonts w:hint="eastAsia" w:ascii="宋体" w:hAnsi="宋体" w:eastAsia="宋体" w:cs="宋体"/>
          <w:b/>
          <w:bCs/>
          <w:sz w:val="28"/>
          <w:szCs w:val="28"/>
        </w:rPr>
      </w:pPr>
      <w:r>
        <w:rPr>
          <w:rFonts w:hint="eastAsia" w:ascii="宋体" w:hAnsi="宋体" w:eastAsia="宋体" w:cs="宋体"/>
          <w:kern w:val="0"/>
          <w:sz w:val="24"/>
        </w:rPr>
        <w:t>构建管理、技术、运营三位一体安全体系。建立组织制度与闭环运营机制；采用国密加密、访问控制、数据脱敏、防泄漏、全链路审计等技术防护；落实数据分类分级、重要数据保护、原始数据不出域、数据可用不可见、数据可控可计量要求；</w:t>
      </w:r>
      <w:r>
        <w:rPr>
          <w:rFonts w:hint="eastAsia" w:ascii="宋体" w:hAnsi="宋体" w:eastAsia="宋体" w:cs="宋体"/>
          <w:kern w:val="0"/>
          <w:sz w:val="24"/>
          <w:lang w:eastAsia="zh-CN"/>
        </w:rPr>
        <w:t>项目建设期间完成安全检测，检测内容包括：安全基线检查、漏洞扫描、渗透测试、源代码审计等</w:t>
      </w:r>
      <w:r>
        <w:rPr>
          <w:rFonts w:hint="eastAsia" w:ascii="宋体" w:hAnsi="宋体" w:eastAsia="宋体" w:cs="宋体"/>
          <w:kern w:val="0"/>
          <w:sz w:val="24"/>
          <w:lang w:val="en-US" w:eastAsia="zh-CN"/>
        </w:rPr>
        <w:t>;</w:t>
      </w:r>
      <w:r>
        <w:rPr>
          <w:rFonts w:hint="eastAsia" w:ascii="宋体" w:hAnsi="宋体" w:eastAsia="宋体" w:cs="宋体"/>
          <w:kern w:val="0"/>
          <w:sz w:val="24"/>
        </w:rPr>
        <w:t>完善监测预警、应急响应与灾备恢复，保障平台安全合规运行。</w:t>
      </w:r>
    </w:p>
    <w:bookmarkEnd w:id="13"/>
    <w:p w14:paraId="12809DD3">
      <w:pPr>
        <w:spacing w:line="360" w:lineRule="auto"/>
        <w:ind w:left="845" w:hanging="425"/>
        <w:rPr>
          <w:rFonts w:hint="eastAsia" w:ascii="宋体" w:hAnsi="宋体" w:eastAsia="宋体" w:cs="宋体"/>
          <w:b/>
          <w:bCs/>
          <w:sz w:val="36"/>
          <w:szCs w:val="44"/>
        </w:rPr>
      </w:pPr>
      <w:bookmarkStart w:id="16" w:name="_Toc28631"/>
      <w:r>
        <w:rPr>
          <w:rFonts w:hint="eastAsia" w:ascii="宋体" w:hAnsi="宋体" w:eastAsia="宋体" w:cs="宋体"/>
          <w:b/>
          <w:bCs/>
          <w:sz w:val="36"/>
          <w:szCs w:val="44"/>
        </w:rPr>
        <w:br w:type="page"/>
      </w:r>
    </w:p>
    <w:p w14:paraId="68BAD871">
      <w:pPr>
        <w:jc w:val="center"/>
        <w:outlineLvl w:val="0"/>
        <w:rPr>
          <w:rFonts w:hint="eastAsia" w:ascii="宋体" w:hAnsi="宋体" w:eastAsia="宋体" w:cs="宋体"/>
          <w:b/>
          <w:bCs/>
          <w:sz w:val="36"/>
          <w:szCs w:val="44"/>
        </w:rPr>
      </w:pPr>
      <w:bookmarkStart w:id="17" w:name="_Toc7708"/>
      <w:r>
        <w:rPr>
          <w:rFonts w:hint="eastAsia" w:ascii="宋体" w:hAnsi="宋体" w:eastAsia="宋体" w:cs="宋体"/>
          <w:b/>
          <w:bCs/>
          <w:sz w:val="36"/>
          <w:szCs w:val="44"/>
        </w:rPr>
        <w:t>第四章评标办法</w:t>
      </w:r>
      <w:bookmarkEnd w:id="16"/>
      <w:bookmarkEnd w:id="17"/>
    </w:p>
    <w:p w14:paraId="6DCDA57E">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1.项目说明</w:t>
      </w:r>
    </w:p>
    <w:p w14:paraId="717D90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1.1执行国家统一定价标准和采用固定价格采购的项目，其价格不列为评标因素。</w:t>
      </w:r>
    </w:p>
    <w:p w14:paraId="25A536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依据《关于促进残疾人就业政府采购政策的通知》（财库〔2017〕141号）文件规定，残疾人福利性单位参加招标报价的须提供本单位的服务及《残疾人福利性单位声明函》并对声明函的真实性负责；残疾人福利性单位参加招标报价的视同小型、微型企业，按照本招标文件小型、微型企业的相关价格扣除标准执行。残疾人福利性单位属于小型、微型企业的，不重复享受政策。</w:t>
      </w:r>
    </w:p>
    <w:p w14:paraId="1E879F8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1.2.1享受政府采购支持政策的残疾人福利性单位应当同时满足以下条件：</w:t>
      </w:r>
    </w:p>
    <w:p w14:paraId="656A26DE">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（1）安置的残疾人占本单位在职职工人数的比例不低于25%（含25%），并且安置的残疾人人数不少于10人（含10人）；</w:t>
      </w:r>
    </w:p>
    <w:p w14:paraId="2B33CDD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（2）依法与安置的每位残疾人签订了一年以上（含一年）的劳动合同或服务协议；</w:t>
      </w:r>
    </w:p>
    <w:p w14:paraId="79A314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（3）为安置的每位残疾人按月足额缴纳了基本养老保险、基本医疗保险、失业保险、工伤保险和生育保险等社会保险费；</w:t>
      </w:r>
    </w:p>
    <w:p w14:paraId="0101B7C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（4）通过银行等金融机构向安置的每位残疾人，按月支付了不低于单位所在区县适用的经省级人民政府批准的月最低工资标准的工资；</w:t>
      </w:r>
    </w:p>
    <w:p w14:paraId="48FC15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（5）提供本单位制造的货物、承担的工程或者服务（以下简称产品），或者提供其他残疾人福利性单位制造的货物（不包括使用非残疾人福利性单位注册商标的货物）。</w:t>
      </w:r>
    </w:p>
    <w:p w14:paraId="41A24AF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409C52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1.2.3符合条件的残疾人福利性单位在参加政府采购活动时，应当提供《残疾人福利性单位声明函》（见附件），并对声明的真实性负责。</w:t>
      </w:r>
    </w:p>
    <w:p w14:paraId="569A9D3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1.2.4成交投标人为残疾人福利性单位的，采购代理机构应当随成交结果同时公告其《残疾人福利性单位声明函》，接受社会监督。</w:t>
      </w:r>
    </w:p>
    <w:p w14:paraId="212A85B8">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1.2.5投标人提供的《残疾人福利性单位声明函》与事实不符的，依照《政府采购法》第七十七条第一款的规定追究法律责任。</w:t>
      </w:r>
    </w:p>
    <w:p w14:paraId="0972952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1.3面向中小企业预留情况详见投标人须知前附表。</w:t>
      </w:r>
    </w:p>
    <w:p w14:paraId="042910D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1.3.1依据财政部、工业和信息化部《政府采购促进中小企业发展管理办法》（财库〔2020〕46号）规定，中型、小型和微型企业参加政府采购活动的须提供《中小企业声明函》（格式见附件），否则不得享受相关中小企业扶持政策；</w:t>
      </w:r>
    </w:p>
    <w:p w14:paraId="070638F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1.3.2企业划型标准按照《关于印发中小企业划型标准规定的通知》（工信部联企业〔2011〕300号）规定执行。</w:t>
      </w:r>
    </w:p>
    <w:p w14:paraId="48FCD94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1.3.3投标人提供的货物、工程或者服务符合下列情形的，享受《政府采购促进中小企业发展管理办法》（财库〔2020〕46号）规定的中小企业扶持政策：</w:t>
      </w:r>
    </w:p>
    <w:p w14:paraId="27E4B2D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（一）在货物采购项目中，货物由中小企业制造，即货物由中小企业生产且使用该中小企业商号或者注册商标；</w:t>
      </w:r>
    </w:p>
    <w:p w14:paraId="6A4D4D7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（二）在工程采购项目中，工程由中小企业承建，即工程施工单位为中小企业；</w:t>
      </w:r>
    </w:p>
    <w:p w14:paraId="6FAD833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（三）在服务采购项目中，服务由中小企业承接，即提供服务的人员为中小企业依照《中华人民共和国劳动合同法》订立劳动合同的从业人员。</w:t>
      </w:r>
    </w:p>
    <w:p w14:paraId="5F651C5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在货物采购项目中，投标人提供的货物既有中小企业制造货物，也有大型企业制造货物的，不享受本办法规定的中小企业扶持政策。</w:t>
      </w:r>
    </w:p>
    <w:p w14:paraId="1EC9E2B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p>
    <w:p w14:paraId="083659D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1.4评分得分非整数的保留小数点后两位（小数点后第三位数四舍五入）。</w:t>
      </w:r>
    </w:p>
    <w:p w14:paraId="0E782F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04A59264">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2.评分标准</w:t>
      </w:r>
    </w:p>
    <w:p w14:paraId="38A1D91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本项目采用</w:t>
      </w:r>
      <w:r>
        <w:rPr>
          <w:rFonts w:hint="eastAsia" w:ascii="宋体" w:hAnsi="宋体" w:eastAsia="宋体" w:cs="宋体"/>
          <w:sz w:val="24"/>
          <w:u w:val="single"/>
        </w:rPr>
        <w:t>综合评分法</w:t>
      </w:r>
      <w:r>
        <w:rPr>
          <w:rFonts w:hint="eastAsia" w:ascii="宋体" w:hAnsi="宋体" w:eastAsia="宋体" w:cs="宋体"/>
          <w:sz w:val="24"/>
        </w:rPr>
        <w:t>进行评标。</w:t>
      </w:r>
    </w:p>
    <w:p w14:paraId="2FB6146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综合评分法，是指投标文件满足招标文件全部实质性要求且按评标因素的量化指标评标得分最高的投标人为中标候选投标人的评标方法。</w:t>
      </w:r>
    </w:p>
    <w:p w14:paraId="1E4B1996">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3.政策加分以及计算方法</w:t>
      </w:r>
    </w:p>
    <w:p w14:paraId="35662B9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3.1说明：</w:t>
      </w:r>
    </w:p>
    <w:p w14:paraId="6A4E80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3.1.1投标人所提供的材料或者填写的内容必须真实、可靠，如有虚假或隐瞒，一经查实将导致投标被拒绝，并按照《中华人民共和国政府采购法》第七十七条第一款“提供虚假材料谋取成交的”进行处罚，给采购人造成损失的应承担赔偿责任。</w:t>
      </w:r>
    </w:p>
    <w:p w14:paraId="2FD171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3.2小微企业价格扣除优惠标准详见投标人须知前附表。</w:t>
      </w:r>
    </w:p>
    <w:p w14:paraId="701E580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w:t>
      </w:r>
    </w:p>
    <w:p w14:paraId="5D13F68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（1）采购标的物属于节能、环境标志产品品目清单中强制性采购产品的，投标人必须提供国家确定的认证机构出具的、处于有效期之内的节能产品认证证书；</w:t>
      </w:r>
    </w:p>
    <w:p w14:paraId="11180BA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（2）采购标的物属于节能、环境标志产品品目清单中非强制性采购产品的，享受政府采购优先政策：</w:t>
      </w:r>
    </w:p>
    <w:p w14:paraId="1CDB91A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·在综合评分法项目中，评审得分相同的投标人，对提供清单中非强制性采购产品的相关认证证书的投标人，可优先选择。</w:t>
      </w:r>
    </w:p>
    <w:p w14:paraId="7BB1145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·在最低评标价法项目中，最终报价相同的投标人，提供清单中非强制性采购产品的相关认证证书的投标人，可优先选择。</w:t>
      </w:r>
    </w:p>
    <w:p w14:paraId="6CBAA53C">
      <w:pPr>
        <w:spacing w:line="360" w:lineRule="auto"/>
        <w:ind w:firstLine="562" w:firstLineChars="200"/>
        <w:jc w:val="left"/>
        <w:outlineLvl w:val="1"/>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4.评标细则</w:t>
      </w:r>
    </w:p>
    <w:p w14:paraId="1EFCAE36">
      <w:pPr>
        <w:spacing w:line="360" w:lineRule="auto"/>
        <w:ind w:firstLine="562" w:firstLineChars="200"/>
        <w:jc w:val="lef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4.1资格性审查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72"/>
        <w:gridCol w:w="3276"/>
      </w:tblGrid>
      <w:tr w14:paraId="3F8A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0" w:type="auto"/>
            <w:vAlign w:val="center"/>
          </w:tcPr>
          <w:p w14:paraId="62BD46F7">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0" w:type="auto"/>
            <w:vAlign w:val="center"/>
          </w:tcPr>
          <w:p w14:paraId="47F31F5C">
            <w:pPr>
              <w:spacing w:line="360" w:lineRule="auto"/>
              <w:jc w:val="center"/>
              <w:rPr>
                <w:rFonts w:hint="eastAsia" w:ascii="宋体" w:hAnsi="宋体" w:eastAsia="宋体" w:cs="宋体"/>
                <w:sz w:val="24"/>
              </w:rPr>
            </w:pPr>
            <w:r>
              <w:rPr>
                <w:rFonts w:hint="eastAsia" w:ascii="宋体" w:hAnsi="宋体" w:eastAsia="宋体" w:cs="宋体"/>
                <w:sz w:val="24"/>
              </w:rPr>
              <w:t>审查因素</w:t>
            </w:r>
          </w:p>
        </w:tc>
        <w:tc>
          <w:tcPr>
            <w:tcW w:w="0" w:type="auto"/>
            <w:vAlign w:val="center"/>
          </w:tcPr>
          <w:p w14:paraId="71B225EB">
            <w:pPr>
              <w:spacing w:line="360" w:lineRule="auto"/>
              <w:jc w:val="center"/>
              <w:rPr>
                <w:rFonts w:hint="eastAsia" w:ascii="宋体" w:hAnsi="宋体" w:eastAsia="宋体" w:cs="宋体"/>
                <w:sz w:val="24"/>
              </w:rPr>
            </w:pPr>
            <w:r>
              <w:rPr>
                <w:rFonts w:hint="eastAsia" w:ascii="宋体" w:hAnsi="宋体" w:eastAsia="宋体" w:cs="宋体"/>
                <w:sz w:val="24"/>
              </w:rPr>
              <w:t>审查内容</w:t>
            </w:r>
          </w:p>
        </w:tc>
      </w:tr>
      <w:tr w14:paraId="4E8F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0" w:type="auto"/>
            <w:vAlign w:val="center"/>
          </w:tcPr>
          <w:p w14:paraId="1CE1ADF7">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10AA4A6E">
            <w:pPr>
              <w:spacing w:line="360" w:lineRule="auto"/>
              <w:rPr>
                <w:rFonts w:hint="eastAsia" w:ascii="宋体" w:hAnsi="宋体" w:eastAsia="宋体" w:cs="宋体"/>
                <w:sz w:val="24"/>
              </w:rPr>
            </w:pPr>
            <w:r>
              <w:rPr>
                <w:rFonts w:hint="eastAsia" w:ascii="宋体" w:hAnsi="宋体" w:eastAsia="宋体" w:cs="宋体"/>
                <w:sz w:val="24"/>
              </w:rPr>
              <w:t>具有独立承担民事责任的能力（保险、石油、电信等特殊行业可分公司参与）</w:t>
            </w:r>
          </w:p>
        </w:tc>
        <w:tc>
          <w:tcPr>
            <w:tcW w:w="0" w:type="auto"/>
            <w:vAlign w:val="center"/>
          </w:tcPr>
          <w:p w14:paraId="052B053C">
            <w:pPr>
              <w:spacing w:line="360" w:lineRule="auto"/>
              <w:rPr>
                <w:rFonts w:hint="eastAsia" w:ascii="宋体" w:hAnsi="宋体" w:eastAsia="宋体" w:cs="宋体"/>
                <w:sz w:val="24"/>
              </w:rPr>
            </w:pPr>
            <w:r>
              <w:rPr>
                <w:rFonts w:hint="eastAsia" w:ascii="宋体" w:hAnsi="宋体" w:eastAsia="宋体" w:cs="宋体"/>
                <w:sz w:val="24"/>
              </w:rPr>
              <w:t>法人、其他组织或者自然人的证明文件</w:t>
            </w:r>
          </w:p>
          <w:p w14:paraId="123EAD88">
            <w:pPr>
              <w:spacing w:line="360" w:lineRule="auto"/>
              <w:rPr>
                <w:rFonts w:hint="eastAsia" w:ascii="宋体" w:hAnsi="宋体" w:eastAsia="宋体" w:cs="宋体"/>
                <w:sz w:val="24"/>
              </w:rPr>
            </w:pPr>
            <w:r>
              <w:rPr>
                <w:rFonts w:hint="eastAsia" w:ascii="宋体" w:hAnsi="宋体" w:eastAsia="宋体" w:cs="宋体"/>
                <w:sz w:val="24"/>
              </w:rPr>
              <w:t>1、供应商为企业（包括合伙企业）的，应提供有效的“营业执照”；</w:t>
            </w:r>
          </w:p>
          <w:p w14:paraId="23933C6E">
            <w:pPr>
              <w:spacing w:line="360" w:lineRule="auto"/>
              <w:rPr>
                <w:rFonts w:hint="eastAsia" w:ascii="宋体" w:hAnsi="宋体" w:eastAsia="宋体" w:cs="宋体"/>
                <w:sz w:val="24"/>
              </w:rPr>
            </w:pPr>
            <w:r>
              <w:rPr>
                <w:rFonts w:hint="eastAsia" w:ascii="宋体" w:hAnsi="宋体" w:eastAsia="宋体" w:cs="宋体"/>
                <w:sz w:val="24"/>
              </w:rPr>
              <w:t>2、供应商为事业单位的，应提供有效的“事业单位法人证书”；</w:t>
            </w:r>
          </w:p>
          <w:p w14:paraId="76715220">
            <w:pPr>
              <w:spacing w:line="360" w:lineRule="auto"/>
              <w:rPr>
                <w:rFonts w:hint="eastAsia" w:ascii="宋体" w:hAnsi="宋体" w:eastAsia="宋体" w:cs="宋体"/>
                <w:sz w:val="24"/>
              </w:rPr>
            </w:pPr>
            <w:r>
              <w:rPr>
                <w:rFonts w:hint="eastAsia" w:ascii="宋体" w:hAnsi="宋体" w:eastAsia="宋体" w:cs="宋体"/>
                <w:sz w:val="24"/>
              </w:rPr>
              <w:t>3、供应商为非企业机构的，应提供有效的“执业许可证”、“登记证书”等证明文件；</w:t>
            </w:r>
          </w:p>
          <w:p w14:paraId="59545DA5">
            <w:pPr>
              <w:spacing w:line="360" w:lineRule="auto"/>
              <w:rPr>
                <w:rFonts w:hint="eastAsia" w:ascii="宋体" w:hAnsi="宋体" w:eastAsia="宋体" w:cs="宋体"/>
                <w:sz w:val="24"/>
              </w:rPr>
            </w:pPr>
            <w:r>
              <w:rPr>
                <w:rFonts w:hint="eastAsia" w:ascii="宋体" w:hAnsi="宋体" w:eastAsia="宋体" w:cs="宋体"/>
                <w:sz w:val="24"/>
              </w:rPr>
              <w:t>4、供应商是个体工商户的，应提供有效的“个体工商户营业执照”；</w:t>
            </w:r>
          </w:p>
          <w:p w14:paraId="58AE138B">
            <w:pPr>
              <w:spacing w:line="360" w:lineRule="auto"/>
              <w:rPr>
                <w:rFonts w:hint="eastAsia" w:ascii="宋体" w:hAnsi="宋体" w:eastAsia="宋体" w:cs="宋体"/>
                <w:sz w:val="24"/>
              </w:rPr>
            </w:pPr>
            <w:r>
              <w:rPr>
                <w:rFonts w:hint="eastAsia" w:ascii="宋体" w:hAnsi="宋体" w:eastAsia="宋体" w:cs="宋体"/>
                <w:sz w:val="24"/>
              </w:rPr>
              <w:t>5、供应商是自然人的，应提供有效的自然人身份证明。</w:t>
            </w:r>
          </w:p>
        </w:tc>
      </w:tr>
      <w:tr w14:paraId="2300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8" w:hRule="atLeast"/>
          <w:jc w:val="center"/>
        </w:trPr>
        <w:tc>
          <w:tcPr>
            <w:tcW w:w="0" w:type="auto"/>
            <w:vAlign w:val="center"/>
          </w:tcPr>
          <w:p w14:paraId="38F54008">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0" w:type="auto"/>
            <w:vAlign w:val="center"/>
          </w:tcPr>
          <w:p w14:paraId="3BD3B315">
            <w:pPr>
              <w:spacing w:line="360" w:lineRule="auto"/>
              <w:rPr>
                <w:rFonts w:hint="eastAsia" w:ascii="宋体" w:hAnsi="宋体" w:eastAsia="宋体" w:cs="宋体"/>
                <w:sz w:val="24"/>
              </w:rPr>
            </w:pPr>
            <w:r>
              <w:rPr>
                <w:rFonts w:hint="eastAsia" w:ascii="宋体" w:hAnsi="宋体" w:eastAsia="宋体" w:cs="宋体"/>
                <w:sz w:val="24"/>
              </w:rPr>
              <w:t>具有良好的商业信誉和健全的财务会计制度</w:t>
            </w:r>
          </w:p>
        </w:tc>
        <w:tc>
          <w:tcPr>
            <w:tcW w:w="0" w:type="auto"/>
            <w:vAlign w:val="center"/>
          </w:tcPr>
          <w:p w14:paraId="2F3E1FBE">
            <w:pPr>
              <w:spacing w:line="360" w:lineRule="auto"/>
              <w:rPr>
                <w:rFonts w:hint="eastAsia" w:ascii="宋体" w:hAnsi="宋体" w:eastAsia="宋体" w:cs="宋体"/>
                <w:sz w:val="24"/>
              </w:rPr>
            </w:pPr>
            <w:r>
              <w:rPr>
                <w:rFonts w:hint="eastAsia" w:ascii="宋体" w:hAnsi="宋体" w:eastAsia="宋体" w:cs="宋体"/>
                <w:sz w:val="24"/>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和本单位财务会计制度文件（开标当月新成立公司无需提供）。</w:t>
            </w:r>
          </w:p>
        </w:tc>
      </w:tr>
      <w:tr w14:paraId="47F8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0" w:type="auto"/>
            <w:vAlign w:val="center"/>
          </w:tcPr>
          <w:p w14:paraId="625765F6">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0" w:type="auto"/>
            <w:vAlign w:val="center"/>
          </w:tcPr>
          <w:p w14:paraId="049EE187">
            <w:pPr>
              <w:spacing w:line="360" w:lineRule="auto"/>
              <w:rPr>
                <w:rFonts w:hint="eastAsia" w:ascii="宋体" w:hAnsi="宋体" w:eastAsia="宋体" w:cs="宋体"/>
                <w:sz w:val="24"/>
              </w:rPr>
            </w:pPr>
            <w:r>
              <w:rPr>
                <w:rFonts w:hint="eastAsia" w:ascii="宋体" w:hAnsi="宋体" w:eastAsia="宋体" w:cs="宋体"/>
                <w:sz w:val="24"/>
              </w:rPr>
              <w:t>具有履行合同所必需的设备和专业技术能力</w:t>
            </w:r>
          </w:p>
        </w:tc>
        <w:tc>
          <w:tcPr>
            <w:tcW w:w="0" w:type="auto"/>
            <w:vAlign w:val="center"/>
          </w:tcPr>
          <w:p w14:paraId="4BA6D380">
            <w:pPr>
              <w:spacing w:line="360" w:lineRule="auto"/>
              <w:rPr>
                <w:rFonts w:hint="eastAsia" w:ascii="宋体" w:hAnsi="宋体" w:eastAsia="宋体" w:cs="宋体"/>
                <w:sz w:val="24"/>
              </w:rPr>
            </w:pPr>
            <w:r>
              <w:rPr>
                <w:rFonts w:hint="eastAsia" w:ascii="宋体" w:hAnsi="宋体" w:eastAsia="宋体" w:cs="宋体"/>
                <w:sz w:val="24"/>
              </w:rPr>
              <w:t>提供招标文件中投标文件格式的《政府采购供应商信用承诺函》</w:t>
            </w:r>
          </w:p>
        </w:tc>
      </w:tr>
      <w:tr w14:paraId="4CFA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0" w:type="auto"/>
            <w:vAlign w:val="center"/>
          </w:tcPr>
          <w:p w14:paraId="06FFE96E">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0" w:type="auto"/>
            <w:vAlign w:val="center"/>
          </w:tcPr>
          <w:p w14:paraId="3139CE53">
            <w:pPr>
              <w:spacing w:line="360" w:lineRule="auto"/>
              <w:rPr>
                <w:rFonts w:hint="eastAsia" w:ascii="宋体" w:hAnsi="宋体" w:eastAsia="宋体" w:cs="宋体"/>
                <w:sz w:val="24"/>
              </w:rPr>
            </w:pPr>
            <w:r>
              <w:rPr>
                <w:rFonts w:hint="eastAsia" w:ascii="宋体" w:hAnsi="宋体" w:eastAsia="宋体" w:cs="宋体"/>
                <w:sz w:val="24"/>
              </w:rPr>
              <w:t>有依法缴纳税收和社会保障资金的良好记录</w:t>
            </w:r>
          </w:p>
        </w:tc>
        <w:tc>
          <w:tcPr>
            <w:tcW w:w="0" w:type="auto"/>
            <w:vAlign w:val="center"/>
          </w:tcPr>
          <w:p w14:paraId="157AE830">
            <w:pPr>
              <w:spacing w:line="360" w:lineRule="auto"/>
              <w:rPr>
                <w:rFonts w:hint="eastAsia" w:ascii="宋体" w:hAnsi="宋体" w:eastAsia="宋体" w:cs="宋体"/>
                <w:sz w:val="24"/>
              </w:rPr>
            </w:pPr>
            <w:r>
              <w:rPr>
                <w:rFonts w:hint="eastAsia" w:ascii="宋体" w:hAnsi="宋体" w:eastAsia="宋体" w:cs="宋体"/>
                <w:sz w:val="24"/>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tc>
      </w:tr>
      <w:tr w14:paraId="6D7B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0" w:type="auto"/>
            <w:vAlign w:val="center"/>
          </w:tcPr>
          <w:p w14:paraId="6F0CC02C">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0" w:type="auto"/>
            <w:vAlign w:val="center"/>
          </w:tcPr>
          <w:p w14:paraId="70CC085F">
            <w:pPr>
              <w:spacing w:line="360" w:lineRule="auto"/>
              <w:rPr>
                <w:rFonts w:hint="eastAsia" w:ascii="宋体" w:hAnsi="宋体" w:eastAsia="宋体" w:cs="宋体"/>
                <w:sz w:val="24"/>
              </w:rPr>
            </w:pPr>
            <w:r>
              <w:rPr>
                <w:rFonts w:hint="eastAsia" w:ascii="宋体" w:hAnsi="宋体" w:eastAsia="宋体" w:cs="宋体"/>
                <w:sz w:val="24"/>
              </w:rPr>
              <w:t>参加政府采购活动前三年内，在经营活动中没有重大违法记录</w:t>
            </w:r>
          </w:p>
        </w:tc>
        <w:tc>
          <w:tcPr>
            <w:tcW w:w="0" w:type="auto"/>
            <w:vAlign w:val="center"/>
          </w:tcPr>
          <w:p w14:paraId="0EB0F7BB">
            <w:pPr>
              <w:spacing w:line="360" w:lineRule="auto"/>
              <w:rPr>
                <w:rFonts w:hint="eastAsia" w:ascii="宋体" w:hAnsi="宋体" w:eastAsia="宋体" w:cs="宋体"/>
                <w:sz w:val="24"/>
              </w:rPr>
            </w:pPr>
            <w:r>
              <w:rPr>
                <w:rFonts w:hint="eastAsia" w:ascii="宋体" w:hAnsi="宋体" w:eastAsia="宋体" w:cs="宋体"/>
                <w:sz w:val="24"/>
              </w:rPr>
              <w:t>提供招标文件中投标文件格式的《政府采购供应商信用承诺函》</w:t>
            </w:r>
          </w:p>
        </w:tc>
      </w:tr>
      <w:tr w14:paraId="033A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0" w:type="auto"/>
            <w:vAlign w:val="center"/>
          </w:tcPr>
          <w:p w14:paraId="1AFF9F47">
            <w:pPr>
              <w:spacing w:line="360" w:lineRule="auto"/>
              <w:jc w:val="center"/>
              <w:rPr>
                <w:rFonts w:hint="eastAsia" w:ascii="宋体" w:hAnsi="宋体" w:eastAsia="宋体" w:cs="宋体"/>
                <w:sz w:val="24"/>
              </w:rPr>
            </w:pPr>
            <w:r>
              <w:rPr>
                <w:rFonts w:hint="eastAsia" w:ascii="宋体" w:hAnsi="宋体" w:eastAsia="宋体" w:cs="宋体"/>
                <w:sz w:val="24"/>
              </w:rPr>
              <w:t>6</w:t>
            </w:r>
          </w:p>
        </w:tc>
        <w:tc>
          <w:tcPr>
            <w:tcW w:w="0" w:type="auto"/>
            <w:vAlign w:val="center"/>
          </w:tcPr>
          <w:p w14:paraId="6F31C6C0">
            <w:pPr>
              <w:spacing w:line="360" w:lineRule="auto"/>
              <w:rPr>
                <w:rFonts w:hint="eastAsia" w:ascii="宋体" w:hAnsi="宋体" w:eastAsia="宋体" w:cs="宋体"/>
                <w:sz w:val="24"/>
              </w:rPr>
            </w:pPr>
            <w:r>
              <w:rPr>
                <w:rFonts w:hint="eastAsia" w:ascii="宋体" w:hAnsi="宋体" w:eastAsia="宋体" w:cs="宋体"/>
                <w:sz w:val="24"/>
              </w:rPr>
              <w:t>未被“信用中国”网站（www.creditchina.gov.cn）、“中国政府采购网”（www.ccgp.gov.cn）列入失信被执行人、重大税收违法失信主体、政府采购严重违法失信行为记录名单。</w:t>
            </w:r>
          </w:p>
        </w:tc>
        <w:tc>
          <w:tcPr>
            <w:tcW w:w="0" w:type="auto"/>
            <w:vAlign w:val="center"/>
          </w:tcPr>
          <w:p w14:paraId="3BF0C3DE">
            <w:pPr>
              <w:spacing w:line="360" w:lineRule="auto"/>
              <w:rPr>
                <w:rFonts w:hint="eastAsia" w:ascii="宋体" w:hAnsi="宋体" w:eastAsia="宋体" w:cs="宋体"/>
                <w:sz w:val="24"/>
              </w:rPr>
            </w:pPr>
            <w:r>
              <w:rPr>
                <w:rFonts w:hint="eastAsia" w:ascii="宋体" w:hAnsi="宋体" w:eastAsia="宋体" w:cs="宋体"/>
                <w:sz w:val="24"/>
              </w:rPr>
              <w:t>提供网页截图</w:t>
            </w:r>
            <w:bookmarkStart w:id="30" w:name="_GoBack"/>
            <w:bookmarkEnd w:id="30"/>
          </w:p>
        </w:tc>
      </w:tr>
      <w:tr w14:paraId="5E6F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0" w:type="auto"/>
            <w:vAlign w:val="center"/>
          </w:tcPr>
          <w:p w14:paraId="2903BBA1">
            <w:pPr>
              <w:spacing w:line="360" w:lineRule="auto"/>
              <w:jc w:val="center"/>
              <w:rPr>
                <w:rFonts w:hint="eastAsia" w:ascii="宋体" w:hAnsi="宋体" w:eastAsia="宋体" w:cs="宋体"/>
                <w:sz w:val="24"/>
              </w:rPr>
            </w:pPr>
            <w:r>
              <w:rPr>
                <w:rFonts w:hint="eastAsia" w:ascii="宋体" w:hAnsi="宋体" w:eastAsia="宋体" w:cs="宋体"/>
                <w:sz w:val="24"/>
              </w:rPr>
              <w:t>7</w:t>
            </w:r>
          </w:p>
        </w:tc>
        <w:tc>
          <w:tcPr>
            <w:tcW w:w="0" w:type="auto"/>
            <w:vAlign w:val="center"/>
          </w:tcPr>
          <w:p w14:paraId="742535F5">
            <w:pPr>
              <w:spacing w:line="360" w:lineRule="auto"/>
              <w:rPr>
                <w:rFonts w:hint="eastAsia" w:ascii="宋体" w:hAnsi="宋体" w:eastAsia="宋体" w:cs="宋体"/>
                <w:sz w:val="24"/>
              </w:rPr>
            </w:pPr>
            <w:r>
              <w:rPr>
                <w:rFonts w:hint="eastAsia" w:ascii="宋体" w:hAnsi="宋体" w:eastAsia="宋体" w:cs="宋体"/>
                <w:sz w:val="24"/>
              </w:rPr>
              <w:t>投标保证金</w:t>
            </w:r>
          </w:p>
        </w:tc>
        <w:tc>
          <w:tcPr>
            <w:tcW w:w="0" w:type="auto"/>
            <w:vAlign w:val="center"/>
          </w:tcPr>
          <w:p w14:paraId="3DEB8B3A">
            <w:pPr>
              <w:spacing w:line="360" w:lineRule="auto"/>
              <w:rPr>
                <w:rFonts w:hint="eastAsia" w:ascii="宋体" w:hAnsi="宋体" w:eastAsia="宋体" w:cs="宋体"/>
                <w:sz w:val="24"/>
              </w:rPr>
            </w:pPr>
            <w:r>
              <w:rPr>
                <w:rFonts w:hint="eastAsia" w:ascii="宋体" w:hAnsi="宋体" w:eastAsia="宋体" w:cs="宋体"/>
                <w:sz w:val="24"/>
              </w:rPr>
              <w:t>提供投标保证金汇款凭证或电子保函的证明材料</w:t>
            </w:r>
          </w:p>
        </w:tc>
      </w:tr>
      <w:tr w14:paraId="539A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0" w:type="auto"/>
            <w:gridSpan w:val="2"/>
            <w:vAlign w:val="center"/>
          </w:tcPr>
          <w:p w14:paraId="2A623B23">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特定资格要求</w:t>
            </w:r>
          </w:p>
        </w:tc>
        <w:tc>
          <w:tcPr>
            <w:tcW w:w="0" w:type="auto"/>
            <w:vAlign w:val="center"/>
          </w:tcPr>
          <w:p w14:paraId="4CF3050F">
            <w:pPr>
              <w:spacing w:line="360" w:lineRule="auto"/>
              <w:rPr>
                <w:rFonts w:hint="eastAsia" w:ascii="宋体" w:hAnsi="宋体" w:eastAsia="宋体" w:cs="宋体"/>
                <w:sz w:val="24"/>
              </w:rPr>
            </w:pPr>
          </w:p>
        </w:tc>
      </w:tr>
      <w:tr w14:paraId="3B1A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0" w:type="auto"/>
            <w:vAlign w:val="center"/>
          </w:tcPr>
          <w:p w14:paraId="5FF2A770">
            <w:pPr>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0" w:type="auto"/>
            <w:vAlign w:val="center"/>
          </w:tcPr>
          <w:p w14:paraId="4CAE8901">
            <w:pPr>
              <w:spacing w:line="360" w:lineRule="auto"/>
              <w:jc w:val="left"/>
              <w:rPr>
                <w:rFonts w:hint="eastAsia" w:ascii="宋体" w:hAnsi="宋体" w:eastAsia="宋体" w:cs="宋体"/>
                <w:sz w:val="24"/>
              </w:rPr>
            </w:pPr>
            <w:r>
              <w:rPr>
                <w:rFonts w:hint="eastAsia" w:ascii="宋体" w:hAnsi="宋体" w:eastAsia="宋体" w:cs="宋体"/>
                <w:color w:val="auto"/>
                <w:sz w:val="24"/>
                <w:highlight w:val="none"/>
                <w:lang w:eastAsia="zh-CN"/>
              </w:rPr>
              <w:t>满足其中任意资质即可：</w:t>
            </w:r>
            <w:r>
              <w:rPr>
                <w:rFonts w:hint="eastAsia" w:ascii="宋体" w:hAnsi="宋体" w:eastAsia="宋体" w:cs="宋体"/>
                <w:color w:val="auto"/>
                <w:sz w:val="24"/>
                <w:highlight w:val="none"/>
                <w:lang w:val="en-US" w:eastAsia="zh-CN"/>
              </w:rPr>
              <w:t>1.</w:t>
            </w:r>
            <w:r>
              <w:rPr>
                <w:rFonts w:hint="eastAsia" w:ascii="宋体" w:hAnsi="宋体" w:eastAsia="宋体" w:cs="宋体"/>
                <w:i/>
                <w:iCs/>
                <w:color w:val="auto"/>
                <w:sz w:val="24"/>
                <w:highlight w:val="none"/>
                <w:u w:val="single"/>
              </w:rPr>
              <w:t>工程设计综合</w:t>
            </w:r>
            <w:r>
              <w:rPr>
                <w:rFonts w:hint="eastAsia" w:ascii="宋体" w:hAnsi="宋体" w:eastAsia="宋体" w:cs="宋体"/>
                <w:i/>
                <w:iCs/>
                <w:color w:val="auto"/>
                <w:sz w:val="24"/>
                <w:highlight w:val="none"/>
                <w:u w:val="single"/>
                <w:lang w:val="en-US" w:eastAsia="zh-CN"/>
              </w:rPr>
              <w:t>甲级</w:t>
            </w:r>
            <w:r>
              <w:rPr>
                <w:rFonts w:hint="eastAsia" w:ascii="宋体" w:hAnsi="宋体" w:eastAsia="宋体" w:cs="宋体"/>
                <w:i/>
                <w:iCs/>
                <w:color w:val="auto"/>
                <w:sz w:val="24"/>
                <w:highlight w:val="none"/>
                <w:u w:val="single"/>
              </w:rPr>
              <w:t>资质</w:t>
            </w:r>
            <w:r>
              <w:rPr>
                <w:rFonts w:hint="eastAsia" w:ascii="宋体" w:hAnsi="宋体" w:eastAsia="宋体" w:cs="宋体"/>
                <w:i/>
                <w:iCs/>
                <w:color w:val="auto"/>
                <w:sz w:val="24"/>
                <w:highlight w:val="none"/>
                <w:u w:val="single"/>
                <w:lang w:eastAsia="zh-CN"/>
              </w:rPr>
              <w:t>；</w:t>
            </w:r>
            <w:r>
              <w:rPr>
                <w:rFonts w:hint="eastAsia" w:ascii="宋体" w:hAnsi="宋体" w:eastAsia="宋体" w:cs="宋体"/>
                <w:i/>
                <w:iCs/>
                <w:color w:val="auto"/>
                <w:sz w:val="24"/>
                <w:highlight w:val="none"/>
                <w:u w:val="single"/>
                <w:lang w:val="en-US" w:eastAsia="zh-CN"/>
              </w:rPr>
              <w:t>2.</w:t>
            </w:r>
            <w:r>
              <w:rPr>
                <w:rFonts w:hint="eastAsia" w:ascii="宋体" w:hAnsi="宋体" w:eastAsia="宋体" w:cs="宋体"/>
                <w:i/>
                <w:iCs/>
                <w:color w:val="auto"/>
                <w:sz w:val="24"/>
                <w:highlight w:val="none"/>
                <w:u w:val="single"/>
              </w:rPr>
              <w:t>工程设计电子通信广电行业</w:t>
            </w:r>
            <w:r>
              <w:rPr>
                <w:rFonts w:hint="eastAsia" w:ascii="宋体" w:hAnsi="宋体" w:eastAsia="宋体" w:cs="宋体"/>
                <w:i/>
                <w:iCs/>
                <w:color w:val="auto"/>
                <w:sz w:val="24"/>
                <w:highlight w:val="none"/>
                <w:u w:val="single"/>
                <w:lang w:val="en-US" w:eastAsia="zh-CN"/>
              </w:rPr>
              <w:t>甲</w:t>
            </w:r>
            <w:r>
              <w:rPr>
                <w:rFonts w:hint="eastAsia" w:ascii="宋体" w:hAnsi="宋体" w:eastAsia="宋体" w:cs="宋体"/>
                <w:i/>
                <w:iCs/>
                <w:color w:val="auto"/>
                <w:sz w:val="24"/>
                <w:highlight w:val="none"/>
                <w:u w:val="single"/>
              </w:rPr>
              <w:t>级资质</w:t>
            </w:r>
            <w:r>
              <w:rPr>
                <w:rFonts w:hint="eastAsia" w:ascii="宋体" w:hAnsi="宋体" w:eastAsia="宋体" w:cs="宋体"/>
                <w:i/>
                <w:iCs/>
                <w:color w:val="auto"/>
                <w:sz w:val="24"/>
                <w:highlight w:val="none"/>
                <w:u w:val="single"/>
                <w:lang w:eastAsia="zh-CN"/>
              </w:rPr>
              <w:t>；</w:t>
            </w:r>
          </w:p>
        </w:tc>
        <w:tc>
          <w:tcPr>
            <w:tcW w:w="0" w:type="auto"/>
            <w:vAlign w:val="center"/>
          </w:tcPr>
          <w:p w14:paraId="34576F41">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提供扫描件</w:t>
            </w:r>
          </w:p>
        </w:tc>
      </w:tr>
      <w:tr w14:paraId="3ABA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0" w:type="auto"/>
            <w:gridSpan w:val="3"/>
            <w:vAlign w:val="center"/>
          </w:tcPr>
          <w:p w14:paraId="265DBC0F">
            <w:pPr>
              <w:spacing w:line="360" w:lineRule="auto"/>
              <w:rPr>
                <w:rFonts w:hint="eastAsia" w:ascii="宋体" w:hAnsi="宋体" w:eastAsia="宋体" w:cs="宋体"/>
                <w:sz w:val="24"/>
              </w:rPr>
            </w:pPr>
            <w:r>
              <w:rPr>
                <w:rFonts w:hint="eastAsia" w:ascii="宋体" w:hAnsi="宋体" w:eastAsia="宋体" w:cs="宋体"/>
                <w:sz w:val="24"/>
              </w:rPr>
              <w:t>备注：1.以上条款均为有效期内通过年度年检或复审的证书。</w:t>
            </w:r>
          </w:p>
          <w:p w14:paraId="3E489334">
            <w:pPr>
              <w:spacing w:line="360" w:lineRule="auto"/>
              <w:rPr>
                <w:rFonts w:hint="eastAsia" w:ascii="宋体" w:hAnsi="宋体" w:eastAsia="宋体" w:cs="宋体"/>
                <w:sz w:val="24"/>
              </w:rPr>
            </w:pPr>
            <w:r>
              <w:rPr>
                <w:rFonts w:hint="eastAsia" w:ascii="宋体" w:hAnsi="宋体" w:eastAsia="宋体" w:cs="宋体"/>
                <w:sz w:val="24"/>
              </w:rPr>
              <w:t>2.相关证件原件在年检期间或者确因特殊情况不能提供原件，则须提供相应的有效证明材料（由政府主管部门出具并加盖其公章的证明原件或政府以正式文件官方发布的有效证明），否则其投标无效。</w:t>
            </w:r>
          </w:p>
          <w:p w14:paraId="4F9AB33A">
            <w:pPr>
              <w:spacing w:line="360" w:lineRule="auto"/>
              <w:rPr>
                <w:rFonts w:hint="eastAsia" w:ascii="宋体" w:hAnsi="宋体" w:eastAsia="宋体" w:cs="宋体"/>
                <w:sz w:val="24"/>
              </w:rPr>
            </w:pPr>
            <w:r>
              <w:rPr>
                <w:rFonts w:hint="eastAsia" w:ascii="宋体" w:hAnsi="宋体" w:eastAsia="宋体" w:cs="宋体"/>
                <w:sz w:val="24"/>
              </w:rPr>
              <w:t>3.如果投标文件中有一项未通过上述审查标准，资格审查小组将认定整个投标文件为无效响应处理，并且不允许投标人通过修改或撤销其不符合要求投标文件。</w:t>
            </w:r>
          </w:p>
        </w:tc>
      </w:tr>
    </w:tbl>
    <w:p w14:paraId="044B0F9A">
      <w:pPr>
        <w:rPr>
          <w:rFonts w:hint="eastAsia" w:ascii="宋体" w:hAnsi="宋体" w:eastAsia="宋体" w:cs="宋体"/>
          <w:sz w:val="24"/>
        </w:rPr>
      </w:pPr>
      <w:r>
        <w:rPr>
          <w:rFonts w:hint="eastAsia" w:ascii="宋体" w:hAnsi="宋体" w:eastAsia="宋体" w:cs="宋体"/>
          <w:sz w:val="24"/>
        </w:rPr>
        <w:br w:type="page"/>
      </w:r>
    </w:p>
    <w:p w14:paraId="78B0B79C">
      <w:pPr>
        <w:spacing w:line="360" w:lineRule="auto"/>
        <w:ind w:firstLine="562" w:firstLineChars="200"/>
        <w:jc w:val="lef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4.2符合性审查</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3054"/>
        <w:gridCol w:w="4897"/>
      </w:tblGrid>
      <w:tr w14:paraId="3243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6E84E0C">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0" w:type="auto"/>
            <w:vAlign w:val="center"/>
          </w:tcPr>
          <w:p w14:paraId="48ABA023">
            <w:pPr>
              <w:spacing w:line="360" w:lineRule="auto"/>
              <w:jc w:val="center"/>
              <w:rPr>
                <w:rFonts w:hint="eastAsia" w:ascii="宋体" w:hAnsi="宋体" w:eastAsia="宋体" w:cs="宋体"/>
                <w:sz w:val="24"/>
              </w:rPr>
            </w:pPr>
            <w:r>
              <w:rPr>
                <w:rFonts w:hint="eastAsia" w:ascii="宋体" w:hAnsi="宋体" w:eastAsia="宋体" w:cs="宋体"/>
                <w:sz w:val="24"/>
              </w:rPr>
              <w:t>审查因素</w:t>
            </w:r>
          </w:p>
        </w:tc>
        <w:tc>
          <w:tcPr>
            <w:tcW w:w="0" w:type="auto"/>
            <w:vAlign w:val="center"/>
          </w:tcPr>
          <w:p w14:paraId="09812FCC">
            <w:pPr>
              <w:spacing w:line="360" w:lineRule="auto"/>
              <w:jc w:val="center"/>
              <w:rPr>
                <w:rFonts w:hint="eastAsia" w:ascii="宋体" w:hAnsi="宋体" w:eastAsia="宋体" w:cs="宋体"/>
                <w:sz w:val="24"/>
              </w:rPr>
            </w:pPr>
            <w:r>
              <w:rPr>
                <w:rFonts w:hint="eastAsia" w:ascii="宋体" w:hAnsi="宋体" w:eastAsia="宋体" w:cs="宋体"/>
                <w:sz w:val="24"/>
              </w:rPr>
              <w:t>审查内容</w:t>
            </w:r>
          </w:p>
        </w:tc>
      </w:tr>
      <w:tr w14:paraId="714C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7248191">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0" w:type="auto"/>
            <w:vAlign w:val="center"/>
          </w:tcPr>
          <w:p w14:paraId="0381BE2C">
            <w:pPr>
              <w:spacing w:line="360" w:lineRule="auto"/>
              <w:rPr>
                <w:rFonts w:hint="eastAsia" w:ascii="宋体" w:hAnsi="宋体" w:eastAsia="宋体" w:cs="宋体"/>
                <w:sz w:val="24"/>
              </w:rPr>
            </w:pPr>
            <w:r>
              <w:rPr>
                <w:rFonts w:hint="eastAsia" w:ascii="宋体" w:hAnsi="宋体" w:eastAsia="宋体" w:cs="宋体"/>
                <w:sz w:val="24"/>
              </w:rPr>
              <w:t>投标文件按照招标文件要求签字、盖章</w:t>
            </w:r>
          </w:p>
        </w:tc>
        <w:tc>
          <w:tcPr>
            <w:tcW w:w="0" w:type="auto"/>
            <w:vAlign w:val="center"/>
          </w:tcPr>
          <w:p w14:paraId="2054BA78">
            <w:pPr>
              <w:spacing w:line="360" w:lineRule="auto"/>
              <w:rPr>
                <w:rFonts w:hint="eastAsia" w:ascii="宋体" w:hAnsi="宋体" w:eastAsia="宋体" w:cs="宋体"/>
                <w:sz w:val="24"/>
              </w:rPr>
            </w:pPr>
            <w:r>
              <w:rPr>
                <w:rFonts w:hint="eastAsia" w:ascii="宋体" w:hAnsi="宋体" w:eastAsia="宋体" w:cs="宋体"/>
                <w:sz w:val="24"/>
              </w:rPr>
              <w:t>投标文件签署符合采购文件要求在规定区域签字、盖章。</w:t>
            </w:r>
          </w:p>
        </w:tc>
      </w:tr>
      <w:tr w14:paraId="5E9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44A0CB">
            <w:pPr>
              <w:spacing w:line="360" w:lineRule="auto"/>
              <w:jc w:val="center"/>
              <w:rPr>
                <w:rFonts w:hint="eastAsia" w:ascii="宋体" w:hAnsi="宋体" w:eastAsia="宋体" w:cs="宋体"/>
                <w:sz w:val="24"/>
              </w:rPr>
            </w:pPr>
            <w:r>
              <w:rPr>
                <w:rFonts w:hint="eastAsia" w:ascii="宋体" w:hAnsi="宋体" w:eastAsia="宋体" w:cs="宋体"/>
                <w:sz w:val="24"/>
              </w:rPr>
              <w:t>2</w:t>
            </w:r>
          </w:p>
        </w:tc>
        <w:tc>
          <w:tcPr>
            <w:tcW w:w="0" w:type="auto"/>
            <w:vAlign w:val="center"/>
          </w:tcPr>
          <w:p w14:paraId="6110AC32">
            <w:pPr>
              <w:spacing w:line="360" w:lineRule="auto"/>
              <w:rPr>
                <w:rFonts w:hint="eastAsia" w:ascii="宋体" w:hAnsi="宋体" w:eastAsia="宋体" w:cs="宋体"/>
                <w:sz w:val="24"/>
              </w:rPr>
            </w:pPr>
            <w:r>
              <w:rPr>
                <w:rFonts w:hint="eastAsia" w:ascii="宋体" w:hAnsi="宋体" w:eastAsia="宋体" w:cs="宋体"/>
                <w:sz w:val="24"/>
              </w:rPr>
              <w:t>报价不得超过招标文件中规定的预算金额</w:t>
            </w:r>
          </w:p>
        </w:tc>
        <w:tc>
          <w:tcPr>
            <w:tcW w:w="0" w:type="auto"/>
            <w:vAlign w:val="center"/>
          </w:tcPr>
          <w:p w14:paraId="0C75C021">
            <w:pPr>
              <w:spacing w:line="360" w:lineRule="auto"/>
              <w:rPr>
                <w:rFonts w:hint="eastAsia" w:ascii="宋体" w:hAnsi="宋体" w:eastAsia="宋体" w:cs="宋体"/>
                <w:sz w:val="24"/>
              </w:rPr>
            </w:pPr>
            <w:r>
              <w:rPr>
                <w:rFonts w:hint="eastAsia" w:ascii="宋体" w:hAnsi="宋体" w:eastAsia="宋体" w:cs="宋体"/>
                <w:sz w:val="24"/>
              </w:rPr>
              <w:t>投标报价为有效报价，未超过政府采购预算金额（设置最高限价的，不得超过最高限价）。</w:t>
            </w:r>
          </w:p>
        </w:tc>
      </w:tr>
      <w:tr w14:paraId="4F3A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D010B29">
            <w:pPr>
              <w:spacing w:line="360" w:lineRule="auto"/>
              <w:jc w:val="center"/>
              <w:rPr>
                <w:rFonts w:hint="eastAsia" w:ascii="宋体" w:hAnsi="宋体" w:eastAsia="宋体" w:cs="宋体"/>
                <w:sz w:val="24"/>
              </w:rPr>
            </w:pPr>
            <w:r>
              <w:rPr>
                <w:rFonts w:hint="eastAsia" w:ascii="宋体" w:hAnsi="宋体" w:eastAsia="宋体" w:cs="宋体"/>
                <w:sz w:val="24"/>
              </w:rPr>
              <w:t>3</w:t>
            </w:r>
          </w:p>
        </w:tc>
        <w:tc>
          <w:tcPr>
            <w:tcW w:w="0" w:type="auto"/>
            <w:vAlign w:val="center"/>
          </w:tcPr>
          <w:p w14:paraId="429CB27A">
            <w:pPr>
              <w:spacing w:line="360" w:lineRule="auto"/>
              <w:rPr>
                <w:rFonts w:hint="eastAsia" w:ascii="宋体" w:hAnsi="宋体" w:eastAsia="宋体" w:cs="宋体"/>
                <w:sz w:val="24"/>
              </w:rPr>
            </w:pPr>
            <w:r>
              <w:rPr>
                <w:rFonts w:hint="eastAsia" w:ascii="宋体" w:hAnsi="宋体" w:eastAsia="宋体" w:cs="宋体"/>
                <w:sz w:val="24"/>
              </w:rPr>
              <w:t>投标文件不得含有不能接受的附加条件</w:t>
            </w:r>
          </w:p>
        </w:tc>
        <w:tc>
          <w:tcPr>
            <w:tcW w:w="0" w:type="auto"/>
            <w:vAlign w:val="center"/>
          </w:tcPr>
          <w:p w14:paraId="0A1379C7">
            <w:pPr>
              <w:spacing w:line="360" w:lineRule="auto"/>
              <w:rPr>
                <w:rFonts w:hint="eastAsia" w:ascii="宋体" w:hAnsi="宋体" w:eastAsia="宋体" w:cs="宋体"/>
                <w:sz w:val="24"/>
              </w:rPr>
            </w:pPr>
            <w:r>
              <w:rPr>
                <w:rFonts w:hint="eastAsia" w:ascii="宋体" w:hAnsi="宋体" w:eastAsia="宋体" w:cs="宋体"/>
                <w:sz w:val="24"/>
              </w:rPr>
              <w:t>投标文件中不得含有不能接受的附加条件。</w:t>
            </w:r>
          </w:p>
        </w:tc>
      </w:tr>
      <w:tr w14:paraId="5139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E157EA5">
            <w:pPr>
              <w:spacing w:line="360" w:lineRule="auto"/>
              <w:jc w:val="center"/>
              <w:rPr>
                <w:rFonts w:hint="eastAsia" w:ascii="宋体" w:hAnsi="宋体" w:eastAsia="宋体" w:cs="宋体"/>
                <w:sz w:val="24"/>
              </w:rPr>
            </w:pPr>
            <w:r>
              <w:rPr>
                <w:rFonts w:hint="eastAsia" w:ascii="宋体" w:hAnsi="宋体" w:eastAsia="宋体" w:cs="宋体"/>
                <w:sz w:val="24"/>
              </w:rPr>
              <w:t>4</w:t>
            </w:r>
          </w:p>
        </w:tc>
        <w:tc>
          <w:tcPr>
            <w:tcW w:w="0" w:type="auto"/>
            <w:vAlign w:val="center"/>
          </w:tcPr>
          <w:p w14:paraId="49A3D1A1">
            <w:pPr>
              <w:spacing w:line="360" w:lineRule="auto"/>
              <w:rPr>
                <w:rFonts w:hint="eastAsia" w:ascii="宋体" w:hAnsi="宋体" w:eastAsia="宋体" w:cs="宋体"/>
                <w:sz w:val="24"/>
              </w:rPr>
            </w:pPr>
            <w:r>
              <w:rPr>
                <w:rFonts w:hint="eastAsia" w:ascii="宋体" w:hAnsi="宋体" w:eastAsia="宋体" w:cs="宋体"/>
                <w:sz w:val="24"/>
              </w:rPr>
              <w:t>投标文件符合招标文件中规定的实质性要求</w:t>
            </w:r>
          </w:p>
        </w:tc>
        <w:tc>
          <w:tcPr>
            <w:tcW w:w="0" w:type="auto"/>
            <w:vAlign w:val="center"/>
          </w:tcPr>
          <w:p w14:paraId="49F0170E">
            <w:pPr>
              <w:spacing w:line="360" w:lineRule="auto"/>
              <w:rPr>
                <w:rFonts w:hint="eastAsia" w:ascii="宋体" w:hAnsi="宋体" w:eastAsia="宋体" w:cs="宋体"/>
                <w:sz w:val="24"/>
              </w:rPr>
            </w:pPr>
            <w:r>
              <w:rPr>
                <w:rFonts w:hint="eastAsia" w:ascii="宋体" w:hAnsi="宋体" w:eastAsia="宋体" w:cs="宋体"/>
                <w:sz w:val="24"/>
              </w:rPr>
              <w:t>投标文件符合招标文件中规定的实质性要求（含政府采购政策需落实的内容）。</w:t>
            </w:r>
          </w:p>
        </w:tc>
      </w:tr>
      <w:tr w14:paraId="756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2702A0">
            <w:pPr>
              <w:spacing w:line="360" w:lineRule="auto"/>
              <w:jc w:val="center"/>
              <w:rPr>
                <w:rFonts w:hint="eastAsia" w:ascii="宋体" w:hAnsi="宋体" w:eastAsia="宋体" w:cs="宋体"/>
                <w:sz w:val="24"/>
              </w:rPr>
            </w:pPr>
            <w:r>
              <w:rPr>
                <w:rFonts w:hint="eastAsia" w:ascii="宋体" w:hAnsi="宋体" w:eastAsia="宋体" w:cs="宋体"/>
                <w:sz w:val="24"/>
              </w:rPr>
              <w:t>5</w:t>
            </w:r>
          </w:p>
        </w:tc>
        <w:tc>
          <w:tcPr>
            <w:tcW w:w="0" w:type="auto"/>
            <w:vAlign w:val="center"/>
          </w:tcPr>
          <w:p w14:paraId="7455F990">
            <w:pPr>
              <w:spacing w:line="360" w:lineRule="auto"/>
              <w:rPr>
                <w:rFonts w:hint="eastAsia" w:ascii="宋体" w:hAnsi="宋体" w:eastAsia="宋体" w:cs="宋体"/>
                <w:sz w:val="24"/>
              </w:rPr>
            </w:pPr>
            <w:r>
              <w:rPr>
                <w:rFonts w:hint="eastAsia" w:ascii="宋体" w:hAnsi="宋体" w:eastAsia="宋体" w:cs="宋体"/>
                <w:sz w:val="24"/>
              </w:rPr>
              <w:t>投标文件对招标文件的实质性要求和条件做出投标响应</w:t>
            </w:r>
          </w:p>
        </w:tc>
        <w:tc>
          <w:tcPr>
            <w:tcW w:w="0" w:type="auto"/>
            <w:vAlign w:val="center"/>
          </w:tcPr>
          <w:p w14:paraId="4D2F7E55">
            <w:pPr>
              <w:spacing w:line="360" w:lineRule="auto"/>
              <w:rPr>
                <w:rFonts w:hint="eastAsia" w:ascii="宋体" w:hAnsi="宋体" w:eastAsia="宋体" w:cs="宋体"/>
                <w:sz w:val="24"/>
              </w:rPr>
            </w:pPr>
            <w:r>
              <w:rPr>
                <w:rFonts w:hint="eastAsia" w:ascii="宋体" w:hAnsi="宋体" w:eastAsia="宋体" w:cs="宋体"/>
                <w:sz w:val="24"/>
              </w:rPr>
              <w:t>投标文件对招标文件实质性要求和条件皆做出投标响应</w:t>
            </w:r>
          </w:p>
        </w:tc>
      </w:tr>
      <w:tr w14:paraId="1195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2298321">
            <w:pPr>
              <w:spacing w:line="360" w:lineRule="auto"/>
              <w:jc w:val="center"/>
              <w:rPr>
                <w:rFonts w:hint="eastAsia" w:ascii="宋体" w:hAnsi="宋体" w:eastAsia="宋体" w:cs="宋体"/>
                <w:sz w:val="24"/>
              </w:rPr>
            </w:pPr>
            <w:r>
              <w:rPr>
                <w:rFonts w:hint="eastAsia" w:ascii="宋体" w:hAnsi="宋体" w:eastAsia="宋体" w:cs="宋体"/>
                <w:sz w:val="24"/>
              </w:rPr>
              <w:t>6</w:t>
            </w:r>
          </w:p>
        </w:tc>
        <w:tc>
          <w:tcPr>
            <w:tcW w:w="0" w:type="auto"/>
            <w:vAlign w:val="center"/>
          </w:tcPr>
          <w:p w14:paraId="2ADED7F1">
            <w:pPr>
              <w:spacing w:line="360" w:lineRule="auto"/>
              <w:rPr>
                <w:rFonts w:hint="eastAsia" w:ascii="宋体" w:hAnsi="宋体" w:eastAsia="宋体" w:cs="宋体"/>
                <w:sz w:val="24"/>
              </w:rPr>
            </w:pPr>
            <w:r>
              <w:rPr>
                <w:rFonts w:hint="eastAsia" w:ascii="宋体" w:hAnsi="宋体" w:eastAsia="宋体" w:cs="宋体"/>
                <w:sz w:val="24"/>
              </w:rPr>
              <w:t>投标有效期</w:t>
            </w:r>
          </w:p>
        </w:tc>
        <w:tc>
          <w:tcPr>
            <w:tcW w:w="0" w:type="auto"/>
            <w:vAlign w:val="center"/>
          </w:tcPr>
          <w:p w14:paraId="4BEA26DD">
            <w:pPr>
              <w:spacing w:line="360" w:lineRule="auto"/>
              <w:rPr>
                <w:rFonts w:hint="eastAsia" w:ascii="宋体" w:hAnsi="宋体" w:eastAsia="宋体" w:cs="宋体"/>
                <w:sz w:val="24"/>
              </w:rPr>
            </w:pPr>
            <w:r>
              <w:rPr>
                <w:rFonts w:hint="eastAsia" w:ascii="宋体" w:hAnsi="宋体" w:eastAsia="宋体" w:cs="宋体"/>
                <w:sz w:val="24"/>
              </w:rPr>
              <w:t>符合招标文件的要求</w:t>
            </w:r>
          </w:p>
        </w:tc>
      </w:tr>
      <w:tr w14:paraId="3C9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5D66C8F9">
            <w:pPr>
              <w:spacing w:line="360" w:lineRule="auto"/>
              <w:rPr>
                <w:rFonts w:hint="eastAsia" w:ascii="宋体" w:hAnsi="宋体" w:eastAsia="宋体" w:cs="宋体"/>
                <w:sz w:val="24"/>
              </w:rPr>
            </w:pPr>
            <w:r>
              <w:rPr>
                <w:rFonts w:hint="eastAsia" w:ascii="宋体" w:hAnsi="宋体" w:eastAsia="宋体" w:cs="宋体"/>
                <w:sz w:val="24"/>
              </w:rPr>
              <w:t>备注：如果投标文件中有一项未通过上述审查标准，评标委员会将认定整个投标文件为无效响应处理，并且不允许投标人通过修改或撤销其不符合要求投标文件。</w:t>
            </w:r>
          </w:p>
        </w:tc>
      </w:tr>
    </w:tbl>
    <w:p w14:paraId="14039491">
      <w:pPr>
        <w:rPr>
          <w:rFonts w:hint="eastAsia" w:ascii="宋体" w:hAnsi="宋体" w:eastAsia="宋体" w:cs="宋体"/>
          <w:sz w:val="24"/>
        </w:rPr>
      </w:pPr>
      <w:r>
        <w:rPr>
          <w:rFonts w:hint="eastAsia" w:ascii="宋体" w:hAnsi="宋体" w:eastAsia="宋体" w:cs="宋体"/>
          <w:sz w:val="24"/>
        </w:rPr>
        <w:br w:type="page"/>
      </w:r>
    </w:p>
    <w:p w14:paraId="3F8184DD">
      <w:pPr>
        <w:spacing w:line="360" w:lineRule="auto"/>
        <w:ind w:firstLine="562" w:firstLineChars="200"/>
        <w:jc w:val="left"/>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4.3综合评分表</w:t>
      </w:r>
    </w:p>
    <w:p w14:paraId="7B87300D">
      <w:pPr>
        <w:pStyle w:val="3"/>
        <w:numPr>
          <w:ilvl w:val="3"/>
          <w:numId w:val="0"/>
        </w:numPr>
        <w:pBdr>
          <w:top w:val="none" w:color="auto" w:sz="0" w:space="1"/>
          <w:left w:val="none" w:color="auto" w:sz="0" w:space="4"/>
          <w:bottom w:val="none" w:color="auto" w:sz="0" w:space="1"/>
          <w:right w:val="none" w:color="auto" w:sz="0" w:space="4"/>
        </w:pBdr>
        <w:ind w:left="567" w:hanging="567"/>
        <w:rPr>
          <w:rFonts w:ascii="Times New Roman" w:hAnsi="Times New Roman" w:eastAsia="宋体" w:cs="Times New Roman"/>
        </w:rPr>
      </w:pPr>
      <w:r>
        <w:rPr>
          <w:rFonts w:hint="eastAsia" w:ascii="Times New Roman" w:hAnsi="Times New Roman" w:eastAsia="宋体" w:cs="Times New Roman"/>
        </w:rPr>
        <w:t>（一）评标办法和评标标准</w:t>
      </w:r>
    </w:p>
    <w:tbl>
      <w:tblPr>
        <w:tblStyle w:val="18"/>
        <w:tblW w:w="9372"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20"/>
        <w:gridCol w:w="1469"/>
        <w:gridCol w:w="6783"/>
      </w:tblGrid>
      <w:tr w14:paraId="6DE67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tcBorders>
              <w:tl2br w:val="nil"/>
              <w:tr2bl w:val="nil"/>
            </w:tcBorders>
            <w:shd w:val="clear" w:color="auto" w:fill="auto"/>
            <w:noWrap/>
            <w:vAlign w:val="center"/>
          </w:tcPr>
          <w:p w14:paraId="47421D68">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评标因素</w:t>
            </w:r>
          </w:p>
        </w:tc>
        <w:tc>
          <w:tcPr>
            <w:tcW w:w="1469" w:type="dxa"/>
            <w:tcBorders>
              <w:tl2br w:val="nil"/>
              <w:tr2bl w:val="nil"/>
            </w:tcBorders>
            <w:shd w:val="clear" w:color="auto" w:fill="auto"/>
            <w:noWrap/>
            <w:vAlign w:val="center"/>
          </w:tcPr>
          <w:p w14:paraId="2215C046">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项目</w:t>
            </w:r>
          </w:p>
        </w:tc>
        <w:tc>
          <w:tcPr>
            <w:tcW w:w="6783" w:type="dxa"/>
            <w:tcBorders>
              <w:tl2br w:val="nil"/>
              <w:tr2bl w:val="nil"/>
            </w:tcBorders>
            <w:shd w:val="clear" w:color="auto" w:fill="auto"/>
            <w:noWrap/>
            <w:vAlign w:val="center"/>
          </w:tcPr>
          <w:p w14:paraId="7424505B">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评分要求</w:t>
            </w:r>
          </w:p>
        </w:tc>
      </w:tr>
      <w:tr w14:paraId="73F50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tcBorders>
              <w:tl2br w:val="nil"/>
              <w:tr2bl w:val="nil"/>
            </w:tcBorders>
            <w:noWrap/>
            <w:vAlign w:val="center"/>
          </w:tcPr>
          <w:p w14:paraId="00903889">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价格部分(10分)</w:t>
            </w:r>
          </w:p>
        </w:tc>
        <w:tc>
          <w:tcPr>
            <w:tcW w:w="1469" w:type="dxa"/>
            <w:tcBorders>
              <w:tl2br w:val="nil"/>
              <w:tr2bl w:val="nil"/>
            </w:tcBorders>
            <w:vAlign w:val="center"/>
          </w:tcPr>
          <w:p w14:paraId="28BC9179">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投标报价得分(10分)</w:t>
            </w:r>
          </w:p>
        </w:tc>
        <w:tc>
          <w:tcPr>
            <w:tcW w:w="6783" w:type="dxa"/>
            <w:tcBorders>
              <w:tl2br w:val="nil"/>
              <w:tr2bl w:val="nil"/>
            </w:tcBorders>
            <w:vAlign w:val="center"/>
          </w:tcPr>
          <w:p w14:paraId="427ED64B">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价格分采用低价优先法计算，即满足本招标文件要求的最低投标报价为评标基准价，其价格分为满分，其它投标人的价格分统一按照下列公式计算：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投标报价得分=(评标基准价╱投标报价)×10(精确到小数点后两位)。</w:t>
            </w:r>
          </w:p>
          <w:p w14:paraId="6A981347">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kern w:val="0"/>
                <w:sz w:val="24"/>
                <w:lang w:bidi="ar"/>
              </w:rPr>
              <w:t>超过了项目预算或最高限价的，为无效投标</w:t>
            </w:r>
            <w:r>
              <w:rPr>
                <w:rFonts w:hint="eastAsia" w:ascii="宋体" w:hAnsi="宋体" w:eastAsia="宋体" w:cs="宋体"/>
                <w:color w:val="000000"/>
                <w:kern w:val="0"/>
                <w:sz w:val="24"/>
                <w:lang w:bidi="ar"/>
              </w:rPr>
              <w:t>。</w:t>
            </w:r>
          </w:p>
        </w:tc>
      </w:tr>
      <w:tr w14:paraId="679AE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restart"/>
            <w:tcBorders>
              <w:tl2br w:val="nil"/>
              <w:tr2bl w:val="nil"/>
            </w:tcBorders>
            <w:vAlign w:val="center"/>
          </w:tcPr>
          <w:p w14:paraId="77F793FE">
            <w:pPr>
              <w:widowControl/>
              <w:spacing w:line="360" w:lineRule="auto"/>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商务部分（30分）</w:t>
            </w:r>
          </w:p>
        </w:tc>
        <w:tc>
          <w:tcPr>
            <w:tcW w:w="1469" w:type="dxa"/>
            <w:tcBorders>
              <w:tl2br w:val="nil"/>
              <w:tr2bl w:val="nil"/>
            </w:tcBorders>
            <w:vAlign w:val="center"/>
          </w:tcPr>
          <w:p w14:paraId="737B8541">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企业类似业绩(</w:t>
            </w:r>
            <w:r>
              <w:rPr>
                <w:rFonts w:hint="eastAsia" w:ascii="宋体" w:hAnsi="宋体" w:eastAsia="宋体" w:cs="宋体"/>
                <w:color w:val="000000"/>
                <w:kern w:val="0"/>
                <w:sz w:val="24"/>
                <w:lang w:val="en-US" w:eastAsia="zh-CN" w:bidi="ar"/>
              </w:rPr>
              <w:t>10</w:t>
            </w:r>
            <w:r>
              <w:rPr>
                <w:rFonts w:hint="eastAsia" w:ascii="宋体" w:hAnsi="宋体" w:eastAsia="宋体" w:cs="宋体"/>
                <w:color w:val="000000"/>
                <w:kern w:val="0"/>
                <w:sz w:val="24"/>
                <w:lang w:bidi="ar"/>
              </w:rPr>
              <w:t>分）</w:t>
            </w:r>
          </w:p>
        </w:tc>
        <w:tc>
          <w:tcPr>
            <w:tcW w:w="6783" w:type="dxa"/>
            <w:tcBorders>
              <w:tl2br w:val="nil"/>
              <w:tr2bl w:val="nil"/>
            </w:tcBorders>
            <w:vAlign w:val="center"/>
          </w:tcPr>
          <w:p w14:paraId="6FE8CBAA">
            <w:pPr>
              <w:pStyle w:val="8"/>
              <w:widowControl/>
              <w:spacing w:line="400" w:lineRule="exact"/>
              <w:rPr>
                <w:rFonts w:hint="eastAsia" w:ascii="宋体" w:hAnsi="宋体" w:eastAsia="宋体" w:cs="宋体"/>
                <w:color w:val="000000"/>
                <w:kern w:val="0"/>
                <w:sz w:val="24"/>
                <w:highlight w:val="cyan"/>
                <w:lang w:bidi="ar"/>
              </w:rPr>
            </w:pPr>
            <w:r>
              <w:rPr>
                <w:rFonts w:hint="eastAsia" w:ascii="宋体" w:hAnsi="宋体" w:eastAsia="宋体" w:cs="宋体"/>
                <w:color w:val="000000"/>
                <w:kern w:val="0"/>
                <w:sz w:val="24"/>
                <w:lang w:val="en-US" w:eastAsia="zh-CN" w:bidi="ar"/>
              </w:rPr>
              <w:t>2023年4月</w:t>
            </w:r>
            <w:r>
              <w:rPr>
                <w:rFonts w:hint="eastAsia" w:ascii="宋体" w:hAnsi="宋体" w:eastAsia="宋体" w:cs="宋体"/>
                <w:color w:val="000000"/>
                <w:kern w:val="0"/>
                <w:sz w:val="24"/>
                <w:lang w:bidi="ar"/>
              </w:rPr>
              <w:t>至今具有类似信息化平台咨询研究、初步设计、概算编制项目业绩，有一项业绩得</w:t>
            </w:r>
            <w:r>
              <w:rPr>
                <w:rFonts w:hint="eastAsia" w:ascii="宋体" w:hAnsi="宋体" w:eastAsia="宋体" w:cs="宋体"/>
                <w:color w:val="000000"/>
                <w:kern w:val="0"/>
                <w:sz w:val="24"/>
                <w:lang w:val="en-US" w:eastAsia="zh-CN" w:bidi="ar"/>
              </w:rPr>
              <w:t>2.5</w:t>
            </w:r>
            <w:r>
              <w:rPr>
                <w:rFonts w:hint="eastAsia" w:ascii="宋体" w:hAnsi="宋体" w:eastAsia="宋体" w:cs="宋体"/>
                <w:color w:val="000000"/>
                <w:kern w:val="0"/>
                <w:sz w:val="24"/>
                <w:lang w:bidi="ar"/>
              </w:rPr>
              <w:t>分，</w:t>
            </w:r>
            <w:r>
              <w:rPr>
                <w:rFonts w:hint="eastAsia" w:ascii="宋体" w:hAnsi="宋体" w:eastAsia="宋体" w:cs="宋体"/>
                <w:color w:val="000000"/>
                <w:kern w:val="0"/>
                <w:sz w:val="24"/>
                <w:lang w:val="en-US" w:eastAsia="zh-CN" w:bidi="ar"/>
              </w:rPr>
              <w:t>本项</w:t>
            </w:r>
            <w:r>
              <w:rPr>
                <w:rFonts w:hint="eastAsia" w:ascii="宋体" w:hAnsi="宋体" w:eastAsia="宋体" w:cs="宋体"/>
                <w:color w:val="000000"/>
                <w:kern w:val="0"/>
                <w:sz w:val="24"/>
                <w:lang w:bidi="ar"/>
              </w:rPr>
              <w:t>最高得</w:t>
            </w:r>
            <w:r>
              <w:rPr>
                <w:rFonts w:hint="eastAsia" w:ascii="宋体" w:hAnsi="宋体" w:eastAsia="宋体" w:cs="宋体"/>
                <w:color w:val="000000"/>
                <w:kern w:val="0"/>
                <w:sz w:val="24"/>
                <w:lang w:val="en-US" w:eastAsia="zh-CN" w:bidi="ar"/>
              </w:rPr>
              <w:t>10</w:t>
            </w:r>
            <w:r>
              <w:rPr>
                <w:rFonts w:hint="eastAsia" w:ascii="宋体" w:hAnsi="宋体" w:eastAsia="宋体" w:cs="宋体"/>
                <w:color w:val="000000"/>
                <w:kern w:val="0"/>
                <w:sz w:val="24"/>
                <w:lang w:bidi="ar"/>
              </w:rPr>
              <w:t>分，未提供不得分。</w:t>
            </w:r>
          </w:p>
          <w:p w14:paraId="38B20787">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kern w:val="0"/>
                <w:sz w:val="24"/>
                <w:lang w:bidi="ar"/>
              </w:rPr>
              <w:t>（注：需提供合同作为业绩证明材料，包括合同关键页扫描件：包括项目名称、项目金额、服务内容、双方盖章、签订日期等，业绩时间以合同签订日期为准。）业绩证明材料不符合要求或内容模糊不清视为不合格。</w:t>
            </w:r>
          </w:p>
        </w:tc>
      </w:tr>
      <w:tr w14:paraId="55E14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vAlign w:val="center"/>
          </w:tcPr>
          <w:p w14:paraId="4AC1AA16">
            <w:pPr>
              <w:spacing w:line="360" w:lineRule="auto"/>
              <w:jc w:val="center"/>
              <w:rPr>
                <w:rFonts w:hint="eastAsia" w:ascii="宋体" w:hAnsi="宋体" w:eastAsia="宋体" w:cs="宋体"/>
                <w:color w:val="000000"/>
                <w:sz w:val="24"/>
              </w:rPr>
            </w:pPr>
          </w:p>
        </w:tc>
        <w:tc>
          <w:tcPr>
            <w:tcW w:w="1469" w:type="dxa"/>
            <w:tcBorders>
              <w:tl2br w:val="nil"/>
              <w:tr2bl w:val="nil"/>
            </w:tcBorders>
            <w:noWrap/>
            <w:vAlign w:val="center"/>
          </w:tcPr>
          <w:p w14:paraId="0347E29C">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项目人员配备(20分)</w:t>
            </w:r>
          </w:p>
        </w:tc>
        <w:tc>
          <w:tcPr>
            <w:tcW w:w="6783" w:type="dxa"/>
            <w:tcBorders>
              <w:tl2br w:val="nil"/>
              <w:tr2bl w:val="nil"/>
            </w:tcBorders>
            <w:vAlign w:val="center"/>
          </w:tcPr>
          <w:p w14:paraId="46472782">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1.项目负责人(1人)</w:t>
            </w:r>
          </w:p>
          <w:p w14:paraId="0E7A83FC">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（1）项目负责人须持有人力资源社会保障部门、工业和信息化部门、交通运输部门任一主管部门颁发的正高级专业技术职称证书。</w:t>
            </w:r>
          </w:p>
          <w:p w14:paraId="03A21E69">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职称</w:t>
            </w:r>
            <w:r>
              <w:rPr>
                <w:rFonts w:hint="eastAsia" w:ascii="宋体" w:hAnsi="宋体" w:eastAsia="宋体" w:cs="宋体"/>
                <w:color w:val="000000"/>
                <w:kern w:val="0"/>
                <w:sz w:val="24"/>
                <w:highlight w:val="none"/>
                <w:lang w:bidi="ar"/>
              </w:rPr>
              <w:t>专业为计算机、电子信息、软件工程的，得</w:t>
            </w:r>
            <w:r>
              <w:rPr>
                <w:rFonts w:hint="eastAsia" w:ascii="宋体" w:hAnsi="宋体" w:eastAsia="宋体" w:cs="宋体"/>
                <w:color w:val="000000"/>
                <w:kern w:val="0"/>
                <w:sz w:val="24"/>
                <w:highlight w:val="none"/>
                <w:lang w:val="en-US" w:eastAsia="zh-CN" w:bidi="ar"/>
              </w:rPr>
              <w:t>3</w:t>
            </w:r>
            <w:r>
              <w:rPr>
                <w:rFonts w:hint="eastAsia" w:ascii="宋体" w:hAnsi="宋体" w:eastAsia="宋体" w:cs="宋体"/>
                <w:color w:val="000000"/>
                <w:kern w:val="0"/>
                <w:sz w:val="24"/>
                <w:highlight w:val="none"/>
                <w:lang w:bidi="ar"/>
              </w:rPr>
              <w:t>分；</w:t>
            </w:r>
          </w:p>
          <w:p w14:paraId="035B1E25">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职称</w:t>
            </w:r>
            <w:r>
              <w:rPr>
                <w:rFonts w:hint="eastAsia" w:ascii="宋体" w:hAnsi="宋体" w:eastAsia="宋体" w:cs="宋体"/>
                <w:color w:val="000000"/>
                <w:kern w:val="0"/>
                <w:sz w:val="24"/>
                <w:highlight w:val="none"/>
                <w:lang w:bidi="ar"/>
              </w:rPr>
              <w:t>专业为交通信息化的，得</w:t>
            </w:r>
            <w:r>
              <w:rPr>
                <w:rFonts w:hint="eastAsia" w:ascii="宋体" w:hAnsi="宋体" w:eastAsia="宋体" w:cs="宋体"/>
                <w:color w:val="000000"/>
                <w:kern w:val="0"/>
                <w:sz w:val="24"/>
                <w:highlight w:val="none"/>
                <w:lang w:val="en-US" w:eastAsia="zh-CN" w:bidi="ar"/>
              </w:rPr>
              <w:t>4</w:t>
            </w:r>
            <w:r>
              <w:rPr>
                <w:rFonts w:hint="eastAsia" w:ascii="宋体" w:hAnsi="宋体" w:eastAsia="宋体" w:cs="宋体"/>
                <w:color w:val="000000"/>
                <w:kern w:val="0"/>
                <w:sz w:val="24"/>
                <w:highlight w:val="none"/>
                <w:lang w:bidi="ar"/>
              </w:rPr>
              <w:t>分；</w:t>
            </w:r>
          </w:p>
          <w:p w14:paraId="331B1A7F">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kern w:val="0"/>
                <w:sz w:val="24"/>
                <w:highlight w:val="none"/>
                <w:lang w:bidi="ar"/>
              </w:rPr>
            </w:pPr>
            <w:r>
              <w:rPr>
                <w:rFonts w:hint="eastAsia" w:ascii="宋体" w:hAnsi="宋体" w:eastAsia="宋体" w:cs="宋体"/>
                <w:b/>
                <w:bCs/>
                <w:color w:val="000000"/>
                <w:kern w:val="0"/>
                <w:sz w:val="24"/>
                <w:highlight w:val="none"/>
                <w:lang w:bidi="ar"/>
              </w:rPr>
              <w:t>本项最高得</w:t>
            </w:r>
            <w:r>
              <w:rPr>
                <w:rFonts w:hint="eastAsia" w:ascii="宋体" w:hAnsi="宋体" w:eastAsia="宋体" w:cs="宋体"/>
                <w:b/>
                <w:bCs/>
                <w:color w:val="000000"/>
                <w:kern w:val="0"/>
                <w:sz w:val="24"/>
                <w:highlight w:val="none"/>
                <w:shd w:val="clear"/>
                <w:lang w:val="en-US" w:eastAsia="zh-CN" w:bidi="ar"/>
              </w:rPr>
              <w:t>4</w:t>
            </w:r>
            <w:r>
              <w:rPr>
                <w:rFonts w:hint="eastAsia" w:ascii="宋体" w:hAnsi="宋体" w:eastAsia="宋体" w:cs="宋体"/>
                <w:b/>
                <w:bCs/>
                <w:color w:val="000000"/>
                <w:kern w:val="0"/>
                <w:sz w:val="24"/>
                <w:highlight w:val="none"/>
                <w:lang w:bidi="ar"/>
              </w:rPr>
              <w:t>分，不累计、不叠加计分。未按要求提供有效职称证书扫描件的，本项不得分。</w:t>
            </w:r>
          </w:p>
          <w:p w14:paraId="6078C2DC">
            <w:pPr>
              <w:widowControl/>
              <w:numPr>
                <w:ilvl w:val="0"/>
                <w:numId w:val="0"/>
              </w:numPr>
              <w:spacing w:line="400" w:lineRule="exact"/>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lang w:bidi="ar"/>
              </w:rPr>
              <w:t>以项目负责人身份参与过类似项目。(须提供证明为本人业绩的佐证材料，如合同或验收报告或客户盖章的证明文件等),每项业绩得2分</w:t>
            </w:r>
            <w:r>
              <w:rPr>
                <w:rFonts w:hint="eastAsia" w:ascii="宋体" w:hAnsi="宋体" w:eastAsia="宋体" w:cs="宋体"/>
                <w:color w:val="000000"/>
                <w:kern w:val="0"/>
                <w:sz w:val="24"/>
                <w:lang w:eastAsia="zh-CN" w:bidi="ar"/>
              </w:rPr>
              <w:t>。</w:t>
            </w:r>
          </w:p>
          <w:p w14:paraId="4129757F">
            <w:pPr>
              <w:widowControl/>
              <w:numPr>
                <w:ilvl w:val="0"/>
                <w:numId w:val="0"/>
              </w:numPr>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b/>
                <w:bCs/>
                <w:color w:val="000000"/>
                <w:kern w:val="0"/>
                <w:sz w:val="24"/>
                <w:highlight w:val="none"/>
                <w:lang w:bidi="ar"/>
              </w:rPr>
              <w:t>本项最高得</w:t>
            </w:r>
            <w:r>
              <w:rPr>
                <w:rFonts w:hint="eastAsia" w:ascii="宋体" w:hAnsi="宋体" w:eastAsia="宋体" w:cs="宋体"/>
                <w:b/>
                <w:bCs/>
                <w:color w:val="000000"/>
                <w:kern w:val="0"/>
                <w:sz w:val="24"/>
                <w:lang w:bidi="ar"/>
              </w:rPr>
              <w:t>4分，不提供不得分。</w:t>
            </w:r>
          </w:p>
          <w:p w14:paraId="44B7CBE9">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2.技术负责人（1人）</w:t>
            </w:r>
          </w:p>
          <w:p w14:paraId="30AEF38F">
            <w:pPr>
              <w:widowControl/>
              <w:spacing w:line="400" w:lineRule="exact"/>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技术负责人须具备：具备中华人民共和国人力资源和社会保障部、工业和信息化部、交通运输部颁发的信息系统架构设计师（高级）或系统分析师（高级）或信息系统项目管理师（高级）</w:t>
            </w:r>
            <w:r>
              <w:rPr>
                <w:rFonts w:hint="eastAsia" w:ascii="宋体" w:hAnsi="宋体" w:eastAsia="宋体" w:cs="宋体"/>
                <w:color w:val="000000"/>
                <w:kern w:val="0"/>
                <w:sz w:val="24"/>
                <w:lang w:eastAsia="zh-CN" w:bidi="ar"/>
              </w:rPr>
              <w:t>。</w:t>
            </w:r>
          </w:p>
          <w:p w14:paraId="78982C54">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b/>
                <w:bCs/>
                <w:color w:val="000000"/>
                <w:kern w:val="0"/>
                <w:sz w:val="24"/>
                <w:highlight w:val="none"/>
                <w:lang w:bidi="ar"/>
              </w:rPr>
              <w:t>本项最高得</w:t>
            </w:r>
            <w:r>
              <w:rPr>
                <w:rFonts w:hint="eastAsia" w:ascii="宋体" w:hAnsi="宋体" w:eastAsia="宋体" w:cs="宋体"/>
                <w:b/>
                <w:bCs/>
                <w:color w:val="000000"/>
                <w:kern w:val="0"/>
                <w:sz w:val="24"/>
                <w:lang w:bidi="ar"/>
              </w:rPr>
              <w:t>2分</w:t>
            </w:r>
            <w:r>
              <w:rPr>
                <w:rFonts w:hint="eastAsia" w:ascii="宋体" w:hAnsi="宋体" w:eastAsia="宋体" w:cs="宋体"/>
                <w:b/>
                <w:bCs/>
                <w:color w:val="000000"/>
                <w:kern w:val="0"/>
                <w:sz w:val="24"/>
                <w:lang w:eastAsia="zh-CN" w:bidi="ar"/>
              </w:rPr>
              <w:t>，</w:t>
            </w:r>
            <w:r>
              <w:rPr>
                <w:rFonts w:hint="eastAsia" w:ascii="宋体" w:hAnsi="宋体" w:eastAsia="宋体" w:cs="宋体"/>
                <w:b/>
                <w:bCs/>
                <w:color w:val="000000"/>
                <w:kern w:val="0"/>
                <w:sz w:val="24"/>
                <w:lang w:bidi="ar"/>
              </w:rPr>
              <w:t>不提供不得分。</w:t>
            </w:r>
            <w:r>
              <w:rPr>
                <w:rFonts w:hint="eastAsia" w:ascii="宋体" w:hAnsi="宋体" w:eastAsia="宋体" w:cs="宋体"/>
                <w:color w:val="000000"/>
                <w:kern w:val="0"/>
                <w:sz w:val="24"/>
                <w:lang w:bidi="ar"/>
              </w:rPr>
              <w:t>（需提供证书扫描件）</w:t>
            </w:r>
          </w:p>
          <w:p w14:paraId="4D9A5E99">
            <w:pPr>
              <w:widowControl/>
              <w:numPr>
                <w:ilvl w:val="0"/>
                <w:numId w:val="0"/>
              </w:numPr>
              <w:spacing w:line="400" w:lineRule="exact"/>
              <w:ind w:left="0" w:leftChars="0" w:firstLine="0" w:firstLineChars="0"/>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以技术负责人身份参与过类似项目。(须提供证明为本人业绩且加盖公章的佐证材料),每项业绩得1分</w:t>
            </w:r>
            <w:r>
              <w:rPr>
                <w:rFonts w:hint="eastAsia" w:ascii="宋体" w:hAnsi="宋体" w:eastAsia="宋体" w:cs="宋体"/>
                <w:color w:val="000000"/>
                <w:kern w:val="0"/>
                <w:sz w:val="24"/>
                <w:lang w:eastAsia="zh-CN" w:bidi="ar"/>
              </w:rPr>
              <w:t>。</w:t>
            </w:r>
          </w:p>
          <w:p w14:paraId="1010934D">
            <w:pPr>
              <w:widowControl/>
              <w:numPr>
                <w:ilvl w:val="0"/>
                <w:numId w:val="0"/>
              </w:numPr>
              <w:spacing w:line="400" w:lineRule="exact"/>
              <w:ind w:leftChars="0"/>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highlight w:val="none"/>
                <w:lang w:bidi="ar"/>
              </w:rPr>
              <w:t>本项最高得</w:t>
            </w:r>
            <w:r>
              <w:rPr>
                <w:rFonts w:hint="eastAsia" w:ascii="宋体" w:hAnsi="宋体" w:eastAsia="宋体" w:cs="宋体"/>
                <w:b/>
                <w:bCs/>
                <w:color w:val="000000"/>
                <w:kern w:val="0"/>
                <w:sz w:val="24"/>
                <w:lang w:bidi="ar"/>
              </w:rPr>
              <w:t>2分，不提供不得分。</w:t>
            </w:r>
          </w:p>
          <w:p w14:paraId="37453457">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3.概算负责人（1人）</w:t>
            </w:r>
          </w:p>
          <w:p w14:paraId="3F15526C">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具有注册咨询工程师（投资）</w:t>
            </w:r>
            <w:r>
              <w:rPr>
                <w:rFonts w:hint="eastAsia" w:ascii="宋体" w:hAnsi="宋体" w:eastAsia="宋体" w:cs="宋体"/>
                <w:b/>
                <w:bCs/>
                <w:color w:val="auto"/>
                <w:kern w:val="0"/>
                <w:sz w:val="24"/>
                <w:lang w:bidi="ar"/>
              </w:rPr>
              <w:t>得1分，满分1分</w:t>
            </w:r>
            <w:r>
              <w:rPr>
                <w:rFonts w:hint="eastAsia" w:ascii="宋体" w:hAnsi="宋体" w:eastAsia="宋体" w:cs="宋体"/>
                <w:color w:val="000000"/>
                <w:kern w:val="0"/>
                <w:sz w:val="24"/>
                <w:lang w:bidi="ar"/>
              </w:rPr>
              <w:t>。</w:t>
            </w:r>
          </w:p>
          <w:p w14:paraId="34767858">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4.项目团队成员（除项目负责人、</w:t>
            </w:r>
            <w:r>
              <w:rPr>
                <w:rFonts w:hint="eastAsia" w:ascii="宋体" w:hAnsi="宋体" w:eastAsia="宋体" w:cs="宋体"/>
                <w:b/>
                <w:bCs/>
                <w:color w:val="000000"/>
                <w:kern w:val="0"/>
                <w:sz w:val="24"/>
                <w:highlight w:val="none"/>
                <w:lang w:val="en-US" w:eastAsia="zh-CN" w:bidi="ar"/>
              </w:rPr>
              <w:t>概算</w:t>
            </w:r>
            <w:r>
              <w:rPr>
                <w:rFonts w:hint="eastAsia" w:ascii="宋体" w:hAnsi="宋体" w:eastAsia="宋体" w:cs="宋体"/>
                <w:b/>
                <w:bCs/>
                <w:color w:val="000000"/>
                <w:kern w:val="0"/>
                <w:sz w:val="24"/>
                <w:lang w:bidi="ar"/>
              </w:rPr>
              <w:t>负责人和技术负责人外）</w:t>
            </w:r>
          </w:p>
          <w:p w14:paraId="0B6F33B8">
            <w:pPr>
              <w:widowControl/>
              <w:spacing w:line="400" w:lineRule="exact"/>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（1）拟投入本项目的团队人员不少于5人，</w:t>
            </w:r>
            <w:r>
              <w:rPr>
                <w:rFonts w:hint="eastAsia" w:ascii="宋体" w:hAnsi="宋体" w:eastAsia="宋体" w:cs="宋体"/>
                <w:b/>
                <w:bCs/>
                <w:color w:val="000000"/>
                <w:kern w:val="0"/>
                <w:sz w:val="24"/>
                <w:lang w:bidi="ar"/>
              </w:rPr>
              <w:t>人数满足要求得2分</w:t>
            </w:r>
            <w:r>
              <w:rPr>
                <w:rFonts w:hint="eastAsia" w:ascii="宋体" w:hAnsi="宋体" w:eastAsia="宋体" w:cs="宋体"/>
                <w:b/>
                <w:bCs/>
                <w:color w:val="000000"/>
                <w:kern w:val="0"/>
                <w:sz w:val="24"/>
                <w:lang w:eastAsia="zh-CN" w:bidi="ar"/>
              </w:rPr>
              <w:t>。</w:t>
            </w:r>
          </w:p>
          <w:p w14:paraId="0F00AA55">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b/>
                <w:bCs/>
                <w:color w:val="000000"/>
                <w:kern w:val="0"/>
                <w:sz w:val="24"/>
                <w:shd w:val="clear"/>
                <w:lang w:bidi="ar"/>
              </w:rPr>
              <w:t>本项最多得</w:t>
            </w:r>
            <w:r>
              <w:rPr>
                <w:rFonts w:hint="eastAsia" w:ascii="宋体" w:hAnsi="宋体" w:eastAsia="宋体" w:cs="宋体"/>
                <w:b/>
                <w:bCs/>
                <w:color w:val="000000"/>
                <w:kern w:val="0"/>
                <w:sz w:val="24"/>
                <w:shd w:val="clear"/>
                <w:lang w:val="en-US" w:eastAsia="zh-CN" w:bidi="ar"/>
              </w:rPr>
              <w:t>2</w:t>
            </w:r>
            <w:r>
              <w:rPr>
                <w:rFonts w:hint="eastAsia" w:ascii="宋体" w:hAnsi="宋体" w:eastAsia="宋体" w:cs="宋体"/>
                <w:b/>
                <w:bCs/>
                <w:color w:val="000000"/>
                <w:kern w:val="0"/>
                <w:sz w:val="24"/>
                <w:shd w:val="clear"/>
                <w:lang w:bidi="ar"/>
              </w:rPr>
              <w:t>分</w:t>
            </w:r>
            <w:r>
              <w:rPr>
                <w:rFonts w:hint="eastAsia" w:ascii="宋体" w:hAnsi="宋体" w:eastAsia="宋体" w:cs="宋体"/>
                <w:b/>
                <w:bCs/>
                <w:color w:val="000000"/>
                <w:kern w:val="0"/>
                <w:sz w:val="24"/>
                <w:shd w:val="clear"/>
                <w:lang w:eastAsia="zh-CN" w:bidi="ar"/>
              </w:rPr>
              <w:t>，</w:t>
            </w:r>
            <w:r>
              <w:rPr>
                <w:rFonts w:hint="eastAsia" w:ascii="宋体" w:hAnsi="宋体" w:eastAsia="宋体" w:cs="宋体"/>
                <w:b/>
                <w:bCs/>
                <w:color w:val="000000"/>
                <w:kern w:val="0"/>
                <w:sz w:val="24"/>
                <w:lang w:bidi="ar"/>
              </w:rPr>
              <w:t>不满足不得分。</w:t>
            </w:r>
          </w:p>
          <w:p w14:paraId="40B56FD9">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bidi="ar"/>
              </w:rPr>
              <w:t>拟投入本项目的团队人员须具备</w:t>
            </w:r>
            <w:r>
              <w:rPr>
                <w:rFonts w:hint="eastAsia" w:ascii="宋体" w:hAnsi="宋体" w:eastAsia="宋体" w:cs="宋体"/>
                <w:color w:val="000000"/>
                <w:kern w:val="0"/>
                <w:sz w:val="24"/>
                <w:lang w:eastAsia="zh-CN" w:bidi="ar"/>
              </w:rPr>
              <w:t>：</w:t>
            </w:r>
          </w:p>
          <w:p w14:paraId="13ACD899">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lang w:val="en-US" w:eastAsia="zh-CN" w:bidi="ar"/>
              </w:rPr>
              <w:t>①</w:t>
            </w:r>
            <w:r>
              <w:rPr>
                <w:rFonts w:hint="eastAsia" w:ascii="宋体" w:hAnsi="宋体" w:eastAsia="宋体" w:cs="宋体"/>
                <w:color w:val="000000"/>
                <w:kern w:val="0"/>
                <w:sz w:val="24"/>
                <w:lang w:bidi="ar"/>
              </w:rPr>
              <w:t>发展改革委、人力资源和社会保障部门、工业和信息化部门、交通运输部门颁发的副高级及以上技术职称（计算机、电子信息、软件工程、交通运输等相关专业）</w:t>
            </w:r>
            <w:r>
              <w:rPr>
                <w:rFonts w:hint="eastAsia" w:ascii="宋体" w:hAnsi="宋体" w:eastAsia="宋体" w:cs="宋体"/>
                <w:b/>
                <w:bCs/>
                <w:color w:val="000000"/>
                <w:kern w:val="0"/>
                <w:sz w:val="24"/>
                <w:lang w:eastAsia="zh-CN" w:bidi="ar"/>
              </w:rPr>
              <w:t>，</w:t>
            </w:r>
            <w:r>
              <w:rPr>
                <w:rFonts w:hint="eastAsia" w:ascii="宋体" w:hAnsi="宋体" w:eastAsia="宋体" w:cs="宋体"/>
                <w:b w:val="0"/>
                <w:bCs w:val="0"/>
                <w:color w:val="000000"/>
                <w:kern w:val="0"/>
                <w:sz w:val="24"/>
                <w:lang w:val="en-US" w:eastAsia="zh-CN" w:bidi="ar"/>
              </w:rPr>
              <w:t>每1人</w:t>
            </w:r>
            <w:r>
              <w:rPr>
                <w:rFonts w:hint="eastAsia" w:ascii="宋体" w:hAnsi="宋体" w:eastAsia="宋体" w:cs="宋体"/>
                <w:b w:val="0"/>
                <w:bCs w:val="0"/>
                <w:color w:val="000000"/>
                <w:kern w:val="0"/>
                <w:sz w:val="24"/>
                <w:highlight w:val="none"/>
                <w:lang w:bidi="ar"/>
              </w:rPr>
              <w:t>得</w:t>
            </w:r>
            <w:r>
              <w:rPr>
                <w:rFonts w:hint="eastAsia" w:ascii="宋体" w:hAnsi="宋体" w:eastAsia="宋体" w:cs="宋体"/>
                <w:b w:val="0"/>
                <w:bCs w:val="0"/>
                <w:color w:val="000000"/>
                <w:kern w:val="0"/>
                <w:sz w:val="24"/>
                <w:highlight w:val="none"/>
                <w:lang w:val="en-US" w:eastAsia="zh-CN" w:bidi="ar"/>
              </w:rPr>
              <w:t>1</w:t>
            </w:r>
            <w:r>
              <w:rPr>
                <w:rFonts w:hint="eastAsia" w:ascii="宋体" w:hAnsi="宋体" w:eastAsia="宋体" w:cs="宋体"/>
                <w:b w:val="0"/>
                <w:bCs w:val="0"/>
                <w:color w:val="000000"/>
                <w:kern w:val="0"/>
                <w:sz w:val="24"/>
                <w:highlight w:val="none"/>
                <w:lang w:bidi="ar"/>
              </w:rPr>
              <w:t>分，最多得2分。</w:t>
            </w:r>
          </w:p>
          <w:p w14:paraId="7036C31B">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color w:val="000000"/>
                <w:kern w:val="0"/>
                <w:sz w:val="24"/>
                <w:shd w:val="clear" w:fill="FFFF00"/>
                <w:lang w:val="en-US" w:eastAsia="zh-CN" w:bidi="ar"/>
              </w:rPr>
            </w:pPr>
            <w:r>
              <w:rPr>
                <w:rFonts w:hint="eastAsia" w:ascii="宋体" w:hAnsi="宋体" w:eastAsia="宋体" w:cs="宋体"/>
                <w:color w:val="000000"/>
                <w:kern w:val="0"/>
                <w:sz w:val="24"/>
                <w:highlight w:val="none"/>
                <w:lang w:val="en-US" w:eastAsia="zh-CN" w:bidi="ar"/>
              </w:rPr>
              <w:t>②中级及以上职称</w:t>
            </w:r>
            <w:r>
              <w:rPr>
                <w:rFonts w:hint="eastAsia" w:ascii="宋体" w:hAnsi="宋体" w:eastAsia="宋体" w:cs="宋体"/>
                <w:color w:val="000000"/>
                <w:kern w:val="0"/>
                <w:sz w:val="24"/>
                <w:highlight w:val="none"/>
                <w:lang w:bidi="ar"/>
              </w:rPr>
              <w:t>人员</w:t>
            </w:r>
            <w:r>
              <w:rPr>
                <w:rFonts w:hint="eastAsia" w:ascii="宋体" w:hAnsi="宋体" w:eastAsia="宋体" w:cs="宋体"/>
                <w:color w:val="000000"/>
                <w:kern w:val="0"/>
                <w:sz w:val="24"/>
                <w:lang w:bidi="ar"/>
              </w:rPr>
              <w:t>（计算机、电子信息、软件工程、交通运输等相关专业）</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shd w:val="clear"/>
                <w:lang w:val="en-US" w:eastAsia="zh-CN" w:bidi="ar"/>
              </w:rPr>
              <w:t>每1人</w:t>
            </w:r>
            <w:r>
              <w:rPr>
                <w:rFonts w:hint="eastAsia" w:ascii="宋体" w:hAnsi="宋体" w:eastAsia="宋体" w:cs="宋体"/>
                <w:color w:val="000000"/>
                <w:kern w:val="0"/>
                <w:sz w:val="24"/>
                <w:shd w:val="clear"/>
                <w:lang w:bidi="ar"/>
              </w:rPr>
              <w:t>得</w:t>
            </w:r>
            <w:r>
              <w:rPr>
                <w:rFonts w:hint="eastAsia" w:ascii="宋体" w:hAnsi="宋体" w:eastAsia="宋体" w:cs="宋体"/>
                <w:color w:val="000000"/>
                <w:kern w:val="0"/>
                <w:sz w:val="24"/>
                <w:shd w:val="clear"/>
                <w:lang w:val="en-US" w:eastAsia="zh-CN" w:bidi="ar"/>
              </w:rPr>
              <w:t>1</w:t>
            </w:r>
            <w:r>
              <w:rPr>
                <w:rFonts w:hint="eastAsia" w:ascii="宋体" w:hAnsi="宋体" w:eastAsia="宋体" w:cs="宋体"/>
                <w:color w:val="000000"/>
                <w:kern w:val="0"/>
                <w:sz w:val="24"/>
                <w:shd w:val="clear"/>
                <w:lang w:bidi="ar"/>
              </w:rPr>
              <w:t>分</w:t>
            </w:r>
            <w:r>
              <w:rPr>
                <w:rFonts w:hint="eastAsia" w:ascii="宋体" w:hAnsi="宋体" w:eastAsia="宋体" w:cs="宋体"/>
                <w:color w:val="000000"/>
                <w:kern w:val="0"/>
                <w:sz w:val="24"/>
                <w:shd w:val="clear"/>
                <w:lang w:eastAsia="zh-CN" w:bidi="ar"/>
              </w:rPr>
              <w:t>，</w:t>
            </w:r>
            <w:r>
              <w:rPr>
                <w:rFonts w:hint="eastAsia" w:ascii="宋体" w:hAnsi="宋体" w:eastAsia="宋体" w:cs="宋体"/>
                <w:color w:val="000000"/>
                <w:kern w:val="0"/>
                <w:sz w:val="24"/>
                <w:shd w:val="clear"/>
                <w:lang w:val="en-US" w:eastAsia="zh-CN" w:bidi="ar"/>
              </w:rPr>
              <w:t>最多得3分。</w:t>
            </w:r>
          </w:p>
          <w:p w14:paraId="48314A12">
            <w:pPr>
              <w:keepNext w:val="0"/>
              <w:keepLines w:val="0"/>
              <w:pageBreakBefore w:val="0"/>
              <w:widowControl/>
              <w:kinsoku/>
              <w:wordWrap/>
              <w:overflowPunct/>
              <w:topLinePunct w:val="0"/>
              <w:autoSpaceDE/>
              <w:autoSpaceDN/>
              <w:bidi w:val="0"/>
              <w:adjustRightInd/>
              <w:snapToGrid/>
              <w:spacing w:after="0"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shd w:val="clear"/>
                <w:lang w:bidi="ar"/>
              </w:rPr>
              <w:t>本项最多得</w:t>
            </w:r>
            <w:r>
              <w:rPr>
                <w:rFonts w:hint="eastAsia" w:ascii="宋体" w:hAnsi="宋体" w:eastAsia="宋体" w:cs="宋体"/>
                <w:b/>
                <w:bCs/>
                <w:color w:val="000000"/>
                <w:kern w:val="0"/>
                <w:sz w:val="24"/>
                <w:shd w:val="clear"/>
                <w:lang w:val="en-US" w:eastAsia="zh-CN" w:bidi="ar"/>
              </w:rPr>
              <w:t>5</w:t>
            </w:r>
            <w:r>
              <w:rPr>
                <w:rFonts w:hint="eastAsia" w:ascii="宋体" w:hAnsi="宋体" w:eastAsia="宋体" w:cs="宋体"/>
                <w:b/>
                <w:bCs/>
                <w:color w:val="000000"/>
                <w:kern w:val="0"/>
                <w:sz w:val="24"/>
                <w:shd w:val="clear"/>
                <w:lang w:bidi="ar"/>
              </w:rPr>
              <w:t>分</w:t>
            </w:r>
            <w:r>
              <w:rPr>
                <w:rFonts w:hint="eastAsia" w:ascii="宋体" w:hAnsi="宋体" w:eastAsia="宋体" w:cs="宋体"/>
                <w:b/>
                <w:bCs/>
                <w:color w:val="000000"/>
                <w:kern w:val="0"/>
                <w:sz w:val="24"/>
                <w:shd w:val="clear"/>
                <w:lang w:eastAsia="zh-CN" w:bidi="ar"/>
              </w:rPr>
              <w:t>，</w:t>
            </w:r>
            <w:r>
              <w:rPr>
                <w:rFonts w:hint="eastAsia" w:ascii="宋体" w:hAnsi="宋体" w:eastAsia="宋体" w:cs="宋体"/>
                <w:b/>
                <w:bCs/>
                <w:color w:val="000000"/>
                <w:kern w:val="0"/>
                <w:sz w:val="24"/>
                <w:shd w:val="clear"/>
                <w:lang w:bidi="ar"/>
              </w:rPr>
              <w:t>不</w:t>
            </w:r>
            <w:r>
              <w:rPr>
                <w:rFonts w:hint="eastAsia" w:ascii="宋体" w:hAnsi="宋体" w:eastAsia="宋体" w:cs="宋体"/>
                <w:b/>
                <w:bCs/>
                <w:color w:val="000000"/>
                <w:kern w:val="0"/>
                <w:sz w:val="24"/>
                <w:lang w:bidi="ar"/>
              </w:rPr>
              <w:t>提供不得分。</w:t>
            </w:r>
          </w:p>
          <w:p w14:paraId="3F1124C7">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b/>
                <w:bCs/>
                <w:color w:val="000000"/>
                <w:kern w:val="0"/>
                <w:sz w:val="24"/>
                <w:lang w:bidi="ar"/>
              </w:rPr>
              <w:t>注：投标人须提供上述投标人员由官方机构出具的投标文件之日前近3个月的社保缴纳证明并加盖公章。如新入职、退休返聘等原因，无法完全提供上述可体现缴纳单位的官方凭证材料的，</w:t>
            </w:r>
            <w:r>
              <w:rPr>
                <w:rStyle w:val="21"/>
                <w:rFonts w:hint="eastAsia" w:ascii="宋体" w:hAnsi="宋体" w:eastAsia="宋体" w:cs="宋体"/>
                <w:color w:val="000000"/>
                <w:kern w:val="0"/>
                <w:sz w:val="24"/>
                <w:lang w:bidi="ar"/>
              </w:rPr>
              <w:t>应提供情况说明及相关合法替代证明文件</w:t>
            </w:r>
            <w:r>
              <w:rPr>
                <w:rFonts w:hint="eastAsia" w:ascii="宋体" w:hAnsi="宋体" w:eastAsia="宋体" w:cs="宋体"/>
                <w:b/>
                <w:bCs/>
                <w:color w:val="000000"/>
                <w:kern w:val="0"/>
                <w:sz w:val="24"/>
                <w:lang w:bidi="ar"/>
              </w:rPr>
              <w:t>（如：新入职人员可提供入职证明及首月缴纳记录；退休返聘人员可提供退休证明及聘用协议，未提供、材料不全不得分。</w:t>
            </w:r>
          </w:p>
        </w:tc>
      </w:tr>
      <w:tr w14:paraId="08116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76" w:hRule="atLeast"/>
        </w:trPr>
        <w:tc>
          <w:tcPr>
            <w:tcW w:w="1120" w:type="dxa"/>
            <w:vMerge w:val="restart"/>
            <w:tcBorders>
              <w:tl2br w:val="nil"/>
              <w:tr2bl w:val="nil"/>
            </w:tcBorders>
            <w:noWrap/>
            <w:vAlign w:val="center"/>
          </w:tcPr>
          <w:p w14:paraId="1DB93F89">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技术部分(60分)</w:t>
            </w:r>
          </w:p>
        </w:tc>
        <w:tc>
          <w:tcPr>
            <w:tcW w:w="1469" w:type="dxa"/>
            <w:tcBorders>
              <w:tl2br w:val="nil"/>
              <w:tr2bl w:val="nil"/>
            </w:tcBorders>
            <w:noWrap/>
            <w:vAlign w:val="center"/>
          </w:tcPr>
          <w:p w14:paraId="3A5DF94F">
            <w:pPr>
              <w:widowControl/>
              <w:spacing w:line="360" w:lineRule="auto"/>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需求分析（20分）</w:t>
            </w:r>
          </w:p>
        </w:tc>
        <w:tc>
          <w:tcPr>
            <w:tcW w:w="6783" w:type="dxa"/>
            <w:tcBorders>
              <w:tl2br w:val="nil"/>
              <w:tr2bl w:val="nil"/>
            </w:tcBorders>
            <w:vAlign w:val="center"/>
          </w:tcPr>
          <w:p w14:paraId="1CFFC462">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对本项目需求进行分析，包括但不限于：</w:t>
            </w:r>
          </w:p>
          <w:p w14:paraId="7A38AA6C">
            <w:pPr>
              <w:widowControl/>
              <w:numPr>
                <w:ilvl w:val="0"/>
                <w:numId w:val="2"/>
              </w:numPr>
              <w:spacing w:line="400" w:lineRule="exact"/>
              <w:ind w:right="-84" w:rightChars="-40"/>
              <w:jc w:val="left"/>
              <w:rPr>
                <w:rFonts w:hint="eastAsia" w:ascii="宋体" w:hAnsi="宋体" w:eastAsia="宋体" w:cs="宋体"/>
                <w:sz w:val="24"/>
              </w:rPr>
            </w:pPr>
            <w:r>
              <w:rPr>
                <w:rFonts w:hint="eastAsia" w:ascii="宋体" w:hAnsi="宋体" w:eastAsia="宋体" w:cs="宋体"/>
                <w:sz w:val="24"/>
              </w:rPr>
              <w:t>项目所属地区行业调研情况（2）对项目实施的理解与认识（3）对项目核心业务场景的梳理（4）对重点、难点的分析</w:t>
            </w:r>
          </w:p>
          <w:p w14:paraId="268934BC">
            <w:pPr>
              <w:widowControl/>
              <w:spacing w:line="400" w:lineRule="exact"/>
              <w:ind w:right="-84" w:rightChars="-40"/>
              <w:jc w:val="left"/>
              <w:rPr>
                <w:rFonts w:hint="eastAsia" w:ascii="宋体" w:hAnsi="宋体" w:eastAsia="宋体" w:cs="宋体"/>
                <w:sz w:val="24"/>
              </w:rPr>
            </w:pPr>
            <w:r>
              <w:rPr>
                <w:rFonts w:hint="eastAsia" w:ascii="宋体" w:hAnsi="宋体" w:eastAsia="宋体" w:cs="宋体"/>
                <w:sz w:val="24"/>
              </w:rPr>
              <w:t>（5）关于项目的功能定位。</w:t>
            </w:r>
          </w:p>
          <w:p w14:paraId="6A21E890">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以上内容每缺少一项扣4分，每项中内容存在缺陷或不足扣2分，扣完为止，未提供不得分。</w:t>
            </w:r>
          </w:p>
          <w:p w14:paraId="317609FD">
            <w:pPr>
              <w:widowControl/>
              <w:spacing w:line="400" w:lineRule="exact"/>
              <w:ind w:right="-84" w:rightChars="-4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r w14:paraId="40B2D4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noWrap/>
            <w:vAlign w:val="center"/>
          </w:tcPr>
          <w:p w14:paraId="3583F5F2">
            <w:pPr>
              <w:widowControl/>
              <w:spacing w:line="360" w:lineRule="auto"/>
              <w:jc w:val="center"/>
              <w:textAlignment w:val="center"/>
              <w:rPr>
                <w:rFonts w:hint="eastAsia" w:ascii="宋体" w:hAnsi="宋体" w:eastAsia="宋体" w:cs="宋体"/>
                <w:color w:val="000000"/>
                <w:sz w:val="24"/>
              </w:rPr>
            </w:pPr>
          </w:p>
        </w:tc>
        <w:tc>
          <w:tcPr>
            <w:tcW w:w="1469" w:type="dxa"/>
            <w:tcBorders>
              <w:tl2br w:val="nil"/>
              <w:tr2bl w:val="nil"/>
            </w:tcBorders>
            <w:noWrap/>
            <w:vAlign w:val="center"/>
          </w:tcPr>
          <w:p w14:paraId="3DBAD026">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设计方案(20分)</w:t>
            </w:r>
          </w:p>
        </w:tc>
        <w:tc>
          <w:tcPr>
            <w:tcW w:w="6783" w:type="dxa"/>
            <w:tcBorders>
              <w:tl2br w:val="nil"/>
              <w:tr2bl w:val="nil"/>
            </w:tcBorders>
            <w:vAlign w:val="center"/>
          </w:tcPr>
          <w:p w14:paraId="456EFBDA">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设计方案包括但不限于：</w:t>
            </w:r>
          </w:p>
          <w:p w14:paraId="3489A3C9">
            <w:pPr>
              <w:widowControl/>
              <w:spacing w:line="400" w:lineRule="exact"/>
              <w:ind w:right="-84" w:rightChars="-4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w:t>
            </w:r>
            <w:r>
              <w:rPr>
                <w:rFonts w:hint="eastAsia" w:ascii="宋体" w:hAnsi="宋体" w:eastAsia="宋体" w:cs="宋体"/>
                <w:sz w:val="24"/>
              </w:rPr>
              <w:t>项目目标</w:t>
            </w:r>
            <w:r>
              <w:rPr>
                <w:rFonts w:hint="eastAsia" w:ascii="宋体" w:hAnsi="宋体" w:eastAsia="宋体" w:cs="宋体"/>
                <w:color w:val="000000"/>
                <w:kern w:val="0"/>
                <w:sz w:val="24"/>
                <w:lang w:bidi="ar"/>
              </w:rPr>
              <w:t>（2）</w:t>
            </w:r>
            <w:r>
              <w:rPr>
                <w:rFonts w:hint="eastAsia" w:ascii="宋体" w:hAnsi="宋体" w:eastAsia="宋体" w:cs="宋体"/>
                <w:sz w:val="24"/>
              </w:rPr>
              <w:t>实施规划</w:t>
            </w:r>
            <w:r>
              <w:rPr>
                <w:rFonts w:hint="eastAsia" w:ascii="宋体" w:hAnsi="宋体" w:eastAsia="宋体" w:cs="宋体"/>
                <w:color w:val="000000"/>
                <w:kern w:val="0"/>
                <w:sz w:val="24"/>
                <w:lang w:bidi="ar"/>
              </w:rPr>
              <w:t>（3）</w:t>
            </w:r>
            <w:r>
              <w:rPr>
                <w:rFonts w:hint="eastAsia" w:ascii="宋体" w:hAnsi="宋体" w:eastAsia="宋体" w:cs="宋体"/>
                <w:sz w:val="24"/>
              </w:rPr>
              <w:t>设计范围</w:t>
            </w:r>
            <w:r>
              <w:rPr>
                <w:rFonts w:hint="eastAsia" w:ascii="宋体" w:hAnsi="宋体" w:eastAsia="宋体" w:cs="宋体"/>
                <w:color w:val="000000"/>
                <w:kern w:val="0"/>
                <w:sz w:val="24"/>
                <w:lang w:bidi="ar"/>
              </w:rPr>
              <w:t>（4）</w:t>
            </w:r>
            <w:r>
              <w:rPr>
                <w:rFonts w:hint="eastAsia" w:ascii="宋体" w:hAnsi="宋体" w:eastAsia="宋体" w:cs="宋体"/>
                <w:sz w:val="24"/>
              </w:rPr>
              <w:t>设计依据</w:t>
            </w:r>
            <w:r>
              <w:rPr>
                <w:rFonts w:hint="eastAsia" w:ascii="宋体" w:hAnsi="宋体" w:eastAsia="宋体" w:cs="宋体"/>
                <w:color w:val="000000"/>
                <w:kern w:val="0"/>
                <w:sz w:val="24"/>
                <w:lang w:bidi="ar"/>
              </w:rPr>
              <w:t>（5）</w:t>
            </w:r>
            <w:r>
              <w:rPr>
                <w:rFonts w:hint="eastAsia" w:ascii="宋体" w:hAnsi="宋体" w:eastAsia="宋体" w:cs="宋体"/>
                <w:sz w:val="24"/>
              </w:rPr>
              <w:t>功能设计</w:t>
            </w:r>
            <w:r>
              <w:rPr>
                <w:rFonts w:hint="eastAsia" w:ascii="宋体" w:hAnsi="宋体" w:eastAsia="宋体" w:cs="宋体"/>
                <w:color w:val="000000"/>
                <w:kern w:val="0"/>
                <w:sz w:val="24"/>
                <w:lang w:bidi="ar"/>
              </w:rPr>
              <w:t>（6）</w:t>
            </w:r>
            <w:r>
              <w:rPr>
                <w:rFonts w:hint="eastAsia" w:ascii="宋体" w:hAnsi="宋体" w:eastAsia="宋体" w:cs="宋体"/>
                <w:sz w:val="24"/>
              </w:rPr>
              <w:t>数据资源共享与开放设计</w:t>
            </w:r>
            <w:r>
              <w:rPr>
                <w:rFonts w:hint="eastAsia" w:ascii="宋体" w:hAnsi="宋体" w:eastAsia="宋体" w:cs="宋体"/>
                <w:color w:val="000000"/>
                <w:kern w:val="0"/>
                <w:sz w:val="24"/>
                <w:lang w:bidi="ar"/>
              </w:rPr>
              <w:t>（7）</w:t>
            </w:r>
            <w:r>
              <w:rPr>
                <w:rFonts w:hint="eastAsia" w:ascii="宋体" w:hAnsi="宋体" w:eastAsia="宋体" w:cs="宋体"/>
                <w:sz w:val="24"/>
              </w:rPr>
              <w:t>网络和数据安全设计</w:t>
            </w:r>
            <w:r>
              <w:rPr>
                <w:rFonts w:hint="eastAsia" w:ascii="宋体" w:hAnsi="宋体" w:eastAsia="宋体" w:cs="宋体"/>
                <w:color w:val="000000"/>
                <w:kern w:val="0"/>
                <w:sz w:val="24"/>
                <w:lang w:bidi="ar"/>
              </w:rPr>
              <w:t>（8）</w:t>
            </w:r>
            <w:r>
              <w:rPr>
                <w:rFonts w:hint="eastAsia" w:ascii="宋体" w:hAnsi="宋体" w:eastAsia="宋体" w:cs="宋体"/>
                <w:sz w:val="24"/>
              </w:rPr>
              <w:t>对接设计</w:t>
            </w:r>
            <w:r>
              <w:rPr>
                <w:rFonts w:hint="eastAsia" w:ascii="宋体" w:hAnsi="宋体" w:eastAsia="宋体" w:cs="宋体"/>
                <w:color w:val="000000"/>
                <w:kern w:val="0"/>
                <w:sz w:val="24"/>
                <w:lang w:bidi="ar"/>
              </w:rPr>
              <w:t>（9）</w:t>
            </w:r>
            <w:r>
              <w:rPr>
                <w:rFonts w:hint="eastAsia" w:ascii="宋体" w:hAnsi="宋体" w:eastAsia="宋体" w:cs="宋体"/>
                <w:sz w:val="24"/>
              </w:rPr>
              <w:t>测试方案</w:t>
            </w:r>
            <w:r>
              <w:rPr>
                <w:rFonts w:hint="eastAsia" w:ascii="宋体" w:hAnsi="宋体" w:eastAsia="宋体" w:cs="宋体"/>
                <w:color w:val="000000"/>
                <w:kern w:val="0"/>
                <w:sz w:val="24"/>
                <w:lang w:bidi="ar"/>
              </w:rPr>
              <w:t>（10）</w:t>
            </w:r>
            <w:r>
              <w:rPr>
                <w:rFonts w:hint="eastAsia" w:ascii="宋体" w:hAnsi="宋体" w:eastAsia="宋体" w:cs="宋体"/>
                <w:sz w:val="24"/>
              </w:rPr>
              <w:t>项目创新；</w:t>
            </w:r>
          </w:p>
          <w:p w14:paraId="3B6F3C1A">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以上内容每缺少一项扣2分，每项中内容存在缺陷或不足扣1分，扣完为止，未提供不得分。</w:t>
            </w:r>
          </w:p>
          <w:p w14:paraId="6300FE35">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r w14:paraId="11E65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noWrap/>
            <w:vAlign w:val="center"/>
          </w:tcPr>
          <w:p w14:paraId="5549DE79">
            <w:pPr>
              <w:spacing w:line="360" w:lineRule="auto"/>
              <w:jc w:val="center"/>
              <w:rPr>
                <w:rFonts w:hint="eastAsia" w:ascii="宋体" w:hAnsi="宋体" w:eastAsia="宋体" w:cs="宋体"/>
                <w:color w:val="000000"/>
                <w:sz w:val="24"/>
              </w:rPr>
            </w:pPr>
          </w:p>
        </w:tc>
        <w:tc>
          <w:tcPr>
            <w:tcW w:w="1469" w:type="dxa"/>
            <w:tcBorders>
              <w:tl2br w:val="nil"/>
              <w:tr2bl w:val="nil"/>
            </w:tcBorders>
            <w:vAlign w:val="center"/>
          </w:tcPr>
          <w:p w14:paraId="4891143F">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实施方案(14分)</w:t>
            </w:r>
          </w:p>
        </w:tc>
        <w:tc>
          <w:tcPr>
            <w:tcW w:w="6783" w:type="dxa"/>
            <w:tcBorders>
              <w:tl2br w:val="nil"/>
              <w:tr2bl w:val="nil"/>
            </w:tcBorders>
            <w:vAlign w:val="center"/>
          </w:tcPr>
          <w:p w14:paraId="2B3106B4">
            <w:pPr>
              <w:widowControl/>
              <w:spacing w:line="400" w:lineRule="exact"/>
              <w:ind w:right="-84" w:rightChars="-40"/>
              <w:jc w:val="left"/>
              <w:rPr>
                <w:rFonts w:hint="eastAsia" w:ascii="宋体" w:hAnsi="宋体" w:eastAsia="宋体" w:cs="宋体"/>
                <w:sz w:val="24"/>
              </w:rPr>
            </w:pPr>
            <w:r>
              <w:rPr>
                <w:rFonts w:hint="eastAsia" w:ascii="宋体" w:hAnsi="宋体" w:eastAsia="宋体" w:cs="宋体"/>
                <w:sz w:val="24"/>
              </w:rPr>
              <w:t>结合本项目对实施方案进行编制，包括但不限于：</w:t>
            </w:r>
          </w:p>
          <w:p w14:paraId="342800DB">
            <w:pPr>
              <w:widowControl/>
              <w:spacing w:line="400" w:lineRule="exact"/>
              <w:ind w:right="-84" w:rightChars="-4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（1）实施方案总则（2）实施组织架构及职责（3）分阶段实施计划（4）概算管控实施方案（5）质量安全、及进度保障实施细则（6）风险防控实施措施（7）运维衔接实施安排；</w:t>
            </w:r>
          </w:p>
          <w:p w14:paraId="58B0E160">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以上内容每缺少一项扣2分，每项中内容存在缺陷或不足扣1分，扣完为止，未提供不得分。</w:t>
            </w:r>
          </w:p>
          <w:p w14:paraId="65B87885">
            <w:pPr>
              <w:widowControl/>
              <w:spacing w:line="400" w:lineRule="exact"/>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r w14:paraId="687D6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1120" w:type="dxa"/>
            <w:vMerge w:val="continue"/>
            <w:tcBorders>
              <w:tl2br w:val="nil"/>
              <w:tr2bl w:val="nil"/>
            </w:tcBorders>
            <w:noWrap/>
            <w:vAlign w:val="center"/>
          </w:tcPr>
          <w:p w14:paraId="32DB6C3E">
            <w:pPr>
              <w:spacing w:line="360" w:lineRule="auto"/>
              <w:jc w:val="center"/>
              <w:rPr>
                <w:rFonts w:hint="eastAsia" w:ascii="宋体" w:hAnsi="宋体" w:eastAsia="宋体" w:cs="宋体"/>
                <w:color w:val="000000"/>
                <w:sz w:val="24"/>
              </w:rPr>
            </w:pPr>
          </w:p>
        </w:tc>
        <w:tc>
          <w:tcPr>
            <w:tcW w:w="1469" w:type="dxa"/>
            <w:tcBorders>
              <w:tl2br w:val="nil"/>
              <w:tr2bl w:val="nil"/>
            </w:tcBorders>
            <w:vAlign w:val="center"/>
          </w:tcPr>
          <w:p w14:paraId="46B04EB6">
            <w:pPr>
              <w:widowControl/>
              <w:spacing w:line="360" w:lineRule="auto"/>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售后服务</w:t>
            </w:r>
          </w:p>
          <w:p w14:paraId="60DC354A">
            <w:pPr>
              <w:widowControl/>
              <w:spacing w:line="360" w:lineRule="auto"/>
              <w:jc w:val="center"/>
              <w:textAlignment w:val="center"/>
              <w:rPr>
                <w:rFonts w:hint="eastAsia" w:ascii="宋体" w:hAnsi="宋体" w:eastAsia="宋体" w:cs="宋体"/>
                <w:color w:val="000000"/>
                <w:kern w:val="0"/>
                <w:sz w:val="24"/>
                <w:highlight w:val="magenta"/>
                <w:lang w:bidi="ar"/>
              </w:rPr>
            </w:pPr>
            <w:r>
              <w:rPr>
                <w:rFonts w:hint="eastAsia" w:ascii="宋体" w:hAnsi="宋体" w:eastAsia="宋体" w:cs="宋体"/>
                <w:color w:val="000000"/>
                <w:kern w:val="0"/>
                <w:sz w:val="24"/>
                <w:lang w:bidi="ar"/>
              </w:rPr>
              <w:t>(6分)</w:t>
            </w:r>
          </w:p>
        </w:tc>
        <w:tc>
          <w:tcPr>
            <w:tcW w:w="6783" w:type="dxa"/>
            <w:tcBorders>
              <w:tl2br w:val="nil"/>
              <w:tr2bl w:val="nil"/>
            </w:tcBorders>
            <w:vAlign w:val="center"/>
          </w:tcPr>
          <w:p w14:paraId="40CE8914">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针对该项目提供售后服务计划，内容包括但不限于：</w:t>
            </w:r>
          </w:p>
          <w:p w14:paraId="57005DAE">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（1）提供服务承诺书，建立售后问题快速处理机制，明确响应时限与问题闭环流程；</w:t>
            </w:r>
          </w:p>
          <w:p w14:paraId="3B4BF343">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（2）提供主体项目全生命周期指导咨询服务，配合采购人完成平台实施落地工作。</w:t>
            </w:r>
          </w:p>
          <w:p w14:paraId="012321AA">
            <w:pPr>
              <w:widowControl/>
              <w:spacing w:line="400" w:lineRule="exact"/>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以上内容每缺少一项扣3分，每项中内容存在缺陷或不足扣1分，扣完为止，未提供不得分。</w:t>
            </w:r>
          </w:p>
          <w:p w14:paraId="20095990">
            <w:pPr>
              <w:widowControl/>
              <w:spacing w:line="400" w:lineRule="exact"/>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（缺陷或不足指：不适用项目实际情况的情形、凭空编造、内容前后不一致、前后逻辑错误、涉及的规范及标准失效错误、地点区域错误、内容缺失不足、与本项目无关、只有简单描述无实质性内容）</w:t>
            </w:r>
          </w:p>
        </w:tc>
      </w:tr>
    </w:tbl>
    <w:p w14:paraId="20FFAB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依据《关于推动解决政府采购异常低价问题的通知》（财库[2026]2号文）的规定，评审中出现下列情形之一的，评审小组应当启动异常低价投标（响应）审查程序：</w:t>
      </w:r>
    </w:p>
    <w:p w14:paraId="60CFBC7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1.投标（响应）报价低于全部通过符合性审查供应商投标（响应）报价平均值50%的，即投标（响应）报价&lt;全部通过符合性审查供应商投标（响应）报价平均值×50%；</w:t>
      </w:r>
    </w:p>
    <w:p w14:paraId="09F1C51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2.投标（响应）报价低于通过符合性审查的次低报价供应商投标（响应）报价50%的，即投标（响应）报价&lt;通过符合性审查的次低报价供应商投标（响应）报价×50%；</w:t>
      </w:r>
    </w:p>
    <w:p w14:paraId="4985C2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3.投标（响应）报价低于采购项目最高限价45%的，即投标（响应）报价&lt;采购项目最高限价×45%；</w:t>
      </w:r>
    </w:p>
    <w:p w14:paraId="7184534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4.评审小组基于专业判断，认为供应商报价过低，有可能影响产品质量或者不能诚信履约的其他情形。</w:t>
      </w:r>
    </w:p>
    <w:p w14:paraId="0AF07B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以上情形之一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由其法定代表人或者其授权代表签字确认。</w:t>
      </w:r>
    </w:p>
    <w:p w14:paraId="3CD7C9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1A880D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各评审小组成员对每个供应商的上述指标的打分（除报价外）的算术平均分，加上经计算的报价得分，即为该供应商的最终综合评审分。评审小组将按供应商得分顺序由高到低依次排名，得分相同的，按投标报价由低到高顺序排列。得分及报价相同的，按商务技术指标优劣顺序排列。</w:t>
      </w:r>
    </w:p>
    <w:p w14:paraId="62046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使用综合评分法的采购项目，提供相同品牌核心产品且通过资格审查、符合性审查的不同供应商参加同一合同项下投标的，按一家供应商计算，评审后得分最高的同品牌供应商获得成交供应商推荐资格，评审得分相同的，由评审小组按照报价最低的供应商，推荐其作为成交候选人，其他同品牌供应商不作为成交候选人。（货物类适用）</w:t>
      </w:r>
    </w:p>
    <w:p w14:paraId="6236CC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最低报价不作为中标的唯一依据。采购人不承诺将合同授予报价最低的供应商。</w:t>
      </w:r>
    </w:p>
    <w:p w14:paraId="2BAD7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rPr>
      </w:pPr>
      <w:r>
        <w:rPr>
          <w:rFonts w:hint="eastAsia" w:ascii="宋体" w:hAnsi="宋体" w:eastAsia="宋体" w:cs="宋体"/>
          <w:sz w:val="24"/>
          <w:szCs w:val="24"/>
          <w:u w:val="none"/>
          <w:lang w:val="en-US" w:eastAsia="zh-CN"/>
        </w:rPr>
        <w:t>经评审小组评议，认为投标报价过高、均超出采购人预算或最高限价的项目，可以不确立成交供应商，重新组织招标。</w:t>
      </w:r>
      <w:r>
        <w:rPr>
          <w:rFonts w:hint="eastAsia" w:ascii="宋体" w:hAnsi="宋体" w:eastAsia="宋体" w:cs="宋体"/>
          <w:sz w:val="24"/>
        </w:rPr>
        <w:br w:type="page"/>
      </w:r>
    </w:p>
    <w:p w14:paraId="51BB57AA">
      <w:pPr>
        <w:jc w:val="center"/>
        <w:outlineLvl w:val="0"/>
        <w:rPr>
          <w:rFonts w:hint="eastAsia" w:ascii="宋体" w:hAnsi="宋体" w:eastAsia="宋体" w:cs="宋体"/>
          <w:b/>
          <w:bCs/>
          <w:sz w:val="36"/>
          <w:szCs w:val="44"/>
          <w:u w:val="none"/>
        </w:rPr>
      </w:pPr>
      <w:bookmarkStart w:id="18" w:name="_Toc16306"/>
      <w:bookmarkStart w:id="19" w:name="_Toc10842"/>
      <w:bookmarkStart w:id="20" w:name="_Toc29513"/>
      <w:r>
        <w:rPr>
          <w:rFonts w:hint="eastAsia" w:ascii="宋体" w:hAnsi="宋体" w:eastAsia="宋体" w:cs="宋体"/>
          <w:b/>
          <w:bCs/>
          <w:sz w:val="36"/>
          <w:szCs w:val="44"/>
          <w:u w:val="none"/>
        </w:rPr>
        <w:t>第五章签订合同及合同范本</w:t>
      </w:r>
      <w:bookmarkEnd w:id="18"/>
      <w:bookmarkEnd w:id="19"/>
    </w:p>
    <w:p w14:paraId="7AC94490">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outlineLvl w:val="1"/>
        <w:rPr>
          <w:rFonts w:hint="eastAsia" w:ascii="宋体" w:hAnsi="宋体" w:eastAsia="宋体" w:cs="宋体"/>
          <w:b/>
          <w:bCs/>
          <w:sz w:val="24"/>
          <w:szCs w:val="24"/>
          <w:u w:val="none"/>
          <w:lang w:eastAsia="zh"/>
        </w:rPr>
      </w:pPr>
      <w:r>
        <w:rPr>
          <w:rFonts w:hint="eastAsia" w:ascii="宋体" w:hAnsi="宋体" w:eastAsia="宋体" w:cs="宋体"/>
          <w:b/>
          <w:bCs/>
          <w:sz w:val="24"/>
          <w:szCs w:val="24"/>
          <w:u w:val="single"/>
          <w:lang w:val="en-US" w:eastAsia="zh-CN"/>
        </w:rPr>
        <w:t>（此合同样本仅供参考,合同具体条款以双方最终签订的为准）</w:t>
      </w:r>
    </w:p>
    <w:p w14:paraId="7D03DFB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68F64F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1.1采购人应当自中标通知书发出之日起30个工作日内，按照招标文件和中标人投标文件的约定，与中标人签订书面合同。所签订合同不得对招标文件和中标人投标文件作实质性修改。</w:t>
      </w:r>
    </w:p>
    <w:p w14:paraId="158799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76EAD2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1.3招标文件、投标文件、书面承诺和中标通知书均作为经济合同的一部分，且具有法律效力。中标人应严格履行经济合同所规定的各项义务和责任，否则将依法处理。</w:t>
      </w:r>
    </w:p>
    <w:p w14:paraId="0C6A6A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1.4有关法规或者招标文件明确不允许分包方式履行合同的，中标人不得分包履行合同，否则将依法承担法律责任。招标文件明确允许分包方式履行合同的，按照招标文件相关规定执行。</w:t>
      </w:r>
    </w:p>
    <w:p w14:paraId="2353C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1.5采购人应当自采购合同签订之日起2个工作日内，将采购合同在新疆政府采购网上公开，并同步完成政府采购合同备案工作。</w:t>
      </w:r>
    </w:p>
    <w:p w14:paraId="6FEDBF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1.6法律、行政法规规定应当办理批准、登记等手续后生效的合同，依照其规定。</w:t>
      </w:r>
    </w:p>
    <w:p w14:paraId="5A0CAE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431AFF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63BA9B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1.9当中标人放弃中标或者因被质疑、投诉经查属实或者因不可抗力而不能履行合同的，采购人可从推荐中标候选人名单中按顺序重新确定中标人，但应符合相关规定；否则采购人应重新组织采购。</w:t>
      </w:r>
    </w:p>
    <w:p w14:paraId="7F6B4E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追加合同金额</w:t>
      </w:r>
    </w:p>
    <w:p w14:paraId="4773BF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政府采购法第四十九条，政府采购合同履行中，采购人需要追加与合同标的相同的服务的，在不改变合同其他条款的前提下，可以与中标人协商签订补充合同，但所有补充合同的采购金额不得超过原合同采购金额的10%，否则采购人应重新组织招标。</w:t>
      </w:r>
    </w:p>
    <w:p w14:paraId="61DBB1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38EE830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货物质量与验收</w:t>
      </w:r>
    </w:p>
    <w:p w14:paraId="455D83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41B97D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3.2货物制造完毕经出厂检验合格后方能发货，并提供货物合格证书。</w:t>
      </w:r>
    </w:p>
    <w:p w14:paraId="35A01E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3.3货物的表面涂漆颜色：由采购人和中标人商定。</w:t>
      </w:r>
    </w:p>
    <w:p w14:paraId="375A4A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3.4货物包装按照国标、部标以及有关标准执行。</w:t>
      </w:r>
    </w:p>
    <w:p w14:paraId="3B55BA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合同范本格式</w:t>
      </w:r>
    </w:p>
    <w:p w14:paraId="36B8B2D7">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1"/>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（此合同样本仅供参考,合同具体条款以双方最终签订的为准）</w:t>
      </w:r>
    </w:p>
    <w:p w14:paraId="6E14F02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重要说明：本合同为样稿，部分内容可根据中标人投标文件响应情况由双方协商后确定，具体事项以合同签订为准。</w:t>
      </w:r>
    </w:p>
    <w:p w14:paraId="4B92BB5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采购人（甲方）：</w:t>
      </w:r>
    </w:p>
    <w:p w14:paraId="43F3851C">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中标人（乙方）：</w:t>
      </w:r>
    </w:p>
    <w:p w14:paraId="6D292ED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招标项目（项目编号）的中标结果，由单位为中标人。根据《中华人民共和国政府采购法》、《中华人民共和国民法典》之规定，经（以下简称采购人）和（以下简称中标人）协商，就项目，达成以下合同条款：</w:t>
      </w:r>
    </w:p>
    <w:p w14:paraId="2D2CD990">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一、服务内容</w:t>
      </w:r>
    </w:p>
    <w:p w14:paraId="181C2A9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1.甲方委托乙方的服务事项：</w:t>
      </w:r>
    </w:p>
    <w:p w14:paraId="76B7849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（1）服务目标：。</w:t>
      </w:r>
    </w:p>
    <w:p w14:paraId="552FD5D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（2）服务内容：。</w:t>
      </w:r>
    </w:p>
    <w:p w14:paraId="4BF0A32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（3）服务方式：。</w:t>
      </w:r>
    </w:p>
    <w:p w14:paraId="32BF419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0461AAC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1FC1F07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（1）服务地点：。</w:t>
      </w:r>
    </w:p>
    <w:p w14:paraId="3905290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1FDE6DF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（3）服务数量：。</w:t>
      </w:r>
    </w:p>
    <w:p w14:paraId="38AE728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1EC3EAB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p>
    <w:p w14:paraId="434B6A6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3.履行合同的时间、地点及方式</w:t>
      </w:r>
    </w:p>
    <w:p w14:paraId="7D5B5CD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起始日期：年月日，完成日期：年月日。总日历天数：天。</w:t>
      </w:r>
    </w:p>
    <w:p w14:paraId="243BAE7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乙方应在合同签订后日内完成合同约定事项，即年月日前，完成相关服务工作并将最终成果交给甲方。</w:t>
      </w:r>
    </w:p>
    <w:p w14:paraId="4DF51C9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p>
    <w:p w14:paraId="6CD5C0A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p>
    <w:p w14:paraId="06B579B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1699B2EC">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二、合同金额</w:t>
      </w:r>
    </w:p>
    <w:p w14:paraId="045735C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1.本合同金额为（大写）：元（￥元）人民币。</w:t>
      </w:r>
    </w:p>
    <w:p w14:paraId="63EAD6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2.合同金额已经包括等工作及税费等乙方为履行本合而产生的所有费用，除该合同金额外，甲方不再支付任何其他费用。</w:t>
      </w:r>
    </w:p>
    <w:p w14:paraId="33D1443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三、技术资料</w:t>
      </w:r>
    </w:p>
    <w:p w14:paraId="2E47D02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1.中标人应按招标文件规定的时间向采购人提供有关技术资料。</w:t>
      </w:r>
    </w:p>
    <w:p w14:paraId="77BBD71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421D3D7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3.合同履行完毕，未经采购人的书面同意，中标人不得保存在履行合同过程中所获得或接触到的任何内部数据资料。</w:t>
      </w:r>
    </w:p>
    <w:p w14:paraId="49BDC93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4.其他约定：。</w:t>
      </w:r>
    </w:p>
    <w:p w14:paraId="5BC8AEC2">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四、知识产权</w:t>
      </w:r>
    </w:p>
    <w:p w14:paraId="671B1B7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048C365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完成本合同项下全部工作的成果，包括但不限于产生的视频及所涉及的录音、文字等乙方为完成合同约定所有内容所有相关的包括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20364FFB">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五、履约保证金</w:t>
      </w:r>
    </w:p>
    <w:p w14:paraId="6BA8A8E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1.乙方在签署本合同之后日内，供方应向需方提交合同总价%的履约保证金（人民币，取整数位到百元）。履约保证金可以采用银行转账、现金方式提交。</w:t>
      </w:r>
    </w:p>
    <w:p w14:paraId="3D8318F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2.履约保证金的有效期为合同生效之日起至项目全部工作经甲方验收合格之日止。</w:t>
      </w:r>
    </w:p>
    <w:p w14:paraId="157C187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790A947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4.履约保证金的返还</w:t>
      </w:r>
    </w:p>
    <w:p w14:paraId="2F75F53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履约保证金有效期届满后，乙方应先提交履约保证金支付申请和其他甲方要求的资料，经甲方审核无误且合同履行无争议的，甲方在日内无息支付至乙方账户；如出现扣减情形，返还履约保证金时，以剩余具体金额为准。</w:t>
      </w:r>
    </w:p>
    <w:p w14:paraId="57A77C3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5.履约保证金返还前，如金额不足约定金额的</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none"/>
          <w:lang w:val="en-US" w:eastAsia="zh-CN"/>
        </w:rPr>
        <w:t>%时，乙方应在七日内予以补足。</w:t>
      </w:r>
    </w:p>
    <w:p w14:paraId="0DB4B27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六、采购人的权利与义务</w:t>
      </w:r>
    </w:p>
    <w:p w14:paraId="5A3DFDE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p>
    <w:p w14:paraId="384667E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p>
    <w:p w14:paraId="380494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p>
    <w:p w14:paraId="2167B9F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p>
    <w:p w14:paraId="5A3011D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5.采购人的其它权利与义务。</w:t>
      </w:r>
    </w:p>
    <w:p w14:paraId="618360CF">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七、中标人的权利与义务</w:t>
      </w:r>
    </w:p>
    <w:p w14:paraId="14D7E7F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p>
    <w:p w14:paraId="690655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p>
    <w:p w14:paraId="6DCDD49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p>
    <w:p w14:paraId="5D94671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p>
    <w:p w14:paraId="55DD1DF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5.中标人的其它权利与义务。</w:t>
      </w:r>
    </w:p>
    <w:p w14:paraId="0EA8C0C1">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八、合同履行时间、履行方式及履行地点</w:t>
      </w:r>
    </w:p>
    <w:p w14:paraId="6FD8C1B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1.履行时间：。</w:t>
      </w:r>
    </w:p>
    <w:p w14:paraId="63C3918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2.履行方式：。</w:t>
      </w:r>
    </w:p>
    <w:p w14:paraId="35B71C3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3.履行地点：。</w:t>
      </w:r>
    </w:p>
    <w:p w14:paraId="4409B96F">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九、验收</w:t>
      </w:r>
    </w:p>
    <w:p w14:paraId="02151FD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1.下列文件的验收分为个阶段：。</w:t>
      </w:r>
    </w:p>
    <w:p w14:paraId="00B3201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2.其余文件和工作由甲方组织有关技术人员根据国家和行业有关规范、规程、标准和甲方需求直接验收。</w:t>
      </w:r>
    </w:p>
    <w:p w14:paraId="5C80C18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3.验收依据为招标文件、中标人投标文件，国家和行业有关规范、规程和标准。</w:t>
      </w:r>
    </w:p>
    <w:p w14:paraId="5B67931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甲方的上级主管部门的文件规定、甲方要求、乙方的承诺、甲乙双方在履行合同过程形成的文件内容、甲方内部标准均作为乙方完成本合同项目的验收标准，乙方应严格按照甲方审核要求在规定的时间对内容进行修改，直到达到甲方的政治导向、艺术要求和播出标准。</w:t>
      </w:r>
    </w:p>
    <w:p w14:paraId="67EAC8B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0A54F2E1">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十、付款方式和税费</w:t>
      </w:r>
    </w:p>
    <w:p w14:paraId="6437261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本合同付款方式为：。</w:t>
      </w:r>
    </w:p>
    <w:p w14:paraId="58D7561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本合同执行中相关的一切税费均由中标人负担。</w:t>
      </w:r>
    </w:p>
    <w:p w14:paraId="7138AF0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甲方每次付款前，乙方均应先行向甲方提供符合甲方要求的等额的合法发票，否则甲方有权延迟或拒付合同款。乙方自行承担应缴纳的税费。</w:t>
      </w:r>
    </w:p>
    <w:p w14:paraId="2B8469E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乙方账户信息如有变动，乙方应及时通知甲方；如因乙方通知不及时造成甲方已支付款项的流失，该损失由乙方自行承担，甲方对此不承担任何责任。</w:t>
      </w:r>
    </w:p>
    <w:p w14:paraId="3DB8192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3818730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十一、争议解决办法</w:t>
      </w:r>
    </w:p>
    <w:p w14:paraId="0A32AF6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因履行本合同引起的或与本合同有关的争议，甲、乙双方应首先通过友好协商解决，如果协商不能解决争议，则向甲方所在地有管辖权的人民法院提起诉讼。</w:t>
      </w:r>
    </w:p>
    <w:p w14:paraId="5556D9D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十二、违约责任</w:t>
      </w:r>
    </w:p>
    <w:p w14:paraId="66C4BD6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1.甲乙双方自签订合同之日起，如其中任何一方无故终止合同，除赔偿对方相应损失外，还应向对方支付违约金作为赔偿。违约金按合同总金额的%计算。</w:t>
      </w:r>
    </w:p>
    <w:p w14:paraId="2E8FD97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322F126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7DACE181">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十三、合同的变更、解除或终止</w:t>
      </w:r>
    </w:p>
    <w:p w14:paraId="7F9F7A4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除政府采购合同继续履行将损害国家利益和社会公共利益外，双方当事人不得擅自变更、中止或者终止合同。</w:t>
      </w:r>
    </w:p>
    <w:p w14:paraId="5C67CF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5118841C">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outlineLvl w:val="2"/>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十四、合同生效及其他</w:t>
      </w:r>
    </w:p>
    <w:p w14:paraId="736332D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本合同一式份，甲方执份，乙方执份、采购代理机构执份，本合同甲、乙、确认各方签字盖章后生效，合同执行完毕后，自动失效（合同的服务承诺则长期有效）。</w:t>
      </w:r>
    </w:p>
    <w:p w14:paraId="6B83E14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（一）招标文件、投标文件、澄清表（函）、中标通知书、合同附件均成为合同不可分割的部分。</w:t>
      </w:r>
    </w:p>
    <w:p w14:paraId="2CB7508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（二）合同未尽事宜，由甲、乙双方协商并确认后，作为合同补充，与原合同具有同等法律效力。</w:t>
      </w:r>
    </w:p>
    <w:p w14:paraId="179A6F1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（三）合同一经签订，不得擅自变更、中止或终止合同。对确需变更、调整或中止、终止合同的，应按规定履行相应的手续。</w:t>
      </w:r>
    </w:p>
    <w:p w14:paraId="785C403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（四）本合同按照中华人民共和国的现行法律进行解释。</w:t>
      </w:r>
    </w:p>
    <w:p w14:paraId="615132A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14:paraId="2A934AD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甲方乙方</w:t>
      </w:r>
    </w:p>
    <w:p w14:paraId="6DB2C4A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单位名称：（盖章）单位名称：（盖章）</w:t>
      </w:r>
    </w:p>
    <w:p w14:paraId="4FF53A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法定代表人法定代表人</w:t>
      </w:r>
    </w:p>
    <w:p w14:paraId="38D456C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或委托代理人（签字或盖章）：或委托代理人（签字或盖章）：</w:t>
      </w:r>
    </w:p>
    <w:p w14:paraId="6505CA5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地址：地址：</w:t>
      </w:r>
    </w:p>
    <w:p w14:paraId="58C20A4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邮政编码：邮政编码：</w:t>
      </w:r>
    </w:p>
    <w:p w14:paraId="338C1C6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电话：电话：</w:t>
      </w:r>
    </w:p>
    <w:p w14:paraId="15943A8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传真：传真：</w:t>
      </w:r>
    </w:p>
    <w:p w14:paraId="0D417B5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电子信箱：电子信箱：</w:t>
      </w:r>
    </w:p>
    <w:p w14:paraId="152E6E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开户银行：开户银行：</w:t>
      </w:r>
    </w:p>
    <w:p w14:paraId="158C162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账号：账号：</w:t>
      </w:r>
    </w:p>
    <w:p w14:paraId="7C3333A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签订日期：年月日签订日期：年月日</w:t>
      </w:r>
    </w:p>
    <w:p w14:paraId="32CB6FB6">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0358944F">
      <w:pPr>
        <w:jc w:val="center"/>
        <w:outlineLvl w:val="0"/>
        <w:rPr>
          <w:rFonts w:hint="eastAsia" w:ascii="宋体" w:hAnsi="宋体" w:eastAsia="宋体" w:cs="宋体"/>
          <w:b/>
          <w:bCs/>
          <w:sz w:val="36"/>
          <w:szCs w:val="44"/>
          <w:u w:val="none"/>
        </w:rPr>
      </w:pPr>
      <w:bookmarkStart w:id="21" w:name="_Toc17312"/>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六</w:t>
      </w:r>
      <w:r>
        <w:rPr>
          <w:rFonts w:hint="eastAsia" w:ascii="宋体" w:hAnsi="宋体" w:eastAsia="宋体" w:cs="宋体"/>
          <w:b/>
          <w:bCs/>
          <w:sz w:val="36"/>
          <w:szCs w:val="44"/>
          <w:u w:val="none"/>
        </w:rPr>
        <w:t>章投标文件格式</w:t>
      </w:r>
      <w:bookmarkEnd w:id="20"/>
      <w:bookmarkEnd w:id="21"/>
    </w:p>
    <w:p w14:paraId="6F2F90A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u w:val="none"/>
          <w:lang w:val="en-US" w:eastAsia="zh-CN"/>
        </w:rPr>
      </w:pPr>
      <w:bookmarkStart w:id="22" w:name="_Toc8439"/>
      <w:r>
        <w:rPr>
          <w:rFonts w:hint="eastAsia" w:ascii="宋体" w:hAnsi="宋体" w:eastAsia="宋体" w:cs="宋体"/>
          <w:b w:val="0"/>
          <w:bCs w:val="0"/>
          <w:sz w:val="28"/>
          <w:szCs w:val="28"/>
          <w:u w:val="none"/>
          <w:lang w:val="en-US" w:eastAsia="zh-CN"/>
        </w:rPr>
        <w:t>封面：</w:t>
      </w:r>
      <w:bookmarkEnd w:id="22"/>
    </w:p>
    <w:p w14:paraId="5ED30C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B25D9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50BB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投标文件</w:t>
      </w:r>
    </w:p>
    <w:p w14:paraId="66739E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报价要求响应文件</w:t>
      </w:r>
    </w:p>
    <w:p w14:paraId="790C6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3BC36B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BCBE3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9FE02A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p>
    <w:p w14:paraId="130F540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p>
    <w:p w14:paraId="008E182A">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投标人：</w:t>
      </w:r>
    </w:p>
    <w:p w14:paraId="42A5766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36A45C0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60C189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年月日</w:t>
      </w:r>
    </w:p>
    <w:p w14:paraId="0AA6E585">
      <w:pP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br w:type="page"/>
      </w:r>
    </w:p>
    <w:p w14:paraId="2B1C92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开标一览表</w:t>
      </w:r>
    </w:p>
    <w:p w14:paraId="236288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64A31D8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5740"/>
      </w:tblGrid>
      <w:tr w14:paraId="4F8F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31" w:type="pct"/>
            <w:vAlign w:val="center"/>
          </w:tcPr>
          <w:p w14:paraId="2C9443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w:t>
            </w:r>
          </w:p>
          <w:p w14:paraId="3FCAFF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（单位：元）</w:t>
            </w:r>
          </w:p>
        </w:tc>
        <w:tc>
          <w:tcPr>
            <w:tcW w:w="3368" w:type="pct"/>
            <w:vAlign w:val="center"/>
          </w:tcPr>
          <w:p w14:paraId="34CA6C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p>
          <w:p w14:paraId="4ADDC5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p>
        </w:tc>
      </w:tr>
      <w:tr w14:paraId="77B1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598EE5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w:t>
            </w:r>
          </w:p>
        </w:tc>
        <w:tc>
          <w:tcPr>
            <w:tcW w:w="3368" w:type="pct"/>
            <w:vAlign w:val="center"/>
          </w:tcPr>
          <w:p w14:paraId="2AD673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287E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448AB1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3368" w:type="pct"/>
            <w:vAlign w:val="center"/>
          </w:tcPr>
          <w:p w14:paraId="4F1B03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1867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092B8A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p w14:paraId="1484E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056F1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C445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D33B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5EE330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6CB188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723B59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2068D8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说明：1.投标人严格按照规定的格式填写。投标总报价应包含本项目实施期间的所有含税费用，并作为评标及定标的依据。</w:t>
      </w:r>
    </w:p>
    <w:p w14:paraId="27A644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2.任何有选择或有条件的投标报价或表中某一包填写多个报价，均将导致投标被拒绝。</w:t>
      </w:r>
    </w:p>
    <w:p w14:paraId="34AFB2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3.特殊事项在备注中注明。</w:t>
      </w:r>
    </w:p>
    <w:p w14:paraId="4F9C2C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4.表中大写与小写不一致的，以大写为准。</w:t>
      </w:r>
    </w:p>
    <w:p w14:paraId="3AEE37C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F1115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245BCF2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u w:val="none"/>
          <w:lang w:val="en-US" w:eastAsia="zh-CN"/>
        </w:rPr>
      </w:pPr>
      <w:bookmarkStart w:id="23" w:name="_Toc9211"/>
      <w:r>
        <w:rPr>
          <w:rFonts w:hint="eastAsia" w:ascii="宋体" w:hAnsi="宋体" w:eastAsia="宋体" w:cs="宋体"/>
          <w:b w:val="0"/>
          <w:bCs w:val="0"/>
          <w:sz w:val="28"/>
          <w:szCs w:val="28"/>
          <w:u w:val="none"/>
          <w:lang w:val="en-US" w:eastAsia="zh-CN"/>
        </w:rPr>
        <w:t>封面：</w:t>
      </w:r>
      <w:bookmarkEnd w:id="23"/>
    </w:p>
    <w:p w14:paraId="351394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429AC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3332C5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投标文件</w:t>
      </w:r>
    </w:p>
    <w:p w14:paraId="5FC31B5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资格响应文件</w:t>
      </w:r>
    </w:p>
    <w:p w14:paraId="541F35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3C8A70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4EFD73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6C0A02F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p>
    <w:p w14:paraId="74E77758">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p>
    <w:p w14:paraId="07C7F67D">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投标人：</w:t>
      </w:r>
    </w:p>
    <w:p w14:paraId="5E61456A">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35BF15D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105707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年月日</w:t>
      </w:r>
    </w:p>
    <w:p w14:paraId="4A4FBD9C">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3F1243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（一）政府采购供应商信用承诺函</w:t>
      </w:r>
    </w:p>
    <w:p w14:paraId="1FBA96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单位名称（自然人姓名）：</w:t>
      </w:r>
    </w:p>
    <w:p w14:paraId="7364D4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统一社会信用代码（身份证号码）：</w:t>
      </w:r>
    </w:p>
    <w:p w14:paraId="501692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p>
    <w:p w14:paraId="07D1AA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38E32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一、我单位（本人）符合《中华人民共和国政府采购法》第二十二条规定：</w:t>
      </w:r>
    </w:p>
    <w:p w14:paraId="5A093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14:paraId="3E13E5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14:paraId="60B295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14:paraId="7DB4A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62E50A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14:paraId="771E41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（六）符合法律、行政法规规定的其他条件。</w:t>
      </w:r>
    </w:p>
    <w:p w14:paraId="02A57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二、我单位（本人）未被列入严重违法失信名单、失信被执行人名单、重大税收违法案件当事人名单、政府采购严重违法失信行为记录名单。</w:t>
      </w:r>
    </w:p>
    <w:p w14:paraId="41953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三、如果本公司（本人）有幸中标（成交），在合同签订之前，采购单位有权要求本公司（本人）提供资格证明材料原件进行核验。</w:t>
      </w:r>
    </w:p>
    <w:p w14:paraId="4B146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23178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36F16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07C95C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5BC8314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50A6C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（二）具有独立承担民事责任的能力</w:t>
      </w:r>
    </w:p>
    <w:p w14:paraId="178EF9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法人、其他组织或者自然人的证明文件</w:t>
      </w:r>
    </w:p>
    <w:p w14:paraId="34207D6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1、供应商为企业（包括合伙企业）的，应提供有效的“营业执照”；</w:t>
      </w:r>
    </w:p>
    <w:p w14:paraId="4884513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2、供应商为事业单位的，应提供有效的“事业单位法人证书”；</w:t>
      </w:r>
    </w:p>
    <w:p w14:paraId="7994E3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3、供应商为非企业机构的，应提供有效的“执业许可证”、“登记证书”等证明文件；</w:t>
      </w:r>
    </w:p>
    <w:p w14:paraId="086A7DA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4、供应商是个体工商户的，应提供有效的“个体工商户营业执照”；</w:t>
      </w:r>
    </w:p>
    <w:p w14:paraId="7866F0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5、供应商是自然人的，应提供有效的自然人身份证明。</w:t>
      </w:r>
    </w:p>
    <w:p w14:paraId="2D6CDB28">
      <w:pP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br w:type="page"/>
      </w:r>
    </w:p>
    <w:p w14:paraId="08A0FC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（三）具有良好的商业信誉和健全的财务会计制度</w:t>
      </w:r>
    </w:p>
    <w:p w14:paraId="3E32EFF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和</w:t>
      </w:r>
      <w:r>
        <w:rPr>
          <w:rFonts w:hint="eastAsia" w:ascii="宋体" w:hAnsi="宋体" w:eastAsia="宋体" w:cs="宋体"/>
          <w:sz w:val="24"/>
          <w:szCs w:val="24"/>
          <w:u w:val="none"/>
          <w:vertAlign w:val="baseline"/>
          <w:lang w:val="en-US" w:eastAsia="zh-CN"/>
        </w:rPr>
        <w:t>本单位</w:t>
      </w:r>
      <w:r>
        <w:rPr>
          <w:rFonts w:hint="eastAsia" w:ascii="宋体" w:hAnsi="宋体" w:eastAsia="宋体" w:cs="宋体"/>
          <w:sz w:val="24"/>
          <w:szCs w:val="24"/>
          <w:lang w:val="en-US" w:eastAsia="zh-CN"/>
        </w:rPr>
        <w:t>财务会计制度文件（开标当月新成立公司无需提供）。</w:t>
      </w:r>
    </w:p>
    <w:p w14:paraId="50E5AFB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05E10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72B699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p w14:paraId="1CA4A01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218381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（五）未被“信用中国”网站（www.creditchina.gov.cn）、“中国政府采购网”（www.ccgp.gov.cn）列入失信被执行人、重大税收违法失信主体、政府采购严重违法失信行为记录名单。</w:t>
      </w:r>
    </w:p>
    <w:p w14:paraId="250C5C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60683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A5DCA3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注：1.其他组织或自然人不查询“信用中国”网站。</w:t>
      </w:r>
    </w:p>
    <w:p w14:paraId="208B0C7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CD3C4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（六）投标保证金</w:t>
      </w:r>
    </w:p>
    <w:p w14:paraId="568D6E5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提供投标保证金汇款凭证或电子保函的证明材料</w:t>
      </w:r>
    </w:p>
    <w:p w14:paraId="31F4646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8052996">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特定资格要求</w:t>
      </w:r>
    </w:p>
    <w:p w14:paraId="228BDBA3">
      <w:pPr>
        <w:rPr>
          <w:rFonts w:hint="eastAsia" w:ascii="宋体" w:hAnsi="宋体" w:eastAsia="宋体" w:cs="宋体"/>
          <w:sz w:val="24"/>
          <w:szCs w:val="24"/>
          <w:lang w:val="en-US" w:eastAsia="zh-CN"/>
        </w:rPr>
      </w:pPr>
      <w:r>
        <w:rPr>
          <w:rFonts w:hint="eastAsia" w:ascii="宋体" w:hAnsi="宋体" w:eastAsia="宋体" w:cs="宋体"/>
          <w:i w:val="0"/>
          <w:iCs w:val="0"/>
          <w:sz w:val="24"/>
          <w:szCs w:val="24"/>
          <w:lang w:val="en-US" w:eastAsia="zh-CN"/>
        </w:rPr>
        <w:t>（</w:t>
      </w:r>
      <w:r>
        <w:rPr>
          <w:rFonts w:hint="eastAsia" w:ascii="宋体" w:hAnsi="宋体" w:eastAsia="宋体" w:cs="宋体"/>
          <w:i w:val="0"/>
          <w:iCs w:val="0"/>
          <w:color w:val="auto"/>
          <w:sz w:val="24"/>
          <w:highlight w:val="none"/>
          <w:lang w:eastAsia="zh-CN"/>
        </w:rPr>
        <w:t>满足其中任意资质即可：</w:t>
      </w:r>
      <w:r>
        <w:rPr>
          <w:rFonts w:hint="eastAsia" w:ascii="宋体" w:hAnsi="宋体" w:eastAsia="宋体" w:cs="宋体"/>
          <w:i w:val="0"/>
          <w:iCs w:val="0"/>
          <w:color w:val="auto"/>
          <w:sz w:val="24"/>
          <w:highlight w:val="none"/>
          <w:lang w:val="en-US" w:eastAsia="zh-CN"/>
        </w:rPr>
        <w:t>1.</w:t>
      </w:r>
      <w:r>
        <w:rPr>
          <w:rFonts w:hint="eastAsia" w:ascii="宋体" w:hAnsi="宋体" w:eastAsia="宋体" w:cs="宋体"/>
          <w:i w:val="0"/>
          <w:iCs w:val="0"/>
          <w:color w:val="auto"/>
          <w:sz w:val="24"/>
          <w:highlight w:val="none"/>
          <w:u w:val="none"/>
        </w:rPr>
        <w:t>工程设计综合</w:t>
      </w:r>
      <w:r>
        <w:rPr>
          <w:rFonts w:hint="eastAsia" w:ascii="宋体" w:hAnsi="宋体" w:eastAsia="宋体" w:cs="宋体"/>
          <w:i w:val="0"/>
          <w:iCs w:val="0"/>
          <w:color w:val="auto"/>
          <w:sz w:val="24"/>
          <w:highlight w:val="none"/>
          <w:u w:val="none"/>
          <w:lang w:val="en-US" w:eastAsia="zh-CN"/>
        </w:rPr>
        <w:t>甲级</w:t>
      </w:r>
      <w:r>
        <w:rPr>
          <w:rFonts w:hint="eastAsia" w:ascii="宋体" w:hAnsi="宋体" w:eastAsia="宋体" w:cs="宋体"/>
          <w:i w:val="0"/>
          <w:iCs w:val="0"/>
          <w:color w:val="auto"/>
          <w:sz w:val="24"/>
          <w:highlight w:val="none"/>
          <w:u w:val="none"/>
        </w:rPr>
        <w:t>资质</w:t>
      </w:r>
      <w:r>
        <w:rPr>
          <w:rFonts w:hint="eastAsia" w:ascii="宋体" w:hAnsi="宋体" w:eastAsia="宋体" w:cs="宋体"/>
          <w:i w:val="0"/>
          <w:iCs w:val="0"/>
          <w:color w:val="auto"/>
          <w:sz w:val="24"/>
          <w:highlight w:val="none"/>
          <w:u w:val="none"/>
          <w:lang w:eastAsia="zh-CN"/>
        </w:rPr>
        <w:t>；</w:t>
      </w:r>
      <w:r>
        <w:rPr>
          <w:rFonts w:hint="eastAsia" w:ascii="宋体" w:hAnsi="宋体" w:eastAsia="宋体" w:cs="宋体"/>
          <w:i w:val="0"/>
          <w:iCs w:val="0"/>
          <w:color w:val="auto"/>
          <w:sz w:val="24"/>
          <w:highlight w:val="none"/>
          <w:u w:val="none"/>
          <w:lang w:val="en-US" w:eastAsia="zh-CN"/>
        </w:rPr>
        <w:t>2.</w:t>
      </w:r>
      <w:r>
        <w:rPr>
          <w:rFonts w:hint="eastAsia" w:ascii="宋体" w:hAnsi="宋体" w:eastAsia="宋体" w:cs="宋体"/>
          <w:i w:val="0"/>
          <w:iCs w:val="0"/>
          <w:color w:val="auto"/>
          <w:sz w:val="24"/>
          <w:highlight w:val="none"/>
          <w:u w:val="none"/>
        </w:rPr>
        <w:t>工程设计电子通信广电行业</w:t>
      </w:r>
      <w:r>
        <w:rPr>
          <w:rFonts w:hint="eastAsia" w:ascii="宋体" w:hAnsi="宋体" w:eastAsia="宋体" w:cs="宋体"/>
          <w:i w:val="0"/>
          <w:iCs w:val="0"/>
          <w:color w:val="auto"/>
          <w:sz w:val="24"/>
          <w:highlight w:val="none"/>
          <w:u w:val="none"/>
          <w:lang w:val="en-US" w:eastAsia="zh-CN"/>
        </w:rPr>
        <w:t>甲</w:t>
      </w:r>
      <w:r>
        <w:rPr>
          <w:rFonts w:hint="eastAsia" w:ascii="宋体" w:hAnsi="宋体" w:eastAsia="宋体" w:cs="宋体"/>
          <w:i w:val="0"/>
          <w:iCs w:val="0"/>
          <w:color w:val="auto"/>
          <w:sz w:val="24"/>
          <w:highlight w:val="none"/>
          <w:u w:val="none"/>
        </w:rPr>
        <w:t>级资质</w:t>
      </w:r>
      <w:r>
        <w:rPr>
          <w:rFonts w:hint="eastAsia" w:ascii="宋体" w:hAnsi="宋体" w:eastAsia="宋体" w:cs="宋体"/>
          <w:i w:val="0"/>
          <w:iCs w:val="0"/>
          <w:color w:val="auto"/>
          <w:sz w:val="24"/>
          <w:highlight w:val="none"/>
          <w:u w:val="none"/>
          <w:lang w:eastAsia="zh-CN"/>
        </w:rPr>
        <w:t>；</w:t>
      </w:r>
      <w:r>
        <w:rPr>
          <w:rFonts w:hint="eastAsia" w:ascii="宋体" w:hAnsi="宋体" w:eastAsia="宋体" w:cs="宋体"/>
          <w:i w:val="0"/>
          <w:iCs w:val="0"/>
          <w:sz w:val="24"/>
          <w:szCs w:val="24"/>
          <w:lang w:val="en-US" w:eastAsia="zh-CN"/>
        </w:rPr>
        <w:t>）</w:t>
      </w:r>
      <w:r>
        <w:rPr>
          <w:rFonts w:hint="eastAsia" w:ascii="宋体" w:hAnsi="宋体" w:eastAsia="宋体" w:cs="宋体"/>
          <w:sz w:val="24"/>
          <w:szCs w:val="24"/>
          <w:lang w:val="en-US" w:eastAsia="zh-CN"/>
        </w:rPr>
        <w:br w:type="page"/>
      </w:r>
    </w:p>
    <w:p w14:paraId="15C929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3B42E4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u w:val="none"/>
          <w:lang w:val="en-US" w:eastAsia="zh-CN"/>
        </w:rPr>
      </w:pPr>
      <w:bookmarkStart w:id="24" w:name="_Toc1672"/>
      <w:r>
        <w:rPr>
          <w:rFonts w:hint="eastAsia" w:ascii="宋体" w:hAnsi="宋体" w:eastAsia="宋体" w:cs="宋体"/>
          <w:b w:val="0"/>
          <w:bCs w:val="0"/>
          <w:sz w:val="28"/>
          <w:szCs w:val="28"/>
          <w:u w:val="none"/>
          <w:lang w:val="en-US" w:eastAsia="zh-CN"/>
        </w:rPr>
        <w:t>封面：</w:t>
      </w:r>
      <w:bookmarkEnd w:id="24"/>
    </w:p>
    <w:p w14:paraId="669D5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FB431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3D2776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投标文件</w:t>
      </w:r>
    </w:p>
    <w:p w14:paraId="466FFE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商务技术响应文件</w:t>
      </w:r>
    </w:p>
    <w:p w14:paraId="6FEA50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D201E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1ACF54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6875658D">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p>
    <w:p w14:paraId="6E0D9D6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p>
    <w:p w14:paraId="50A7707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投标人：</w:t>
      </w:r>
    </w:p>
    <w:p w14:paraId="355B9B7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32FF582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1CB9A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年月日</w:t>
      </w:r>
    </w:p>
    <w:p w14:paraId="6452199A">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1DD284A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u w:val="none"/>
          <w:lang w:val="en-US" w:eastAsia="zh-CN"/>
        </w:rPr>
      </w:pPr>
      <w:bookmarkStart w:id="25" w:name="_Toc9732"/>
      <w:r>
        <w:rPr>
          <w:rFonts w:hint="eastAsia" w:ascii="宋体" w:hAnsi="宋体" w:eastAsia="宋体" w:cs="宋体"/>
          <w:b w:val="0"/>
          <w:bCs w:val="0"/>
          <w:sz w:val="24"/>
          <w:szCs w:val="24"/>
          <w:u w:val="none"/>
          <w:lang w:val="en-US" w:eastAsia="zh-CN"/>
        </w:rPr>
        <w:t>（一）投标承诺函</w:t>
      </w:r>
      <w:bookmarkEnd w:id="25"/>
    </w:p>
    <w:p w14:paraId="172971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致：（采购人）</w:t>
      </w:r>
    </w:p>
    <w:p w14:paraId="01EB4A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（投标人名称）</w:t>
      </w:r>
      <w:r>
        <w:rPr>
          <w:rFonts w:hint="eastAsia" w:ascii="宋体" w:hAnsi="宋体" w:eastAsia="宋体" w:cs="宋体"/>
          <w:sz w:val="24"/>
          <w:szCs w:val="24"/>
          <w:lang w:val="en-US" w:eastAsia="zh-CN"/>
        </w:rPr>
        <w:t>授权</w:t>
      </w:r>
      <w:r>
        <w:rPr>
          <w:rFonts w:hint="eastAsia" w:ascii="宋体" w:hAnsi="宋体" w:eastAsia="宋体" w:cs="宋体"/>
          <w:sz w:val="24"/>
          <w:szCs w:val="24"/>
          <w:u w:val="none"/>
          <w:lang w:val="en-US" w:eastAsia="zh-CN"/>
        </w:rPr>
        <w:t>（投标人授权委托人姓名）</w:t>
      </w:r>
      <w:r>
        <w:rPr>
          <w:rFonts w:hint="eastAsia" w:ascii="宋体" w:hAnsi="宋体" w:eastAsia="宋体" w:cs="宋体"/>
          <w:sz w:val="24"/>
          <w:szCs w:val="24"/>
          <w:lang w:val="en-US" w:eastAsia="zh-CN"/>
        </w:rPr>
        <w:t>（职务/职称）为我方代表，参加贵方组织的（项目名称、项目编号）招标的有关活动，并对此项目进行投标。为此：</w:t>
      </w:r>
    </w:p>
    <w:p w14:paraId="5C0D551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我方承诺：已经具备《中华人民共和国政府采购法》中规定的参加政府采购活动的投标人应当具备的条件和本招标文件中规定的条件。</w:t>
      </w:r>
    </w:p>
    <w:p w14:paraId="31476FA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ascii="宋体" w:hAnsi="宋体"/>
          <w:color w:val="auto"/>
          <w:sz w:val="24"/>
        </w:rPr>
        <w:t>本投标</w:t>
      </w:r>
      <w:r>
        <w:rPr>
          <w:rFonts w:ascii="宋体" w:hAnsi="宋体"/>
          <w:color w:val="auto"/>
          <w:sz w:val="24"/>
          <w:lang w:val="zh-CN"/>
        </w:rPr>
        <w:t>有效期自</w:t>
      </w:r>
      <w:r>
        <w:rPr>
          <w:rFonts w:hint="eastAsia" w:ascii="宋体" w:hAnsi="宋体"/>
          <w:color w:val="auto"/>
          <w:sz w:val="24"/>
          <w:lang w:val="zh-CN"/>
        </w:rPr>
        <w:t>提交投标文件的截止之日</w:t>
      </w:r>
      <w:r>
        <w:rPr>
          <w:rFonts w:ascii="宋体" w:hAnsi="宋体"/>
          <w:color w:val="auto"/>
          <w:sz w:val="24"/>
          <w:lang w:val="zh-CN"/>
        </w:rPr>
        <w:t>起</w:t>
      </w:r>
      <w:r>
        <w:rPr>
          <w:rFonts w:hint="eastAsia" w:ascii="宋体" w:hAnsi="宋体"/>
          <w:b/>
          <w:bCs/>
          <w:color w:val="auto"/>
          <w:sz w:val="28"/>
          <w:szCs w:val="28"/>
          <w:u w:val="single"/>
        </w:rPr>
        <w:t xml:space="preserve">   </w:t>
      </w:r>
      <w:r>
        <w:rPr>
          <w:rFonts w:ascii="宋体" w:hAnsi="宋体"/>
          <w:b/>
          <w:bCs/>
          <w:color w:val="auto"/>
          <w:sz w:val="28"/>
          <w:szCs w:val="28"/>
          <w:lang w:val="zh-CN"/>
        </w:rPr>
        <w:t>日</w:t>
      </w:r>
      <w:r>
        <w:rPr>
          <w:rFonts w:ascii="宋体" w:hAnsi="宋体"/>
          <w:color w:val="auto"/>
          <w:sz w:val="24"/>
          <w:lang w:val="zh-CN"/>
        </w:rPr>
        <w:t>内有效</w:t>
      </w:r>
    </w:p>
    <w:p w14:paraId="4425E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3、我方同意在本项目招标文件中规定的投标有效期内遵守本投标文件中的承诺且在此期限期满之前均具有约束力。如果在开启投标文件后规定的投标有效期内撤回投标，我方的投标保证金可被贵方没收。</w:t>
      </w:r>
    </w:p>
    <w:p w14:paraId="1C7C2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4、按照招标文件规定提供全部投标文件，按照招标文件要求提供的报价见开标一览表。</w:t>
      </w:r>
    </w:p>
    <w:p w14:paraId="4006A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5、我方承诺：接受招标文件中的全部条款且无任何异议，保证遵守招标文件的规定。</w:t>
      </w:r>
    </w:p>
    <w:p w14:paraId="4580D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6、我方承诺：完全满足和投标招标文件中的各项技术和服务要求，若有偏差，已在偏离表中予以明确特别说明。</w:t>
      </w:r>
    </w:p>
    <w:p w14:paraId="28E68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7、我方完全理解贵方不一定接受最低价的投标或收到的任何投标，以及投标报价若超过项目预算时投标将被拒绝。</w:t>
      </w:r>
    </w:p>
    <w:p w14:paraId="606028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8、我方已详细审核全部投标文件，包括投标文件修改书（如有的话）、参考资料及有关附件，确认无误。</w:t>
      </w:r>
    </w:p>
    <w:p w14:paraId="66E0F7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9、我方承诺：与在本项目中设计编制技术规格的机构及其附属机构无任何直接隶属关系和利益关联。</w:t>
      </w:r>
    </w:p>
    <w:p w14:paraId="382C06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10、保证忠实地执行双方所签订的合同，并承担合同规定的责任和义务。</w:t>
      </w:r>
    </w:p>
    <w:p w14:paraId="29C4F2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我方承诺：投标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5439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EE9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1）提供虚假材料谋取中标、成交的；</w:t>
      </w:r>
    </w:p>
    <w:p w14:paraId="4976AD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2）采取不正当手段诋毁、排挤其他投标人的；</w:t>
      </w:r>
    </w:p>
    <w:p w14:paraId="6514E9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3）与采购人、其他投标人或者采购代理机构恶意串通的；</w:t>
      </w:r>
    </w:p>
    <w:p w14:paraId="2D0665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4）向采购人、采购代理机构行贿或者提供其他不正当利益的；</w:t>
      </w:r>
    </w:p>
    <w:p w14:paraId="4FB054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5）在招标采购过程中与采购人进行协商的；</w:t>
      </w:r>
    </w:p>
    <w:p w14:paraId="4E2EF9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6）拒绝有关部门监督检查或提供虚假情况的。</w:t>
      </w:r>
    </w:p>
    <w:p w14:paraId="01D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12、我方承诺：参加此项目招招标活动的一切费用，均由我方自行承担。</w:t>
      </w:r>
    </w:p>
    <w:p w14:paraId="21103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与本投标有关的一切往来通讯请寄：</w:t>
      </w:r>
    </w:p>
    <w:p w14:paraId="452CD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通讯地址：</w:t>
      </w:r>
    </w:p>
    <w:p w14:paraId="4A58B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p>
    <w:p w14:paraId="44075C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p>
    <w:p w14:paraId="54A3BB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电子邮件：</w:t>
      </w:r>
    </w:p>
    <w:p w14:paraId="434379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授权委托人联系电话：</w:t>
      </w:r>
    </w:p>
    <w:p w14:paraId="6FBA7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5AB613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395EC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39476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729CEC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8691F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71A3332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A036BEC">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sz w:val="24"/>
          <w:szCs w:val="24"/>
          <w:u w:val="none"/>
          <w:lang w:val="en-US" w:eastAsia="zh-CN"/>
        </w:rPr>
      </w:pPr>
      <w:bookmarkStart w:id="26" w:name="_Toc5208"/>
      <w:r>
        <w:rPr>
          <w:rFonts w:hint="eastAsia" w:ascii="宋体" w:hAnsi="宋体" w:eastAsia="宋体" w:cs="宋体"/>
          <w:b w:val="0"/>
          <w:bCs w:val="0"/>
          <w:sz w:val="24"/>
          <w:szCs w:val="24"/>
          <w:u w:val="none"/>
          <w:lang w:val="en-US" w:eastAsia="zh-CN"/>
        </w:rPr>
        <w:t>（二）法定代表人（单位负责人）身份证明</w:t>
      </w:r>
      <w:bookmarkEnd w:id="26"/>
    </w:p>
    <w:p w14:paraId="329418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20F1436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p>
    <w:p w14:paraId="688C49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p>
    <w:p w14:paraId="0238E81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p>
    <w:p w14:paraId="45F7A9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成立时间：年月日</w:t>
      </w:r>
    </w:p>
    <w:p w14:paraId="421B87B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p>
    <w:p w14:paraId="0AA6000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姓名：性别：</w:t>
      </w:r>
    </w:p>
    <w:p w14:paraId="63BAB9F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年龄：职务：</w:t>
      </w:r>
    </w:p>
    <w:p w14:paraId="1447AD7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系（供应商）的法定代表人（单位负责人）。</w:t>
      </w:r>
    </w:p>
    <w:p w14:paraId="5FB242D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733C7F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56F5AD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w:t>
      </w:r>
    </w:p>
    <w:p w14:paraId="0FF98FD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85C03C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0D7CC30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6C4B3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15C232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6039E6D8">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FED3E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val="0"/>
          <w:bCs w:val="0"/>
          <w:sz w:val="24"/>
          <w:szCs w:val="24"/>
          <w:lang w:val="en-US" w:eastAsia="zh-CN"/>
        </w:rPr>
      </w:pPr>
      <w:bookmarkStart w:id="27" w:name="_Toc15478"/>
      <w:r>
        <w:rPr>
          <w:rFonts w:hint="eastAsia" w:ascii="宋体" w:hAnsi="宋体" w:eastAsia="宋体" w:cs="宋体"/>
          <w:b w:val="0"/>
          <w:bCs w:val="0"/>
          <w:sz w:val="24"/>
          <w:szCs w:val="24"/>
          <w:lang w:val="en-US" w:eastAsia="zh-CN"/>
        </w:rPr>
        <w:t>（三）法定代表人授权委托书</w:t>
      </w:r>
      <w:bookmarkEnd w:id="27"/>
    </w:p>
    <w:p w14:paraId="0DFD760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姓名）系（供应商名称）的法定代表人（单位负责人），现委托（姓名）为我方代理人。代理人根据授权，以我方名义签署、澄清确认、说明、补正、递交、撤回、修改（项目名称）响应文件、签订合同和处理有关事宜，其法律后果由我方承担。</w:t>
      </w:r>
    </w:p>
    <w:p w14:paraId="6252728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委托期限：自本授权委托书签署之日起至响应文件有效期届满之日止。</w:t>
      </w:r>
    </w:p>
    <w:p w14:paraId="7828A7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代理人无转委托权。。</w:t>
      </w:r>
    </w:p>
    <w:p w14:paraId="7AC546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授权代表（姓名）：性别：年龄：</w:t>
      </w:r>
    </w:p>
    <w:p w14:paraId="33AA31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0002928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37A95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附：法定代表人（单位负责人）身份证正反两面扫描件和授权代表身份证正反两面扫描件</w:t>
      </w:r>
    </w:p>
    <w:p w14:paraId="682956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E49BF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D3E9D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C5F9A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05ACF1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A84D5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4FE524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br w:type="page"/>
      </w:r>
      <w:bookmarkStart w:id="28" w:name="_Toc7808"/>
      <w:r>
        <w:rPr>
          <w:rFonts w:hint="eastAsia" w:ascii="宋体" w:hAnsi="宋体" w:eastAsia="宋体" w:cs="宋体"/>
          <w:sz w:val="24"/>
          <w:szCs w:val="24"/>
          <w:highlight w:val="none"/>
          <w:lang w:val="en-US" w:eastAsia="zh-CN"/>
        </w:rPr>
        <w:t>（四）中小企业声明函（工程、服务）[若有，统一格式]</w:t>
      </w:r>
      <w:bookmarkEnd w:id="28"/>
    </w:p>
    <w:p w14:paraId="22E64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p>
    <w:p w14:paraId="04340F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单位名称</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6E8A9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single"/>
          <w:lang w:val="en-US" w:eastAsia="zh-CN"/>
        </w:rPr>
        <w:t>标的名称</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lang w:val="en-US" w:eastAsia="zh-CN"/>
        </w:rPr>
        <w:t>，属于（</w:t>
      </w:r>
      <w:r>
        <w:rPr>
          <w:rFonts w:hint="eastAsia" w:ascii="宋体" w:hAnsi="宋体" w:eastAsia="宋体" w:cs="宋体"/>
          <w:sz w:val="24"/>
          <w:szCs w:val="24"/>
          <w:highlight w:val="none"/>
          <w:u w:val="single"/>
          <w:lang w:val="en-US" w:eastAsia="zh-CN"/>
        </w:rPr>
        <w:t>采购文件中明确的所属行业</w:t>
      </w:r>
      <w:r>
        <w:rPr>
          <w:rFonts w:hint="eastAsia" w:ascii="宋体" w:hAnsi="宋体" w:eastAsia="宋体" w:cs="宋体"/>
          <w:sz w:val="24"/>
          <w:szCs w:val="24"/>
          <w:highlight w:val="none"/>
          <w:lang w:val="en-US" w:eastAsia="zh-CN"/>
        </w:rPr>
        <w:t>）；承建（承接）企业为</w:t>
      </w:r>
      <w:r>
        <w:rPr>
          <w:rFonts w:hint="eastAsia" w:ascii="宋体" w:hAnsi="宋体" w:eastAsia="宋体" w:cs="宋体"/>
          <w:sz w:val="24"/>
          <w:szCs w:val="24"/>
          <w:highlight w:val="none"/>
          <w:u w:val="single"/>
          <w:lang w:val="en-US" w:eastAsia="zh-CN"/>
        </w:rPr>
        <w:t>（企业名称）</w:t>
      </w:r>
      <w:r>
        <w:rPr>
          <w:rFonts w:hint="eastAsia" w:ascii="宋体" w:hAnsi="宋体" w:eastAsia="宋体" w:cs="宋体"/>
          <w:sz w:val="24"/>
          <w:szCs w:val="24"/>
          <w:highlight w:val="none"/>
          <w:lang w:val="en-US" w:eastAsia="zh-CN"/>
        </w:rPr>
        <w:t>，从业人员人，营业收入为万元，资产总额为万元，属于（</w:t>
      </w:r>
      <w:r>
        <w:rPr>
          <w:rFonts w:hint="eastAsia" w:ascii="宋体" w:hAnsi="宋体" w:eastAsia="宋体" w:cs="宋体"/>
          <w:sz w:val="24"/>
          <w:szCs w:val="24"/>
          <w:highlight w:val="none"/>
          <w:u w:val="single"/>
          <w:lang w:val="en-US" w:eastAsia="zh-CN"/>
        </w:rPr>
        <w:t>中型企业、小型企业、微型企业</w:t>
      </w:r>
      <w:r>
        <w:rPr>
          <w:rFonts w:hint="eastAsia" w:ascii="宋体" w:hAnsi="宋体" w:eastAsia="宋体" w:cs="宋体"/>
          <w:sz w:val="24"/>
          <w:szCs w:val="24"/>
          <w:highlight w:val="none"/>
          <w:lang w:val="en-US" w:eastAsia="zh-CN"/>
        </w:rPr>
        <w:t>）；</w:t>
      </w:r>
    </w:p>
    <w:p w14:paraId="335CA1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以上企业，不属于大企业的分支机构，不存在控股股东为大企业的情形，也不存在与大企业的负责人为同一人的情形。</w:t>
      </w:r>
    </w:p>
    <w:p w14:paraId="39B440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本企业对上述声明内容的真实性负责。如有虚假，将依法承担相应责任。</w:t>
      </w:r>
    </w:p>
    <w:p w14:paraId="30F4B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企业名称（盖章）：</w:t>
      </w:r>
    </w:p>
    <w:p w14:paraId="03457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日期：年月日</w:t>
      </w:r>
    </w:p>
    <w:p w14:paraId="002801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p w14:paraId="125DB6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1.重要提示：供应商应仔细阅读本函附件1关于“中小企业声明函”的填写要求及提交要求，否则，因填写或提交等产生的一切不利后果，须自行承担。</w:t>
      </w:r>
    </w:p>
    <w:p w14:paraId="0216D8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2.从业人员、营业收入、资产总额填报上一年度数据，无上一年度数据的新成立企业可不填报。</w:t>
      </w:r>
    </w:p>
    <w:p w14:paraId="7A88A052">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6374BE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p w14:paraId="47FD0B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（一）关于“中小企业声明函”的填写要求：</w:t>
      </w:r>
    </w:p>
    <w:p w14:paraId="2BA1C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“中小企业声明函”具体填写要求如下：</w:t>
      </w:r>
    </w:p>
    <w:p w14:paraId="2377F3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1.“单位名称”应填写采购人名称。</w:t>
      </w:r>
    </w:p>
    <w:p w14:paraId="39536A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3B98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6480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1CBCB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E58ED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577A8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5.“企业名称”应填写投标（响应）的货物制造商/服务承接商/工程承建商（根据项目属性确定）。</w:t>
      </w:r>
    </w:p>
    <w:p w14:paraId="7ED05C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对于分包方式面向中小企业采购的项目，“企业名称”应填写分包部分采购标的对应的货物制造商/服务承接商/工程承建商（根据项目属性确定）。</w:t>
      </w:r>
    </w:p>
    <w:p w14:paraId="687AB0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对于以联合体方式面向中小企业采购的项目，“企业名称”应填写联合体中中小企业承担采购标的对应的货物制造商/服务承接商/工程承建商（根据项目属性确定）。</w:t>
      </w:r>
    </w:p>
    <w:p w14:paraId="6ADD73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6.从业人员、资产总额指标以上年度末数据为依据，营业收入指标以上年度累计数据为依据。无上年度数据的新成立企业可不填报。</w:t>
      </w:r>
    </w:p>
    <w:p w14:paraId="0F6D06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C4719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78DBF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（二）关于“中小企业声明函”的提交要求</w:t>
      </w:r>
    </w:p>
    <w:p w14:paraId="6E14AF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63320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2.鼓励供应商在投标（响应）时一并提供对货物制造商、服务承接商、工程承建商相关信息的核实核验情况以及其他佐证材料。</w:t>
      </w:r>
    </w:p>
    <w:p w14:paraId="639C21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8CCEC3">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3DE32F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w:t>
      </w:r>
    </w:p>
    <w:p w14:paraId="5B11B8D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关于印发中小企业划型标准规定的通知工信部联企业〔2011〕300号</w:t>
      </w:r>
    </w:p>
    <w:p w14:paraId="71195E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各省、自治区、直辖市人民政府，国务院各部委、各直属机构及有关单位：</w:t>
      </w:r>
    </w:p>
    <w:p w14:paraId="702369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5A42B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经国务院同意，现印发给你们，请遵照执行。</w:t>
      </w:r>
    </w:p>
    <w:p w14:paraId="3702B9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工业和信息化部　国家统计局</w:t>
      </w:r>
    </w:p>
    <w:p w14:paraId="6974DD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国家发展和改革委员会　财政部</w:t>
      </w:r>
    </w:p>
    <w:p w14:paraId="5AAB4E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二○一一年六月十八日</w:t>
      </w:r>
    </w:p>
    <w:p w14:paraId="61BD8B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p>
    <w:p w14:paraId="50C543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中小企业划型标准规定</w:t>
      </w:r>
    </w:p>
    <w:p w14:paraId="152A4B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一、根据《中华人民共和国中小企业促进法》和《国务院关于进一步促进中小企业发展的若干意见》（国发〔2009〕36号），制定本规定。</w:t>
      </w:r>
    </w:p>
    <w:p w14:paraId="490FAD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二、中小企业划分为中型、小型、微型三种类型，具体标准根据企业从业人员、营业收入、资产总额等指标，结合行业特点制定。</w:t>
      </w:r>
    </w:p>
    <w:p w14:paraId="2B2D1E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A94D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四、各行业划型标准为：</w:t>
      </w:r>
    </w:p>
    <w:p w14:paraId="364CE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4B834F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2081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A84C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F3B8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B44A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64D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800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28C35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1344B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349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27F97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A7E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CD48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2D0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C632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1EF03D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五、企业类型的划分以统计部门的统计数据为依据。</w:t>
      </w:r>
    </w:p>
    <w:p w14:paraId="6ECD8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六、本规定适用于在中华人民共和国境内依法设立的各类所有制和各种组织形式的企业。个体工商户和本规定以外的行业，参照本规定进行划型。</w:t>
      </w:r>
    </w:p>
    <w:p w14:paraId="743091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2286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八、本规定由工业和信息化部、国家统计局会同有关部门根据《国民经济行业分类》修订情况和企业发展变化情况适时修订。</w:t>
      </w:r>
    </w:p>
    <w:p w14:paraId="046E17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九、本规定由工业和信息化部、国家统计局会同有关部门负责解释。</w:t>
      </w:r>
    </w:p>
    <w:p w14:paraId="34FF2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none"/>
          <w:lang w:val="en-US" w:eastAsia="zh-CN"/>
        </w:rPr>
        <w:t>十、本规定自发布之日起执行，原国家经贸委、原国家计委、财政部和国家统计局2003年颁布的《中小企业标准暂行规定》同时废止。</w:t>
      </w:r>
    </w:p>
    <w:p w14:paraId="0A3EEA2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259F9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sz w:val="24"/>
          <w:szCs w:val="24"/>
          <w:highlight w:val="none"/>
          <w:lang w:val="en-US" w:eastAsia="zh-CN"/>
        </w:rPr>
      </w:pPr>
      <w:bookmarkStart w:id="29" w:name="_Toc3619"/>
      <w:r>
        <w:rPr>
          <w:rFonts w:hint="eastAsia" w:ascii="宋体" w:hAnsi="宋体" w:eastAsia="宋体" w:cs="宋体"/>
          <w:sz w:val="24"/>
          <w:szCs w:val="24"/>
          <w:highlight w:val="none"/>
          <w:lang w:val="en-US" w:eastAsia="zh-CN"/>
        </w:rPr>
        <w:t>（五）监狱企业证明[若有，格式自拟]</w:t>
      </w:r>
      <w:bookmarkEnd w:id="29"/>
    </w:p>
    <w:p w14:paraId="1585467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1F27AB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注：1.监狱企业参加政府采购活动时，应当提供由省级以上监狱管理局、戒毒管理局（含新疆生产建设兵团）出具的属于监狱企业的证明文件，并加盖单位公章。</w:t>
      </w:r>
    </w:p>
    <w:p w14:paraId="17C361A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2.监狱企业视同小型、微型企业，享受预留份额、评标中价格扣除等政府采购促进中小企业发展的政府采购政策。监狱企业属于小型、微型企业的，不重复享受政策。</w:t>
      </w:r>
    </w:p>
    <w:p w14:paraId="75D161CA">
      <w:pPr>
        <w:spacing w:line="480" w:lineRule="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br w:type="page"/>
      </w:r>
    </w:p>
    <w:p w14:paraId="1123646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（六）残疾人福利性单位声明函[若有，统一格式]</w:t>
      </w:r>
    </w:p>
    <w:p w14:paraId="0029A0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highlight w:val="none"/>
          <w:lang w:val="en-US" w:eastAsia="zh-CN"/>
        </w:rPr>
      </w:pPr>
    </w:p>
    <w:p w14:paraId="0A6827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提供货物（服务），或者提供其他残疾人福利性单位制造的货物（不包括使用非残疾人福利性单位注册商标的货物）。</w:t>
      </w:r>
    </w:p>
    <w:p w14:paraId="47EFAB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18419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highlight w:val="none"/>
          <w:lang w:val="en-US" w:eastAsia="zh-CN"/>
        </w:rPr>
      </w:pPr>
    </w:p>
    <w:p w14:paraId="3131AB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投标人名称（盖单位公章）：</w:t>
      </w:r>
    </w:p>
    <w:p w14:paraId="363C9A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日期：年月日</w:t>
      </w:r>
    </w:p>
    <w:p w14:paraId="11346D51">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507BB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（七）商务条款投标及偏离说明表</w:t>
      </w:r>
    </w:p>
    <w:p w14:paraId="4E36D4E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0DAB8C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504"/>
        <w:gridCol w:w="1331"/>
        <w:gridCol w:w="1306"/>
        <w:gridCol w:w="1096"/>
        <w:gridCol w:w="2589"/>
      </w:tblGrid>
      <w:tr w14:paraId="18EC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C9A9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04" w:type="dxa"/>
            <w:vAlign w:val="center"/>
          </w:tcPr>
          <w:p w14:paraId="1895DDB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名称</w:t>
            </w:r>
          </w:p>
        </w:tc>
        <w:tc>
          <w:tcPr>
            <w:tcW w:w="1331" w:type="dxa"/>
            <w:vAlign w:val="center"/>
          </w:tcPr>
          <w:p w14:paraId="652A222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招标文件要求</w:t>
            </w:r>
          </w:p>
        </w:tc>
        <w:tc>
          <w:tcPr>
            <w:tcW w:w="1306" w:type="dxa"/>
            <w:vAlign w:val="center"/>
          </w:tcPr>
          <w:p w14:paraId="18A78F5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投标文件响应情况</w:t>
            </w:r>
          </w:p>
        </w:tc>
        <w:tc>
          <w:tcPr>
            <w:tcW w:w="0" w:type="auto"/>
            <w:vAlign w:val="center"/>
          </w:tcPr>
          <w:p w14:paraId="629FC14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偏离情况</w:t>
            </w:r>
          </w:p>
        </w:tc>
        <w:tc>
          <w:tcPr>
            <w:tcW w:w="0" w:type="auto"/>
            <w:vAlign w:val="center"/>
          </w:tcPr>
          <w:p w14:paraId="719F56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投标人的相关说明或原因</w:t>
            </w:r>
          </w:p>
        </w:tc>
      </w:tr>
      <w:tr w14:paraId="399B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252F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04" w:type="dxa"/>
            <w:vAlign w:val="center"/>
          </w:tcPr>
          <w:p w14:paraId="2643BA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p>
        </w:tc>
        <w:tc>
          <w:tcPr>
            <w:tcW w:w="1331" w:type="dxa"/>
            <w:vAlign w:val="center"/>
          </w:tcPr>
          <w:p w14:paraId="7198396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6E0E33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2475ED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5E1FA84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r w14:paraId="2BFC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AA10F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504" w:type="dxa"/>
            <w:vAlign w:val="center"/>
          </w:tcPr>
          <w:p w14:paraId="07B626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p>
        </w:tc>
        <w:tc>
          <w:tcPr>
            <w:tcW w:w="1331" w:type="dxa"/>
            <w:vAlign w:val="center"/>
          </w:tcPr>
          <w:p w14:paraId="757A25A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5C06CCB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47EFB95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632E94D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r w14:paraId="4740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DA57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504" w:type="dxa"/>
            <w:vAlign w:val="center"/>
          </w:tcPr>
          <w:p w14:paraId="64BF59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highlight w:val="none"/>
                <w:vertAlign w:val="baseline"/>
                <w:lang w:val="en-US" w:eastAsia="zh-CN"/>
              </w:rPr>
            </w:pPr>
          </w:p>
        </w:tc>
        <w:tc>
          <w:tcPr>
            <w:tcW w:w="1331" w:type="dxa"/>
            <w:vAlign w:val="center"/>
          </w:tcPr>
          <w:p w14:paraId="3FA437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5B2D555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20D0AC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13B91AE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r w14:paraId="07FA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4AE20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c>
          <w:tcPr>
            <w:tcW w:w="1504" w:type="dxa"/>
            <w:vAlign w:val="center"/>
          </w:tcPr>
          <w:p w14:paraId="25B58F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31" w:type="dxa"/>
            <w:vAlign w:val="center"/>
          </w:tcPr>
          <w:p w14:paraId="5DA29F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1306" w:type="dxa"/>
            <w:vAlign w:val="center"/>
          </w:tcPr>
          <w:p w14:paraId="661A05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0058C3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c>
          <w:tcPr>
            <w:tcW w:w="0" w:type="auto"/>
            <w:vAlign w:val="center"/>
          </w:tcPr>
          <w:p w14:paraId="5AE33E5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highlight w:val="none"/>
                <w:vertAlign w:val="baseline"/>
                <w:lang w:val="en-US" w:eastAsia="zh-CN"/>
              </w:rPr>
            </w:pPr>
          </w:p>
        </w:tc>
      </w:tr>
    </w:tbl>
    <w:p w14:paraId="07A5C3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p>
    <w:p w14:paraId="2EB0FB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B9F48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60FD7A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6313F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74C816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说明：1、如投标人提交的商务条款与招标文件的要求存在偏离，需逐项填写《商务条款偏离说明表》。</w:t>
      </w:r>
    </w:p>
    <w:p w14:paraId="327303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1148E39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3A0B4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（八）技术需求投标及偏离说明表</w:t>
      </w:r>
    </w:p>
    <w:p w14:paraId="13F7DC3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170451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1535"/>
        <w:gridCol w:w="1955"/>
        <w:gridCol w:w="1085"/>
        <w:gridCol w:w="2555"/>
      </w:tblGrid>
      <w:tr w14:paraId="414B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3CE3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0A6E759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4C4B00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96CCD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032510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3ACB51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1CDF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54FCB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405697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B8B9EE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C232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A6BAD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C38BA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39C0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953F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EDE4B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81406A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815E23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A83948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7F1E4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839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291041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5E62D1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52161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7216D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91CBAC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9B4E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4DE6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8F107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280845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E0B33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4692C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34116E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D5F39E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6612C1F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2F615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191A521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13C77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072449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8ABC7D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16CB622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238048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说明：1、如投标人提交的技术条款与招标文件的要求存在偏离，需逐项填写《技术参数投标及偏离说明表》。</w:t>
      </w:r>
    </w:p>
    <w:p w14:paraId="06DE2BD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64BED60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需明确产品详细参数（除易损件、备品备件或产品本身具有不确定性等因素的货物外），不得设置范围值，不得完全套用、复制招标文件，否则视为未实质性响应招标文件要求。投标文件中所列技术参数均基于实际产品性能如实填写，不得对招标要求进行复制或套用。各项指标响应清晰明确，无模糊表述或范围性描述。对于存在差异的技术条款，需标注为正偏离或负偏离，并附详细说明。所有响应内容均可在投标文件对应页码中查证，确保真实、准确、可追溯。</w:t>
      </w:r>
    </w:p>
    <w:p w14:paraId="68867CD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10AE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（九）商务部分资料清单</w:t>
      </w:r>
      <w:r>
        <w:rPr>
          <w:rFonts w:hint="eastAsia" w:ascii="宋体" w:hAnsi="宋体" w:eastAsia="宋体" w:cs="宋体"/>
          <w:sz w:val="24"/>
          <w:szCs w:val="24"/>
          <w:lang w:val="en-US" w:eastAsia="zh-CN"/>
        </w:rPr>
        <w:t>（若有，格式自拟）</w:t>
      </w:r>
    </w:p>
    <w:p w14:paraId="1DBF1B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13926A9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25F807E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1.投标人根据采购文件相关商务要求提供资料及认为需要提供的其他商务材料。</w:t>
      </w:r>
    </w:p>
    <w:p w14:paraId="44778E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2.招标文件其它规定或者投标人认为应介绍或者提交的其他商务文件资料、文件和说明。</w:t>
      </w:r>
    </w:p>
    <w:p w14:paraId="723CA838">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A2CC0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（十）业绩一览表（若有）</w:t>
      </w:r>
    </w:p>
    <w:p w14:paraId="3880B2C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p w14:paraId="578B5F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26"/>
        <w:gridCol w:w="978"/>
        <w:gridCol w:w="978"/>
        <w:gridCol w:w="978"/>
        <w:gridCol w:w="978"/>
        <w:gridCol w:w="2023"/>
        <w:gridCol w:w="631"/>
      </w:tblGrid>
      <w:tr w14:paraId="4481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81BE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075E1E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采购单位名称</w:t>
            </w:r>
          </w:p>
        </w:tc>
        <w:tc>
          <w:tcPr>
            <w:tcW w:w="0" w:type="auto"/>
            <w:vAlign w:val="center"/>
          </w:tcPr>
          <w:p w14:paraId="628D3E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0" w:type="auto"/>
            <w:vAlign w:val="center"/>
          </w:tcPr>
          <w:p w14:paraId="5856E1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项目内容</w:t>
            </w:r>
          </w:p>
        </w:tc>
        <w:tc>
          <w:tcPr>
            <w:tcW w:w="0" w:type="auto"/>
            <w:vAlign w:val="center"/>
          </w:tcPr>
          <w:p w14:paraId="41F8C5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合同总价</w:t>
            </w:r>
          </w:p>
        </w:tc>
        <w:tc>
          <w:tcPr>
            <w:tcW w:w="0" w:type="auto"/>
            <w:vAlign w:val="center"/>
          </w:tcPr>
          <w:p w14:paraId="19F6C5D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签订日期</w:t>
            </w:r>
          </w:p>
        </w:tc>
        <w:tc>
          <w:tcPr>
            <w:tcW w:w="0" w:type="auto"/>
            <w:vAlign w:val="center"/>
          </w:tcPr>
          <w:p w14:paraId="3FA276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采购单位联系人及电话</w:t>
            </w:r>
          </w:p>
        </w:tc>
        <w:tc>
          <w:tcPr>
            <w:tcW w:w="0" w:type="auto"/>
            <w:vAlign w:val="center"/>
          </w:tcPr>
          <w:p w14:paraId="51495B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68C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3A340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8830C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9CD5E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CA1E4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9D61A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3B34C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9997E5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2F063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BEA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23246A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3FD4E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D444E4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70E54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762DA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F330A6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48CEB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11CFB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235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7C21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3CF836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30201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A9A462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23795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46F8E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BA63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D8C6D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34C6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58335E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FC5DF3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F5B3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2FD65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580A41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FC334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B67ED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80F9EC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6BD1F21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B96E4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6C736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853C94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7303D2A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5834FF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60DD3B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6D9F23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2D8B32E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7C97B6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（十一）项目管理机构一览表（若有）</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07"/>
        <w:gridCol w:w="1704"/>
        <w:gridCol w:w="3096"/>
        <w:gridCol w:w="1008"/>
      </w:tblGrid>
      <w:tr w14:paraId="4953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6FA962C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岗位职务</w:t>
            </w:r>
          </w:p>
        </w:tc>
        <w:tc>
          <w:tcPr>
            <w:tcW w:w="591" w:type="pct"/>
            <w:vAlign w:val="center"/>
          </w:tcPr>
          <w:p w14:paraId="299A41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000" w:type="pct"/>
            <w:vAlign w:val="center"/>
          </w:tcPr>
          <w:p w14:paraId="7E4909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816" w:type="pct"/>
            <w:vAlign w:val="center"/>
          </w:tcPr>
          <w:p w14:paraId="2F62FB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证书编号（如有）</w:t>
            </w:r>
          </w:p>
        </w:tc>
        <w:tc>
          <w:tcPr>
            <w:tcW w:w="591" w:type="pct"/>
            <w:vAlign w:val="center"/>
          </w:tcPr>
          <w:p w14:paraId="7EF409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0700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919C76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667E1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24E948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F6CAB3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147D8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AA9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7B98187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D2FE1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33910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0ED81D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8165E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159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923B94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3BE7FF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A84B8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CD8FF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617F8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078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2AD3B7B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0E2C72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57D07E3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C9FCDB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1FB4D56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147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359E8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CFEAF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5A4E07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462B91C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30C69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E33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98E1D9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B1015E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050DB0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C449D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E9FE5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169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70FFC32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6C404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5EDC27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035FDA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CE2B3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0B0F64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C26AA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AAD86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420E44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CCA76D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4B721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日期：年月日</w:t>
      </w:r>
    </w:p>
    <w:p w14:paraId="70800E0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2C3231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7914E02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51BD7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（十二）技术部分资料清单</w:t>
      </w:r>
      <w:r>
        <w:rPr>
          <w:rFonts w:hint="eastAsia" w:ascii="宋体" w:hAnsi="宋体" w:eastAsia="宋体" w:cs="宋体"/>
          <w:sz w:val="24"/>
          <w:szCs w:val="24"/>
          <w:lang w:val="en-US" w:eastAsia="zh-CN"/>
        </w:rPr>
        <w:t>（若有，格式自拟）</w:t>
      </w:r>
    </w:p>
    <w:p w14:paraId="36D9552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4E60C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413D267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1.投标人根据采购文件相关技术要求提供资料及认为需要提供的其他技术材料。</w:t>
      </w:r>
    </w:p>
    <w:p w14:paraId="7E1D7E0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2.招标文件其它规定或者投标人认为应介绍或者提交的其他技术文件资料、文件和说明。</w:t>
      </w:r>
    </w:p>
    <w:p w14:paraId="75F3C1D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4AC83A1">
      <w:pPr>
        <w:jc w:val="center"/>
        <w:rPr>
          <w:rFonts w:hint="eastAsia" w:ascii="宋体" w:hAnsi="宋体" w:eastAsia="宋体" w:cs="宋体"/>
          <w:sz w:val="24"/>
        </w:rPr>
      </w:pPr>
      <w:r>
        <w:rPr>
          <w:rFonts w:hint="eastAsia" w:ascii="宋体" w:hAnsi="宋体" w:eastAsia="宋体" w:cs="宋体"/>
          <w:b w:val="0"/>
          <w:bCs w:val="0"/>
          <w:sz w:val="24"/>
          <w:szCs w:val="24"/>
          <w:lang w:val="en-US" w:eastAsia="zh-CN"/>
        </w:rPr>
        <w:t>（十三）投标文件中的附加条件（若有，</w:t>
      </w:r>
      <w:r>
        <w:rPr>
          <w:rFonts w:hint="eastAsia" w:ascii="宋体" w:hAnsi="宋体" w:eastAsia="宋体" w:cs="宋体"/>
          <w:sz w:val="24"/>
          <w:szCs w:val="24"/>
          <w:lang w:val="en-US" w:eastAsia="zh-CN"/>
        </w:rPr>
        <w:t>格式自拟）</w:t>
      </w: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9ED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877B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9877B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B4BE"/>
    <w:multiLevelType w:val="singleLevel"/>
    <w:tmpl w:val="A8F4B4BE"/>
    <w:lvl w:ilvl="0" w:tentative="0">
      <w:start w:val="1"/>
      <w:numFmt w:val="decimal"/>
      <w:suff w:val="nothing"/>
      <w:lvlText w:val="%1、"/>
      <w:lvlJc w:val="left"/>
    </w:lvl>
  </w:abstractNum>
  <w:abstractNum w:abstractNumId="1">
    <w:nsid w:val="F5BE0D65"/>
    <w:multiLevelType w:val="singleLevel"/>
    <w:tmpl w:val="F5BE0D65"/>
    <w:lvl w:ilvl="0" w:tentative="0">
      <w:start w:val="1"/>
      <w:numFmt w:val="decimal"/>
      <w:suff w:val="nothing"/>
      <w:lvlText w:val="（%1）"/>
      <w:lvlJc w:val="left"/>
    </w:lvl>
  </w:abstractNum>
  <w:abstractNum w:abstractNumId="2">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48"/>
    <w:rsid w:val="00027544"/>
    <w:rsid w:val="000D3D74"/>
    <w:rsid w:val="00232054"/>
    <w:rsid w:val="0024602D"/>
    <w:rsid w:val="003D4DEF"/>
    <w:rsid w:val="004E1EBE"/>
    <w:rsid w:val="007221F4"/>
    <w:rsid w:val="007A45FC"/>
    <w:rsid w:val="00870407"/>
    <w:rsid w:val="008878D1"/>
    <w:rsid w:val="00980048"/>
    <w:rsid w:val="009C02A7"/>
    <w:rsid w:val="00AD1C03"/>
    <w:rsid w:val="00AE1A4E"/>
    <w:rsid w:val="00B22872"/>
    <w:rsid w:val="00C063CB"/>
    <w:rsid w:val="00C364EE"/>
    <w:rsid w:val="00C87174"/>
    <w:rsid w:val="00D3652E"/>
    <w:rsid w:val="00E40B8D"/>
    <w:rsid w:val="00EF1CC9"/>
    <w:rsid w:val="00F20D8E"/>
    <w:rsid w:val="00F43B90"/>
    <w:rsid w:val="00F54FB9"/>
    <w:rsid w:val="01415CD2"/>
    <w:rsid w:val="01620600"/>
    <w:rsid w:val="02624152"/>
    <w:rsid w:val="02900CBF"/>
    <w:rsid w:val="02FB6F84"/>
    <w:rsid w:val="03C2759E"/>
    <w:rsid w:val="040C6A6B"/>
    <w:rsid w:val="05B178CA"/>
    <w:rsid w:val="05C5724E"/>
    <w:rsid w:val="069074E0"/>
    <w:rsid w:val="06E81962"/>
    <w:rsid w:val="07147EC3"/>
    <w:rsid w:val="080E74C7"/>
    <w:rsid w:val="083F0391"/>
    <w:rsid w:val="08965C72"/>
    <w:rsid w:val="08D41CC7"/>
    <w:rsid w:val="09997467"/>
    <w:rsid w:val="09F67C7A"/>
    <w:rsid w:val="0B995089"/>
    <w:rsid w:val="0C2A7EDE"/>
    <w:rsid w:val="0D31713B"/>
    <w:rsid w:val="0D5353ED"/>
    <w:rsid w:val="0D9D0734"/>
    <w:rsid w:val="0FF20B75"/>
    <w:rsid w:val="0FFFB4AF"/>
    <w:rsid w:val="106FD3AD"/>
    <w:rsid w:val="10705C8B"/>
    <w:rsid w:val="10863702"/>
    <w:rsid w:val="10D40911"/>
    <w:rsid w:val="12B02CB8"/>
    <w:rsid w:val="13385187"/>
    <w:rsid w:val="13A2165B"/>
    <w:rsid w:val="13EA0AB8"/>
    <w:rsid w:val="14A85100"/>
    <w:rsid w:val="14DA7490"/>
    <w:rsid w:val="15110DB0"/>
    <w:rsid w:val="16AB5C70"/>
    <w:rsid w:val="172067DB"/>
    <w:rsid w:val="17DD4105"/>
    <w:rsid w:val="18351C95"/>
    <w:rsid w:val="18A137CE"/>
    <w:rsid w:val="18A776B1"/>
    <w:rsid w:val="19744A3F"/>
    <w:rsid w:val="1ABF45F5"/>
    <w:rsid w:val="1BD05FAD"/>
    <w:rsid w:val="1D316AD3"/>
    <w:rsid w:val="1DE6389C"/>
    <w:rsid w:val="1E1A3944"/>
    <w:rsid w:val="1E1D08FA"/>
    <w:rsid w:val="1EDF69FF"/>
    <w:rsid w:val="1F9BFF2C"/>
    <w:rsid w:val="1FFCE300"/>
    <w:rsid w:val="20153E96"/>
    <w:rsid w:val="204F58BE"/>
    <w:rsid w:val="206F0B3A"/>
    <w:rsid w:val="20C40F70"/>
    <w:rsid w:val="21893958"/>
    <w:rsid w:val="218B7955"/>
    <w:rsid w:val="227C7259"/>
    <w:rsid w:val="22835CF3"/>
    <w:rsid w:val="22B73F44"/>
    <w:rsid w:val="22BE060B"/>
    <w:rsid w:val="237C4C1C"/>
    <w:rsid w:val="25627E42"/>
    <w:rsid w:val="257644FD"/>
    <w:rsid w:val="2610429D"/>
    <w:rsid w:val="263E440B"/>
    <w:rsid w:val="26A85D28"/>
    <w:rsid w:val="26AA7CF2"/>
    <w:rsid w:val="26C72D2C"/>
    <w:rsid w:val="27075144"/>
    <w:rsid w:val="281740A7"/>
    <w:rsid w:val="282C4737"/>
    <w:rsid w:val="28F11C08"/>
    <w:rsid w:val="291D118F"/>
    <w:rsid w:val="2B595843"/>
    <w:rsid w:val="2B886128"/>
    <w:rsid w:val="2BA2543C"/>
    <w:rsid w:val="2C191269"/>
    <w:rsid w:val="2CBE62A5"/>
    <w:rsid w:val="2CD0422B"/>
    <w:rsid w:val="2E8C4181"/>
    <w:rsid w:val="2ED753FC"/>
    <w:rsid w:val="309220B1"/>
    <w:rsid w:val="30C96F3F"/>
    <w:rsid w:val="314D409C"/>
    <w:rsid w:val="31C32361"/>
    <w:rsid w:val="32BD716A"/>
    <w:rsid w:val="33290697"/>
    <w:rsid w:val="33FF96E3"/>
    <w:rsid w:val="34871673"/>
    <w:rsid w:val="35470501"/>
    <w:rsid w:val="365F4CCA"/>
    <w:rsid w:val="37F3EBE8"/>
    <w:rsid w:val="3905700A"/>
    <w:rsid w:val="3A173238"/>
    <w:rsid w:val="3A414072"/>
    <w:rsid w:val="3ACF226C"/>
    <w:rsid w:val="3BB7AC27"/>
    <w:rsid w:val="3BD267F5"/>
    <w:rsid w:val="3CD9736D"/>
    <w:rsid w:val="3D0F2205"/>
    <w:rsid w:val="3D5B1BE6"/>
    <w:rsid w:val="3D9B7F3D"/>
    <w:rsid w:val="3E80785E"/>
    <w:rsid w:val="3F083DDD"/>
    <w:rsid w:val="3F542A99"/>
    <w:rsid w:val="3FAD4119"/>
    <w:rsid w:val="3FDD57E5"/>
    <w:rsid w:val="3FFB00C8"/>
    <w:rsid w:val="402937DB"/>
    <w:rsid w:val="411B6DB5"/>
    <w:rsid w:val="42315937"/>
    <w:rsid w:val="43461462"/>
    <w:rsid w:val="434B7D0F"/>
    <w:rsid w:val="43F50F03"/>
    <w:rsid w:val="44150A49"/>
    <w:rsid w:val="44CF7D3E"/>
    <w:rsid w:val="45BC271F"/>
    <w:rsid w:val="489354A0"/>
    <w:rsid w:val="493279A7"/>
    <w:rsid w:val="49B51C43"/>
    <w:rsid w:val="4A7FEB27"/>
    <w:rsid w:val="4ABC2660"/>
    <w:rsid w:val="4AFF6418"/>
    <w:rsid w:val="4B0B04B0"/>
    <w:rsid w:val="4B7D2FDA"/>
    <w:rsid w:val="4CC62B8A"/>
    <w:rsid w:val="4CF182EA"/>
    <w:rsid w:val="4D527006"/>
    <w:rsid w:val="4D537EEC"/>
    <w:rsid w:val="4E6F6FA8"/>
    <w:rsid w:val="4EA875E2"/>
    <w:rsid w:val="4F532425"/>
    <w:rsid w:val="4F7930E1"/>
    <w:rsid w:val="4FAB04B3"/>
    <w:rsid w:val="51DC42C9"/>
    <w:rsid w:val="527C6137"/>
    <w:rsid w:val="532A48C9"/>
    <w:rsid w:val="534E7AD3"/>
    <w:rsid w:val="53830BA2"/>
    <w:rsid w:val="54541D13"/>
    <w:rsid w:val="549B228F"/>
    <w:rsid w:val="55017B9A"/>
    <w:rsid w:val="57156C21"/>
    <w:rsid w:val="57F64296"/>
    <w:rsid w:val="57FA1ADC"/>
    <w:rsid w:val="58B101BD"/>
    <w:rsid w:val="5965718B"/>
    <w:rsid w:val="59D36E67"/>
    <w:rsid w:val="5AFF8FA2"/>
    <w:rsid w:val="5B865931"/>
    <w:rsid w:val="5C183C23"/>
    <w:rsid w:val="5C871960"/>
    <w:rsid w:val="5CBC3D00"/>
    <w:rsid w:val="5CBFC6BD"/>
    <w:rsid w:val="5DFFF9B4"/>
    <w:rsid w:val="5E2A4C99"/>
    <w:rsid w:val="5ED471DC"/>
    <w:rsid w:val="5EF41669"/>
    <w:rsid w:val="5F55F465"/>
    <w:rsid w:val="5F674812"/>
    <w:rsid w:val="5F8108E9"/>
    <w:rsid w:val="5FB7E601"/>
    <w:rsid w:val="5FBFEB51"/>
    <w:rsid w:val="5FFFBCB3"/>
    <w:rsid w:val="6022031E"/>
    <w:rsid w:val="611A0FF5"/>
    <w:rsid w:val="62BD432E"/>
    <w:rsid w:val="62CC7726"/>
    <w:rsid w:val="62DB0C58"/>
    <w:rsid w:val="63454B2F"/>
    <w:rsid w:val="63C668DC"/>
    <w:rsid w:val="64114CE5"/>
    <w:rsid w:val="645804F2"/>
    <w:rsid w:val="647A5AE9"/>
    <w:rsid w:val="64F5641C"/>
    <w:rsid w:val="6513052B"/>
    <w:rsid w:val="653D3504"/>
    <w:rsid w:val="65614C41"/>
    <w:rsid w:val="664520D4"/>
    <w:rsid w:val="66996C60"/>
    <w:rsid w:val="67C82762"/>
    <w:rsid w:val="67FF684A"/>
    <w:rsid w:val="68264723"/>
    <w:rsid w:val="687B3981"/>
    <w:rsid w:val="6A061434"/>
    <w:rsid w:val="6ADEE74B"/>
    <w:rsid w:val="6AE6283F"/>
    <w:rsid w:val="6B4750DC"/>
    <w:rsid w:val="6B59B13E"/>
    <w:rsid w:val="6B9A4415"/>
    <w:rsid w:val="6BBD6D5C"/>
    <w:rsid w:val="6BC918E4"/>
    <w:rsid w:val="6D4F0278"/>
    <w:rsid w:val="6DD24A05"/>
    <w:rsid w:val="6DE617A9"/>
    <w:rsid w:val="6DF37591"/>
    <w:rsid w:val="6E072310"/>
    <w:rsid w:val="6E50341C"/>
    <w:rsid w:val="6E8403F6"/>
    <w:rsid w:val="6F333FD2"/>
    <w:rsid w:val="6F435BBB"/>
    <w:rsid w:val="6F7BC7FC"/>
    <w:rsid w:val="6FC129C4"/>
    <w:rsid w:val="6FE750FE"/>
    <w:rsid w:val="6FFF28D9"/>
    <w:rsid w:val="703D2606"/>
    <w:rsid w:val="705931BC"/>
    <w:rsid w:val="70B40C75"/>
    <w:rsid w:val="70E61D3B"/>
    <w:rsid w:val="71F71872"/>
    <w:rsid w:val="728704B4"/>
    <w:rsid w:val="73221F8B"/>
    <w:rsid w:val="737F4746"/>
    <w:rsid w:val="73FE24B0"/>
    <w:rsid w:val="75045CEC"/>
    <w:rsid w:val="75746FA1"/>
    <w:rsid w:val="759929D8"/>
    <w:rsid w:val="75E42317"/>
    <w:rsid w:val="75E83018"/>
    <w:rsid w:val="7675CCA7"/>
    <w:rsid w:val="769206B8"/>
    <w:rsid w:val="76BF80F9"/>
    <w:rsid w:val="77854281"/>
    <w:rsid w:val="784133BE"/>
    <w:rsid w:val="786170B2"/>
    <w:rsid w:val="78EC3A01"/>
    <w:rsid w:val="78FD1B97"/>
    <w:rsid w:val="797530C1"/>
    <w:rsid w:val="79A16564"/>
    <w:rsid w:val="79DC7338"/>
    <w:rsid w:val="79FF5F29"/>
    <w:rsid w:val="7A3D1B3C"/>
    <w:rsid w:val="7A6D1D2F"/>
    <w:rsid w:val="7A770747"/>
    <w:rsid w:val="7A8F425F"/>
    <w:rsid w:val="7AB95902"/>
    <w:rsid w:val="7ABD0FB7"/>
    <w:rsid w:val="7B4E6013"/>
    <w:rsid w:val="7B51165F"/>
    <w:rsid w:val="7B97D7C1"/>
    <w:rsid w:val="7BCEAD4D"/>
    <w:rsid w:val="7C3201A0"/>
    <w:rsid w:val="7CD6006E"/>
    <w:rsid w:val="7D0A5F6A"/>
    <w:rsid w:val="7D21A842"/>
    <w:rsid w:val="7D318948"/>
    <w:rsid w:val="7D3B529A"/>
    <w:rsid w:val="7DDED08F"/>
    <w:rsid w:val="7E301A00"/>
    <w:rsid w:val="7EEB1281"/>
    <w:rsid w:val="7EF7AC06"/>
    <w:rsid w:val="7F7D58EC"/>
    <w:rsid w:val="7F93BECA"/>
    <w:rsid w:val="7FBCC800"/>
    <w:rsid w:val="7FBFC1C2"/>
    <w:rsid w:val="7FDD7AB3"/>
    <w:rsid w:val="7FEBC0D7"/>
    <w:rsid w:val="7FFFA56F"/>
    <w:rsid w:val="9DFA0813"/>
    <w:rsid w:val="9F3D5AD4"/>
    <w:rsid w:val="A74A3F7F"/>
    <w:rsid w:val="AFDF2447"/>
    <w:rsid w:val="AFF56874"/>
    <w:rsid w:val="B5FED1F7"/>
    <w:rsid w:val="B9DF609C"/>
    <w:rsid w:val="BD7EB2E3"/>
    <w:rsid w:val="BD97684C"/>
    <w:rsid w:val="BDBBD792"/>
    <w:rsid w:val="BEFFE427"/>
    <w:rsid w:val="BF3B9227"/>
    <w:rsid w:val="BF3FCEC0"/>
    <w:rsid w:val="BFEB09B4"/>
    <w:rsid w:val="BFEF8B63"/>
    <w:rsid w:val="BFFF7CC9"/>
    <w:rsid w:val="C9FE5687"/>
    <w:rsid w:val="D2BDC5CE"/>
    <w:rsid w:val="D3FC46E9"/>
    <w:rsid w:val="DBEF47DA"/>
    <w:rsid w:val="DDBF59D0"/>
    <w:rsid w:val="DEDA9EC6"/>
    <w:rsid w:val="DEDFE009"/>
    <w:rsid w:val="DFF60368"/>
    <w:rsid w:val="DFFB7312"/>
    <w:rsid w:val="DFFD3E2C"/>
    <w:rsid w:val="E22A93C3"/>
    <w:rsid w:val="E3FED1CB"/>
    <w:rsid w:val="E57FCC10"/>
    <w:rsid w:val="E7CDB3EB"/>
    <w:rsid w:val="EAFB73A3"/>
    <w:rsid w:val="EB5B682F"/>
    <w:rsid w:val="EBD56737"/>
    <w:rsid w:val="EC4D9035"/>
    <w:rsid w:val="ECEE67CB"/>
    <w:rsid w:val="EEF2DE6D"/>
    <w:rsid w:val="EF5716C0"/>
    <w:rsid w:val="EFB62F7B"/>
    <w:rsid w:val="EFD87CF1"/>
    <w:rsid w:val="EFED86F3"/>
    <w:rsid w:val="F1FB9B01"/>
    <w:rsid w:val="F3FD3522"/>
    <w:rsid w:val="F5DF797C"/>
    <w:rsid w:val="F5E7E0A5"/>
    <w:rsid w:val="F7AFB221"/>
    <w:rsid w:val="FBFE0B7A"/>
    <w:rsid w:val="FBFF613E"/>
    <w:rsid w:val="FC6FCBF7"/>
    <w:rsid w:val="FCF51DC1"/>
    <w:rsid w:val="FDC8B112"/>
    <w:rsid w:val="FDCCEEC8"/>
    <w:rsid w:val="FDFF441A"/>
    <w:rsid w:val="FE1B83DF"/>
    <w:rsid w:val="FEB75110"/>
    <w:rsid w:val="FEB7A9DF"/>
    <w:rsid w:val="FEFEFBE4"/>
    <w:rsid w:val="FF742D2B"/>
    <w:rsid w:val="FFBA62A7"/>
    <w:rsid w:val="FFC71D34"/>
    <w:rsid w:val="FFFB5BF0"/>
    <w:rsid w:val="FFFDFC35"/>
    <w:rsid w:val="FFFEBB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ind w:firstLine="420" w:firstLineChars="150"/>
      <w:outlineLvl w:val="3"/>
    </w:pPr>
    <w:rPr>
      <w:rFonts w:ascii="Arial" w:hAnsi="Arial" w:cs="Arial"/>
      <w:b/>
      <w:sz w:val="28"/>
      <w:szCs w:val="28"/>
    </w:rPr>
  </w:style>
  <w:style w:type="paragraph" w:styleId="5">
    <w:name w:val="heading 5"/>
    <w:basedOn w:val="4"/>
    <w:next w:val="1"/>
    <w:qFormat/>
    <w:uiPriority w:val="0"/>
    <w:pPr>
      <w:autoSpaceDE w:val="0"/>
      <w:autoSpaceDN w:val="0"/>
      <w:adjustRightInd w:val="0"/>
      <w:outlineLvl w:val="4"/>
    </w:pPr>
    <w:rPr>
      <w:rFonts w:ascii="宋体"/>
      <w:color w:val="000000"/>
      <w:kern w:val="0"/>
    </w:rPr>
  </w:style>
  <w:style w:type="paragraph" w:styleId="6">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annotation text"/>
    <w:basedOn w:val="1"/>
    <w:qFormat/>
    <w:uiPriority w:val="0"/>
    <w:pPr>
      <w:jc w:val="left"/>
    </w:pPr>
  </w:style>
  <w:style w:type="paragraph" w:styleId="9">
    <w:name w:val="Body Text"/>
    <w:basedOn w:val="1"/>
    <w:qFormat/>
    <w:uiPriority w:val="0"/>
    <w:rPr>
      <w:rFonts w:ascii="楷体_GB2312" w:hAnsi="Arial" w:eastAsia="楷体_GB2312"/>
      <w:sz w:val="28"/>
      <w:szCs w:val="28"/>
    </w:rPr>
  </w:style>
  <w:style w:type="paragraph" w:styleId="10">
    <w:name w:val="Body Text Indent"/>
    <w:basedOn w:val="1"/>
    <w:next w:val="9"/>
    <w:qFormat/>
    <w:uiPriority w:val="0"/>
    <w:pPr>
      <w:ind w:firstLine="645"/>
    </w:pPr>
    <w:rPr>
      <w:rFonts w:ascii="楷体_GB2312" w:eastAsia="楷体_GB2312"/>
      <w:sz w:val="32"/>
      <w:szCs w:val="3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9"/>
    <w:next w:val="17"/>
    <w:qFormat/>
    <w:uiPriority w:val="0"/>
    <w:pPr>
      <w:spacing w:line="360" w:lineRule="auto"/>
      <w:ind w:firstLine="200" w:firstLineChars="200"/>
    </w:pPr>
    <w:rPr>
      <w:rFonts w:ascii="仿宋_GB2312" w:eastAsia="仿宋_GB2312"/>
      <w:sz w:val="30"/>
      <w:szCs w:val="30"/>
    </w:rPr>
  </w:style>
  <w:style w:type="paragraph" w:styleId="17">
    <w:name w:val="Body Text First Indent 2"/>
    <w:basedOn w:val="10"/>
    <w:next w:val="16"/>
    <w:qFormat/>
    <w:uiPriority w:val="0"/>
    <w:pPr>
      <w:spacing w:line="360" w:lineRule="auto"/>
      <w:ind w:firstLine="420" w:firstLineChars="200"/>
    </w:pPr>
    <w:rPr>
      <w:rFonts w:ascii="宋体" w:hAnsi="宋体" w:eastAsia="宋体"/>
      <w:sz w:val="21"/>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table" w:customStyle="1" w:styleId="22">
    <w:name w:val="灰色表头"/>
    <w:basedOn w:val="18"/>
    <w:qFormat/>
    <w:uiPriority w:val="0"/>
    <w:pPr>
      <w:jc w:val="center"/>
    </w:pPr>
    <w:rPr>
      <w:sz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ascii="Times New Roman" w:hAnsi="Times New Roman" w:eastAsia="宋体"/>
        <w:b/>
        <w:i w:val="0"/>
        <w:sz w:val="21"/>
      </w:rPr>
      <w:tblPr/>
      <w:trPr>
        <w:tblHeader/>
      </w:trPr>
      <w:tcPr>
        <w:shd w:val="clear" w:color="auto" w:fill="A5A5A5" w:themeFill="background1" w:themeFillShade="A6"/>
      </w:tcPr>
    </w:tblStylePr>
  </w:style>
  <w:style w:type="paragraph" w:styleId="23">
    <w:name w:val="List Paragraph"/>
    <w:basedOn w:val="1"/>
    <w:qFormat/>
    <w:uiPriority w:val="0"/>
    <w:pPr>
      <w:ind w:firstLine="420" w:firstLineChars="200"/>
    </w:pPr>
    <w:rPr>
      <w:lang w:val="zh-CN"/>
    </w:rPr>
  </w:style>
  <w:style w:type="paragraph" w:customStyle="1" w:styleId="24">
    <w:name w:val="工可正文"/>
    <w:basedOn w:val="1"/>
    <w:qFormat/>
    <w:uiPriority w:val="0"/>
    <w:pPr>
      <w:spacing w:before="156" w:beforeLines="50" w:line="360" w:lineRule="auto"/>
      <w:ind w:firstLine="560" w:firstLineChars="200"/>
    </w:pPr>
    <w:rPr>
      <w:rFonts w:ascii="宋体" w:hAnsi="宋体"/>
      <w:kern w:val="0"/>
      <w:sz w:val="28"/>
      <w:lang w:val="zh-CN"/>
    </w:rPr>
  </w:style>
  <w:style w:type="character" w:customStyle="1" w:styleId="25">
    <w:name w:val="font11"/>
    <w:basedOn w:val="20"/>
    <w:qFormat/>
    <w:uiPriority w:val="0"/>
    <w:rPr>
      <w:rFonts w:hint="eastAsia" w:ascii="宋体" w:hAnsi="宋体" w:eastAsia="宋体" w:cs="宋体"/>
      <w:color w:val="000000"/>
      <w:sz w:val="24"/>
      <w:szCs w:val="24"/>
      <w:u w:val="none"/>
    </w:rPr>
  </w:style>
  <w:style w:type="paragraph" w:customStyle="1" w:styleId="26">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118</Pages>
  <Words>22764</Words>
  <Characters>24845</Characters>
  <Lines>980</Lines>
  <Paragraphs>952</Paragraphs>
  <TotalTime>23</TotalTime>
  <ScaleCrop>false</ScaleCrop>
  <LinksUpToDate>false</LinksUpToDate>
  <CharactersWithSpaces>24863</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2025-12-25T19:07:00Z</dcterms:created>
  <dc:creator>leesin1</dc:creator>
  <cp:lastModifiedBy>！</cp:lastModifiedBy>
  <cp:lastPrinted>2026-04-29T00:41:00Z</cp:lastPrinted>
  <dcterms:modified xsi:type="dcterms:W3CDTF">2026-05-22T13:32:29Z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eyJoZGlkIjoiMTliMDc2ZjMyNTJmNDhmMzdiNmNhZGU4MzFiNzkzYmMiLCJ1c2VySWQiOiIyNzEwNzY1ODMifQ==</vt:lpwstr>
  </property>
  <property fmtid="{D5CDD505-2E9C-101B-9397-08002B2CF9AE}" pid="4" name="ICV">
    <vt:lpwstr>B072A10C7CFA473BA7C818BB906817F7_13</vt:lpwstr>
  </property>
</Properties>
</file>